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6B140" w14:textId="77777777" w:rsidR="00310E1F" w:rsidRPr="004E5612" w:rsidRDefault="00310E1F" w:rsidP="00310E1F">
      <w:pPr>
        <w:spacing w:after="240" w:line="360" w:lineRule="auto"/>
        <w:jc w:val="both"/>
        <w:rPr>
          <w:rFonts w:cs="Arial"/>
          <w:b/>
          <w:sz w:val="28"/>
          <w:szCs w:val="22"/>
        </w:rPr>
      </w:pPr>
      <w:bookmarkStart w:id="0" w:name="_Hlk42003985"/>
      <w:bookmarkStart w:id="1" w:name="_Hlk11064638"/>
      <w:bookmarkEnd w:id="0"/>
      <w:r w:rsidRPr="004E5612">
        <w:rPr>
          <w:rFonts w:cs="Arial"/>
          <w:b/>
          <w:sz w:val="28"/>
          <w:szCs w:val="22"/>
        </w:rPr>
        <w:t>The Associations between Asymmetries in Quadriceps Strength and Gait in Unilateral Transtibial Amputees</w:t>
      </w:r>
    </w:p>
    <w:bookmarkEnd w:id="1"/>
    <w:p w14:paraId="422AB6AC" w14:textId="77777777" w:rsidR="00310E1F" w:rsidRPr="004E5612" w:rsidRDefault="00310E1F" w:rsidP="00310E1F">
      <w:pPr>
        <w:spacing w:after="240" w:line="360" w:lineRule="auto"/>
        <w:rPr>
          <w:rFonts w:cs="Arial"/>
          <w:sz w:val="22"/>
          <w:szCs w:val="22"/>
        </w:rPr>
      </w:pPr>
    </w:p>
    <w:p w14:paraId="7BAEB6D4" w14:textId="77777777" w:rsidR="00310E1F" w:rsidRPr="004E5612" w:rsidRDefault="00310E1F" w:rsidP="00310E1F">
      <w:pPr>
        <w:spacing w:after="240" w:line="360" w:lineRule="auto"/>
        <w:rPr>
          <w:rFonts w:cs="Arial"/>
          <w:sz w:val="22"/>
          <w:szCs w:val="22"/>
        </w:rPr>
      </w:pPr>
      <w:r w:rsidRPr="004E5612">
        <w:rPr>
          <w:rFonts w:cs="Arial"/>
          <w:sz w:val="22"/>
          <w:szCs w:val="22"/>
        </w:rPr>
        <w:t>Amy R. Sibley,</w:t>
      </w:r>
      <w:r w:rsidRPr="004E5612">
        <w:rPr>
          <w:rFonts w:cs="Arial"/>
          <w:sz w:val="22"/>
          <w:szCs w:val="22"/>
          <w:vertAlign w:val="superscript"/>
        </w:rPr>
        <w:t>a,1</w:t>
      </w:r>
      <w:r w:rsidRPr="004E5612">
        <w:rPr>
          <w:rFonts w:cs="Arial"/>
          <w:sz w:val="22"/>
          <w:szCs w:val="22"/>
        </w:rPr>
        <w:t xml:space="preserve"> </w:t>
      </w:r>
      <w:proofErr w:type="spellStart"/>
      <w:r w:rsidRPr="004E5612">
        <w:rPr>
          <w:rFonts w:cs="Arial"/>
          <w:sz w:val="22"/>
          <w:szCs w:val="22"/>
        </w:rPr>
        <w:t>Siobhán</w:t>
      </w:r>
      <w:proofErr w:type="spellEnd"/>
      <w:r w:rsidRPr="004E5612">
        <w:rPr>
          <w:rFonts w:cs="Arial"/>
          <w:sz w:val="22"/>
          <w:szCs w:val="22"/>
        </w:rPr>
        <w:t xml:space="preserve"> </w:t>
      </w:r>
      <w:proofErr w:type="spellStart"/>
      <w:r w:rsidRPr="004E5612">
        <w:rPr>
          <w:rFonts w:cs="Arial"/>
          <w:sz w:val="22"/>
          <w:szCs w:val="22"/>
        </w:rPr>
        <w:t>Strike,</w:t>
      </w:r>
      <w:r w:rsidRPr="004E5612">
        <w:rPr>
          <w:rFonts w:cs="Arial"/>
          <w:sz w:val="22"/>
          <w:szCs w:val="22"/>
          <w:vertAlign w:val="superscript"/>
        </w:rPr>
        <w:t>a</w:t>
      </w:r>
      <w:proofErr w:type="spellEnd"/>
      <w:r w:rsidRPr="004E5612">
        <w:rPr>
          <w:rFonts w:cs="Arial"/>
          <w:sz w:val="22"/>
          <w:szCs w:val="22"/>
        </w:rPr>
        <w:t xml:space="preserve"> Sarah C. Moudy,</w:t>
      </w:r>
      <w:r w:rsidRPr="004E5612">
        <w:rPr>
          <w:rFonts w:cs="Arial"/>
          <w:sz w:val="22"/>
          <w:szCs w:val="22"/>
          <w:vertAlign w:val="superscript"/>
        </w:rPr>
        <w:t>a,2</w:t>
      </w:r>
      <w:r w:rsidRPr="004E5612">
        <w:rPr>
          <w:rFonts w:cs="Arial"/>
          <w:sz w:val="22"/>
          <w:szCs w:val="22"/>
        </w:rPr>
        <w:t xml:space="preserve"> Neale A. </w:t>
      </w:r>
      <w:proofErr w:type="spellStart"/>
      <w:r w:rsidRPr="004E5612">
        <w:rPr>
          <w:rFonts w:cs="Arial"/>
          <w:sz w:val="22"/>
          <w:szCs w:val="22"/>
        </w:rPr>
        <w:t>Tillin</w:t>
      </w:r>
      <w:r w:rsidRPr="004E5612">
        <w:rPr>
          <w:rFonts w:cs="Arial"/>
          <w:sz w:val="22"/>
          <w:szCs w:val="22"/>
          <w:vertAlign w:val="superscript"/>
        </w:rPr>
        <w:t>a</w:t>
      </w:r>
      <w:proofErr w:type="spellEnd"/>
    </w:p>
    <w:p w14:paraId="78A8D4C1" w14:textId="77777777" w:rsidR="00310E1F" w:rsidRPr="004E5612" w:rsidRDefault="00310E1F" w:rsidP="00310E1F">
      <w:pPr>
        <w:spacing w:after="240" w:line="360" w:lineRule="auto"/>
        <w:rPr>
          <w:rFonts w:cs="Arial"/>
          <w:sz w:val="22"/>
          <w:szCs w:val="22"/>
        </w:rPr>
      </w:pPr>
      <w:proofErr w:type="spellStart"/>
      <w:r w:rsidRPr="004E5612">
        <w:rPr>
          <w:rFonts w:cs="Arial"/>
          <w:sz w:val="22"/>
          <w:szCs w:val="22"/>
          <w:vertAlign w:val="superscript"/>
        </w:rPr>
        <w:t>a</w:t>
      </w:r>
      <w:r w:rsidRPr="004E5612">
        <w:rPr>
          <w:rFonts w:cs="Arial"/>
          <w:sz w:val="22"/>
          <w:szCs w:val="22"/>
        </w:rPr>
        <w:t>Department</w:t>
      </w:r>
      <w:proofErr w:type="spellEnd"/>
      <w:r w:rsidRPr="004E5612">
        <w:rPr>
          <w:rFonts w:cs="Arial"/>
          <w:sz w:val="22"/>
          <w:szCs w:val="22"/>
        </w:rPr>
        <w:t xml:space="preserve"> of Life Sciences, </w:t>
      </w:r>
      <w:proofErr w:type="spellStart"/>
      <w:r w:rsidRPr="004E5612">
        <w:rPr>
          <w:rFonts w:cs="Arial"/>
          <w:sz w:val="22"/>
          <w:szCs w:val="22"/>
        </w:rPr>
        <w:t>Whitelands</w:t>
      </w:r>
      <w:proofErr w:type="spellEnd"/>
      <w:r w:rsidRPr="004E5612">
        <w:rPr>
          <w:rFonts w:cs="Arial"/>
          <w:sz w:val="22"/>
          <w:szCs w:val="22"/>
        </w:rPr>
        <w:t xml:space="preserve"> College, University of Roehampton, </w:t>
      </w:r>
      <w:proofErr w:type="spellStart"/>
      <w:r w:rsidRPr="004E5612">
        <w:rPr>
          <w:rFonts w:cs="Arial"/>
          <w:sz w:val="22"/>
          <w:szCs w:val="22"/>
        </w:rPr>
        <w:t>Holybourne</w:t>
      </w:r>
      <w:proofErr w:type="spellEnd"/>
      <w:r w:rsidRPr="004E5612">
        <w:rPr>
          <w:rFonts w:cs="Arial"/>
          <w:sz w:val="22"/>
          <w:szCs w:val="22"/>
        </w:rPr>
        <w:t xml:space="preserve"> Avenue, London, UK SW15 4JD</w:t>
      </w:r>
    </w:p>
    <w:p w14:paraId="7FF6E61F" w14:textId="77777777" w:rsidR="00310E1F" w:rsidRPr="004E5612" w:rsidRDefault="00310E1F" w:rsidP="00310E1F">
      <w:pPr>
        <w:spacing w:after="240" w:line="360" w:lineRule="auto"/>
        <w:rPr>
          <w:rFonts w:cs="Arial"/>
          <w:sz w:val="22"/>
          <w:szCs w:val="22"/>
        </w:rPr>
      </w:pPr>
      <w:r w:rsidRPr="004E5612">
        <w:rPr>
          <w:rFonts w:cs="Arial"/>
          <w:sz w:val="22"/>
          <w:szCs w:val="22"/>
          <w:vertAlign w:val="superscript"/>
        </w:rPr>
        <w:t>1</w:t>
      </w:r>
      <w:r w:rsidRPr="004E5612">
        <w:rPr>
          <w:rFonts w:cs="Arial"/>
          <w:sz w:val="22"/>
          <w:szCs w:val="22"/>
        </w:rPr>
        <w:t>Present address: Department of Allied Health Sciences, 103 Borough Road, London South Bank University, London, UK SE1 0AA</w:t>
      </w:r>
    </w:p>
    <w:p w14:paraId="3DE736C3" w14:textId="77777777" w:rsidR="00310E1F" w:rsidRPr="004E5612" w:rsidRDefault="00310E1F" w:rsidP="00310E1F">
      <w:pPr>
        <w:spacing w:after="240" w:line="360" w:lineRule="auto"/>
        <w:rPr>
          <w:rFonts w:cs="Arial"/>
          <w:b/>
          <w:sz w:val="22"/>
          <w:szCs w:val="22"/>
        </w:rPr>
      </w:pPr>
      <w:r w:rsidRPr="004E5612">
        <w:rPr>
          <w:rFonts w:cs="Arial"/>
          <w:sz w:val="22"/>
          <w:szCs w:val="22"/>
          <w:vertAlign w:val="superscript"/>
        </w:rPr>
        <w:t>2</w:t>
      </w:r>
      <w:r w:rsidRPr="004E5612">
        <w:rPr>
          <w:rFonts w:cs="Arial"/>
          <w:snapToGrid w:val="0"/>
          <w:sz w:val="22"/>
          <w:szCs w:val="22"/>
        </w:rPr>
        <w:t xml:space="preserve">Present address: Department of Family Medicine, University of North Texas Health Science </w:t>
      </w:r>
      <w:proofErr w:type="spellStart"/>
      <w:r w:rsidRPr="004E5612">
        <w:rPr>
          <w:rFonts w:cs="Arial"/>
          <w:snapToGrid w:val="0"/>
          <w:sz w:val="22"/>
          <w:szCs w:val="22"/>
        </w:rPr>
        <w:t>Center</w:t>
      </w:r>
      <w:proofErr w:type="spellEnd"/>
      <w:r w:rsidRPr="004E5612">
        <w:rPr>
          <w:rFonts w:cs="Arial"/>
          <w:snapToGrid w:val="0"/>
          <w:sz w:val="22"/>
          <w:szCs w:val="22"/>
        </w:rPr>
        <w:t>, Fort Worth, Texas, United States of America</w:t>
      </w:r>
    </w:p>
    <w:p w14:paraId="6A2CA849" w14:textId="77777777" w:rsidR="00310E1F" w:rsidRPr="004E5612" w:rsidRDefault="00310E1F" w:rsidP="00310E1F">
      <w:pPr>
        <w:spacing w:after="240" w:line="360" w:lineRule="auto"/>
        <w:rPr>
          <w:rFonts w:cs="Arial"/>
          <w:b/>
          <w:sz w:val="22"/>
          <w:szCs w:val="22"/>
        </w:rPr>
      </w:pPr>
    </w:p>
    <w:p w14:paraId="4E40E35E" w14:textId="77777777" w:rsidR="00310E1F" w:rsidRPr="004E5612" w:rsidRDefault="00310E1F" w:rsidP="00310E1F">
      <w:pPr>
        <w:spacing w:after="240" w:line="360" w:lineRule="auto"/>
        <w:rPr>
          <w:rFonts w:cs="Arial"/>
          <w:sz w:val="22"/>
          <w:szCs w:val="22"/>
        </w:rPr>
      </w:pPr>
      <w:r w:rsidRPr="004E5612">
        <w:rPr>
          <w:rFonts w:cs="Arial"/>
          <w:b/>
          <w:sz w:val="22"/>
          <w:szCs w:val="22"/>
        </w:rPr>
        <w:t>Corresponding Author:</w:t>
      </w:r>
    </w:p>
    <w:p w14:paraId="2A5F67BD" w14:textId="77777777" w:rsidR="00310E1F" w:rsidRPr="004E5612" w:rsidRDefault="00310E1F" w:rsidP="00310E1F">
      <w:pPr>
        <w:spacing w:after="240" w:line="360" w:lineRule="auto"/>
        <w:rPr>
          <w:rFonts w:cs="Arial"/>
          <w:sz w:val="22"/>
          <w:szCs w:val="22"/>
        </w:rPr>
      </w:pPr>
      <w:r w:rsidRPr="004E5612">
        <w:rPr>
          <w:rFonts w:cs="Arial"/>
          <w:sz w:val="22"/>
          <w:szCs w:val="22"/>
        </w:rPr>
        <w:t>Amy R. Sibley</w:t>
      </w:r>
    </w:p>
    <w:p w14:paraId="291B884A" w14:textId="77777777" w:rsidR="00310E1F" w:rsidRPr="004E5612" w:rsidRDefault="00310E1F" w:rsidP="00310E1F">
      <w:pPr>
        <w:spacing w:after="240" w:line="360" w:lineRule="auto"/>
        <w:rPr>
          <w:rFonts w:cs="Arial"/>
          <w:sz w:val="22"/>
          <w:szCs w:val="22"/>
        </w:rPr>
      </w:pPr>
      <w:r w:rsidRPr="004E5612">
        <w:rPr>
          <w:rFonts w:cs="Arial"/>
          <w:sz w:val="22"/>
          <w:szCs w:val="22"/>
        </w:rPr>
        <w:t xml:space="preserve">Email: </w:t>
      </w:r>
      <w:hyperlink r:id="rId8" w:history="1">
        <w:r w:rsidRPr="004E5612">
          <w:rPr>
            <w:rStyle w:val="Hyperlink"/>
            <w:rFonts w:cs="Arial"/>
            <w:sz w:val="22"/>
            <w:szCs w:val="22"/>
          </w:rPr>
          <w:t>amy.sibley@lsbu.ac.uk</w:t>
        </w:r>
      </w:hyperlink>
    </w:p>
    <w:p w14:paraId="2048556D" w14:textId="77777777" w:rsidR="00310E1F" w:rsidRPr="004E5612" w:rsidRDefault="00310E1F" w:rsidP="00310E1F">
      <w:pPr>
        <w:spacing w:after="240" w:line="360" w:lineRule="auto"/>
        <w:rPr>
          <w:rFonts w:cs="Arial"/>
          <w:b/>
          <w:sz w:val="22"/>
          <w:szCs w:val="22"/>
        </w:rPr>
      </w:pPr>
    </w:p>
    <w:p w14:paraId="12020893" w14:textId="77777777" w:rsidR="00310E1F" w:rsidRPr="004E5612" w:rsidRDefault="00310E1F" w:rsidP="00310E1F">
      <w:pPr>
        <w:spacing w:after="240" w:line="360" w:lineRule="auto"/>
        <w:rPr>
          <w:rFonts w:cs="Arial"/>
          <w:b/>
          <w:sz w:val="22"/>
          <w:szCs w:val="22"/>
        </w:rPr>
      </w:pPr>
      <w:r w:rsidRPr="004E5612">
        <w:rPr>
          <w:rFonts w:cs="Arial"/>
          <w:b/>
          <w:sz w:val="22"/>
          <w:szCs w:val="22"/>
        </w:rPr>
        <w:t xml:space="preserve">Author Contact Details: </w:t>
      </w:r>
    </w:p>
    <w:p w14:paraId="730F97F0" w14:textId="77777777" w:rsidR="00310E1F" w:rsidRPr="004E5612" w:rsidRDefault="00310E1F" w:rsidP="00310E1F">
      <w:pPr>
        <w:spacing w:after="240" w:line="360" w:lineRule="auto"/>
        <w:rPr>
          <w:rFonts w:cs="Arial"/>
          <w:sz w:val="22"/>
          <w:szCs w:val="22"/>
        </w:rPr>
      </w:pPr>
      <w:hyperlink r:id="rId9" w:history="1">
        <w:r w:rsidRPr="004E5612">
          <w:rPr>
            <w:rStyle w:val="Hyperlink"/>
            <w:rFonts w:cs="Arial"/>
            <w:sz w:val="22"/>
            <w:szCs w:val="22"/>
          </w:rPr>
          <w:t>s.strike@roehampton.ac.uk</w:t>
        </w:r>
      </w:hyperlink>
      <w:r w:rsidRPr="004E5612">
        <w:rPr>
          <w:rFonts w:cs="Arial"/>
          <w:sz w:val="22"/>
          <w:szCs w:val="22"/>
        </w:rPr>
        <w:t xml:space="preserve"> (SS); </w:t>
      </w:r>
      <w:hyperlink r:id="rId10" w:history="1">
        <w:r w:rsidRPr="004E5612">
          <w:rPr>
            <w:rStyle w:val="Hyperlink"/>
            <w:rFonts w:cs="Arial"/>
            <w:snapToGrid w:val="0"/>
            <w:sz w:val="22"/>
            <w:szCs w:val="22"/>
          </w:rPr>
          <w:t>sarah.moudy@unthsc.edu</w:t>
        </w:r>
      </w:hyperlink>
      <w:r w:rsidRPr="004E5612">
        <w:rPr>
          <w:rFonts w:cs="Arial"/>
          <w:snapToGrid w:val="0"/>
          <w:sz w:val="22"/>
          <w:szCs w:val="22"/>
        </w:rPr>
        <w:t xml:space="preserve"> (SM); </w:t>
      </w:r>
      <w:hyperlink r:id="rId11" w:history="1">
        <w:r w:rsidRPr="004E5612">
          <w:rPr>
            <w:rStyle w:val="Hyperlink"/>
            <w:rFonts w:cs="Arial"/>
            <w:sz w:val="22"/>
            <w:szCs w:val="22"/>
          </w:rPr>
          <w:t>neale.tillin@roehampton.ac.uk</w:t>
        </w:r>
      </w:hyperlink>
      <w:r w:rsidRPr="004E5612">
        <w:rPr>
          <w:rFonts w:cs="Arial"/>
          <w:sz w:val="22"/>
          <w:szCs w:val="22"/>
        </w:rPr>
        <w:t xml:space="preserve"> </w:t>
      </w:r>
      <w:r w:rsidRPr="004E5612">
        <w:rPr>
          <w:rFonts w:cs="Arial"/>
          <w:bCs/>
          <w:sz w:val="22"/>
          <w:szCs w:val="22"/>
          <w:lang w:eastAsia="en-GB"/>
        </w:rPr>
        <w:t>(NT)</w:t>
      </w:r>
    </w:p>
    <w:p w14:paraId="3844B64B" w14:textId="77777777" w:rsidR="00310E1F" w:rsidRPr="004E5612" w:rsidRDefault="00310E1F" w:rsidP="00310E1F">
      <w:pPr>
        <w:spacing w:after="240" w:line="360" w:lineRule="auto"/>
        <w:jc w:val="both"/>
        <w:rPr>
          <w:rFonts w:cs="Arial"/>
          <w:b/>
          <w:bCs/>
          <w:sz w:val="22"/>
          <w:szCs w:val="22"/>
          <w:lang w:eastAsia="en-GB"/>
        </w:rPr>
      </w:pPr>
    </w:p>
    <w:p w14:paraId="3F12287F" w14:textId="77777777" w:rsidR="00310E1F" w:rsidRPr="004E5612" w:rsidRDefault="00310E1F" w:rsidP="00310E1F">
      <w:pPr>
        <w:spacing w:after="240" w:line="360" w:lineRule="auto"/>
        <w:jc w:val="both"/>
        <w:rPr>
          <w:rFonts w:cs="Arial"/>
          <w:sz w:val="22"/>
          <w:szCs w:val="22"/>
          <w:lang w:eastAsia="en-GB"/>
        </w:rPr>
      </w:pPr>
      <w:r w:rsidRPr="004E5612">
        <w:rPr>
          <w:rFonts w:cs="Arial"/>
          <w:b/>
          <w:bCs/>
          <w:sz w:val="22"/>
          <w:szCs w:val="22"/>
          <w:lang w:eastAsia="en-GB"/>
        </w:rPr>
        <w:t>Acknowledgements</w:t>
      </w:r>
      <w:r w:rsidRPr="004E5612">
        <w:rPr>
          <w:rFonts w:cs="Arial"/>
          <w:bCs/>
          <w:sz w:val="22"/>
          <w:szCs w:val="22"/>
          <w:lang w:eastAsia="en-GB"/>
        </w:rPr>
        <w:t xml:space="preserve">: </w:t>
      </w:r>
      <w:r w:rsidRPr="004E5612">
        <w:rPr>
          <w:rFonts w:cs="Arial"/>
          <w:sz w:val="22"/>
          <w:szCs w:val="22"/>
        </w:rPr>
        <w:t>This study was supported financially by the University of Roehampton’s Vice-Chancellor’s Doctoral Scholarship</w:t>
      </w:r>
    </w:p>
    <w:p w14:paraId="36A87464" w14:textId="77777777" w:rsidR="00310E1F" w:rsidRPr="004E5612" w:rsidRDefault="00310E1F" w:rsidP="00310E1F">
      <w:pPr>
        <w:spacing w:after="240" w:line="360" w:lineRule="auto"/>
        <w:rPr>
          <w:rFonts w:cs="Arial"/>
          <w:b/>
          <w:sz w:val="22"/>
          <w:szCs w:val="22"/>
        </w:rPr>
      </w:pPr>
      <w:r w:rsidRPr="004E5612">
        <w:rPr>
          <w:rFonts w:cs="Arial"/>
          <w:b/>
          <w:sz w:val="22"/>
          <w:szCs w:val="22"/>
        </w:rPr>
        <w:t xml:space="preserve">Word count: </w:t>
      </w:r>
      <w:r>
        <w:rPr>
          <w:rFonts w:cs="Arial"/>
          <w:sz w:val="22"/>
          <w:szCs w:val="22"/>
        </w:rPr>
        <w:t>2955</w:t>
      </w:r>
    </w:p>
    <w:p w14:paraId="7785FB83" w14:textId="77777777" w:rsidR="00310E1F" w:rsidRPr="000208C6" w:rsidRDefault="00310E1F" w:rsidP="00310E1F">
      <w:pPr>
        <w:spacing w:after="240" w:line="360" w:lineRule="auto"/>
        <w:rPr>
          <w:rFonts w:cs="Arial"/>
          <w:bCs/>
          <w:sz w:val="22"/>
          <w:szCs w:val="22"/>
        </w:rPr>
      </w:pPr>
      <w:r w:rsidRPr="004E5612">
        <w:rPr>
          <w:rFonts w:cs="Arial"/>
          <w:b/>
          <w:sz w:val="22"/>
          <w:szCs w:val="22"/>
        </w:rPr>
        <w:t xml:space="preserve">Number of references: </w:t>
      </w:r>
      <w:r w:rsidRPr="004E5612">
        <w:rPr>
          <w:rFonts w:cs="Arial"/>
          <w:bCs/>
          <w:sz w:val="22"/>
          <w:szCs w:val="22"/>
        </w:rPr>
        <w:t>4</w:t>
      </w:r>
      <w:r>
        <w:rPr>
          <w:rFonts w:cs="Arial"/>
          <w:bCs/>
          <w:sz w:val="22"/>
          <w:szCs w:val="22"/>
        </w:rPr>
        <w:t>4</w:t>
      </w:r>
    </w:p>
    <w:p w14:paraId="31DFCDD7" w14:textId="77777777" w:rsidR="00310E1F" w:rsidRDefault="00310E1F">
      <w:pPr>
        <w:spacing w:after="160" w:line="259" w:lineRule="auto"/>
        <w:rPr>
          <w:rFonts w:eastAsiaTheme="majorEastAsia" w:cstheme="majorBidi"/>
          <w:b/>
          <w:color w:val="000000" w:themeColor="text1"/>
          <w:szCs w:val="32"/>
        </w:rPr>
      </w:pPr>
      <w:r>
        <w:br w:type="page"/>
      </w:r>
    </w:p>
    <w:p w14:paraId="54C85C5F" w14:textId="7B100D6B" w:rsidR="00733CF3" w:rsidRPr="003476E6" w:rsidRDefault="005C1DB1" w:rsidP="00320AA9">
      <w:pPr>
        <w:pStyle w:val="Heading1"/>
        <w:spacing w:line="360" w:lineRule="auto"/>
      </w:pPr>
      <w:r w:rsidRPr="003476E6">
        <w:lastRenderedPageBreak/>
        <w:t>Abstract</w:t>
      </w:r>
    </w:p>
    <w:p w14:paraId="6F7F7500" w14:textId="75287E4E" w:rsidR="003C0739" w:rsidRPr="003476E6" w:rsidRDefault="00F15B49" w:rsidP="00320AA9">
      <w:pPr>
        <w:autoSpaceDE w:val="0"/>
        <w:autoSpaceDN w:val="0"/>
        <w:adjustRightInd w:val="0"/>
        <w:spacing w:line="360" w:lineRule="auto"/>
        <w:jc w:val="both"/>
        <w:rPr>
          <w:rFonts w:cs="Arial"/>
          <w:b/>
          <w:spacing w:val="-2"/>
          <w:sz w:val="22"/>
          <w:szCs w:val="22"/>
        </w:rPr>
      </w:pPr>
      <w:r w:rsidRPr="003476E6">
        <w:rPr>
          <w:rFonts w:cs="Arial"/>
          <w:b/>
          <w:spacing w:val="-2"/>
          <w:sz w:val="22"/>
          <w:szCs w:val="22"/>
        </w:rPr>
        <w:t xml:space="preserve">Background – </w:t>
      </w:r>
      <w:bookmarkStart w:id="2" w:name="_Hlk58323998"/>
      <w:r w:rsidR="00025766" w:rsidRPr="003476E6">
        <w:rPr>
          <w:rFonts w:cs="Arial"/>
          <w:spacing w:val="-2"/>
          <w:sz w:val="22"/>
          <w:szCs w:val="22"/>
        </w:rPr>
        <w:t>I</w:t>
      </w:r>
      <w:r w:rsidRPr="003476E6">
        <w:rPr>
          <w:rFonts w:cs="Arial"/>
          <w:spacing w:val="-2"/>
          <w:sz w:val="22"/>
          <w:szCs w:val="22"/>
        </w:rPr>
        <w:t xml:space="preserve">ndividuals with unilateral transtibial amputations (ITTAs) </w:t>
      </w:r>
      <w:r w:rsidR="001E535B" w:rsidRPr="003476E6">
        <w:rPr>
          <w:rFonts w:cs="Arial"/>
          <w:bCs/>
          <w:color w:val="000000" w:themeColor="text1"/>
          <w:sz w:val="22"/>
          <w:szCs w:val="22"/>
          <w:lang w:eastAsia="en-GB"/>
        </w:rPr>
        <w:t>are</w:t>
      </w:r>
      <w:r w:rsidRPr="003476E6">
        <w:rPr>
          <w:rFonts w:cs="Arial"/>
          <w:bCs/>
          <w:color w:val="000000" w:themeColor="text1"/>
          <w:sz w:val="22"/>
          <w:szCs w:val="22"/>
          <w:lang w:eastAsia="en-GB"/>
        </w:rPr>
        <w:t xml:space="preserve"> asymmetrical</w:t>
      </w:r>
      <w:r w:rsidR="00F812A6" w:rsidRPr="003476E6">
        <w:rPr>
          <w:rFonts w:cs="Arial"/>
          <w:bCs/>
          <w:color w:val="000000" w:themeColor="text1"/>
          <w:sz w:val="22"/>
          <w:szCs w:val="22"/>
          <w:lang w:eastAsia="en-GB"/>
        </w:rPr>
        <w:t xml:space="preserve"> in quadriceps strength</w:t>
      </w:r>
      <w:r w:rsidR="001A46C2" w:rsidRPr="003476E6">
        <w:rPr>
          <w:rFonts w:cs="Arial"/>
          <w:bCs/>
          <w:color w:val="000000" w:themeColor="text1"/>
          <w:sz w:val="22"/>
          <w:szCs w:val="22"/>
          <w:lang w:eastAsia="en-GB"/>
        </w:rPr>
        <w:t xml:space="preserve">. </w:t>
      </w:r>
      <w:bookmarkEnd w:id="2"/>
      <w:r w:rsidR="003C0739" w:rsidRPr="003476E6">
        <w:rPr>
          <w:rFonts w:cs="Arial"/>
          <w:bCs/>
          <w:sz w:val="22"/>
          <w:szCs w:val="22"/>
          <w:lang w:eastAsia="en-GB"/>
        </w:rPr>
        <w:t>It is unknown if this is associated with gait performance characteristics such as walking speed and limb symmetry.</w:t>
      </w:r>
      <w:r w:rsidR="003C0739" w:rsidRPr="003476E6">
        <w:rPr>
          <w:rFonts w:cs="Arial"/>
          <w:b/>
          <w:spacing w:val="-2"/>
          <w:sz w:val="22"/>
          <w:szCs w:val="22"/>
        </w:rPr>
        <w:t xml:space="preserve"> </w:t>
      </w:r>
    </w:p>
    <w:p w14:paraId="2242EDA6" w14:textId="5768EE01" w:rsidR="00F15B49" w:rsidRPr="003476E6" w:rsidRDefault="00F15B49" w:rsidP="00320AA9">
      <w:pPr>
        <w:autoSpaceDE w:val="0"/>
        <w:autoSpaceDN w:val="0"/>
        <w:adjustRightInd w:val="0"/>
        <w:spacing w:line="360" w:lineRule="auto"/>
        <w:jc w:val="both"/>
        <w:rPr>
          <w:rFonts w:cs="Arial"/>
          <w:b/>
          <w:spacing w:val="-2"/>
          <w:sz w:val="22"/>
          <w:szCs w:val="22"/>
        </w:rPr>
      </w:pPr>
      <w:r w:rsidRPr="003476E6">
        <w:rPr>
          <w:rFonts w:cs="Arial"/>
          <w:b/>
          <w:spacing w:val="-2"/>
          <w:sz w:val="22"/>
          <w:szCs w:val="22"/>
        </w:rPr>
        <w:t xml:space="preserve">Research Question – </w:t>
      </w:r>
      <w:r w:rsidRPr="003476E6">
        <w:rPr>
          <w:rFonts w:cs="Arial"/>
          <w:spacing w:val="-2"/>
          <w:sz w:val="22"/>
          <w:szCs w:val="22"/>
        </w:rPr>
        <w:t xml:space="preserve">Are </w:t>
      </w:r>
      <w:r w:rsidR="001E535B" w:rsidRPr="003476E6">
        <w:rPr>
          <w:rFonts w:cs="Arial"/>
          <w:spacing w:val="-2"/>
          <w:sz w:val="22"/>
          <w:szCs w:val="22"/>
        </w:rPr>
        <w:t xml:space="preserve">quadriceps </w:t>
      </w:r>
      <w:r w:rsidRPr="003476E6">
        <w:rPr>
          <w:rFonts w:cs="Arial"/>
          <w:spacing w:val="-2"/>
          <w:sz w:val="22"/>
          <w:szCs w:val="22"/>
        </w:rPr>
        <w:t>strength asymmetries related to walking speed and</w:t>
      </w:r>
      <w:r w:rsidR="003E0EEF" w:rsidRPr="003476E6">
        <w:rPr>
          <w:rFonts w:cs="Arial"/>
          <w:spacing w:val="-2"/>
          <w:sz w:val="22"/>
          <w:szCs w:val="22"/>
        </w:rPr>
        <w:t>/ or</w:t>
      </w:r>
      <w:r w:rsidRPr="003476E6">
        <w:rPr>
          <w:rFonts w:cs="Arial"/>
          <w:spacing w:val="-2"/>
          <w:sz w:val="22"/>
          <w:szCs w:val="22"/>
        </w:rPr>
        <w:t xml:space="preserve"> gait asymmetries in ITTAs?</w:t>
      </w:r>
    </w:p>
    <w:p w14:paraId="7CA3C727" w14:textId="7E46F522" w:rsidR="00F15B49" w:rsidRPr="003476E6" w:rsidRDefault="00F15B49" w:rsidP="00320AA9">
      <w:pPr>
        <w:autoSpaceDE w:val="0"/>
        <w:autoSpaceDN w:val="0"/>
        <w:adjustRightInd w:val="0"/>
        <w:spacing w:line="360" w:lineRule="auto"/>
        <w:jc w:val="both"/>
        <w:rPr>
          <w:rFonts w:cs="Arial"/>
          <w:spacing w:val="-2"/>
          <w:sz w:val="22"/>
          <w:szCs w:val="22"/>
        </w:rPr>
      </w:pPr>
      <w:r w:rsidRPr="003476E6">
        <w:rPr>
          <w:rFonts w:cs="Arial"/>
          <w:b/>
          <w:spacing w:val="-2"/>
          <w:sz w:val="22"/>
          <w:szCs w:val="22"/>
        </w:rPr>
        <w:t>Methods</w:t>
      </w:r>
      <w:r w:rsidR="00A84561" w:rsidRPr="003476E6">
        <w:rPr>
          <w:rFonts w:cs="Arial"/>
          <w:b/>
          <w:spacing w:val="-2"/>
          <w:sz w:val="22"/>
          <w:szCs w:val="22"/>
        </w:rPr>
        <w:t xml:space="preserve"> </w:t>
      </w:r>
      <w:r w:rsidR="00093CE9" w:rsidRPr="003476E6">
        <w:rPr>
          <w:rFonts w:cs="Arial"/>
          <w:b/>
          <w:spacing w:val="-2"/>
          <w:sz w:val="22"/>
          <w:szCs w:val="22"/>
        </w:rPr>
        <w:t>–</w:t>
      </w:r>
      <w:r w:rsidR="00A84561" w:rsidRPr="003476E6">
        <w:rPr>
          <w:rFonts w:cs="Arial"/>
          <w:b/>
          <w:spacing w:val="-2"/>
          <w:sz w:val="22"/>
          <w:szCs w:val="22"/>
        </w:rPr>
        <w:t xml:space="preserve"> </w:t>
      </w:r>
      <w:r w:rsidR="004E4041" w:rsidRPr="003476E6">
        <w:rPr>
          <w:rFonts w:cs="Arial"/>
          <w:spacing w:val="-2"/>
          <w:sz w:val="22"/>
          <w:szCs w:val="22"/>
        </w:rPr>
        <w:t>Knee-extensor i</w:t>
      </w:r>
      <w:r w:rsidR="001E535B" w:rsidRPr="003476E6">
        <w:rPr>
          <w:rFonts w:cs="Arial"/>
          <w:spacing w:val="-2"/>
          <w:sz w:val="22"/>
          <w:szCs w:val="22"/>
        </w:rPr>
        <w:t>sometric</w:t>
      </w:r>
      <w:r w:rsidR="001E535B" w:rsidRPr="003476E6">
        <w:rPr>
          <w:rFonts w:cs="Arial"/>
          <w:b/>
          <w:spacing w:val="-2"/>
          <w:sz w:val="22"/>
          <w:szCs w:val="22"/>
        </w:rPr>
        <w:t xml:space="preserve"> </w:t>
      </w:r>
      <w:r w:rsidR="004E4041" w:rsidRPr="003476E6">
        <w:rPr>
          <w:rFonts w:cs="Arial"/>
          <w:spacing w:val="-2"/>
          <w:sz w:val="22"/>
          <w:szCs w:val="22"/>
        </w:rPr>
        <w:t>maximum voluntary torque (MVT)</w:t>
      </w:r>
      <w:r w:rsidR="001E535B" w:rsidRPr="003476E6">
        <w:rPr>
          <w:rFonts w:cs="Arial"/>
          <w:spacing w:val="-2"/>
          <w:sz w:val="22"/>
          <w:szCs w:val="22"/>
        </w:rPr>
        <w:t xml:space="preserve"> and </w:t>
      </w:r>
      <w:r w:rsidR="004E4041" w:rsidRPr="003476E6">
        <w:rPr>
          <w:rFonts w:cs="Arial"/>
          <w:spacing w:val="-2"/>
          <w:sz w:val="22"/>
          <w:szCs w:val="22"/>
        </w:rPr>
        <w:t xml:space="preserve">rate of torque development (RTD) </w:t>
      </w:r>
      <w:r w:rsidR="001E535B" w:rsidRPr="003476E6">
        <w:rPr>
          <w:rFonts w:cs="Arial"/>
          <w:spacing w:val="-2"/>
          <w:sz w:val="22"/>
          <w:szCs w:val="22"/>
        </w:rPr>
        <w:t xml:space="preserve">were measured in </w:t>
      </w:r>
      <w:r w:rsidR="00093CE9" w:rsidRPr="003476E6">
        <w:rPr>
          <w:rFonts w:cs="Arial"/>
          <w:spacing w:val="-2"/>
          <w:sz w:val="22"/>
          <w:szCs w:val="22"/>
        </w:rPr>
        <w:t>e</w:t>
      </w:r>
      <w:r w:rsidR="00A84561" w:rsidRPr="003476E6">
        <w:rPr>
          <w:rFonts w:cs="Arial"/>
          <w:sz w:val="22"/>
          <w:szCs w:val="22"/>
        </w:rPr>
        <w:t>ight ITTAs</w:t>
      </w:r>
      <w:r w:rsidR="00A84561" w:rsidRPr="003476E6">
        <w:rPr>
          <w:rFonts w:cs="Arial"/>
          <w:bCs/>
          <w:sz w:val="22"/>
          <w:szCs w:val="22"/>
        </w:rPr>
        <w:t>.</w:t>
      </w:r>
      <w:r w:rsidR="00093CE9" w:rsidRPr="003476E6">
        <w:rPr>
          <w:rFonts w:cs="Arial"/>
          <w:bCs/>
          <w:sz w:val="22"/>
          <w:szCs w:val="22"/>
        </w:rPr>
        <w:t xml:space="preserve"> Gait data were captured as the ITTAs walked at self-selected habitual and fast speeds.</w:t>
      </w:r>
      <w:r w:rsidR="00093CE9" w:rsidRPr="003476E6">
        <w:rPr>
          <w:rFonts w:cs="Arial"/>
          <w:sz w:val="22"/>
          <w:szCs w:val="22"/>
        </w:rPr>
        <w:t xml:space="preserve"> Step length and single support time, peak knee extension moments</w:t>
      </w:r>
      <w:r w:rsidR="00BD1FCA" w:rsidRPr="003476E6">
        <w:rPr>
          <w:rFonts w:cs="Arial"/>
          <w:sz w:val="22"/>
          <w:szCs w:val="22"/>
        </w:rPr>
        <w:t xml:space="preserve"> and their</w:t>
      </w:r>
      <w:r w:rsidR="00093CE9" w:rsidRPr="003476E6">
        <w:rPr>
          <w:rFonts w:cs="Arial"/>
          <w:sz w:val="22"/>
          <w:szCs w:val="22"/>
        </w:rPr>
        <w:t xml:space="preserve"> impulse and </w:t>
      </w:r>
      <w:r w:rsidR="006B4136" w:rsidRPr="003476E6">
        <w:rPr>
          <w:rFonts w:cs="Arial"/>
          <w:sz w:val="22"/>
          <w:szCs w:val="22"/>
        </w:rPr>
        <w:t xml:space="preserve">peak </w:t>
      </w:r>
      <w:r w:rsidR="00093CE9" w:rsidRPr="003476E6">
        <w:rPr>
          <w:rFonts w:cs="Arial"/>
          <w:sz w:val="22"/>
          <w:szCs w:val="22"/>
        </w:rPr>
        <w:t xml:space="preserve">vertical ground reaction force (vGRF) in the braking and propulsive phases of stance were extracted. Bilateral Asymmetry Index (BAI) </w:t>
      </w:r>
      <w:r w:rsidR="00E05D89" w:rsidRPr="003476E6">
        <w:rPr>
          <w:rFonts w:cs="Arial"/>
          <w:sz w:val="22"/>
          <w:szCs w:val="22"/>
        </w:rPr>
        <w:t xml:space="preserve">and, for gait variables only, difference in BAI between walking speeds (ΔBAI) were calculated. </w:t>
      </w:r>
      <w:r w:rsidR="00682C4C" w:rsidRPr="003476E6">
        <w:rPr>
          <w:rFonts w:cs="Arial"/>
          <w:sz w:val="22"/>
          <w:szCs w:val="22"/>
        </w:rPr>
        <w:t>C</w:t>
      </w:r>
      <w:r w:rsidR="00817A19" w:rsidRPr="003476E6">
        <w:rPr>
          <w:rFonts w:cs="Arial"/>
          <w:sz w:val="22"/>
          <w:szCs w:val="22"/>
        </w:rPr>
        <w:t>orrelation analyses assessed the relationships between</w:t>
      </w:r>
      <w:r w:rsidR="001A46C2" w:rsidRPr="003476E6">
        <w:rPr>
          <w:rFonts w:cs="Arial"/>
          <w:sz w:val="22"/>
          <w:szCs w:val="22"/>
        </w:rPr>
        <w:t xml:space="preserve"> MVT and RTD</w:t>
      </w:r>
      <w:r w:rsidR="00817A19" w:rsidRPr="003476E6">
        <w:rPr>
          <w:rFonts w:cs="Arial"/>
          <w:sz w:val="22"/>
          <w:szCs w:val="22"/>
        </w:rPr>
        <w:t xml:space="preserve"> asymmetry and (1) walking speed; (2) gait asymmetries.</w:t>
      </w:r>
    </w:p>
    <w:p w14:paraId="321C18CE" w14:textId="6C05BCC7" w:rsidR="00F15B49" w:rsidRPr="003476E6" w:rsidRDefault="00F15B49" w:rsidP="00320AA9">
      <w:pPr>
        <w:autoSpaceDE w:val="0"/>
        <w:autoSpaceDN w:val="0"/>
        <w:adjustRightInd w:val="0"/>
        <w:spacing w:line="360" w:lineRule="auto"/>
        <w:jc w:val="both"/>
        <w:rPr>
          <w:rFonts w:cs="Arial"/>
          <w:spacing w:val="-2"/>
          <w:sz w:val="22"/>
          <w:szCs w:val="22"/>
        </w:rPr>
      </w:pPr>
      <w:r w:rsidRPr="003476E6">
        <w:rPr>
          <w:rFonts w:cs="Arial"/>
          <w:b/>
          <w:spacing w:val="-2"/>
          <w:sz w:val="22"/>
          <w:szCs w:val="22"/>
        </w:rPr>
        <w:t>Results</w:t>
      </w:r>
      <w:r w:rsidR="00304A8A" w:rsidRPr="003476E6">
        <w:rPr>
          <w:rFonts w:cs="Arial"/>
          <w:b/>
          <w:spacing w:val="-2"/>
          <w:sz w:val="22"/>
          <w:szCs w:val="22"/>
        </w:rPr>
        <w:t xml:space="preserve"> –</w:t>
      </w:r>
      <w:r w:rsidR="00137DEB" w:rsidRPr="003476E6">
        <w:rPr>
          <w:rFonts w:cs="Arial"/>
          <w:spacing w:val="-2"/>
          <w:sz w:val="22"/>
          <w:szCs w:val="22"/>
        </w:rPr>
        <w:t xml:space="preserve"> </w:t>
      </w:r>
      <w:r w:rsidR="00391FCB" w:rsidRPr="003476E6">
        <w:rPr>
          <w:rFonts w:cs="Arial"/>
          <w:spacing w:val="-2"/>
          <w:sz w:val="22"/>
          <w:szCs w:val="22"/>
        </w:rPr>
        <w:t xml:space="preserve">Associations between strength and gait BAIs generally became more apparent at faster walking speeds, and when the difference in BAI </w:t>
      </w:r>
      <w:r w:rsidR="0087719A" w:rsidRPr="003476E6">
        <w:rPr>
          <w:rFonts w:cs="Arial"/>
          <w:spacing w:val="-2"/>
          <w:sz w:val="22"/>
          <w:szCs w:val="22"/>
        </w:rPr>
        <w:t xml:space="preserve">between fast and habitual </w:t>
      </w:r>
      <w:r w:rsidR="00391FCB" w:rsidRPr="003476E6">
        <w:rPr>
          <w:rFonts w:cs="Arial"/>
          <w:spacing w:val="-2"/>
          <w:sz w:val="22"/>
          <w:szCs w:val="22"/>
        </w:rPr>
        <w:t xml:space="preserve">walking speed was considered.  </w:t>
      </w:r>
      <w:r w:rsidR="00F85DBD" w:rsidRPr="003476E6">
        <w:rPr>
          <w:rFonts w:cs="Arial"/>
          <w:spacing w:val="-2"/>
          <w:sz w:val="22"/>
          <w:szCs w:val="22"/>
        </w:rPr>
        <w:t xml:space="preserve">BAI </w:t>
      </w:r>
      <w:r w:rsidR="00F812A6" w:rsidRPr="003476E6">
        <w:rPr>
          <w:rFonts w:cs="Arial"/>
          <w:spacing w:val="-2"/>
          <w:sz w:val="22"/>
          <w:szCs w:val="22"/>
        </w:rPr>
        <w:t>RTD</w:t>
      </w:r>
      <w:r w:rsidR="00CC558D" w:rsidRPr="003476E6">
        <w:rPr>
          <w:rFonts w:cs="Arial"/>
          <w:spacing w:val="-2"/>
          <w:sz w:val="22"/>
          <w:szCs w:val="22"/>
        </w:rPr>
        <w:t xml:space="preserve"> was </w:t>
      </w:r>
      <w:r w:rsidR="00162BFE" w:rsidRPr="003476E6">
        <w:rPr>
          <w:rFonts w:cs="Arial"/>
          <w:spacing w:val="-2"/>
          <w:sz w:val="22"/>
          <w:szCs w:val="22"/>
        </w:rPr>
        <w:t xml:space="preserve">strongly </w:t>
      </w:r>
      <w:r w:rsidR="004D4E17" w:rsidRPr="003476E6">
        <w:rPr>
          <w:rFonts w:cs="Arial"/>
          <w:spacing w:val="-2"/>
          <w:sz w:val="22"/>
          <w:szCs w:val="22"/>
        </w:rPr>
        <w:t xml:space="preserve">negatively </w:t>
      </w:r>
      <w:r w:rsidR="00162BFE" w:rsidRPr="003476E6">
        <w:rPr>
          <w:rFonts w:cs="Arial"/>
          <w:spacing w:val="-2"/>
          <w:sz w:val="22"/>
          <w:szCs w:val="22"/>
        </w:rPr>
        <w:t>correlated with</w:t>
      </w:r>
      <w:r w:rsidR="003B148B" w:rsidRPr="003476E6">
        <w:rPr>
          <w:rFonts w:cs="Arial"/>
          <w:spacing w:val="-2"/>
          <w:sz w:val="22"/>
          <w:szCs w:val="22"/>
        </w:rPr>
        <w:t xml:space="preserve"> habitual and</w:t>
      </w:r>
      <w:r w:rsidR="00E05D89" w:rsidRPr="003476E6">
        <w:rPr>
          <w:rFonts w:cs="Arial"/>
          <w:spacing w:val="-2"/>
          <w:sz w:val="22"/>
          <w:szCs w:val="22"/>
        </w:rPr>
        <w:t xml:space="preserve"> fast</w:t>
      </w:r>
      <w:r w:rsidR="00CC558D" w:rsidRPr="003476E6">
        <w:rPr>
          <w:rFonts w:cs="Arial"/>
          <w:spacing w:val="-2"/>
          <w:sz w:val="22"/>
          <w:szCs w:val="22"/>
        </w:rPr>
        <w:t xml:space="preserve"> walking speed</w:t>
      </w:r>
      <w:r w:rsidR="003B148B" w:rsidRPr="003476E6">
        <w:rPr>
          <w:rFonts w:cs="Arial"/>
          <w:spacing w:val="-2"/>
          <w:sz w:val="22"/>
          <w:szCs w:val="22"/>
        </w:rPr>
        <w:t>s</w:t>
      </w:r>
      <w:r w:rsidR="00CC558D" w:rsidRPr="003476E6">
        <w:rPr>
          <w:rFonts w:cs="Arial"/>
          <w:spacing w:val="-2"/>
          <w:sz w:val="22"/>
          <w:szCs w:val="22"/>
        </w:rPr>
        <w:t xml:space="preserve"> (r=~0.83). </w:t>
      </w:r>
      <w:r w:rsidR="003B148B" w:rsidRPr="003476E6">
        <w:rPr>
          <w:rFonts w:cs="Arial"/>
          <w:spacing w:val="-2"/>
          <w:sz w:val="22"/>
          <w:szCs w:val="22"/>
        </w:rPr>
        <w:t xml:space="preserve">Larger BAI RTD was strongly correlated with propulsive vGRF BAI in fast walking, and larger </w:t>
      </w:r>
      <w:r w:rsidR="003B148B" w:rsidRPr="003476E6">
        <w:rPr>
          <w:rFonts w:cs="Arial"/>
          <w:sz w:val="22"/>
          <w:szCs w:val="22"/>
        </w:rPr>
        <w:t>Δ</w:t>
      </w:r>
      <w:r w:rsidR="003B148B" w:rsidRPr="003476E6">
        <w:rPr>
          <w:rFonts w:cs="Arial"/>
          <w:spacing w:val="-2"/>
          <w:sz w:val="22"/>
          <w:szCs w:val="22"/>
        </w:rPr>
        <w:t>BAIs in vGRF during both the braking and propulsion phases of gait (r=0.74</w:t>
      </w:r>
      <w:r w:rsidR="003B148B" w:rsidRPr="003476E6">
        <w:rPr>
          <w:rFonts w:cs="Arial"/>
          <w:color w:val="000000"/>
          <w:sz w:val="22"/>
          <w:szCs w:val="22"/>
          <w:shd w:val="clear" w:color="auto" w:fill="FFFFFF"/>
        </w:rPr>
        <w:t>–</w:t>
      </w:r>
      <w:r w:rsidR="003B148B" w:rsidRPr="003476E6">
        <w:rPr>
          <w:rFonts w:cs="Arial"/>
          <w:spacing w:val="-2"/>
          <w:sz w:val="22"/>
          <w:szCs w:val="22"/>
        </w:rPr>
        <w:t xml:space="preserve">0.92). </w:t>
      </w:r>
      <w:r w:rsidR="00CC558D" w:rsidRPr="003476E6">
        <w:rPr>
          <w:rFonts w:cs="Arial"/>
          <w:spacing w:val="-2"/>
          <w:sz w:val="22"/>
          <w:szCs w:val="22"/>
        </w:rPr>
        <w:t xml:space="preserve">ITTAs who exhibited greater </w:t>
      </w:r>
      <w:r w:rsidR="000145E2" w:rsidRPr="003476E6">
        <w:rPr>
          <w:rFonts w:cs="Arial"/>
          <w:spacing w:val="-2"/>
          <w:sz w:val="22"/>
          <w:szCs w:val="22"/>
        </w:rPr>
        <w:t>BAI</w:t>
      </w:r>
      <w:r w:rsidR="00137DEB" w:rsidRPr="003476E6">
        <w:rPr>
          <w:rFonts w:cs="Arial"/>
          <w:spacing w:val="-2"/>
          <w:sz w:val="22"/>
          <w:szCs w:val="22"/>
        </w:rPr>
        <w:t xml:space="preserve"> MVT</w:t>
      </w:r>
      <w:r w:rsidR="000145E2" w:rsidRPr="003476E6">
        <w:rPr>
          <w:rFonts w:cs="Arial"/>
          <w:spacing w:val="-2"/>
          <w:sz w:val="22"/>
          <w:szCs w:val="22"/>
        </w:rPr>
        <w:t xml:space="preserve"> </w:t>
      </w:r>
      <w:r w:rsidR="00CC558D" w:rsidRPr="003476E6">
        <w:rPr>
          <w:rFonts w:cs="Arial"/>
          <w:spacing w:val="-2"/>
          <w:sz w:val="22"/>
          <w:szCs w:val="22"/>
        </w:rPr>
        <w:t xml:space="preserve">showed greater </w:t>
      </w:r>
      <w:r w:rsidR="00391FCB" w:rsidRPr="003476E6">
        <w:rPr>
          <w:rFonts w:cs="Arial"/>
          <w:sz w:val="22"/>
          <w:szCs w:val="22"/>
        </w:rPr>
        <w:t>Δ</w:t>
      </w:r>
      <w:r w:rsidR="000145E2" w:rsidRPr="003476E6">
        <w:rPr>
          <w:rFonts w:cs="Arial"/>
          <w:spacing w:val="-2"/>
          <w:sz w:val="22"/>
          <w:szCs w:val="22"/>
        </w:rPr>
        <w:t>BAI</w:t>
      </w:r>
      <w:r w:rsidR="00CC558D" w:rsidRPr="003476E6">
        <w:rPr>
          <w:rFonts w:cs="Arial"/>
          <w:spacing w:val="-2"/>
          <w:sz w:val="22"/>
          <w:szCs w:val="22"/>
        </w:rPr>
        <w:t xml:space="preserve"> in single support time</w:t>
      </w:r>
      <w:r w:rsidR="00137DEB" w:rsidRPr="003476E6">
        <w:rPr>
          <w:rFonts w:cs="Arial"/>
          <w:spacing w:val="-2"/>
          <w:sz w:val="22"/>
          <w:szCs w:val="22"/>
        </w:rPr>
        <w:t xml:space="preserve"> (r=0.83)</w:t>
      </w:r>
      <w:r w:rsidR="003B148B" w:rsidRPr="003476E6">
        <w:rPr>
          <w:rFonts w:cs="Arial"/>
          <w:spacing w:val="-2"/>
          <w:sz w:val="22"/>
          <w:szCs w:val="22"/>
        </w:rPr>
        <w:t>.</w:t>
      </w:r>
      <w:r w:rsidR="00137DEB" w:rsidRPr="003476E6">
        <w:rPr>
          <w:rFonts w:cs="Arial"/>
          <w:spacing w:val="-2"/>
          <w:sz w:val="22"/>
          <w:szCs w:val="22"/>
        </w:rPr>
        <w:t xml:space="preserve"> </w:t>
      </w:r>
    </w:p>
    <w:p w14:paraId="7AF07791" w14:textId="1F1F7C6E" w:rsidR="00BE4DB1" w:rsidRPr="003476E6" w:rsidRDefault="00F15B49" w:rsidP="00320AA9">
      <w:pPr>
        <w:autoSpaceDE w:val="0"/>
        <w:autoSpaceDN w:val="0"/>
        <w:adjustRightInd w:val="0"/>
        <w:spacing w:line="360" w:lineRule="auto"/>
        <w:jc w:val="both"/>
        <w:rPr>
          <w:rFonts w:cs="Arial"/>
          <w:b/>
          <w:spacing w:val="-2"/>
          <w:sz w:val="22"/>
          <w:szCs w:val="22"/>
        </w:rPr>
      </w:pPr>
      <w:r w:rsidRPr="003476E6">
        <w:rPr>
          <w:rFonts w:cs="Arial"/>
          <w:b/>
          <w:spacing w:val="-2"/>
          <w:sz w:val="22"/>
          <w:szCs w:val="22"/>
        </w:rPr>
        <w:t>Significance</w:t>
      </w:r>
      <w:r w:rsidR="00BE4DB1" w:rsidRPr="003476E6">
        <w:rPr>
          <w:rFonts w:cs="Arial"/>
          <w:b/>
          <w:spacing w:val="-2"/>
          <w:sz w:val="22"/>
          <w:szCs w:val="22"/>
        </w:rPr>
        <w:t xml:space="preserve"> – </w:t>
      </w:r>
      <w:r w:rsidR="00025766" w:rsidRPr="003476E6">
        <w:rPr>
          <w:rFonts w:cs="Arial"/>
          <w:bCs/>
          <w:spacing w:val="-2"/>
          <w:sz w:val="22"/>
          <w:szCs w:val="22"/>
        </w:rPr>
        <w:t>W</w:t>
      </w:r>
      <w:r w:rsidR="00BE4DB1" w:rsidRPr="003476E6">
        <w:rPr>
          <w:rFonts w:cs="Arial"/>
          <w:spacing w:val="-2"/>
          <w:sz w:val="22"/>
          <w:szCs w:val="22"/>
        </w:rPr>
        <w:t xml:space="preserve">hile </w:t>
      </w:r>
      <w:r w:rsidR="00F406E3" w:rsidRPr="003476E6">
        <w:rPr>
          <w:rFonts w:cs="Arial"/>
          <w:spacing w:val="-2"/>
          <w:sz w:val="22"/>
          <w:szCs w:val="22"/>
        </w:rPr>
        <w:t xml:space="preserve">MVT and RTD </w:t>
      </w:r>
      <w:r w:rsidR="00BE4DB1" w:rsidRPr="003476E6">
        <w:rPr>
          <w:rFonts w:cs="Arial"/>
          <w:spacing w:val="-2"/>
          <w:sz w:val="22"/>
          <w:szCs w:val="22"/>
        </w:rPr>
        <w:t xml:space="preserve">BAI appear to be associated with </w:t>
      </w:r>
      <w:r w:rsidR="0021556B" w:rsidRPr="003476E6">
        <w:rPr>
          <w:rFonts w:cs="Arial"/>
          <w:spacing w:val="-2"/>
          <w:sz w:val="22"/>
          <w:szCs w:val="22"/>
        </w:rPr>
        <w:t>gait</w:t>
      </w:r>
      <w:r w:rsidR="00BE4DB1" w:rsidRPr="003476E6">
        <w:rPr>
          <w:rFonts w:cs="Arial"/>
          <w:spacing w:val="-2"/>
          <w:sz w:val="22"/>
          <w:szCs w:val="22"/>
        </w:rPr>
        <w:t xml:space="preserve"> asymmetries in ITTAs, t</w:t>
      </w:r>
      <w:r w:rsidR="00BE4DB1" w:rsidRPr="003476E6">
        <w:rPr>
          <w:rFonts w:cs="Arial"/>
          <w:bCs/>
          <w:sz w:val="22"/>
          <w:szCs w:val="22"/>
        </w:rPr>
        <w:t xml:space="preserve">he magnitude of the asymmetry in </w:t>
      </w:r>
      <w:r w:rsidR="00F406E3" w:rsidRPr="003476E6">
        <w:rPr>
          <w:rFonts w:cs="Arial"/>
          <w:bCs/>
          <w:sz w:val="22"/>
          <w:szCs w:val="22"/>
        </w:rPr>
        <w:t>RTD</w:t>
      </w:r>
      <w:r w:rsidR="00BE4DB1" w:rsidRPr="003476E6">
        <w:rPr>
          <w:rFonts w:cs="Arial"/>
          <w:bCs/>
          <w:sz w:val="22"/>
          <w:szCs w:val="22"/>
        </w:rPr>
        <w:t xml:space="preserve"> appears to be</w:t>
      </w:r>
      <w:r w:rsidR="00BE4DB1" w:rsidRPr="003476E6">
        <w:rPr>
          <w:rFonts w:cs="Arial"/>
          <w:sz w:val="22"/>
          <w:szCs w:val="22"/>
        </w:rPr>
        <w:t xml:space="preserve"> a more sensitive marker of </w:t>
      </w:r>
      <w:r w:rsidR="00BD1FCA" w:rsidRPr="003476E6">
        <w:rPr>
          <w:rFonts w:cs="Arial"/>
          <w:sz w:val="22"/>
          <w:szCs w:val="22"/>
        </w:rPr>
        <w:t>walking speed</w:t>
      </w:r>
      <w:r w:rsidR="003E0EEF" w:rsidRPr="003476E6">
        <w:rPr>
          <w:rFonts w:cs="Arial"/>
          <w:bCs/>
          <w:sz w:val="22"/>
          <w:szCs w:val="22"/>
        </w:rPr>
        <w:t xml:space="preserve">. </w:t>
      </w:r>
      <w:r w:rsidR="0087719A" w:rsidRPr="003476E6">
        <w:rPr>
          <w:rFonts w:cs="Arial"/>
          <w:bCs/>
          <w:sz w:val="22"/>
          <w:szCs w:val="22"/>
        </w:rPr>
        <w:t>Based on these results, it’s possible that strengthening the knee</w:t>
      </w:r>
      <w:r w:rsidR="00F81D10" w:rsidRPr="003476E6">
        <w:rPr>
          <w:rFonts w:cs="Arial"/>
          <w:bCs/>
          <w:sz w:val="22"/>
          <w:szCs w:val="22"/>
        </w:rPr>
        <w:t>-</w:t>
      </w:r>
      <w:r w:rsidR="0087719A" w:rsidRPr="003476E6">
        <w:rPr>
          <w:rFonts w:cs="Arial"/>
          <w:bCs/>
          <w:sz w:val="22"/>
          <w:szCs w:val="22"/>
        </w:rPr>
        <w:t>extensors of the amputated</w:t>
      </w:r>
      <w:r w:rsidR="006F4410" w:rsidRPr="003476E6">
        <w:rPr>
          <w:rFonts w:cs="Arial"/>
          <w:bCs/>
          <w:sz w:val="22"/>
          <w:szCs w:val="22"/>
        </w:rPr>
        <w:t xml:space="preserve"> </w:t>
      </w:r>
      <w:r w:rsidR="0087719A" w:rsidRPr="003476E6">
        <w:rPr>
          <w:rFonts w:cs="Arial"/>
          <w:bCs/>
          <w:sz w:val="22"/>
          <w:szCs w:val="22"/>
        </w:rPr>
        <w:t xml:space="preserve">limb </w:t>
      </w:r>
      <w:r w:rsidR="00BE4DB1" w:rsidRPr="003476E6">
        <w:rPr>
          <w:rFonts w:cs="Arial"/>
          <w:sz w:val="22"/>
          <w:szCs w:val="22"/>
        </w:rPr>
        <w:t xml:space="preserve">to improve both </w:t>
      </w:r>
      <w:r w:rsidR="00F406E3" w:rsidRPr="003476E6">
        <w:rPr>
          <w:rFonts w:cs="Arial"/>
          <w:sz w:val="22"/>
          <w:szCs w:val="22"/>
        </w:rPr>
        <w:t>MVT</w:t>
      </w:r>
      <w:r w:rsidR="00BE4DB1" w:rsidRPr="003476E6">
        <w:rPr>
          <w:rFonts w:cs="Arial"/>
          <w:sz w:val="22"/>
          <w:szCs w:val="22"/>
        </w:rPr>
        <w:t xml:space="preserve"> and </w:t>
      </w:r>
      <w:r w:rsidR="00F406E3" w:rsidRPr="003476E6">
        <w:rPr>
          <w:rFonts w:cs="Arial"/>
          <w:sz w:val="22"/>
          <w:szCs w:val="22"/>
        </w:rPr>
        <w:t>RTD</w:t>
      </w:r>
      <w:r w:rsidR="00BE4DB1" w:rsidRPr="003476E6">
        <w:rPr>
          <w:rFonts w:cs="Arial"/>
          <w:sz w:val="22"/>
          <w:szCs w:val="22"/>
        </w:rPr>
        <w:t xml:space="preserve"> symmetry </w:t>
      </w:r>
      <w:r w:rsidR="0087719A" w:rsidRPr="003476E6">
        <w:rPr>
          <w:rFonts w:cs="Arial"/>
          <w:sz w:val="22"/>
          <w:szCs w:val="22"/>
        </w:rPr>
        <w:t xml:space="preserve">may benefit </w:t>
      </w:r>
      <w:r w:rsidR="00BE4DB1" w:rsidRPr="003476E6">
        <w:rPr>
          <w:rFonts w:cs="Arial"/>
          <w:sz w:val="22"/>
          <w:szCs w:val="22"/>
        </w:rPr>
        <w:t xml:space="preserve">walking </w:t>
      </w:r>
      <w:proofErr w:type="gramStart"/>
      <w:r w:rsidR="00BE4DB1" w:rsidRPr="003476E6">
        <w:rPr>
          <w:rFonts w:cs="Arial"/>
          <w:sz w:val="22"/>
          <w:szCs w:val="22"/>
        </w:rPr>
        <w:t>speed</w:t>
      </w:r>
      <w:r w:rsidR="0087719A" w:rsidRPr="003476E6">
        <w:rPr>
          <w:rFonts w:cs="Arial"/>
          <w:sz w:val="22"/>
          <w:szCs w:val="22"/>
        </w:rPr>
        <w:t>, and</w:t>
      </w:r>
      <w:proofErr w:type="gramEnd"/>
      <w:r w:rsidR="0087719A" w:rsidRPr="003476E6">
        <w:rPr>
          <w:rFonts w:cs="Arial"/>
          <w:sz w:val="22"/>
          <w:szCs w:val="22"/>
        </w:rPr>
        <w:t xml:space="preserve"> </w:t>
      </w:r>
      <w:r w:rsidR="003E0EEF" w:rsidRPr="003476E6">
        <w:rPr>
          <w:rFonts w:cs="Arial"/>
          <w:sz w:val="22"/>
          <w:szCs w:val="22"/>
        </w:rPr>
        <w:t>reduce</w:t>
      </w:r>
      <w:r w:rsidR="00BE4DB1" w:rsidRPr="003476E6">
        <w:rPr>
          <w:rFonts w:cs="Arial"/>
          <w:sz w:val="22"/>
          <w:szCs w:val="22"/>
        </w:rPr>
        <w:t xml:space="preserve"> asymmetrical loading </w:t>
      </w:r>
      <w:r w:rsidR="0087719A" w:rsidRPr="003476E6">
        <w:rPr>
          <w:rFonts w:cs="Arial"/>
          <w:sz w:val="22"/>
          <w:szCs w:val="22"/>
        </w:rPr>
        <w:t>in gait</w:t>
      </w:r>
      <w:r w:rsidR="003E0EEF" w:rsidRPr="003476E6">
        <w:rPr>
          <w:rFonts w:cs="Arial"/>
          <w:sz w:val="22"/>
          <w:szCs w:val="22"/>
        </w:rPr>
        <w:t>.</w:t>
      </w:r>
    </w:p>
    <w:p w14:paraId="65022B0E" w14:textId="77777777" w:rsidR="00B246FC" w:rsidRPr="003476E6" w:rsidRDefault="00B246FC" w:rsidP="00320AA9">
      <w:pPr>
        <w:autoSpaceDE w:val="0"/>
        <w:autoSpaceDN w:val="0"/>
        <w:adjustRightInd w:val="0"/>
        <w:spacing w:line="360" w:lineRule="auto"/>
        <w:jc w:val="right"/>
        <w:rPr>
          <w:rFonts w:cs="Arial"/>
          <w:b/>
          <w:spacing w:val="-2"/>
          <w:sz w:val="22"/>
          <w:szCs w:val="22"/>
        </w:rPr>
      </w:pPr>
    </w:p>
    <w:p w14:paraId="2CA5F547" w14:textId="1676274B" w:rsidR="008175EF" w:rsidRPr="003476E6" w:rsidRDefault="00B246FC" w:rsidP="00320AA9">
      <w:pPr>
        <w:spacing w:after="240" w:line="360" w:lineRule="auto"/>
        <w:jc w:val="both"/>
        <w:rPr>
          <w:rFonts w:cs="Arial"/>
          <w:sz w:val="22"/>
          <w:szCs w:val="22"/>
        </w:rPr>
      </w:pPr>
      <w:r w:rsidRPr="003476E6">
        <w:rPr>
          <w:rFonts w:cs="Arial"/>
          <w:b/>
          <w:sz w:val="22"/>
          <w:szCs w:val="22"/>
        </w:rPr>
        <w:t>Key words:</w:t>
      </w:r>
      <w:r w:rsidRPr="003476E6">
        <w:rPr>
          <w:rFonts w:cs="Arial"/>
          <w:sz w:val="22"/>
          <w:szCs w:val="22"/>
        </w:rPr>
        <w:t xml:space="preserve"> </w:t>
      </w:r>
      <w:r w:rsidR="00AC5354" w:rsidRPr="003476E6">
        <w:rPr>
          <w:rFonts w:cs="Arial"/>
          <w:sz w:val="22"/>
          <w:szCs w:val="22"/>
        </w:rPr>
        <w:t xml:space="preserve">maximum </w:t>
      </w:r>
      <w:r w:rsidR="00F406E3" w:rsidRPr="003476E6">
        <w:rPr>
          <w:rFonts w:cs="Arial"/>
          <w:sz w:val="22"/>
          <w:szCs w:val="22"/>
        </w:rPr>
        <w:t>voluntary torque</w:t>
      </w:r>
      <w:r w:rsidR="00AC5354" w:rsidRPr="003476E6">
        <w:rPr>
          <w:rFonts w:cs="Arial"/>
          <w:sz w:val="22"/>
          <w:szCs w:val="22"/>
        </w:rPr>
        <w:t xml:space="preserve">, </w:t>
      </w:r>
      <w:r w:rsidR="00F406E3" w:rsidRPr="003476E6">
        <w:rPr>
          <w:rFonts w:cs="Arial"/>
          <w:sz w:val="22"/>
          <w:szCs w:val="22"/>
        </w:rPr>
        <w:t>rate of torque development</w:t>
      </w:r>
      <w:r w:rsidR="00AC5354" w:rsidRPr="003476E6">
        <w:rPr>
          <w:rFonts w:cs="Arial"/>
          <w:sz w:val="22"/>
          <w:szCs w:val="22"/>
        </w:rPr>
        <w:t xml:space="preserve">, walking speed, gait </w:t>
      </w:r>
      <w:r w:rsidR="003B148B" w:rsidRPr="003476E6">
        <w:rPr>
          <w:rFonts w:cs="Arial"/>
          <w:sz w:val="22"/>
          <w:szCs w:val="22"/>
        </w:rPr>
        <w:t>mechanics</w:t>
      </w:r>
      <w:r w:rsidR="00AC5354" w:rsidRPr="003476E6">
        <w:rPr>
          <w:rFonts w:cs="Arial"/>
          <w:sz w:val="22"/>
          <w:szCs w:val="22"/>
        </w:rPr>
        <w:t>, loading</w:t>
      </w:r>
    </w:p>
    <w:p w14:paraId="64C6C57B" w14:textId="77777777" w:rsidR="000B1D9F" w:rsidRPr="003476E6" w:rsidRDefault="000B1D9F">
      <w:pPr>
        <w:spacing w:after="160" w:line="259" w:lineRule="auto"/>
        <w:rPr>
          <w:rFonts w:eastAsiaTheme="majorEastAsia" w:cstheme="majorBidi"/>
          <w:b/>
          <w:color w:val="000000" w:themeColor="text1"/>
          <w:szCs w:val="32"/>
        </w:rPr>
      </w:pPr>
      <w:r w:rsidRPr="003476E6">
        <w:br w:type="page"/>
      </w:r>
    </w:p>
    <w:p w14:paraId="77C5819D" w14:textId="0184F565" w:rsidR="00104279" w:rsidRPr="003476E6" w:rsidRDefault="00104279" w:rsidP="00964B8E">
      <w:pPr>
        <w:pStyle w:val="Heading1"/>
      </w:pPr>
      <w:r w:rsidRPr="003476E6">
        <w:lastRenderedPageBreak/>
        <w:t>Introduction</w:t>
      </w:r>
    </w:p>
    <w:p w14:paraId="704A9A43" w14:textId="5F172340" w:rsidR="00DB3F70" w:rsidRPr="003476E6" w:rsidRDefault="00DB3F70" w:rsidP="00DB3F70">
      <w:pPr>
        <w:spacing w:after="240" w:line="480" w:lineRule="auto"/>
        <w:jc w:val="both"/>
        <w:rPr>
          <w:rFonts w:cs="Arial"/>
          <w:b/>
          <w:bCs/>
          <w:sz w:val="22"/>
          <w:szCs w:val="22"/>
        </w:rPr>
      </w:pPr>
      <w:bookmarkStart w:id="3" w:name="_Hlk60652356"/>
      <w:r w:rsidRPr="003476E6">
        <w:rPr>
          <w:rFonts w:cs="Arial"/>
          <w:bCs/>
          <w:color w:val="000000" w:themeColor="text1"/>
          <w:sz w:val="22"/>
          <w:szCs w:val="22"/>
          <w:shd w:val="clear" w:color="auto" w:fill="FFFFFF"/>
        </w:rPr>
        <w:t xml:space="preserve">Muscle strength (the ability to produce force) can be measured as </w:t>
      </w:r>
      <w:r w:rsidRPr="003476E6">
        <w:rPr>
          <w:rFonts w:cs="Arial"/>
          <w:sz w:val="22"/>
          <w:szCs w:val="22"/>
        </w:rPr>
        <w:t xml:space="preserve">the peak/maximum voluntary joint torque (MVT) during </w:t>
      </w:r>
      <w:r w:rsidR="00F406E3" w:rsidRPr="003476E6">
        <w:rPr>
          <w:rFonts w:cs="Arial"/>
          <w:sz w:val="22"/>
          <w:szCs w:val="22"/>
        </w:rPr>
        <w:t xml:space="preserve">isometric </w:t>
      </w:r>
      <w:r w:rsidRPr="003476E6">
        <w:rPr>
          <w:rFonts w:cs="Arial"/>
          <w:sz w:val="22"/>
          <w:szCs w:val="22"/>
        </w:rPr>
        <w:t xml:space="preserve">maximum voluntary contractions (MVC), or as </w:t>
      </w:r>
      <w:r w:rsidRPr="003476E6">
        <w:rPr>
          <w:rFonts w:cs="Arial"/>
          <w:sz w:val="22"/>
          <w:szCs w:val="22"/>
          <w:shd w:val="clear" w:color="auto" w:fill="FCFCFC"/>
        </w:rPr>
        <w:t xml:space="preserve">rate of torque development (RTD) during rapid </w:t>
      </w:r>
      <w:r w:rsidR="00F406E3" w:rsidRPr="003476E6">
        <w:rPr>
          <w:rFonts w:cs="Arial"/>
          <w:sz w:val="22"/>
          <w:szCs w:val="22"/>
          <w:shd w:val="clear" w:color="auto" w:fill="FCFCFC"/>
        </w:rPr>
        <w:t xml:space="preserve">isometric </w:t>
      </w:r>
      <w:r w:rsidRPr="003476E6">
        <w:rPr>
          <w:rFonts w:cs="Arial"/>
          <w:sz w:val="22"/>
          <w:szCs w:val="22"/>
          <w:shd w:val="clear" w:color="auto" w:fill="FCFCFC"/>
        </w:rPr>
        <w:t xml:space="preserve">contractions from low or resting torques </w:t>
      </w:r>
      <w:r w:rsidRPr="003476E6">
        <w:rPr>
          <w:rFonts w:cs="Arial"/>
          <w:sz w:val="22"/>
          <w:szCs w:val="22"/>
        </w:rPr>
        <w:fldChar w:fldCharType="begin" w:fldLock="1"/>
      </w:r>
      <w:r w:rsidRPr="003476E6">
        <w:rPr>
          <w:rFonts w:cs="Arial"/>
          <w:sz w:val="22"/>
          <w:szCs w:val="22"/>
        </w:rPr>
        <w:instrText>ADDIN CSL_CITATION {"citationItems":[{"id":"ITEM-1","itemData":{"DOI":"10.2165/00007256-199519060-00004","ISBN":"0112-1642,11792035","abstract":"SummaryAthletic strength and power refer to the forces or torques generated during sporting activity. Their assessment can be used for strength diagnosis or talent identification, to monitor the effects of training interventions and to estimate the relative significance of strength and power to particular athletic pursuits. However, strength and power assessment is a difficult task. Reasons for this include: the fledgling status of research within the area, our limited understanding of the mechanisms underpinning strength and power performance and development, and limitations associated with various forms of dynamometry. This article describes a frame work for the collection of data which may ultimately lead to recommendations for the assessment of strength and power in sporting contexts. Such a framework will be evolutionary and depends upon synergistic improvements in our understanding of: the physiological mechanisms underpinning strength and power development; the effect that various training regimens have upon the development of strength and power; and factors influencing the validity and reliability of dynamometry.Currently, isometric, isoinertial and isokinetic dynamometry are employed in assessment. Each form has its supporters and detractors. Basically, proponents and critics of isokinetic and isometric dynamometry emphasise their apparently high external and apparently low internal validity respectively. While the converse applies for isoinertial dynamometry. It appears that all 3 modalities can have acceptable reliability, however this should be established rather than assumed, as the reliability of each can be threatened by a number of considerations (e.g. instruction for isometric tasks, the impact of weight used during weighted jumping tasks, and the effects of gravity and feedback on isokinetic performance). While reliability is a seminal issue in assessment, it is not the only critical issue. Specifically, there has been little research into the correlation between strength and power measures and athletic performance. This work is central to the use of such indices in talent identification. To date, this work has generally been limited to heterogeneous rather than homogeneous groups. More work is required in this area. Furthermore, not all modes of assessment are sensitive or similarly sensitive to various training interventions. This suggests that these modalities are measuring different neuromuscular qualities. How these qualities rela…","author":[{"dropping-particle":"","family":"Abernethy","given":"Peter","non-dropping-particle":"","parse-names":false,"suffix":""},{"dropping-particle":"","family":"Wilson","given":"Greg","non-dropping-particle":"","parse-names":false,"suffix":""},{"dropping-particle":"","family":"Logan","given":"Peter","non-dropping-particle":"","parse-names":false,"suffix":""}],"container-title":"Sports medicine","id":"ITEM-1","issue":"6","issued":{"date-parts":[["1995"]]},"page":"401-417","title":"Strength and power assessment","type":"article-journal","volume":"19"},"uris":["http://www.mendeley.com/documents/?uuid=d0c9ccb1-cc23-4001-88c5-11fa2e5c28ea"]},{"id":"ITEM-2","itemData":{"DOI":"10.1152/japplphysiol.01185.2001 [doi]","ISBN":"8750-7587","PMID":"12015341","abstract":"Combined V-wave and Hoffmann (H) reflex measurements were performed during maximal muscle contraction to examine the neural adaptation mechanisms induced by resistance training. The H-reflex can be used to assess the excitability of spinal alpha-motoneurons, while also reflecting transmission efficiency (i.e., presynaptic inhibition) in Ia afferent synapses. Furthermore, the V-wave reflects the overall magnitude of efferent motor output from the alpha-motoneuron pool because of activation from descending central pathways. Fourteen male subjects participated in 14 wk of resistance training that involved heavy weight-lifting exercises for the muscles of the leg. Evoked V-wave, H-reflex, and maximal M-wave (M(max)) responses were recorded before and after training in the soleus muscle during maximal isometric ramp contractions. Maximal isometric, concentric, and eccentric muscle strength was measured by use of isokinetic dynamometry. V-wave amplitude increased approximately 50% with training (P &lt; 0.01) from 3.19 +/- 0.43 to 4.86 +/- 0.43 mV, or from 0.308 +/- 0.048 to 0.478 +/- 0.034 when expressed relative to M(max) (+/- SE). H-reflex amplitude increased approximately 20% (P &lt; 0.05) from 5.37 +/- 0.41 to 6.24 +/- 0.49 mV, or from 0.514 +/- 0.032 to 0.609 +/- 0.025 when normalized to M(max). In contrast, resting H-reflex amplitude remained unchanged with training (0.503 +/- 0.059 vs. 0.499 +/- 0.063). Likewise, no change occurred in M(max) (10.78 +/- 0.86 vs. 10.21 +/- 0.66 mV). Maximal muscle strength increased 23-30% (P &lt; 0.05). In conclusion, increases in evoked V-wave and H-reflex responses were observed during maximal muscle contraction after resistance training. Collectively, the present data suggest that the increase in motoneuronal output induced by resistance training may comprise both supraspinal and spinal adaptation mechanisms (i.e., increased central motor drive, elevated motoneuron excitability, reduced presynaptic inhibition).","author":[{"dropping-particle":"","family":"Aagaard","given":"P","non-dropping-particle":"","parse-names":false,"suffix":""},{"dropping-particle":"","family":"Simonsen","given":"E B","non-dropping-particle":"","parse-names":false,"suffix":""},{"dropping-particle":"","family":"Andersen","given":"J L","non-dropping-particle":"","parse-names":false,"suffix":""},{"dropping-particle":"","family":"Magnusson","given":"P","non-dropping-particle":"","parse-names":false,"suffix":""},{"dropping-particle":"","family":"Dyhre-Poulsen","given":"P","non-dropping-particle":"","parse-names":false,"suffix":""}],"container-title":"Journal of applied physiology (Bethesda, Md.: 1985)","id":"ITEM-2","issue":"6","issued":{"date-parts":[["2002","6"]]},"note":"LR: 20130926; JID: 8502536; ppublish","page":"2309-2318","title":"Neural adaptation to resistance training: changes in evoked V-wave and H-reflex responses","type":"article-journal","volume":"92"},"uris":["http://www.mendeley.com/documents/?uuid=88cd7459-ca14-4038-9862-9cad30240d5d"]},{"id":"ITEM-3","itemData":{"author":[{"dropping-particle":"","family":"Tillin","given":"Neale A","non-dropping-particle":"","parse-names":false,"suffix":""},{"dropping-particle":"","family":"Folland","given":"Jonathan P","non-dropping-particle":"","parse-names":false,"suffix":""}],"container-title":"European journal of applied physiology","id":"ITEM-3","issue":"2","issued":{"date-parts":[["2014"]]},"page":"365-374","title":"Maximal and explosive strength training elicit distinct neuromuscular adaptations, specific to the training stimulus","type":"article-journal","volume":"114"},"uris":["http://www.mendeley.com/documents/?uuid=f98ab506-21ff-4e27-a71e-e8af63ff0c46"]}],"mendeley":{"formattedCitation":"[1–3]","plainTextFormattedCitation":"[1–3]","previouslyFormattedCitation":"[1–3]"},"properties":{"noteIndex":0},"schema":"https://github.com/citation-style-language/schema/raw/master/csl-citation.json"}</w:instrText>
      </w:r>
      <w:r w:rsidRPr="003476E6">
        <w:rPr>
          <w:rFonts w:cs="Arial"/>
          <w:sz w:val="22"/>
          <w:szCs w:val="22"/>
        </w:rPr>
        <w:fldChar w:fldCharType="separate"/>
      </w:r>
      <w:r w:rsidRPr="003476E6">
        <w:rPr>
          <w:rFonts w:cs="Arial"/>
          <w:noProof/>
          <w:sz w:val="22"/>
          <w:szCs w:val="22"/>
        </w:rPr>
        <w:t>[1–3]</w:t>
      </w:r>
      <w:r w:rsidRPr="003476E6">
        <w:rPr>
          <w:rFonts w:cs="Arial"/>
          <w:sz w:val="22"/>
          <w:szCs w:val="22"/>
        </w:rPr>
        <w:fldChar w:fldCharType="end"/>
      </w:r>
      <w:r w:rsidRPr="003476E6">
        <w:rPr>
          <w:rFonts w:cs="Arial"/>
          <w:sz w:val="22"/>
          <w:szCs w:val="22"/>
        </w:rPr>
        <w:t xml:space="preserve">. </w:t>
      </w:r>
      <w:bookmarkStart w:id="4" w:name="_Hlk60652709"/>
      <w:r w:rsidRPr="003476E6">
        <w:rPr>
          <w:rFonts w:cs="Arial"/>
          <w:sz w:val="22"/>
          <w:szCs w:val="22"/>
        </w:rPr>
        <w:t>While MVT defines the upper limit of a muscle’s force production capacity, it takes time (&gt;</w:t>
      </w:r>
      <w:r w:rsidR="00F406E3" w:rsidRPr="003476E6">
        <w:rPr>
          <w:rFonts w:cs="Arial"/>
          <w:sz w:val="22"/>
          <w:szCs w:val="22"/>
        </w:rPr>
        <w:t>15</w:t>
      </w:r>
      <w:r w:rsidRPr="003476E6">
        <w:rPr>
          <w:rFonts w:cs="Arial"/>
          <w:sz w:val="22"/>
          <w:szCs w:val="22"/>
        </w:rPr>
        <w:t xml:space="preserve">0 ms) to achieve MVT </w:t>
      </w:r>
      <w:r w:rsidRPr="003476E6">
        <w:rPr>
          <w:rFonts w:cs="Arial"/>
          <w:sz w:val="22"/>
          <w:szCs w:val="22"/>
        </w:rPr>
        <w:fldChar w:fldCharType="begin" w:fldLock="1"/>
      </w:r>
      <w:r w:rsidRPr="003476E6">
        <w:rPr>
          <w:rFonts w:cs="Arial"/>
          <w:sz w:val="22"/>
          <w:szCs w:val="22"/>
        </w:rPr>
        <w:instrText>ADDIN CSL_CITATION {"citationItems":[{"id":"ITEM-1","itemData":{"ISBN":"0021-8987","PMID":"1248977","abstract":"Standardized measurements of dynamic strength of the kneee extensor muscles were performed in 25 healthy male subjects (17-37 yr) by means of isokinetic contractions, i.e., knee extensions with constant angular velocities. Overall variation between double determinations of maximal torque throughout the 90 degrees arc of motion (0 degrees = fully extended leg) averaged 10% for the different constant velocities chosen. At any given angle of the knee the torque produced was higher for isometric than for dynamic contractions. Dynamic torque decreased gradually with increased speed of shortening. Peak dynamic torque was reached at knee angles in the range: 55-66 degrees, with a displacement toward smaller knee angles with higher angular velocities. Correlations were demonstrated between peak torque produced at the highest speed of muscle shortening and percent as well as relative area of fast twitch fibers in the contracting muscle. In addition muscles with a high percentage of fast twitch fibers had the highest maximal contraction speeds. These observations on intact human skeletal muscle are consistent with earlier findings in animal skeletal muscle preparations.","author":[{"dropping-particle":"","family":"Thorstensson","given":"A","non-dropping-particle":"","parse-names":false,"suffix":""},{"dropping-particle":"","family":"Grimby","given":"G","non-dropping-particle":"","parse-names":false,"suffix":""},{"dropping-particle":"","family":"Karlsson","given":"J","non-dropping-particle":"","parse-names":false,"suffix":""}],"container-title":"Journal of applied physiology","id":"ITEM-1","issue":"1","issued":{"date-parts":[["1976","1"]]},"note":"LR: 20041117; JID: 0376576; ppublish","page":"12-16","title":"Force-velocity relations and fiber composition in human knee extensor muscles","type":"article-journal","volume":"40"},"uris":["http://www.mendeley.com/documents/?uuid=8d3537f9-ca2a-4512-8b87-ece04c34e880"]},{"id":"ITEM-2","itemData":{"ISBN":"0962-8452","PMID":"22258636","abstract":"The influence of contraction type on the human ability to use the torque capacity of skeletal muscle during explosive efforts has not been documented. Fourteen male participants completed explosive voluntary contractions of the knee extensors in four separate conditions: concentric (CON) and eccentric (ECC); and isometric at two knee angles (101°, ISO101 and 155°, ISO155). In each condition, torque was measured at 25 ms intervals up to 150 ms from torque onset, and then normalized to the maximum voluntary torque (MVT) specific to that joint angle and angular velocity. Explosive voluntary torque after 50 ms in each condition was also expressed as a percentage of torque generated after 50 ms during a supramaximal 300 Hz electrically evoked octet in the same condition. Explosive voluntary torque normalized to MVT was more than 60 per cent larger in CON than any other condition after the initial 25 ms. The percentage of evoked torque expressed after 50 ms of the explosive voluntary contractions was also greatest in CON (ANOVA; p &lt; 0.001), suggesting higher concentric volitional activation. This was confirmed by greater agonist electromyography normalized to M max (recorded during the explosive voluntary contractions) in CON. These results provide novel evidence that the ability to use the muscle's torque capacity explosively is influenced by contraction type, with concentric contractions being more conducive to explosive performance due to a more effective neural strategy.","author":[{"dropping-particle":"","family":"Tillin","given":"Neale A","non-dropping-particle":"","parse-names":false,"suffix":""},{"dropping-particle":"","family":"Pain","given":"Matthew T G","non-dropping-particle":"","parse-names":false,"suffix":""},{"dropping-particle":"","family":"Folland","given":"Jonathan P","non-dropping-particle":"","parse-names":false,"suffix":""}],"container-title":"Proceedings: Biological Sciences","id":"ITEM-2","issue":"1736","issued":{"date-parts":[["2012","6"]]},"page":"2106-2115","title":"Contraction type influences the human ability to use the available torque capacity of skeletal muscle during explosive efforts","type":"article-journal","volume":"279"},"uris":["http://www.mendeley.com/documents/?uuid=97d53f1e-9aeb-4064-978c-0574a397083e"]}],"mendeley":{"formattedCitation":"[4,5]","plainTextFormattedCitation":"[4,5]","previouslyFormattedCitation":"[4,5]"},"properties":{"noteIndex":0},"schema":"https://github.com/citation-style-language/schema/raw/master/csl-citation.json"}</w:instrText>
      </w:r>
      <w:r w:rsidRPr="003476E6">
        <w:rPr>
          <w:rFonts w:cs="Arial"/>
          <w:sz w:val="22"/>
          <w:szCs w:val="22"/>
        </w:rPr>
        <w:fldChar w:fldCharType="separate"/>
      </w:r>
      <w:r w:rsidRPr="003476E6">
        <w:rPr>
          <w:rFonts w:cs="Arial"/>
          <w:noProof/>
          <w:sz w:val="22"/>
          <w:szCs w:val="22"/>
        </w:rPr>
        <w:t>[4,5]</w:t>
      </w:r>
      <w:r w:rsidRPr="003476E6">
        <w:rPr>
          <w:rFonts w:cs="Arial"/>
          <w:sz w:val="22"/>
          <w:szCs w:val="22"/>
        </w:rPr>
        <w:fldChar w:fldCharType="end"/>
      </w:r>
      <w:r w:rsidRPr="003476E6">
        <w:rPr>
          <w:rFonts w:cs="Arial"/>
          <w:sz w:val="22"/>
          <w:szCs w:val="22"/>
        </w:rPr>
        <w:t xml:space="preserve"> when contracting from rest. Thus, RTD is</w:t>
      </w:r>
      <w:r w:rsidRPr="003476E6">
        <w:rPr>
          <w:rFonts w:cs="Arial"/>
          <w:sz w:val="22"/>
          <w:szCs w:val="22"/>
          <w:shd w:val="clear" w:color="auto" w:fill="FCFCFC"/>
        </w:rPr>
        <w:t xml:space="preserve"> considered more functionally relevant in human movement, particularly when time</w:t>
      </w:r>
      <w:r w:rsidRPr="003476E6">
        <w:rPr>
          <w:rFonts w:cs="Arial"/>
          <w:sz w:val="22"/>
          <w:szCs w:val="22"/>
        </w:rPr>
        <w:t xml:space="preserve"> to develop torque is limited, such as if restabilising the body following mechanical perturbation, or in sporting activities </w:t>
      </w:r>
      <w:r w:rsidRPr="003476E6">
        <w:rPr>
          <w:rFonts w:cs="Arial"/>
          <w:sz w:val="22"/>
          <w:szCs w:val="22"/>
        </w:rPr>
        <w:fldChar w:fldCharType="begin" w:fldLock="1"/>
      </w:r>
      <w:r w:rsidRPr="003476E6">
        <w:rPr>
          <w:rFonts w:cs="Arial"/>
          <w:sz w:val="22"/>
          <w:szCs w:val="22"/>
        </w:rPr>
        <w:instrText>ADDIN CSL_CITATION {"citationItems":[{"id":"ITEM-1","itemData":{"author":[{"dropping-particle":"","family":"Pijnappels","given":"Mirjam","non-dropping-particle":"","parse-names":false,"suffix":""},{"dropping-particle":"","family":"Reeves","given":"Neil D","non-dropping-particle":"","parse-names":false,"suffix":""},{"dropping-particle":"","family":"Dieën","given":"Jaap H","non-dropping-particle":"van","parse-names":false,"suffix":""}],"container-title":"European journal of applied physiology","id":"ITEM-1","issue":"5","issued":{"date-parts":[["2008"]]},"page":"585-592","title":"Identification of elderly fallers by muscle strength measures","type":"article-journal","volume":"102"},"uris":["http://www.mendeley.com/documents/?uuid=d088d543-dc4c-4d8a-a264-f58844e7bb9d"]},{"id":"ITEM-2","itemData":{"DOI":"10.1007/s11999-009-0978-4","ISBN":"0009-921X","PMID":"19597897","abstract":"Quadriceps muscle strength is an important predictor of functional abilities in patients having TKA. However, because several daily activities are characterized by a limited time to generate force, it has been suggested that rate of force development (RFD) could better predict functional difficulties than maximal strength. We therefore hypothesized the side-to-side asymmetry would be larger for RFD than for maximal strength, and RFD asymmetry relates to subjective symptoms and/or functional daily living activities. We studied 31 subjects (17 women, 14 men) 6 ± 1 months after undergoing TKA for unilateral osteoarthritis. Symptoms and limitations during activities of daily living were quantified using the knee outcome survey-activities of daily living scale (KOS-ADLS). Quadriceps maximal strength and RFD at different times (50 to 200 ms from contraction onset) were quantified during unilateral maximal voluntary isometric actions. Side-to-side asymmetries (involved versus uninvolved side) were larger for RFD (approximately 36%) than for maximal strength (approximately 24%). Subjective knee function related to all RFD asymmetry variables, but not to maximal strength asymmetry. In addition to maximal strength, quadriceps RFD in the first 100 to 200 ms from contraction onset provides an alternative functional outcome measure for individuals undergoing TKA.","author":[{"dropping-particle":"","family":"Maffiuletti","given":"Nicola A","non-dropping-particle":"","parse-names":false,"suffix":""},{"dropping-particle":"","family":"Bizzini","given":"Mario","non-dropping-particle":"","parse-names":false,"suffix":""},{"dropping-particle":"","family":"Widler","given":"Katharina","non-dropping-particle":"","parse-names":false,"suffix":""},{"dropping-particle":"","family":"Munzinger","given":"Urs","non-dropping-particle":"","parse-names":false,"suffix":""}],"container-title":"Clinical Orthopaedics and Related Research®","id":"ITEM-2","issue":"1","issued":{"date-parts":[["2010"]]},"page":"191-198","title":"Asymmetry in quadriceps rate of force development as a functional outcome measure in TKA","type":"article-journal","volume":"468"},"uris":["http://www.mendeley.com/documents/?uuid=c093e736-22d0-43c1-89cb-81b91507b200"]},{"id":"ITEM-3","itemData":{"DOI":"10.1080/02640414.2012.720704","ISBN":"0264-0414","abstract":"This study investigated the association between explosive force production during isometric squats and athletic performance (sprint time and countermovement jump height). Sprint time (5 and 20 m) and jump height were recorded in 18 male elite-standard varsity rugby union players. Participants also completed a series of maximal- and explosive-isometric squats to measure maximal force and explosive force at 50-ms intervals up to 250 ms from force onset. Sprint performance was related to early phase (≤100 ms) explosive force normalised to maximal force (5 m, r = −0.63, P = 0.005; and 20 m, r = −0.54, P = 0.020), but jump height was related to later phase (&gt;100 ms) absolute explosive force (0.51 &lt; r &lt; 0.61; 0.006 &lt; P &lt; 0.035). When participants were separated for 5-m sprint time (&lt; or ≥ 1s), the faster group had greater normalised explosive force in the first 150 ms of explosive-isometric squats (33–67%; 0.001 &lt; P &lt; 0.017). The results suggest that explosive force production during isometric squats was associated with athletic performance. Specifically, sprint performance was most strongly related to the proportion of maximal force achieved in the initial phase of explosive-isometric squats, whilst jump height was most strongly related to absolute force in the later phase of the explosive-isometric squats.","author":[{"dropping-particle":"","family":"Tillin","given":"Neale Anthony","non-dropping-particle":"","parse-names":false,"suffix":""},{"dropping-particle":"","family":"Pain","given":"Matthew Thomas Gerard","non-dropping-particle":"","parse-names":false,"suffix":""},{"dropping-particle":"","family":"Folland","given":"Jonathan","non-dropping-particle":"","parse-names":false,"suffix":""}],"container-title":"Journal of sports sciences","id":"ITEM-3","issue":"1","issued":{"date-parts":[["2013","1"]]},"page":"66-76","title":"Explosive force production during isometric squats correlates with athletic performance in rugby union players","type":"article-journal","volume":"31"},"uris":["http://www.mendeley.com/documents/?uuid=4434fe08-3311-4ea8-9405-c95c9dc20eaa"]},{"id":"ITEM-4","itemData":{"author":[{"dropping-particle":"","family":"Behan","given":"Fearghal P","non-dropping-particle":"","parse-names":false,"suffix":""},{"dropping-particle":"","family":"Pain","given":"Matt T G","non-dropping-particle":"","parse-names":false,"suffix":""},{"dropping-particle":"","family":"Folland","given":"Jonathan P","non-dropping-particle":"","parse-names":false,"suffix":""}],"container-title":"Journal of Biomechanics","id":"ITEM-4","issued":{"date-parts":[["2018"]]},"page":"86-92","title":"Explosive voluntary torque is related to whole-body response to unexpected perturbations","type":"article-journal","volume":"81"},"uris":["http://www.mendeley.com/documents/?uuid=b60a160c-f98d-4cda-bcc6-ff4553ecf8c1"]}],"mendeley":{"formattedCitation":"[6–9]","plainTextFormattedCitation":"[6–9]","previouslyFormattedCitation":"[6–9]"},"properties":{"noteIndex":0},"schema":"https://github.com/citation-style-language/schema/raw/master/csl-citation.json"}</w:instrText>
      </w:r>
      <w:r w:rsidRPr="003476E6">
        <w:rPr>
          <w:rFonts w:cs="Arial"/>
          <w:sz w:val="22"/>
          <w:szCs w:val="22"/>
        </w:rPr>
        <w:fldChar w:fldCharType="separate"/>
      </w:r>
      <w:r w:rsidRPr="003476E6">
        <w:rPr>
          <w:rFonts w:cs="Arial"/>
          <w:noProof/>
          <w:sz w:val="22"/>
          <w:szCs w:val="22"/>
        </w:rPr>
        <w:t>[6–9]</w:t>
      </w:r>
      <w:r w:rsidRPr="003476E6">
        <w:rPr>
          <w:rFonts w:cs="Arial"/>
          <w:sz w:val="22"/>
          <w:szCs w:val="22"/>
        </w:rPr>
        <w:fldChar w:fldCharType="end"/>
      </w:r>
      <w:r w:rsidRPr="003476E6">
        <w:rPr>
          <w:rFonts w:cs="Arial"/>
          <w:sz w:val="22"/>
          <w:szCs w:val="22"/>
        </w:rPr>
        <w:t>.</w:t>
      </w:r>
      <w:bookmarkEnd w:id="3"/>
      <w:bookmarkEnd w:id="4"/>
      <w:r w:rsidRPr="003476E6">
        <w:rPr>
          <w:rFonts w:cs="Arial"/>
          <w:bCs/>
          <w:color w:val="000000" w:themeColor="text1"/>
          <w:sz w:val="22"/>
          <w:szCs w:val="22"/>
          <w:shd w:val="clear" w:color="auto" w:fill="FFFFFF"/>
        </w:rPr>
        <w:t xml:space="preserve"> </w:t>
      </w:r>
      <w:r w:rsidRPr="003476E6">
        <w:rPr>
          <w:rFonts w:cs="Arial"/>
          <w:sz w:val="22"/>
          <w:szCs w:val="22"/>
          <w:shd w:val="clear" w:color="auto" w:fill="FCFCFC"/>
        </w:rPr>
        <w:t xml:space="preserve">Individuals with unilateral transtibial amputations (ITTAs), characterised by musculoskeletal asymmetry stemming from the loss of an ankle joint on one side, display reduced quadriceps MVT of </w:t>
      </w:r>
      <w:r w:rsidRPr="003476E6">
        <w:rPr>
          <w:rFonts w:cs="Arial"/>
          <w:color w:val="000000"/>
          <w:sz w:val="22"/>
          <w:szCs w:val="22"/>
          <w:shd w:val="clear" w:color="auto" w:fill="FFFFFF"/>
        </w:rPr>
        <w:t xml:space="preserve">41–60% </w:t>
      </w:r>
      <w:r w:rsidRPr="003476E6">
        <w:rPr>
          <w:rFonts w:cs="Arial"/>
          <w:color w:val="000000"/>
          <w:sz w:val="22"/>
          <w:szCs w:val="22"/>
          <w:shd w:val="clear" w:color="auto" w:fill="FFFFFF"/>
        </w:rPr>
        <w:fldChar w:fldCharType="begin" w:fldLock="1"/>
      </w:r>
      <w:r w:rsidRPr="003476E6">
        <w:rPr>
          <w:rFonts w:cs="Arial"/>
          <w:color w:val="000000"/>
          <w:sz w:val="22"/>
          <w:szCs w:val="22"/>
          <w:shd w:val="clear" w:color="auto" w:fill="FFFFFF"/>
        </w:rPr>
        <w:instrText>ADDIN CSL_CITATION {"citationItems":[{"id":"ITEM-1","itemData":{"author":[{"dropping-particle":"","family":"Isakov","given":"Eli","non-dropping-particle":"","parse-names":false,"suffix":""},{"dropping-particle":"","family":"Burger","given":"Helena","non-dropping-particle":"","parse-names":false,"suffix":""},{"dropping-particle":"","family":"Gregorič","given":"Milan","non-dropping-particle":"","parse-names":false,"suffix":""},{"dropping-particle":"","family":"Marinček","given":"C","non-dropping-particle":"","parse-names":false,"suffix":""}],"container-title":"Clinical Biomechanics","id":"ITEM-1","issue":"4","issued":{"date-parts":[["1996"]]},"page":"233-235","title":"Isokinetic and isometric strength of the thigh muscles in below-knee amputees","type":"article-journal","volume":"11"},"uris":["http://www.mendeley.com/documents/?uuid=434c753f-45e9-4a80-8106-bb5c01e12a00"]},{"id":"ITEM-2","itemData":{"ISBN":"0346-8720","PMID":"6585938","abstract":"The aim of this investigation has been to study the magnitude of the reduction of thigh muscle strength of below-knee amputees and to correlate the strength to the degree of atrophy and to the clinical function. Thirty-two below-knee amputees participated in examinations of the isometric and isokinetic knee extension and flexion strength using an isokinetic dynamometer (Cybex II). The atrophy was evaluated by measuring the mean muscle fibre area on muscle biopsies of the vastus lateralis and the cross-sectional area of the quadriceps and hamstring muscles measured with computed tomography. The isometric and isokinetic knee extension and flexion strength in the amputated leg with and without prosthesis was significantly lower than the strength in the non-amputated leg (p less than 0.01). Knee extension strength was significantly correlated to the mean muscle fibre area of the vastus lateralis. There was no correlation between strength and the cross-sectional area of the quadriceps muscles. There was, however, a significant correlation between the side differences (amputated leg versus non-amputated leg) in isometric knee extension and flexion strength and the side differences in cross-sectional areas. The reduction in isometric and isokinetic knee extension and flexion strength in the amputated leg both with and without prosthesis compared with the non-amputated leg was larger than the reduction in cross-sectional areas of the quadriceps and hamstring muscles and in muscle fibre areas of the vastus lateralis. This indicates that besides muscle atrophy changes in motor unit recruitment pattern may be of importance for the reduction in muscle strength. Isometric and isokinetic knee extension and flexion strength values in the amputated leg with prosthesis were significantly correlated to step length, maximal walking speed and circumference of the thigh. These results indicate that below-knee amputees with a better preserved thigh muscle strength have a good walking capacity.","author":[{"dropping-particle":"","family":"Renstrom","given":"P","non-dropping-particle":"","parse-names":false,"suffix":""},{"dropping-particle":"","family":"Grimby","given":"G","non-dropping-particle":"","parse-names":false,"suffix":""},{"dropping-particle":"","family":"Larsson","given":"E","non-dropping-particle":"","parse-names":false,"suffix":""}],"container-title":"Scandinavian journal of rehabilitation medicine.Supplement","id":"ITEM-2","issued":{"date-parts":[["1983"]]},"note":"LR: 20041117; JID: 0254404; ppublish","page":"163-173","title":"Thigh muscle strength in below-knee amputees","type":"article-journal","volume":"9"},"uris":["http://www.mendeley.com/documents/?uuid=7e72ed1e-f09e-4938-abe3-1efc6bb1b853"]},{"id":"ITEM-3","itemData":{"author":[{"dropping-particle":"","family":"Pedrinelli","given":"A","non-dropping-particle":"","parse-names":false,"suffix":""},{"dropping-particle":"","family":"Saito","given":"M","non-dropping-particle":"","parse-names":false,"suffix":""},{"dropping-particle":"","family":"Coelho","given":"R F","non-dropping-particle":"","parse-names":false,"suffix":""},{"dropping-particle":"V","family":"Fontes","given":"R B","non-dropping-particle":"","parse-names":false,"suffix":""},{"dropping-particle":"","family":"Guarniero","given":"R","non-dropping-particle":"","parse-names":false,"suffix":""}],"container-title":"Prosthetics and orthotics international","id":"ITEM-3","issue":"3","issued":{"date-parts":[["2002"]]},"page":"195-205","title":"Comparative study of the strength of the flexor and extensor muscles of the knee through isokinetic evaluation in normal subjects and patients subjected to trans-tibial amputation","type":"article-journal","volume":"26"},"uris":["http://www.mendeley.com/documents/?uuid=1bdcb3a5-a43d-4f2c-b9f8-1472a0d63398"]},{"id":"ITEM-4","itemData":{"author":[{"dropping-particle":"","family":"Lloyd","given":"Chandra H","non-dropping-particle":"","parse-names":false,"suffix":""},{"dropping-particle":"","family":"Stanhope","given":"Steven J","non-dropping-particle":"","parse-names":false,"suffix":""},{"dropping-particle":"","family":"Davis","given":"Irene S","non-dropping-particle":"","parse-names":false,"suffix":""},{"dropping-particle":"","family":"Royer","given":"Todd D","non-dropping-particle":"","parse-names":false,"suffix":""}],"container-title":"Gait &amp; posture","id":"ITEM-4","issue":"3","issued":{"date-parts":[["2010"]]},"page":"296-300","title":"Strength asymmetry and osteoarthritis risk factors in unilateral trans-tibial, amputee gait","type":"article-journal","volume":"32"},"uris":["http://www.mendeley.com/documents/?uuid=d0351023-36c7-42d7-a475-d7ce9fb5d39f"]},{"id":"ITEM-5","itemData":{"DOI":"10.1113/ep088087","ISSN":"0958-0670","author":[{"dropping-particle":"","family":"Sibley","given":"Amy R.","non-dropping-particle":"","parse-names":false,"suffix":""},{"dropping-particle":"","family":"Strike","given":"Siobhán","non-dropping-particle":"","parse-names":false,"suffix":""},{"dropping-particle":"","family":"Moudy","given":"Sarah C.","non-dropping-particle":"","parse-names":false,"suffix":""},{"dropping-particle":"","family":"Tillin","given":"Neale A.","non-dropping-particle":"","parse-names":false,"suffix":""}],"container-title":"Experimental Physiology","id":"ITEM-5","issued":{"date-parts":[["2019","11","27"]]},"publisher":"Wiley","title":"The effects of long</w:instrText>
      </w:r>
      <w:r w:rsidRPr="003476E6">
        <w:rPr>
          <w:rFonts w:ascii="Cambria Math" w:hAnsi="Cambria Math" w:cs="Cambria Math"/>
          <w:color w:val="000000"/>
          <w:sz w:val="22"/>
          <w:szCs w:val="22"/>
          <w:shd w:val="clear" w:color="auto" w:fill="FFFFFF"/>
        </w:rPr>
        <w:instrText>‐</w:instrText>
      </w:r>
      <w:r w:rsidRPr="003476E6">
        <w:rPr>
          <w:rFonts w:cs="Arial"/>
          <w:color w:val="000000"/>
          <w:sz w:val="22"/>
          <w:szCs w:val="22"/>
          <w:shd w:val="clear" w:color="auto" w:fill="FFFFFF"/>
        </w:rPr>
        <w:instrText>term muscle disuse on neuromuscular function in unilateral transtibial amputees","type":"article-journal"},"uris":["http://www.mendeley.com/documents/?uuid=35629db8-8caf-391b-88bb-fa9a411f4bc1"]}],"mendeley":{"formattedCitation":"[10–14]","plainTextFormattedCitation":"[10–14]","previouslyFormattedCitation":"[10–14]"},"properties":{"noteIndex":0},"schema":"https://github.com/citation-style-language/schema/raw/master/csl-citation.json"}</w:instrText>
      </w:r>
      <w:r w:rsidRPr="003476E6">
        <w:rPr>
          <w:rFonts w:cs="Arial"/>
          <w:color w:val="000000"/>
          <w:sz w:val="22"/>
          <w:szCs w:val="22"/>
          <w:shd w:val="clear" w:color="auto" w:fill="FFFFFF"/>
        </w:rPr>
        <w:fldChar w:fldCharType="separate"/>
      </w:r>
      <w:r w:rsidRPr="003476E6">
        <w:rPr>
          <w:rFonts w:cs="Arial"/>
          <w:noProof/>
          <w:color w:val="000000"/>
          <w:sz w:val="22"/>
          <w:szCs w:val="22"/>
          <w:shd w:val="clear" w:color="auto" w:fill="FFFFFF"/>
        </w:rPr>
        <w:t>[10–14]</w:t>
      </w:r>
      <w:r w:rsidRPr="003476E6">
        <w:rPr>
          <w:rFonts w:cs="Arial"/>
          <w:color w:val="000000"/>
          <w:sz w:val="22"/>
          <w:szCs w:val="22"/>
          <w:shd w:val="clear" w:color="auto" w:fill="FFFFFF"/>
        </w:rPr>
        <w:fldChar w:fldCharType="end"/>
      </w:r>
      <w:r w:rsidRPr="003476E6">
        <w:rPr>
          <w:rFonts w:cs="Arial"/>
          <w:color w:val="000000"/>
          <w:sz w:val="22"/>
          <w:szCs w:val="22"/>
          <w:shd w:val="clear" w:color="auto" w:fill="FFFFFF"/>
        </w:rPr>
        <w:t xml:space="preserve">, and RTD of 75% </w:t>
      </w:r>
      <w:r w:rsidRPr="003476E6">
        <w:rPr>
          <w:rFonts w:cs="Arial"/>
          <w:color w:val="000000"/>
          <w:sz w:val="22"/>
          <w:szCs w:val="22"/>
          <w:shd w:val="clear" w:color="auto" w:fill="FFFFFF"/>
        </w:rPr>
        <w:fldChar w:fldCharType="begin" w:fldLock="1"/>
      </w:r>
      <w:r w:rsidRPr="003476E6">
        <w:rPr>
          <w:rFonts w:cs="Arial"/>
          <w:color w:val="000000"/>
          <w:sz w:val="22"/>
          <w:szCs w:val="22"/>
          <w:shd w:val="clear" w:color="auto" w:fill="FFFFFF"/>
        </w:rPr>
        <w:instrText>ADDIN CSL_CITATION {"citationItems":[{"id":"ITEM-1","itemData":{"DOI":"10.1113/ep088087","ISSN":"0958-0670","author":[{"dropping-particle":"","family":"Sibley","given":"Amy R.","non-dropping-particle":"","parse-names":false,"suffix":""},{"dropping-particle":"","family":"Strike","given":"Siobhán","non-dropping-particle":"","parse-names":false,"suffix":""},{"dropping-particle":"","family":"Moudy","given":"Sarah C.","non-dropping-particle":"","parse-names":false,"suffix":""},{"dropping-particle":"","family":"Tillin","given":"Neale A.","non-dropping-particle":"","parse-names":false,"suffix":""}],"container-title":"Experimental Physiology","id":"ITEM-1","issued":{"date-parts":[["2019","11","27"]]},"publisher":"Wiley","title":"The effects of long</w:instrText>
      </w:r>
      <w:r w:rsidRPr="003476E6">
        <w:rPr>
          <w:rFonts w:ascii="Cambria Math" w:hAnsi="Cambria Math" w:cs="Cambria Math"/>
          <w:color w:val="000000"/>
          <w:sz w:val="22"/>
          <w:szCs w:val="22"/>
          <w:shd w:val="clear" w:color="auto" w:fill="FFFFFF"/>
        </w:rPr>
        <w:instrText>‐</w:instrText>
      </w:r>
      <w:r w:rsidRPr="003476E6">
        <w:rPr>
          <w:rFonts w:cs="Arial"/>
          <w:color w:val="000000"/>
          <w:sz w:val="22"/>
          <w:szCs w:val="22"/>
          <w:shd w:val="clear" w:color="auto" w:fill="FFFFFF"/>
        </w:rPr>
        <w:instrText>term muscle disuse on neuromuscular function in unilateral transtibial amputees","type":"article-journal"},"uris":["http://www.mendeley.com/documents/?uuid=35629db8-8caf-391b-88bb-fa9a411f4bc1"]}],"mendeley":{"formattedCitation":"[14]","plainTextFormattedCitation":"[14]","previouslyFormattedCitation":"[14]"},"properties":{"noteIndex":0},"schema":"https://github.com/citation-style-language/schema/raw/master/csl-citation.json"}</w:instrText>
      </w:r>
      <w:r w:rsidRPr="003476E6">
        <w:rPr>
          <w:rFonts w:cs="Arial"/>
          <w:color w:val="000000"/>
          <w:sz w:val="22"/>
          <w:szCs w:val="22"/>
          <w:shd w:val="clear" w:color="auto" w:fill="FFFFFF"/>
        </w:rPr>
        <w:fldChar w:fldCharType="separate"/>
      </w:r>
      <w:r w:rsidRPr="003476E6">
        <w:rPr>
          <w:rFonts w:cs="Arial"/>
          <w:noProof/>
          <w:color w:val="000000"/>
          <w:sz w:val="22"/>
          <w:szCs w:val="22"/>
          <w:shd w:val="clear" w:color="auto" w:fill="FFFFFF"/>
        </w:rPr>
        <w:t>[14]</w:t>
      </w:r>
      <w:r w:rsidRPr="003476E6">
        <w:rPr>
          <w:rFonts w:cs="Arial"/>
          <w:color w:val="000000"/>
          <w:sz w:val="22"/>
          <w:szCs w:val="22"/>
          <w:shd w:val="clear" w:color="auto" w:fill="FFFFFF"/>
        </w:rPr>
        <w:fldChar w:fldCharType="end"/>
      </w:r>
      <w:r w:rsidRPr="003476E6">
        <w:rPr>
          <w:rFonts w:cs="Arial"/>
          <w:color w:val="000000"/>
          <w:sz w:val="22"/>
          <w:szCs w:val="22"/>
          <w:shd w:val="clear" w:color="auto" w:fill="FFFFFF"/>
        </w:rPr>
        <w:t xml:space="preserve"> </w:t>
      </w:r>
      <w:r w:rsidRPr="003476E6">
        <w:rPr>
          <w:rFonts w:cs="Arial"/>
          <w:sz w:val="22"/>
          <w:szCs w:val="22"/>
          <w:shd w:val="clear" w:color="auto" w:fill="FCFCFC"/>
        </w:rPr>
        <w:t>in the amputated limb compared to the intact</w:t>
      </w:r>
      <w:r w:rsidRPr="003476E6">
        <w:rPr>
          <w:rFonts w:cs="Arial"/>
          <w:color w:val="000000"/>
          <w:sz w:val="22"/>
          <w:szCs w:val="22"/>
          <w:shd w:val="clear" w:color="auto" w:fill="FFFFFF"/>
        </w:rPr>
        <w:t xml:space="preserve">. </w:t>
      </w:r>
      <w:bookmarkStart w:id="5" w:name="_Hlk60654008"/>
      <w:r w:rsidR="00F406E3" w:rsidRPr="003476E6">
        <w:rPr>
          <w:rFonts w:cs="Arial"/>
          <w:color w:val="000000" w:themeColor="text1"/>
          <w:sz w:val="22"/>
          <w:szCs w:val="22"/>
        </w:rPr>
        <w:t>It is important to understand the functional implications of such strength asymmetries, if any, as this may</w:t>
      </w:r>
      <w:r w:rsidRPr="003476E6">
        <w:rPr>
          <w:rFonts w:cs="Arial"/>
          <w:sz w:val="22"/>
          <w:szCs w:val="22"/>
        </w:rPr>
        <w:t xml:space="preserve"> inform exercise and rehabilitation programmes to improve function</w:t>
      </w:r>
      <w:r w:rsidRPr="003476E6">
        <w:rPr>
          <w:rFonts w:cs="Arial"/>
          <w:b/>
          <w:bCs/>
          <w:sz w:val="22"/>
          <w:szCs w:val="22"/>
        </w:rPr>
        <w:t>.</w:t>
      </w:r>
      <w:bookmarkEnd w:id="5"/>
    </w:p>
    <w:p w14:paraId="44A4B174" w14:textId="1E2FEAC0" w:rsidR="007D4B35" w:rsidRPr="003476E6" w:rsidRDefault="00DB3F70" w:rsidP="007D4B35">
      <w:pPr>
        <w:spacing w:after="240" w:line="480" w:lineRule="auto"/>
        <w:jc w:val="both"/>
        <w:rPr>
          <w:rFonts w:cs="Arial"/>
          <w:sz w:val="22"/>
          <w:szCs w:val="22"/>
        </w:rPr>
      </w:pPr>
      <w:bookmarkStart w:id="6" w:name="_Hlk66964706"/>
      <w:r w:rsidRPr="003476E6">
        <w:rPr>
          <w:rFonts w:cs="Arial"/>
          <w:sz w:val="22"/>
          <w:szCs w:val="22"/>
        </w:rPr>
        <w:t xml:space="preserve">Walking speed, an important indicator of functional gait capacity </w:t>
      </w:r>
      <w:r w:rsidRPr="003476E6">
        <w:rPr>
          <w:rFonts w:cs="Arial"/>
          <w:sz w:val="22"/>
          <w:szCs w:val="22"/>
        </w:rPr>
        <w:fldChar w:fldCharType="begin" w:fldLock="1"/>
      </w:r>
      <w:r w:rsidR="00615554" w:rsidRPr="003476E6">
        <w:rPr>
          <w:rFonts w:cs="Arial"/>
          <w:sz w:val="22"/>
          <w:szCs w:val="22"/>
        </w:rPr>
        <w:instrText>ADDIN CSL_CITATION {"citationItems":[{"id":"ITEM-1","itemData":{"DOI":"10.1177/0269215506070700","ISBN":"0269-2155","abstract":"Objective: To review the influence of physical capacity on regaining walking ability and the development of walking ability after lower limb amputation.Design: A systematic search of literature was performed. The quality of all relevant studies was evaluated according to a checklist for statistical review of general papers.Subjects: Lower limb amputees.Main measures: Physical capacity (expressed by aerobic capacity, anaerobic capacity, muscle force, flexibility and balance) and walking ability (expressed by the walking velocity and symmetry).Results: A total of 48 studies that complied with the inclusion criteria were selected. From these studies there is strong evidence for deterioration of two aspects of physical capacity (muscle strength and balance) and of two aspects of walking ability (walking velocity and symmetry) after lower limb amputation. Strong evidence was found for a relation between balance and walking ability.Conclusion: Strong evidence was only found for a relation between balance and walking ability. Evidence about a relation between other elements of physical capacity and walking ability was insufficient. Training of physical capacity as well as walking ability during rehabilitation following lower limb amputation should not be discouraged since several parameters have been shown to be reduced after amputation, although their relation to regaining walking ability and to the development of walking ability remains unclear.","author":[{"dropping-particle":"","family":"Velzen","given":"J M","non-dropping-particle":"van","parse-names":false,"suffix":""},{"dropping-particle":"","family":"Bennekom","given":"C A M","non-dropping-particle":"van","parse-names":false,"suffix":""},{"dropping-particle":"","family":"Polomski","given":"W","non-dropping-particle":"","parse-names":false,"suffix":""},{"dropping-particle":"","family":"Slootman","given":"J R","non-dropping-particle":"","parse-names":false,"suffix":""},{"dropping-particle":"V","family":"Woude","given":"L H","non-dropping-particle":"van der","parse-names":false,"suffix":""},{"dropping-particle":"","family":"Houdijk","given":"H","non-dropping-particle":"","parse-names":false,"suffix":""}],"container-title":"Clin Rehabil","id":"ITEM-1","issue":"11","issued":{"date-parts":[["2006"]]},"note":"doi: 10.1177/0269215506070700; 15","page":"999-1016","title":"Physical capacity and walking ability after lower limb amputation: a systematic review","type":"article-journal","volume":"20"},"uris":["http://www.mendeley.com/documents/?uuid=2b11ace7-59ed-42ea-b4fd-76fc7213ebb3"]}],"mendeley":{"formattedCitation":"[15]","plainTextFormattedCitation":"[15]","previouslyFormattedCitation":"[15]"},"properties":{"noteIndex":0},"schema":"https://github.com/citation-style-language/schema/raw/master/csl-citation.json"}</w:instrText>
      </w:r>
      <w:r w:rsidRPr="003476E6">
        <w:rPr>
          <w:rFonts w:cs="Arial"/>
          <w:sz w:val="22"/>
          <w:szCs w:val="22"/>
        </w:rPr>
        <w:fldChar w:fldCharType="separate"/>
      </w:r>
      <w:r w:rsidR="00615554" w:rsidRPr="003476E6">
        <w:rPr>
          <w:rFonts w:cs="Arial"/>
          <w:noProof/>
          <w:sz w:val="22"/>
          <w:szCs w:val="22"/>
        </w:rPr>
        <w:t>[15]</w:t>
      </w:r>
      <w:r w:rsidRPr="003476E6">
        <w:rPr>
          <w:rFonts w:cs="Arial"/>
          <w:sz w:val="22"/>
          <w:szCs w:val="22"/>
        </w:rPr>
        <w:fldChar w:fldCharType="end"/>
      </w:r>
      <w:r w:rsidRPr="003476E6">
        <w:rPr>
          <w:rFonts w:cs="Arial"/>
          <w:sz w:val="22"/>
          <w:szCs w:val="22"/>
        </w:rPr>
        <w:t xml:space="preserve">, is lower in ITTAs than able-bodied populations (1.25 m/s vs. ~1.4 m/s; </w:t>
      </w:r>
      <w:r w:rsidRPr="003476E6">
        <w:rPr>
          <w:rFonts w:cs="Arial"/>
          <w:sz w:val="22"/>
          <w:szCs w:val="22"/>
        </w:rPr>
        <w:fldChar w:fldCharType="begin" w:fldLock="1"/>
      </w:r>
      <w:r w:rsidR="00615554" w:rsidRPr="003476E6">
        <w:rPr>
          <w:rFonts w:cs="Arial"/>
          <w:sz w:val="22"/>
          <w:szCs w:val="22"/>
        </w:rPr>
        <w:instrText>ADDIN CSL_CITATION {"citationItems":[{"id":"ITEM-1","itemData":{"author":[{"dropping-particle":"","family":"Bohannon","given":"Richard W","non-dropping-particle":"","parse-names":false,"suffix":""}],"container-title":"Age and Ageing","id":"ITEM-1","issue":"1","issued":{"date-parts":[["1997"]]},"page":"15-19","title":"Comfortable and maximum walking speed of adults aged 20—79 years: reference values and determinants","type":"article-journal","volume":"26"},"uris":["http://www.mendeley.com/documents/?uuid=5c50578f-25e3-459a-b852-b85eec5e2d65"]},{"id":"ITEM-2","itemData":{"author":[{"dropping-particle":"","family":"Öberg","given":"Tommy","non-dropping-particle":"","parse-names":false,"suffix":""},{"dropping-particle":"","family":"Karsznia","given":"Alek","non-dropping-particle":"","parse-names":false,"suffix":""},{"dropping-particle":"","family":"Öberg","given":"Kurt","non-dropping-particle":"","parse-names":false,"suffix":""}],"container-title":"Journal of rehabilitation research and development","id":"ITEM-2","issued":{"date-parts":[["1993"]]},"page":"210","title":"Basic gait parameters: reference data for normal subjects, 10-79 years of age","type":"article-journal","volume":"30"},"uris":["http://www.mendeley.com/documents/?uuid=b8b25517-73df-4780-868e-d42b1bf5ee4e"]},{"id":"ITEM-3","itemData":{"author":[{"dropping-particle":"","family":"Sanderson","given":"David J","non-dropping-particle":"","parse-names":false,"suffix":""},{"dropping-particle":"","family":"Martin","given":"Philip E","non-dropping-particle":"","parse-names":false,"suffix":""}],"container-title":"Gait &amp; posture","id":"ITEM-3","issue":"2","issued":{"date-parts":[["1997"]]},"page":"126-136","title":"Lower extremity kinematic and kinetic adaptations in unilateral below-knee amputees during walking","type":"article-journal","volume":"6"},"uris":["http://www.mendeley.com/documents/?uuid=d9da4b05-947e-4543-b121-4362c4e3efcd"]}],"mendeley":{"formattedCitation":"[16–18]","plainTextFormattedCitation":"[16–18]","previouslyFormattedCitation":"[16–18]"},"properties":{"noteIndex":0},"schema":"https://github.com/citation-style-language/schema/raw/master/csl-citation.json"}</w:instrText>
      </w:r>
      <w:r w:rsidRPr="003476E6">
        <w:rPr>
          <w:rFonts w:cs="Arial"/>
          <w:sz w:val="22"/>
          <w:szCs w:val="22"/>
        </w:rPr>
        <w:fldChar w:fldCharType="separate"/>
      </w:r>
      <w:r w:rsidR="00615554" w:rsidRPr="003476E6">
        <w:rPr>
          <w:rFonts w:cs="Arial"/>
          <w:noProof/>
          <w:sz w:val="22"/>
          <w:szCs w:val="22"/>
        </w:rPr>
        <w:t>[16–18]</w:t>
      </w:r>
      <w:r w:rsidRPr="003476E6">
        <w:rPr>
          <w:rFonts w:cs="Arial"/>
          <w:sz w:val="22"/>
          <w:szCs w:val="22"/>
        </w:rPr>
        <w:fldChar w:fldCharType="end"/>
      </w:r>
      <w:r w:rsidRPr="003476E6">
        <w:rPr>
          <w:rFonts w:cs="Arial"/>
          <w:sz w:val="22"/>
          <w:szCs w:val="22"/>
        </w:rPr>
        <w:t>),</w:t>
      </w:r>
      <w:r w:rsidRPr="003476E6">
        <w:rPr>
          <w:rFonts w:cs="Arial"/>
          <w:sz w:val="22"/>
          <w:szCs w:val="22"/>
          <w:shd w:val="clear" w:color="auto" w:fill="FFFFFF"/>
        </w:rPr>
        <w:t xml:space="preserve"> and </w:t>
      </w:r>
      <w:r w:rsidRPr="003476E6">
        <w:rPr>
          <w:rFonts w:cs="Arial"/>
          <w:sz w:val="22"/>
          <w:szCs w:val="22"/>
        </w:rPr>
        <w:t>previous research has identified a need to investigate the factors underlying these changes in gait speed characteristics</w:t>
      </w:r>
      <w:r w:rsidRPr="003476E6">
        <w:rPr>
          <w:rFonts w:cs="Arial"/>
          <w:sz w:val="22"/>
          <w:szCs w:val="22"/>
          <w:shd w:val="clear" w:color="auto" w:fill="FFFFFF"/>
        </w:rPr>
        <w:t xml:space="preserve"> </w:t>
      </w:r>
      <w:r w:rsidRPr="003476E6">
        <w:rPr>
          <w:rFonts w:cs="Arial"/>
          <w:sz w:val="22"/>
          <w:szCs w:val="22"/>
          <w:shd w:val="clear" w:color="auto" w:fill="FFFFFF"/>
        </w:rPr>
        <w:fldChar w:fldCharType="begin" w:fldLock="1"/>
      </w:r>
      <w:r w:rsidR="00615554" w:rsidRPr="003476E6">
        <w:rPr>
          <w:rFonts w:cs="Arial"/>
          <w:sz w:val="22"/>
          <w:szCs w:val="22"/>
          <w:shd w:val="clear" w:color="auto" w:fill="FFFFFF"/>
        </w:rPr>
        <w:instrText>ADDIN CSL_CITATION {"citationItems":[{"id":"ITEM-1","itemData":{"author":[{"dropping-particle":"","family":"Öberg","given":"Tommy","non-dropping-particle":"","parse-names":false,"suffix":""},{"dropping-particle":"","family":"Karsznia","given":"Alek","non-dropping-particle":"","parse-names":false,"suffix":""},{"dropping-particle":"","family":"Öberg","given":"Kurt","non-dropping-particle":"","parse-names":false,"suffix":""}],"container-title":"Journal of rehabilitation research and development","id":"ITEM-1","issued":{"date-parts":[["1993"]]},"page":"210","title":"Basic gait parameters: reference data for normal subjects, 10-79 years of age","type":"article-journal","volume":"30"},"uris":["http://www.mendeley.com/documents/?uuid=b8b25517-73df-4780-868e-d42b1bf5ee4e"]}],"mendeley":{"formattedCitation":"[17]","plainTextFormattedCitation":"[17]","previouslyFormattedCitation":"[17]"},"properties":{"noteIndex":0},"schema":"https://github.com/citation-style-language/schema/raw/master/csl-citation.json"}</w:instrText>
      </w:r>
      <w:r w:rsidRPr="003476E6">
        <w:rPr>
          <w:rFonts w:cs="Arial"/>
          <w:sz w:val="22"/>
          <w:szCs w:val="22"/>
          <w:shd w:val="clear" w:color="auto" w:fill="FFFFFF"/>
        </w:rPr>
        <w:fldChar w:fldCharType="separate"/>
      </w:r>
      <w:r w:rsidR="00615554" w:rsidRPr="003476E6">
        <w:rPr>
          <w:rFonts w:cs="Arial"/>
          <w:noProof/>
          <w:sz w:val="22"/>
          <w:szCs w:val="22"/>
          <w:shd w:val="clear" w:color="auto" w:fill="FFFFFF"/>
        </w:rPr>
        <w:t>[17]</w:t>
      </w:r>
      <w:r w:rsidRPr="003476E6">
        <w:rPr>
          <w:rFonts w:cs="Arial"/>
          <w:sz w:val="22"/>
          <w:szCs w:val="22"/>
          <w:shd w:val="clear" w:color="auto" w:fill="FFFFFF"/>
        </w:rPr>
        <w:fldChar w:fldCharType="end"/>
      </w:r>
      <w:r w:rsidRPr="003476E6">
        <w:rPr>
          <w:rFonts w:cs="Arial"/>
          <w:sz w:val="22"/>
          <w:szCs w:val="22"/>
          <w:shd w:val="clear" w:color="auto" w:fill="FFFFFF"/>
        </w:rPr>
        <w:t xml:space="preserve">. </w:t>
      </w:r>
      <w:r w:rsidRPr="003476E6">
        <w:rPr>
          <w:rFonts w:cs="Arial"/>
          <w:sz w:val="22"/>
          <w:szCs w:val="22"/>
        </w:rPr>
        <w:t xml:space="preserve">ITTAs also display greater asymmetry during gait than able-bodied individuals (e.g. </w:t>
      </w:r>
      <w:r w:rsidRPr="003476E6">
        <w:rPr>
          <w:rFonts w:cs="Arial"/>
          <w:bCs/>
          <w:color w:val="000000" w:themeColor="text1"/>
          <w:sz w:val="22"/>
          <w:szCs w:val="22"/>
          <w:lang w:eastAsia="en-GB"/>
        </w:rPr>
        <w:t>reduced</w:t>
      </w:r>
      <w:r w:rsidRPr="003476E6">
        <w:rPr>
          <w:rFonts w:cs="Arial"/>
          <w:bCs/>
          <w:color w:val="000000" w:themeColor="text1"/>
          <w:sz w:val="22"/>
          <w:szCs w:val="22"/>
          <w:shd w:val="clear" w:color="auto" w:fill="FFFFFF"/>
        </w:rPr>
        <w:t xml:space="preserve"> amputated limb stance time </w:t>
      </w:r>
      <w:r w:rsidRPr="003476E6">
        <w:rPr>
          <w:rFonts w:cs="Arial"/>
          <w:bCs/>
          <w:color w:val="000000" w:themeColor="text1"/>
          <w:sz w:val="22"/>
          <w:szCs w:val="22"/>
          <w:shd w:val="clear" w:color="auto" w:fill="FFFFFF"/>
        </w:rPr>
        <w:fldChar w:fldCharType="begin" w:fldLock="1"/>
      </w:r>
      <w:r w:rsidR="00615554" w:rsidRPr="003476E6">
        <w:rPr>
          <w:rFonts w:cs="Arial"/>
          <w:bCs/>
          <w:color w:val="000000" w:themeColor="text1"/>
          <w:sz w:val="22"/>
          <w:szCs w:val="22"/>
          <w:shd w:val="clear" w:color="auto" w:fill="FFFFFF"/>
        </w:rPr>
        <w:instrText>ADDIN CSL_CITATION {"citationItems":[{"id":"ITEM-1","itemData":{"author":[{"dropping-particle":"","family":"Mattes","given":"Sarah J","non-dropping-particle":"","parse-names":false,"suffix":""},{"dropping-particle":"","family":"Martin","given":"Philip E","non-dropping-particle":"","parse-names":false,"suffix":""},{"dropping-particle":"","family":"Royer","given":"Todd D","non-dropping-particle":"","parse-names":false,"suffix":""}],"container-title":"Archives of Physical Medicine and Rehabilitation","id":"ITEM-1","issue":"5","issued":{"date-parts":[["2000"]]},"page":"561-568","title":"Walking symmetry and energy cost in persons with unilateral transtibial amputations: matching prosthetic and intact limb inertial properties","type":"article-journal","volume":"81"},"uris":["http://www.mendeley.com/documents/?uuid=23cfa82e-6d22-43c1-a37c-9c919ab94d5b"]},{"id":"ITEM-2","itemData":{"DOI":"10.1016/S0966-6362(02)00066-8","ISBN":"0966-6362","PMID":"12633775","abstract":"The effect of increased walking speed on temporal and loading asymmetry was investigated in highly active trans-femoral and trans-tibial amputees. With increasing walking speed, temporal gait variables reduced in duration, particularly on the prosthetic limb, while vertical ground reaction force (vGRF) increased in magnitude, particularly on the intact limb. Thus, temporal asymmetry reduced and loading asymmetry increased with walking speed. The greater force on the intact limb may reflect the method by which the amputees achieve greater temporal symmetry in order to walk fast, and could possibly account for greater instances of joint degeneration in the intact limb reported in the literature.","author":[{"dropping-particle":"","family":"Nolan","given":"Lee","non-dropping-particle":"","parse-names":false,"suffix":""},{"dropping-particle":"","family":"Wit","given":"Andrzej","non-dropping-particle":"","parse-names":false,"suffix":""},{"dropping-particle":"","family":"Dudziñski","given":"Krzysztof","non-dropping-particle":"","parse-names":false,"suffix":""},{"dropping-particle":"","family":"Lees","given":"Adrian","non-dropping-particle":"","parse-names":false,"suffix":""},{"dropping-particle":"","family":"Lake","given":"Mark","non-dropping-particle":"","parse-names":false,"suffix":""},{"dropping-particle":"","family":"Wychowañski","given":"Michał","non-dropping-particle":"","parse-names":false,"suffix":""}],"container-title":"Gait &amp; Posture","id":"ITEM-2","issue":"2","issued":{"date-parts":[["2003"]]},"page":"142-151","title":"Adjustments in gait symmetry with walking speed in trans-femoral and trans-tibial amputees","type":"article-journal","volume":"17"},"uris":["http://www.mendeley.com/documents/?uuid=d24f662f-a201-4bcf-b040-af22c4bca65d"]}],"mendeley":{"formattedCitation":"[19,20]","plainTextFormattedCitation":"[19,20]","previouslyFormattedCitation":"[19,20]"},"properties":{"noteIndex":0},"schema":"https://github.com/citation-style-language/schema/raw/master/csl-citation.json"}</w:instrText>
      </w:r>
      <w:r w:rsidRPr="003476E6">
        <w:rPr>
          <w:rFonts w:cs="Arial"/>
          <w:bCs/>
          <w:color w:val="000000" w:themeColor="text1"/>
          <w:sz w:val="22"/>
          <w:szCs w:val="22"/>
          <w:shd w:val="clear" w:color="auto" w:fill="FFFFFF"/>
        </w:rPr>
        <w:fldChar w:fldCharType="separate"/>
      </w:r>
      <w:r w:rsidR="00615554" w:rsidRPr="003476E6">
        <w:rPr>
          <w:rFonts w:cs="Arial"/>
          <w:bCs/>
          <w:noProof/>
          <w:color w:val="000000" w:themeColor="text1"/>
          <w:sz w:val="22"/>
          <w:szCs w:val="22"/>
          <w:shd w:val="clear" w:color="auto" w:fill="FFFFFF"/>
        </w:rPr>
        <w:t>[19,20]</w:t>
      </w:r>
      <w:r w:rsidRPr="003476E6">
        <w:rPr>
          <w:rFonts w:cs="Arial"/>
          <w:bCs/>
          <w:color w:val="000000" w:themeColor="text1"/>
          <w:sz w:val="22"/>
          <w:szCs w:val="22"/>
          <w:shd w:val="clear" w:color="auto" w:fill="FFFFFF"/>
        </w:rPr>
        <w:fldChar w:fldCharType="end"/>
      </w:r>
      <w:r w:rsidRPr="003476E6">
        <w:rPr>
          <w:rFonts w:cs="Arial"/>
          <w:bCs/>
          <w:color w:val="000000" w:themeColor="text1"/>
          <w:sz w:val="22"/>
          <w:szCs w:val="22"/>
          <w:shd w:val="clear" w:color="auto" w:fill="FFFFFF"/>
        </w:rPr>
        <w:t>, peak vertical ground reaction force (vGRF</w:t>
      </w:r>
      <w:r w:rsidRPr="003476E6">
        <w:rPr>
          <w:rFonts w:cs="Arial"/>
          <w:color w:val="000000" w:themeColor="text1"/>
          <w:sz w:val="22"/>
          <w:szCs w:val="22"/>
        </w:rPr>
        <w:t xml:space="preserve">) </w:t>
      </w:r>
      <w:r w:rsidRPr="003476E6">
        <w:rPr>
          <w:rFonts w:cs="Arial"/>
          <w:color w:val="000000" w:themeColor="text1"/>
          <w:sz w:val="22"/>
          <w:szCs w:val="22"/>
        </w:rPr>
        <w:fldChar w:fldCharType="begin" w:fldLock="1"/>
      </w:r>
      <w:r w:rsidR="00615554" w:rsidRPr="003476E6">
        <w:rPr>
          <w:rFonts w:cs="Arial"/>
          <w:color w:val="000000" w:themeColor="text1"/>
          <w:sz w:val="22"/>
          <w:szCs w:val="22"/>
        </w:rPr>
        <w:instrText>ADDIN CSL_CITATION {"citationItems":[{"id":"ITEM-1","itemData":{"author":[{"dropping-particle":"","family":"Mattes","given":"Sarah J","non-dropping-particle":"","parse-names":false,"suffix":""},{"dropping-particle":"","family":"Martin","given":"Philip E","non-dropping-particle":"","parse-names":false,"suffix":""},{"dropping-particle":"","family":"Royer","given":"Todd D","non-dropping-particle":"","parse-names":false,"suffix":""}],"container-title":"Archives of Physical Medicine and Rehabilitation","id":"ITEM-1","issue":"5","issued":{"date-parts":[["2000"]]},"page":"561-568","title":"Walking symmetry and energy cost in persons with unilateral transtibial amputations: matching prosthetic and intact limb inertial properties","type":"article-journal","volume":"81"},"uris":["http://www.mendeley.com/documents/?uuid=23cfa82e-6d22-43c1-a37c-9c919ab94d5b"]}],"mendeley":{"formattedCitation":"[19]","plainTextFormattedCitation":"[19]","previouslyFormattedCitation":"[19]"},"properties":{"noteIndex":0},"schema":"https://github.com/citation-style-language/schema/raw/master/csl-citation.json"}</w:instrText>
      </w:r>
      <w:r w:rsidRPr="003476E6">
        <w:rPr>
          <w:rFonts w:cs="Arial"/>
          <w:color w:val="000000" w:themeColor="text1"/>
          <w:sz w:val="22"/>
          <w:szCs w:val="22"/>
        </w:rPr>
        <w:fldChar w:fldCharType="separate"/>
      </w:r>
      <w:r w:rsidR="00615554" w:rsidRPr="003476E6">
        <w:rPr>
          <w:rFonts w:cs="Arial"/>
          <w:noProof/>
          <w:color w:val="000000" w:themeColor="text1"/>
          <w:sz w:val="22"/>
          <w:szCs w:val="22"/>
        </w:rPr>
        <w:t>[19]</w:t>
      </w:r>
      <w:r w:rsidRPr="003476E6">
        <w:rPr>
          <w:rFonts w:cs="Arial"/>
          <w:color w:val="000000" w:themeColor="text1"/>
          <w:sz w:val="22"/>
          <w:szCs w:val="22"/>
        </w:rPr>
        <w:fldChar w:fldCharType="end"/>
      </w:r>
      <w:r w:rsidRPr="003476E6">
        <w:rPr>
          <w:rFonts w:cs="Arial"/>
          <w:color w:val="000000" w:themeColor="text1"/>
          <w:sz w:val="22"/>
          <w:szCs w:val="22"/>
        </w:rPr>
        <w:t>,</w:t>
      </w:r>
      <w:r w:rsidRPr="003476E6">
        <w:rPr>
          <w:rFonts w:cs="Arial"/>
          <w:bCs/>
          <w:color w:val="000000" w:themeColor="text1"/>
          <w:sz w:val="22"/>
          <w:szCs w:val="22"/>
          <w:shd w:val="clear" w:color="auto" w:fill="FFFFFF"/>
        </w:rPr>
        <w:t xml:space="preserve"> and contralateral step length </w:t>
      </w:r>
      <w:r w:rsidRPr="003476E6">
        <w:rPr>
          <w:rFonts w:cs="Arial"/>
          <w:bCs/>
          <w:color w:val="000000" w:themeColor="text1"/>
          <w:sz w:val="22"/>
          <w:szCs w:val="22"/>
          <w:shd w:val="clear" w:color="auto" w:fill="FFFFFF"/>
        </w:rPr>
        <w:fldChar w:fldCharType="begin" w:fldLock="1"/>
      </w:r>
      <w:r w:rsidR="00615554" w:rsidRPr="003476E6">
        <w:rPr>
          <w:rFonts w:cs="Arial"/>
          <w:bCs/>
          <w:color w:val="000000" w:themeColor="text1"/>
          <w:sz w:val="22"/>
          <w:szCs w:val="22"/>
          <w:shd w:val="clear" w:color="auto" w:fill="FFFFFF"/>
        </w:rPr>
        <w:instrText>ADDIN CSL_CITATION {"citationItems":[{"id":"ITEM-1","itemData":{"author":[{"dropping-particle":"","family":"Hak","given":"Laura","non-dropping-particle":"","parse-names":false,"suffix":""},{"dropping-particle":"Van","family":"Dieën","given":"Jaap H","non-dropping-particle":"","parse-names":false,"suffix":""},{"dropping-particle":"Van Der","family":"Wurff","given":"Peter","non-dropping-particle":"","parse-names":false,"suffix":""},{"dropping-particle":"","family":"Houdijk","given":"Han","non-dropping-particle":"","parse-names":false,"suffix":""}],"container-title":"Physical Therapy","id":"ITEM-1","issue":"10","issued":{"date-parts":[["2014"]]},"page":"1480-1488","title":"Stepping asymmetry among individuals with unilateral transtibial limb loss might be functional in terms of gait stability","type":"article-journal","volume":"94"},"uris":["http://www.mendeley.com/documents/?uuid=a4ace3aa-da37-4782-895a-df872f612d81"]}],"mendeley":{"formattedCitation":"[21]","plainTextFormattedCitation":"[21]","previouslyFormattedCitation":"[21]"},"properties":{"noteIndex":0},"schema":"https://github.com/citation-style-language/schema/raw/master/csl-citation.json"}</w:instrText>
      </w:r>
      <w:r w:rsidRPr="003476E6">
        <w:rPr>
          <w:rFonts w:cs="Arial"/>
          <w:bCs/>
          <w:color w:val="000000" w:themeColor="text1"/>
          <w:sz w:val="22"/>
          <w:szCs w:val="22"/>
          <w:shd w:val="clear" w:color="auto" w:fill="FFFFFF"/>
        </w:rPr>
        <w:fldChar w:fldCharType="separate"/>
      </w:r>
      <w:r w:rsidR="00615554" w:rsidRPr="003476E6">
        <w:rPr>
          <w:rFonts w:cs="Arial"/>
          <w:bCs/>
          <w:noProof/>
          <w:color w:val="000000" w:themeColor="text1"/>
          <w:sz w:val="22"/>
          <w:szCs w:val="22"/>
          <w:shd w:val="clear" w:color="auto" w:fill="FFFFFF"/>
        </w:rPr>
        <w:t>[21]</w:t>
      </w:r>
      <w:r w:rsidRPr="003476E6">
        <w:rPr>
          <w:rFonts w:cs="Arial"/>
          <w:bCs/>
          <w:color w:val="000000" w:themeColor="text1"/>
          <w:sz w:val="22"/>
          <w:szCs w:val="22"/>
          <w:shd w:val="clear" w:color="auto" w:fill="FFFFFF"/>
        </w:rPr>
        <w:fldChar w:fldCharType="end"/>
      </w:r>
      <w:r w:rsidRPr="003476E6">
        <w:rPr>
          <w:rFonts w:cs="Arial"/>
          <w:sz w:val="22"/>
          <w:szCs w:val="22"/>
        </w:rPr>
        <w:t>), which</w:t>
      </w:r>
      <w:r w:rsidR="00A2679D" w:rsidRPr="003476E6">
        <w:rPr>
          <w:rFonts w:cs="Arial"/>
          <w:sz w:val="22"/>
          <w:szCs w:val="22"/>
        </w:rPr>
        <w:t xml:space="preserve"> may</w:t>
      </w:r>
      <w:r w:rsidRPr="003476E6">
        <w:rPr>
          <w:rFonts w:cs="Arial"/>
          <w:sz w:val="22"/>
          <w:szCs w:val="22"/>
        </w:rPr>
        <w:t xml:space="preserve"> predispose them to degenerative co-morbidities </w:t>
      </w:r>
      <w:r w:rsidRPr="003476E6">
        <w:rPr>
          <w:rFonts w:cs="Arial"/>
          <w:sz w:val="22"/>
          <w:szCs w:val="22"/>
        </w:rPr>
        <w:fldChar w:fldCharType="begin" w:fldLock="1"/>
      </w:r>
      <w:r w:rsidR="00615554" w:rsidRPr="003476E6">
        <w:rPr>
          <w:rFonts w:cs="Arial"/>
          <w:sz w:val="22"/>
          <w:szCs w:val="22"/>
        </w:rPr>
        <w:instrText>ADDIN CSL_CITATION {"citationItems":[{"id":"ITEM-1","itemData":{"author":[{"dropping-particle":"","family":"Norvell","given":"Daniel C","non-dropping-particle":"","parse-names":false,"suffix":""},{"dropping-particle":"","family":"Czerniecki","given":"Joseph M","non-dropping-particle":"","parse-names":false,"suffix":""},{"dropping-particle":"","family":"Reiber","given":"Gayle E","non-dropping-particle":"","parse-names":false,"suffix":""},{"dropping-particle":"","family":"Maynard","given":"Charles","non-dropping-particle":"","parse-names":false,"suffix":""},{"dropping-particle":"","family":"Pecoraro","given":"Janice A","non-dropping-particle":"","parse-names":false,"suffix":""},{"dropping-particle":"","family":"Weiss","given":"Noel S","non-dropping-particle":"","parse-names":false,"suffix":""}],"container-title":"Archives of Physical Medicine and Rehabilitation","id":"ITEM-1","issue":"3","issued":{"date-parts":[["2005"]]},"page":"487-493","title":"The prevalence of knee pain and symptomatic knee osteoarthritis among veteran traumatic amputees and nonamputees","type":"article-journal","volume":"86"},"uris":["http://www.mendeley.com/documents/?uuid=da4faab3-5a6b-48da-8dd8-0885df16eb81"]},{"id":"ITEM-2","itemData":{"DOI":"//dx.doi.org/10.1016/j.jbspin.2006.03.001","ISBN":"1297-319X","abstract":"The goal of this study was to determine which activities in four domains, daily life, exercises, sports and occupational activities, should be recommended, in favor or against, for the patient suffering from knee or hip OA. Methods Scientific literature was searched in Medline, Embase and Cochrane databases for articles in French or English, reporting original data. The articles were evaluated with standardized epidemiological criteria. Seventy-two articles were retained. Recommendations were graded according to the level of scientific evidence (A high, B moderate, C clinical consensus) and were formulated for primary care. Conclusions and recommendations For activity of daily life (ADL), the OASIS group states with a moderate level of scientific evidence, that ADL are a risk factor for knee OA and that risk increases with intensity and duration of activity. The group concludes that healthy subjects as well as OA patients in general can pursue a high level of physical activity, provided the activity is not painful and does not predispose to trauma (grade B). Radiographic or clinical OA is not a contraindication to promoting activity in patients who have a sedentary lifestyle (grade C). For exercises and other structured activities pursued with a goal of health improvement, the group states with a high level of scientific evidence that they have a favourable effect on pain and function in the sedentary knee OA patient. The OASIS group recommends the practice of exercises and other structured activities for the sedentary patient with knee OA (grade A). Static exercises are not favored over dynamic exercises, availability, preference and tolerance being the criteria for the choice of an exercise (grade A). As results deteriorate when exercises are stopped, they should be performed at a frequency of between one and three times per week (grade B). Professional assistance can be useful in improving initial compliance and perseverance (grade B). There is no scientific argument to support halting exercise in case of an OA flare-up (grade C). For sports and recreational activity, the group states with a high degree of scientific evidence, that these activities are a risk factor for knee and hip OA and that the risk correlates with intensity and duration of exposure. The group also states, with a high degree of scientific evidence, that the risk of OA associated with sport is lesser than that associated with a history of trauma and overweight. No firm conclusion …","author":[{"dropping-particle":"","family":"Vignon","given":"Éric","non-dropping-particle":"","parse-names":false,"suffix":""},{"dropping-particle":"","family":"Valat","given":"Jean-Pierre","non-dropping-particle":"","parse-names":false,"suffix":""},{"dropping-particle":"","family":"Rossignol","given":"Michel","non-dropping-particle":"","parse-names":false,"suffix":""},{"dropping-particle":"","family":"Avouac","given":"Bernard","non-dropping-particle":"","parse-names":false,"suffix":""},{"dropping-particle":"","family":"Rozenberg","given":"Sylvie","non-dropping-particle":"","parse-names":false,"suffix":""},{"dropping-particle":"","family":"Thoumie","given":"Philippe","non-dropping-particle":"","parse-names":false,"suffix":""},{"dropping-particle":"","family":"Avouac","given":"Jérôme","non-dropping-particle":"","parse-names":false,"suffix":""},{"dropping-particle":"","family":"Nordin","given":"Margareta","non-dropping-particle":"","parse-names":false,"suffix":""},{"dropping-particle":"","family":"Hilliquin","given":"Pascal","non-dropping-particle":"","parse-names":false,"suffix":""}],"container-title":"Joint Bone Spine","id":"ITEM-2","issue":"4","issued":{"date-parts":[["2006"]]},"page":"442-455","title":"Osteoarthritis of the knee and hip and activity: a systematic international review and synthesis (OASIS)","type":"article-journal","volume":"73"},"uris":["http://www.mendeley.com/documents/?uuid=fd67743d-b02f-47c4-af8a-8b5a3ac64587"]},{"id":"ITEM-3","itemData":{"author":[{"dropping-particle":"","family":"Vanicek","given":"Natalie","non-dropping-particle":"","parse-names":false,"suffix":""},{"dropping-particle":"","family":"Strike","given":"Siobhan","non-dropping-particle":"","parse-names":false,"suffix":""},{"dropping-particle":"","family":"McNaughton","given":"Lars","non-dropping-particle":"","parse-names":false,"suffix":""},{"dropping-particle":"","family":"Polman","given":"Remco","non-dropping-particle":"","parse-names":false,"suffix":""}],"container-title":"Gait &amp; posture","id":"ITEM-3","issue":"3","issued":{"date-parts":[["2009"]]},"page":"415-420","title":"Gait patterns in transtibial amputee fallers vs. non-fallers: Biomechanical differences during level walking","type":"article-journal","volume":"29"},"uris":["http://www.mendeley.com/documents/?uuid=152d41fa-20da-4e10-b290-d7b4b2bf8bb4"]}],"mendeley":{"formattedCitation":"[22–24]","plainTextFormattedCitation":"[22–24]","previouslyFormattedCitation":"[22–24]"},"properties":{"noteIndex":0},"schema":"https://github.com/citation-style-language/schema/raw/master/csl-citation.json"}</w:instrText>
      </w:r>
      <w:r w:rsidRPr="003476E6">
        <w:rPr>
          <w:rFonts w:cs="Arial"/>
          <w:sz w:val="22"/>
          <w:szCs w:val="22"/>
        </w:rPr>
        <w:fldChar w:fldCharType="separate"/>
      </w:r>
      <w:r w:rsidR="00615554" w:rsidRPr="003476E6">
        <w:rPr>
          <w:rFonts w:cs="Arial"/>
          <w:noProof/>
          <w:sz w:val="22"/>
          <w:szCs w:val="22"/>
        </w:rPr>
        <w:t>[22–24]</w:t>
      </w:r>
      <w:r w:rsidRPr="003476E6">
        <w:rPr>
          <w:rFonts w:cs="Arial"/>
          <w:sz w:val="22"/>
          <w:szCs w:val="22"/>
        </w:rPr>
        <w:fldChar w:fldCharType="end"/>
      </w:r>
      <w:r w:rsidRPr="003476E6">
        <w:rPr>
          <w:rFonts w:cs="Arial"/>
          <w:sz w:val="22"/>
          <w:szCs w:val="22"/>
        </w:rPr>
        <w:t xml:space="preserve">. </w:t>
      </w:r>
      <w:r w:rsidR="007D4B35" w:rsidRPr="003476E6">
        <w:rPr>
          <w:rFonts w:cs="Arial"/>
          <w:sz w:val="22"/>
          <w:szCs w:val="22"/>
        </w:rPr>
        <w:t>Whilst the mechanisms are likely multifaceted, it is possible that knee-extensor strength asymmetries may be a contributing factor to the slower walking speeds and asymmetrical gait apparent in ITTAs</w:t>
      </w:r>
      <w:r w:rsidR="009E7AAC" w:rsidRPr="003476E6">
        <w:rPr>
          <w:rFonts w:cs="Arial"/>
          <w:sz w:val="22"/>
          <w:szCs w:val="22"/>
        </w:rPr>
        <w:t>, given</w:t>
      </w:r>
      <w:r w:rsidR="007D4B35" w:rsidRPr="003476E6">
        <w:rPr>
          <w:rFonts w:cs="Arial"/>
          <w:sz w:val="22"/>
          <w:szCs w:val="22"/>
        </w:rPr>
        <w:t xml:space="preserve"> the role of the quadriceps in dynamic shock absorption in early stance </w:t>
      </w:r>
      <w:r w:rsidR="007D4B35" w:rsidRPr="003476E6">
        <w:rPr>
          <w:rFonts w:cs="Arial"/>
          <w:sz w:val="22"/>
          <w:szCs w:val="22"/>
        </w:rPr>
        <w:fldChar w:fldCharType="begin" w:fldLock="1"/>
      </w:r>
      <w:r w:rsidR="008F25C4" w:rsidRPr="003476E6">
        <w:rPr>
          <w:rFonts w:cs="Arial"/>
          <w:sz w:val="22"/>
          <w:szCs w:val="22"/>
        </w:rPr>
        <w:instrText>ADDIN CSL_CITATION {"citationItems":[{"id":"ITEM-1","itemData":{"author":[{"dropping-particle":"","family":"Perry","given":"Jacquelin","non-dropping-particle":"","parse-names":false,"suffix":""}],"edition":"2","id":"ITEM-1","issued":{"date-parts":[["1992"]]},"publisher":"Slack Inc","publisher-place":"Thorofare, NJ","title":"Gait Analysis: Normal and Pathological Function","type":"book"},"uris":["http://www.mendeley.com/documents/?uuid=74457a1e-d0d8-49e0-aa8f-78f32bacfb9a"]}],"mendeley":{"formattedCitation":"[25]","plainTextFormattedCitation":"[25]","previouslyFormattedCitation":"[25]"},"properties":{"noteIndex":0},"schema":"https://github.com/citation-style-language/schema/raw/master/csl-citation.json"}</w:instrText>
      </w:r>
      <w:r w:rsidR="007D4B35" w:rsidRPr="003476E6">
        <w:rPr>
          <w:rFonts w:cs="Arial"/>
          <w:sz w:val="22"/>
          <w:szCs w:val="22"/>
        </w:rPr>
        <w:fldChar w:fldCharType="separate"/>
      </w:r>
      <w:r w:rsidR="007D4B35" w:rsidRPr="003476E6">
        <w:rPr>
          <w:rFonts w:cs="Arial"/>
          <w:noProof/>
          <w:sz w:val="22"/>
          <w:szCs w:val="22"/>
        </w:rPr>
        <w:t>[25]</w:t>
      </w:r>
      <w:r w:rsidR="007D4B35" w:rsidRPr="003476E6">
        <w:rPr>
          <w:rFonts w:cs="Arial"/>
          <w:sz w:val="22"/>
          <w:szCs w:val="22"/>
        </w:rPr>
        <w:fldChar w:fldCharType="end"/>
      </w:r>
      <w:r w:rsidR="007D4B35" w:rsidRPr="003476E6">
        <w:rPr>
          <w:rFonts w:cs="Arial"/>
          <w:sz w:val="22"/>
          <w:szCs w:val="22"/>
        </w:rPr>
        <w:t xml:space="preserve">. </w:t>
      </w:r>
      <w:r w:rsidR="009E7AAC" w:rsidRPr="003476E6">
        <w:rPr>
          <w:rFonts w:cs="Arial"/>
          <w:bCs/>
          <w:sz w:val="22"/>
          <w:szCs w:val="22"/>
        </w:rPr>
        <w:t>Specifically, ITTAs with larger quadriceps strength asymmetries (and thus, reduced capacity to absorb loads on the amputated side) may select slower walking speeds and favour loading their intact limb, to minimise loads on the amputated side. This would also be consistent w</w:t>
      </w:r>
      <w:r w:rsidR="007D4B35" w:rsidRPr="003476E6">
        <w:rPr>
          <w:rFonts w:cs="Arial"/>
          <w:sz w:val="22"/>
          <w:szCs w:val="22"/>
        </w:rPr>
        <w:t>ith the reduced knee flexion angles and lower knee-</w:t>
      </w:r>
      <w:r w:rsidR="007D4B35" w:rsidRPr="003476E6">
        <w:rPr>
          <w:rFonts w:cs="Arial"/>
          <w:sz w:val="22"/>
          <w:szCs w:val="22"/>
        </w:rPr>
        <w:lastRenderedPageBreak/>
        <w:t xml:space="preserve">extensor moments and powers (particularly the K1 and K2 phases) observed in the amputated, relative to the intact, limb during walking </w:t>
      </w:r>
      <w:r w:rsidR="007D4B35" w:rsidRPr="003476E6">
        <w:rPr>
          <w:rFonts w:cs="Arial"/>
          <w:bCs/>
          <w:color w:val="000000" w:themeColor="text1"/>
          <w:sz w:val="22"/>
          <w:szCs w:val="22"/>
          <w:shd w:val="clear" w:color="auto" w:fill="FFFFFF"/>
        </w:rPr>
        <w:fldChar w:fldCharType="begin" w:fldLock="1"/>
      </w:r>
      <w:r w:rsidR="008F25C4" w:rsidRPr="003476E6">
        <w:rPr>
          <w:rFonts w:cs="Arial"/>
          <w:bCs/>
          <w:color w:val="000000" w:themeColor="text1"/>
          <w:sz w:val="22"/>
          <w:szCs w:val="22"/>
          <w:shd w:val="clear" w:color="auto" w:fill="FFFFFF"/>
        </w:rPr>
        <w:instrText>ADDIN CSL_CITATION {"citationItems":[{"id":"ITEM-1","itemData":{"author":[{"dropping-particle":"","family":"Powers","given":"Christopher M","non-dropping-particle":"","parse-names":false,"suffix":""},{"dropping-particle":"","family":"Rao","given":"Sreesha","non-dropping-particle":"","parse-names":false,"suffix":""},{"dropping-particle":"","family":"Perry","given":"Jacquelin","non-dropping-particle":"","parse-names":false,"suffix":""}],"container-title":"Gait &amp; posture","id":"ITEM-1","issue":"1","issued":{"date-parts":[["1998"]]},"page":"1-7","title":"Knee kinetics in trans-tibial amputee gait","type":"article-journal","volume":"8"},"uris":["http://www.mendeley.com/documents/?uuid=235ee1ed-4efa-4a66-8281-4f05d8daa5e0"]},{"id":"ITEM-2","itemData":{"DOI":"10.1016/j.gaitpost.2008.04.005","ISSN":"09666362","PMID":"18514526","abstract":"Compensatory mechanisms in below-knee amputee gait are necessary due to the functional loss of the ankle muscles, especially at higher walking speeds when the mechanical energetic demands of walking are greater. The objective of this study was to examine amputee anterior/posterior (A/P) ground reaction force (GRF) impulses and joint kinetics across a wide range of steady-state walking speeds to further understand the compensatory mechanisms used by below-knee amputees. We hypothesized that amputees would rely more on their intact leg to generate greater propulsion relative to the residual leg, which would result in greater GRF asymmetry between legs as walking speed increased. Amputee and control subject kinematic and kinetic data were collected during overground walking at four different speeds. Group (n = 14) average amputee data showed no significant differences in braking or propulsive GRF impulse ratios, except the propulsive ratio at 0.9 m/s, indicating that the subjects maintained their initial levels of GRF asymmetry when walking faster. Therefore, our hypothesis was not supported (i.e., walking faster does not increase GRF loading asymmetry). The primary compensatory mechanism was greater positive residual leg hip joint power and work in early stance, which led to increased propulsion from the residual leg as walking speed increased. In addition, amputees had reduced residual leg positive knee work in early stance, suggesting increased output from the biarticular hamstrings. Thus, increasing residual leg hip extensor strength and output may be a useful mechanism to reduce GRF loading asymmetry between the intact and residual legs. © 2008 Elsevier B.V.","author":[{"dropping-particle":"","family":"Silverman","given":"Anne K.","non-dropping-particle":"","parse-names":false,"suffix":""},{"dropping-particle":"","family":"Fey","given":"Nicholas P.","non-dropping-particle":"","parse-names":false,"suffix":""},{"dropping-particle":"","family":"Portillo","given":"Albert","non-dropping-particle":"","parse-names":false,"suffix":""},{"dropping-particle":"","family":"Walden","given":"Judith G.","non-dropping-particle":"","parse-names":false,"suffix":""},{"dropping-particle":"","family":"Bosker","given":"Gordon","non-dropping-particle":"","parse-names":false,"suffix":""},{"dropping-particle":"","family":"Neptune","given":"Richard R.","non-dropping-particle":"","parse-names":false,"suffix":""}],"container-title":"Gait and Posture","id":"ITEM-2","issue":"4","issued":{"date-parts":[["2008","11"]]},"page":"602-609","title":"Compensatory mechanisms in below-knee amputee gait in response to increasing steady-state walking speeds","type":"article-journal","volume":"28"},"uris":["http://www.mendeley.com/documents/?uuid=72564c77-6659-3ed7-ba53-eff80abe7e6c"]},{"id":"ITEM-3","itemData":{"author":[{"dropping-particle":"","family":"Winter","given":"David A","non-dropping-particle":"","parse-names":false,"suffix":""},{"dropping-particle":"","family":"Sienko","given":"Susan E","non-dropping-particle":"","parse-names":false,"suffix":""}],"container-title":"Journal of Biomechanics","id":"ITEM-3","issue":"5","issued":{"date-parts":[["1988"]]},"page":"361-367","title":"Biomechanics of below-knee amputee gait","type":"article-journal","volume":"21"},"uris":["http://www.mendeley.com/documents/?uuid=62146063-577f-420b-9f73-cc669d0de33e"]},{"id":"ITEM-4","itemData":{"author":[{"dropping-particle":"","family":"Sanderson","given":"David J","non-dropping-particle":"","parse-names":false,"suffix":""},{"dropping-particle":"","family":"Martin","given":"Philip E","non-dropping-particle":"","parse-names":false,"suffix":""}],"container-title":"Gait &amp; posture","id":"ITEM-4","issue":"2","issued":{"date-parts":[["1997"]]},"page":"126-136","title":"Lower extremity kinematic and kinetic adaptations in unilateral below-knee amputees during walking","type":"article-journal","volume":"6"},"uris":["http://www.mendeley.com/documents/?uuid=d9da4b05-947e-4543-b121-4362c4e3efcd"]}],"mendeley":{"formattedCitation":"[18,26–28]","plainTextFormattedCitation":"[18,26–28]","previouslyFormattedCitation":"[18,26–28]"},"properties":{"noteIndex":0},"schema":"https://github.com/citation-style-language/schema/raw/master/csl-citation.json"}</w:instrText>
      </w:r>
      <w:r w:rsidR="007D4B35" w:rsidRPr="003476E6">
        <w:rPr>
          <w:rFonts w:cs="Arial"/>
          <w:bCs/>
          <w:color w:val="000000" w:themeColor="text1"/>
          <w:sz w:val="22"/>
          <w:szCs w:val="22"/>
          <w:shd w:val="clear" w:color="auto" w:fill="FFFFFF"/>
        </w:rPr>
        <w:fldChar w:fldCharType="separate"/>
      </w:r>
      <w:r w:rsidR="007D4B35" w:rsidRPr="003476E6">
        <w:rPr>
          <w:rFonts w:cs="Arial"/>
          <w:bCs/>
          <w:noProof/>
          <w:color w:val="000000" w:themeColor="text1"/>
          <w:sz w:val="22"/>
          <w:szCs w:val="22"/>
          <w:shd w:val="clear" w:color="auto" w:fill="FFFFFF"/>
        </w:rPr>
        <w:t>[18,26–28]</w:t>
      </w:r>
      <w:r w:rsidR="007D4B35" w:rsidRPr="003476E6">
        <w:rPr>
          <w:rFonts w:cs="Arial"/>
          <w:bCs/>
          <w:color w:val="000000" w:themeColor="text1"/>
          <w:sz w:val="22"/>
          <w:szCs w:val="22"/>
          <w:shd w:val="clear" w:color="auto" w:fill="FFFFFF"/>
        </w:rPr>
        <w:fldChar w:fldCharType="end"/>
      </w:r>
      <w:r w:rsidR="007D4B35" w:rsidRPr="003476E6">
        <w:rPr>
          <w:rFonts w:cs="Arial"/>
          <w:sz w:val="22"/>
          <w:szCs w:val="22"/>
        </w:rPr>
        <w:t xml:space="preserve">. </w:t>
      </w:r>
      <w:bookmarkEnd w:id="6"/>
      <w:r w:rsidR="007D4B35" w:rsidRPr="003476E6">
        <w:rPr>
          <w:rFonts w:cs="Arial"/>
          <w:sz w:val="22"/>
          <w:szCs w:val="22"/>
        </w:rPr>
        <w:t>A</w:t>
      </w:r>
      <w:r w:rsidR="007D4B35" w:rsidRPr="003476E6">
        <w:rPr>
          <w:rFonts w:cs="Arial"/>
          <w:color w:val="000000" w:themeColor="text1"/>
          <w:sz w:val="22"/>
          <w:szCs w:val="22"/>
        </w:rPr>
        <w:t>mputated limb disuse</w:t>
      </w:r>
      <w:r w:rsidR="007D4B35" w:rsidRPr="003476E6">
        <w:rPr>
          <w:rFonts w:cs="Arial"/>
          <w:sz w:val="22"/>
          <w:szCs w:val="22"/>
        </w:rPr>
        <w:t xml:space="preserve"> resulting from loading asymmetry may further contribute to strength asymmetry </w:t>
      </w:r>
      <w:r w:rsidR="007D4B35" w:rsidRPr="003476E6">
        <w:rPr>
          <w:rFonts w:cs="Arial"/>
          <w:color w:val="000000"/>
          <w:sz w:val="22"/>
          <w:szCs w:val="22"/>
          <w:shd w:val="clear" w:color="auto" w:fill="FFFFFF"/>
        </w:rPr>
        <w:fldChar w:fldCharType="begin" w:fldLock="1"/>
      </w:r>
      <w:r w:rsidR="008F25C4" w:rsidRPr="003476E6">
        <w:rPr>
          <w:rFonts w:cs="Arial"/>
          <w:color w:val="000000"/>
          <w:sz w:val="22"/>
          <w:szCs w:val="22"/>
          <w:shd w:val="clear" w:color="auto" w:fill="FFFFFF"/>
        </w:rPr>
        <w:instrText>ADDIN CSL_CITATION {"citationItems":[{"id":"ITEM-1","itemData":{"DOI":"10.1113/ep088087","ISSN":"0958-0670","author":[{"dropping-particle":"","family":"Sibley","given":"Amy R.","non-dropping-particle":"","parse-names":false,"suffix":""},{"dropping-particle":"","family":"Strike","given":"Siobhán","non-dropping-particle":"","parse-names":false,"suffix":""},{"dropping-particle":"","family":"Moudy","given":"Sarah C.","non-dropping-particle":"","parse-names":false,"suffix":""},{"dropping-particle":"","family":"Tillin","given":"Neale A.","non-dropping-particle":"","parse-names":false,"suffix":""}],"container-title":"Experimental Physiology","id":"ITEM-1","issued":{"date-parts":[["2019","11","27"]]},"publisher":"Wiley","title":"The effects of long</w:instrText>
      </w:r>
      <w:r w:rsidR="008F25C4" w:rsidRPr="003476E6">
        <w:rPr>
          <w:rFonts w:ascii="Cambria Math" w:hAnsi="Cambria Math" w:cs="Cambria Math"/>
          <w:color w:val="000000"/>
          <w:sz w:val="22"/>
          <w:szCs w:val="22"/>
          <w:shd w:val="clear" w:color="auto" w:fill="FFFFFF"/>
        </w:rPr>
        <w:instrText>‐</w:instrText>
      </w:r>
      <w:r w:rsidR="008F25C4" w:rsidRPr="003476E6">
        <w:rPr>
          <w:rFonts w:cs="Arial"/>
          <w:color w:val="000000"/>
          <w:sz w:val="22"/>
          <w:szCs w:val="22"/>
          <w:shd w:val="clear" w:color="auto" w:fill="FFFFFF"/>
        </w:rPr>
        <w:instrText>term muscle disuse on neuromuscular function in unilateral transtibial amputees","type":"article-journal"},"uris":["http://www.mendeley.com/documents/?uuid=35629db8-8caf-391b-88bb-fa9a411f4bc1"]}],"mendeley":{"formattedCitation":"[14]","plainTextFormattedCitation":"[14]","previouslyFormattedCitation":"[14]"},"properties":{"noteIndex":0},"schema":"https://github.com/citation-style-language/schema/raw/master/csl-citation.json"}</w:instrText>
      </w:r>
      <w:r w:rsidR="007D4B35" w:rsidRPr="003476E6">
        <w:rPr>
          <w:rFonts w:cs="Arial"/>
          <w:color w:val="000000"/>
          <w:sz w:val="22"/>
          <w:szCs w:val="22"/>
          <w:shd w:val="clear" w:color="auto" w:fill="FFFFFF"/>
        </w:rPr>
        <w:fldChar w:fldCharType="separate"/>
      </w:r>
      <w:r w:rsidR="007D4B35" w:rsidRPr="003476E6">
        <w:rPr>
          <w:rFonts w:cs="Arial"/>
          <w:noProof/>
          <w:color w:val="000000"/>
          <w:sz w:val="22"/>
          <w:szCs w:val="22"/>
          <w:shd w:val="clear" w:color="auto" w:fill="FFFFFF"/>
        </w:rPr>
        <w:t>[14]</w:t>
      </w:r>
      <w:r w:rsidR="007D4B35" w:rsidRPr="003476E6">
        <w:rPr>
          <w:rFonts w:cs="Arial"/>
          <w:color w:val="000000"/>
          <w:sz w:val="22"/>
          <w:szCs w:val="22"/>
          <w:shd w:val="clear" w:color="auto" w:fill="FFFFFF"/>
        </w:rPr>
        <w:fldChar w:fldCharType="end"/>
      </w:r>
      <w:r w:rsidR="007D4B35" w:rsidRPr="003476E6">
        <w:rPr>
          <w:rFonts w:cs="Arial"/>
          <w:sz w:val="22"/>
          <w:szCs w:val="22"/>
        </w:rPr>
        <w:t xml:space="preserve">, compounding walking gait asymmetry. While knee-extensor MVT asymmetry doesn’t appear associated with self-selected walking speeds </w:t>
      </w:r>
      <w:r w:rsidR="007D4B35" w:rsidRPr="003476E6">
        <w:rPr>
          <w:rFonts w:cs="Arial"/>
          <w:sz w:val="22"/>
          <w:szCs w:val="22"/>
        </w:rPr>
        <w:fldChar w:fldCharType="begin" w:fldLock="1"/>
      </w:r>
      <w:r w:rsidR="008F25C4" w:rsidRPr="003476E6">
        <w:rPr>
          <w:rFonts w:cs="Arial"/>
          <w:sz w:val="22"/>
          <w:szCs w:val="22"/>
        </w:rPr>
        <w:instrText>ADDIN CSL_CITATION {"citationItems":[{"id":"ITEM-1","itemData":{"ISBN":"0031-9023","PMID":"8606900","abstract":"BACKGROUND AND PURPOSE: The purpose of this study was to establish the relationship between isometric muscle force and temporal-spatial gait characteristics for individuals who have had a below-knee amputation secondary to vascular disease. SUBJECTS: Twenty-two individuals (15 male, 7 female) with dysvascular below-knee amputations participated. The male subjects were aged 35 to 72 years (x=59.6, SD=11.1), and the female subjects were aged 54 to 68 years (x=60.5, SD=5.1). Methods. The subjects underwent stride analysis during free-speed and fast walking, as well as bilateral isometric force testing of their remaining hip, knee, and ankle muscles. RESULTS: Stepwise regression analysis revealed that hip extensor force on the amputated side was the only predictor of both free speed (gamma=.50) and fast speed (gamma=.72). Hip abduction force of the sound++ limb was correlated with cadence for both free-speed trials (gamma=.57) and fast-speed trials (gamma=.57). Sound-side knee extensor force was related to free-speed stride length (gamma=.44), whereas residual-limb knee extensor force predicted stride length during fast walking (gamma=.67). CONCLUSION AND DISCUSSION: These results indicate that adequate force is necessary in both residual and sound limbs to improve functional gait ability and that ther hip extensors and abductors and the knee extensors should be emphasized in the rehabilitation of individuals with below-knee amputations.","author":[{"dropping-particle":"","family":"Powers","given":"C M","non-dropping-particle":"","parse-names":false,"suffix":""},{"dropping-particle":"","family":"Boyd","given":"L A","non-dropping-particle":"","parse-names":false,"suffix":""},{"dropping-particle":"","family":"Fontaine","given":"C A","non-dropping-particle":"","parse-names":false,"suffix":""},{"dropping-particle":"","family":"Perry","given":"J","non-dropping-particle":"","parse-names":false,"suffix":""}],"container-title":"Physical Therapy","id":"ITEM-1","issue":"4","issued":{"date-parts":[["1996"]]},"note":"LR: 20100324; JID: 0022623; ppublish","page":"369-385","title":"The influence of lower-extremity muscle force on gait characteristics in individuals with below-knee amputations secondary to vascular disease","type":"article-journal","volume":"76"},"uris":["http://www.mendeley.com/documents/?uuid=f3c60b4e-51e9-49b2-914c-5fd46b014e17"]}],"mendeley":{"formattedCitation":"[29]","plainTextFormattedCitation":"[29]","previouslyFormattedCitation":"[29]"},"properties":{"noteIndex":0},"schema":"https://github.com/citation-style-language/schema/raw/master/csl-citation.json"}</w:instrText>
      </w:r>
      <w:r w:rsidR="007D4B35" w:rsidRPr="003476E6">
        <w:rPr>
          <w:rFonts w:cs="Arial"/>
          <w:sz w:val="22"/>
          <w:szCs w:val="22"/>
        </w:rPr>
        <w:fldChar w:fldCharType="separate"/>
      </w:r>
      <w:r w:rsidR="007D4B35" w:rsidRPr="003476E6">
        <w:rPr>
          <w:rFonts w:cs="Arial"/>
          <w:noProof/>
          <w:sz w:val="22"/>
          <w:szCs w:val="22"/>
        </w:rPr>
        <w:t>[29]</w:t>
      </w:r>
      <w:r w:rsidR="007D4B35" w:rsidRPr="003476E6">
        <w:rPr>
          <w:rFonts w:cs="Arial"/>
          <w:sz w:val="22"/>
          <w:szCs w:val="22"/>
        </w:rPr>
        <w:fldChar w:fldCharType="end"/>
      </w:r>
      <w:r w:rsidR="007D4B35" w:rsidRPr="003476E6">
        <w:rPr>
          <w:rFonts w:cs="Arial"/>
          <w:sz w:val="22"/>
          <w:szCs w:val="22"/>
        </w:rPr>
        <w:t xml:space="preserve">, there is evidence that it may be related to aspects of gait asymmetry </w:t>
      </w:r>
      <w:r w:rsidR="007D4B35" w:rsidRPr="003476E6">
        <w:rPr>
          <w:rFonts w:cs="Arial"/>
          <w:sz w:val="22"/>
          <w:szCs w:val="22"/>
        </w:rPr>
        <w:fldChar w:fldCharType="begin" w:fldLock="1"/>
      </w:r>
      <w:r w:rsidR="008F25C4" w:rsidRPr="003476E6">
        <w:rPr>
          <w:rFonts w:cs="Arial"/>
          <w:sz w:val="22"/>
          <w:szCs w:val="22"/>
        </w:rPr>
        <w:instrText>ADDIN CSL_CITATION {"citationItems":[{"id":"ITEM-1","itemData":{"author":[{"dropping-particle":"","family":"Lloyd","given":"Chandra H","non-dropping-particle":"","parse-names":false,"suffix":""},{"dropping-particle":"","family":"Stanhope","given":"Steven J","non-dropping-particle":"","parse-names":false,"suffix":""},{"dropping-particle":"","family":"Davis","given":"Irene S","non-dropping-particle":"","parse-names":false,"suffix":""},{"dropping-particle":"","family":"Royer","given":"Todd D","non-dropping-particle":"","parse-names":false,"suffix":""}],"container-title":"Gait &amp; posture","id":"ITEM-1","issue":"3","issued":{"date-parts":[["2010"]]},"page":"296-300","title":"Strength asymmetry and osteoarthritis risk factors in unilateral trans-tibial, amputee gait","type":"article-journal","volume":"32"},"uris":["http://www.mendeley.com/documents/?uuid=d0351023-36c7-42d7-a475-d7ce9fb5d39f"]},{"id":"ITEM-2","itemData":{"ISBN":"0031-9023","PMID":"8606900","abstract":"BACKGROUND AND PURPOSE: The purpose of this study was to establish the relationship between isometric muscle force and temporal-spatial gait characteristics for individuals who have had a below-knee amputation secondary to vascular disease. SUBJECTS: Twenty-two individuals (15 male, 7 female) with dysvascular below-knee amputations participated. The male subjects were aged 35 to 72 years (x=59.6, SD=11.1), and the female subjects were aged 54 to 68 years (x=60.5, SD=5.1). Methods. The subjects underwent stride analysis during free-speed and fast walking, as well as bilateral isometric force testing of their remaining hip, knee, and ankle muscles. RESULTS: Stepwise regression analysis revealed that hip extensor force on the amputated side was the only predictor of both free speed (gamma=.50) and fast speed (gamma=.72). Hip abduction force of the sound++ limb was correlated with cadence for both free-speed trials (gamma=.57) and fast-speed trials (gamma=.57). Sound-side knee extensor force was related to free-speed stride length (gamma=.44), whereas residual-limb knee extensor force predicted stride length during fast walking (gamma=.67). CONCLUSION AND DISCUSSION: These results indicate that adequate force is necessary in both residual and sound limbs to improve functional gait ability and that ther hip extensors and abductors and the knee extensors should be emphasized in the rehabilitation of individuals with below-knee amputations.","author":[{"dropping-particle":"","family":"Powers","given":"C M","non-dropping-particle":"","parse-names":false,"suffix":""},{"dropping-particle":"","family":"Boyd","given":"L A","non-dropping-particle":"","parse-names":false,"suffix":""},{"dropping-particle":"","family":"Fontaine","given":"C A","non-dropping-particle":"","parse-names":false,"suffix":""},{"dropping-particle":"","family":"Perry","given":"J","non-dropping-particle":"","parse-names":false,"suffix":""}],"container-title":"Physical Therapy","id":"ITEM-2","issue":"4","issued":{"date-parts":[["1996"]]},"note":"LR: 20100324; JID: 0022623; ppublish","page":"369-385","title":"The influence of lower-extremity muscle force on gait characteristics in individuals with below-knee amputations secondary to vascular disease","type":"article-journal","volume":"76"},"uris":["http://www.mendeley.com/documents/?uuid=f3c60b4e-51e9-49b2-914c-5fd46b014e17"]}],"mendeley":{"formattedCitation":"[13,29]","plainTextFormattedCitation":"[13,29]","previouslyFormattedCitation":"[13,29]"},"properties":{"noteIndex":0},"schema":"https://github.com/citation-style-language/schema/raw/master/csl-citation.json"}</w:instrText>
      </w:r>
      <w:r w:rsidR="007D4B35" w:rsidRPr="003476E6">
        <w:rPr>
          <w:rFonts w:cs="Arial"/>
          <w:sz w:val="22"/>
          <w:szCs w:val="22"/>
        </w:rPr>
        <w:fldChar w:fldCharType="separate"/>
      </w:r>
      <w:r w:rsidR="007D4B35" w:rsidRPr="003476E6">
        <w:rPr>
          <w:rFonts w:cs="Arial"/>
          <w:noProof/>
          <w:sz w:val="22"/>
          <w:szCs w:val="22"/>
        </w:rPr>
        <w:t>[13,29]</w:t>
      </w:r>
      <w:r w:rsidR="007D4B35" w:rsidRPr="003476E6">
        <w:rPr>
          <w:rFonts w:cs="Arial"/>
          <w:sz w:val="22"/>
          <w:szCs w:val="22"/>
        </w:rPr>
        <w:fldChar w:fldCharType="end"/>
      </w:r>
      <w:r w:rsidR="007D4B35" w:rsidRPr="003476E6">
        <w:rPr>
          <w:rFonts w:cs="Arial"/>
          <w:bCs/>
          <w:sz w:val="22"/>
          <w:szCs w:val="22"/>
          <w:lang w:eastAsia="en-GB"/>
        </w:rPr>
        <w:t xml:space="preserve">. Given </w:t>
      </w:r>
      <w:r w:rsidR="007D4B35" w:rsidRPr="003476E6">
        <w:rPr>
          <w:rFonts w:cs="Arial"/>
          <w:color w:val="000000" w:themeColor="text1"/>
          <w:sz w:val="22"/>
          <w:szCs w:val="22"/>
        </w:rPr>
        <w:t xml:space="preserve">RTD is more closely associated with functional capacity than MVT in older adults and injured athletes </w:t>
      </w:r>
      <w:r w:rsidR="007D4B35" w:rsidRPr="003476E6">
        <w:rPr>
          <w:rFonts w:cs="Arial"/>
          <w:sz w:val="22"/>
          <w:szCs w:val="22"/>
        </w:rPr>
        <w:fldChar w:fldCharType="begin" w:fldLock="1"/>
      </w:r>
      <w:r w:rsidR="008F25C4" w:rsidRPr="003476E6">
        <w:rPr>
          <w:rFonts w:cs="Arial"/>
          <w:sz w:val="22"/>
          <w:szCs w:val="22"/>
        </w:rPr>
        <w:instrText>ADDIN CSL_CITATION {"citationItems":[{"id":"ITEM-1","itemData":{"author":[{"dropping-particle":"","family":"Knezevic","given":"Olivera M","non-dropping-particle":"","parse-names":false,"suffix":""},{"dropping-particle":"","family":"Mirkov","given":"Dragan M","non-dropping-particle":"","parse-names":false,"suffix":""},{"dropping-particle":"","family":"Kadija","given":"Marko","non-dropping-particle":"","parse-names":false,"suffix":""},{"dropping-particle":"","family":"Nedeljkovic","given":"Aleksandar","non-dropping-particle":"","parse-names":false,"suffix":""},{"dropping-particle":"","family":"Jaric","given":"Slobodan","non-dropping-particle":"","parse-names":false,"suffix":""}],"container-title":"The Knee","id":"ITEM-1","issue":"6","issued":{"date-parts":[["2014"]]},"page":"1039-1045","title":"Asymmetries in explosive strength following anterior cruciate ligament reconstruction","type":"article-journal","volume":"21"},"uris":["http://www.mendeley.com/documents/?uuid=0a80ec3c-30bf-4846-9522-d4ca84159384"]},{"id":"ITEM-2","itemData":{"author":[{"dropping-particle":"","family":"LaRoche","given":"D P","non-dropping-particle":"","parse-names":false,"suffix":""},{"dropping-particle":"","family":"Cremin","given":"K A","non-dropping-particle":"","parse-names":false,"suffix":""},{"dropping-particle":"","family":"Greenleaf","given":"B","non-dropping-particle":"","parse-names":false,"suffix":""},{"dropping-particle":"V","family":"Croce","given":"R","non-dropping-particle":"","parse-names":false,"suffix":""}],"container-title":"ournal of Electromyography and Kinesiology","id":"ITEM-2","issue":"3","issued":{"date-parts":[["2010"]]},"page":"482-488","title":"Rapid torque development in older female fallers and nonfallers: a comparison across lower-extremity muscles.","type":"article-journal","volume":"20"},"uris":["http://www.mendeley.com/documents/?uuid=5095c2a9-5972-4914-af71-ef89bfb017d0"]},{"id":"ITEM-3","itemData":{"DOI":"10.1177/0363546515595834","ISSN":"15523365","abstract":"Background: Rate of torque development (RTD) measures the ability of a muscle to produce torque quickly. Decreased quadriceps RTD may impair performance of sporting tasks after surgery. Currently, little is known about variations in quadriceps RTD between anterior cruciate ligament (ACL)-reconstructed and noninjured limbs. Purpose: To determine the differences in RTD of the quadriceps, the rate and timing of knee extensor moment (KEM) development, and knee flexion excursion during running after ACL reconstruction with patellar tendon autograft. Study Design: Cross-sectional study; Level of evidence, 3. Methods: This study involved 21 patients (11 female) 6 months after ACL reconstruction with patellar tendon autograft (median [IQR]: age, 18 [16-20] years; mass, 68.18 [61.34-75] kg; height, 1.74 [1.66-1.78] m). Patients performed four 5-second maximal voluntary isometric strength trials of both limbs on an isokinetic dynamometer. RTD was calculated as the mean slope of the torque-time curve between 20% and 80% of total time to peak torque. Then, patients underwent 3-dimensional motion analysis while running on an instrumented treadmill at a self-selected running speed (mean ± SD, 2.68 ± 0.28 m/s). The rate of knee extensor moment (RKEM) was calculated as the mean slope of the moment curve between 10% and 30% of stance phase. Between-limb comparisons were determined with a paired t test for peak KEM, RKEM, knee flexion excursion during 10% to 30% of stance, and time to generate KEM. Results: In the reconstructed limb, deficits in the peak rate of quadriceps torque development compared with the noninjured limb existed both isometrically (RTD, 257.56 vs 569.11 Nm/s; P &lt;.001) and dynamically (RKEM, 16.47 vs 22.38 Nm/kg·m·s; P &lt;.001). The reconstructed limb also generated a KEM later in the stance phase compared with the noninjured limb (11.37% vs 9.61% stance; P &lt;.001) and underwent less knee flexion excursion (15.5° vs 19.8°; P &lt;.001). Conclusion: After ACL reconstruction with patellar tendon autograft, patients have lower RTD and RKEM in the reconstructed limb. Deviations in RTD and the timing of the KEM can change the way the knee is loaded and can potentially increase injury risk and future development of posttraumatic osteoarthritis. Rehabilitation should consider exercises designed to improve RTD and prepare the limb for the demands of sport performance.","author":[{"dropping-particle":"","family":"Kline","given":"Paul W.","non-dropping-particle":"","parse-names":false,"suffix":""},{"dropping-particle":"","family":"Morgan","given":"Kristin D.","non-dropping-particle":"","parse-names":false,"suffix":""},{"dropping-particle":"","family":"Johnson","given":"Darren L.","non-dropping-particle":"","parse-names":false,"suffix":""},{"dropping-particle":"","family":"Ireland","given":"Mary Lloyd","non-dropping-particle":"","parse-names":false,"suffix":""},{"dropping-particle":"","family":"Noehren","given":"Brian","non-dropping-particle":"","parse-names":false,"suffix":""}],"container-title":"American Journal of Sports Medicine","id":"ITEM-3","issue":"10","issued":{"date-parts":[["2015","10","1"]]},"page":"2553-2558","publisher":"SAGE Publications Inc.","title":"Impaired Quadriceps Rate of Torque Development and Knee Mechanics after Anterior Cruciate Ligament Reconstruction with Patellar Tendon Autograft","type":"article-journal","volume":"43"},"uris":["http://www.mendeley.com/documents/?uuid=ea65d213-f71b-3a4f-8e92-ca7b93edf37b"]},{"id":"ITEM-4","itemData":{"DOI":"10.1016/j.gaitpost.2011.02.022","ISSN":"09666362","PMID":"21458271","abstract":"The purpose of this study was to determine how lower-limb strength in older women affected gait speed, supportive forces, spatial, and temporal aspects of walking gait. Twenty-four women between 65 and 80 yr performed maximal voluntary isometric contractions for the knee extensors (KE), knee flexors (KF), ankle plantarflexors (PF) and ankle dorsiflexors (DF) and were separated into low strength and normal strength groups using a KE torque threshold of 1.5Nmkg -1. They walked at both a standard speed of 0.8ms -1 and at a self-selected maximal speed on an instrumented treadmill that recorded vertical ground reaction forces (vGRF) and spatiotemporal gait measures. Older women with low strength had 30% lower KE maximal torque, 36% lower PF maximal torque, 34% lower KE rate of torque development (RTD) and 30% lower KF RTD. Low strength women demonstrated slower maximal walking speeds (1.26±0.20ms -1 vs. 1.56±0.20ms -1), lower vGRF during weight acceptance (1.15±0.10BW vs. 1.27±0.13BW), lower weight acceptance rates (11.3±0.5BWs -1 vs. 17.0±5.5BWs -1), slower stride rates, shorter stride lengths, and longer foot-ground and double-limb support times (all P&lt;0.05). Maximal gait speed was strongly correlated to peak vGRF and rate (r=0.60-0.85, P&lt;0.01) and moderately related to lower-limb strength (r=0.42-0.60, P&lt;0.05). In older women with low strength, diminished peak vGRFs were associated with slower walking speeds putting them at risk for mobility limitation, disability, poor health, and loss of independence. © 2011 Elsevier B.V.","author":[{"dropping-particle":"","family":"LaRoche","given":"Dain P.","non-dropping-particle":"","parse-names":false,"suffix":""},{"dropping-particle":"","family":"Millett","given":"Erica D.","non-dropping-particle":"","parse-names":false,"suffix":""},{"dropping-particle":"","family":"Kralian","given":"Rachel J.","non-dropping-particle":"","parse-names":false,"suffix":""}],"container-title":"Gait and Posture","id":"ITEM-4","issue":"4","issued":{"date-parts":[["2011","4","1"]]},"page":"668-672","publisher":"Elsevier","title":"Low strength is related to diminished ground reaction forces and walking performance in older women","type":"article-journal","volume":"33"},"uris":["http://www.mendeley.com/documents/?uuid=fea8ea75-a19c-37ee-9b21-a126f118faa4"]}],"mendeley":{"formattedCitation":"[30–33]","plainTextFormattedCitation":"[30–33]","previouslyFormattedCitation":"[30–33]"},"properties":{"noteIndex":0},"schema":"https://github.com/citation-style-language/schema/raw/master/csl-citation.json"}</w:instrText>
      </w:r>
      <w:r w:rsidR="007D4B35" w:rsidRPr="003476E6">
        <w:rPr>
          <w:rFonts w:cs="Arial"/>
          <w:sz w:val="22"/>
          <w:szCs w:val="22"/>
        </w:rPr>
        <w:fldChar w:fldCharType="separate"/>
      </w:r>
      <w:r w:rsidR="007D4B35" w:rsidRPr="003476E6">
        <w:rPr>
          <w:rFonts w:cs="Arial"/>
          <w:noProof/>
          <w:sz w:val="22"/>
          <w:szCs w:val="22"/>
        </w:rPr>
        <w:t>[30–33]</w:t>
      </w:r>
      <w:r w:rsidR="007D4B35" w:rsidRPr="003476E6">
        <w:rPr>
          <w:rFonts w:cs="Arial"/>
          <w:sz w:val="22"/>
          <w:szCs w:val="22"/>
        </w:rPr>
        <w:fldChar w:fldCharType="end"/>
      </w:r>
      <w:r w:rsidR="007D4B35" w:rsidRPr="003476E6">
        <w:rPr>
          <w:rFonts w:cs="Arial"/>
          <w:sz w:val="22"/>
          <w:szCs w:val="22"/>
        </w:rPr>
        <w:t xml:space="preserve">, it’s </w:t>
      </w:r>
      <w:r w:rsidR="007D4B35" w:rsidRPr="003476E6">
        <w:rPr>
          <w:rFonts w:cs="Arial"/>
          <w:color w:val="000000" w:themeColor="text1"/>
          <w:sz w:val="22"/>
          <w:szCs w:val="22"/>
        </w:rPr>
        <w:t>possible knee-extensor RTD asymmetry may be more closely associated with walking speed and gait asymmetry in ITTAs.</w:t>
      </w:r>
    </w:p>
    <w:p w14:paraId="7F58B3A9" w14:textId="0117A454" w:rsidR="00DB3F70" w:rsidRPr="003476E6" w:rsidRDefault="00DB3F70" w:rsidP="007D4B35">
      <w:pPr>
        <w:spacing w:after="240" w:line="480" w:lineRule="auto"/>
        <w:jc w:val="both"/>
        <w:rPr>
          <w:rFonts w:cs="Arial"/>
          <w:color w:val="000000" w:themeColor="text1"/>
          <w:sz w:val="22"/>
          <w:szCs w:val="22"/>
        </w:rPr>
      </w:pPr>
      <w:r w:rsidRPr="003476E6">
        <w:rPr>
          <w:rFonts w:cs="Arial"/>
          <w:sz w:val="22"/>
          <w:szCs w:val="22"/>
        </w:rPr>
        <w:t xml:space="preserve">Previous investigations of associations between strength asymmetry and walking speed and/or gait asymmetry in ITTAs have considered habitual speeds </w:t>
      </w:r>
      <w:r w:rsidRPr="003476E6">
        <w:rPr>
          <w:rFonts w:cs="Arial"/>
          <w:sz w:val="22"/>
          <w:szCs w:val="22"/>
        </w:rPr>
        <w:fldChar w:fldCharType="begin" w:fldLock="1"/>
      </w:r>
      <w:r w:rsidR="008F25C4" w:rsidRPr="003476E6">
        <w:rPr>
          <w:rFonts w:cs="Arial"/>
          <w:sz w:val="22"/>
          <w:szCs w:val="22"/>
        </w:rPr>
        <w:instrText>ADDIN CSL_CITATION {"citationItems":[{"id":"ITEM-1","itemData":{"ISBN":"0031-9023","PMID":"8606900","abstract":"BACKGROUND AND PURPOSE: The purpose of this study was to establish the relationship between isometric muscle force and temporal-spatial gait characteristics for individuals who have had a below-knee amputation secondary to vascular disease. SUBJECTS: Twenty-two individuals (15 male, 7 female) with dysvascular below-knee amputations participated. The male subjects were aged 35 to 72 years (x=59.6, SD=11.1), and the female subjects were aged 54 to 68 years (x=60.5, SD=5.1). Methods. The subjects underwent stride analysis during free-speed and fast walking, as well as bilateral isometric force testing of their remaining hip, knee, and ankle muscles. RESULTS: Stepwise regression analysis revealed that hip extensor force on the amputated side was the only predictor of both free speed (gamma=.50) and fast speed (gamma=.72). Hip abduction force of the sound++ limb was correlated with cadence for both free-speed trials (gamma=.57) and fast-speed trials (gamma=.57). Sound-side knee extensor force was related to free-speed stride length (gamma=.44), whereas residual-limb knee extensor force predicted stride length during fast walking (gamma=.67). CONCLUSION AND DISCUSSION: These results indicate that adequate force is necessary in both residual and sound limbs to improve functional gait ability and that ther hip extensors and abductors and the knee extensors should be emphasized in the rehabilitation of individuals with below-knee amputations.","author":[{"dropping-particle":"","family":"Powers","given":"C M","non-dropping-particle":"","parse-names":false,"suffix":""},{"dropping-particle":"","family":"Boyd","given":"L A","non-dropping-particle":"","parse-names":false,"suffix":""},{"dropping-particle":"","family":"Fontaine","given":"C A","non-dropping-particle":"","parse-names":false,"suffix":""},{"dropping-particle":"","family":"Perry","given":"J","non-dropping-particle":"","parse-names":false,"suffix":""}],"container-title":"Physical Therapy","id":"ITEM-1","issue":"4","issued":{"date-parts":[["1996"]]},"note":"LR: 20100324; JID: 0022623; ppublish","page":"369-385","title":"The influence of lower-extremity muscle force on gait characteristics in individuals with below-knee amputations secondary to vascular disease","type":"article-journal","volume":"76"},"uris":["http://www.mendeley.com/documents/?uuid=f3c60b4e-51e9-49b2-914c-5fd46b014e17"]},{"id":"ITEM-2","itemData":{"author":[{"dropping-particle":"","family":"Lloyd","given":"Chandra H","non-dropping-particle":"","parse-names":false,"suffix":""},{"dropping-particle":"","family":"Stanhope","given":"Steven J","non-dropping-particle":"","parse-names":false,"suffix":""},{"dropping-particle":"","family":"Davis","given":"Irene S","non-dropping-particle":"","parse-names":false,"suffix":""},{"dropping-particle":"","family":"Royer","given":"Todd D","non-dropping-particle":"","parse-names":false,"suffix":""}],"container-title":"Gait &amp; posture","id":"ITEM-2","issue":"3","issued":{"date-parts":[["2010"]]},"page":"296-300","title":"Strength asymmetry and osteoarthritis risk factors in unilateral trans-tibial, amputee gait","type":"article-journal","volume":"32"},"uris":["http://www.mendeley.com/documents/?uuid=d0351023-36c7-42d7-a475-d7ce9fb5d39f"]}],"mendeley":{"formattedCitation":"[13,29]","plainTextFormattedCitation":"[13,29]","previouslyFormattedCitation":"[13,29]"},"properties":{"noteIndex":0},"schema":"https://github.com/citation-style-language/schema/raw/master/csl-citation.json"}</w:instrText>
      </w:r>
      <w:r w:rsidRPr="003476E6">
        <w:rPr>
          <w:rFonts w:cs="Arial"/>
          <w:sz w:val="22"/>
          <w:szCs w:val="22"/>
        </w:rPr>
        <w:fldChar w:fldCharType="separate"/>
      </w:r>
      <w:r w:rsidR="007D4B35" w:rsidRPr="003476E6">
        <w:rPr>
          <w:rFonts w:cs="Arial"/>
          <w:noProof/>
          <w:sz w:val="22"/>
          <w:szCs w:val="22"/>
        </w:rPr>
        <w:t>[13,29]</w:t>
      </w:r>
      <w:r w:rsidRPr="003476E6">
        <w:rPr>
          <w:rFonts w:cs="Arial"/>
          <w:sz w:val="22"/>
          <w:szCs w:val="22"/>
        </w:rPr>
        <w:fldChar w:fldCharType="end"/>
      </w:r>
      <w:r w:rsidRPr="003476E6">
        <w:rPr>
          <w:rFonts w:cs="Arial"/>
          <w:sz w:val="22"/>
          <w:szCs w:val="22"/>
        </w:rPr>
        <w:t xml:space="preserve">. </w:t>
      </w:r>
      <w:bookmarkStart w:id="7" w:name="_Hlk60657394"/>
      <w:r w:rsidR="001855AA" w:rsidRPr="003476E6">
        <w:rPr>
          <w:rFonts w:cs="Arial"/>
          <w:sz w:val="22"/>
          <w:szCs w:val="22"/>
        </w:rPr>
        <w:t xml:space="preserve">However, </w:t>
      </w:r>
      <w:r w:rsidR="001855AA" w:rsidRPr="003476E6">
        <w:rPr>
          <w:rFonts w:cs="Arial"/>
          <w:sz w:val="22"/>
          <w:szCs w:val="22"/>
          <w:shd w:val="clear" w:color="auto" w:fill="FFFFFF"/>
        </w:rPr>
        <w:t xml:space="preserve">the capacity to walk at faster speeds </w:t>
      </w:r>
      <w:r w:rsidR="001855AA" w:rsidRPr="003476E6">
        <w:rPr>
          <w:rFonts w:cs="Arial"/>
          <w:sz w:val="22"/>
          <w:szCs w:val="22"/>
        </w:rPr>
        <w:t xml:space="preserve">is useful for completing several mobility-dependent tasks of daily living </w:t>
      </w:r>
      <w:r w:rsidR="001855AA" w:rsidRPr="003476E6">
        <w:rPr>
          <w:rFonts w:cs="Arial"/>
          <w:sz w:val="22"/>
          <w:szCs w:val="22"/>
        </w:rPr>
        <w:fldChar w:fldCharType="begin" w:fldLock="1"/>
      </w:r>
      <w:r w:rsidR="008F25C4" w:rsidRPr="003476E6">
        <w:rPr>
          <w:rFonts w:cs="Arial"/>
          <w:sz w:val="22"/>
          <w:szCs w:val="22"/>
        </w:rPr>
        <w:instrText>ADDIN CSL_CITATION {"citationItems":[{"id":"ITEM-1","itemData":{"author":[{"dropping-particle":"","family":"Fritz","given":"Stacy","non-dropping-particle":"","parse-names":false,"suffix":""},{"dropping-particle":"","family":"Lusardi","given":"Michelle","non-dropping-particle":"","parse-names":false,"suffix":""}],"container-title":"Journal of geriatric physical therapy","id":"ITEM-1","issue":"2","issued":{"date-parts":[["2009"]]},"page":"2-5","title":"White paper:“walking speed: the sixth vital sign”","type":"article-journal","volume":"32"},"uris":["http://www.mendeley.com/documents/?uuid=196a6400-72e1-4bdf-9489-bc55eacfe1e9"]}],"mendeley":{"formattedCitation":"[34]","plainTextFormattedCitation":"[34]","previouslyFormattedCitation":"[34]"},"properties":{"noteIndex":0},"schema":"https://github.com/citation-style-language/schema/raw/master/csl-citation.json"}</w:instrText>
      </w:r>
      <w:r w:rsidR="001855AA" w:rsidRPr="003476E6">
        <w:rPr>
          <w:rFonts w:cs="Arial"/>
          <w:sz w:val="22"/>
          <w:szCs w:val="22"/>
        </w:rPr>
        <w:fldChar w:fldCharType="separate"/>
      </w:r>
      <w:r w:rsidR="007D4B35" w:rsidRPr="003476E6">
        <w:rPr>
          <w:rFonts w:cs="Arial"/>
          <w:noProof/>
          <w:sz w:val="22"/>
          <w:szCs w:val="22"/>
        </w:rPr>
        <w:t>[34]</w:t>
      </w:r>
      <w:r w:rsidR="001855AA" w:rsidRPr="003476E6">
        <w:rPr>
          <w:rFonts w:cs="Arial"/>
          <w:sz w:val="22"/>
          <w:szCs w:val="22"/>
        </w:rPr>
        <w:fldChar w:fldCharType="end"/>
      </w:r>
      <w:r w:rsidR="001855AA" w:rsidRPr="003476E6">
        <w:rPr>
          <w:rFonts w:cs="Arial"/>
          <w:sz w:val="22"/>
          <w:szCs w:val="22"/>
        </w:rPr>
        <w:t xml:space="preserve"> </w:t>
      </w:r>
      <w:r w:rsidR="00DB4F44" w:rsidRPr="003476E6">
        <w:rPr>
          <w:rFonts w:cs="Arial"/>
          <w:sz w:val="22"/>
          <w:szCs w:val="22"/>
        </w:rPr>
        <w:t>as well as</w:t>
      </w:r>
      <w:r w:rsidR="001855AA" w:rsidRPr="003476E6">
        <w:rPr>
          <w:rFonts w:cs="Arial"/>
          <w:sz w:val="22"/>
          <w:szCs w:val="22"/>
        </w:rPr>
        <w:t xml:space="preserve"> improving/maintaining cardiovascular fitness. </w:t>
      </w:r>
      <w:bookmarkEnd w:id="7"/>
      <w:r w:rsidRPr="003476E6">
        <w:rPr>
          <w:rFonts w:cs="Arial"/>
          <w:bCs/>
          <w:color w:val="000000" w:themeColor="text1"/>
          <w:sz w:val="22"/>
          <w:szCs w:val="22"/>
          <w:shd w:val="clear" w:color="auto" w:fill="FFFFFF"/>
        </w:rPr>
        <w:t xml:space="preserve">As speed increases, increased lower-limb muscular force is required to absorb and generate impact forces. In ITTAs, much of this additional demand is met by the intact limb </w:t>
      </w:r>
      <w:r w:rsidRPr="003476E6">
        <w:rPr>
          <w:rFonts w:cs="Arial"/>
          <w:bCs/>
          <w:color w:val="000000" w:themeColor="text1"/>
          <w:sz w:val="22"/>
          <w:szCs w:val="22"/>
          <w:shd w:val="clear" w:color="auto" w:fill="FFFFFF"/>
        </w:rPr>
        <w:fldChar w:fldCharType="begin" w:fldLock="1"/>
      </w:r>
      <w:r w:rsidR="008F25C4" w:rsidRPr="003476E6">
        <w:rPr>
          <w:rFonts w:cs="Arial"/>
          <w:bCs/>
          <w:color w:val="000000" w:themeColor="text1"/>
          <w:sz w:val="22"/>
          <w:szCs w:val="22"/>
          <w:shd w:val="clear" w:color="auto" w:fill="FFFFFF"/>
        </w:rPr>
        <w:instrText>ADDIN CSL_CITATION {"citationItems":[{"id":"ITEM-1","itemData":{"DOI":"10.1016/j.gaitpost.2008.04.005","ISSN":"09666362","PMID":"18514526","abstract":"Compensatory mechanisms in below-knee amputee gait are necessary due to the functional loss of the ankle muscles, especially at higher walking speeds when the mechanical energetic demands of walking are greater. The objective of this study was to examine amputee anterior/posterior (A/P) ground reaction force (GRF) impulses and joint kinetics across a wide range of steady-state walking speeds to further understand the compensatory mechanisms used by below-knee amputees. We hypothesized that amputees would rely more on their intact leg to generate greater propulsion relative to the residual leg, which would result in greater GRF asymmetry between legs as walking speed increased. Amputee and control subject kinematic and kinetic data were collected during overground walking at four different speeds. Group (n = 14) average amputee data showed no significant differences in braking or propulsive GRF impulse ratios, except the propulsive ratio at 0.9 m/s, indicating that the subjects maintained their initial levels of GRF asymmetry when walking faster. Therefore, our hypothesis was not supported (i.e., walking faster does not increase GRF loading asymmetry). The primary compensatory mechanism was greater positive residual leg hip joint power and work in early stance, which led to increased propulsion from the residual leg as walking speed increased. In addition, amputees had reduced residual leg positive knee work in early stance, suggesting increased output from the biarticular hamstrings. Thus, increasing residual leg hip extensor strength and output may be a useful mechanism to reduce GRF loading asymmetry between the intact and residual legs. © 2008 Elsevier B.V.","author":[{"dropping-particle":"","family":"Silverman","given":"Anne K.","non-dropping-particle":"","parse-names":false,"suffix":""},{"dropping-particle":"","family":"Fey","given":"Nicholas P.","non-dropping-particle":"","parse-names":false,"suffix":""},{"dropping-particle":"","family":"Portillo","given":"Albert","non-dropping-particle":"","parse-names":false,"suffix":""},{"dropping-particle":"","family":"Walden","given":"Judith G.","non-dropping-particle":"","parse-names":false,"suffix":""},{"dropping-particle":"","family":"Bosker","given":"Gordon","non-dropping-particle":"","parse-names":false,"suffix":""},{"dropping-particle":"","family":"Neptune","given":"Richard R.","non-dropping-particle":"","parse-names":false,"suffix":""}],"container-title":"Gait and Posture","id":"ITEM-1","issue":"4","issued":{"date-parts":[["2008","11"]]},"page":"602-609","title":"Compensatory mechanisms in below-knee amputee gait in response to increasing steady-state walking speeds","type":"article-journal","volume":"28"},"uris":["http://www.mendeley.com/documents/?uuid=72564c77-6659-3ed7-ba53-eff80abe7e6c"]}],"mendeley":{"formattedCitation":"[27]","plainTextFormattedCitation":"[27]","previouslyFormattedCitation":"[27]"},"properties":{"noteIndex":0},"schema":"https://github.com/citation-style-language/schema/raw/master/csl-citation.json"}</w:instrText>
      </w:r>
      <w:r w:rsidRPr="003476E6">
        <w:rPr>
          <w:rFonts w:cs="Arial"/>
          <w:bCs/>
          <w:color w:val="000000" w:themeColor="text1"/>
          <w:sz w:val="22"/>
          <w:szCs w:val="22"/>
          <w:shd w:val="clear" w:color="auto" w:fill="FFFFFF"/>
        </w:rPr>
        <w:fldChar w:fldCharType="separate"/>
      </w:r>
      <w:r w:rsidR="007D4B35" w:rsidRPr="003476E6">
        <w:rPr>
          <w:rFonts w:cs="Arial"/>
          <w:bCs/>
          <w:noProof/>
          <w:color w:val="000000" w:themeColor="text1"/>
          <w:sz w:val="22"/>
          <w:szCs w:val="22"/>
          <w:shd w:val="clear" w:color="auto" w:fill="FFFFFF"/>
        </w:rPr>
        <w:t>[27]</w:t>
      </w:r>
      <w:r w:rsidRPr="003476E6">
        <w:rPr>
          <w:rFonts w:cs="Arial"/>
          <w:bCs/>
          <w:color w:val="000000" w:themeColor="text1"/>
          <w:sz w:val="22"/>
          <w:szCs w:val="22"/>
          <w:shd w:val="clear" w:color="auto" w:fill="FFFFFF"/>
        </w:rPr>
        <w:fldChar w:fldCharType="end"/>
      </w:r>
      <w:r w:rsidRPr="003476E6">
        <w:rPr>
          <w:rFonts w:cs="Arial"/>
          <w:bCs/>
          <w:color w:val="000000" w:themeColor="text1"/>
          <w:sz w:val="22"/>
          <w:szCs w:val="22"/>
          <w:shd w:val="clear" w:color="auto" w:fill="FFFFFF"/>
        </w:rPr>
        <w:t xml:space="preserve">. </w:t>
      </w:r>
      <w:r w:rsidRPr="003476E6">
        <w:rPr>
          <w:rFonts w:cs="Arial"/>
          <w:color w:val="000000" w:themeColor="text1"/>
          <w:sz w:val="22"/>
          <w:szCs w:val="22"/>
        </w:rPr>
        <w:t xml:space="preserve">It is therefore conceivable that strength asymmetries may: (1) become more closely associated with speed and gait asymmetries during fast walking; (2) limit the range of speeds an ITTA is able to walk at (measured as the difference between fast and habitual walking speed); and (3) relate to any increase in gait asymmetries when walking at fast, compared to habitual speeds (measured as the difference in asymmetry between fast and habitual speed). </w:t>
      </w:r>
    </w:p>
    <w:p w14:paraId="08F15368" w14:textId="45BD5C91" w:rsidR="00DB3F70" w:rsidRPr="003476E6" w:rsidRDefault="00DB3F70" w:rsidP="00DB3F70">
      <w:pPr>
        <w:pStyle w:val="CommentText"/>
        <w:spacing w:line="480" w:lineRule="auto"/>
        <w:jc w:val="both"/>
        <w:rPr>
          <w:rFonts w:cs="Arial"/>
          <w:sz w:val="22"/>
          <w:szCs w:val="22"/>
        </w:rPr>
      </w:pPr>
      <w:r w:rsidRPr="003476E6">
        <w:rPr>
          <w:rFonts w:cs="Arial"/>
          <w:spacing w:val="-2"/>
          <w:sz w:val="22"/>
          <w:szCs w:val="22"/>
        </w:rPr>
        <w:t xml:space="preserve">This study investigated the associations of ITTA knee-extensor </w:t>
      </w:r>
      <w:r w:rsidR="00436F6F" w:rsidRPr="003476E6">
        <w:rPr>
          <w:rFonts w:cs="Arial"/>
          <w:spacing w:val="-2"/>
          <w:sz w:val="22"/>
          <w:szCs w:val="22"/>
        </w:rPr>
        <w:t xml:space="preserve">MVT and RTD </w:t>
      </w:r>
      <w:r w:rsidRPr="003476E6">
        <w:rPr>
          <w:rFonts w:cs="Arial"/>
          <w:spacing w:val="-2"/>
          <w:sz w:val="22"/>
          <w:szCs w:val="22"/>
        </w:rPr>
        <w:t>asymmetry, with both self-selected walking speed and gait asymmetry (kinetic and temporospatial) during habitual and fast walking.</w:t>
      </w:r>
      <w:r w:rsidRPr="003476E6">
        <w:rPr>
          <w:rFonts w:cs="Arial"/>
          <w:b/>
          <w:spacing w:val="-2"/>
          <w:sz w:val="22"/>
          <w:szCs w:val="22"/>
        </w:rPr>
        <w:t xml:space="preserve"> </w:t>
      </w:r>
    </w:p>
    <w:p w14:paraId="1EDA703D" w14:textId="77777777" w:rsidR="009A4785" w:rsidRPr="003476E6" w:rsidRDefault="00104279" w:rsidP="00964B8E">
      <w:pPr>
        <w:pStyle w:val="Heading1"/>
      </w:pPr>
      <w:r w:rsidRPr="003476E6">
        <w:lastRenderedPageBreak/>
        <w:t>Methods</w:t>
      </w:r>
    </w:p>
    <w:p w14:paraId="6A5EB910" w14:textId="58D2E420" w:rsidR="00104279" w:rsidRPr="003476E6" w:rsidRDefault="00104279" w:rsidP="00777947">
      <w:pPr>
        <w:spacing w:after="240" w:line="480" w:lineRule="auto"/>
        <w:jc w:val="both"/>
        <w:rPr>
          <w:rFonts w:cs="Arial"/>
          <w:sz w:val="22"/>
          <w:szCs w:val="22"/>
        </w:rPr>
      </w:pPr>
      <w:r w:rsidRPr="003476E6">
        <w:rPr>
          <w:rFonts w:cs="Arial"/>
          <w:sz w:val="22"/>
          <w:szCs w:val="22"/>
        </w:rPr>
        <w:t xml:space="preserve">Eight male </w:t>
      </w:r>
      <w:r w:rsidR="00F30164" w:rsidRPr="003476E6">
        <w:rPr>
          <w:rFonts w:cs="Arial"/>
          <w:sz w:val="22"/>
          <w:szCs w:val="22"/>
        </w:rPr>
        <w:t>ITTA</w:t>
      </w:r>
      <w:r w:rsidRPr="003476E6">
        <w:rPr>
          <w:rFonts w:cs="Arial"/>
          <w:sz w:val="22"/>
          <w:szCs w:val="22"/>
        </w:rPr>
        <w:t>s</w:t>
      </w:r>
      <w:bookmarkStart w:id="8" w:name="_Hlk11064790"/>
      <w:r w:rsidRPr="003476E6">
        <w:rPr>
          <w:rFonts w:cs="Arial"/>
          <w:sz w:val="22"/>
          <w:szCs w:val="22"/>
        </w:rPr>
        <w:t xml:space="preserve"> </w:t>
      </w:r>
      <w:bookmarkEnd w:id="8"/>
      <w:r w:rsidR="00777947" w:rsidRPr="003476E6">
        <w:rPr>
          <w:rFonts w:cs="Arial"/>
          <w:sz w:val="22"/>
          <w:szCs w:val="22"/>
        </w:rPr>
        <w:t xml:space="preserve">provided informed written consent </w:t>
      </w:r>
      <w:r w:rsidRPr="003476E6">
        <w:rPr>
          <w:rFonts w:cs="Arial"/>
          <w:sz w:val="22"/>
          <w:szCs w:val="22"/>
        </w:rPr>
        <w:t>(</w:t>
      </w:r>
      <w:r w:rsidR="007B56B7" w:rsidRPr="003476E6">
        <w:rPr>
          <w:rFonts w:cs="Arial"/>
          <w:sz w:val="22"/>
          <w:szCs w:val="22"/>
        </w:rPr>
        <w:t>Table 1</w:t>
      </w:r>
      <w:r w:rsidRPr="003476E6">
        <w:rPr>
          <w:rFonts w:cs="Arial"/>
          <w:sz w:val="22"/>
          <w:szCs w:val="22"/>
        </w:rPr>
        <w:t xml:space="preserve">). </w:t>
      </w:r>
      <w:r w:rsidR="00777947" w:rsidRPr="003476E6">
        <w:rPr>
          <w:rFonts w:cs="Arial"/>
          <w:sz w:val="22"/>
          <w:szCs w:val="22"/>
        </w:rPr>
        <w:t xml:space="preserve">Ethical approval was obtained from the </w:t>
      </w:r>
      <w:r w:rsidR="00EA08E2" w:rsidRPr="003476E6">
        <w:rPr>
          <w:rFonts w:cs="Arial"/>
          <w:sz w:val="22"/>
          <w:szCs w:val="22"/>
        </w:rPr>
        <w:t>University of Roehampton’s</w:t>
      </w:r>
      <w:r w:rsidR="00777947" w:rsidRPr="003476E6">
        <w:rPr>
          <w:rFonts w:cs="Arial"/>
          <w:sz w:val="22"/>
          <w:szCs w:val="22"/>
        </w:rPr>
        <w:t xml:space="preserve"> Ethics Committee (LSC 16/176) and the NHS Health Research Authority (17/NW/0566). </w:t>
      </w:r>
    </w:p>
    <w:p w14:paraId="7DFA5405" w14:textId="1E58122A" w:rsidR="004D4E17" w:rsidRPr="003476E6" w:rsidRDefault="005F686E" w:rsidP="000E2681">
      <w:pPr>
        <w:widowControl w:val="0"/>
        <w:autoSpaceDE w:val="0"/>
        <w:autoSpaceDN w:val="0"/>
        <w:adjustRightInd w:val="0"/>
        <w:spacing w:after="120" w:line="480" w:lineRule="auto"/>
        <w:jc w:val="both"/>
        <w:rPr>
          <w:rFonts w:cs="Arial"/>
          <w:b/>
          <w:sz w:val="22"/>
          <w:szCs w:val="22"/>
        </w:rPr>
      </w:pPr>
      <w:r w:rsidRPr="003476E6">
        <w:rPr>
          <w:rFonts w:cs="Arial"/>
          <w:b/>
          <w:sz w:val="22"/>
          <w:szCs w:val="22"/>
        </w:rPr>
        <w:t>**TABLE 1*</w:t>
      </w:r>
    </w:p>
    <w:p w14:paraId="313F6B54" w14:textId="1B370FAD" w:rsidR="00104279" w:rsidRPr="003476E6" w:rsidRDefault="00937575" w:rsidP="004D4E17">
      <w:pPr>
        <w:pStyle w:val="CommentText"/>
        <w:spacing w:line="480" w:lineRule="auto"/>
        <w:jc w:val="both"/>
        <w:rPr>
          <w:sz w:val="22"/>
          <w:szCs w:val="22"/>
        </w:rPr>
      </w:pPr>
      <w:r w:rsidRPr="003476E6">
        <w:rPr>
          <w:rFonts w:cs="Arial"/>
          <w:sz w:val="22"/>
          <w:szCs w:val="22"/>
        </w:rPr>
        <w:t>To ensure established ambulation, o</w:t>
      </w:r>
      <w:r w:rsidR="00BC3C19" w:rsidRPr="003476E6">
        <w:rPr>
          <w:rFonts w:cs="Arial"/>
          <w:sz w:val="22"/>
          <w:szCs w:val="22"/>
        </w:rPr>
        <w:t>nly individuals with</w:t>
      </w:r>
      <w:r w:rsidR="00104279" w:rsidRPr="003476E6">
        <w:rPr>
          <w:rFonts w:cs="Arial"/>
          <w:sz w:val="22"/>
          <w:szCs w:val="22"/>
        </w:rPr>
        <w:t xml:space="preserve"> a </w:t>
      </w:r>
      <w:r w:rsidR="007006F1" w:rsidRPr="003476E6">
        <w:rPr>
          <w:rFonts w:cs="Arial"/>
          <w:sz w:val="22"/>
          <w:szCs w:val="22"/>
        </w:rPr>
        <w:t xml:space="preserve">primary </w:t>
      </w:r>
      <w:r w:rsidR="00104279" w:rsidRPr="003476E6">
        <w:rPr>
          <w:rFonts w:cs="Arial"/>
          <w:sz w:val="22"/>
          <w:szCs w:val="22"/>
        </w:rPr>
        <w:t xml:space="preserve">unilateral transtibial amputation &gt;6 months prior to involvement in the study, </w:t>
      </w:r>
      <w:r w:rsidRPr="003476E6">
        <w:rPr>
          <w:rFonts w:cs="Arial"/>
          <w:sz w:val="22"/>
          <w:szCs w:val="22"/>
        </w:rPr>
        <w:t xml:space="preserve">and a minimum functional K3 rating </w:t>
      </w:r>
      <w:r w:rsidRPr="003476E6">
        <w:rPr>
          <w:rFonts w:cs="Arial"/>
          <w:sz w:val="22"/>
          <w:szCs w:val="22"/>
        </w:rPr>
        <w:fldChar w:fldCharType="begin" w:fldLock="1"/>
      </w:r>
      <w:r w:rsidR="008F25C4" w:rsidRPr="003476E6">
        <w:rPr>
          <w:rFonts w:cs="Arial"/>
          <w:sz w:val="22"/>
          <w:szCs w:val="22"/>
        </w:rPr>
        <w:instrText>ADDIN CSL_CITATION {"citationItems":[{"id":"ITEM-1","itemData":{"DOI":"10.1177/2055668316636316","ISBN":"2055-6683","abstract":"The functional level (K level) of prosthetic users is used to choose appropriate prosthetic components, but ratings may highly subjective. A more objective and robust method to determine K level may be appealing. The aim of this study was to determine the relationship between K level determined in the clinic to K level based on real world ambulatory activity data collected by StepWatch. Twelve individuals with transtibial limb loss gave informed consent to participate. K level assessments performed in the clinic by a single treating prosthetist were compared with a calculated estimate based on seven days of real world ambulatory activity patterns using linear regression. There was good agreement between the two methods of determining K level with R2 = 0.775 (p &lt; 0.001). The calculated estimate of K level based on actual ambulatory activity in real world settings appears to be similar to the treating prosthetist’s assessment of K level based on gait observation and patient responses in the clinic. Clinic-based ambulatory capacity in transtibial prosthetic users appears to correlate with real world ambulatory behavior in this small cohort. Determining functional level based on real world ambulatory activity may supplement clinic-based tests of functional capacity.","author":[{"dropping-particle":"","family":"Orendurff","given":"Michael S","non-dropping-particle":"","parse-names":false,"suffix":""},{"dropping-particle":"","family":"Raschke","given":"Silvia U","non-dropping-particle":"","parse-names":false,"suffix":""},{"dropping-particle":"","family":"Winder","given":"Lorne","non-dropping-particle":"","parse-names":false,"suffix":""},{"dropping-particle":"","family":"Moe","given":"David","non-dropping-particle":"","parse-names":false,"suffix":""},{"dropping-particle":"","family":"Boone","given":"David A","non-dropping-particle":"","parse-names":false,"suffix":""},{"dropping-particle":"","family":"Kobayashi","given":"Toshiki","non-dropping-particle":"","parse-names":false,"suffix":""}],"container-title":"Journal of Rehabilitation and Assistive Technologies Engineering","id":"ITEM-1","issued":{"date-parts":[["2016"]]},"page":"1-6","title":"Functional level assessment of individuals with transtibial limb loss: Evaluation in the clinical setting versus objective community ambulatory activity","type":"article-journal","volume":"3"},"uris":["http://www.mendeley.com/documents/?uuid=4f425b1a-6578-4f07-be7e-8db3d1fbcd57"]}],"mendeley":{"formattedCitation":"[35]","plainTextFormattedCitation":"[35]","previouslyFormattedCitation":"[35]"},"properties":{"noteIndex":0},"schema":"https://github.com/citation-style-language/schema/raw/master/csl-citation.json"}</w:instrText>
      </w:r>
      <w:r w:rsidRPr="003476E6">
        <w:rPr>
          <w:rFonts w:cs="Arial"/>
          <w:sz w:val="22"/>
          <w:szCs w:val="22"/>
        </w:rPr>
        <w:fldChar w:fldCharType="separate"/>
      </w:r>
      <w:r w:rsidR="007D4B35" w:rsidRPr="003476E6">
        <w:rPr>
          <w:rFonts w:cs="Arial"/>
          <w:noProof/>
          <w:sz w:val="22"/>
          <w:szCs w:val="22"/>
        </w:rPr>
        <w:t>[35]</w:t>
      </w:r>
      <w:r w:rsidRPr="003476E6">
        <w:rPr>
          <w:rFonts w:cs="Arial"/>
          <w:sz w:val="22"/>
          <w:szCs w:val="22"/>
        </w:rPr>
        <w:fldChar w:fldCharType="end"/>
      </w:r>
      <w:r w:rsidRPr="003476E6">
        <w:rPr>
          <w:rFonts w:cs="Arial"/>
          <w:sz w:val="22"/>
          <w:szCs w:val="22"/>
        </w:rPr>
        <w:t>, were recruited</w:t>
      </w:r>
      <w:r w:rsidR="00104279" w:rsidRPr="003476E6">
        <w:rPr>
          <w:rFonts w:cs="Arial"/>
          <w:sz w:val="22"/>
          <w:szCs w:val="22"/>
        </w:rPr>
        <w:t xml:space="preserve">. </w:t>
      </w:r>
      <w:bookmarkStart w:id="9" w:name="_Hlk58337582"/>
      <w:r w:rsidRPr="003476E6">
        <w:rPr>
          <w:rFonts w:cs="Arial"/>
          <w:sz w:val="22"/>
          <w:szCs w:val="22"/>
        </w:rPr>
        <w:t>Further e</w:t>
      </w:r>
      <w:r w:rsidR="00104279" w:rsidRPr="003476E6">
        <w:rPr>
          <w:rFonts w:cs="Arial"/>
          <w:sz w:val="22"/>
          <w:szCs w:val="22"/>
        </w:rPr>
        <w:t>xclusion criteria included pain</w:t>
      </w:r>
      <w:r w:rsidR="006845E1" w:rsidRPr="003476E6">
        <w:rPr>
          <w:rFonts w:cs="Arial"/>
          <w:sz w:val="22"/>
          <w:szCs w:val="22"/>
        </w:rPr>
        <w:t>/</w:t>
      </w:r>
      <w:r w:rsidR="00104279" w:rsidRPr="003476E6">
        <w:rPr>
          <w:rFonts w:cs="Arial"/>
          <w:sz w:val="22"/>
          <w:szCs w:val="22"/>
        </w:rPr>
        <w:t>discomfort in the residual limb whilst using their prosthesis</w:t>
      </w:r>
      <w:r w:rsidR="006F4410" w:rsidRPr="003476E6">
        <w:rPr>
          <w:rFonts w:cs="Arial"/>
          <w:sz w:val="22"/>
          <w:szCs w:val="22"/>
        </w:rPr>
        <w:t>;</w:t>
      </w:r>
      <w:r w:rsidR="00104279" w:rsidRPr="003476E6">
        <w:rPr>
          <w:rFonts w:cs="Arial"/>
          <w:sz w:val="22"/>
          <w:szCs w:val="22"/>
        </w:rPr>
        <w:t xml:space="preserve"> amputation due to complications arising from metabolic conditions (</w:t>
      </w:r>
      <w:r w:rsidR="00BC3C19" w:rsidRPr="003476E6">
        <w:rPr>
          <w:rFonts w:cs="Arial"/>
          <w:sz w:val="22"/>
          <w:szCs w:val="22"/>
        </w:rPr>
        <w:t>e.g.,</w:t>
      </w:r>
      <w:r w:rsidR="00104279" w:rsidRPr="003476E6">
        <w:rPr>
          <w:rFonts w:cs="Arial"/>
          <w:sz w:val="22"/>
          <w:szCs w:val="22"/>
        </w:rPr>
        <w:t xml:space="preserve"> diabetes)</w:t>
      </w:r>
      <w:r w:rsidR="006F4410" w:rsidRPr="003476E6">
        <w:rPr>
          <w:rFonts w:cs="Arial"/>
          <w:sz w:val="22"/>
          <w:szCs w:val="22"/>
        </w:rPr>
        <w:t>;</w:t>
      </w:r>
      <w:r w:rsidR="00104279" w:rsidRPr="003476E6">
        <w:rPr>
          <w:rFonts w:cs="Arial"/>
          <w:sz w:val="22"/>
          <w:szCs w:val="22"/>
        </w:rPr>
        <w:t xml:space="preserve"> </w:t>
      </w:r>
      <w:r w:rsidR="001A3AA2" w:rsidRPr="003476E6">
        <w:rPr>
          <w:rFonts w:cs="Arial"/>
          <w:sz w:val="22"/>
          <w:szCs w:val="22"/>
        </w:rPr>
        <w:t xml:space="preserve">residuum shorter than 10 cm; </w:t>
      </w:r>
      <w:r w:rsidR="00104279" w:rsidRPr="003476E6">
        <w:rPr>
          <w:rFonts w:cs="Arial"/>
          <w:sz w:val="22"/>
          <w:szCs w:val="22"/>
        </w:rPr>
        <w:t xml:space="preserve">and cardiovascular disease risk factors or neuro-musculoskeletal injuries (other than a transtibial amputation). </w:t>
      </w:r>
      <w:bookmarkEnd w:id="9"/>
      <w:r w:rsidRPr="003476E6">
        <w:rPr>
          <w:rFonts w:cs="Arial"/>
          <w:sz w:val="22"/>
          <w:szCs w:val="22"/>
        </w:rPr>
        <w:t xml:space="preserve">All ITTAs wore </w:t>
      </w:r>
      <w:r w:rsidR="00084CE4" w:rsidRPr="003476E6">
        <w:rPr>
          <w:rFonts w:cs="Arial"/>
          <w:sz w:val="22"/>
          <w:szCs w:val="22"/>
        </w:rPr>
        <w:t xml:space="preserve">feet classified as </w:t>
      </w:r>
      <w:r w:rsidR="009332A3" w:rsidRPr="003476E6">
        <w:rPr>
          <w:rFonts w:cs="Arial"/>
          <w:sz w:val="22"/>
          <w:szCs w:val="22"/>
        </w:rPr>
        <w:t xml:space="preserve">passive </w:t>
      </w:r>
      <w:r w:rsidR="001A3AA2" w:rsidRPr="003476E6">
        <w:rPr>
          <w:rFonts w:cs="Arial"/>
          <w:sz w:val="22"/>
          <w:szCs w:val="22"/>
        </w:rPr>
        <w:t>energy storage and return</w:t>
      </w:r>
      <w:r w:rsidRPr="003476E6">
        <w:rPr>
          <w:rFonts w:cs="Arial"/>
          <w:sz w:val="22"/>
          <w:szCs w:val="22"/>
        </w:rPr>
        <w:t>.</w:t>
      </w:r>
    </w:p>
    <w:p w14:paraId="6905338E" w14:textId="1D883488" w:rsidR="00104279" w:rsidRPr="003476E6" w:rsidRDefault="00104279" w:rsidP="00964B8E">
      <w:pPr>
        <w:pStyle w:val="Heading2"/>
        <w:rPr>
          <w:i/>
          <w:iCs/>
          <w:u w:val="none"/>
        </w:rPr>
      </w:pPr>
      <w:r w:rsidRPr="003476E6">
        <w:rPr>
          <w:i/>
          <w:iCs/>
          <w:u w:val="none"/>
        </w:rPr>
        <w:t xml:space="preserve">Experimental Setup </w:t>
      </w:r>
    </w:p>
    <w:p w14:paraId="0D54167B" w14:textId="77777777" w:rsidR="00DB3F70" w:rsidRPr="003476E6" w:rsidRDefault="00DB3F70" w:rsidP="00DB3F70"/>
    <w:p w14:paraId="0EBBBE09" w14:textId="1D652565" w:rsidR="001F43E4" w:rsidRPr="003476E6" w:rsidRDefault="00DB3F70" w:rsidP="001F43E4">
      <w:pPr>
        <w:widowControl w:val="0"/>
        <w:autoSpaceDE w:val="0"/>
        <w:autoSpaceDN w:val="0"/>
        <w:adjustRightInd w:val="0"/>
        <w:spacing w:after="120" w:line="480" w:lineRule="auto"/>
        <w:jc w:val="both"/>
        <w:rPr>
          <w:rFonts w:cs="Arial"/>
          <w:sz w:val="22"/>
          <w:szCs w:val="22"/>
        </w:rPr>
      </w:pPr>
      <w:bookmarkStart w:id="10" w:name="_Hlk58334314"/>
      <w:r w:rsidRPr="003476E6">
        <w:rPr>
          <w:rFonts w:cs="Arial"/>
          <w:sz w:val="22"/>
          <w:szCs w:val="22"/>
        </w:rPr>
        <w:t xml:space="preserve">Participants visited the laboratory on three separate occasions (3-7 days between each visit) to complete familiarisation of the strength measurements (visit 1), strength measurements (visit 2), and biomechanical measurements during walking (visit 3). </w:t>
      </w:r>
      <w:r w:rsidR="001F43E4" w:rsidRPr="003476E6">
        <w:rPr>
          <w:rFonts w:cs="Arial"/>
          <w:sz w:val="22"/>
          <w:szCs w:val="22"/>
        </w:rPr>
        <w:t xml:space="preserve">A familiarisation session was </w:t>
      </w:r>
      <w:r w:rsidRPr="003476E6">
        <w:rPr>
          <w:rFonts w:cs="Arial"/>
          <w:sz w:val="22"/>
          <w:szCs w:val="22"/>
        </w:rPr>
        <w:t>used</w:t>
      </w:r>
      <w:r w:rsidR="001F43E4" w:rsidRPr="003476E6">
        <w:rPr>
          <w:rFonts w:cs="Arial"/>
          <w:sz w:val="22"/>
          <w:szCs w:val="22"/>
        </w:rPr>
        <w:t xml:space="preserve"> to improve the reliability of strength measures </w:t>
      </w:r>
      <w:r w:rsidR="001F43E4" w:rsidRPr="003476E6">
        <w:rPr>
          <w:sz w:val="22"/>
          <w:szCs w:val="22"/>
        </w:rPr>
        <w:fldChar w:fldCharType="begin" w:fldLock="1"/>
      </w:r>
      <w:r w:rsidR="008F25C4" w:rsidRPr="003476E6">
        <w:rPr>
          <w:rFonts w:cs="Arial"/>
          <w:sz w:val="22"/>
          <w:szCs w:val="22"/>
        </w:rPr>
        <w:instrText>ADDIN CSL_CITATION {"citationItems":[{"id":"ITEM-1","itemData":{"author":[{"dropping-particle":"","family":"Maffiuletti","given":"Nicola A","non-dropping-particle":"","parse-names":false,"suffix":""},{"dropping-particle":"","family":"Aagaard","given":"Per","non-dropping-particle":"","parse-names":false,"suffix":""},{"dropping-particle":"","family":"Blazevich","given":"Anthony J","non-dropping-particle":"","parse-names":false,"suffix":""},{"dropping-particle":"","family":"Folland","given":"Jonathan","non-dropping-particle":"","parse-names":false,"suffix":""},{"dropping-particle":"","family":"Tillin","given":"Neale","non-dropping-particle":"","parse-names":false,"suffix":""},{"dropping-particle":"","family":"Duchateau","given":"Jacques","non-dropping-particle":"","parse-names":false,"suffix":""}],"container-title":"European journal of applied physiology","id":"ITEM-1","issue":"6","issued":{"date-parts":[["2016"]]},"page":"1091-1116","title":"Rate of force development: physiological and methodological considerations","type":"article-journal","volume":"116"},"uris":["http://www.mendeley.com/documents/?uuid=6a3501a8-22b9-49ae-bb44-e9f294e1e2dc"]}],"mendeley":{"formattedCitation":"[36]","plainTextFormattedCitation":"[36]","previouslyFormattedCitation":"[36]"},"properties":{"noteIndex":0},"schema":"https://github.com/citation-style-language/schema/raw/master/csl-citation.json"}</w:instrText>
      </w:r>
      <w:r w:rsidR="001F43E4" w:rsidRPr="003476E6">
        <w:rPr>
          <w:sz w:val="22"/>
          <w:szCs w:val="22"/>
        </w:rPr>
        <w:fldChar w:fldCharType="separate"/>
      </w:r>
      <w:r w:rsidR="007D4B35" w:rsidRPr="003476E6">
        <w:rPr>
          <w:rFonts w:cs="Arial"/>
          <w:noProof/>
          <w:sz w:val="22"/>
          <w:szCs w:val="22"/>
        </w:rPr>
        <w:t>[36]</w:t>
      </w:r>
      <w:r w:rsidR="001F43E4" w:rsidRPr="003476E6">
        <w:rPr>
          <w:sz w:val="22"/>
          <w:szCs w:val="22"/>
        </w:rPr>
        <w:fldChar w:fldCharType="end"/>
      </w:r>
      <w:r w:rsidRPr="003476E6">
        <w:rPr>
          <w:rFonts w:cs="Arial"/>
          <w:sz w:val="22"/>
          <w:szCs w:val="22"/>
        </w:rPr>
        <w:t>,</w:t>
      </w:r>
      <w:r w:rsidR="001F43E4" w:rsidRPr="003476E6">
        <w:rPr>
          <w:rFonts w:cs="Arial"/>
          <w:sz w:val="22"/>
          <w:szCs w:val="22"/>
        </w:rPr>
        <w:t xml:space="preserve"> </w:t>
      </w:r>
      <w:r w:rsidRPr="003476E6">
        <w:rPr>
          <w:rFonts w:cs="Arial"/>
          <w:sz w:val="22"/>
          <w:szCs w:val="22"/>
        </w:rPr>
        <w:t>whilst strength and gait analyses occurred on separate days to avoid fatiguing effects of one on the other</w:t>
      </w:r>
      <w:r w:rsidR="001F43E4" w:rsidRPr="003476E6">
        <w:rPr>
          <w:rFonts w:cs="Arial"/>
          <w:sz w:val="22"/>
          <w:szCs w:val="22"/>
        </w:rPr>
        <w:t xml:space="preserve">. </w:t>
      </w:r>
      <w:bookmarkEnd w:id="10"/>
      <w:r w:rsidR="001F43E4" w:rsidRPr="003476E6">
        <w:rPr>
          <w:rFonts w:cs="Arial"/>
          <w:sz w:val="22"/>
          <w:szCs w:val="22"/>
        </w:rPr>
        <w:t xml:space="preserve">Sessions commenced at a consistent time of day (± 2 hours) for each participant, following at least 36 hours without strenuous exercise, and 24 hours without alcohol. </w:t>
      </w:r>
    </w:p>
    <w:p w14:paraId="626F94E3" w14:textId="77777777" w:rsidR="00104279" w:rsidRPr="003476E6" w:rsidRDefault="00104279" w:rsidP="00964B8E">
      <w:pPr>
        <w:pStyle w:val="Heading2"/>
        <w:rPr>
          <w:i/>
          <w:iCs/>
          <w:u w:val="none"/>
        </w:rPr>
      </w:pPr>
      <w:r w:rsidRPr="003476E6">
        <w:rPr>
          <w:i/>
          <w:iCs/>
          <w:u w:val="none"/>
        </w:rPr>
        <w:t>Strength</w:t>
      </w:r>
      <w:r w:rsidR="00CD3241" w:rsidRPr="003476E6">
        <w:rPr>
          <w:i/>
          <w:iCs/>
          <w:u w:val="none"/>
        </w:rPr>
        <w:t xml:space="preserve"> Data Collection</w:t>
      </w:r>
    </w:p>
    <w:p w14:paraId="6DAFA526" w14:textId="454F3859" w:rsidR="00104279" w:rsidRPr="003476E6" w:rsidRDefault="00214BB8" w:rsidP="000E2681">
      <w:pPr>
        <w:widowControl w:val="0"/>
        <w:autoSpaceDE w:val="0"/>
        <w:autoSpaceDN w:val="0"/>
        <w:adjustRightInd w:val="0"/>
        <w:spacing w:after="120" w:line="480" w:lineRule="auto"/>
        <w:jc w:val="both"/>
        <w:rPr>
          <w:rFonts w:cs="Arial"/>
          <w:i/>
          <w:sz w:val="22"/>
          <w:szCs w:val="22"/>
        </w:rPr>
      </w:pPr>
      <w:r w:rsidRPr="003476E6">
        <w:rPr>
          <w:rFonts w:cs="Arial"/>
          <w:sz w:val="22"/>
          <w:szCs w:val="22"/>
        </w:rPr>
        <w:t xml:space="preserve">Isometric strength data were collected </w:t>
      </w:r>
      <w:r w:rsidR="00F13CF9" w:rsidRPr="003476E6">
        <w:rPr>
          <w:rFonts w:cs="Arial"/>
          <w:sz w:val="22"/>
          <w:szCs w:val="22"/>
        </w:rPr>
        <w:t xml:space="preserve">with the </w:t>
      </w:r>
      <w:r w:rsidR="00BA4F82" w:rsidRPr="003476E6">
        <w:rPr>
          <w:rFonts w:cs="Arial"/>
          <w:sz w:val="22"/>
          <w:szCs w:val="22"/>
        </w:rPr>
        <w:t>prosthesis</w:t>
      </w:r>
      <w:r w:rsidR="00F13CF9" w:rsidRPr="003476E6">
        <w:rPr>
          <w:rFonts w:cs="Arial"/>
          <w:sz w:val="22"/>
          <w:szCs w:val="22"/>
        </w:rPr>
        <w:t xml:space="preserve"> removed </w:t>
      </w:r>
      <w:r w:rsidRPr="003476E6">
        <w:rPr>
          <w:rFonts w:cs="Arial"/>
          <w:sz w:val="22"/>
          <w:szCs w:val="22"/>
        </w:rPr>
        <w:t>using</w:t>
      </w:r>
      <w:r w:rsidR="00104279" w:rsidRPr="003476E6">
        <w:rPr>
          <w:rFonts w:cs="Arial"/>
          <w:sz w:val="22"/>
          <w:szCs w:val="22"/>
        </w:rPr>
        <w:t xml:space="preserve"> an isokinetic dynamometer (</w:t>
      </w:r>
      <w:proofErr w:type="spellStart"/>
      <w:r w:rsidR="00104279" w:rsidRPr="003476E6">
        <w:rPr>
          <w:rFonts w:cs="Arial"/>
          <w:sz w:val="22"/>
          <w:szCs w:val="22"/>
        </w:rPr>
        <w:t>Humac</w:t>
      </w:r>
      <w:proofErr w:type="spellEnd"/>
      <w:r w:rsidR="00104279" w:rsidRPr="003476E6">
        <w:rPr>
          <w:rFonts w:cs="Arial"/>
          <w:sz w:val="22"/>
          <w:szCs w:val="22"/>
        </w:rPr>
        <w:t xml:space="preserve"> Norm, Computer Sports Medicine Inc., Massachusetts, USA). </w:t>
      </w:r>
      <w:bookmarkStart w:id="11" w:name="_Hlk58514086"/>
      <w:r w:rsidRPr="003476E6">
        <w:rPr>
          <w:rFonts w:cs="Arial"/>
          <w:sz w:val="22"/>
          <w:szCs w:val="22"/>
        </w:rPr>
        <w:t xml:space="preserve">Participants were seated with a hip angle of </w:t>
      </w:r>
      <w:r w:rsidR="000E78B5" w:rsidRPr="003476E6">
        <w:rPr>
          <w:rFonts w:cs="Arial"/>
          <w:sz w:val="22"/>
          <w:szCs w:val="22"/>
        </w:rPr>
        <w:t>8</w:t>
      </w:r>
      <w:r w:rsidRPr="003476E6">
        <w:rPr>
          <w:rFonts w:cs="Arial"/>
          <w:sz w:val="22"/>
          <w:szCs w:val="22"/>
        </w:rPr>
        <w:t xml:space="preserve">0° </w:t>
      </w:r>
      <w:r w:rsidR="000E78B5" w:rsidRPr="003476E6">
        <w:rPr>
          <w:rFonts w:cs="Arial"/>
          <w:sz w:val="22"/>
          <w:szCs w:val="22"/>
        </w:rPr>
        <w:t xml:space="preserve">flexion </w:t>
      </w:r>
      <w:r w:rsidR="00602CE4" w:rsidRPr="003476E6">
        <w:rPr>
          <w:rFonts w:cs="Arial"/>
          <w:sz w:val="22"/>
          <w:szCs w:val="22"/>
        </w:rPr>
        <w:t>from the vertical line</w:t>
      </w:r>
      <w:r w:rsidR="00030182" w:rsidRPr="003476E6">
        <w:rPr>
          <w:rFonts w:cs="Arial"/>
          <w:sz w:val="22"/>
          <w:szCs w:val="22"/>
        </w:rPr>
        <w:t xml:space="preserve">, </w:t>
      </w:r>
      <w:r w:rsidR="00602CE4" w:rsidRPr="003476E6">
        <w:rPr>
          <w:rFonts w:cs="Arial"/>
          <w:sz w:val="22"/>
          <w:szCs w:val="22"/>
        </w:rPr>
        <w:t xml:space="preserve">the </w:t>
      </w:r>
      <w:r w:rsidR="00030182" w:rsidRPr="003476E6">
        <w:rPr>
          <w:rFonts w:cs="Arial"/>
          <w:sz w:val="22"/>
          <w:szCs w:val="22"/>
        </w:rPr>
        <w:t>knee at ~</w:t>
      </w:r>
      <w:r w:rsidR="000E78B5" w:rsidRPr="003476E6">
        <w:rPr>
          <w:rFonts w:cs="Arial"/>
          <w:sz w:val="22"/>
          <w:szCs w:val="22"/>
        </w:rPr>
        <w:t>7</w:t>
      </w:r>
      <w:r w:rsidR="00030182" w:rsidRPr="003476E6">
        <w:rPr>
          <w:rFonts w:cs="Arial"/>
          <w:sz w:val="22"/>
          <w:szCs w:val="22"/>
        </w:rPr>
        <w:t xml:space="preserve">0° </w:t>
      </w:r>
      <w:r w:rsidR="000E78B5" w:rsidRPr="003476E6">
        <w:rPr>
          <w:rFonts w:cs="Arial"/>
          <w:sz w:val="22"/>
          <w:szCs w:val="22"/>
        </w:rPr>
        <w:t xml:space="preserve">flexion </w:t>
      </w:r>
      <w:r w:rsidR="00030182" w:rsidRPr="003476E6">
        <w:rPr>
          <w:rFonts w:cs="Arial"/>
          <w:sz w:val="22"/>
          <w:szCs w:val="22"/>
        </w:rPr>
        <w:t>during near-maximal isometric extension</w:t>
      </w:r>
      <w:bookmarkEnd w:id="11"/>
      <w:r w:rsidR="00030182" w:rsidRPr="003476E6">
        <w:rPr>
          <w:rFonts w:cs="Arial"/>
          <w:sz w:val="22"/>
          <w:szCs w:val="22"/>
        </w:rPr>
        <w:t>,</w:t>
      </w:r>
      <w:r w:rsidRPr="003476E6">
        <w:rPr>
          <w:rFonts w:cs="Arial"/>
          <w:sz w:val="22"/>
          <w:szCs w:val="22"/>
        </w:rPr>
        <w:t xml:space="preserve"> and </w:t>
      </w:r>
      <w:r w:rsidR="00416644" w:rsidRPr="003476E6">
        <w:rPr>
          <w:rFonts w:cs="Arial"/>
          <w:sz w:val="22"/>
          <w:szCs w:val="22"/>
        </w:rPr>
        <w:t>tightly</w:t>
      </w:r>
      <w:r w:rsidRPr="003476E6">
        <w:rPr>
          <w:rFonts w:cs="Arial"/>
          <w:sz w:val="22"/>
          <w:szCs w:val="22"/>
        </w:rPr>
        <w:t xml:space="preserve"> strap</w:t>
      </w:r>
      <w:r w:rsidR="00416644" w:rsidRPr="003476E6">
        <w:rPr>
          <w:rFonts w:cs="Arial"/>
          <w:sz w:val="22"/>
          <w:szCs w:val="22"/>
        </w:rPr>
        <w:t>ped</w:t>
      </w:r>
      <w:r w:rsidRPr="003476E6">
        <w:rPr>
          <w:rFonts w:cs="Arial"/>
          <w:sz w:val="22"/>
          <w:szCs w:val="22"/>
        </w:rPr>
        <w:t xml:space="preserve"> across the pelvis and </w:t>
      </w:r>
      <w:r w:rsidRPr="003476E6">
        <w:rPr>
          <w:rFonts w:cs="Arial"/>
          <w:sz w:val="22"/>
          <w:szCs w:val="22"/>
        </w:rPr>
        <w:lastRenderedPageBreak/>
        <w:t xml:space="preserve">shoulders. </w:t>
      </w:r>
      <w:r w:rsidR="00D45848" w:rsidRPr="003476E6">
        <w:rPr>
          <w:rFonts w:cs="Arial"/>
          <w:sz w:val="22"/>
          <w:szCs w:val="22"/>
        </w:rPr>
        <w:t>B</w:t>
      </w:r>
      <w:r w:rsidR="00104279" w:rsidRPr="003476E6">
        <w:rPr>
          <w:rFonts w:cs="Arial"/>
          <w:sz w:val="22"/>
          <w:szCs w:val="22"/>
        </w:rPr>
        <w:t xml:space="preserve">asic modifications were made to </w:t>
      </w:r>
      <w:r w:rsidR="00F6543B" w:rsidRPr="003476E6">
        <w:rPr>
          <w:rFonts w:cs="Arial"/>
          <w:sz w:val="22"/>
          <w:szCs w:val="22"/>
        </w:rPr>
        <w:t xml:space="preserve">the chair to </w:t>
      </w:r>
      <w:r w:rsidR="00104279" w:rsidRPr="003476E6">
        <w:rPr>
          <w:rFonts w:cs="Arial"/>
          <w:sz w:val="22"/>
          <w:szCs w:val="22"/>
        </w:rPr>
        <w:t>minimise knee angle changes during contractions, including the use of a dense foam padding on the seat and limb a</w:t>
      </w:r>
      <w:r w:rsidR="00F30164" w:rsidRPr="003476E6">
        <w:rPr>
          <w:rFonts w:cs="Arial"/>
          <w:sz w:val="22"/>
          <w:szCs w:val="22"/>
        </w:rPr>
        <w:t>tta</w:t>
      </w:r>
      <w:r w:rsidR="00104279" w:rsidRPr="003476E6">
        <w:rPr>
          <w:rFonts w:cs="Arial"/>
          <w:sz w:val="22"/>
          <w:szCs w:val="22"/>
        </w:rPr>
        <w:t>chment, and a custom-made lower</w:t>
      </w:r>
      <w:r w:rsidR="00056A8F" w:rsidRPr="003476E6">
        <w:rPr>
          <w:rFonts w:cs="Arial"/>
          <w:sz w:val="22"/>
          <w:szCs w:val="22"/>
        </w:rPr>
        <w:t>-</w:t>
      </w:r>
      <w:r w:rsidR="00104279" w:rsidRPr="003476E6">
        <w:rPr>
          <w:rFonts w:cs="Arial"/>
          <w:sz w:val="22"/>
          <w:szCs w:val="22"/>
        </w:rPr>
        <w:t>limb attachment tightly clamped to the crank</w:t>
      </w:r>
      <w:r w:rsidR="006845E1" w:rsidRPr="003476E6">
        <w:rPr>
          <w:rFonts w:cs="Arial"/>
          <w:sz w:val="22"/>
          <w:szCs w:val="22"/>
        </w:rPr>
        <w:t>-</w:t>
      </w:r>
      <w:r w:rsidR="00104279" w:rsidRPr="003476E6">
        <w:rPr>
          <w:rFonts w:cs="Arial"/>
          <w:sz w:val="22"/>
          <w:szCs w:val="22"/>
        </w:rPr>
        <w:t xml:space="preserve">arm to </w:t>
      </w:r>
      <w:r w:rsidR="003E6B1F" w:rsidRPr="003476E6">
        <w:rPr>
          <w:rFonts w:cs="Arial"/>
          <w:sz w:val="22"/>
          <w:szCs w:val="22"/>
        </w:rPr>
        <w:t xml:space="preserve">prevent </w:t>
      </w:r>
      <w:r w:rsidR="00056A8F" w:rsidRPr="003476E6">
        <w:rPr>
          <w:rFonts w:cs="Arial"/>
          <w:sz w:val="22"/>
          <w:szCs w:val="22"/>
        </w:rPr>
        <w:t>extraneous rotation</w:t>
      </w:r>
      <w:r w:rsidR="00104279" w:rsidRPr="003476E6">
        <w:rPr>
          <w:rFonts w:cs="Arial"/>
          <w:sz w:val="22"/>
          <w:szCs w:val="22"/>
        </w:rPr>
        <w:t xml:space="preserve">. </w:t>
      </w:r>
      <w:r w:rsidR="00D45848" w:rsidRPr="003476E6">
        <w:rPr>
          <w:rFonts w:cs="Arial"/>
          <w:sz w:val="22"/>
          <w:szCs w:val="22"/>
        </w:rPr>
        <w:t>This</w:t>
      </w:r>
      <w:r w:rsidR="00104279" w:rsidRPr="003476E6">
        <w:rPr>
          <w:rFonts w:cs="Arial"/>
          <w:sz w:val="22"/>
          <w:szCs w:val="22"/>
        </w:rPr>
        <w:t xml:space="preserve"> was placed as distal on the tibia as anatomy and participant comfort permitted</w:t>
      </w:r>
      <w:r w:rsidR="003E57F9" w:rsidRPr="003476E6">
        <w:rPr>
          <w:rFonts w:cs="Arial"/>
          <w:sz w:val="22"/>
          <w:szCs w:val="22"/>
        </w:rPr>
        <w:t>.</w:t>
      </w:r>
      <w:r w:rsidR="00D41E49" w:rsidRPr="003476E6">
        <w:rPr>
          <w:rFonts w:cs="Arial"/>
          <w:sz w:val="22"/>
          <w:szCs w:val="22"/>
        </w:rPr>
        <w:t xml:space="preserve"> </w:t>
      </w:r>
      <w:bookmarkStart w:id="12" w:name="_Hlk60659687"/>
      <w:r w:rsidR="000D6B23" w:rsidRPr="003476E6">
        <w:rPr>
          <w:rFonts w:cs="Arial"/>
          <w:sz w:val="22"/>
          <w:szCs w:val="22"/>
        </w:rPr>
        <w:t>For the amputated limb, the crank arm was rotated by 180° from its standard position for testing seated knee-extension strength, to account for the shorter residual tibia (Supplementary Material, Figure S1</w:t>
      </w:r>
      <w:r w:rsidR="00D41E49" w:rsidRPr="003476E6">
        <w:rPr>
          <w:rFonts w:cs="Arial"/>
          <w:sz w:val="22"/>
          <w:szCs w:val="22"/>
        </w:rPr>
        <w:t>).</w:t>
      </w:r>
    </w:p>
    <w:bookmarkEnd w:id="12"/>
    <w:p w14:paraId="065F9719" w14:textId="0BEA16EE" w:rsidR="00104279" w:rsidRPr="003476E6" w:rsidRDefault="0047364D" w:rsidP="000E2681">
      <w:pPr>
        <w:widowControl w:val="0"/>
        <w:autoSpaceDE w:val="0"/>
        <w:autoSpaceDN w:val="0"/>
        <w:adjustRightInd w:val="0"/>
        <w:spacing w:after="120" w:line="480" w:lineRule="auto"/>
        <w:jc w:val="both"/>
        <w:rPr>
          <w:rFonts w:cs="Arial"/>
          <w:sz w:val="20"/>
          <w:szCs w:val="20"/>
        </w:rPr>
      </w:pPr>
      <w:r w:rsidRPr="003476E6">
        <w:rPr>
          <w:rFonts w:cs="Arial"/>
          <w:sz w:val="22"/>
          <w:szCs w:val="22"/>
        </w:rPr>
        <w:t>A</w:t>
      </w:r>
      <w:r w:rsidR="00104279" w:rsidRPr="003476E6">
        <w:rPr>
          <w:rFonts w:cs="Arial"/>
          <w:sz w:val="22"/>
          <w:szCs w:val="22"/>
        </w:rPr>
        <w:t>nalogue torque signal</w:t>
      </w:r>
      <w:r w:rsidRPr="003476E6">
        <w:rPr>
          <w:rFonts w:cs="Arial"/>
          <w:sz w:val="22"/>
          <w:szCs w:val="22"/>
        </w:rPr>
        <w:t>s</w:t>
      </w:r>
      <w:r w:rsidR="00104279" w:rsidRPr="003476E6">
        <w:rPr>
          <w:rFonts w:cs="Arial"/>
          <w:sz w:val="22"/>
          <w:szCs w:val="22"/>
        </w:rPr>
        <w:t xml:space="preserve"> </w:t>
      </w:r>
      <w:r w:rsidRPr="003476E6">
        <w:rPr>
          <w:rFonts w:cs="Arial"/>
          <w:sz w:val="22"/>
          <w:szCs w:val="22"/>
        </w:rPr>
        <w:t>were</w:t>
      </w:r>
      <w:r w:rsidR="00104279" w:rsidRPr="003476E6">
        <w:rPr>
          <w:rFonts w:cs="Arial"/>
          <w:sz w:val="22"/>
          <w:szCs w:val="22"/>
        </w:rPr>
        <w:t xml:space="preserve"> sampled at 2000 Hz using an external A/D converter (16-bit signal recording resolution; Micro 1401, CED, Cambridge, UK) and Spike 2 software (version 8; CED)</w:t>
      </w:r>
      <w:r w:rsidR="00936BBB" w:rsidRPr="003476E6">
        <w:rPr>
          <w:rFonts w:cs="Arial"/>
          <w:sz w:val="22"/>
          <w:szCs w:val="22"/>
        </w:rPr>
        <w:t>, and filtered</w:t>
      </w:r>
      <w:r w:rsidR="00104279" w:rsidRPr="003476E6">
        <w:rPr>
          <w:rFonts w:cs="Arial"/>
          <w:sz w:val="22"/>
          <w:szCs w:val="22"/>
        </w:rPr>
        <w:t xml:space="preserve"> </w:t>
      </w:r>
      <w:r w:rsidR="00936BBB" w:rsidRPr="003476E6">
        <w:rPr>
          <w:rFonts w:cs="Arial"/>
          <w:sz w:val="22"/>
          <w:szCs w:val="22"/>
        </w:rPr>
        <w:t>o</w:t>
      </w:r>
      <w:r w:rsidR="00104279" w:rsidRPr="003476E6">
        <w:rPr>
          <w:rFonts w:cs="Arial"/>
          <w:sz w:val="22"/>
          <w:szCs w:val="22"/>
        </w:rPr>
        <w:t>ff-line, using a</w:t>
      </w:r>
      <w:r w:rsidR="005C1DB1" w:rsidRPr="003476E6">
        <w:rPr>
          <w:rFonts w:cs="Arial"/>
          <w:sz w:val="22"/>
          <w:szCs w:val="22"/>
        </w:rPr>
        <w:t xml:space="preserve"> low</w:t>
      </w:r>
      <w:r w:rsidR="0029454F" w:rsidRPr="003476E6">
        <w:rPr>
          <w:rFonts w:cs="Arial"/>
          <w:sz w:val="22"/>
          <w:szCs w:val="22"/>
        </w:rPr>
        <w:t>-pass</w:t>
      </w:r>
      <w:r w:rsidR="00104279" w:rsidRPr="003476E6">
        <w:rPr>
          <w:rFonts w:cs="Arial"/>
          <w:sz w:val="22"/>
          <w:szCs w:val="22"/>
        </w:rPr>
        <w:t xml:space="preserve"> fourth-order Butterworth filter with a</w:t>
      </w:r>
      <w:r w:rsidR="00936BBB" w:rsidRPr="003476E6">
        <w:rPr>
          <w:rFonts w:cs="Arial"/>
          <w:sz w:val="22"/>
          <w:szCs w:val="22"/>
        </w:rPr>
        <w:t xml:space="preserve"> 10-Hz</w:t>
      </w:r>
      <w:r w:rsidR="00104279" w:rsidRPr="003476E6">
        <w:rPr>
          <w:rFonts w:cs="Arial"/>
          <w:sz w:val="22"/>
          <w:szCs w:val="22"/>
        </w:rPr>
        <w:t xml:space="preserve"> cut</w:t>
      </w:r>
      <w:r w:rsidR="0062358B" w:rsidRPr="003476E6">
        <w:rPr>
          <w:rFonts w:cs="Arial"/>
          <w:sz w:val="22"/>
          <w:szCs w:val="22"/>
        </w:rPr>
        <w:t>-off</w:t>
      </w:r>
      <w:r w:rsidR="00936BBB" w:rsidRPr="003476E6">
        <w:rPr>
          <w:rFonts w:cs="Arial"/>
          <w:sz w:val="22"/>
          <w:szCs w:val="22"/>
        </w:rPr>
        <w:t xml:space="preserve">. </w:t>
      </w:r>
      <w:bookmarkStart w:id="13" w:name="_Hlk60659244"/>
      <w:r w:rsidR="00EF5CF1" w:rsidRPr="003476E6">
        <w:rPr>
          <w:rFonts w:cs="Arial"/>
          <w:sz w:val="22"/>
          <w:szCs w:val="22"/>
        </w:rPr>
        <w:t>Limb weighting was conducted</w:t>
      </w:r>
      <w:r w:rsidR="007833E2" w:rsidRPr="003476E6">
        <w:rPr>
          <w:rFonts w:cs="Arial"/>
          <w:sz w:val="22"/>
          <w:szCs w:val="22"/>
        </w:rPr>
        <w:t xml:space="preserve"> with the participant </w:t>
      </w:r>
      <w:r w:rsidR="00EF5CF1" w:rsidRPr="003476E6">
        <w:rPr>
          <w:rFonts w:cs="Arial"/>
          <w:sz w:val="22"/>
          <w:szCs w:val="22"/>
        </w:rPr>
        <w:t xml:space="preserve">sat rested for at least two seconds </w:t>
      </w:r>
      <w:r w:rsidR="007833E2" w:rsidRPr="003476E6">
        <w:rPr>
          <w:rFonts w:cs="Arial"/>
          <w:sz w:val="22"/>
          <w:szCs w:val="22"/>
        </w:rPr>
        <w:t>in the dynamometer</w:t>
      </w:r>
      <w:r w:rsidR="00EF5CF1" w:rsidRPr="003476E6">
        <w:rPr>
          <w:rFonts w:cs="Arial"/>
          <w:sz w:val="22"/>
          <w:szCs w:val="22"/>
        </w:rPr>
        <w:t xml:space="preserve">, with no discernible change in mean of baseline torque or quadriceps muscles EMG signals (note, EMG were collected as described previously </w:t>
      </w:r>
      <w:r w:rsidR="00EF5CF1" w:rsidRPr="003476E6">
        <w:rPr>
          <w:rFonts w:cs="Arial"/>
          <w:sz w:val="22"/>
          <w:szCs w:val="22"/>
        </w:rPr>
        <w:fldChar w:fldCharType="begin" w:fldLock="1"/>
      </w:r>
      <w:r w:rsidR="002C0605" w:rsidRPr="003476E6">
        <w:rPr>
          <w:rFonts w:cs="Arial"/>
          <w:sz w:val="22"/>
          <w:szCs w:val="22"/>
        </w:rPr>
        <w:instrText>ADDIN CSL_CITATION {"citationItems":[{"id":"ITEM-1","itemData":{"DOI":"10.1113/ep088087","ISSN":"0958-0670","author":[{"dropping-particle":"","family":"Sibley","given":"Amy R.","non-dropping-particle":"","parse-names":false,"suffix":""},{"dropping-particle":"","family":"Strike","given":"Siobhán","non-dropping-particle":"","parse-names":false,"suffix":""},{"dropping-particle":"","family":"Moudy","given":"Sarah C.","non-dropping-particle":"","parse-names":false,"suffix":""},{"dropping-particle":"","family":"Tillin","given":"Neale A.","non-dropping-particle":"","parse-names":false,"suffix":""}],"container-title":"Experimental Physiology","id":"ITEM-1","issued":{"date-parts":[["2019","11","27"]]},"publisher":"Wiley","title":"The effects of long</w:instrText>
      </w:r>
      <w:r w:rsidR="002C0605" w:rsidRPr="003476E6">
        <w:rPr>
          <w:rFonts w:ascii="Cambria Math" w:hAnsi="Cambria Math" w:cs="Cambria Math"/>
          <w:sz w:val="22"/>
          <w:szCs w:val="22"/>
        </w:rPr>
        <w:instrText>‐</w:instrText>
      </w:r>
      <w:r w:rsidR="002C0605" w:rsidRPr="003476E6">
        <w:rPr>
          <w:rFonts w:cs="Arial"/>
          <w:sz w:val="22"/>
          <w:szCs w:val="22"/>
        </w:rPr>
        <w:instrText>term muscle disuse on neuromuscular function in unilateral transtibial amputees","type":"article-journal"},"uris":["http://www.mendeley.com/documents/?uuid=35629db8-8caf-391b-88bb-fa9a411f4bc1"]}],"mendeley":{"formattedCitation":"[14]","plainTextFormattedCitation":"[14]","previouslyFormattedCitation":"[14]"},"properties":{"noteIndex":0},"schema":"https://github.com/citation-style-language/schema/raw/master/csl-citation.json"}</w:instrText>
      </w:r>
      <w:r w:rsidR="00EF5CF1" w:rsidRPr="003476E6">
        <w:rPr>
          <w:rFonts w:cs="Arial"/>
          <w:sz w:val="22"/>
          <w:szCs w:val="22"/>
        </w:rPr>
        <w:fldChar w:fldCharType="separate"/>
      </w:r>
      <w:r w:rsidR="00EF5CF1" w:rsidRPr="003476E6">
        <w:rPr>
          <w:rFonts w:cs="Arial"/>
          <w:noProof/>
          <w:sz w:val="22"/>
          <w:szCs w:val="22"/>
        </w:rPr>
        <w:t>[14]</w:t>
      </w:r>
      <w:r w:rsidR="00EF5CF1" w:rsidRPr="003476E6">
        <w:rPr>
          <w:rFonts w:cs="Arial"/>
          <w:sz w:val="22"/>
          <w:szCs w:val="22"/>
        </w:rPr>
        <w:fldChar w:fldCharType="end"/>
      </w:r>
      <w:r w:rsidR="00EF5CF1" w:rsidRPr="003476E6">
        <w:rPr>
          <w:rFonts w:cs="Arial"/>
          <w:sz w:val="22"/>
          <w:szCs w:val="22"/>
        </w:rPr>
        <w:t xml:space="preserve">, but not used for measurements in this study). This baseline torque </w:t>
      </w:r>
      <w:r w:rsidR="00104279" w:rsidRPr="003476E6">
        <w:rPr>
          <w:rFonts w:cs="Arial"/>
          <w:sz w:val="22"/>
          <w:szCs w:val="22"/>
        </w:rPr>
        <w:t>was subtracted from all active torque recordings to correct for the weight of the limb.</w:t>
      </w:r>
    </w:p>
    <w:bookmarkEnd w:id="13"/>
    <w:p w14:paraId="1C3449F7" w14:textId="71DE8FB8" w:rsidR="00104279" w:rsidRPr="003476E6" w:rsidRDefault="00104279" w:rsidP="000E2681">
      <w:pPr>
        <w:widowControl w:val="0"/>
        <w:autoSpaceDE w:val="0"/>
        <w:autoSpaceDN w:val="0"/>
        <w:adjustRightInd w:val="0"/>
        <w:spacing w:after="120" w:line="480" w:lineRule="auto"/>
        <w:jc w:val="both"/>
        <w:rPr>
          <w:rFonts w:cs="Arial"/>
          <w:sz w:val="22"/>
          <w:szCs w:val="22"/>
        </w:rPr>
      </w:pPr>
      <w:r w:rsidRPr="003476E6">
        <w:rPr>
          <w:rFonts w:cs="Arial"/>
          <w:sz w:val="22"/>
          <w:szCs w:val="22"/>
        </w:rPr>
        <w:t xml:space="preserve">Strength measurements were </w:t>
      </w:r>
      <w:r w:rsidR="00214BB8" w:rsidRPr="003476E6">
        <w:rPr>
          <w:rFonts w:cs="Arial"/>
          <w:sz w:val="22"/>
          <w:szCs w:val="22"/>
        </w:rPr>
        <w:t>performed</w:t>
      </w:r>
      <w:r w:rsidRPr="003476E6">
        <w:rPr>
          <w:rFonts w:cs="Arial"/>
          <w:sz w:val="22"/>
          <w:szCs w:val="22"/>
        </w:rPr>
        <w:t xml:space="preserve"> on both limbs</w:t>
      </w:r>
      <w:r w:rsidR="00214BB8" w:rsidRPr="003476E6">
        <w:rPr>
          <w:rFonts w:cs="Arial"/>
          <w:sz w:val="22"/>
          <w:szCs w:val="22"/>
        </w:rPr>
        <w:t>, with start limb randomised</w:t>
      </w:r>
      <w:r w:rsidRPr="003476E6">
        <w:rPr>
          <w:rFonts w:cs="Arial"/>
          <w:sz w:val="22"/>
          <w:szCs w:val="22"/>
        </w:rPr>
        <w:t>.</w:t>
      </w:r>
      <w:bookmarkStart w:id="14" w:name="_Hlk521347673"/>
      <w:r w:rsidRPr="003476E6">
        <w:rPr>
          <w:rFonts w:cs="Arial"/>
          <w:sz w:val="22"/>
          <w:szCs w:val="22"/>
        </w:rPr>
        <w:t xml:space="preserve"> </w:t>
      </w:r>
      <w:r w:rsidR="00030182" w:rsidRPr="003476E6">
        <w:rPr>
          <w:rFonts w:cs="Arial"/>
          <w:sz w:val="22"/>
          <w:szCs w:val="22"/>
        </w:rPr>
        <w:t>Following a warm-up</w:t>
      </w:r>
      <w:r w:rsidR="005B5F4E" w:rsidRPr="003476E6">
        <w:rPr>
          <w:rFonts w:cs="Arial"/>
          <w:sz w:val="22"/>
          <w:szCs w:val="22"/>
        </w:rPr>
        <w:t xml:space="preserve"> (20 warm-up contractions at progressively higher intensities)</w:t>
      </w:r>
      <w:r w:rsidR="00030182" w:rsidRPr="003476E6">
        <w:rPr>
          <w:rFonts w:cs="Arial"/>
          <w:sz w:val="22"/>
          <w:szCs w:val="22"/>
        </w:rPr>
        <w:t>, participants completed</w:t>
      </w:r>
      <w:r w:rsidRPr="003476E6">
        <w:rPr>
          <w:rFonts w:cs="Arial"/>
          <w:sz w:val="22"/>
          <w:szCs w:val="22"/>
        </w:rPr>
        <w:t xml:space="preserve"> </w:t>
      </w:r>
      <w:r w:rsidR="00214BB8" w:rsidRPr="003476E6">
        <w:rPr>
          <w:rFonts w:cs="Arial"/>
          <w:sz w:val="22"/>
          <w:szCs w:val="22"/>
        </w:rPr>
        <w:t>three</w:t>
      </w:r>
      <w:r w:rsidR="00DB4898" w:rsidRPr="003476E6">
        <w:rPr>
          <w:rFonts w:cs="Arial"/>
          <w:sz w:val="22"/>
          <w:szCs w:val="22"/>
        </w:rPr>
        <w:t xml:space="preserve"> maximum voluntary contractions</w:t>
      </w:r>
      <w:r w:rsidRPr="003476E6">
        <w:rPr>
          <w:rFonts w:cs="Arial"/>
          <w:sz w:val="22"/>
          <w:szCs w:val="22"/>
        </w:rPr>
        <w:t xml:space="preserve"> </w:t>
      </w:r>
      <w:r w:rsidR="00DB4898" w:rsidRPr="003476E6">
        <w:rPr>
          <w:rFonts w:cs="Arial"/>
          <w:sz w:val="22"/>
          <w:szCs w:val="22"/>
        </w:rPr>
        <w:t>(</w:t>
      </w:r>
      <w:r w:rsidRPr="003476E6">
        <w:rPr>
          <w:rFonts w:cs="Arial"/>
          <w:sz w:val="22"/>
          <w:szCs w:val="22"/>
        </w:rPr>
        <w:t>MVCs</w:t>
      </w:r>
      <w:r w:rsidR="00DB4898" w:rsidRPr="003476E6">
        <w:rPr>
          <w:rFonts w:cs="Arial"/>
          <w:sz w:val="22"/>
          <w:szCs w:val="22"/>
        </w:rPr>
        <w:t>)</w:t>
      </w:r>
      <w:r w:rsidR="00936BBB" w:rsidRPr="003476E6">
        <w:rPr>
          <w:rFonts w:cs="Arial"/>
          <w:sz w:val="22"/>
          <w:szCs w:val="22"/>
        </w:rPr>
        <w:t xml:space="preserve">. Each was </w:t>
      </w:r>
      <w:r w:rsidR="00D965E2" w:rsidRPr="003476E6">
        <w:rPr>
          <w:rFonts w:cs="Arial"/>
          <w:sz w:val="22"/>
          <w:szCs w:val="22"/>
        </w:rPr>
        <w:t xml:space="preserve">separated by 30-45 </w:t>
      </w:r>
      <w:proofErr w:type="gramStart"/>
      <w:r w:rsidR="00D965E2" w:rsidRPr="003476E6">
        <w:rPr>
          <w:rFonts w:cs="Arial"/>
          <w:sz w:val="22"/>
          <w:szCs w:val="22"/>
        </w:rPr>
        <w:t>s</w:t>
      </w:r>
      <w:r w:rsidR="00936BBB" w:rsidRPr="003476E6">
        <w:rPr>
          <w:rFonts w:cs="Arial"/>
          <w:sz w:val="22"/>
          <w:szCs w:val="22"/>
        </w:rPr>
        <w:t>, and</w:t>
      </w:r>
      <w:proofErr w:type="gramEnd"/>
      <w:r w:rsidR="00936BBB" w:rsidRPr="003476E6">
        <w:rPr>
          <w:rFonts w:cs="Arial"/>
          <w:sz w:val="22"/>
          <w:szCs w:val="22"/>
        </w:rPr>
        <w:t xml:space="preserve"> involved</w:t>
      </w:r>
      <w:r w:rsidRPr="003476E6">
        <w:rPr>
          <w:rFonts w:cs="Arial"/>
          <w:sz w:val="22"/>
          <w:szCs w:val="22"/>
        </w:rPr>
        <w:t xml:space="preserve"> </w:t>
      </w:r>
      <w:r w:rsidR="00D965E2" w:rsidRPr="003476E6">
        <w:rPr>
          <w:rFonts w:cs="Arial"/>
          <w:sz w:val="22"/>
          <w:szCs w:val="22"/>
        </w:rPr>
        <w:t xml:space="preserve">participants </w:t>
      </w:r>
      <w:bookmarkStart w:id="15" w:name="_Hlk521313730"/>
      <w:r w:rsidR="00936BBB" w:rsidRPr="003476E6">
        <w:rPr>
          <w:rFonts w:cs="Arial"/>
          <w:sz w:val="22"/>
          <w:szCs w:val="22"/>
        </w:rPr>
        <w:t xml:space="preserve">pushing </w:t>
      </w:r>
      <w:r w:rsidRPr="003476E6">
        <w:rPr>
          <w:rFonts w:cs="Arial"/>
          <w:sz w:val="22"/>
          <w:szCs w:val="22"/>
        </w:rPr>
        <w:t xml:space="preserve">‘as hard as possible’ </w:t>
      </w:r>
      <w:r w:rsidR="00D965E2" w:rsidRPr="003476E6">
        <w:rPr>
          <w:rFonts w:cs="Arial"/>
          <w:sz w:val="22"/>
          <w:szCs w:val="22"/>
        </w:rPr>
        <w:t>for 3-5 s</w:t>
      </w:r>
      <w:r w:rsidRPr="003476E6">
        <w:rPr>
          <w:rFonts w:cs="Arial"/>
          <w:sz w:val="22"/>
          <w:szCs w:val="22"/>
        </w:rPr>
        <w:t xml:space="preserve">. </w:t>
      </w:r>
      <w:bookmarkEnd w:id="15"/>
      <w:r w:rsidR="00D965E2" w:rsidRPr="003476E6">
        <w:rPr>
          <w:rFonts w:cs="Arial"/>
          <w:sz w:val="22"/>
          <w:szCs w:val="22"/>
        </w:rPr>
        <w:t xml:space="preserve">Torque output was displayed on a computer monitor in front of the participant. </w:t>
      </w:r>
      <w:r w:rsidRPr="003476E6">
        <w:rPr>
          <w:rFonts w:cs="Arial"/>
          <w:sz w:val="22"/>
          <w:szCs w:val="22"/>
        </w:rPr>
        <w:t xml:space="preserve">MVT was the </w:t>
      </w:r>
      <w:r w:rsidR="00C12B24" w:rsidRPr="003476E6">
        <w:rPr>
          <w:rFonts w:cs="Arial"/>
          <w:sz w:val="22"/>
          <w:szCs w:val="22"/>
        </w:rPr>
        <w:t xml:space="preserve">greatest </w:t>
      </w:r>
      <w:r w:rsidRPr="003476E6">
        <w:rPr>
          <w:rFonts w:cs="Arial"/>
          <w:sz w:val="22"/>
          <w:szCs w:val="22"/>
        </w:rPr>
        <w:t>instantaneous torque</w:t>
      </w:r>
      <w:r w:rsidRPr="003476E6">
        <w:rPr>
          <w:rStyle w:val="CommentReference"/>
          <w:rFonts w:cs="Arial"/>
          <w:sz w:val="22"/>
          <w:szCs w:val="22"/>
        </w:rPr>
        <w:t xml:space="preserve"> re</w:t>
      </w:r>
      <w:r w:rsidRPr="003476E6">
        <w:rPr>
          <w:rFonts w:cs="Arial"/>
          <w:sz w:val="22"/>
          <w:szCs w:val="22"/>
        </w:rPr>
        <w:t xml:space="preserve">corded during any of the MVCs or explosive contractions (see below). </w:t>
      </w:r>
    </w:p>
    <w:p w14:paraId="1D063ED5" w14:textId="1E3E0436" w:rsidR="00104279" w:rsidRPr="003476E6" w:rsidRDefault="00D965E2" w:rsidP="000E2681">
      <w:pPr>
        <w:widowControl w:val="0"/>
        <w:autoSpaceDE w:val="0"/>
        <w:autoSpaceDN w:val="0"/>
        <w:adjustRightInd w:val="0"/>
        <w:spacing w:after="120" w:line="480" w:lineRule="auto"/>
        <w:jc w:val="both"/>
        <w:rPr>
          <w:rFonts w:cs="Arial"/>
          <w:sz w:val="22"/>
          <w:szCs w:val="22"/>
        </w:rPr>
      </w:pPr>
      <w:r w:rsidRPr="003476E6">
        <w:rPr>
          <w:rFonts w:cs="Arial"/>
          <w:sz w:val="22"/>
          <w:szCs w:val="22"/>
        </w:rPr>
        <w:t>P</w:t>
      </w:r>
      <w:r w:rsidR="00104279" w:rsidRPr="003476E6">
        <w:rPr>
          <w:rFonts w:cs="Arial"/>
          <w:sz w:val="22"/>
          <w:szCs w:val="22"/>
        </w:rPr>
        <w:t xml:space="preserve">articipants </w:t>
      </w:r>
      <w:r w:rsidR="001D3762" w:rsidRPr="003476E6">
        <w:rPr>
          <w:rFonts w:cs="Arial"/>
          <w:sz w:val="22"/>
          <w:szCs w:val="22"/>
        </w:rPr>
        <w:t xml:space="preserve">then </w:t>
      </w:r>
      <w:r w:rsidR="00104279" w:rsidRPr="003476E6">
        <w:rPr>
          <w:rFonts w:cs="Arial"/>
          <w:sz w:val="22"/>
          <w:szCs w:val="22"/>
        </w:rPr>
        <w:t>completed 10-15 explosive contractions of the knee</w:t>
      </w:r>
      <w:r w:rsidR="00F81D10" w:rsidRPr="003476E6">
        <w:rPr>
          <w:rFonts w:cs="Arial"/>
          <w:sz w:val="22"/>
          <w:szCs w:val="22"/>
        </w:rPr>
        <w:t>-</w:t>
      </w:r>
      <w:r w:rsidR="00104279" w:rsidRPr="003476E6">
        <w:rPr>
          <w:rFonts w:cs="Arial"/>
          <w:sz w:val="22"/>
          <w:szCs w:val="22"/>
        </w:rPr>
        <w:t>extensors, each separated by 20 s rest. Participants were instructed to extend their knee ‘as fast and hard as possible’ for 1 s, with emphasis on ‘fast’</w:t>
      </w:r>
      <w:r w:rsidRPr="003476E6">
        <w:rPr>
          <w:rFonts w:cs="Arial"/>
          <w:sz w:val="22"/>
          <w:szCs w:val="22"/>
        </w:rPr>
        <w:t>, aim</w:t>
      </w:r>
      <w:r w:rsidR="00C12B24" w:rsidRPr="003476E6">
        <w:rPr>
          <w:rFonts w:cs="Arial"/>
          <w:sz w:val="22"/>
          <w:szCs w:val="22"/>
        </w:rPr>
        <w:t>ing</w:t>
      </w:r>
      <w:r w:rsidRPr="003476E6">
        <w:rPr>
          <w:rFonts w:cs="Arial"/>
          <w:sz w:val="22"/>
          <w:szCs w:val="22"/>
        </w:rPr>
        <w:t xml:space="preserve"> to achieve &gt;80% MVT as quickly as possible</w:t>
      </w:r>
      <w:r w:rsidR="00104279" w:rsidRPr="003476E6">
        <w:rPr>
          <w:rFonts w:cs="Arial"/>
          <w:sz w:val="22"/>
          <w:szCs w:val="22"/>
        </w:rPr>
        <w:t xml:space="preserve">. The </w:t>
      </w:r>
      <w:r w:rsidR="008742CD" w:rsidRPr="003476E6">
        <w:rPr>
          <w:rFonts w:cs="Arial"/>
          <w:sz w:val="22"/>
          <w:szCs w:val="22"/>
        </w:rPr>
        <w:t>maximum</w:t>
      </w:r>
      <w:r w:rsidR="00104279" w:rsidRPr="003476E6">
        <w:rPr>
          <w:rFonts w:cs="Arial"/>
          <w:sz w:val="22"/>
          <w:szCs w:val="22"/>
        </w:rPr>
        <w:t xml:space="preserve"> slope </w:t>
      </w:r>
      <w:r w:rsidR="008742CD" w:rsidRPr="003476E6">
        <w:rPr>
          <w:rFonts w:cs="Arial"/>
          <w:sz w:val="22"/>
          <w:szCs w:val="22"/>
        </w:rPr>
        <w:t xml:space="preserve">of the torque-time curve </w:t>
      </w:r>
      <w:r w:rsidR="00104279" w:rsidRPr="003476E6">
        <w:rPr>
          <w:rFonts w:cs="Arial"/>
          <w:sz w:val="22"/>
          <w:szCs w:val="22"/>
        </w:rPr>
        <w:t xml:space="preserve">(peak </w:t>
      </w:r>
      <w:r w:rsidR="00600FD9" w:rsidRPr="003476E6">
        <w:rPr>
          <w:rFonts w:cs="Arial"/>
          <w:sz w:val="22"/>
          <w:szCs w:val="22"/>
        </w:rPr>
        <w:t xml:space="preserve">voluntary </w:t>
      </w:r>
      <w:r w:rsidR="00104279" w:rsidRPr="003476E6">
        <w:rPr>
          <w:rFonts w:cs="Arial"/>
          <w:sz w:val="22"/>
          <w:szCs w:val="22"/>
        </w:rPr>
        <w:t>RTD</w:t>
      </w:r>
      <w:r w:rsidRPr="003476E6">
        <w:rPr>
          <w:rFonts w:cs="Arial"/>
          <w:sz w:val="22"/>
          <w:szCs w:val="22"/>
        </w:rPr>
        <w:t xml:space="preserve">; calculated </w:t>
      </w:r>
      <w:r w:rsidR="008742CD" w:rsidRPr="003476E6">
        <w:rPr>
          <w:rFonts w:cs="Arial"/>
          <w:sz w:val="22"/>
          <w:szCs w:val="22"/>
        </w:rPr>
        <w:t xml:space="preserve">as </w:t>
      </w:r>
      <w:proofErr w:type="spellStart"/>
      <w:r w:rsidR="008742CD" w:rsidRPr="003476E6">
        <w:rPr>
          <w:rFonts w:cs="Arial"/>
          <w:sz w:val="22"/>
          <w:szCs w:val="22"/>
        </w:rPr>
        <w:t>ΔTorque</w:t>
      </w:r>
      <w:proofErr w:type="spellEnd"/>
      <w:r w:rsidR="008742CD" w:rsidRPr="003476E6">
        <w:rPr>
          <w:rFonts w:cs="Arial"/>
          <w:sz w:val="22"/>
          <w:szCs w:val="22"/>
        </w:rPr>
        <w:t>/</w:t>
      </w:r>
      <w:proofErr w:type="spellStart"/>
      <w:r w:rsidR="008742CD" w:rsidRPr="003476E6">
        <w:rPr>
          <w:rFonts w:cs="Arial"/>
          <w:sz w:val="22"/>
          <w:szCs w:val="22"/>
        </w:rPr>
        <w:t>ΔTime</w:t>
      </w:r>
      <w:proofErr w:type="spellEnd"/>
      <w:r w:rsidR="008742CD" w:rsidRPr="003476E6">
        <w:rPr>
          <w:rFonts w:cs="Arial"/>
          <w:sz w:val="22"/>
          <w:szCs w:val="22"/>
        </w:rPr>
        <w:t xml:space="preserve"> </w:t>
      </w:r>
      <w:r w:rsidRPr="003476E6">
        <w:rPr>
          <w:rFonts w:cs="Arial"/>
          <w:sz w:val="22"/>
          <w:szCs w:val="22"/>
        </w:rPr>
        <w:t xml:space="preserve">over a </w:t>
      </w:r>
      <w:r w:rsidR="00574E23" w:rsidRPr="003476E6">
        <w:rPr>
          <w:rFonts w:cs="Arial"/>
          <w:sz w:val="22"/>
          <w:szCs w:val="22"/>
        </w:rPr>
        <w:t>25</w:t>
      </w:r>
      <w:r w:rsidRPr="003476E6">
        <w:rPr>
          <w:rFonts w:cs="Arial"/>
          <w:sz w:val="22"/>
          <w:szCs w:val="22"/>
        </w:rPr>
        <w:t>-ms moving time window</w:t>
      </w:r>
      <w:r w:rsidR="00104279" w:rsidRPr="003476E6">
        <w:rPr>
          <w:rFonts w:cs="Arial"/>
          <w:sz w:val="22"/>
          <w:szCs w:val="22"/>
        </w:rPr>
        <w:t xml:space="preserve">) of </w:t>
      </w:r>
      <w:r w:rsidRPr="003476E6">
        <w:rPr>
          <w:rFonts w:cs="Arial"/>
          <w:sz w:val="22"/>
          <w:szCs w:val="22"/>
        </w:rPr>
        <w:t>each contraction was displayed on the monitor. R</w:t>
      </w:r>
      <w:r w:rsidR="00104279" w:rsidRPr="003476E6">
        <w:rPr>
          <w:rFonts w:cs="Arial"/>
          <w:sz w:val="22"/>
          <w:szCs w:val="22"/>
        </w:rPr>
        <w:t xml:space="preserve">esting </w:t>
      </w:r>
      <w:r w:rsidRPr="003476E6">
        <w:rPr>
          <w:rFonts w:cs="Arial"/>
          <w:sz w:val="22"/>
          <w:szCs w:val="22"/>
        </w:rPr>
        <w:t xml:space="preserve">baseline </w:t>
      </w:r>
      <w:r w:rsidR="00104279" w:rsidRPr="003476E6">
        <w:rPr>
          <w:rFonts w:cs="Arial"/>
          <w:sz w:val="22"/>
          <w:szCs w:val="22"/>
        </w:rPr>
        <w:t xml:space="preserve">was </w:t>
      </w:r>
      <w:r w:rsidRPr="003476E6">
        <w:rPr>
          <w:rFonts w:cs="Arial"/>
          <w:sz w:val="22"/>
          <w:szCs w:val="22"/>
        </w:rPr>
        <w:t xml:space="preserve">also </w:t>
      </w:r>
      <w:r w:rsidR="00104279" w:rsidRPr="003476E6">
        <w:rPr>
          <w:rFonts w:cs="Arial"/>
          <w:sz w:val="22"/>
          <w:szCs w:val="22"/>
        </w:rPr>
        <w:t>displayed</w:t>
      </w:r>
      <w:r w:rsidRPr="003476E6">
        <w:rPr>
          <w:rFonts w:cs="Arial"/>
          <w:sz w:val="22"/>
          <w:szCs w:val="22"/>
        </w:rPr>
        <w:t>, providing</w:t>
      </w:r>
      <w:r w:rsidR="00104279" w:rsidRPr="003476E6">
        <w:rPr>
          <w:rFonts w:cs="Arial"/>
          <w:sz w:val="22"/>
          <w:szCs w:val="22"/>
        </w:rPr>
        <w:t xml:space="preserve"> biofeedback on whether any </w:t>
      </w:r>
      <w:r w:rsidR="00104279" w:rsidRPr="003476E6">
        <w:rPr>
          <w:rFonts w:cs="Arial"/>
          <w:sz w:val="22"/>
          <w:szCs w:val="22"/>
        </w:rPr>
        <w:lastRenderedPageBreak/>
        <w:t xml:space="preserve">countermovement or pretension occurred before the contraction. </w:t>
      </w:r>
      <w:bookmarkStart w:id="16" w:name="_Hlk60659848"/>
      <w:r w:rsidR="00104279" w:rsidRPr="003476E6">
        <w:rPr>
          <w:rFonts w:cs="Arial"/>
          <w:sz w:val="22"/>
          <w:szCs w:val="22"/>
        </w:rPr>
        <w:t xml:space="preserve">Peak RTD was averaged across the three explosive contractions with the highest peak RTD </w:t>
      </w:r>
      <w:r w:rsidR="003E6B1F" w:rsidRPr="003476E6">
        <w:rPr>
          <w:rFonts w:cs="Arial"/>
          <w:sz w:val="22"/>
          <w:szCs w:val="22"/>
        </w:rPr>
        <w:t>which demonstrated peak torque &gt;80% MVT</w:t>
      </w:r>
      <w:r w:rsidR="00C12B24" w:rsidRPr="003476E6">
        <w:rPr>
          <w:rFonts w:cs="Arial"/>
          <w:sz w:val="22"/>
          <w:szCs w:val="22"/>
        </w:rPr>
        <w:t>,</w:t>
      </w:r>
      <w:r w:rsidR="003E6B1F" w:rsidRPr="003476E6">
        <w:rPr>
          <w:rFonts w:cs="Arial"/>
          <w:sz w:val="22"/>
          <w:szCs w:val="22"/>
        </w:rPr>
        <w:t xml:space="preserve"> </w:t>
      </w:r>
      <w:r w:rsidR="000D6B23" w:rsidRPr="003476E6">
        <w:rPr>
          <w:rFonts w:cs="Arial"/>
          <w:sz w:val="22"/>
          <w:szCs w:val="22"/>
        </w:rPr>
        <w:t>and</w:t>
      </w:r>
      <w:r w:rsidR="00104279" w:rsidRPr="003476E6">
        <w:rPr>
          <w:rFonts w:cs="Arial"/>
          <w:sz w:val="22"/>
          <w:szCs w:val="22"/>
        </w:rPr>
        <w:t xml:space="preserve"> no discernible countermovement or pre-tension</w:t>
      </w:r>
      <w:r w:rsidR="003E57F9" w:rsidRPr="003476E6">
        <w:rPr>
          <w:rFonts w:cs="Arial"/>
          <w:sz w:val="22"/>
          <w:szCs w:val="22"/>
        </w:rPr>
        <w:t xml:space="preserve"> (quantified as change of baseline torque &lt;0.5 Nm during the 100 ms prior to visible torque onset)</w:t>
      </w:r>
      <w:r w:rsidR="004D4E17" w:rsidRPr="003476E6">
        <w:rPr>
          <w:rFonts w:cs="Arial"/>
          <w:sz w:val="22"/>
          <w:szCs w:val="22"/>
        </w:rPr>
        <w:t xml:space="preserve"> </w:t>
      </w:r>
      <w:r w:rsidR="000E1108" w:rsidRPr="003476E6">
        <w:rPr>
          <w:rFonts w:cs="Arial"/>
          <w:sz w:val="22"/>
          <w:szCs w:val="22"/>
        </w:rPr>
        <w:fldChar w:fldCharType="begin" w:fldLock="1"/>
      </w:r>
      <w:r w:rsidR="008F25C4" w:rsidRPr="003476E6">
        <w:rPr>
          <w:rFonts w:cs="Arial"/>
          <w:sz w:val="22"/>
          <w:szCs w:val="22"/>
        </w:rPr>
        <w:instrText>ADDIN CSL_CITATION {"citationItems":[{"id":"ITEM-1","itemData":{"author":[{"dropping-particle":"","family":"Folland","given":"J P","non-dropping-particle":"","parse-names":false,"suffix":""},{"dropping-particle":"","family":"Buckthorpe","given":"M W","non-dropping-particle":"","parse-names":false,"suffix":""},{"dropping-particle":"","family":"Hannah","given":"R","non-dropping-particle":"","parse-names":false,"suffix":""}],"container-title":"Scandinavian Journal of Medicine &amp; Science in Sports","id":"ITEM-1","issue":"6","issued":{"date-parts":[["2014"]]},"page":"894-906","title":"Human capacity for explosive force production: neural and contractile determinants","type":"article-journal","volume":"24"},"uris":["http://www.mendeley.com/documents/?uuid=d1d290cd-1bba-4e51-ae93-920d48765bb1"]}],"mendeley":{"formattedCitation":"[37]","plainTextFormattedCitation":"[37]","previouslyFormattedCitation":"[37]"},"properties":{"noteIndex":0},"schema":"https://github.com/citation-style-language/schema/raw/master/csl-citation.json"}</w:instrText>
      </w:r>
      <w:r w:rsidR="000E1108" w:rsidRPr="003476E6">
        <w:rPr>
          <w:rFonts w:cs="Arial"/>
          <w:sz w:val="22"/>
          <w:szCs w:val="22"/>
        </w:rPr>
        <w:fldChar w:fldCharType="separate"/>
      </w:r>
      <w:r w:rsidR="007D4B35" w:rsidRPr="003476E6">
        <w:rPr>
          <w:rFonts w:cs="Arial"/>
          <w:noProof/>
          <w:sz w:val="22"/>
          <w:szCs w:val="22"/>
        </w:rPr>
        <w:t>[37]</w:t>
      </w:r>
      <w:r w:rsidR="000E1108" w:rsidRPr="003476E6">
        <w:rPr>
          <w:rFonts w:cs="Arial"/>
          <w:sz w:val="22"/>
          <w:szCs w:val="22"/>
        </w:rPr>
        <w:fldChar w:fldCharType="end"/>
      </w:r>
      <w:r w:rsidR="00104279" w:rsidRPr="003476E6">
        <w:rPr>
          <w:rFonts w:cs="Arial"/>
          <w:sz w:val="22"/>
          <w:szCs w:val="22"/>
        </w:rPr>
        <w:t xml:space="preserve">. </w:t>
      </w:r>
      <w:bookmarkStart w:id="17" w:name="_Hlk60668692"/>
      <w:bookmarkEnd w:id="16"/>
      <w:r w:rsidR="00104279" w:rsidRPr="003476E6">
        <w:rPr>
          <w:rFonts w:cs="Arial"/>
          <w:sz w:val="22"/>
          <w:szCs w:val="22"/>
        </w:rPr>
        <w:t xml:space="preserve">MVT and RTD are presented as absolute </w:t>
      </w:r>
      <w:r w:rsidR="00827114" w:rsidRPr="003476E6">
        <w:rPr>
          <w:rFonts w:cs="Arial"/>
          <w:sz w:val="22"/>
          <w:szCs w:val="22"/>
        </w:rPr>
        <w:t>(</w:t>
      </w:r>
      <w:r w:rsidR="00827114" w:rsidRPr="003476E6">
        <w:rPr>
          <w:sz w:val="22"/>
          <w:szCs w:val="22"/>
        </w:rPr>
        <w:t>N</w:t>
      </w:r>
      <w:r w:rsidR="006D06AB" w:rsidRPr="003476E6">
        <w:rPr>
          <w:sz w:val="22"/>
          <w:szCs w:val="22"/>
        </w:rPr>
        <w:t>m</w:t>
      </w:r>
      <w:r w:rsidR="00827114" w:rsidRPr="003476E6">
        <w:rPr>
          <w:sz w:val="22"/>
          <w:szCs w:val="22"/>
        </w:rPr>
        <w:t xml:space="preserve"> and N</w:t>
      </w:r>
      <w:r w:rsidR="006D06AB" w:rsidRPr="003476E6">
        <w:rPr>
          <w:sz w:val="22"/>
          <w:szCs w:val="22"/>
        </w:rPr>
        <w:t>m</w:t>
      </w:r>
      <w:r w:rsidR="00827114" w:rsidRPr="003476E6">
        <w:rPr>
          <w:sz w:val="22"/>
          <w:szCs w:val="22"/>
        </w:rPr>
        <w:t>.s</w:t>
      </w:r>
      <w:r w:rsidR="00827114" w:rsidRPr="003476E6">
        <w:rPr>
          <w:sz w:val="22"/>
          <w:szCs w:val="22"/>
          <w:vertAlign w:val="superscript"/>
        </w:rPr>
        <w:t>-1</w:t>
      </w:r>
      <w:r w:rsidR="00827114" w:rsidRPr="003476E6">
        <w:rPr>
          <w:sz w:val="22"/>
          <w:szCs w:val="22"/>
        </w:rPr>
        <w:t xml:space="preserve">) </w:t>
      </w:r>
      <w:r w:rsidR="00104279" w:rsidRPr="003476E6">
        <w:rPr>
          <w:rFonts w:cs="Arial"/>
          <w:sz w:val="22"/>
          <w:szCs w:val="22"/>
        </w:rPr>
        <w:t>and relative to body mass (MVT</w:t>
      </w:r>
      <w:r w:rsidR="00104279" w:rsidRPr="003476E6">
        <w:rPr>
          <w:rFonts w:cs="Arial"/>
          <w:sz w:val="22"/>
          <w:szCs w:val="22"/>
          <w:vertAlign w:val="subscript"/>
        </w:rPr>
        <w:t>BM</w:t>
      </w:r>
      <w:r w:rsidR="00827114" w:rsidRPr="003476E6">
        <w:rPr>
          <w:rFonts w:cs="Arial"/>
          <w:sz w:val="22"/>
          <w:szCs w:val="22"/>
        </w:rPr>
        <w:t>, Nm.kg</w:t>
      </w:r>
      <w:r w:rsidR="00827114" w:rsidRPr="003476E6">
        <w:rPr>
          <w:rFonts w:cs="Arial"/>
          <w:sz w:val="22"/>
          <w:szCs w:val="22"/>
          <w:vertAlign w:val="superscript"/>
        </w:rPr>
        <w:t>-1</w:t>
      </w:r>
      <w:r w:rsidR="00827114" w:rsidRPr="003476E6">
        <w:rPr>
          <w:rFonts w:cs="Arial"/>
          <w:sz w:val="22"/>
          <w:szCs w:val="22"/>
        </w:rPr>
        <w:t xml:space="preserve">; </w:t>
      </w:r>
      <w:r w:rsidR="00104279" w:rsidRPr="003476E6">
        <w:rPr>
          <w:rFonts w:cs="Arial"/>
          <w:sz w:val="22"/>
          <w:szCs w:val="22"/>
        </w:rPr>
        <w:t>and RTD</w:t>
      </w:r>
      <w:r w:rsidR="00104279" w:rsidRPr="003476E6">
        <w:rPr>
          <w:rFonts w:cs="Arial"/>
          <w:sz w:val="22"/>
          <w:szCs w:val="22"/>
          <w:vertAlign w:val="subscript"/>
        </w:rPr>
        <w:t>BM</w:t>
      </w:r>
      <w:r w:rsidR="00104279" w:rsidRPr="003476E6">
        <w:rPr>
          <w:rFonts w:cs="Arial"/>
          <w:sz w:val="22"/>
          <w:szCs w:val="22"/>
        </w:rPr>
        <w:t xml:space="preserve">, </w:t>
      </w:r>
      <w:r w:rsidR="00827114" w:rsidRPr="003476E6">
        <w:rPr>
          <w:rFonts w:cs="Arial"/>
          <w:sz w:val="22"/>
          <w:szCs w:val="22"/>
        </w:rPr>
        <w:t>Nm.s</w:t>
      </w:r>
      <w:r w:rsidR="00827114" w:rsidRPr="003476E6">
        <w:rPr>
          <w:rFonts w:cs="Arial"/>
          <w:sz w:val="22"/>
          <w:szCs w:val="22"/>
          <w:vertAlign w:val="superscript"/>
        </w:rPr>
        <w:t>-1</w:t>
      </w:r>
      <w:r w:rsidR="00827114" w:rsidRPr="003476E6">
        <w:rPr>
          <w:rFonts w:cs="Arial"/>
          <w:sz w:val="22"/>
          <w:szCs w:val="22"/>
        </w:rPr>
        <w:t>.kg</w:t>
      </w:r>
      <w:r w:rsidR="00827114" w:rsidRPr="003476E6">
        <w:rPr>
          <w:rFonts w:cs="Arial"/>
          <w:sz w:val="22"/>
          <w:szCs w:val="22"/>
          <w:vertAlign w:val="superscript"/>
        </w:rPr>
        <w:t>-1</w:t>
      </w:r>
      <w:r w:rsidR="00827114" w:rsidRPr="003476E6">
        <w:rPr>
          <w:rFonts w:cs="Arial"/>
          <w:sz w:val="22"/>
          <w:szCs w:val="22"/>
        </w:rPr>
        <w:t>;</w:t>
      </w:r>
      <w:r w:rsidR="00827114" w:rsidRPr="003476E6">
        <w:rPr>
          <w:rFonts w:cs="Arial"/>
          <w:sz w:val="22"/>
          <w:szCs w:val="22"/>
          <w:vertAlign w:val="superscript"/>
        </w:rPr>
        <w:t xml:space="preserve"> </w:t>
      </w:r>
      <w:r w:rsidR="00104279" w:rsidRPr="003476E6">
        <w:rPr>
          <w:rFonts w:cs="Arial"/>
          <w:sz w:val="22"/>
          <w:szCs w:val="22"/>
        </w:rPr>
        <w:t>respectively).</w:t>
      </w:r>
    </w:p>
    <w:bookmarkEnd w:id="14"/>
    <w:bookmarkEnd w:id="17"/>
    <w:p w14:paraId="13A52A67" w14:textId="77777777" w:rsidR="00104279" w:rsidRPr="003476E6" w:rsidRDefault="00CD3241" w:rsidP="00964B8E">
      <w:pPr>
        <w:pStyle w:val="Heading2"/>
        <w:rPr>
          <w:i/>
          <w:iCs/>
          <w:u w:val="none"/>
        </w:rPr>
      </w:pPr>
      <w:r w:rsidRPr="003476E6">
        <w:rPr>
          <w:i/>
          <w:iCs/>
          <w:u w:val="none"/>
        </w:rPr>
        <w:t>Biomechanical Data Collection</w:t>
      </w:r>
    </w:p>
    <w:p w14:paraId="42586DA9" w14:textId="62C48DB9" w:rsidR="00104279" w:rsidRPr="003476E6" w:rsidRDefault="00104279" w:rsidP="000E2681">
      <w:pPr>
        <w:widowControl w:val="0"/>
        <w:autoSpaceDE w:val="0"/>
        <w:autoSpaceDN w:val="0"/>
        <w:adjustRightInd w:val="0"/>
        <w:spacing w:after="120" w:line="480" w:lineRule="auto"/>
        <w:jc w:val="both"/>
        <w:rPr>
          <w:rFonts w:cs="Arial"/>
          <w:sz w:val="22"/>
          <w:szCs w:val="22"/>
        </w:rPr>
      </w:pPr>
      <w:r w:rsidRPr="003476E6">
        <w:rPr>
          <w:rFonts w:cs="Arial"/>
          <w:sz w:val="22"/>
          <w:szCs w:val="22"/>
        </w:rPr>
        <w:t>Kinematic data were collected using twelve Vicon Vantage V5 (Vicon Motion Systems Ltd.; Oxford, UK) motion capture cameras sampling at 200 Hz</w:t>
      </w:r>
      <w:r w:rsidR="00314594" w:rsidRPr="003476E6">
        <w:rPr>
          <w:rFonts w:cs="Arial"/>
          <w:sz w:val="22"/>
          <w:szCs w:val="22"/>
        </w:rPr>
        <w:t>,</w:t>
      </w:r>
      <w:r w:rsidR="001574B1" w:rsidRPr="003476E6">
        <w:rPr>
          <w:rFonts w:cs="Arial"/>
          <w:sz w:val="22"/>
          <w:szCs w:val="22"/>
        </w:rPr>
        <w:t xml:space="preserve"> synchronised with</w:t>
      </w:r>
      <w:r w:rsidR="00B47D3C" w:rsidRPr="003476E6">
        <w:rPr>
          <w:rFonts w:cs="Arial"/>
          <w:sz w:val="22"/>
          <w:szCs w:val="22"/>
        </w:rPr>
        <w:t xml:space="preserve"> </w:t>
      </w:r>
      <w:r w:rsidR="001574B1" w:rsidRPr="003476E6">
        <w:rPr>
          <w:rFonts w:cs="Arial"/>
          <w:sz w:val="22"/>
          <w:szCs w:val="22"/>
        </w:rPr>
        <w:t>t</w:t>
      </w:r>
      <w:r w:rsidRPr="003476E6">
        <w:rPr>
          <w:rFonts w:cs="Arial"/>
          <w:sz w:val="22"/>
          <w:szCs w:val="22"/>
        </w:rPr>
        <w:t>hree in-series force plates</w:t>
      </w:r>
      <w:r w:rsidR="001574B1" w:rsidRPr="003476E6">
        <w:rPr>
          <w:rFonts w:cs="Arial"/>
          <w:sz w:val="22"/>
          <w:szCs w:val="22"/>
        </w:rPr>
        <w:t xml:space="preserve"> recording at 1000</w:t>
      </w:r>
      <w:r w:rsidR="0047364D" w:rsidRPr="003476E6">
        <w:rPr>
          <w:rFonts w:cs="Arial"/>
          <w:sz w:val="22"/>
          <w:szCs w:val="22"/>
        </w:rPr>
        <w:t xml:space="preserve"> </w:t>
      </w:r>
      <w:r w:rsidR="001574B1" w:rsidRPr="003476E6">
        <w:rPr>
          <w:rFonts w:cs="Arial"/>
          <w:sz w:val="22"/>
          <w:szCs w:val="22"/>
        </w:rPr>
        <w:t>Hz</w:t>
      </w:r>
      <w:r w:rsidRPr="003476E6">
        <w:rPr>
          <w:rFonts w:cs="Arial"/>
          <w:sz w:val="22"/>
          <w:szCs w:val="22"/>
        </w:rPr>
        <w:t xml:space="preserve"> (Type 9281c; Kistler Instruments Ltd., Hampshire, UK) </w:t>
      </w:r>
      <w:r w:rsidR="001574B1" w:rsidRPr="003476E6">
        <w:rPr>
          <w:rFonts w:cs="Arial"/>
          <w:sz w:val="22"/>
          <w:szCs w:val="22"/>
        </w:rPr>
        <w:t xml:space="preserve">placed </w:t>
      </w:r>
      <w:r w:rsidR="0090545E" w:rsidRPr="003476E6">
        <w:rPr>
          <w:rFonts w:cs="Arial"/>
          <w:sz w:val="22"/>
          <w:szCs w:val="22"/>
        </w:rPr>
        <w:t>in the middle of a 15</w:t>
      </w:r>
      <w:r w:rsidR="00823473" w:rsidRPr="003476E6">
        <w:rPr>
          <w:rFonts w:cs="Arial"/>
          <w:sz w:val="22"/>
          <w:szCs w:val="22"/>
        </w:rPr>
        <w:t>-</w:t>
      </w:r>
      <w:r w:rsidR="0090545E" w:rsidRPr="003476E6">
        <w:rPr>
          <w:rFonts w:cs="Arial"/>
          <w:sz w:val="22"/>
          <w:szCs w:val="22"/>
        </w:rPr>
        <w:t>m walkway</w:t>
      </w:r>
      <w:r w:rsidRPr="003476E6">
        <w:rPr>
          <w:rFonts w:cs="Arial"/>
          <w:sz w:val="22"/>
          <w:szCs w:val="22"/>
        </w:rPr>
        <w:t>. Two sets of Brower TC timing gates (Brower Timing, Utah, USA) placed 2</w:t>
      </w:r>
      <w:r w:rsidR="00600FD9" w:rsidRPr="003476E6">
        <w:rPr>
          <w:rFonts w:cs="Arial"/>
          <w:sz w:val="22"/>
          <w:szCs w:val="22"/>
        </w:rPr>
        <w:t>-</w:t>
      </w:r>
      <w:r w:rsidRPr="003476E6">
        <w:rPr>
          <w:rFonts w:cs="Arial"/>
          <w:sz w:val="22"/>
          <w:szCs w:val="22"/>
        </w:rPr>
        <w:t>m either side of the force plates capture</w:t>
      </w:r>
      <w:r w:rsidR="00314594" w:rsidRPr="003476E6">
        <w:rPr>
          <w:rFonts w:cs="Arial"/>
          <w:sz w:val="22"/>
          <w:szCs w:val="22"/>
        </w:rPr>
        <w:t>d</w:t>
      </w:r>
      <w:r w:rsidRPr="003476E6">
        <w:rPr>
          <w:rFonts w:cs="Arial"/>
          <w:sz w:val="22"/>
          <w:szCs w:val="22"/>
        </w:rPr>
        <w:t xml:space="preserve"> average walking pace. </w:t>
      </w:r>
    </w:p>
    <w:p w14:paraId="66CA73BC" w14:textId="79C892DE" w:rsidR="002318B6" w:rsidRPr="003476E6" w:rsidRDefault="0090545E" w:rsidP="002318B6">
      <w:pPr>
        <w:spacing w:after="120" w:line="480" w:lineRule="auto"/>
        <w:jc w:val="both"/>
        <w:rPr>
          <w:rFonts w:cs="Arial"/>
          <w:sz w:val="22"/>
          <w:szCs w:val="22"/>
        </w:rPr>
      </w:pPr>
      <w:r w:rsidRPr="003476E6">
        <w:rPr>
          <w:rFonts w:cs="Arial"/>
          <w:sz w:val="22"/>
          <w:szCs w:val="22"/>
        </w:rPr>
        <w:t xml:space="preserve">Retroreflective markers (14 mm diameter) were </w:t>
      </w:r>
      <w:r w:rsidR="00A460E8" w:rsidRPr="003476E6">
        <w:rPr>
          <w:rFonts w:cs="Arial"/>
          <w:sz w:val="22"/>
          <w:szCs w:val="22"/>
        </w:rPr>
        <w:t xml:space="preserve">attached </w:t>
      </w:r>
      <w:r w:rsidRPr="003476E6">
        <w:rPr>
          <w:rFonts w:cs="Arial"/>
          <w:sz w:val="22"/>
          <w:szCs w:val="22"/>
        </w:rPr>
        <w:t>according to the Plug-In-Gait lower-body marker set</w:t>
      </w:r>
      <w:r w:rsidR="00D50BBB" w:rsidRPr="003476E6">
        <w:rPr>
          <w:rFonts w:cs="Arial"/>
          <w:sz w:val="22"/>
          <w:szCs w:val="22"/>
        </w:rPr>
        <w:t xml:space="preserve"> </w:t>
      </w:r>
      <w:r w:rsidR="002318B6" w:rsidRPr="003476E6">
        <w:rPr>
          <w:rFonts w:cs="Arial"/>
          <w:sz w:val="22"/>
          <w:szCs w:val="22"/>
        </w:rPr>
        <w:fldChar w:fldCharType="begin" w:fldLock="1"/>
      </w:r>
      <w:r w:rsidR="008F25C4" w:rsidRPr="003476E6">
        <w:rPr>
          <w:rFonts w:cs="Arial"/>
          <w:sz w:val="22"/>
          <w:szCs w:val="22"/>
        </w:rPr>
        <w:instrText>ADDIN CSL_CITATION {"citationItems":[{"id":"ITEM-1","itemData":{"author":[{"dropping-particle":"","family":"Davis III","given":"Roy B","non-dropping-particle":"","parse-names":false,"suffix":""},{"dropping-particle":"","family":"Ounpuu","given":"Sylvia","non-dropping-particle":"","parse-names":false,"suffix":""},{"dropping-particle":"","family":"Tyburski","given":"Dennis","non-dropping-particle":"","parse-names":false,"suffix":""},{"dropping-particle":"","family":"Gage","given":"James R","non-dropping-particle":"","parse-names":false,"suffix":""}],"container-title":"Human movement science","id":"ITEM-1","issue":"5","issued":{"date-parts":[["1991"]]},"page":"575-587","title":"A gait analysis data collection and reduction technique","type":"article-journal","volume":"10"},"uris":["http://www.mendeley.com/documents/?uuid=08cb7dc3-38b4-43db-bea4-bcd37df98446"]}],"mendeley":{"formattedCitation":"[38]","plainTextFormattedCitation":"[38]","previouslyFormattedCitation":"[38]"},"properties":{"noteIndex":0},"schema":"https://github.com/citation-style-language/schema/raw/master/csl-citation.json"}</w:instrText>
      </w:r>
      <w:r w:rsidR="002318B6" w:rsidRPr="003476E6">
        <w:rPr>
          <w:rFonts w:cs="Arial"/>
          <w:sz w:val="22"/>
          <w:szCs w:val="22"/>
        </w:rPr>
        <w:fldChar w:fldCharType="separate"/>
      </w:r>
      <w:r w:rsidR="007D4B35" w:rsidRPr="003476E6">
        <w:rPr>
          <w:rFonts w:cs="Arial"/>
          <w:noProof/>
          <w:sz w:val="22"/>
          <w:szCs w:val="22"/>
        </w:rPr>
        <w:t>[38]</w:t>
      </w:r>
      <w:r w:rsidR="002318B6" w:rsidRPr="003476E6">
        <w:rPr>
          <w:rFonts w:cs="Arial"/>
          <w:sz w:val="22"/>
          <w:szCs w:val="22"/>
        </w:rPr>
        <w:fldChar w:fldCharType="end"/>
      </w:r>
      <w:r w:rsidR="00D50BBB" w:rsidRPr="003476E6">
        <w:rPr>
          <w:rFonts w:cs="Arial"/>
          <w:sz w:val="22"/>
          <w:szCs w:val="22"/>
        </w:rPr>
        <w:t xml:space="preserve">. </w:t>
      </w:r>
      <w:r w:rsidR="00104279" w:rsidRPr="003476E6">
        <w:rPr>
          <w:rFonts w:cs="Arial"/>
          <w:sz w:val="22"/>
          <w:szCs w:val="22"/>
        </w:rPr>
        <w:t>Markers for the shank, ankle and foot were placed in positions on the prosthetic corresponding to those on the intact</w:t>
      </w:r>
      <w:r w:rsidR="00600FD9" w:rsidRPr="003476E6">
        <w:rPr>
          <w:rFonts w:cs="Arial"/>
          <w:sz w:val="22"/>
          <w:szCs w:val="22"/>
        </w:rPr>
        <w:t xml:space="preserve"> </w:t>
      </w:r>
      <w:r w:rsidR="002318B6" w:rsidRPr="003476E6">
        <w:rPr>
          <w:rFonts w:cs="Arial"/>
          <w:sz w:val="22"/>
          <w:szCs w:val="22"/>
        </w:rPr>
        <w:t>limb</w:t>
      </w:r>
      <w:r w:rsidR="00104279" w:rsidRPr="003476E6">
        <w:rPr>
          <w:rFonts w:cs="Arial"/>
          <w:sz w:val="22"/>
          <w:szCs w:val="22"/>
        </w:rPr>
        <w:t xml:space="preserve"> </w:t>
      </w:r>
      <w:r w:rsidR="002318B6" w:rsidRPr="003476E6">
        <w:rPr>
          <w:rFonts w:cs="Arial"/>
          <w:sz w:val="22"/>
          <w:szCs w:val="22"/>
        </w:rPr>
        <w:fldChar w:fldCharType="begin" w:fldLock="1"/>
      </w:r>
      <w:r w:rsidR="008F25C4" w:rsidRPr="003476E6">
        <w:rPr>
          <w:rFonts w:cs="Arial"/>
          <w:sz w:val="22"/>
          <w:szCs w:val="22"/>
        </w:rPr>
        <w:instrText>ADDIN CSL_CITATION {"citationItems":[{"id":"ITEM-1","itemData":{"author":[{"dropping-particle":"","family":"Rusaw","given":"David","non-dropping-particle":"","parse-names":false,"suffix":""},{"dropping-particle":"","family":"Ramstrand","given":"Nerrolyn","non-dropping-particle":"","parse-names":false,"suffix":""}],"container-title":"Clinical Biomechanics","id":"ITEM-1","issue":"7","issued":{"date-parts":[["2010"]]},"page":"713-720","title":"Sagittal plane position of the functional joint centre of prosthetic foot/ankle mechanisms","type":"article-journal","volume":"25"},"uris":["http://www.mendeley.com/documents/?uuid=f5417e12-a96a-413a-9385-3a316b4b6d48"]},{"id":"ITEM-2","itemData":{"author":[{"dropping-particle":"","family":"Kent","given":"Jenny","non-dropping-particle":"","parse-names":false,"suffix":""},{"dropping-particle":"","family":"Franklyn-Miller","given":"Andrew","non-dropping-particle":"","parse-names":false,"suffix":""}],"container-title":"Prosthetics and orthotics international","id":"ITEM-2","issue":"2","issued":{"date-parts":[["2011"]]},"page":"124-139","title":"Biomechanical models in the study of lower limb amputee kinematics: a review","type":"article-journal","volume":"35"},"uris":["http://www.mendeley.com/documents/?uuid=e356adf8-e40a-404e-adab-44e48cfb0d2e"]}],"mendeley":{"formattedCitation":"[39,40]","plainTextFormattedCitation":"[39,40]","previouslyFormattedCitation":"[39,40]"},"properties":{"noteIndex":0},"schema":"https://github.com/citation-style-language/schema/raw/master/csl-citation.json"}</w:instrText>
      </w:r>
      <w:r w:rsidR="002318B6" w:rsidRPr="003476E6">
        <w:rPr>
          <w:rFonts w:cs="Arial"/>
          <w:sz w:val="22"/>
          <w:szCs w:val="22"/>
        </w:rPr>
        <w:fldChar w:fldCharType="separate"/>
      </w:r>
      <w:r w:rsidR="007D4B35" w:rsidRPr="003476E6">
        <w:rPr>
          <w:rFonts w:cs="Arial"/>
          <w:noProof/>
          <w:sz w:val="22"/>
          <w:szCs w:val="22"/>
        </w:rPr>
        <w:t>[39,40]</w:t>
      </w:r>
      <w:r w:rsidR="002318B6" w:rsidRPr="003476E6">
        <w:rPr>
          <w:rFonts w:cs="Arial"/>
          <w:sz w:val="22"/>
          <w:szCs w:val="22"/>
        </w:rPr>
        <w:fldChar w:fldCharType="end"/>
      </w:r>
      <w:r w:rsidR="002318B6" w:rsidRPr="003476E6">
        <w:rPr>
          <w:rFonts w:cs="Arial"/>
          <w:sz w:val="22"/>
          <w:szCs w:val="22"/>
        </w:rPr>
        <w:t xml:space="preserve">. </w:t>
      </w:r>
    </w:p>
    <w:p w14:paraId="3E2C85B6" w14:textId="601622C9" w:rsidR="00535026" w:rsidRPr="003476E6" w:rsidRDefault="0090545E" w:rsidP="000E2681">
      <w:pPr>
        <w:spacing w:after="120" w:line="480" w:lineRule="auto"/>
        <w:jc w:val="both"/>
        <w:rPr>
          <w:rFonts w:cs="Arial"/>
          <w:sz w:val="22"/>
          <w:szCs w:val="22"/>
        </w:rPr>
      </w:pPr>
      <w:r w:rsidRPr="003476E6">
        <w:rPr>
          <w:rFonts w:cs="Arial"/>
          <w:sz w:val="22"/>
          <w:szCs w:val="22"/>
        </w:rPr>
        <w:t xml:space="preserve">Following three preliminary trials, during which average self-selected </w:t>
      </w:r>
      <w:r w:rsidR="001574B1" w:rsidRPr="003476E6">
        <w:rPr>
          <w:rFonts w:cs="Arial"/>
          <w:sz w:val="22"/>
          <w:szCs w:val="22"/>
        </w:rPr>
        <w:t xml:space="preserve">habitual </w:t>
      </w:r>
      <w:r w:rsidRPr="003476E6">
        <w:rPr>
          <w:rFonts w:cs="Arial"/>
          <w:sz w:val="22"/>
          <w:szCs w:val="22"/>
        </w:rPr>
        <w:t xml:space="preserve">walking </w:t>
      </w:r>
      <w:r w:rsidR="001574B1" w:rsidRPr="003476E6">
        <w:rPr>
          <w:rFonts w:cs="Arial"/>
          <w:sz w:val="22"/>
          <w:szCs w:val="22"/>
        </w:rPr>
        <w:t xml:space="preserve">speed </w:t>
      </w:r>
      <w:r w:rsidRPr="003476E6">
        <w:rPr>
          <w:rFonts w:cs="Arial"/>
          <w:sz w:val="22"/>
          <w:szCs w:val="22"/>
        </w:rPr>
        <w:t>was determined, p</w:t>
      </w:r>
      <w:r w:rsidR="00104279" w:rsidRPr="003476E6">
        <w:rPr>
          <w:rFonts w:cs="Arial"/>
          <w:sz w:val="22"/>
          <w:szCs w:val="22"/>
        </w:rPr>
        <w:t xml:space="preserve">articipants were instructed to walk </w:t>
      </w:r>
      <w:r w:rsidR="001574B1" w:rsidRPr="003476E6">
        <w:rPr>
          <w:rFonts w:cs="Arial"/>
          <w:sz w:val="22"/>
          <w:szCs w:val="22"/>
        </w:rPr>
        <w:t xml:space="preserve">along </w:t>
      </w:r>
      <w:r w:rsidR="00104279" w:rsidRPr="003476E6">
        <w:rPr>
          <w:rFonts w:cs="Arial"/>
          <w:sz w:val="22"/>
          <w:szCs w:val="22"/>
        </w:rPr>
        <w:t>the walkway</w:t>
      </w:r>
      <w:r w:rsidR="000145E2" w:rsidRPr="003476E6">
        <w:rPr>
          <w:rFonts w:cs="Arial"/>
          <w:sz w:val="22"/>
          <w:szCs w:val="22"/>
        </w:rPr>
        <w:t xml:space="preserve"> </w:t>
      </w:r>
      <w:r w:rsidR="00EC00D6" w:rsidRPr="003476E6">
        <w:rPr>
          <w:rFonts w:cs="Arial"/>
          <w:sz w:val="22"/>
          <w:szCs w:val="22"/>
        </w:rPr>
        <w:t xml:space="preserve">until </w:t>
      </w:r>
      <w:r w:rsidR="003E6B1F" w:rsidRPr="003476E6">
        <w:rPr>
          <w:rFonts w:cs="Arial"/>
          <w:sz w:val="22"/>
          <w:szCs w:val="22"/>
        </w:rPr>
        <w:t>five</w:t>
      </w:r>
      <w:r w:rsidR="00EC00D6" w:rsidRPr="003476E6">
        <w:rPr>
          <w:rFonts w:cs="Arial"/>
          <w:sz w:val="22"/>
          <w:szCs w:val="22"/>
        </w:rPr>
        <w:t xml:space="preserve"> </w:t>
      </w:r>
      <w:r w:rsidR="00600FD9" w:rsidRPr="003476E6">
        <w:rPr>
          <w:rFonts w:cs="Arial"/>
          <w:sz w:val="22"/>
          <w:szCs w:val="22"/>
        </w:rPr>
        <w:t>‘</w:t>
      </w:r>
      <w:r w:rsidR="00EC00D6" w:rsidRPr="003476E6">
        <w:rPr>
          <w:rFonts w:cs="Arial"/>
          <w:sz w:val="22"/>
          <w:szCs w:val="22"/>
        </w:rPr>
        <w:t>good</w:t>
      </w:r>
      <w:r w:rsidR="00600FD9" w:rsidRPr="003476E6">
        <w:rPr>
          <w:rFonts w:cs="Arial"/>
          <w:sz w:val="22"/>
          <w:szCs w:val="22"/>
        </w:rPr>
        <w:t>’</w:t>
      </w:r>
      <w:r w:rsidR="00EC00D6" w:rsidRPr="003476E6">
        <w:rPr>
          <w:rFonts w:cs="Arial"/>
          <w:sz w:val="22"/>
          <w:szCs w:val="22"/>
        </w:rPr>
        <w:t xml:space="preserve"> trials </w:t>
      </w:r>
      <w:r w:rsidR="003E6B1F" w:rsidRPr="003476E6">
        <w:rPr>
          <w:rFonts w:cs="Arial"/>
          <w:sz w:val="22"/>
          <w:szCs w:val="22"/>
        </w:rPr>
        <w:t>(</w:t>
      </w:r>
      <w:bookmarkStart w:id="18" w:name="_Hlk58518557"/>
      <w:r w:rsidR="003E6B1F" w:rsidRPr="003476E6">
        <w:rPr>
          <w:rFonts w:cs="Arial"/>
          <w:sz w:val="22"/>
          <w:szCs w:val="22"/>
        </w:rPr>
        <w:t xml:space="preserve">a single pass </w:t>
      </w:r>
      <w:r w:rsidR="00421623" w:rsidRPr="003476E6">
        <w:rPr>
          <w:rFonts w:cs="Arial"/>
          <w:sz w:val="22"/>
          <w:szCs w:val="22"/>
        </w:rPr>
        <w:t>along the walkway in one direction</w:t>
      </w:r>
      <w:bookmarkEnd w:id="18"/>
      <w:r w:rsidR="00421623" w:rsidRPr="003476E6">
        <w:rPr>
          <w:rFonts w:cs="Arial"/>
          <w:sz w:val="22"/>
          <w:szCs w:val="22"/>
        </w:rPr>
        <w:t xml:space="preserve">, </w:t>
      </w:r>
      <w:r w:rsidR="003E6B1F" w:rsidRPr="003476E6">
        <w:rPr>
          <w:rFonts w:cs="Arial"/>
          <w:sz w:val="22"/>
          <w:szCs w:val="22"/>
        </w:rPr>
        <w:t xml:space="preserve">within ±5% of average walking speed and a successful force plate strike) </w:t>
      </w:r>
      <w:r w:rsidR="00EC00D6" w:rsidRPr="003476E6">
        <w:rPr>
          <w:rFonts w:cs="Arial"/>
          <w:sz w:val="22"/>
          <w:szCs w:val="22"/>
        </w:rPr>
        <w:t>had been collected</w:t>
      </w:r>
      <w:r w:rsidR="003E6B1F" w:rsidRPr="003476E6">
        <w:rPr>
          <w:rFonts w:cs="Arial"/>
          <w:sz w:val="22"/>
          <w:szCs w:val="22"/>
        </w:rPr>
        <w:t xml:space="preserve"> for each limb</w:t>
      </w:r>
      <w:r w:rsidR="00104279" w:rsidRPr="003476E6">
        <w:rPr>
          <w:rFonts w:cs="Arial"/>
          <w:sz w:val="22"/>
          <w:szCs w:val="22"/>
        </w:rPr>
        <w:t xml:space="preserve">. </w:t>
      </w:r>
      <w:r w:rsidR="00600FD9" w:rsidRPr="003476E6">
        <w:rPr>
          <w:rFonts w:cs="Arial"/>
          <w:sz w:val="22"/>
          <w:szCs w:val="22"/>
        </w:rPr>
        <w:t>This</w:t>
      </w:r>
      <w:r w:rsidR="00104279" w:rsidRPr="003476E6">
        <w:rPr>
          <w:rFonts w:cs="Arial"/>
          <w:sz w:val="22"/>
          <w:szCs w:val="22"/>
        </w:rPr>
        <w:t xml:space="preserve"> protocol was repeated </w:t>
      </w:r>
      <w:r w:rsidR="002B732E" w:rsidRPr="003476E6">
        <w:rPr>
          <w:rFonts w:cs="Arial"/>
          <w:sz w:val="22"/>
          <w:szCs w:val="22"/>
        </w:rPr>
        <w:t>for a self-selected</w:t>
      </w:r>
      <w:r w:rsidR="00104279" w:rsidRPr="003476E6">
        <w:rPr>
          <w:rFonts w:cs="Arial"/>
          <w:sz w:val="22"/>
          <w:szCs w:val="22"/>
        </w:rPr>
        <w:t xml:space="preserve"> fast walking speed</w:t>
      </w:r>
      <w:r w:rsidR="0047364D" w:rsidRPr="003476E6">
        <w:rPr>
          <w:rFonts w:cs="Arial"/>
          <w:sz w:val="22"/>
          <w:szCs w:val="22"/>
        </w:rPr>
        <w:t xml:space="preserve"> (</w:t>
      </w:r>
      <w:r w:rsidR="00104279" w:rsidRPr="003476E6">
        <w:rPr>
          <w:rFonts w:cs="Arial"/>
          <w:sz w:val="22"/>
          <w:szCs w:val="22"/>
        </w:rPr>
        <w:t xml:space="preserve">a pace </w:t>
      </w:r>
      <w:r w:rsidR="0047364D" w:rsidRPr="003476E6">
        <w:rPr>
          <w:rFonts w:cs="Arial"/>
          <w:sz w:val="22"/>
          <w:szCs w:val="22"/>
        </w:rPr>
        <w:t>participants</w:t>
      </w:r>
      <w:r w:rsidR="00104279" w:rsidRPr="003476E6">
        <w:rPr>
          <w:rFonts w:cs="Arial"/>
          <w:sz w:val="22"/>
          <w:szCs w:val="22"/>
        </w:rPr>
        <w:t xml:space="preserve"> would choose if running late for an appointment</w:t>
      </w:r>
      <w:r w:rsidR="0047364D" w:rsidRPr="003476E6">
        <w:rPr>
          <w:rFonts w:cs="Arial"/>
          <w:sz w:val="22"/>
          <w:szCs w:val="22"/>
        </w:rPr>
        <w:t>)</w:t>
      </w:r>
      <w:r w:rsidR="00104279" w:rsidRPr="003476E6">
        <w:rPr>
          <w:rFonts w:cs="Arial"/>
          <w:sz w:val="22"/>
          <w:szCs w:val="22"/>
        </w:rPr>
        <w:t>.</w:t>
      </w:r>
      <w:bookmarkStart w:id="19" w:name="_Hlk1741636"/>
      <w:r w:rsidR="003E6B1F" w:rsidRPr="003476E6">
        <w:rPr>
          <w:rFonts w:cs="Arial"/>
          <w:sz w:val="22"/>
          <w:szCs w:val="22"/>
        </w:rPr>
        <w:t xml:space="preserve"> </w:t>
      </w:r>
      <w:r w:rsidR="00104279" w:rsidRPr="003476E6">
        <w:rPr>
          <w:rFonts w:cs="Arial"/>
          <w:sz w:val="22"/>
          <w:szCs w:val="22"/>
        </w:rPr>
        <w:t>Th</w:t>
      </w:r>
      <w:r w:rsidR="001B0355" w:rsidRPr="003476E6">
        <w:rPr>
          <w:rFonts w:cs="Arial"/>
          <w:sz w:val="22"/>
          <w:szCs w:val="22"/>
        </w:rPr>
        <w:t>e th</w:t>
      </w:r>
      <w:r w:rsidR="00104279" w:rsidRPr="003476E6">
        <w:rPr>
          <w:rFonts w:cs="Arial"/>
          <w:sz w:val="22"/>
          <w:szCs w:val="22"/>
        </w:rPr>
        <w:t>ree trials</w:t>
      </w:r>
      <w:r w:rsidR="002318B6" w:rsidRPr="003476E6">
        <w:rPr>
          <w:rFonts w:cs="Arial"/>
          <w:sz w:val="22"/>
          <w:szCs w:val="22"/>
        </w:rPr>
        <w:t xml:space="preserve"> closest to average walking speed </w:t>
      </w:r>
      <w:r w:rsidR="00104279" w:rsidRPr="003476E6">
        <w:rPr>
          <w:rFonts w:cs="Arial"/>
          <w:sz w:val="22"/>
          <w:szCs w:val="22"/>
        </w:rPr>
        <w:t>were selected for analysis</w:t>
      </w:r>
      <w:bookmarkEnd w:id="19"/>
      <w:r w:rsidR="005B5F4E" w:rsidRPr="003476E6">
        <w:rPr>
          <w:rFonts w:cs="Arial"/>
          <w:sz w:val="22"/>
          <w:szCs w:val="22"/>
        </w:rPr>
        <w:t xml:space="preserve"> for each speed</w:t>
      </w:r>
      <w:r w:rsidR="00104279" w:rsidRPr="003476E6">
        <w:rPr>
          <w:rFonts w:cs="Arial"/>
          <w:sz w:val="22"/>
          <w:szCs w:val="22"/>
        </w:rPr>
        <w:t xml:space="preserve">. </w:t>
      </w:r>
      <w:r w:rsidR="00104279" w:rsidRPr="003476E6">
        <w:rPr>
          <w:rFonts w:cs="Arial"/>
          <w:color w:val="000000"/>
          <w:sz w:val="22"/>
          <w:szCs w:val="22"/>
        </w:rPr>
        <w:t>Data processing</w:t>
      </w:r>
      <w:r w:rsidR="005B5F4E" w:rsidRPr="003476E6">
        <w:rPr>
          <w:rFonts w:cs="Arial"/>
          <w:color w:val="000000"/>
          <w:sz w:val="22"/>
          <w:szCs w:val="22"/>
        </w:rPr>
        <w:t>, including inverse dynamics calculations,</w:t>
      </w:r>
      <w:r w:rsidR="001B0355" w:rsidRPr="003476E6">
        <w:rPr>
          <w:rFonts w:cs="Arial"/>
          <w:color w:val="000000"/>
          <w:sz w:val="22"/>
          <w:szCs w:val="22"/>
        </w:rPr>
        <w:t xml:space="preserve"> </w:t>
      </w:r>
      <w:r w:rsidR="00104279" w:rsidRPr="003476E6">
        <w:rPr>
          <w:rFonts w:cs="Arial"/>
          <w:color w:val="000000"/>
          <w:sz w:val="22"/>
          <w:szCs w:val="22"/>
        </w:rPr>
        <w:t xml:space="preserve">of gait parameters was completed using </w:t>
      </w:r>
      <w:r w:rsidR="00104279" w:rsidRPr="003476E6">
        <w:rPr>
          <w:rFonts w:cs="Arial"/>
          <w:sz w:val="22"/>
          <w:szCs w:val="22"/>
        </w:rPr>
        <w:t xml:space="preserve">Nexus (version 2.7.1, Vicon, Oxford). </w:t>
      </w:r>
    </w:p>
    <w:p w14:paraId="6B638A0B" w14:textId="37283C2F" w:rsidR="002318B6" w:rsidRPr="003476E6" w:rsidRDefault="00535026" w:rsidP="0067100B">
      <w:pPr>
        <w:spacing w:after="120" w:line="480" w:lineRule="auto"/>
        <w:jc w:val="both"/>
        <w:rPr>
          <w:rFonts w:cs="Arial"/>
          <w:sz w:val="22"/>
          <w:szCs w:val="22"/>
        </w:rPr>
      </w:pPr>
      <w:bookmarkStart w:id="20" w:name="_Hlk24474491"/>
      <w:bookmarkStart w:id="21" w:name="_Hlk55831915"/>
      <w:r w:rsidRPr="003476E6">
        <w:rPr>
          <w:rFonts w:cs="Arial"/>
          <w:sz w:val="22"/>
          <w:szCs w:val="22"/>
        </w:rPr>
        <w:t>The anthropometric characteristics of all participants were based on Dempster’s values</w:t>
      </w:r>
      <w:r w:rsidR="00F02AF0" w:rsidRPr="003476E6">
        <w:rPr>
          <w:rFonts w:cs="Arial"/>
          <w:sz w:val="22"/>
          <w:szCs w:val="22"/>
        </w:rPr>
        <w:t xml:space="preserve"> </w:t>
      </w:r>
      <w:r w:rsidR="00F02AF0" w:rsidRPr="003476E6">
        <w:rPr>
          <w:rFonts w:cs="Arial"/>
          <w:sz w:val="22"/>
          <w:szCs w:val="22"/>
        </w:rPr>
        <w:fldChar w:fldCharType="begin" w:fldLock="1"/>
      </w:r>
      <w:r w:rsidR="008F25C4" w:rsidRPr="003476E6">
        <w:rPr>
          <w:rFonts w:cs="Arial"/>
          <w:sz w:val="22"/>
          <w:szCs w:val="22"/>
        </w:rPr>
        <w:instrText>ADDIN CSL_CITATION {"citationItems":[{"id":"ITEM-1","itemData":{"DOI":"10.1111/j.1749-6632.1955.tb32112.x","ISSN":"00778923","author":[{"dropping-particle":"","family":"Dempster","given":"Wilfrid Taylor","non-dropping-particle":"","parse-names":false,"suffix":""}],"container-title":"Annals of the New York Academy of Sciences","id":"ITEM-1","issue":"4","issued":{"date-parts":[["1955","11","1"]]},"page":"559-585","publisher":"John Wiley &amp; Sons, Ltd","title":"The Anthropometry of Body Action","type":"article-journal","volume":"63"},"uris":["http://www.mendeley.com/documents/?uuid=bf44d5f4-baba-3f62-bf2c-6e869a6ff1d7"]}],"mendeley":{"formattedCitation":"[41]","plainTextFormattedCitation":"[41]","previouslyFormattedCitation":"[41]"},"properties":{"noteIndex":0},"schema":"https://github.com/citation-style-language/schema/raw/master/csl-citation.json"}</w:instrText>
      </w:r>
      <w:r w:rsidR="00F02AF0" w:rsidRPr="003476E6">
        <w:rPr>
          <w:rFonts w:cs="Arial"/>
          <w:sz w:val="22"/>
          <w:szCs w:val="22"/>
        </w:rPr>
        <w:fldChar w:fldCharType="separate"/>
      </w:r>
      <w:r w:rsidR="007D4B35" w:rsidRPr="003476E6">
        <w:rPr>
          <w:rFonts w:cs="Arial"/>
          <w:noProof/>
          <w:sz w:val="22"/>
          <w:szCs w:val="22"/>
        </w:rPr>
        <w:t>[41]</w:t>
      </w:r>
      <w:r w:rsidR="00F02AF0" w:rsidRPr="003476E6">
        <w:rPr>
          <w:rFonts w:cs="Arial"/>
          <w:sz w:val="22"/>
          <w:szCs w:val="22"/>
        </w:rPr>
        <w:fldChar w:fldCharType="end"/>
      </w:r>
      <w:r w:rsidRPr="003476E6">
        <w:rPr>
          <w:rFonts w:cs="Arial"/>
          <w:sz w:val="22"/>
          <w:szCs w:val="22"/>
        </w:rPr>
        <w:t xml:space="preserve">. In ITTAs, the inverse dynamic analysis assumes that the prosthetic components were anatomically equivalent to the intact limb. </w:t>
      </w:r>
      <w:bookmarkEnd w:id="20"/>
      <w:bookmarkEnd w:id="21"/>
      <w:r w:rsidR="00104279" w:rsidRPr="003476E6">
        <w:rPr>
          <w:rFonts w:cs="Arial"/>
          <w:sz w:val="22"/>
          <w:szCs w:val="22"/>
        </w:rPr>
        <w:t xml:space="preserve">A low-pass zero-lag fourth-order Butterworth filter </w:t>
      </w:r>
      <w:r w:rsidR="00104279" w:rsidRPr="003476E6">
        <w:rPr>
          <w:rFonts w:cs="Arial"/>
          <w:sz w:val="22"/>
          <w:szCs w:val="22"/>
        </w:rPr>
        <w:lastRenderedPageBreak/>
        <w:t>was used to filter raw marker trajectories (8 Hz) and analogue force data (200 Hz cut-off).</w:t>
      </w:r>
      <w:bookmarkStart w:id="22" w:name="_Hlk11065112"/>
      <w:r w:rsidR="00D56B46" w:rsidRPr="003476E6">
        <w:rPr>
          <w:rFonts w:cs="Arial"/>
          <w:sz w:val="22"/>
          <w:szCs w:val="22"/>
        </w:rPr>
        <w:t>Walking speed and single support time were extracted u</w:t>
      </w:r>
      <w:r w:rsidR="002318B6" w:rsidRPr="003476E6">
        <w:rPr>
          <w:rFonts w:cs="Arial"/>
          <w:sz w:val="22"/>
          <w:szCs w:val="22"/>
        </w:rPr>
        <w:t xml:space="preserve">sing custom-developed code </w:t>
      </w:r>
      <w:r w:rsidR="00750F65" w:rsidRPr="003476E6">
        <w:rPr>
          <w:rFonts w:cs="Arial"/>
          <w:sz w:val="22"/>
          <w:szCs w:val="22"/>
        </w:rPr>
        <w:t>(</w:t>
      </w:r>
      <w:proofErr w:type="spellStart"/>
      <w:r w:rsidR="002318B6" w:rsidRPr="003476E6">
        <w:rPr>
          <w:rFonts w:cs="Arial"/>
          <w:sz w:val="22"/>
          <w:szCs w:val="22"/>
        </w:rPr>
        <w:t>Matlab</w:t>
      </w:r>
      <w:proofErr w:type="spellEnd"/>
      <w:r w:rsidR="002318B6" w:rsidRPr="003476E6">
        <w:rPr>
          <w:rFonts w:cs="Arial"/>
          <w:sz w:val="22"/>
          <w:szCs w:val="22"/>
        </w:rPr>
        <w:t xml:space="preserve"> R2016a, The </w:t>
      </w:r>
      <w:proofErr w:type="spellStart"/>
      <w:r w:rsidR="002318B6" w:rsidRPr="003476E6">
        <w:rPr>
          <w:rFonts w:cs="Arial"/>
          <w:sz w:val="22"/>
          <w:szCs w:val="22"/>
        </w:rPr>
        <w:t>Mathworks</w:t>
      </w:r>
      <w:proofErr w:type="spellEnd"/>
      <w:r w:rsidR="002318B6" w:rsidRPr="003476E6">
        <w:rPr>
          <w:rFonts w:cs="Arial"/>
          <w:sz w:val="22"/>
          <w:szCs w:val="22"/>
        </w:rPr>
        <w:t xml:space="preserve"> Inc, Natick, MA)</w:t>
      </w:r>
      <w:r w:rsidR="00D56B46" w:rsidRPr="003476E6">
        <w:rPr>
          <w:rFonts w:cs="Arial"/>
          <w:sz w:val="22"/>
          <w:szCs w:val="22"/>
        </w:rPr>
        <w:t>.</w:t>
      </w:r>
      <w:r w:rsidR="002318B6" w:rsidRPr="003476E6">
        <w:rPr>
          <w:rFonts w:cs="Arial"/>
          <w:sz w:val="22"/>
          <w:szCs w:val="22"/>
        </w:rPr>
        <w:t xml:space="preserve"> The difference in speed between habitual and fast </w:t>
      </w:r>
      <w:r w:rsidR="002318B6" w:rsidRPr="003476E6">
        <w:rPr>
          <w:rFonts w:cs="Arial"/>
          <w:sz w:val="22"/>
          <w:szCs w:val="22"/>
          <w:lang w:eastAsia="en-GB"/>
        </w:rPr>
        <w:t>(</w:t>
      </w:r>
      <w:proofErr w:type="spellStart"/>
      <w:r w:rsidR="002318B6" w:rsidRPr="003476E6">
        <w:rPr>
          <w:rFonts w:cs="Arial"/>
          <w:sz w:val="22"/>
          <w:szCs w:val="22"/>
        </w:rPr>
        <w:t>ΔSpeed</w:t>
      </w:r>
      <w:proofErr w:type="spellEnd"/>
      <w:r w:rsidR="001B0355" w:rsidRPr="003476E6">
        <w:rPr>
          <w:rFonts w:cs="Arial"/>
          <w:sz w:val="22"/>
          <w:szCs w:val="22"/>
        </w:rPr>
        <w:t>; used as an indicator of the range of speeds the pa</w:t>
      </w:r>
      <w:r w:rsidR="004D4E17" w:rsidRPr="003476E6">
        <w:rPr>
          <w:rFonts w:cs="Arial"/>
          <w:sz w:val="22"/>
          <w:szCs w:val="22"/>
        </w:rPr>
        <w:t>r</w:t>
      </w:r>
      <w:r w:rsidR="001B0355" w:rsidRPr="003476E6">
        <w:rPr>
          <w:rFonts w:cs="Arial"/>
          <w:sz w:val="22"/>
          <w:szCs w:val="22"/>
        </w:rPr>
        <w:t xml:space="preserve">ticipant </w:t>
      </w:r>
      <w:proofErr w:type="gramStart"/>
      <w:r w:rsidR="001B0355" w:rsidRPr="003476E6">
        <w:rPr>
          <w:rFonts w:cs="Arial"/>
          <w:sz w:val="22"/>
          <w:szCs w:val="22"/>
        </w:rPr>
        <w:t>is able to</w:t>
      </w:r>
      <w:proofErr w:type="gramEnd"/>
      <w:r w:rsidR="001B0355" w:rsidRPr="003476E6">
        <w:rPr>
          <w:rFonts w:cs="Arial"/>
          <w:sz w:val="22"/>
          <w:szCs w:val="22"/>
        </w:rPr>
        <w:t xml:space="preserve"> walk at</w:t>
      </w:r>
      <w:r w:rsidR="002318B6" w:rsidRPr="003476E6">
        <w:rPr>
          <w:rFonts w:cs="Arial"/>
          <w:sz w:val="22"/>
          <w:szCs w:val="22"/>
          <w:lang w:eastAsia="en-GB"/>
        </w:rPr>
        <w:t>) was calculated as</w:t>
      </w:r>
    </w:p>
    <w:p w14:paraId="02AC1D11" w14:textId="77777777" w:rsidR="00500790" w:rsidRPr="003476E6" w:rsidRDefault="00500790" w:rsidP="00500790">
      <w:pPr>
        <w:suppressAutoHyphens/>
        <w:spacing w:after="120" w:line="480" w:lineRule="auto"/>
        <w:jc w:val="both"/>
        <w:rPr>
          <w:rFonts w:cs="Arial"/>
          <w:sz w:val="22"/>
          <w:szCs w:val="22"/>
        </w:rPr>
      </w:pPr>
      <m:oMathPara>
        <m:oMath>
          <m:r>
            <m:rPr>
              <m:sty m:val="p"/>
            </m:rPr>
            <w:rPr>
              <w:rFonts w:ascii="Cambria Math" w:hAnsi="Cambria Math" w:cs="Arial"/>
              <w:sz w:val="22"/>
              <w:szCs w:val="22"/>
            </w:rPr>
            <m:t>ΔSpeed</m:t>
          </m:r>
          <m:r>
            <w:rPr>
              <w:rFonts w:ascii="Cambria Math" w:hAnsi="Cambria Math" w:cs="Arial"/>
              <w:sz w:val="22"/>
              <w:szCs w:val="22"/>
            </w:rPr>
            <m:t xml:space="preserve"> =</m:t>
          </m:r>
          <m:sSub>
            <m:sSubPr>
              <m:ctrlPr>
                <w:rPr>
                  <w:rFonts w:ascii="Cambria Math" w:hAnsi="Cambria Math" w:cs="Arial"/>
                  <w:i/>
                  <w:sz w:val="22"/>
                  <w:szCs w:val="22"/>
                </w:rPr>
              </m:ctrlPr>
            </m:sSubPr>
            <m:e>
              <m:r>
                <m:rPr>
                  <m:sty m:val="p"/>
                </m:rPr>
                <w:rPr>
                  <w:rFonts w:ascii="Cambria Math" w:hAnsi="Cambria Math" w:cs="Arial"/>
                  <w:sz w:val="22"/>
                  <w:szCs w:val="22"/>
                </w:rPr>
                <m:t>Walking Speed</m:t>
              </m:r>
            </m:e>
            <m:sub>
              <m:r>
                <w:rPr>
                  <w:rFonts w:ascii="Cambria Math" w:hAnsi="Cambria Math" w:cs="Arial"/>
                  <w:sz w:val="22"/>
                  <w:szCs w:val="22"/>
                </w:rPr>
                <m:t>Fast</m:t>
              </m:r>
            </m:sub>
          </m:sSub>
          <m:r>
            <w:rPr>
              <w:rFonts w:ascii="Cambria Math" w:hAnsi="Cambria Math" w:cs="Arial"/>
              <w:sz w:val="22"/>
              <w:szCs w:val="22"/>
            </w:rPr>
            <m:t xml:space="preserve">- </m:t>
          </m:r>
          <m:sSub>
            <m:sSubPr>
              <m:ctrlPr>
                <w:rPr>
                  <w:rFonts w:ascii="Cambria Math" w:hAnsi="Cambria Math" w:cs="Arial"/>
                  <w:i/>
                  <w:sz w:val="22"/>
                  <w:szCs w:val="22"/>
                </w:rPr>
              </m:ctrlPr>
            </m:sSubPr>
            <m:e>
              <m:r>
                <m:rPr>
                  <m:sty m:val="p"/>
                </m:rPr>
                <w:rPr>
                  <w:rFonts w:ascii="Cambria Math" w:hAnsi="Cambria Math" w:cs="Arial"/>
                  <w:sz w:val="22"/>
                  <w:szCs w:val="22"/>
                </w:rPr>
                <m:t>Walking Speed</m:t>
              </m:r>
            </m:e>
            <m:sub>
              <m:r>
                <w:rPr>
                  <w:rFonts w:ascii="Cambria Math" w:hAnsi="Cambria Math" w:cs="Arial"/>
                  <w:sz w:val="22"/>
                  <w:szCs w:val="22"/>
                </w:rPr>
                <m:t>Habitual</m:t>
              </m:r>
            </m:sub>
          </m:sSub>
        </m:oMath>
      </m:oMathPara>
    </w:p>
    <w:p w14:paraId="1FE3C4AF" w14:textId="77777777" w:rsidR="00500790" w:rsidRPr="003476E6" w:rsidRDefault="00500790" w:rsidP="00500790">
      <w:pPr>
        <w:suppressAutoHyphens/>
        <w:spacing w:after="120" w:line="480" w:lineRule="auto"/>
        <w:jc w:val="right"/>
        <w:rPr>
          <w:rFonts w:cs="Arial"/>
          <w:sz w:val="22"/>
          <w:szCs w:val="22"/>
          <w:lang w:eastAsia="en-GB"/>
        </w:rPr>
      </w:pPr>
      <w:r w:rsidRPr="003476E6">
        <w:rPr>
          <w:rFonts w:cs="Arial"/>
          <w:sz w:val="22"/>
          <w:szCs w:val="22"/>
          <w:lang w:eastAsia="en-GB"/>
        </w:rPr>
        <w:t>(1)</w:t>
      </w:r>
    </w:p>
    <w:bookmarkEnd w:id="22"/>
    <w:p w14:paraId="3BA30E4D" w14:textId="55757129" w:rsidR="002318B6" w:rsidRPr="003476E6" w:rsidRDefault="002318B6" w:rsidP="002318B6">
      <w:pPr>
        <w:spacing w:after="120" w:line="480" w:lineRule="auto"/>
        <w:jc w:val="both"/>
        <w:rPr>
          <w:rFonts w:cs="Arial"/>
          <w:sz w:val="22"/>
          <w:szCs w:val="22"/>
        </w:rPr>
      </w:pPr>
      <w:r w:rsidRPr="003476E6">
        <w:rPr>
          <w:rFonts w:cs="Arial"/>
          <w:sz w:val="22"/>
          <w:szCs w:val="22"/>
        </w:rPr>
        <w:t>Kinetic parameters extracted were peak vGRF during the braking and propulsive phases of stance, and, in braking only, peak internal knee</w:t>
      </w:r>
      <w:r w:rsidR="00F81D10" w:rsidRPr="003476E6">
        <w:rPr>
          <w:rFonts w:cs="Arial"/>
          <w:sz w:val="22"/>
          <w:szCs w:val="22"/>
        </w:rPr>
        <w:t>-</w:t>
      </w:r>
      <w:r w:rsidRPr="003476E6">
        <w:rPr>
          <w:rFonts w:cs="Arial"/>
          <w:sz w:val="22"/>
          <w:szCs w:val="22"/>
        </w:rPr>
        <w:t>extensor moment and moment</w:t>
      </w:r>
      <w:r w:rsidR="00600FD9" w:rsidRPr="003476E6">
        <w:rPr>
          <w:rFonts w:cs="Arial"/>
          <w:sz w:val="22"/>
          <w:szCs w:val="22"/>
        </w:rPr>
        <w:t>-</w:t>
      </w:r>
      <w:r w:rsidRPr="003476E6">
        <w:rPr>
          <w:rFonts w:cs="Arial"/>
          <w:sz w:val="22"/>
          <w:szCs w:val="22"/>
        </w:rPr>
        <w:t>impulse. Data were normalised to each participant’s body mass. K</w:t>
      </w:r>
      <w:r w:rsidRPr="003476E6">
        <w:rPr>
          <w:rFonts w:cs="Arial"/>
          <w:color w:val="000000"/>
          <w:sz w:val="22"/>
          <w:szCs w:val="22"/>
        </w:rPr>
        <w:t>nee</w:t>
      </w:r>
      <w:r w:rsidR="00750F65" w:rsidRPr="003476E6">
        <w:rPr>
          <w:rFonts w:cs="Arial"/>
          <w:color w:val="000000"/>
          <w:sz w:val="22"/>
          <w:szCs w:val="22"/>
        </w:rPr>
        <w:t>-</w:t>
      </w:r>
      <w:r w:rsidRPr="003476E6">
        <w:rPr>
          <w:rFonts w:cs="Arial"/>
          <w:color w:val="000000"/>
          <w:sz w:val="22"/>
          <w:szCs w:val="22"/>
        </w:rPr>
        <w:t>extension moment</w:t>
      </w:r>
      <w:r w:rsidR="00600FD9" w:rsidRPr="003476E6">
        <w:rPr>
          <w:rFonts w:cs="Arial"/>
          <w:color w:val="000000"/>
          <w:sz w:val="22"/>
          <w:szCs w:val="22"/>
        </w:rPr>
        <w:t>-</w:t>
      </w:r>
      <w:r w:rsidRPr="003476E6">
        <w:rPr>
          <w:rFonts w:cs="Arial"/>
          <w:color w:val="000000"/>
          <w:sz w:val="22"/>
          <w:szCs w:val="22"/>
        </w:rPr>
        <w:t xml:space="preserve">impulse was calculated as the </w:t>
      </w:r>
      <w:r w:rsidRPr="003476E6">
        <w:rPr>
          <w:rFonts w:cs="Arial"/>
          <w:sz w:val="22"/>
          <w:szCs w:val="22"/>
        </w:rPr>
        <w:t>cumulative</w:t>
      </w:r>
      <w:r w:rsidRPr="003476E6">
        <w:rPr>
          <w:rFonts w:cs="Arial"/>
          <w:color w:val="000000"/>
          <w:sz w:val="22"/>
          <w:szCs w:val="22"/>
        </w:rPr>
        <w:t xml:space="preserve"> time-integral of the knee</w:t>
      </w:r>
      <w:r w:rsidR="00750F65" w:rsidRPr="003476E6">
        <w:rPr>
          <w:rFonts w:cs="Arial"/>
          <w:color w:val="000000"/>
          <w:sz w:val="22"/>
          <w:szCs w:val="22"/>
        </w:rPr>
        <w:t>-</w:t>
      </w:r>
      <w:r w:rsidRPr="003476E6">
        <w:rPr>
          <w:rFonts w:cs="Arial"/>
          <w:color w:val="000000"/>
          <w:sz w:val="22"/>
          <w:szCs w:val="22"/>
        </w:rPr>
        <w:t xml:space="preserve">extensor moment. </w:t>
      </w:r>
      <w:r w:rsidR="0047364D" w:rsidRPr="003476E6">
        <w:rPr>
          <w:rFonts w:cs="Arial"/>
          <w:sz w:val="22"/>
          <w:szCs w:val="22"/>
        </w:rPr>
        <w:t>B</w:t>
      </w:r>
      <w:r w:rsidRPr="003476E6">
        <w:rPr>
          <w:rFonts w:cs="Arial"/>
          <w:sz w:val="22"/>
          <w:szCs w:val="22"/>
        </w:rPr>
        <w:t>raking (~0–50%) and propulsion (~50–100%) phases of stance were determined using the antero-posterior ground reaction forces (hGRF) – the first instance of positive hGRF indicat</w:t>
      </w:r>
      <w:r w:rsidR="000E3719" w:rsidRPr="003476E6">
        <w:rPr>
          <w:rFonts w:cs="Arial"/>
          <w:sz w:val="22"/>
          <w:szCs w:val="22"/>
        </w:rPr>
        <w:t>ing</w:t>
      </w:r>
      <w:r w:rsidRPr="003476E6">
        <w:rPr>
          <w:rFonts w:cs="Arial"/>
          <w:sz w:val="22"/>
          <w:szCs w:val="22"/>
        </w:rPr>
        <w:t xml:space="preserve"> the end of the braking phase. </w:t>
      </w:r>
    </w:p>
    <w:p w14:paraId="2DD58DCB" w14:textId="77777777" w:rsidR="00104279" w:rsidRPr="003476E6" w:rsidRDefault="00D50BBB" w:rsidP="00964B8E">
      <w:pPr>
        <w:pStyle w:val="Heading2"/>
        <w:rPr>
          <w:i/>
          <w:iCs/>
          <w:u w:val="none"/>
        </w:rPr>
      </w:pPr>
      <w:r w:rsidRPr="003476E6">
        <w:rPr>
          <w:i/>
          <w:iCs/>
          <w:u w:val="none"/>
        </w:rPr>
        <w:t xml:space="preserve">Asymmetry Calculation </w:t>
      </w:r>
    </w:p>
    <w:p w14:paraId="409A4181" w14:textId="21E4598C" w:rsidR="003F1F76" w:rsidRPr="003476E6" w:rsidRDefault="003F1F76" w:rsidP="003F1F76">
      <w:pPr>
        <w:autoSpaceDE w:val="0"/>
        <w:autoSpaceDN w:val="0"/>
        <w:adjustRightInd w:val="0"/>
        <w:spacing w:after="240" w:line="480" w:lineRule="auto"/>
        <w:jc w:val="both"/>
        <w:rPr>
          <w:rFonts w:cs="Arial"/>
          <w:sz w:val="22"/>
          <w:szCs w:val="22"/>
          <w:shd w:val="clear" w:color="auto" w:fill="FFFFFF"/>
        </w:rPr>
      </w:pPr>
      <w:bookmarkStart w:id="23" w:name="_Hlk58404469"/>
      <w:bookmarkStart w:id="24" w:name="_Hlk11065338"/>
      <w:r w:rsidRPr="003476E6">
        <w:rPr>
          <w:rFonts w:cs="Arial"/>
          <w:sz w:val="22"/>
          <w:szCs w:val="22"/>
        </w:rPr>
        <w:t xml:space="preserve">Bilateral Asymmetry Index (BAI) is preferable to some other equations (e.g. Bilateral Strength Asymmetry </w:t>
      </w:r>
      <w:r w:rsidRPr="003476E6">
        <w:rPr>
          <w:rFonts w:cs="Arial"/>
          <w:sz w:val="22"/>
          <w:szCs w:val="22"/>
        </w:rPr>
        <w:fldChar w:fldCharType="begin" w:fldLock="1"/>
      </w:r>
      <w:r w:rsidR="007E102E">
        <w:rPr>
          <w:rFonts w:cs="Arial"/>
          <w:sz w:val="22"/>
          <w:szCs w:val="22"/>
        </w:rPr>
        <w:instrText>ADDIN CSL_CITATION {"citationItems":[{"id":"ITEM-1","itemData":{"DOI":"10.1113/ep088087","ISSN":"0958-0670","author":[{"dropping-particle":"","family":"Sibley","given":"Amy R.","non-dropping-particle":"","parse-names":false,"suffix":""},{"dropping-particle":"","family":"Strike","given":"Siobhán","non-dropping-particle":"","parse-names":false,"suffix":""},{"dropping-particle":"","family":"Moudy","given":"Sarah C.","non-dropping-particle":"","parse-names":false,"suffix":""},{"dropping-particle":"","family":"Tillin","given":"Neale A.","non-dropping-particle":"","parse-names":false,"suffix":""}],"container-title":"Experimental Physiology","id":"ITEM-1","issued":{"date-parts":[["2019","11","27"]]},"publisher":"Wiley","title":"The effects of long</w:instrText>
      </w:r>
      <w:r w:rsidR="007E102E">
        <w:rPr>
          <w:rFonts w:ascii="Cambria Math" w:hAnsi="Cambria Math" w:cs="Cambria Math"/>
          <w:sz w:val="22"/>
          <w:szCs w:val="22"/>
        </w:rPr>
        <w:instrText>‐</w:instrText>
      </w:r>
      <w:r w:rsidR="007E102E">
        <w:rPr>
          <w:rFonts w:cs="Arial"/>
          <w:sz w:val="22"/>
          <w:szCs w:val="22"/>
        </w:rPr>
        <w:instrText>term muscle disuse on neuromuscular function in unilateral transtibial amputees","type":"article-journal"},"uris":["http://www.mendeley.com/documents/?uuid=35629db8-8caf-391b-88bb-fa9a411f4bc1"]},{"id":"ITEM-2","itemData":{"author":[{"dropping-particle":"","family":"Maly","given":"Tomas","non-dropping-particle":"","parse-names":false,"suffix":""},{"dropping-particle":"","family":"Zahalka","given":"Frantisek","non-dropping-particle":"","parse-names":false,"suffix":""},{"dropping-particle":"","family":"Mala","given":"Lucia","non-dropping-particle":"","parse-names":false,"suffix":""},{"dropping-particle":"","family":"Cech","given":"Pavol","non-dropping-particle":"","parse-names":false,"suffix":""}],"container-title":"Open Medicine","id":"ITEM-2","issue":"1","issued":{"date-parts":[["2015"]]},"title":"The bilateral strength and power asymmetries in untrained boys","type":"article-journal","volume":"10"},"uris":["http://www.mendeley.com/documents/?uuid=71bf5d50-05b5-4a6f-81a2-b5017c48df6d"]}],"mendeley":{"formattedCitation":"[14,42]","plainTextFormattedCitation":"[14,42]","previouslyFormattedCitation":"[14,44]"},"properties":{"noteIndex":0},"schema":"https://github.com/citation-style-language/schema/raw/master/csl-citation.json"}</w:instrText>
      </w:r>
      <w:r w:rsidRPr="003476E6">
        <w:rPr>
          <w:rFonts w:cs="Arial"/>
          <w:sz w:val="22"/>
          <w:szCs w:val="22"/>
        </w:rPr>
        <w:fldChar w:fldCharType="separate"/>
      </w:r>
      <w:r w:rsidR="007E102E" w:rsidRPr="007E102E">
        <w:rPr>
          <w:rFonts w:cs="Arial"/>
          <w:noProof/>
          <w:sz w:val="22"/>
          <w:szCs w:val="22"/>
        </w:rPr>
        <w:t>[14,42]</w:t>
      </w:r>
      <w:r w:rsidRPr="003476E6">
        <w:rPr>
          <w:rFonts w:cs="Arial"/>
          <w:sz w:val="22"/>
          <w:szCs w:val="22"/>
        </w:rPr>
        <w:fldChar w:fldCharType="end"/>
      </w:r>
      <w:r w:rsidRPr="003476E6">
        <w:rPr>
          <w:rFonts w:cs="Arial"/>
          <w:sz w:val="22"/>
          <w:szCs w:val="22"/>
        </w:rPr>
        <w:t xml:space="preserve"> or Limb Symmetry Index </w:t>
      </w:r>
      <w:r w:rsidRPr="003476E6">
        <w:rPr>
          <w:rFonts w:cs="Arial"/>
          <w:sz w:val="22"/>
          <w:szCs w:val="22"/>
        </w:rPr>
        <w:fldChar w:fldCharType="begin" w:fldLock="1"/>
      </w:r>
      <w:r w:rsidR="007E102E">
        <w:rPr>
          <w:rFonts w:cs="Arial"/>
          <w:sz w:val="22"/>
          <w:szCs w:val="22"/>
        </w:rPr>
        <w:instrText>ADDIN CSL_CITATION {"citationItems":[{"id":"ITEM-1","itemData":{"author":[{"dropping-particle":"","family":"Ceroni","given":"Dimitri","non-dropping-particle":"","parse-names":false,"suffix":""},{"dropping-particle":"","family":"Martin","given":"Xavier E","non-dropping-particle":"","parse-names":false,"suffix":""},{"dropping-particle":"","family":"Delhumeau","given":"Cecile","non-dropping-particle":"","parse-names":false,"suffix":""},{"dropping-particle":"","family":"Farpour-Lambert","given":"Nathalie J","non-dropping-particle":"","parse-names":false,"suffix":""}],"container-title":"The Journal of Strength &amp; Conditioning Research","id":"ITEM-1","issue":"2","issued":{"date-parts":[["2012"]]},"page":"452-457","title":"Bilateral and gender differences during single-legged vertical jump performance in healthy teenagers","type":"article-journal","volume":"26"},"uris":["http://www.mendeley.com/documents/?uuid=f9d5169f-05b3-486b-b2fa-ca32a8825a4e"]},{"id":"ITEM-2","itemData":{"author":[{"dropping-particle":"","family":"Schiltz","given":"Marc","non-dropping-particle":"","parse-names":false,"suffix":""},{"dropping-particle":"","family":"Lehance","given":"Cédric","non-dropping-particle":"","parse-names":false,"suffix":""},{"dropping-particle":"","family":"Maquet","given":"Didier","non-dropping-particle":"","parse-names":false,"suffix":""},{"dropping-particle":"","family":"Bury","given":"Thierry","non-dropping-particle":"","parse-names":false,"suffix":""},{"dropping-particle":"","family":"Crielaard","given":"Jean-Michel","non-dropping-particle":"","parse-names":false,"suffix":""},{"dropping-particle":"","family":"Croisier","given":"Jean-Louis","non-dropping-particle":"","parse-names":false,"suffix":""}],"container-title":"Journal of Athletic Training","id":"ITEM-2","issue":"1","issued":{"date-parts":[["2009"]]},"page":"39-47","title":"Explosive strength imbalances in professional basketball players","type":"article-journal","volume":"44"},"uris":["http://www.mendeley.com/documents/?uuid=86a451f6-70c4-4ea4-a8b8-05536605c017"]}],"mendeley":{"formattedCitation":"[43,44]","plainTextFormattedCitation":"[43,44]","previouslyFormattedCitation":"[45,46]"},"properties":{"noteIndex":0},"schema":"https://github.com/citation-style-language/schema/raw/master/csl-citation.json"}</w:instrText>
      </w:r>
      <w:r w:rsidRPr="003476E6">
        <w:rPr>
          <w:rFonts w:cs="Arial"/>
          <w:sz w:val="22"/>
          <w:szCs w:val="22"/>
        </w:rPr>
        <w:fldChar w:fldCharType="separate"/>
      </w:r>
      <w:r w:rsidR="007E102E" w:rsidRPr="007E102E">
        <w:rPr>
          <w:rFonts w:cs="Arial"/>
          <w:noProof/>
          <w:sz w:val="22"/>
          <w:szCs w:val="22"/>
        </w:rPr>
        <w:t>[43,44]</w:t>
      </w:r>
      <w:r w:rsidRPr="003476E6">
        <w:rPr>
          <w:rFonts w:cs="Arial"/>
          <w:sz w:val="22"/>
          <w:szCs w:val="22"/>
        </w:rPr>
        <w:fldChar w:fldCharType="end"/>
      </w:r>
      <w:r w:rsidRPr="003476E6">
        <w:rPr>
          <w:rFonts w:cs="Arial"/>
          <w:sz w:val="22"/>
          <w:szCs w:val="22"/>
        </w:rPr>
        <w:t>) for the quantification of asymmetry in a bilateral task, as differences in force between limbs are always relative to the sum force value</w:t>
      </w:r>
      <w:r w:rsidR="00F50399" w:rsidRPr="003476E6">
        <w:rPr>
          <w:rFonts w:cs="Arial"/>
          <w:sz w:val="22"/>
          <w:szCs w:val="22"/>
        </w:rPr>
        <w:t>; thus, the influence of the contralateral limb is accounted for</w:t>
      </w:r>
      <w:r w:rsidRPr="003476E6">
        <w:rPr>
          <w:rFonts w:cs="Arial"/>
          <w:sz w:val="22"/>
          <w:szCs w:val="22"/>
        </w:rPr>
        <w:t>.</w:t>
      </w:r>
    </w:p>
    <w:bookmarkEnd w:id="23"/>
    <w:p w14:paraId="74AD7C7C" w14:textId="327E72A2" w:rsidR="00104279" w:rsidRPr="003476E6" w:rsidRDefault="002318B6" w:rsidP="000E2681">
      <w:pPr>
        <w:widowControl w:val="0"/>
        <w:autoSpaceDE w:val="0"/>
        <w:autoSpaceDN w:val="0"/>
        <w:adjustRightInd w:val="0"/>
        <w:spacing w:after="120" w:line="480" w:lineRule="auto"/>
        <w:jc w:val="both"/>
        <w:rPr>
          <w:rFonts w:cs="Arial"/>
          <w:sz w:val="22"/>
          <w:szCs w:val="22"/>
        </w:rPr>
      </w:pPr>
      <w:r w:rsidRPr="003476E6">
        <w:rPr>
          <w:rFonts w:cs="Arial"/>
          <w:sz w:val="22"/>
          <w:szCs w:val="22"/>
        </w:rPr>
        <w:t xml:space="preserve">BAI </w:t>
      </w:r>
      <w:r w:rsidRPr="003476E6">
        <w:rPr>
          <w:rFonts w:cs="Arial"/>
          <w:sz w:val="22"/>
          <w:szCs w:val="22"/>
        </w:rPr>
        <w:fldChar w:fldCharType="begin" w:fldLock="1"/>
      </w:r>
      <w:r w:rsidR="007E102E">
        <w:rPr>
          <w:rFonts w:cs="Arial"/>
          <w:sz w:val="22"/>
          <w:szCs w:val="22"/>
        </w:rPr>
        <w:instrText>ADDIN CSL_CITATION {"citationItems":[{"id":"ITEM-1","itemData":{"author":[{"dropping-particle":"","family":"Bishop","given":"Chris","non-dropping-particle":"","parse-names":false,"suffix":""},{"dropping-particle":"","family":"Turner","given":"Anthony","non-dropping-particle":"","parse-names":false,"suffix":""},{"dropping-particle":"","family":"Read","given":"Paul","non-dropping-particle":"","parse-names":false,"suffix":""}],"container-title":"Journal of sports sciences","id":"ITEM-1","issue":"10","issued":{"date-parts":[["2018"]]},"page":"1135-1144","title":"Effects of inter-limb asymmetries on physical and sports performance: a systematic review","type":"article-journal","volume":"36"},"uris":["http://www.mendeley.com/documents/?uuid=ffd63f19-9e14-43c7-9d46-a3fb792ae6a6"]}],"mendeley":{"formattedCitation":"[45]","plainTextFormattedCitation":"[45]","previouslyFormattedCitation":"[47]"},"properties":{"noteIndex":0},"schema":"https://github.com/citation-style-language/schema/raw/master/csl-citation.json"}</w:instrText>
      </w:r>
      <w:r w:rsidRPr="003476E6">
        <w:rPr>
          <w:rFonts w:cs="Arial"/>
          <w:sz w:val="22"/>
          <w:szCs w:val="22"/>
        </w:rPr>
        <w:fldChar w:fldCharType="separate"/>
      </w:r>
      <w:r w:rsidR="007E102E" w:rsidRPr="007E102E">
        <w:rPr>
          <w:rFonts w:cs="Arial"/>
          <w:noProof/>
          <w:sz w:val="22"/>
          <w:szCs w:val="22"/>
        </w:rPr>
        <w:t>[45]</w:t>
      </w:r>
      <w:r w:rsidRPr="003476E6">
        <w:rPr>
          <w:rFonts w:cs="Arial"/>
          <w:sz w:val="22"/>
          <w:szCs w:val="22"/>
        </w:rPr>
        <w:fldChar w:fldCharType="end"/>
      </w:r>
      <w:r w:rsidR="00014EAC" w:rsidRPr="003476E6">
        <w:rPr>
          <w:rFonts w:cs="Arial"/>
          <w:sz w:val="22"/>
          <w:szCs w:val="22"/>
        </w:rPr>
        <w:t xml:space="preserve"> </w:t>
      </w:r>
      <w:r w:rsidRPr="003476E6">
        <w:rPr>
          <w:rFonts w:cs="Arial"/>
          <w:sz w:val="22"/>
          <w:szCs w:val="22"/>
        </w:rPr>
        <w:t xml:space="preserve">was generated for each </w:t>
      </w:r>
      <w:r w:rsidR="00104279" w:rsidRPr="003476E6">
        <w:rPr>
          <w:rFonts w:cs="Arial"/>
          <w:sz w:val="22"/>
          <w:szCs w:val="22"/>
        </w:rPr>
        <w:t>variable of interest (</w:t>
      </w:r>
      <m:oMath>
        <m:r>
          <w:rPr>
            <w:rFonts w:ascii="Cambria Math" w:hAnsi="Cambria Math"/>
            <w:sz w:val="22"/>
            <w:szCs w:val="22"/>
          </w:rPr>
          <m:t>x</m:t>
        </m:r>
      </m:oMath>
      <w:r w:rsidR="00104279" w:rsidRPr="003476E6">
        <w:rPr>
          <w:rFonts w:cs="Arial"/>
          <w:sz w:val="22"/>
          <w:szCs w:val="22"/>
        </w:rPr>
        <w:t>) using the formula</w:t>
      </w:r>
    </w:p>
    <w:p w14:paraId="3E8D95C9" w14:textId="77777777" w:rsidR="00104279" w:rsidRPr="003476E6" w:rsidRDefault="00104279" w:rsidP="000E2681">
      <w:pPr>
        <w:pStyle w:val="Caption"/>
        <w:spacing w:before="0" w:after="120" w:line="480" w:lineRule="auto"/>
        <w:rPr>
          <w:rFonts w:eastAsiaTheme="minorEastAsia"/>
          <w:sz w:val="22"/>
          <w:szCs w:val="22"/>
        </w:rPr>
      </w:pPr>
      <w:bookmarkStart w:id="25" w:name="_Hlk525382828"/>
      <m:oMathPara>
        <m:oMath>
          <m:r>
            <m:rPr>
              <m:sty m:val="p"/>
            </m:rPr>
            <w:rPr>
              <w:rFonts w:ascii="Cambria Math" w:hAnsi="Cambria Math"/>
              <w:sz w:val="22"/>
              <w:szCs w:val="22"/>
            </w:rPr>
            <m:t>BAI</m:t>
          </m:r>
          <m:r>
            <w:rPr>
              <w:rFonts w:ascii="Cambria Math" w:hAnsi="Cambria Math"/>
              <w:sz w:val="22"/>
              <w:szCs w:val="22"/>
            </w:rPr>
            <m:t>x</m:t>
          </m:r>
          <m:r>
            <m:rPr>
              <m:sty m:val="p"/>
            </m:rPr>
            <w:rPr>
              <w:rFonts w:ascii="Cambria Math" w:hAnsi="Cambria Math"/>
              <w:sz w:val="22"/>
              <w:szCs w:val="22"/>
            </w:rPr>
            <m:t>(%)=</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Intact</m:t>
                      </m:r>
                    </m:e>
                    <m:sub>
                      <m:r>
                        <w:rPr>
                          <w:rFonts w:ascii="Cambria Math" w:hAnsi="Cambria Math"/>
                          <w:sz w:val="22"/>
                          <w:szCs w:val="22"/>
                        </w:rPr>
                        <m:t>x</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Amputated</m:t>
                      </m:r>
                    </m:e>
                    <m:sub>
                      <m:r>
                        <w:rPr>
                          <w:rFonts w:ascii="Cambria Math" w:hAnsi="Cambria Math"/>
                          <w:sz w:val="22"/>
                          <w:szCs w:val="22"/>
                        </w:rPr>
                        <m:t>x</m:t>
                      </m:r>
                    </m:sub>
                  </m:sSub>
                </m:e>
              </m:d>
            </m:num>
            <m:den>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Intact</m:t>
                      </m:r>
                    </m:e>
                    <m:sub>
                      <m:r>
                        <w:rPr>
                          <w:rFonts w:ascii="Cambria Math" w:hAnsi="Cambria Math"/>
                          <w:sz w:val="22"/>
                          <w:szCs w:val="22"/>
                        </w:rPr>
                        <m:t>x</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Ampuated</m:t>
                      </m:r>
                    </m:e>
                    <m:sub>
                      <m:r>
                        <w:rPr>
                          <w:rFonts w:ascii="Cambria Math" w:hAnsi="Cambria Math"/>
                          <w:sz w:val="22"/>
                          <w:szCs w:val="22"/>
                        </w:rPr>
                        <m:t>x</m:t>
                      </m:r>
                    </m:sub>
                  </m:sSub>
                </m:e>
              </m:d>
            </m:den>
          </m:f>
          <m:r>
            <m:rPr>
              <m:sty m:val="p"/>
            </m:rPr>
            <w:rPr>
              <w:rFonts w:ascii="Cambria Math" w:hAnsi="Cambria Math"/>
              <w:sz w:val="22"/>
              <w:szCs w:val="22"/>
            </w:rPr>
            <m:t>×100</m:t>
          </m:r>
        </m:oMath>
      </m:oMathPara>
      <w:bookmarkEnd w:id="25"/>
    </w:p>
    <w:p w14:paraId="58B819DB" w14:textId="77777777" w:rsidR="00104279" w:rsidRPr="003476E6" w:rsidRDefault="00104279" w:rsidP="000E2681">
      <w:pPr>
        <w:autoSpaceDE w:val="0"/>
        <w:autoSpaceDN w:val="0"/>
        <w:adjustRightInd w:val="0"/>
        <w:spacing w:after="120" w:line="480" w:lineRule="auto"/>
        <w:jc w:val="right"/>
        <w:rPr>
          <w:rFonts w:cs="Arial"/>
          <w:sz w:val="22"/>
          <w:szCs w:val="22"/>
        </w:rPr>
      </w:pPr>
      <w:r w:rsidRPr="003476E6">
        <w:rPr>
          <w:rFonts w:cs="Arial"/>
          <w:sz w:val="22"/>
          <w:szCs w:val="22"/>
        </w:rPr>
        <w:t>(</w:t>
      </w:r>
      <w:r w:rsidR="00500790" w:rsidRPr="003476E6">
        <w:rPr>
          <w:rFonts w:cs="Arial"/>
          <w:sz w:val="22"/>
          <w:szCs w:val="22"/>
        </w:rPr>
        <w:t>2</w:t>
      </w:r>
      <w:r w:rsidRPr="003476E6">
        <w:rPr>
          <w:rFonts w:cs="Arial"/>
          <w:sz w:val="22"/>
          <w:szCs w:val="22"/>
        </w:rPr>
        <w:t>)</w:t>
      </w:r>
    </w:p>
    <w:p w14:paraId="6C9D730D" w14:textId="568EA494" w:rsidR="00012345" w:rsidRPr="003476E6" w:rsidRDefault="00104279" w:rsidP="00586F46">
      <w:pPr>
        <w:autoSpaceDE w:val="0"/>
        <w:autoSpaceDN w:val="0"/>
        <w:adjustRightInd w:val="0"/>
        <w:spacing w:after="120" w:line="480" w:lineRule="auto"/>
        <w:jc w:val="both"/>
        <w:rPr>
          <w:rFonts w:cs="Arial"/>
          <w:sz w:val="22"/>
          <w:szCs w:val="22"/>
          <w:shd w:val="clear" w:color="auto" w:fill="FFFFFF"/>
        </w:rPr>
      </w:pPr>
      <w:r w:rsidRPr="003476E6">
        <w:rPr>
          <w:rFonts w:cs="Arial"/>
          <w:sz w:val="22"/>
          <w:szCs w:val="22"/>
        </w:rPr>
        <w:t xml:space="preserve">resulting in a negative value if a greater value was recorded on the </w:t>
      </w:r>
      <w:r w:rsidR="006F4410" w:rsidRPr="003476E6">
        <w:rPr>
          <w:rFonts w:cs="Arial"/>
          <w:sz w:val="22"/>
          <w:szCs w:val="22"/>
        </w:rPr>
        <w:t>amputated limb</w:t>
      </w:r>
      <w:r w:rsidR="003A098B" w:rsidRPr="003476E6">
        <w:rPr>
          <w:rFonts w:cs="Arial"/>
          <w:sz w:val="22"/>
          <w:szCs w:val="22"/>
        </w:rPr>
        <w:t xml:space="preserve"> (BAI=0 indicates perfect symmetry)</w:t>
      </w:r>
      <w:r w:rsidRPr="003476E6">
        <w:rPr>
          <w:rFonts w:cs="Arial"/>
          <w:sz w:val="22"/>
          <w:szCs w:val="22"/>
        </w:rPr>
        <w:t xml:space="preserve">. </w:t>
      </w:r>
      <w:r w:rsidR="00012345" w:rsidRPr="003476E6">
        <w:rPr>
          <w:rFonts w:cs="Arial"/>
          <w:sz w:val="22"/>
          <w:szCs w:val="22"/>
          <w:shd w:val="clear" w:color="auto" w:fill="FFFFFF"/>
        </w:rPr>
        <w:t>BAI for absolute and relative data is identical as body mass is included both in fraction and numerator.</w:t>
      </w:r>
    </w:p>
    <w:p w14:paraId="60EEB52D" w14:textId="6F53B5A7" w:rsidR="00586F46" w:rsidRPr="003476E6" w:rsidRDefault="00586F46" w:rsidP="00586F46">
      <w:pPr>
        <w:autoSpaceDE w:val="0"/>
        <w:autoSpaceDN w:val="0"/>
        <w:adjustRightInd w:val="0"/>
        <w:spacing w:after="120" w:line="480" w:lineRule="auto"/>
        <w:jc w:val="both"/>
        <w:rPr>
          <w:rFonts w:cs="Arial"/>
          <w:sz w:val="22"/>
          <w:szCs w:val="22"/>
        </w:rPr>
      </w:pPr>
      <w:r w:rsidRPr="003476E6">
        <w:rPr>
          <w:rFonts w:cs="Arial"/>
          <w:sz w:val="22"/>
          <w:szCs w:val="22"/>
        </w:rPr>
        <w:lastRenderedPageBreak/>
        <w:t xml:space="preserve">The difference in BAI (ΔBAI) for a given variable </w:t>
      </w:r>
      <w:r w:rsidR="001B0355" w:rsidRPr="003476E6">
        <w:rPr>
          <w:rFonts w:cs="Arial"/>
          <w:sz w:val="22"/>
          <w:szCs w:val="22"/>
        </w:rPr>
        <w:t xml:space="preserve">in gait </w:t>
      </w:r>
      <w:r w:rsidRPr="003476E6">
        <w:rPr>
          <w:rFonts w:cs="Arial"/>
          <w:sz w:val="22"/>
          <w:szCs w:val="22"/>
        </w:rPr>
        <w:t xml:space="preserve">between habitual and fast walking speeds was calculated as </w:t>
      </w:r>
    </w:p>
    <w:p w14:paraId="40A972BD" w14:textId="77777777" w:rsidR="00586F46" w:rsidRPr="003476E6" w:rsidRDefault="00586F46" w:rsidP="00586F46">
      <w:pPr>
        <w:autoSpaceDE w:val="0"/>
        <w:autoSpaceDN w:val="0"/>
        <w:adjustRightInd w:val="0"/>
        <w:spacing w:after="120" w:line="480" w:lineRule="auto"/>
        <w:jc w:val="both"/>
        <w:rPr>
          <w:rFonts w:cs="Arial"/>
          <w:sz w:val="22"/>
          <w:szCs w:val="22"/>
        </w:rPr>
      </w:pPr>
      <m:oMathPara>
        <m:oMath>
          <m:r>
            <m:rPr>
              <m:sty m:val="p"/>
            </m:rPr>
            <w:rPr>
              <w:rFonts w:ascii="Cambria Math" w:hAnsi="Cambria Math" w:cs="Arial"/>
              <w:sz w:val="22"/>
              <w:szCs w:val="22"/>
            </w:rPr>
            <m:t>ΔBAIx</m:t>
          </m:r>
          <m:r>
            <w:rPr>
              <w:rFonts w:ascii="Cambria Math" w:hAnsi="Cambria Math" w:cs="Arial"/>
              <w:sz w:val="22"/>
              <w:szCs w:val="22"/>
            </w:rPr>
            <m:t>=</m:t>
          </m:r>
          <m:sSub>
            <m:sSubPr>
              <m:ctrlPr>
                <w:rPr>
                  <w:rFonts w:ascii="Cambria Math" w:hAnsi="Cambria Math" w:cs="Arial"/>
                  <w:i/>
                  <w:sz w:val="22"/>
                  <w:szCs w:val="22"/>
                </w:rPr>
              </m:ctrlPr>
            </m:sSubPr>
            <m:e>
              <m:r>
                <m:rPr>
                  <m:sty m:val="p"/>
                </m:rPr>
                <w:rPr>
                  <w:rFonts w:ascii="Cambria Math" w:hAnsi="Cambria Math" w:cs="Arial"/>
                  <w:sz w:val="22"/>
                  <w:szCs w:val="22"/>
                </w:rPr>
                <m:t>BAI_Fast</m:t>
              </m:r>
            </m:e>
            <m:sub>
              <m:r>
                <w:rPr>
                  <w:rFonts w:ascii="Cambria Math" w:hAnsi="Cambria Math" w:cs="Arial"/>
                  <w:sz w:val="22"/>
                  <w:szCs w:val="22"/>
                </w:rPr>
                <m:t>x</m:t>
              </m:r>
            </m:sub>
          </m:sSub>
          <m:r>
            <w:rPr>
              <w:rFonts w:ascii="Cambria Math" w:hAnsi="Cambria Math" w:cs="Arial"/>
              <w:sz w:val="22"/>
              <w:szCs w:val="22"/>
            </w:rPr>
            <m:t xml:space="preserve">- </m:t>
          </m:r>
          <m:sSub>
            <m:sSubPr>
              <m:ctrlPr>
                <w:rPr>
                  <w:rFonts w:ascii="Cambria Math" w:hAnsi="Cambria Math" w:cs="Arial"/>
                  <w:i/>
                  <w:sz w:val="22"/>
                  <w:szCs w:val="22"/>
                </w:rPr>
              </m:ctrlPr>
            </m:sSubPr>
            <m:e>
              <m:r>
                <m:rPr>
                  <m:sty m:val="p"/>
                </m:rPr>
                <w:rPr>
                  <w:rFonts w:ascii="Cambria Math" w:hAnsi="Cambria Math" w:cs="Arial"/>
                  <w:sz w:val="22"/>
                  <w:szCs w:val="22"/>
                </w:rPr>
                <m:t>BAI_Habit</m:t>
              </m:r>
            </m:e>
            <m:sub>
              <m:r>
                <w:rPr>
                  <w:rFonts w:ascii="Cambria Math" w:hAnsi="Cambria Math" w:cs="Arial"/>
                  <w:sz w:val="22"/>
                  <w:szCs w:val="22"/>
                </w:rPr>
                <m:t>x</m:t>
              </m:r>
            </m:sub>
          </m:sSub>
        </m:oMath>
      </m:oMathPara>
    </w:p>
    <w:p w14:paraId="3FA38C02" w14:textId="77777777" w:rsidR="00586F46" w:rsidRPr="003476E6" w:rsidRDefault="00586F46" w:rsidP="00586F46">
      <w:pPr>
        <w:autoSpaceDE w:val="0"/>
        <w:autoSpaceDN w:val="0"/>
        <w:adjustRightInd w:val="0"/>
        <w:spacing w:after="120" w:line="480" w:lineRule="auto"/>
        <w:jc w:val="right"/>
        <w:rPr>
          <w:rFonts w:cs="Arial"/>
          <w:sz w:val="22"/>
          <w:szCs w:val="22"/>
        </w:rPr>
      </w:pPr>
      <w:r w:rsidRPr="003476E6">
        <w:rPr>
          <w:rFonts w:cs="Arial"/>
          <w:sz w:val="22"/>
          <w:szCs w:val="22"/>
        </w:rPr>
        <w:t>(3)</w:t>
      </w:r>
    </w:p>
    <w:p w14:paraId="579B7503" w14:textId="60054467" w:rsidR="00586F46" w:rsidRPr="003476E6" w:rsidRDefault="00586F46" w:rsidP="00586F46">
      <w:pPr>
        <w:suppressAutoHyphens/>
        <w:spacing w:after="120" w:line="480" w:lineRule="auto"/>
        <w:jc w:val="both"/>
        <w:rPr>
          <w:rFonts w:cs="Arial"/>
          <w:sz w:val="22"/>
          <w:szCs w:val="22"/>
          <w:lang w:eastAsia="en-GB"/>
        </w:rPr>
      </w:pPr>
      <w:r w:rsidRPr="003476E6">
        <w:rPr>
          <w:rFonts w:cs="Arial"/>
          <w:sz w:val="22"/>
          <w:szCs w:val="22"/>
        </w:rPr>
        <w:t xml:space="preserve">where </w:t>
      </w:r>
      <w:proofErr w:type="spellStart"/>
      <w:r w:rsidRPr="003476E6">
        <w:rPr>
          <w:rFonts w:cs="Arial"/>
          <w:sz w:val="22"/>
          <w:szCs w:val="22"/>
        </w:rPr>
        <w:t>BAI_Fast</w:t>
      </w:r>
      <w:proofErr w:type="spellEnd"/>
      <w:r w:rsidRPr="003476E6">
        <w:rPr>
          <w:rFonts w:cs="Arial"/>
          <w:sz w:val="22"/>
          <w:szCs w:val="22"/>
        </w:rPr>
        <w:t xml:space="preserve"> and </w:t>
      </w:r>
      <w:proofErr w:type="spellStart"/>
      <w:r w:rsidRPr="003476E6">
        <w:rPr>
          <w:rFonts w:cs="Arial"/>
          <w:sz w:val="22"/>
          <w:szCs w:val="22"/>
        </w:rPr>
        <w:t>BAI_Habit</w:t>
      </w:r>
      <w:proofErr w:type="spellEnd"/>
      <w:r w:rsidRPr="003476E6">
        <w:rPr>
          <w:rFonts w:cs="Arial"/>
          <w:sz w:val="22"/>
          <w:szCs w:val="22"/>
        </w:rPr>
        <w:t xml:space="preserve"> </w:t>
      </w:r>
      <w:proofErr w:type="gramStart"/>
      <w:r w:rsidRPr="003476E6">
        <w:rPr>
          <w:rFonts w:cs="Arial"/>
          <w:sz w:val="22"/>
          <w:szCs w:val="22"/>
        </w:rPr>
        <w:t>are</w:t>
      </w:r>
      <w:proofErr w:type="gramEnd"/>
      <w:r w:rsidRPr="003476E6">
        <w:rPr>
          <w:rFonts w:cs="Arial"/>
          <w:sz w:val="22"/>
          <w:szCs w:val="22"/>
        </w:rPr>
        <w:t xml:space="preserve"> the BAI for a given variable (</w:t>
      </w:r>
      <m:oMath>
        <m:r>
          <w:rPr>
            <w:rFonts w:ascii="Cambria Math" w:hAnsi="Cambria Math"/>
            <w:sz w:val="22"/>
            <w:szCs w:val="22"/>
          </w:rPr>
          <m:t>x</m:t>
        </m:r>
      </m:oMath>
      <w:r w:rsidRPr="003476E6">
        <w:rPr>
          <w:rFonts w:cs="Arial"/>
          <w:sz w:val="22"/>
          <w:szCs w:val="22"/>
        </w:rPr>
        <w:t xml:space="preserve">) at fast and habitual speeds, respectively. </w:t>
      </w:r>
      <w:r w:rsidR="00F13CF9" w:rsidRPr="003476E6">
        <w:rPr>
          <w:rFonts w:cs="Arial"/>
          <w:sz w:val="22"/>
          <w:szCs w:val="22"/>
        </w:rPr>
        <w:t>Δ</w:t>
      </w:r>
      <w:r w:rsidR="001B0355" w:rsidRPr="003476E6">
        <w:rPr>
          <w:rFonts w:cs="Arial"/>
          <w:sz w:val="22"/>
          <w:szCs w:val="22"/>
        </w:rPr>
        <w:t xml:space="preserve">BAI for each variable in gait was determined to assess the individual changes in BAI that may occur </w:t>
      </w:r>
      <w:r w:rsidR="00F13CF9" w:rsidRPr="003476E6">
        <w:rPr>
          <w:rFonts w:cs="Arial"/>
          <w:sz w:val="22"/>
          <w:szCs w:val="22"/>
        </w:rPr>
        <w:t>between</w:t>
      </w:r>
      <w:r w:rsidR="001B0355" w:rsidRPr="003476E6">
        <w:rPr>
          <w:rFonts w:cs="Arial"/>
          <w:sz w:val="22"/>
          <w:szCs w:val="22"/>
        </w:rPr>
        <w:t xml:space="preserve"> </w:t>
      </w:r>
      <w:r w:rsidR="00934420" w:rsidRPr="003476E6">
        <w:rPr>
          <w:rFonts w:cs="Arial"/>
          <w:sz w:val="22"/>
          <w:szCs w:val="22"/>
        </w:rPr>
        <w:t>habitual</w:t>
      </w:r>
      <w:r w:rsidR="001B0355" w:rsidRPr="003476E6">
        <w:rPr>
          <w:rFonts w:cs="Arial"/>
          <w:sz w:val="22"/>
          <w:szCs w:val="22"/>
        </w:rPr>
        <w:t xml:space="preserve"> </w:t>
      </w:r>
      <w:r w:rsidR="00F13CF9" w:rsidRPr="003476E6">
        <w:rPr>
          <w:rFonts w:cs="Arial"/>
          <w:sz w:val="22"/>
          <w:szCs w:val="22"/>
        </w:rPr>
        <w:t>and</w:t>
      </w:r>
      <w:r w:rsidR="001B0355" w:rsidRPr="003476E6">
        <w:rPr>
          <w:rFonts w:cs="Arial"/>
          <w:sz w:val="22"/>
          <w:szCs w:val="22"/>
        </w:rPr>
        <w:t xml:space="preserve"> fast walking speeds.  </w:t>
      </w:r>
    </w:p>
    <w:bookmarkEnd w:id="24"/>
    <w:p w14:paraId="2251812D" w14:textId="77777777" w:rsidR="00D50BBB" w:rsidRPr="003476E6" w:rsidRDefault="00D50BBB" w:rsidP="00964B8E">
      <w:pPr>
        <w:pStyle w:val="Heading2"/>
        <w:rPr>
          <w:i/>
          <w:iCs/>
          <w:u w:val="none"/>
        </w:rPr>
      </w:pPr>
      <w:r w:rsidRPr="003476E6">
        <w:rPr>
          <w:i/>
          <w:iCs/>
          <w:u w:val="none"/>
        </w:rPr>
        <w:t>Statistical Analysis</w:t>
      </w:r>
    </w:p>
    <w:p w14:paraId="335A2E03" w14:textId="0AB7FDA4" w:rsidR="00104279" w:rsidRPr="003476E6" w:rsidRDefault="00104279" w:rsidP="000E2681">
      <w:pPr>
        <w:spacing w:after="120" w:line="480" w:lineRule="auto"/>
        <w:jc w:val="both"/>
        <w:rPr>
          <w:rFonts w:cs="Arial"/>
          <w:sz w:val="22"/>
          <w:szCs w:val="22"/>
        </w:rPr>
      </w:pPr>
      <w:bookmarkStart w:id="26" w:name="_Hlk11068246"/>
      <w:proofErr w:type="spellStart"/>
      <w:r w:rsidRPr="003476E6">
        <w:rPr>
          <w:rFonts w:cs="Arial"/>
          <w:sz w:val="22"/>
          <w:szCs w:val="22"/>
        </w:rPr>
        <w:t>Levene’s</w:t>
      </w:r>
      <w:proofErr w:type="spellEnd"/>
      <w:r w:rsidRPr="003476E6">
        <w:rPr>
          <w:rFonts w:cs="Arial"/>
          <w:sz w:val="22"/>
          <w:szCs w:val="22"/>
        </w:rPr>
        <w:t xml:space="preserve"> test </w:t>
      </w:r>
      <w:r w:rsidR="00B20FA5" w:rsidRPr="003476E6">
        <w:rPr>
          <w:rFonts w:cs="Arial"/>
          <w:sz w:val="22"/>
          <w:szCs w:val="22"/>
        </w:rPr>
        <w:t>checked</w:t>
      </w:r>
      <w:r w:rsidRPr="003476E6">
        <w:rPr>
          <w:rFonts w:cs="Arial"/>
          <w:sz w:val="22"/>
          <w:szCs w:val="22"/>
        </w:rPr>
        <w:t xml:space="preserve"> for equality of variances. </w:t>
      </w:r>
      <w:r w:rsidR="00C171A5" w:rsidRPr="003476E6">
        <w:rPr>
          <w:rFonts w:cs="Arial"/>
          <w:sz w:val="22"/>
          <w:szCs w:val="22"/>
        </w:rPr>
        <w:t>P</w:t>
      </w:r>
      <w:r w:rsidRPr="003476E6">
        <w:rPr>
          <w:rFonts w:cs="Arial"/>
          <w:sz w:val="22"/>
          <w:szCs w:val="22"/>
        </w:rPr>
        <w:t xml:space="preserve">aired </w:t>
      </w:r>
      <w:r w:rsidRPr="003476E6">
        <w:rPr>
          <w:rFonts w:cs="Arial"/>
          <w:i/>
          <w:sz w:val="22"/>
          <w:szCs w:val="22"/>
        </w:rPr>
        <w:t>t</w:t>
      </w:r>
      <w:r w:rsidRPr="003476E6">
        <w:rPr>
          <w:rFonts w:cs="Arial"/>
          <w:sz w:val="22"/>
          <w:szCs w:val="22"/>
        </w:rPr>
        <w:t xml:space="preserve">-tests compared </w:t>
      </w:r>
      <w:r w:rsidR="00574E23" w:rsidRPr="003476E6">
        <w:rPr>
          <w:rFonts w:cs="Arial"/>
          <w:sz w:val="22"/>
          <w:szCs w:val="22"/>
        </w:rPr>
        <w:t xml:space="preserve">each </w:t>
      </w:r>
      <w:r w:rsidR="00502FEC" w:rsidRPr="003476E6">
        <w:rPr>
          <w:rFonts w:cs="Arial"/>
          <w:sz w:val="22"/>
          <w:szCs w:val="22"/>
        </w:rPr>
        <w:t xml:space="preserve">strength and </w:t>
      </w:r>
      <w:r w:rsidR="00574E23" w:rsidRPr="003476E6">
        <w:rPr>
          <w:rFonts w:cs="Arial"/>
          <w:sz w:val="22"/>
          <w:szCs w:val="22"/>
        </w:rPr>
        <w:t>gait variable</w:t>
      </w:r>
      <w:r w:rsidRPr="003476E6">
        <w:rPr>
          <w:rFonts w:cs="Arial"/>
          <w:sz w:val="22"/>
          <w:szCs w:val="22"/>
        </w:rPr>
        <w:t xml:space="preserve"> between the intact and amputated</w:t>
      </w:r>
      <w:r w:rsidR="00B20FA5" w:rsidRPr="003476E6">
        <w:rPr>
          <w:rFonts w:cs="Arial"/>
          <w:sz w:val="22"/>
          <w:szCs w:val="22"/>
        </w:rPr>
        <w:t xml:space="preserve"> </w:t>
      </w:r>
      <w:r w:rsidRPr="003476E6">
        <w:rPr>
          <w:rFonts w:cs="Arial"/>
          <w:sz w:val="22"/>
          <w:szCs w:val="22"/>
        </w:rPr>
        <w:t>limb</w:t>
      </w:r>
      <w:r w:rsidR="001C2A1D" w:rsidRPr="003476E6">
        <w:rPr>
          <w:rFonts w:cs="Arial"/>
          <w:sz w:val="22"/>
          <w:szCs w:val="22"/>
        </w:rPr>
        <w:t>.</w:t>
      </w:r>
      <w:r w:rsidR="006F0A7B" w:rsidRPr="003476E6">
        <w:rPr>
          <w:rFonts w:cs="Arial"/>
          <w:sz w:val="22"/>
          <w:szCs w:val="22"/>
        </w:rPr>
        <w:t xml:space="preserve"> </w:t>
      </w:r>
      <w:r w:rsidRPr="003476E6">
        <w:rPr>
          <w:rFonts w:cs="Arial"/>
          <w:sz w:val="22"/>
          <w:szCs w:val="22"/>
        </w:rPr>
        <w:t>Effect size (Hedges g) was calculated</w:t>
      </w:r>
      <w:r w:rsidR="00F4251F" w:rsidRPr="003476E6">
        <w:rPr>
          <w:rFonts w:cs="Arial"/>
          <w:sz w:val="22"/>
          <w:szCs w:val="22"/>
        </w:rPr>
        <w:t xml:space="preserve"> for all comparisons</w:t>
      </w:r>
      <w:r w:rsidRPr="003476E6">
        <w:rPr>
          <w:rFonts w:cs="Arial"/>
          <w:sz w:val="22"/>
          <w:szCs w:val="22"/>
        </w:rPr>
        <w:t>, and interpreted as small (g=0.2–0.5), medium (g=0.5–0.8) and large effects (g</w:t>
      </w:r>
      <w:r w:rsidR="003953A9" w:rsidRPr="003476E6">
        <w:rPr>
          <w:rFonts w:cs="Arial"/>
          <w:sz w:val="22"/>
          <w:szCs w:val="22"/>
        </w:rPr>
        <w:t>&gt;</w:t>
      </w:r>
      <w:r w:rsidRPr="003476E6">
        <w:rPr>
          <w:rFonts w:cs="Arial"/>
          <w:sz w:val="22"/>
          <w:szCs w:val="22"/>
        </w:rPr>
        <w:t>0.8</w:t>
      </w:r>
      <w:r w:rsidR="007119CB" w:rsidRPr="003476E6">
        <w:rPr>
          <w:rFonts w:cs="Arial"/>
          <w:sz w:val="22"/>
          <w:szCs w:val="22"/>
        </w:rPr>
        <w:t xml:space="preserve">) </w:t>
      </w:r>
      <w:r w:rsidR="002318B6" w:rsidRPr="003476E6">
        <w:rPr>
          <w:rFonts w:cs="Arial"/>
          <w:sz w:val="22"/>
          <w:szCs w:val="22"/>
        </w:rPr>
        <w:fldChar w:fldCharType="begin" w:fldLock="1"/>
      </w:r>
      <w:r w:rsidR="007E102E">
        <w:rPr>
          <w:rFonts w:cs="Arial"/>
          <w:sz w:val="22"/>
          <w:szCs w:val="22"/>
        </w:rPr>
        <w:instrText>ADDIN CSL_CITATION {"citationItems":[{"id":"ITEM-1","itemData":{"DOI":"10.3389/fpsyg.2013.00863","ISBN":"1664-1078","abstract":"Effect sizes are the most important outcome of empirical studies. Most articles on effect sizes highlight their importance to communicate the practical significance of results. For scientists themselves, effect sizes are most useful because they facilitate cumulative science. Effect sizes can be used to determine the sample size for follow-up studies, or examining effects across studies. This article aims to provide a practical primer on how to calculate and report effect sizes for t-tests and ANOVA’s such that effect sizes can be used in a-priori power analyses and meta-analyses. Whereas many articles about effect sizes focus on between-subjects designs and address within-subjects designs only briefly, I provide a detailed overview of the similarities and differences between within- and between-subjects designs. I suggest that some research questions in experimental psychology examine inherently intra-individual effects, which makes effect sizes that incorporate the correlation between measures the best summary of the results. Finally, a supplementary spreadsheet is provided to make it as easy as possible for researchers to incorporate effect size calculations into their workflow.","author":[{"dropping-particle":"","family":"Lakens","given":"Daniel","non-dropping-particle":"","parse-names":false,"suffix":""}],"container-title":"Frontiers in Psychology","id":"ITEM-1","issued":{"date-parts":[["2013"]]},"title":"Calculating and reporting effect sizes to facilitate cumulative science: a practical primer for t-tests and ANOVAs","type":"article-journal","volume":"4"},"uris":["http://www.mendeley.com/documents/?uuid=75c4ab21-4eda-4473-b07f-41f0547d7dd1"]}],"mendeley":{"formattedCitation":"[46]","plainTextFormattedCitation":"[46]","previouslyFormattedCitation":"[48]"},"properties":{"noteIndex":0},"schema":"https://github.com/citation-style-language/schema/raw/master/csl-citation.json"}</w:instrText>
      </w:r>
      <w:r w:rsidR="002318B6" w:rsidRPr="003476E6">
        <w:rPr>
          <w:rFonts w:cs="Arial"/>
          <w:sz w:val="22"/>
          <w:szCs w:val="22"/>
        </w:rPr>
        <w:fldChar w:fldCharType="separate"/>
      </w:r>
      <w:r w:rsidR="007E102E" w:rsidRPr="007E102E">
        <w:rPr>
          <w:rFonts w:cs="Arial"/>
          <w:noProof/>
          <w:sz w:val="22"/>
          <w:szCs w:val="22"/>
        </w:rPr>
        <w:t>[46]</w:t>
      </w:r>
      <w:r w:rsidR="002318B6" w:rsidRPr="003476E6">
        <w:rPr>
          <w:rFonts w:cs="Arial"/>
          <w:sz w:val="22"/>
          <w:szCs w:val="22"/>
        </w:rPr>
        <w:fldChar w:fldCharType="end"/>
      </w:r>
      <w:r w:rsidR="002318B6" w:rsidRPr="003476E6">
        <w:rPr>
          <w:rFonts w:cs="Arial"/>
          <w:sz w:val="22"/>
          <w:szCs w:val="22"/>
        </w:rPr>
        <w:t xml:space="preserve">. </w:t>
      </w:r>
      <w:r w:rsidRPr="003476E6">
        <w:rPr>
          <w:rFonts w:cs="Arial"/>
          <w:sz w:val="22"/>
          <w:szCs w:val="22"/>
        </w:rPr>
        <w:t>Where variables were greater in the amputated than intact</w:t>
      </w:r>
      <w:r w:rsidR="00B20FA5" w:rsidRPr="003476E6">
        <w:rPr>
          <w:rFonts w:cs="Arial"/>
          <w:sz w:val="22"/>
          <w:szCs w:val="22"/>
        </w:rPr>
        <w:t xml:space="preserve"> </w:t>
      </w:r>
      <w:r w:rsidRPr="003476E6">
        <w:rPr>
          <w:rFonts w:cs="Arial"/>
          <w:sz w:val="22"/>
          <w:szCs w:val="22"/>
        </w:rPr>
        <w:t>limb, g was negative.</w:t>
      </w:r>
    </w:p>
    <w:p w14:paraId="25A3FAFD" w14:textId="6300B575" w:rsidR="00104279" w:rsidRPr="003476E6" w:rsidRDefault="002318B6" w:rsidP="000E2681">
      <w:pPr>
        <w:suppressAutoHyphens/>
        <w:spacing w:after="120" w:line="480" w:lineRule="auto"/>
        <w:jc w:val="both"/>
        <w:rPr>
          <w:rFonts w:cs="Arial"/>
          <w:sz w:val="22"/>
          <w:szCs w:val="22"/>
        </w:rPr>
      </w:pPr>
      <w:r w:rsidRPr="003476E6">
        <w:rPr>
          <w:rFonts w:cs="Arial"/>
          <w:sz w:val="22"/>
          <w:szCs w:val="22"/>
          <w:lang w:eastAsia="en-GB"/>
        </w:rPr>
        <w:t>To determine the relationships between</w:t>
      </w:r>
      <w:r w:rsidR="002A554C" w:rsidRPr="003476E6">
        <w:rPr>
          <w:rFonts w:cs="Arial"/>
          <w:sz w:val="22"/>
          <w:szCs w:val="22"/>
          <w:lang w:eastAsia="en-GB"/>
        </w:rPr>
        <w:t xml:space="preserve"> both </w:t>
      </w:r>
      <w:r w:rsidR="00FC6208" w:rsidRPr="003476E6">
        <w:rPr>
          <w:rFonts w:cs="Arial"/>
          <w:sz w:val="22"/>
          <w:szCs w:val="22"/>
          <w:lang w:eastAsia="en-GB"/>
        </w:rPr>
        <w:t>aspects</w:t>
      </w:r>
      <w:r w:rsidR="002A554C" w:rsidRPr="003476E6">
        <w:rPr>
          <w:rFonts w:cs="Arial"/>
          <w:sz w:val="22"/>
          <w:szCs w:val="22"/>
          <w:lang w:eastAsia="en-GB"/>
        </w:rPr>
        <w:t xml:space="preserve"> of</w:t>
      </w:r>
      <w:r w:rsidRPr="003476E6">
        <w:rPr>
          <w:rFonts w:cs="Arial"/>
          <w:sz w:val="22"/>
          <w:szCs w:val="22"/>
          <w:lang w:eastAsia="en-GB"/>
        </w:rPr>
        <w:t xml:space="preserve"> strength asymmetry and gait variables, Pearson’s product</w:t>
      </w:r>
      <w:r w:rsidR="00B20FA5" w:rsidRPr="003476E6">
        <w:rPr>
          <w:rFonts w:cs="Arial"/>
          <w:sz w:val="22"/>
          <w:szCs w:val="22"/>
          <w:lang w:eastAsia="en-GB"/>
        </w:rPr>
        <w:t>-</w:t>
      </w:r>
      <w:r w:rsidRPr="003476E6">
        <w:rPr>
          <w:rFonts w:cs="Arial"/>
          <w:sz w:val="22"/>
          <w:szCs w:val="22"/>
          <w:lang w:eastAsia="en-GB"/>
        </w:rPr>
        <w:t xml:space="preserve">moment correlations were performed between BAI MVT and, separately, BAI RTD; with (1) habitual and (2) fast walking speeds; (3) </w:t>
      </w:r>
      <w:proofErr w:type="spellStart"/>
      <w:r w:rsidRPr="003476E6">
        <w:rPr>
          <w:rFonts w:cs="Arial"/>
          <w:sz w:val="22"/>
          <w:szCs w:val="22"/>
        </w:rPr>
        <w:t>ΔSpeed</w:t>
      </w:r>
      <w:proofErr w:type="spellEnd"/>
      <w:r w:rsidRPr="003476E6">
        <w:rPr>
          <w:rFonts w:cs="Arial"/>
          <w:sz w:val="22"/>
          <w:szCs w:val="22"/>
          <w:lang w:eastAsia="en-GB"/>
        </w:rPr>
        <w:t xml:space="preserve">; </w:t>
      </w:r>
      <w:r w:rsidR="00981EA5" w:rsidRPr="003476E6">
        <w:rPr>
          <w:rFonts w:cs="Arial"/>
          <w:sz w:val="22"/>
          <w:szCs w:val="22"/>
          <w:lang w:eastAsia="en-GB"/>
        </w:rPr>
        <w:t xml:space="preserve">(4) </w:t>
      </w:r>
      <w:r w:rsidRPr="003476E6">
        <w:rPr>
          <w:rFonts w:cs="Arial"/>
          <w:sz w:val="22"/>
          <w:szCs w:val="22"/>
          <w:lang w:eastAsia="en-GB"/>
        </w:rPr>
        <w:t>each gait variable BAI</w:t>
      </w:r>
      <w:r w:rsidR="006F4664" w:rsidRPr="003476E6">
        <w:rPr>
          <w:rFonts w:cs="Arial"/>
          <w:sz w:val="22"/>
          <w:szCs w:val="22"/>
          <w:lang w:eastAsia="en-GB"/>
        </w:rPr>
        <w:t xml:space="preserve">; and (5) </w:t>
      </w:r>
      <w:r w:rsidR="006F4664" w:rsidRPr="003476E6">
        <w:rPr>
          <w:rFonts w:cs="Arial"/>
          <w:sz w:val="22"/>
          <w:szCs w:val="22"/>
        </w:rPr>
        <w:t>ΔBAI</w:t>
      </w:r>
      <w:r w:rsidRPr="003476E6">
        <w:rPr>
          <w:rFonts w:cs="Arial"/>
          <w:sz w:val="22"/>
          <w:szCs w:val="22"/>
          <w:lang w:eastAsia="en-GB"/>
        </w:rPr>
        <w:t xml:space="preserve">. </w:t>
      </w:r>
      <w:r w:rsidR="00500790" w:rsidRPr="003476E6">
        <w:rPr>
          <w:rFonts w:cs="Arial"/>
          <w:sz w:val="22"/>
          <w:szCs w:val="22"/>
        </w:rPr>
        <w:t>To ensure the</w:t>
      </w:r>
      <w:r w:rsidR="00FA01B5" w:rsidRPr="003476E6">
        <w:rPr>
          <w:rFonts w:cs="Arial"/>
          <w:sz w:val="22"/>
          <w:szCs w:val="22"/>
        </w:rPr>
        <w:t xml:space="preserve"> </w:t>
      </w:r>
      <w:r w:rsidR="002C4468" w:rsidRPr="003476E6">
        <w:rPr>
          <w:rFonts w:cs="Arial"/>
          <w:sz w:val="22"/>
          <w:szCs w:val="22"/>
        </w:rPr>
        <w:t xml:space="preserve">correlations </w:t>
      </w:r>
      <w:r w:rsidR="003C2883" w:rsidRPr="003476E6">
        <w:rPr>
          <w:rFonts w:cs="Arial"/>
          <w:sz w:val="22"/>
          <w:szCs w:val="22"/>
        </w:rPr>
        <w:t xml:space="preserve">in </w:t>
      </w:r>
      <w:r w:rsidR="00937575" w:rsidRPr="003476E6">
        <w:rPr>
          <w:rFonts w:cs="Arial"/>
          <w:sz w:val="22"/>
          <w:szCs w:val="22"/>
        </w:rPr>
        <w:t xml:space="preserve">(4) </w:t>
      </w:r>
      <w:r w:rsidR="00500790" w:rsidRPr="003476E6">
        <w:rPr>
          <w:rFonts w:cs="Arial"/>
          <w:sz w:val="22"/>
          <w:szCs w:val="22"/>
        </w:rPr>
        <w:t xml:space="preserve">were independent of self-selected walking speed, </w:t>
      </w:r>
      <w:r w:rsidR="00FA01B5" w:rsidRPr="003476E6">
        <w:rPr>
          <w:rFonts w:cs="Arial"/>
          <w:sz w:val="22"/>
          <w:szCs w:val="22"/>
        </w:rPr>
        <w:t>the criteria outlined in Table 2 were used to select the type of correlation (</w:t>
      </w:r>
      <w:proofErr w:type="gramStart"/>
      <w:r w:rsidR="00FA01B5" w:rsidRPr="003476E6">
        <w:rPr>
          <w:rFonts w:cs="Arial"/>
          <w:sz w:val="22"/>
          <w:szCs w:val="22"/>
        </w:rPr>
        <w:t>i.e.</w:t>
      </w:r>
      <w:proofErr w:type="gramEnd"/>
      <w:r w:rsidR="00FA01B5" w:rsidRPr="003476E6">
        <w:rPr>
          <w:rFonts w:cs="Arial"/>
          <w:sz w:val="22"/>
          <w:szCs w:val="22"/>
        </w:rPr>
        <w:t xml:space="preserve"> </w:t>
      </w:r>
      <w:r w:rsidR="00500790" w:rsidRPr="003476E6">
        <w:rPr>
          <w:rFonts w:cs="Arial"/>
          <w:sz w:val="22"/>
          <w:szCs w:val="22"/>
        </w:rPr>
        <w:t>bivariate, semi-partial, or partial</w:t>
      </w:r>
      <w:r w:rsidR="00FA01B5" w:rsidRPr="003476E6">
        <w:rPr>
          <w:rFonts w:cs="Arial"/>
          <w:sz w:val="22"/>
          <w:szCs w:val="22"/>
        </w:rPr>
        <w:t>)</w:t>
      </w:r>
      <w:r w:rsidR="00500790" w:rsidRPr="003476E6">
        <w:rPr>
          <w:rFonts w:cs="Arial"/>
          <w:sz w:val="22"/>
          <w:szCs w:val="22"/>
        </w:rPr>
        <w:t xml:space="preserve">. </w:t>
      </w:r>
      <w:r w:rsidR="00BF0FA3" w:rsidRPr="003476E6">
        <w:rPr>
          <w:rFonts w:cs="Arial"/>
          <w:sz w:val="22"/>
          <w:szCs w:val="22"/>
        </w:rPr>
        <w:t>R</w:t>
      </w:r>
      <w:r w:rsidR="00104279" w:rsidRPr="003476E6">
        <w:rPr>
          <w:rFonts w:cs="Arial"/>
          <w:sz w:val="22"/>
          <w:szCs w:val="22"/>
        </w:rPr>
        <w:t>elationships were interpreted as strong (r&gt;0.7), moderate (r=0.5–0.7), or weak (r=0.3–0.5</w:t>
      </w:r>
      <w:r w:rsidR="007119CB" w:rsidRPr="003476E6">
        <w:rPr>
          <w:rFonts w:cs="Arial"/>
          <w:sz w:val="22"/>
          <w:szCs w:val="22"/>
        </w:rPr>
        <w:t xml:space="preserve">) </w:t>
      </w:r>
      <w:r w:rsidR="00735705" w:rsidRPr="003476E6">
        <w:rPr>
          <w:rFonts w:cs="Arial"/>
          <w:sz w:val="22"/>
          <w:szCs w:val="22"/>
        </w:rPr>
        <w:fldChar w:fldCharType="begin" w:fldLock="1"/>
      </w:r>
      <w:r w:rsidR="007E102E">
        <w:rPr>
          <w:rFonts w:cs="Arial"/>
          <w:sz w:val="22"/>
          <w:szCs w:val="22"/>
        </w:rPr>
        <w:instrText>ADDIN CSL_CITATION {"citationItems":[{"id":"ITEM-1","itemData":{"author":[{"dropping-particle":"","family":"Mukaka","given":"Mavuto M","non-dropping-particle":"","parse-names":false,"suffix":""}],"container-title":"Malawi Medical Journal","id":"ITEM-1","issue":"3","issued":{"date-parts":[["2012"]]},"page":"69-71","title":"A guide to appropriate use of correlation coefficient in medical research","type":"article-journal","volume":"24"},"uris":["http://www.mendeley.com/documents/?uuid=67d05486-f83b-4c97-9bd6-f0144f397a57"]}],"mendeley":{"formattedCitation":"[47]","plainTextFormattedCitation":"[47]","previouslyFormattedCitation":"[49]"},"properties":{"noteIndex":0},"schema":"https://github.com/citation-style-language/schema/raw/master/csl-citation.json"}</w:instrText>
      </w:r>
      <w:r w:rsidR="00735705" w:rsidRPr="003476E6">
        <w:rPr>
          <w:rFonts w:cs="Arial"/>
          <w:sz w:val="22"/>
          <w:szCs w:val="22"/>
        </w:rPr>
        <w:fldChar w:fldCharType="separate"/>
      </w:r>
      <w:r w:rsidR="007E102E" w:rsidRPr="007E102E">
        <w:rPr>
          <w:rFonts w:cs="Arial"/>
          <w:noProof/>
          <w:sz w:val="22"/>
          <w:szCs w:val="22"/>
        </w:rPr>
        <w:t>[47]</w:t>
      </w:r>
      <w:r w:rsidR="00735705" w:rsidRPr="003476E6">
        <w:rPr>
          <w:rFonts w:cs="Arial"/>
          <w:sz w:val="22"/>
          <w:szCs w:val="22"/>
        </w:rPr>
        <w:fldChar w:fldCharType="end"/>
      </w:r>
      <w:r w:rsidR="00735705" w:rsidRPr="003476E6">
        <w:rPr>
          <w:rFonts w:cs="Arial"/>
          <w:sz w:val="22"/>
          <w:szCs w:val="22"/>
        </w:rPr>
        <w:t>.</w:t>
      </w:r>
    </w:p>
    <w:p w14:paraId="2465C777" w14:textId="7725DBB6" w:rsidR="00542FB1" w:rsidRDefault="00542FB1" w:rsidP="00542FB1">
      <w:pPr>
        <w:widowControl w:val="0"/>
        <w:autoSpaceDE w:val="0"/>
        <w:autoSpaceDN w:val="0"/>
        <w:adjustRightInd w:val="0"/>
        <w:spacing w:after="120" w:line="480" w:lineRule="auto"/>
        <w:jc w:val="both"/>
        <w:rPr>
          <w:rFonts w:cs="Arial"/>
          <w:sz w:val="22"/>
          <w:szCs w:val="22"/>
        </w:rPr>
      </w:pPr>
      <w:r w:rsidRPr="00542FB1">
        <w:rPr>
          <w:rFonts w:cs="Arial"/>
          <w:sz w:val="22"/>
          <w:szCs w:val="22"/>
        </w:rPr>
        <w:t xml:space="preserve">BAIs were reported as </w:t>
      </w:r>
      <w:proofErr w:type="spellStart"/>
      <w:r w:rsidRPr="00542FB1">
        <w:rPr>
          <w:rFonts w:cs="Arial"/>
          <w:sz w:val="22"/>
          <w:szCs w:val="22"/>
        </w:rPr>
        <w:t>mean±SD</w:t>
      </w:r>
      <w:proofErr w:type="spellEnd"/>
      <w:r w:rsidRPr="00542FB1">
        <w:rPr>
          <w:rFonts w:cs="Arial"/>
          <w:sz w:val="22"/>
          <w:szCs w:val="22"/>
        </w:rPr>
        <w:t xml:space="preserve">. Statistical analysis was completed using SPSS v24. The significance level for paired t-tests was set at </w:t>
      </w:r>
      <w:r w:rsidRPr="00542FB1">
        <w:rPr>
          <w:rFonts w:cs="Arial"/>
          <w:i/>
          <w:sz w:val="22"/>
          <w:szCs w:val="22"/>
        </w:rPr>
        <w:t>p</w:t>
      </w:r>
      <w:r w:rsidRPr="00542FB1">
        <w:rPr>
          <w:rFonts w:cs="Arial"/>
          <w:sz w:val="22"/>
          <w:szCs w:val="22"/>
        </w:rPr>
        <w:t xml:space="preserve">&lt;0.05. Significance level for multiple correlations of the same strength BAI variable with a walking gait parameter was corrected using </w:t>
      </w:r>
      <w:proofErr w:type="spellStart"/>
      <w:r w:rsidRPr="00542FB1">
        <w:rPr>
          <w:rFonts w:cs="Arial"/>
          <w:sz w:val="22"/>
          <w:szCs w:val="22"/>
        </w:rPr>
        <w:t>Benjamini</w:t>
      </w:r>
      <w:proofErr w:type="spellEnd"/>
      <w:r w:rsidRPr="00542FB1">
        <w:rPr>
          <w:rFonts w:cs="Arial"/>
          <w:sz w:val="22"/>
          <w:szCs w:val="22"/>
        </w:rPr>
        <w:t>-Hochberg procedure.</w:t>
      </w:r>
      <w:r w:rsidRPr="00542FB1">
        <w:rPr>
          <w:rFonts w:cs="Arial"/>
          <w:color w:val="201F1E"/>
          <w:sz w:val="22"/>
          <w:szCs w:val="22"/>
        </w:rPr>
        <w:t xml:space="preserve"> </w:t>
      </w:r>
      <w:bookmarkStart w:id="27" w:name="_Hlk79421677"/>
      <w:bookmarkStart w:id="28" w:name="_Hlk79421663"/>
      <w:r w:rsidRPr="00542FB1">
        <w:rPr>
          <w:rFonts w:cs="Arial"/>
          <w:color w:val="201F1E"/>
          <w:sz w:val="22"/>
          <w:szCs w:val="22"/>
        </w:rPr>
        <w:t xml:space="preserve">Briefly, individual </w:t>
      </w:r>
      <w:r w:rsidRPr="00542FB1">
        <w:rPr>
          <w:rFonts w:cs="Arial"/>
          <w:i/>
          <w:iCs/>
          <w:color w:val="201F1E"/>
          <w:sz w:val="22"/>
          <w:szCs w:val="22"/>
        </w:rPr>
        <w:t>p</w:t>
      </w:r>
      <w:r w:rsidRPr="00542FB1">
        <w:rPr>
          <w:rFonts w:cs="Arial"/>
          <w:i/>
          <w:iCs/>
          <w:color w:val="201F1E"/>
          <w:sz w:val="22"/>
          <w:szCs w:val="22"/>
        </w:rPr>
        <w:softHyphen/>
        <w:t>-</w:t>
      </w:r>
      <w:r w:rsidRPr="00542FB1">
        <w:rPr>
          <w:rFonts w:cs="Arial"/>
          <w:color w:val="201F1E"/>
          <w:sz w:val="22"/>
          <w:szCs w:val="22"/>
        </w:rPr>
        <w:t>values from correlational analyses were ranked</w:t>
      </w:r>
      <w:r w:rsidR="00075922">
        <w:rPr>
          <w:rFonts w:cs="Arial"/>
          <w:color w:val="201F1E"/>
          <w:sz w:val="22"/>
          <w:szCs w:val="22"/>
        </w:rPr>
        <w:t xml:space="preserve"> from smallest to largest</w:t>
      </w:r>
      <w:r w:rsidRPr="00542FB1">
        <w:rPr>
          <w:rFonts w:cs="Arial"/>
          <w:color w:val="201F1E"/>
          <w:sz w:val="22"/>
          <w:szCs w:val="22"/>
        </w:rPr>
        <w:t xml:space="preserve">. </w:t>
      </w:r>
      <w:proofErr w:type="spellStart"/>
      <w:r w:rsidRPr="00542FB1">
        <w:rPr>
          <w:rFonts w:cs="Arial"/>
          <w:sz w:val="22"/>
          <w:szCs w:val="22"/>
        </w:rPr>
        <w:t>Benjamini</w:t>
      </w:r>
      <w:proofErr w:type="spellEnd"/>
      <w:r w:rsidRPr="00542FB1">
        <w:rPr>
          <w:rFonts w:cs="Arial"/>
          <w:sz w:val="22"/>
          <w:szCs w:val="22"/>
        </w:rPr>
        <w:t>-Hochberg  c</w:t>
      </w:r>
      <w:r w:rsidRPr="00542FB1">
        <w:rPr>
          <w:rFonts w:cs="Arial"/>
          <w:color w:val="201F1E"/>
          <w:sz w:val="22"/>
          <w:szCs w:val="22"/>
        </w:rPr>
        <w:t>ritical values (</w:t>
      </w:r>
      <m:oMath>
        <m:r>
          <w:rPr>
            <w:rFonts w:ascii="Cambria Math" w:hAnsi="Cambria Math" w:cs="Arial"/>
            <w:color w:val="201F1E"/>
            <w:sz w:val="22"/>
            <w:szCs w:val="22"/>
          </w:rPr>
          <m:t>x</m:t>
        </m:r>
      </m:oMath>
      <w:r w:rsidRPr="00542FB1">
        <w:rPr>
          <w:rFonts w:cs="Arial"/>
          <w:color w:val="201F1E"/>
          <w:sz w:val="22"/>
          <w:szCs w:val="22"/>
        </w:rPr>
        <w:t xml:space="preserve">) were calculated for each </w:t>
      </w:r>
      <w:r w:rsidRPr="00542FB1">
        <w:rPr>
          <w:rFonts w:cs="Arial"/>
          <w:i/>
          <w:iCs/>
          <w:color w:val="201F1E"/>
          <w:sz w:val="22"/>
          <w:szCs w:val="22"/>
        </w:rPr>
        <w:t>p</w:t>
      </w:r>
      <w:r w:rsidRPr="00542FB1">
        <w:rPr>
          <w:rFonts w:cs="Arial"/>
          <w:i/>
          <w:iCs/>
          <w:color w:val="201F1E"/>
          <w:sz w:val="22"/>
          <w:szCs w:val="22"/>
        </w:rPr>
        <w:softHyphen/>
        <w:t>-</w:t>
      </w:r>
      <w:r w:rsidRPr="00542FB1">
        <w:rPr>
          <w:rFonts w:cs="Arial"/>
          <w:color w:val="201F1E"/>
          <w:sz w:val="22"/>
          <w:szCs w:val="22"/>
        </w:rPr>
        <w:t xml:space="preserve">value using the formula </w:t>
      </w:r>
      <m:oMath>
        <m:r>
          <w:rPr>
            <w:rFonts w:ascii="Cambria Math" w:hAnsi="Cambria Math" w:cs="Arial"/>
            <w:color w:val="201F1E"/>
            <w:sz w:val="22"/>
            <w:szCs w:val="22"/>
          </w:rPr>
          <m:t>x=</m:t>
        </m:r>
        <m:d>
          <m:dPr>
            <m:ctrlPr>
              <w:rPr>
                <w:rFonts w:ascii="Cambria Math" w:hAnsi="Cambria Math" w:cs="Arial"/>
                <w:i/>
                <w:color w:val="201F1E"/>
                <w:sz w:val="22"/>
                <w:szCs w:val="22"/>
              </w:rPr>
            </m:ctrlPr>
          </m:dPr>
          <m:e>
            <m:f>
              <m:fPr>
                <m:ctrlPr>
                  <w:rPr>
                    <w:rFonts w:ascii="Cambria Math" w:hAnsi="Cambria Math" w:cs="Arial"/>
                    <w:i/>
                    <w:color w:val="201F1E"/>
                    <w:sz w:val="22"/>
                    <w:szCs w:val="22"/>
                  </w:rPr>
                </m:ctrlPr>
              </m:fPr>
              <m:num>
                <m:r>
                  <w:rPr>
                    <w:rFonts w:ascii="Cambria Math" w:hAnsi="Cambria Math" w:cs="Arial"/>
                    <w:color w:val="201F1E"/>
                    <w:sz w:val="22"/>
                    <w:szCs w:val="22"/>
                  </w:rPr>
                  <m:t>i</m:t>
                </m:r>
              </m:num>
              <m:den>
                <m:r>
                  <w:rPr>
                    <w:rFonts w:ascii="Cambria Math" w:hAnsi="Cambria Math" w:cs="Arial"/>
                    <w:color w:val="201F1E"/>
                    <w:sz w:val="22"/>
                    <w:szCs w:val="22"/>
                  </w:rPr>
                  <m:t>m</m:t>
                </m:r>
              </m:den>
            </m:f>
          </m:e>
        </m:d>
        <m:r>
          <w:rPr>
            <w:rFonts w:ascii="Cambria Math" w:hAnsi="Cambria Math" w:cs="Arial"/>
            <w:color w:val="201F1E"/>
            <w:sz w:val="22"/>
            <w:szCs w:val="22"/>
          </w:rPr>
          <m:t>Q</m:t>
        </m:r>
      </m:oMath>
      <w:r w:rsidRPr="00542FB1">
        <w:rPr>
          <w:rFonts w:eastAsiaTheme="minorEastAsia" w:cs="Arial"/>
          <w:color w:val="201F1E"/>
          <w:sz w:val="22"/>
          <w:szCs w:val="22"/>
        </w:rPr>
        <w:t xml:space="preserve">, where </w:t>
      </w:r>
      <m:oMath>
        <m:r>
          <w:rPr>
            <w:rFonts w:ascii="Cambria Math" w:eastAsiaTheme="minorEastAsia" w:hAnsi="Cambria Math" w:cs="Arial"/>
            <w:color w:val="201F1E"/>
            <w:sz w:val="22"/>
            <w:szCs w:val="22"/>
          </w:rPr>
          <m:t>i</m:t>
        </m:r>
      </m:oMath>
      <w:r w:rsidRPr="00542FB1">
        <w:rPr>
          <w:rFonts w:eastAsiaTheme="minorEastAsia" w:cs="Arial"/>
          <w:color w:val="201F1E"/>
          <w:sz w:val="22"/>
          <w:szCs w:val="22"/>
        </w:rPr>
        <w:t xml:space="preserve"> is the individual </w:t>
      </w:r>
      <w:r w:rsidRPr="00542FB1">
        <w:rPr>
          <w:rFonts w:eastAsiaTheme="minorEastAsia" w:cs="Arial"/>
          <w:i/>
          <w:iCs/>
          <w:color w:val="201F1E"/>
          <w:sz w:val="22"/>
          <w:szCs w:val="22"/>
        </w:rPr>
        <w:t>p-</w:t>
      </w:r>
      <w:r w:rsidRPr="00542FB1">
        <w:rPr>
          <w:rFonts w:eastAsiaTheme="minorEastAsia" w:cs="Arial"/>
          <w:color w:val="201F1E"/>
          <w:sz w:val="22"/>
          <w:szCs w:val="22"/>
        </w:rPr>
        <w:t xml:space="preserve">value’s rank, </w:t>
      </w:r>
      <m:oMath>
        <m:r>
          <w:rPr>
            <w:rFonts w:ascii="Cambria Math" w:hAnsi="Cambria Math" w:cs="Arial"/>
            <w:color w:val="201F1E"/>
            <w:sz w:val="22"/>
            <w:szCs w:val="22"/>
          </w:rPr>
          <m:t>m</m:t>
        </m:r>
      </m:oMath>
      <w:r w:rsidRPr="00542FB1">
        <w:rPr>
          <w:rFonts w:eastAsiaTheme="minorEastAsia" w:cs="Arial"/>
          <w:color w:val="201F1E"/>
          <w:sz w:val="22"/>
          <w:szCs w:val="22"/>
        </w:rPr>
        <w:t xml:space="preserve"> is the total number of tests, and </w:t>
      </w:r>
      <m:oMath>
        <m:r>
          <w:rPr>
            <w:rFonts w:ascii="Cambria Math" w:hAnsi="Cambria Math" w:cs="Arial"/>
            <w:color w:val="201F1E"/>
            <w:sz w:val="22"/>
            <w:szCs w:val="22"/>
          </w:rPr>
          <m:t>Q</m:t>
        </m:r>
      </m:oMath>
      <w:r w:rsidRPr="00542FB1">
        <w:rPr>
          <w:rFonts w:eastAsiaTheme="minorEastAsia" w:cs="Arial"/>
          <w:color w:val="201F1E"/>
          <w:sz w:val="22"/>
          <w:szCs w:val="22"/>
        </w:rPr>
        <w:t xml:space="preserve"> is the false discovery rate, set at 20% </w:t>
      </w:r>
      <w:r w:rsidRPr="00542FB1">
        <w:rPr>
          <w:rFonts w:eastAsiaTheme="minorEastAsia" w:cs="Arial"/>
          <w:color w:val="201F1E"/>
          <w:sz w:val="22"/>
          <w:szCs w:val="22"/>
        </w:rPr>
        <w:fldChar w:fldCharType="begin" w:fldLock="1"/>
      </w:r>
      <w:r w:rsidR="007E102E">
        <w:rPr>
          <w:rFonts w:eastAsiaTheme="minorEastAsia" w:cs="Arial"/>
          <w:color w:val="201F1E"/>
          <w:sz w:val="22"/>
          <w:szCs w:val="22"/>
        </w:rPr>
        <w:instrText>ADDIN CSL_CITATION {"citationItems":[{"id":"ITEM-1","itemData":{"DOI":"10.1016/j.apmr.2018.05.016","ISSN":"1532821X","PMID":"29920230","abstract":"Objective: To assess whether variables from a postural control test relate to and predict falls efficacy in prosthesis users. Design: Twelve-month within- and between-participants repeated measures design. Participants performed the limits of stability (LOS) test protocol at study baseline and at 6-month follow-up. Participants also completed the Falls Efficacy Scale-International (FES-I) questionnaire, reflecting the fear of falling, and reported the number of falls monthly between study baseline and 6-month follow-up, and additionally at 9- and 12-month follow-ups. Setting: University biomechanics laboratories. Participants: Participants (N=24) included a group of active unilateral transtibial prosthesis users of primarily traumatic etiology (n=12) with at least 1 year of prosthetic experience and age- and sex-matched control participants (n=12). Interventions: Not applicable. Main Outcome Measures: Postural control variables derived from center of pressure data obtained during the LOS test, which was performed on and reported by the Neurocom Pro Balance Master, namely reaction time, movement velocity (MVL), endpoint excursion (EPE), maximum excursion (MXE), and directional control (DCL). Number of falls and total FES-I scores. Results: During the study period, the prosthesis users group had higher FES-I scores (U=33.5, P=.02), but experienced a similar number of falls, compared to the control group. Increased FES-I scores were associated with decreased EPE (r= −0.73, P=.02), MXE (r= −0.83, P&lt;.01) and MVL (r= −0.7, P=.03) in the prosthesis users group, and DCL (r= −0.82, P&lt;.01) in the control group, all in the backward direction. Conclusions: Study baseline measures of postural control, in the backward direction only, are related to and potentially predictive of subsequent 6-month FES-I scores in relatively mobile and experienced prosthesis users.","author":[{"dropping-particle":"","family":"Barnett","given":"Cleveland T.","non-dropping-particle":"","parse-names":false,"suffix":""},{"dropping-particle":"","family":"Vanicek","given":"Natalie","non-dropping-particle":"","parse-names":false,"suffix":""},{"dropping-particle":"","family":"Rusaw","given":"David F.","non-dropping-particle":"","parse-names":false,"suffix":""}],"container-title":"Archives of Physical Medicine and Rehabilitation","id":"ITEM-1","issue":"11","issued":{"date-parts":[["2018","11","1"]]},"page":"2271-2278","publisher":"W.B. Saunders","title":"Do Predictive Relationships Exist Between Postural Control and Falls Efficacy in Unilateral Transtibial Prosthesis Users?","type":"article-journal","volume":"99"},"uris":["http://www.mendeley.com/documents/?uuid=3959d3eb-cd0d-3dec-b1da-27a539dcae69"]},{"id":"ITEM-2","itemData":{"DOI":"10.1111/j.2517-6161.1995.tb02031.x","ISSN":"00359246","abstract":"The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 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author":[{"dropping-particle":"","family":"Benjamini","given":"Yoav","non-dropping-particle":"","parse-names":false,"suffix":""},{"dropping-particle":"","family":"Hochberg","given":"Yosef","non-dropping-particle":"","parse-names":false,"suffix":""}],"container-title":"Journal of the Royal Statistical Society: Series B (Methodological)","id":"ITEM-2","issue":"1","issued":{"date-parts":[["1995","1","1"]]},"page":"289-300","publisher":"Wiley","title":"Controlling the False Discovery Rate: A Practical and Powerful Approach to Multiple Testing","type":"article-journal","volume":"57"},"uris":["http://www.mendeley.com/documents/?uuid=7a81fb3d-075b-3f0c-b8cc-06ee96de74a4"]}],"mendeley":{"formattedCitation":"[48,49]","plainTextFormattedCitation":"[48,49]","previouslyFormattedCitation":"(Benjamini and Hochberg 1995; Barnett et al. 2018)"},"properties":{"noteIndex":0},"schema":"https://github.com/citation-style-language/schema/raw/master/csl-citation.json"}</w:instrText>
      </w:r>
      <w:r w:rsidRPr="00542FB1">
        <w:rPr>
          <w:rFonts w:eastAsiaTheme="minorEastAsia" w:cs="Arial"/>
          <w:color w:val="201F1E"/>
          <w:sz w:val="22"/>
          <w:szCs w:val="22"/>
        </w:rPr>
        <w:fldChar w:fldCharType="separate"/>
      </w:r>
      <w:r w:rsidR="007E102E" w:rsidRPr="007E102E">
        <w:rPr>
          <w:rFonts w:eastAsiaTheme="minorEastAsia" w:cs="Arial"/>
          <w:noProof/>
          <w:color w:val="201F1E"/>
          <w:sz w:val="22"/>
          <w:szCs w:val="22"/>
        </w:rPr>
        <w:t>[48,49]</w:t>
      </w:r>
      <w:r w:rsidRPr="00542FB1">
        <w:rPr>
          <w:rFonts w:eastAsiaTheme="minorEastAsia" w:cs="Arial"/>
          <w:color w:val="201F1E"/>
          <w:sz w:val="22"/>
          <w:szCs w:val="22"/>
        </w:rPr>
        <w:fldChar w:fldCharType="end"/>
      </w:r>
      <w:r w:rsidRPr="00542FB1">
        <w:rPr>
          <w:rFonts w:eastAsiaTheme="minorEastAsia" w:cs="Arial"/>
          <w:color w:val="201F1E"/>
          <w:sz w:val="22"/>
          <w:szCs w:val="22"/>
        </w:rPr>
        <w:t xml:space="preserve">. Statistical </w:t>
      </w:r>
      <w:r w:rsidRPr="00542FB1">
        <w:rPr>
          <w:rFonts w:eastAsiaTheme="minorEastAsia" w:cs="Arial"/>
          <w:color w:val="201F1E"/>
          <w:sz w:val="22"/>
          <w:szCs w:val="22"/>
        </w:rPr>
        <w:lastRenderedPageBreak/>
        <w:t xml:space="preserve">significance was assumed for all correlational analyses whereby the calculated critical value was less than original </w:t>
      </w:r>
      <w:r w:rsidRPr="00542FB1">
        <w:rPr>
          <w:rFonts w:eastAsiaTheme="minorEastAsia" w:cs="Arial"/>
          <w:i/>
          <w:iCs/>
          <w:color w:val="201F1E"/>
          <w:sz w:val="22"/>
          <w:szCs w:val="22"/>
        </w:rPr>
        <w:t>p-</w:t>
      </w:r>
      <w:r w:rsidRPr="00542FB1">
        <w:rPr>
          <w:rFonts w:eastAsiaTheme="minorEastAsia" w:cs="Arial"/>
          <w:color w:val="201F1E"/>
          <w:sz w:val="22"/>
          <w:szCs w:val="22"/>
        </w:rPr>
        <w:t>value.</w:t>
      </w:r>
      <w:bookmarkEnd w:id="27"/>
      <w:r w:rsidRPr="00542FB1">
        <w:rPr>
          <w:rFonts w:eastAsiaTheme="minorEastAsia" w:cs="Arial"/>
          <w:color w:val="201F1E"/>
          <w:sz w:val="22"/>
          <w:szCs w:val="22"/>
        </w:rPr>
        <w:t xml:space="preserve"> </w:t>
      </w:r>
      <w:bookmarkEnd w:id="28"/>
      <w:r w:rsidRPr="00542FB1">
        <w:rPr>
          <w:rFonts w:cs="Arial"/>
          <w:sz w:val="22"/>
          <w:szCs w:val="22"/>
        </w:rPr>
        <w:t>Significant correlations following correction are stated in the results</w:t>
      </w:r>
      <w:r>
        <w:rPr>
          <w:rFonts w:cs="Arial"/>
          <w:sz w:val="22"/>
          <w:szCs w:val="22"/>
        </w:rPr>
        <w:t>.</w:t>
      </w:r>
    </w:p>
    <w:p w14:paraId="1EE083D8" w14:textId="2F106E57" w:rsidR="00104279" w:rsidRPr="00542FB1" w:rsidRDefault="005F686E" w:rsidP="00542FB1">
      <w:pPr>
        <w:widowControl w:val="0"/>
        <w:autoSpaceDE w:val="0"/>
        <w:autoSpaceDN w:val="0"/>
        <w:adjustRightInd w:val="0"/>
        <w:spacing w:after="120" w:line="480" w:lineRule="auto"/>
        <w:jc w:val="both"/>
        <w:rPr>
          <w:rFonts w:cs="Arial"/>
          <w:b/>
          <w:sz w:val="22"/>
          <w:szCs w:val="22"/>
        </w:rPr>
      </w:pPr>
      <w:r w:rsidRPr="00542FB1">
        <w:rPr>
          <w:rFonts w:cs="Arial"/>
          <w:b/>
          <w:sz w:val="22"/>
          <w:szCs w:val="22"/>
        </w:rPr>
        <w:t>**TABLE 2**</w:t>
      </w:r>
    </w:p>
    <w:p w14:paraId="262EB755" w14:textId="77777777" w:rsidR="00104279" w:rsidRPr="003476E6" w:rsidRDefault="00104279" w:rsidP="00964B8E">
      <w:pPr>
        <w:pStyle w:val="Heading1"/>
      </w:pPr>
      <w:bookmarkStart w:id="29" w:name="_Hlk20219971"/>
      <w:bookmarkEnd w:id="26"/>
      <w:r w:rsidRPr="003476E6">
        <w:t>Results</w:t>
      </w:r>
    </w:p>
    <w:p w14:paraId="693C04C1" w14:textId="46556FF5" w:rsidR="00B872CD" w:rsidRPr="003476E6" w:rsidRDefault="00104279" w:rsidP="00964B8E">
      <w:pPr>
        <w:pStyle w:val="Heading2"/>
        <w:rPr>
          <w:i/>
          <w:iCs/>
          <w:u w:val="none"/>
        </w:rPr>
      </w:pPr>
      <w:r w:rsidRPr="003476E6">
        <w:rPr>
          <w:i/>
          <w:iCs/>
          <w:u w:val="none"/>
        </w:rPr>
        <w:t xml:space="preserve">Strength </w:t>
      </w:r>
      <w:r w:rsidR="00497C1D" w:rsidRPr="003476E6">
        <w:rPr>
          <w:i/>
          <w:iCs/>
          <w:u w:val="none"/>
        </w:rPr>
        <w:t xml:space="preserve">and Gait </w:t>
      </w:r>
      <w:r w:rsidRPr="003476E6">
        <w:rPr>
          <w:i/>
          <w:iCs/>
          <w:u w:val="none"/>
        </w:rPr>
        <w:t>Asymmetries</w:t>
      </w:r>
      <w:r w:rsidR="00B872CD" w:rsidRPr="003476E6">
        <w:rPr>
          <w:i/>
          <w:iCs/>
          <w:u w:val="none"/>
        </w:rPr>
        <w:t xml:space="preserve"> </w:t>
      </w:r>
    </w:p>
    <w:p w14:paraId="6E4CD7F9" w14:textId="4342043D" w:rsidR="004644F8" w:rsidRPr="003476E6" w:rsidRDefault="00F930BE" w:rsidP="00703A78">
      <w:pPr>
        <w:pStyle w:val="Default"/>
        <w:spacing w:after="240" w:line="480" w:lineRule="auto"/>
        <w:jc w:val="both"/>
        <w:rPr>
          <w:rFonts w:ascii="Arial" w:hAnsi="Arial" w:cs="Arial"/>
          <w:sz w:val="22"/>
          <w:szCs w:val="22"/>
        </w:rPr>
      </w:pPr>
      <w:r w:rsidRPr="003476E6">
        <w:rPr>
          <w:rFonts w:ascii="Arial" w:hAnsi="Arial" w:cs="Arial"/>
          <w:sz w:val="22"/>
          <w:szCs w:val="22"/>
        </w:rPr>
        <w:t>Significant</w:t>
      </w:r>
      <w:r w:rsidR="00B872CD" w:rsidRPr="003476E6">
        <w:rPr>
          <w:rFonts w:ascii="Arial" w:hAnsi="Arial" w:cs="Arial"/>
          <w:sz w:val="22"/>
          <w:szCs w:val="22"/>
        </w:rPr>
        <w:t xml:space="preserve"> strength asymmetries</w:t>
      </w:r>
      <w:r w:rsidRPr="003476E6">
        <w:rPr>
          <w:rFonts w:ascii="Arial" w:hAnsi="Arial" w:cs="Arial"/>
          <w:sz w:val="22"/>
          <w:szCs w:val="22"/>
        </w:rPr>
        <w:t xml:space="preserve"> were apparent</w:t>
      </w:r>
      <w:r w:rsidR="00750F65" w:rsidRPr="003476E6">
        <w:rPr>
          <w:rFonts w:ascii="Arial" w:hAnsi="Arial" w:cs="Arial"/>
          <w:sz w:val="22"/>
          <w:szCs w:val="22"/>
        </w:rPr>
        <w:t>:</w:t>
      </w:r>
      <w:r w:rsidR="00B872CD" w:rsidRPr="003476E6">
        <w:rPr>
          <w:rFonts w:ascii="Arial" w:hAnsi="Arial" w:cs="Arial"/>
          <w:sz w:val="22"/>
          <w:szCs w:val="22"/>
        </w:rPr>
        <w:t xml:space="preserve"> both MVT (</w:t>
      </w:r>
      <w:r w:rsidR="00B872CD" w:rsidRPr="003476E6">
        <w:rPr>
          <w:rFonts w:ascii="Arial" w:hAnsi="Arial" w:cs="Arial"/>
          <w:i/>
          <w:sz w:val="22"/>
          <w:szCs w:val="22"/>
        </w:rPr>
        <w:t>p=</w:t>
      </w:r>
      <w:r w:rsidR="00B872CD" w:rsidRPr="003476E6">
        <w:rPr>
          <w:rFonts w:ascii="Arial" w:hAnsi="Arial" w:cs="Arial"/>
          <w:sz w:val="22"/>
          <w:szCs w:val="22"/>
        </w:rPr>
        <w:t>0.003, g=2.01) and RTD (</w:t>
      </w:r>
      <w:r w:rsidR="00B872CD" w:rsidRPr="003476E6">
        <w:rPr>
          <w:rFonts w:ascii="Arial" w:hAnsi="Arial" w:cs="Arial"/>
          <w:i/>
          <w:sz w:val="22"/>
          <w:szCs w:val="22"/>
        </w:rPr>
        <w:t>p</w:t>
      </w:r>
      <w:r w:rsidR="00B872CD" w:rsidRPr="003476E6">
        <w:rPr>
          <w:rFonts w:ascii="Arial" w:hAnsi="Arial" w:cs="Arial"/>
          <w:sz w:val="22"/>
          <w:szCs w:val="22"/>
        </w:rPr>
        <w:t>&lt;</w:t>
      </w:r>
      <w:r w:rsidR="003B732B" w:rsidRPr="003476E6">
        <w:rPr>
          <w:rFonts w:ascii="Arial" w:hAnsi="Arial" w:cs="Arial"/>
          <w:sz w:val="22"/>
          <w:szCs w:val="22"/>
        </w:rPr>
        <w:t>0</w:t>
      </w:r>
      <w:r w:rsidR="00B872CD" w:rsidRPr="003476E6">
        <w:rPr>
          <w:rFonts w:ascii="Arial" w:hAnsi="Arial" w:cs="Arial"/>
          <w:sz w:val="22"/>
          <w:szCs w:val="22"/>
        </w:rPr>
        <w:t xml:space="preserve">.001, g=2.36) </w:t>
      </w:r>
      <w:r w:rsidR="00B66BAC" w:rsidRPr="003476E6">
        <w:rPr>
          <w:rFonts w:ascii="Arial" w:hAnsi="Arial" w:cs="Arial"/>
          <w:sz w:val="22"/>
          <w:szCs w:val="22"/>
        </w:rPr>
        <w:t xml:space="preserve">were </w:t>
      </w:r>
      <w:r w:rsidR="00B872CD" w:rsidRPr="003476E6">
        <w:rPr>
          <w:rFonts w:ascii="Arial" w:hAnsi="Arial" w:cs="Arial"/>
          <w:sz w:val="22"/>
          <w:szCs w:val="22"/>
        </w:rPr>
        <w:t xml:space="preserve">greater in the intact compared to the </w:t>
      </w:r>
      <w:r w:rsidR="006F4410" w:rsidRPr="003476E6">
        <w:rPr>
          <w:rFonts w:ascii="Arial" w:hAnsi="Arial" w:cs="Arial"/>
          <w:sz w:val="22"/>
          <w:szCs w:val="22"/>
        </w:rPr>
        <w:t>amputated limb</w:t>
      </w:r>
      <w:r w:rsidR="000145E2" w:rsidRPr="003476E6">
        <w:rPr>
          <w:rFonts w:ascii="Arial" w:hAnsi="Arial" w:cs="Arial"/>
          <w:sz w:val="22"/>
          <w:szCs w:val="22"/>
        </w:rPr>
        <w:t xml:space="preserve"> (Table 3)</w:t>
      </w:r>
      <w:r w:rsidR="00B872CD" w:rsidRPr="003476E6">
        <w:rPr>
          <w:rFonts w:ascii="Arial" w:hAnsi="Arial" w:cs="Arial"/>
          <w:sz w:val="22"/>
          <w:szCs w:val="22"/>
        </w:rPr>
        <w:t>.</w:t>
      </w:r>
      <w:r w:rsidR="00401774" w:rsidRPr="003476E6">
        <w:rPr>
          <w:rFonts w:ascii="Arial" w:hAnsi="Arial" w:cs="Arial"/>
          <w:sz w:val="22"/>
          <w:szCs w:val="22"/>
        </w:rPr>
        <w:t xml:space="preserve"> </w:t>
      </w:r>
    </w:p>
    <w:p w14:paraId="41788867" w14:textId="77777777" w:rsidR="004B1626" w:rsidRPr="003476E6" w:rsidRDefault="004B1626" w:rsidP="00703A78">
      <w:pPr>
        <w:spacing w:after="120" w:line="480" w:lineRule="auto"/>
        <w:jc w:val="both"/>
        <w:rPr>
          <w:rFonts w:cs="Arial"/>
          <w:b/>
          <w:sz w:val="22"/>
          <w:szCs w:val="22"/>
        </w:rPr>
      </w:pPr>
      <w:r w:rsidRPr="003476E6">
        <w:rPr>
          <w:rFonts w:cs="Arial"/>
          <w:b/>
          <w:sz w:val="22"/>
          <w:szCs w:val="22"/>
        </w:rPr>
        <w:t>**TABLE 3**</w:t>
      </w:r>
    </w:p>
    <w:p w14:paraId="728307B3" w14:textId="30BCE7C2" w:rsidR="00401774" w:rsidRPr="003476E6" w:rsidRDefault="00401774" w:rsidP="0086271F">
      <w:pPr>
        <w:pStyle w:val="Default"/>
        <w:spacing w:before="240" w:after="240" w:line="480" w:lineRule="auto"/>
        <w:jc w:val="both"/>
        <w:rPr>
          <w:rFonts w:ascii="Arial" w:hAnsi="Arial" w:cs="Arial"/>
          <w:sz w:val="22"/>
          <w:szCs w:val="22"/>
        </w:rPr>
      </w:pPr>
      <w:r w:rsidRPr="003476E6">
        <w:rPr>
          <w:rFonts w:ascii="Arial" w:hAnsi="Arial" w:cs="Arial"/>
          <w:sz w:val="22"/>
          <w:szCs w:val="22"/>
        </w:rPr>
        <w:t>Self-selected fast walking speeds</w:t>
      </w:r>
      <w:r w:rsidR="00BA4F82" w:rsidRPr="003476E6">
        <w:rPr>
          <w:rFonts w:ascii="Arial" w:hAnsi="Arial" w:cs="Arial"/>
          <w:sz w:val="22"/>
          <w:szCs w:val="22"/>
        </w:rPr>
        <w:t xml:space="preserve"> </w:t>
      </w:r>
      <w:r w:rsidRPr="003476E6">
        <w:rPr>
          <w:rFonts w:ascii="Arial" w:hAnsi="Arial" w:cs="Arial"/>
          <w:sz w:val="22"/>
          <w:szCs w:val="22"/>
        </w:rPr>
        <w:t>were significantly greater than habitual walking speeds (</w:t>
      </w:r>
      <w:r w:rsidRPr="003476E6">
        <w:rPr>
          <w:rFonts w:ascii="Arial" w:hAnsi="Arial" w:cs="Arial"/>
          <w:i/>
          <w:iCs/>
          <w:sz w:val="22"/>
          <w:szCs w:val="22"/>
        </w:rPr>
        <w:t>p</w:t>
      </w:r>
      <w:r w:rsidRPr="003476E6">
        <w:rPr>
          <w:rFonts w:ascii="Arial" w:hAnsi="Arial" w:cs="Arial"/>
          <w:sz w:val="22"/>
          <w:szCs w:val="22"/>
        </w:rPr>
        <w:t>&lt;0.001, g</w:t>
      </w:r>
      <w:r w:rsidRPr="003476E6">
        <w:rPr>
          <w:rFonts w:ascii="Arial" w:hAnsi="Arial" w:cs="Arial"/>
          <w:i/>
          <w:iCs/>
          <w:sz w:val="22"/>
          <w:szCs w:val="22"/>
        </w:rPr>
        <w:t>=</w:t>
      </w:r>
      <w:r w:rsidRPr="003476E6">
        <w:rPr>
          <w:rFonts w:ascii="Arial" w:hAnsi="Arial" w:cs="Arial"/>
          <w:sz w:val="22"/>
          <w:szCs w:val="22"/>
        </w:rPr>
        <w:t>1.88</w:t>
      </w:r>
      <w:r w:rsidR="00144D6F" w:rsidRPr="003476E6">
        <w:rPr>
          <w:rFonts w:ascii="Arial" w:hAnsi="Arial" w:cs="Arial"/>
          <w:sz w:val="22"/>
          <w:szCs w:val="22"/>
        </w:rPr>
        <w:t>; Table 1</w:t>
      </w:r>
      <w:r w:rsidRPr="003476E6">
        <w:rPr>
          <w:rFonts w:ascii="Arial" w:hAnsi="Arial" w:cs="Arial"/>
          <w:sz w:val="22"/>
          <w:szCs w:val="22"/>
        </w:rPr>
        <w:t xml:space="preserve">). </w:t>
      </w:r>
    </w:p>
    <w:p w14:paraId="336931DF" w14:textId="33171C09" w:rsidR="00703A78" w:rsidRPr="003476E6" w:rsidRDefault="00C27E80" w:rsidP="00703A78">
      <w:pPr>
        <w:autoSpaceDE w:val="0"/>
        <w:autoSpaceDN w:val="0"/>
        <w:adjustRightInd w:val="0"/>
        <w:spacing w:after="240" w:line="480" w:lineRule="auto"/>
        <w:jc w:val="both"/>
        <w:rPr>
          <w:rFonts w:eastAsiaTheme="minorHAnsi" w:cs="Arial"/>
          <w:color w:val="000000"/>
          <w:sz w:val="22"/>
          <w:szCs w:val="22"/>
        </w:rPr>
      </w:pPr>
      <w:r w:rsidRPr="003476E6">
        <w:rPr>
          <w:rFonts w:cs="Arial"/>
          <w:sz w:val="22"/>
          <w:szCs w:val="22"/>
        </w:rPr>
        <w:t xml:space="preserve">There were </w:t>
      </w:r>
      <w:r w:rsidRPr="003476E6">
        <w:rPr>
          <w:rFonts w:eastAsiaTheme="minorHAnsi" w:cs="Arial"/>
          <w:color w:val="000000"/>
          <w:sz w:val="22"/>
          <w:szCs w:val="22"/>
        </w:rPr>
        <w:t>s</w:t>
      </w:r>
      <w:r w:rsidR="00703A78" w:rsidRPr="003476E6">
        <w:rPr>
          <w:rFonts w:eastAsiaTheme="minorHAnsi" w:cs="Arial"/>
          <w:color w:val="000000"/>
          <w:sz w:val="22"/>
          <w:szCs w:val="22"/>
        </w:rPr>
        <w:t>ignificant differences</w:t>
      </w:r>
      <w:r w:rsidR="00502FEC" w:rsidRPr="003476E6">
        <w:rPr>
          <w:rFonts w:eastAsiaTheme="minorHAnsi" w:cs="Arial"/>
          <w:color w:val="000000"/>
          <w:sz w:val="22"/>
          <w:szCs w:val="22"/>
        </w:rPr>
        <w:t xml:space="preserve"> between limbs</w:t>
      </w:r>
      <w:r w:rsidRPr="003476E6">
        <w:rPr>
          <w:rFonts w:eastAsiaTheme="minorHAnsi" w:cs="Arial"/>
          <w:color w:val="000000"/>
          <w:sz w:val="22"/>
          <w:szCs w:val="22"/>
        </w:rPr>
        <w:t xml:space="preserve"> </w:t>
      </w:r>
      <w:r w:rsidR="00703A78" w:rsidRPr="003476E6">
        <w:rPr>
          <w:rFonts w:eastAsiaTheme="minorHAnsi" w:cs="Arial"/>
          <w:color w:val="000000"/>
          <w:sz w:val="22"/>
          <w:szCs w:val="22"/>
        </w:rPr>
        <w:t xml:space="preserve">at both speeds for all </w:t>
      </w:r>
      <w:r w:rsidR="00DF600E" w:rsidRPr="003476E6">
        <w:rPr>
          <w:rFonts w:eastAsiaTheme="minorHAnsi" w:cs="Arial"/>
          <w:color w:val="000000"/>
          <w:sz w:val="22"/>
          <w:szCs w:val="22"/>
        </w:rPr>
        <w:t xml:space="preserve">gait </w:t>
      </w:r>
      <w:r w:rsidR="00703A78" w:rsidRPr="003476E6">
        <w:rPr>
          <w:rFonts w:eastAsiaTheme="minorHAnsi" w:cs="Arial"/>
          <w:color w:val="000000"/>
          <w:sz w:val="22"/>
          <w:szCs w:val="22"/>
        </w:rPr>
        <w:t>variables (</w:t>
      </w:r>
      <w:r w:rsidR="00735705" w:rsidRPr="003476E6">
        <w:rPr>
          <w:rFonts w:eastAsiaTheme="minorHAnsi" w:cs="Arial"/>
          <w:color w:val="000000"/>
          <w:sz w:val="22"/>
          <w:szCs w:val="22"/>
        </w:rPr>
        <w:t>temporospatial</w:t>
      </w:r>
      <w:r w:rsidR="00703A78" w:rsidRPr="003476E6">
        <w:rPr>
          <w:rFonts w:eastAsiaTheme="minorHAnsi" w:cs="Arial"/>
          <w:color w:val="000000"/>
          <w:sz w:val="22"/>
          <w:szCs w:val="22"/>
        </w:rPr>
        <w:t xml:space="preserve">: </w:t>
      </w:r>
      <w:r w:rsidR="00703A78" w:rsidRPr="003476E6">
        <w:rPr>
          <w:rFonts w:eastAsiaTheme="minorHAnsi" w:cs="Arial"/>
          <w:i/>
          <w:color w:val="000000"/>
          <w:sz w:val="22"/>
          <w:szCs w:val="22"/>
        </w:rPr>
        <w:t xml:space="preserve"> p</w:t>
      </w:r>
      <w:r w:rsidR="00703A78" w:rsidRPr="003476E6">
        <w:rPr>
          <w:rFonts w:eastAsiaTheme="minorHAnsi" w:cs="Arial"/>
          <w:color w:val="000000"/>
          <w:sz w:val="22"/>
          <w:szCs w:val="22"/>
        </w:rPr>
        <w:t>≤0.006, g=0.93</w:t>
      </w:r>
      <w:r w:rsidR="00703A78" w:rsidRPr="003476E6">
        <w:rPr>
          <w:rFonts w:cs="Arial"/>
          <w:sz w:val="22"/>
          <w:szCs w:val="22"/>
        </w:rPr>
        <w:t>–1.41</w:t>
      </w:r>
      <w:r w:rsidR="00703A78" w:rsidRPr="003476E6">
        <w:rPr>
          <w:rFonts w:eastAsiaTheme="minorHAnsi" w:cs="Arial"/>
          <w:color w:val="000000"/>
          <w:sz w:val="22"/>
          <w:szCs w:val="22"/>
        </w:rPr>
        <w:t xml:space="preserve">; kinetics </w:t>
      </w:r>
      <w:r w:rsidR="00703A78" w:rsidRPr="003476E6">
        <w:rPr>
          <w:rFonts w:eastAsiaTheme="minorHAnsi" w:cs="Arial"/>
          <w:i/>
          <w:color w:val="000000"/>
          <w:sz w:val="22"/>
          <w:szCs w:val="22"/>
        </w:rPr>
        <w:t>p</w:t>
      </w:r>
      <w:r w:rsidR="00703A78" w:rsidRPr="003476E6">
        <w:rPr>
          <w:rFonts w:eastAsiaTheme="minorHAnsi" w:cs="Arial"/>
          <w:color w:val="000000"/>
          <w:sz w:val="22"/>
          <w:szCs w:val="22"/>
        </w:rPr>
        <w:t>≤0.008, g=1.56</w:t>
      </w:r>
      <w:r w:rsidR="00703A78" w:rsidRPr="003476E6">
        <w:rPr>
          <w:rFonts w:cs="Arial"/>
          <w:sz w:val="22"/>
          <w:szCs w:val="22"/>
        </w:rPr>
        <w:t>–3.45</w:t>
      </w:r>
      <w:r w:rsidRPr="003476E6">
        <w:rPr>
          <w:rFonts w:cs="Arial"/>
          <w:sz w:val="22"/>
          <w:szCs w:val="22"/>
        </w:rPr>
        <w:t>; Table 4</w:t>
      </w:r>
      <w:r w:rsidR="00703A78" w:rsidRPr="003476E6">
        <w:rPr>
          <w:rFonts w:eastAsiaTheme="minorHAnsi" w:cs="Arial"/>
          <w:color w:val="000000"/>
          <w:sz w:val="22"/>
          <w:szCs w:val="22"/>
        </w:rPr>
        <w:t>)</w:t>
      </w:r>
      <w:r w:rsidRPr="003476E6">
        <w:rPr>
          <w:rFonts w:eastAsiaTheme="minorHAnsi" w:cs="Arial"/>
          <w:color w:val="000000"/>
          <w:sz w:val="22"/>
          <w:szCs w:val="22"/>
        </w:rPr>
        <w:t>,</w:t>
      </w:r>
      <w:r w:rsidR="00703A78" w:rsidRPr="003476E6">
        <w:rPr>
          <w:rFonts w:eastAsiaTheme="minorHAnsi" w:cs="Arial"/>
          <w:color w:val="000000"/>
          <w:sz w:val="22"/>
          <w:szCs w:val="22"/>
        </w:rPr>
        <w:t xml:space="preserve"> except single support time</w:t>
      </w:r>
      <w:r w:rsidR="00B871A8" w:rsidRPr="003476E6">
        <w:rPr>
          <w:rFonts w:eastAsiaTheme="minorHAnsi" w:cs="Arial"/>
          <w:color w:val="000000"/>
          <w:sz w:val="22"/>
          <w:szCs w:val="22"/>
        </w:rPr>
        <w:t xml:space="preserve"> during fast walking </w:t>
      </w:r>
      <w:r w:rsidR="00703A78" w:rsidRPr="003476E6">
        <w:rPr>
          <w:rFonts w:eastAsiaTheme="minorHAnsi" w:cs="Arial"/>
          <w:i/>
          <w:color w:val="000000"/>
          <w:sz w:val="22"/>
          <w:szCs w:val="22"/>
        </w:rPr>
        <w:t>(</w:t>
      </w:r>
      <w:r w:rsidR="00703A78" w:rsidRPr="003476E6">
        <w:rPr>
          <w:rFonts w:eastAsiaTheme="minorHAnsi" w:cs="Arial"/>
          <w:i/>
          <w:iCs/>
          <w:color w:val="000000"/>
          <w:sz w:val="22"/>
          <w:szCs w:val="22"/>
        </w:rPr>
        <w:t>p</w:t>
      </w:r>
      <w:r w:rsidR="00703A78" w:rsidRPr="003476E6">
        <w:rPr>
          <w:rFonts w:eastAsiaTheme="minorHAnsi" w:cs="Arial"/>
          <w:iCs/>
          <w:color w:val="000000"/>
          <w:sz w:val="22"/>
          <w:szCs w:val="22"/>
        </w:rPr>
        <w:t>=</w:t>
      </w:r>
      <w:r w:rsidR="00703A78" w:rsidRPr="003476E6">
        <w:rPr>
          <w:rFonts w:eastAsiaTheme="minorHAnsi" w:cs="Arial"/>
          <w:color w:val="000000"/>
          <w:sz w:val="22"/>
          <w:szCs w:val="22"/>
        </w:rPr>
        <w:t>0.218, g=0.32</w:t>
      </w:r>
      <w:r w:rsidR="00703A78" w:rsidRPr="003476E6">
        <w:rPr>
          <w:rFonts w:eastAsiaTheme="minorHAnsi" w:cs="Arial"/>
          <w:i/>
          <w:color w:val="000000"/>
          <w:sz w:val="22"/>
          <w:szCs w:val="22"/>
        </w:rPr>
        <w:t>).</w:t>
      </w:r>
      <w:r w:rsidR="00703A78" w:rsidRPr="003476E6">
        <w:rPr>
          <w:rFonts w:eastAsiaTheme="minorHAnsi" w:cs="Arial"/>
          <w:color w:val="000000"/>
          <w:sz w:val="22"/>
          <w:szCs w:val="22"/>
        </w:rPr>
        <w:t xml:space="preserve"> </w:t>
      </w:r>
    </w:p>
    <w:p w14:paraId="10B2F9D3" w14:textId="2009F6F1" w:rsidR="001B0355" w:rsidRPr="003476E6" w:rsidRDefault="004B1626" w:rsidP="003C2883">
      <w:pPr>
        <w:spacing w:after="120" w:line="480" w:lineRule="auto"/>
        <w:jc w:val="both"/>
        <w:rPr>
          <w:rFonts w:cs="Arial"/>
          <w:b/>
          <w:sz w:val="22"/>
          <w:szCs w:val="22"/>
        </w:rPr>
      </w:pPr>
      <w:r w:rsidRPr="003476E6">
        <w:rPr>
          <w:rFonts w:cs="Arial"/>
          <w:b/>
          <w:sz w:val="22"/>
          <w:szCs w:val="22"/>
        </w:rPr>
        <w:t>**TABLE 4**</w:t>
      </w:r>
    </w:p>
    <w:p w14:paraId="5247211D" w14:textId="77777777" w:rsidR="00104279" w:rsidRPr="003476E6" w:rsidRDefault="00104279" w:rsidP="00964B8E">
      <w:pPr>
        <w:pStyle w:val="Heading2"/>
        <w:rPr>
          <w:i/>
          <w:iCs/>
          <w:u w:val="none"/>
        </w:rPr>
      </w:pPr>
      <w:r w:rsidRPr="003476E6">
        <w:rPr>
          <w:i/>
          <w:iCs/>
          <w:u w:val="none"/>
        </w:rPr>
        <w:t>Relationships between Strength Asymmetry and Walking Speed</w:t>
      </w:r>
    </w:p>
    <w:p w14:paraId="0DCE4315" w14:textId="79437779" w:rsidR="00104279" w:rsidRPr="003476E6" w:rsidRDefault="00104279" w:rsidP="000E2681">
      <w:pPr>
        <w:spacing w:after="120" w:line="480" w:lineRule="auto"/>
        <w:jc w:val="both"/>
        <w:rPr>
          <w:rFonts w:cs="Arial"/>
          <w:b/>
          <w:sz w:val="22"/>
          <w:szCs w:val="22"/>
        </w:rPr>
      </w:pPr>
      <w:r w:rsidRPr="003476E6">
        <w:rPr>
          <w:rFonts w:cs="Arial"/>
          <w:sz w:val="22"/>
          <w:szCs w:val="22"/>
        </w:rPr>
        <w:t xml:space="preserve">BAI MVT </w:t>
      </w:r>
      <w:r w:rsidR="0019166D" w:rsidRPr="003476E6">
        <w:rPr>
          <w:rFonts w:cs="Arial"/>
          <w:sz w:val="22"/>
          <w:szCs w:val="22"/>
        </w:rPr>
        <w:t xml:space="preserve">was not related to </w:t>
      </w:r>
      <w:r w:rsidRPr="003476E6">
        <w:rPr>
          <w:rFonts w:cs="Arial"/>
          <w:sz w:val="22"/>
          <w:szCs w:val="22"/>
        </w:rPr>
        <w:t xml:space="preserve">habitual </w:t>
      </w:r>
      <w:r w:rsidR="00A4558F" w:rsidRPr="003476E6">
        <w:rPr>
          <w:rFonts w:cs="Arial"/>
          <w:sz w:val="22"/>
          <w:szCs w:val="22"/>
        </w:rPr>
        <w:t xml:space="preserve">or </w:t>
      </w:r>
      <w:r w:rsidRPr="003476E6">
        <w:rPr>
          <w:rFonts w:cs="Arial"/>
          <w:sz w:val="22"/>
          <w:szCs w:val="22"/>
        </w:rPr>
        <w:t>fast walking speeds (</w:t>
      </w:r>
      <w:r w:rsidR="00FD6B27" w:rsidRPr="003476E6">
        <w:rPr>
          <w:rFonts w:cs="Arial"/>
          <w:sz w:val="22"/>
          <w:szCs w:val="22"/>
        </w:rPr>
        <w:t>r=</w:t>
      </w:r>
      <w:r w:rsidR="00144457" w:rsidRPr="003476E6">
        <w:rPr>
          <w:rFonts w:cs="Arial"/>
          <w:sz w:val="22"/>
          <w:szCs w:val="22"/>
        </w:rPr>
        <w:t xml:space="preserve"> -0.</w:t>
      </w:r>
      <w:r w:rsidR="00DD7232" w:rsidRPr="003476E6">
        <w:rPr>
          <w:rFonts w:cs="Arial"/>
          <w:sz w:val="22"/>
          <w:szCs w:val="22"/>
        </w:rPr>
        <w:t>42 – -0.</w:t>
      </w:r>
      <w:r w:rsidR="00144457" w:rsidRPr="003476E6">
        <w:rPr>
          <w:rFonts w:cs="Arial"/>
          <w:sz w:val="22"/>
          <w:szCs w:val="22"/>
        </w:rPr>
        <w:t>25</w:t>
      </w:r>
      <w:r w:rsidR="00FD6B27" w:rsidRPr="003476E6">
        <w:rPr>
          <w:rFonts w:cs="Arial"/>
          <w:sz w:val="22"/>
          <w:szCs w:val="22"/>
        </w:rPr>
        <w:t xml:space="preserve">, </w:t>
      </w:r>
      <w:r w:rsidR="00FD6B27" w:rsidRPr="003476E6">
        <w:rPr>
          <w:rFonts w:cs="Arial"/>
          <w:i/>
          <w:iCs/>
          <w:sz w:val="22"/>
          <w:szCs w:val="22"/>
        </w:rPr>
        <w:t>p</w:t>
      </w:r>
      <w:r w:rsidR="00FD6B27" w:rsidRPr="003476E6">
        <w:rPr>
          <w:rFonts w:cs="Arial"/>
          <w:sz w:val="22"/>
          <w:szCs w:val="22"/>
        </w:rPr>
        <w:t>=</w:t>
      </w:r>
      <w:r w:rsidR="00144457" w:rsidRPr="003476E6">
        <w:rPr>
          <w:rFonts w:cs="Arial"/>
          <w:sz w:val="22"/>
          <w:szCs w:val="22"/>
        </w:rPr>
        <w:t>0.301</w:t>
      </w:r>
      <w:r w:rsidR="00DD7232" w:rsidRPr="003476E6">
        <w:rPr>
          <w:rFonts w:cs="Arial"/>
          <w:sz w:val="22"/>
          <w:szCs w:val="22"/>
        </w:rPr>
        <w:t>–</w:t>
      </w:r>
      <w:r w:rsidR="00144457" w:rsidRPr="003476E6">
        <w:rPr>
          <w:rFonts w:cs="Arial"/>
          <w:sz w:val="22"/>
          <w:szCs w:val="22"/>
        </w:rPr>
        <w:t>0.548</w:t>
      </w:r>
      <w:r w:rsidR="00FD6B27" w:rsidRPr="003476E6">
        <w:rPr>
          <w:rFonts w:cs="Arial"/>
          <w:sz w:val="22"/>
          <w:szCs w:val="22"/>
        </w:rPr>
        <w:t xml:space="preserve">; </w:t>
      </w:r>
      <w:r w:rsidR="00AF743A" w:rsidRPr="003476E6">
        <w:rPr>
          <w:rFonts w:cs="Arial"/>
          <w:sz w:val="22"/>
          <w:szCs w:val="22"/>
        </w:rPr>
        <w:t>Figure 1</w:t>
      </w:r>
      <w:r w:rsidRPr="003476E6">
        <w:rPr>
          <w:rFonts w:cs="Arial"/>
          <w:sz w:val="22"/>
          <w:szCs w:val="22"/>
        </w:rPr>
        <w:t>A and C)</w:t>
      </w:r>
      <w:r w:rsidR="00EF736B" w:rsidRPr="003476E6">
        <w:rPr>
          <w:rFonts w:cs="Arial"/>
          <w:sz w:val="22"/>
          <w:szCs w:val="22"/>
        </w:rPr>
        <w:t xml:space="preserve">, but </w:t>
      </w:r>
      <w:r w:rsidRPr="003476E6">
        <w:rPr>
          <w:rFonts w:cs="Arial"/>
          <w:sz w:val="22"/>
          <w:szCs w:val="22"/>
        </w:rPr>
        <w:t>there were strong</w:t>
      </w:r>
      <w:r w:rsidR="00737981" w:rsidRPr="003476E6">
        <w:rPr>
          <w:rFonts w:cs="Arial"/>
          <w:sz w:val="22"/>
          <w:szCs w:val="22"/>
        </w:rPr>
        <w:t xml:space="preserve">, significant </w:t>
      </w:r>
      <w:r w:rsidRPr="003476E6">
        <w:rPr>
          <w:rFonts w:cs="Arial"/>
          <w:sz w:val="22"/>
          <w:szCs w:val="22"/>
        </w:rPr>
        <w:t>negative relationships between BAI RTD and both habitual and fast walking speeds (</w:t>
      </w:r>
      <w:r w:rsidR="00144457" w:rsidRPr="003476E6">
        <w:rPr>
          <w:rFonts w:cs="Arial"/>
          <w:sz w:val="22"/>
          <w:szCs w:val="22"/>
        </w:rPr>
        <w:t>r=</w:t>
      </w:r>
      <w:r w:rsidR="00DD7232" w:rsidRPr="003476E6">
        <w:rPr>
          <w:rFonts w:cs="Arial"/>
          <w:sz w:val="22"/>
          <w:szCs w:val="22"/>
        </w:rPr>
        <w:t>~0.83</w:t>
      </w:r>
      <w:r w:rsidR="00144457" w:rsidRPr="003476E6">
        <w:rPr>
          <w:rFonts w:cs="Arial"/>
          <w:sz w:val="22"/>
          <w:szCs w:val="22"/>
        </w:rPr>
        <w:t xml:space="preserve">, </w:t>
      </w:r>
      <w:r w:rsidR="00144457" w:rsidRPr="003476E6">
        <w:rPr>
          <w:rFonts w:cs="Arial"/>
          <w:i/>
          <w:iCs/>
          <w:sz w:val="22"/>
          <w:szCs w:val="22"/>
        </w:rPr>
        <w:t>p</w:t>
      </w:r>
      <w:r w:rsidR="00DD7232" w:rsidRPr="003476E6">
        <w:rPr>
          <w:rFonts w:cs="Arial"/>
          <w:sz w:val="22"/>
          <w:szCs w:val="22"/>
        </w:rPr>
        <w:t>≤0.012</w:t>
      </w:r>
      <w:r w:rsidR="00144457" w:rsidRPr="003476E6">
        <w:rPr>
          <w:rFonts w:cs="Arial"/>
          <w:sz w:val="22"/>
          <w:szCs w:val="22"/>
        </w:rPr>
        <w:t xml:space="preserve">; </w:t>
      </w:r>
      <w:r w:rsidR="00AF743A" w:rsidRPr="003476E6">
        <w:rPr>
          <w:rFonts w:cs="Arial"/>
          <w:sz w:val="22"/>
          <w:szCs w:val="22"/>
        </w:rPr>
        <w:t>Figure 1</w:t>
      </w:r>
      <w:r w:rsidRPr="003476E6">
        <w:rPr>
          <w:rFonts w:cs="Arial"/>
          <w:sz w:val="22"/>
          <w:szCs w:val="22"/>
        </w:rPr>
        <w:t>B and D)</w:t>
      </w:r>
      <w:r w:rsidR="00FE7E4C" w:rsidRPr="003476E6">
        <w:rPr>
          <w:rFonts w:cs="Arial"/>
          <w:sz w:val="22"/>
          <w:szCs w:val="22"/>
        </w:rPr>
        <w:t xml:space="preserve">. </w:t>
      </w:r>
      <w:r w:rsidR="009A657F" w:rsidRPr="003476E6">
        <w:rPr>
          <w:rFonts w:cs="Arial"/>
          <w:sz w:val="22"/>
          <w:szCs w:val="22"/>
        </w:rPr>
        <w:t>M</w:t>
      </w:r>
      <w:r w:rsidRPr="003476E6">
        <w:rPr>
          <w:rFonts w:cs="Arial"/>
          <w:sz w:val="22"/>
          <w:szCs w:val="22"/>
        </w:rPr>
        <w:t xml:space="preserve">oderate negative relationships were observed between </w:t>
      </w:r>
      <w:proofErr w:type="spellStart"/>
      <w:r w:rsidR="00F930BE" w:rsidRPr="003476E6">
        <w:rPr>
          <w:rFonts w:cs="Arial"/>
          <w:sz w:val="22"/>
          <w:szCs w:val="22"/>
        </w:rPr>
        <w:t>ΔSpeed</w:t>
      </w:r>
      <w:proofErr w:type="spellEnd"/>
      <w:r w:rsidRPr="003476E6">
        <w:rPr>
          <w:rFonts w:cs="Arial"/>
          <w:sz w:val="22"/>
          <w:szCs w:val="22"/>
        </w:rPr>
        <w:t xml:space="preserve"> and both BAI MVT and BAI RTD (</w:t>
      </w:r>
      <w:r w:rsidR="00144457" w:rsidRPr="003476E6">
        <w:rPr>
          <w:rFonts w:cs="Arial"/>
          <w:sz w:val="22"/>
          <w:szCs w:val="22"/>
        </w:rPr>
        <w:t>r=</w:t>
      </w:r>
      <w:r w:rsidR="00DD7232" w:rsidRPr="003476E6">
        <w:rPr>
          <w:rFonts w:cs="Arial"/>
          <w:sz w:val="22"/>
          <w:szCs w:val="22"/>
        </w:rPr>
        <w:t>~0.60</w:t>
      </w:r>
      <w:r w:rsidR="00144457" w:rsidRPr="003476E6">
        <w:rPr>
          <w:rFonts w:cs="Arial"/>
          <w:sz w:val="22"/>
          <w:szCs w:val="22"/>
        </w:rPr>
        <w:t xml:space="preserve">, </w:t>
      </w:r>
      <w:r w:rsidR="00144457" w:rsidRPr="003476E6">
        <w:rPr>
          <w:rFonts w:cs="Arial"/>
          <w:i/>
          <w:iCs/>
          <w:sz w:val="22"/>
          <w:szCs w:val="22"/>
        </w:rPr>
        <w:t>p</w:t>
      </w:r>
      <w:r w:rsidR="00144457" w:rsidRPr="003476E6">
        <w:rPr>
          <w:rFonts w:cs="Arial"/>
          <w:sz w:val="22"/>
          <w:szCs w:val="22"/>
        </w:rPr>
        <w:t>=</w:t>
      </w:r>
      <w:r w:rsidR="00DD7232" w:rsidRPr="003476E6">
        <w:rPr>
          <w:rFonts w:cs="Arial"/>
          <w:sz w:val="22"/>
          <w:szCs w:val="22"/>
        </w:rPr>
        <w:t>0.099–0.129</w:t>
      </w:r>
      <w:r w:rsidR="00144457" w:rsidRPr="003476E6">
        <w:rPr>
          <w:rFonts w:cs="Arial"/>
          <w:sz w:val="22"/>
          <w:szCs w:val="22"/>
        </w:rPr>
        <w:t xml:space="preserve">; </w:t>
      </w:r>
      <w:r w:rsidR="00AF743A" w:rsidRPr="003476E6">
        <w:rPr>
          <w:rFonts w:cs="Arial"/>
          <w:sz w:val="22"/>
          <w:szCs w:val="22"/>
        </w:rPr>
        <w:t>Figure 1</w:t>
      </w:r>
      <w:r w:rsidRPr="003476E6">
        <w:rPr>
          <w:rFonts w:cs="Arial"/>
          <w:sz w:val="22"/>
          <w:szCs w:val="22"/>
        </w:rPr>
        <w:t>E and F)</w:t>
      </w:r>
      <w:r w:rsidR="00FE7E4C" w:rsidRPr="003476E6">
        <w:rPr>
          <w:rFonts w:cs="Arial"/>
          <w:sz w:val="22"/>
          <w:szCs w:val="22"/>
        </w:rPr>
        <w:t>.</w:t>
      </w:r>
    </w:p>
    <w:p w14:paraId="0D9A5A40" w14:textId="7C88A891" w:rsidR="008D0D3C" w:rsidRPr="003476E6" w:rsidRDefault="0009536F" w:rsidP="00F94077">
      <w:pPr>
        <w:pStyle w:val="SectionHeader2"/>
      </w:pPr>
      <w:r w:rsidRPr="003476E6">
        <w:t>**FIGURE 1**</w:t>
      </w:r>
    </w:p>
    <w:p w14:paraId="1AA5113F" w14:textId="0D9F3D95" w:rsidR="00104279" w:rsidRPr="003476E6" w:rsidRDefault="00104279" w:rsidP="00964B8E">
      <w:pPr>
        <w:pStyle w:val="Heading2"/>
        <w:rPr>
          <w:i/>
          <w:iCs/>
          <w:u w:val="none"/>
        </w:rPr>
      </w:pPr>
      <w:r w:rsidRPr="003476E6">
        <w:rPr>
          <w:i/>
          <w:iCs/>
          <w:u w:val="none"/>
        </w:rPr>
        <w:lastRenderedPageBreak/>
        <w:t xml:space="preserve">Relationships between </w:t>
      </w:r>
      <w:r w:rsidR="004D551C" w:rsidRPr="003476E6">
        <w:rPr>
          <w:i/>
          <w:iCs/>
          <w:u w:val="none"/>
        </w:rPr>
        <w:t xml:space="preserve">Asymmetries in </w:t>
      </w:r>
      <w:r w:rsidRPr="003476E6">
        <w:rPr>
          <w:i/>
          <w:iCs/>
          <w:u w:val="none"/>
        </w:rPr>
        <w:t>Strength and Gait</w:t>
      </w:r>
    </w:p>
    <w:p w14:paraId="4993570F" w14:textId="55F16D80" w:rsidR="00104279" w:rsidRPr="003476E6" w:rsidRDefault="00104279" w:rsidP="000E2681">
      <w:pPr>
        <w:spacing w:after="120" w:line="480" w:lineRule="auto"/>
        <w:jc w:val="both"/>
        <w:rPr>
          <w:rFonts w:cs="Arial"/>
          <w:sz w:val="22"/>
          <w:szCs w:val="22"/>
        </w:rPr>
      </w:pPr>
      <w:r w:rsidRPr="003476E6">
        <w:rPr>
          <w:rFonts w:cs="Arial"/>
          <w:sz w:val="22"/>
          <w:szCs w:val="22"/>
        </w:rPr>
        <w:t>At habitual walking speed</w:t>
      </w:r>
      <w:r w:rsidR="008A3E89" w:rsidRPr="003476E6">
        <w:rPr>
          <w:rFonts w:cs="Arial"/>
          <w:sz w:val="22"/>
          <w:szCs w:val="22"/>
        </w:rPr>
        <w:t>s</w:t>
      </w:r>
      <w:r w:rsidRPr="003476E6">
        <w:rPr>
          <w:rFonts w:cs="Arial"/>
          <w:sz w:val="22"/>
          <w:szCs w:val="22"/>
        </w:rPr>
        <w:t xml:space="preserve">, relationships between </w:t>
      </w:r>
      <w:r w:rsidR="007626E1" w:rsidRPr="003476E6">
        <w:rPr>
          <w:rFonts w:cs="Arial"/>
          <w:sz w:val="22"/>
          <w:szCs w:val="22"/>
        </w:rPr>
        <w:t>BAI</w:t>
      </w:r>
      <w:r w:rsidRPr="003476E6">
        <w:rPr>
          <w:rFonts w:cs="Arial"/>
          <w:sz w:val="22"/>
          <w:szCs w:val="22"/>
        </w:rPr>
        <w:t xml:space="preserve"> </w:t>
      </w:r>
      <w:r w:rsidR="00F94680" w:rsidRPr="003476E6">
        <w:rPr>
          <w:rFonts w:cs="Arial"/>
          <w:sz w:val="22"/>
          <w:szCs w:val="22"/>
        </w:rPr>
        <w:t>MVT and RTD</w:t>
      </w:r>
      <w:r w:rsidR="003E1BC7" w:rsidRPr="003476E6">
        <w:rPr>
          <w:rFonts w:cs="Arial"/>
          <w:sz w:val="22"/>
          <w:szCs w:val="22"/>
        </w:rPr>
        <w:t xml:space="preserve"> and </w:t>
      </w:r>
      <w:r w:rsidR="009B7373" w:rsidRPr="003476E6">
        <w:rPr>
          <w:rFonts w:cs="Arial"/>
          <w:sz w:val="22"/>
          <w:szCs w:val="22"/>
        </w:rPr>
        <w:t xml:space="preserve">each of </w:t>
      </w:r>
      <w:r w:rsidR="008A3E89" w:rsidRPr="003476E6">
        <w:rPr>
          <w:rFonts w:cs="Arial"/>
          <w:sz w:val="22"/>
          <w:szCs w:val="22"/>
        </w:rPr>
        <w:t>the temporospatial</w:t>
      </w:r>
      <w:r w:rsidRPr="003476E6">
        <w:rPr>
          <w:rFonts w:cs="Arial"/>
          <w:sz w:val="22"/>
          <w:szCs w:val="22"/>
        </w:rPr>
        <w:t xml:space="preserve"> parameters of gait were weak to non-existent (</w:t>
      </w:r>
      <w:r w:rsidR="00144457" w:rsidRPr="003476E6">
        <w:rPr>
          <w:rFonts w:cs="Arial"/>
          <w:sz w:val="22"/>
          <w:szCs w:val="22"/>
        </w:rPr>
        <w:t>r=</w:t>
      </w:r>
      <w:r w:rsidR="00DD7232" w:rsidRPr="003476E6">
        <w:rPr>
          <w:rFonts w:cs="Arial"/>
          <w:sz w:val="22"/>
          <w:szCs w:val="22"/>
        </w:rPr>
        <w:t>-0.30–0.45</w:t>
      </w:r>
      <w:r w:rsidR="00144457" w:rsidRPr="003476E6">
        <w:rPr>
          <w:rFonts w:cs="Arial"/>
          <w:sz w:val="22"/>
          <w:szCs w:val="22"/>
        </w:rPr>
        <w:t xml:space="preserve">, </w:t>
      </w:r>
      <w:r w:rsidR="00144457" w:rsidRPr="003476E6">
        <w:rPr>
          <w:rFonts w:cs="Arial"/>
          <w:i/>
          <w:iCs/>
          <w:sz w:val="22"/>
          <w:szCs w:val="22"/>
        </w:rPr>
        <w:t>p</w:t>
      </w:r>
      <w:r w:rsidR="00144457" w:rsidRPr="003476E6">
        <w:rPr>
          <w:rFonts w:cs="Arial"/>
          <w:sz w:val="22"/>
          <w:szCs w:val="22"/>
        </w:rPr>
        <w:t>=</w:t>
      </w:r>
      <w:r w:rsidR="00E00E98" w:rsidRPr="003476E6">
        <w:rPr>
          <w:rFonts w:cs="Arial"/>
          <w:sz w:val="22"/>
          <w:szCs w:val="22"/>
        </w:rPr>
        <w:t>0.311</w:t>
      </w:r>
      <w:r w:rsidR="0063604F" w:rsidRPr="003476E6">
        <w:rPr>
          <w:rFonts w:cs="Arial"/>
          <w:sz w:val="22"/>
          <w:szCs w:val="22"/>
        </w:rPr>
        <w:t>–</w:t>
      </w:r>
      <w:r w:rsidR="00E00E98" w:rsidRPr="003476E6">
        <w:rPr>
          <w:rFonts w:cs="Arial"/>
          <w:sz w:val="22"/>
          <w:szCs w:val="22"/>
        </w:rPr>
        <w:t>0.858</w:t>
      </w:r>
      <w:r w:rsidR="00144457" w:rsidRPr="003476E6">
        <w:rPr>
          <w:rFonts w:cs="Arial"/>
          <w:sz w:val="22"/>
          <w:szCs w:val="22"/>
        </w:rPr>
        <w:t xml:space="preserve">; </w:t>
      </w:r>
      <w:r w:rsidR="000A129D" w:rsidRPr="003476E6">
        <w:rPr>
          <w:rFonts w:cs="Arial"/>
          <w:sz w:val="22"/>
          <w:szCs w:val="22"/>
        </w:rPr>
        <w:t xml:space="preserve">Table </w:t>
      </w:r>
      <w:r w:rsidR="00BE4BB0" w:rsidRPr="003476E6">
        <w:rPr>
          <w:rFonts w:cs="Arial"/>
          <w:sz w:val="22"/>
          <w:szCs w:val="22"/>
        </w:rPr>
        <w:t>5</w:t>
      </w:r>
      <w:r w:rsidRPr="003476E6">
        <w:rPr>
          <w:rFonts w:cs="Arial"/>
          <w:sz w:val="22"/>
          <w:szCs w:val="22"/>
        </w:rPr>
        <w:t xml:space="preserve">). </w:t>
      </w:r>
      <w:r w:rsidR="00EF736B" w:rsidRPr="003476E6">
        <w:rPr>
          <w:rFonts w:cs="Arial"/>
          <w:sz w:val="22"/>
          <w:szCs w:val="22"/>
        </w:rPr>
        <w:t>A</w:t>
      </w:r>
      <w:r w:rsidRPr="003476E6">
        <w:rPr>
          <w:rFonts w:cs="Arial"/>
          <w:sz w:val="22"/>
          <w:szCs w:val="22"/>
        </w:rPr>
        <w:t>t fast walking speed</w:t>
      </w:r>
      <w:r w:rsidR="008A3E89" w:rsidRPr="003476E6">
        <w:rPr>
          <w:rFonts w:cs="Arial"/>
          <w:sz w:val="22"/>
          <w:szCs w:val="22"/>
        </w:rPr>
        <w:t>s</w:t>
      </w:r>
      <w:r w:rsidRPr="003476E6">
        <w:rPr>
          <w:rFonts w:cs="Arial"/>
          <w:sz w:val="22"/>
          <w:szCs w:val="22"/>
        </w:rPr>
        <w:t>, BAI single support</w:t>
      </w:r>
      <w:r w:rsidR="00A265FB" w:rsidRPr="003476E6">
        <w:rPr>
          <w:rFonts w:cs="Arial"/>
          <w:sz w:val="22"/>
          <w:szCs w:val="22"/>
        </w:rPr>
        <w:t xml:space="preserve"> time</w:t>
      </w:r>
      <w:r w:rsidRPr="003476E6">
        <w:rPr>
          <w:rFonts w:cs="Arial"/>
          <w:sz w:val="22"/>
          <w:szCs w:val="22"/>
        </w:rPr>
        <w:t xml:space="preserve"> was moderately related to BAI MVT</w:t>
      </w:r>
      <w:r w:rsidR="00144457" w:rsidRPr="003476E6">
        <w:rPr>
          <w:rFonts w:cs="Arial"/>
          <w:sz w:val="22"/>
          <w:szCs w:val="22"/>
        </w:rPr>
        <w:t xml:space="preserve"> (r=</w:t>
      </w:r>
      <w:r w:rsidR="00DD7232" w:rsidRPr="003476E6">
        <w:rPr>
          <w:rFonts w:cs="Arial"/>
          <w:sz w:val="22"/>
          <w:szCs w:val="22"/>
        </w:rPr>
        <w:t>0.60</w:t>
      </w:r>
      <w:r w:rsidR="00144457" w:rsidRPr="003476E6">
        <w:rPr>
          <w:rFonts w:cs="Arial"/>
          <w:sz w:val="22"/>
          <w:szCs w:val="22"/>
        </w:rPr>
        <w:t xml:space="preserve">, </w:t>
      </w:r>
      <w:r w:rsidR="00144457" w:rsidRPr="003476E6">
        <w:rPr>
          <w:rFonts w:cs="Arial"/>
          <w:i/>
          <w:iCs/>
          <w:sz w:val="22"/>
          <w:szCs w:val="22"/>
        </w:rPr>
        <w:t>p</w:t>
      </w:r>
      <w:r w:rsidR="00144457" w:rsidRPr="003476E6">
        <w:rPr>
          <w:rFonts w:cs="Arial"/>
          <w:sz w:val="22"/>
          <w:szCs w:val="22"/>
        </w:rPr>
        <w:t>=</w:t>
      </w:r>
      <w:r w:rsidR="00E00E98" w:rsidRPr="003476E6">
        <w:rPr>
          <w:rFonts w:cs="Arial"/>
          <w:sz w:val="22"/>
          <w:szCs w:val="22"/>
        </w:rPr>
        <w:t>0.116</w:t>
      </w:r>
      <w:r w:rsidR="00144457" w:rsidRPr="003476E6">
        <w:rPr>
          <w:rFonts w:cs="Arial"/>
          <w:sz w:val="22"/>
          <w:szCs w:val="22"/>
        </w:rPr>
        <w:t>)</w:t>
      </w:r>
      <w:r w:rsidR="00BB601F" w:rsidRPr="003476E6">
        <w:rPr>
          <w:rFonts w:cs="Arial"/>
          <w:sz w:val="22"/>
          <w:szCs w:val="22"/>
        </w:rPr>
        <w:t xml:space="preserve">. </w:t>
      </w:r>
      <w:r w:rsidRPr="003476E6">
        <w:rPr>
          <w:rFonts w:cs="Arial"/>
          <w:sz w:val="22"/>
          <w:szCs w:val="22"/>
        </w:rPr>
        <w:t>BAI step length was moderately related to BAI RTD</w:t>
      </w:r>
      <w:r w:rsidR="00F1484C" w:rsidRPr="003476E6">
        <w:rPr>
          <w:rFonts w:cs="Arial"/>
          <w:sz w:val="22"/>
          <w:szCs w:val="22"/>
        </w:rPr>
        <w:t xml:space="preserve"> (</w:t>
      </w:r>
      <w:r w:rsidR="00144457" w:rsidRPr="003476E6">
        <w:rPr>
          <w:rFonts w:cs="Arial"/>
          <w:sz w:val="22"/>
          <w:szCs w:val="22"/>
        </w:rPr>
        <w:t>r=</w:t>
      </w:r>
      <w:r w:rsidR="00DD7232" w:rsidRPr="003476E6">
        <w:rPr>
          <w:rFonts w:cs="Arial"/>
          <w:sz w:val="22"/>
          <w:szCs w:val="22"/>
        </w:rPr>
        <w:t>0.58</w:t>
      </w:r>
      <w:r w:rsidR="00144457" w:rsidRPr="003476E6">
        <w:rPr>
          <w:rFonts w:cs="Arial"/>
          <w:sz w:val="22"/>
          <w:szCs w:val="22"/>
        </w:rPr>
        <w:t xml:space="preserve">, </w:t>
      </w:r>
      <w:r w:rsidR="00144457" w:rsidRPr="003476E6">
        <w:rPr>
          <w:rFonts w:cs="Arial"/>
          <w:i/>
          <w:iCs/>
          <w:sz w:val="22"/>
          <w:szCs w:val="22"/>
        </w:rPr>
        <w:t>p</w:t>
      </w:r>
      <w:r w:rsidR="00144457" w:rsidRPr="003476E6">
        <w:rPr>
          <w:rFonts w:cs="Arial"/>
          <w:sz w:val="22"/>
          <w:szCs w:val="22"/>
        </w:rPr>
        <w:t>=</w:t>
      </w:r>
      <w:r w:rsidR="00E00E98" w:rsidRPr="003476E6">
        <w:rPr>
          <w:rFonts w:cs="Arial"/>
          <w:sz w:val="22"/>
          <w:szCs w:val="22"/>
        </w:rPr>
        <w:t>0.229</w:t>
      </w:r>
      <w:r w:rsidR="00144457" w:rsidRPr="003476E6">
        <w:rPr>
          <w:rFonts w:cs="Arial"/>
          <w:sz w:val="22"/>
          <w:szCs w:val="22"/>
        </w:rPr>
        <w:t xml:space="preserve"> </w:t>
      </w:r>
      <w:r w:rsidR="00F1484C" w:rsidRPr="003476E6">
        <w:rPr>
          <w:rFonts w:cs="Arial"/>
          <w:sz w:val="22"/>
          <w:szCs w:val="22"/>
        </w:rPr>
        <w:t>Table 5)</w:t>
      </w:r>
      <w:r w:rsidR="003B732B" w:rsidRPr="003476E6">
        <w:rPr>
          <w:rFonts w:cs="Arial"/>
          <w:sz w:val="22"/>
          <w:szCs w:val="22"/>
        </w:rPr>
        <w:t xml:space="preserve">. </w:t>
      </w:r>
    </w:p>
    <w:p w14:paraId="53486808" w14:textId="21B7B791" w:rsidR="003134FF" w:rsidRPr="003476E6" w:rsidRDefault="004B1626" w:rsidP="003134FF">
      <w:pPr>
        <w:spacing w:after="120" w:line="480" w:lineRule="auto"/>
        <w:jc w:val="both"/>
        <w:rPr>
          <w:rFonts w:cs="Arial"/>
          <w:b/>
          <w:sz w:val="22"/>
          <w:szCs w:val="22"/>
        </w:rPr>
      </w:pPr>
      <w:r w:rsidRPr="003476E6">
        <w:rPr>
          <w:rFonts w:cs="Arial"/>
          <w:b/>
          <w:sz w:val="22"/>
          <w:szCs w:val="22"/>
        </w:rPr>
        <w:t>**TABLE 5**</w:t>
      </w:r>
    </w:p>
    <w:p w14:paraId="5A198793" w14:textId="33CC1273" w:rsidR="003134FF" w:rsidRPr="003476E6" w:rsidRDefault="003134FF" w:rsidP="003134FF">
      <w:pPr>
        <w:spacing w:after="120" w:line="480" w:lineRule="auto"/>
        <w:jc w:val="both"/>
        <w:rPr>
          <w:rFonts w:cs="Arial"/>
          <w:sz w:val="22"/>
          <w:szCs w:val="22"/>
        </w:rPr>
      </w:pPr>
      <w:r w:rsidRPr="003476E6">
        <w:rPr>
          <w:rFonts w:cs="Arial"/>
          <w:sz w:val="22"/>
          <w:szCs w:val="22"/>
        </w:rPr>
        <w:t>There was a strong</w:t>
      </w:r>
      <w:r w:rsidR="0063604F" w:rsidRPr="003476E6">
        <w:rPr>
          <w:rFonts w:cs="Arial"/>
          <w:sz w:val="22"/>
          <w:szCs w:val="22"/>
        </w:rPr>
        <w:t>,</w:t>
      </w:r>
      <w:r w:rsidR="00EB44DF" w:rsidRPr="003476E6">
        <w:rPr>
          <w:rFonts w:cs="Arial"/>
          <w:sz w:val="22"/>
          <w:szCs w:val="22"/>
        </w:rPr>
        <w:t xml:space="preserve"> </w:t>
      </w:r>
      <w:r w:rsidRPr="003476E6">
        <w:rPr>
          <w:rFonts w:cs="Arial"/>
          <w:sz w:val="22"/>
          <w:szCs w:val="22"/>
        </w:rPr>
        <w:t>positive relationship between ΔBAI single support time and BAI MVT</w:t>
      </w:r>
      <w:r w:rsidR="00144457" w:rsidRPr="003476E6">
        <w:rPr>
          <w:rFonts w:cs="Arial"/>
          <w:sz w:val="22"/>
          <w:szCs w:val="22"/>
        </w:rPr>
        <w:t xml:space="preserve"> (r=</w:t>
      </w:r>
      <w:r w:rsidR="00DD7232" w:rsidRPr="003476E6">
        <w:rPr>
          <w:rFonts w:cs="Arial"/>
          <w:sz w:val="22"/>
          <w:szCs w:val="22"/>
        </w:rPr>
        <w:t>0.83</w:t>
      </w:r>
      <w:r w:rsidR="00144457" w:rsidRPr="003476E6">
        <w:rPr>
          <w:rFonts w:cs="Arial"/>
          <w:sz w:val="22"/>
          <w:szCs w:val="22"/>
        </w:rPr>
        <w:t xml:space="preserve">, </w:t>
      </w:r>
      <w:r w:rsidR="00144457" w:rsidRPr="003476E6">
        <w:rPr>
          <w:rFonts w:cs="Arial"/>
          <w:i/>
          <w:iCs/>
          <w:sz w:val="22"/>
          <w:szCs w:val="22"/>
        </w:rPr>
        <w:t>p</w:t>
      </w:r>
      <w:r w:rsidR="00144457" w:rsidRPr="003476E6">
        <w:rPr>
          <w:rFonts w:cs="Arial"/>
          <w:sz w:val="22"/>
          <w:szCs w:val="22"/>
        </w:rPr>
        <w:t>=</w:t>
      </w:r>
      <w:r w:rsidR="00E00E98" w:rsidRPr="003476E6">
        <w:rPr>
          <w:rFonts w:cs="Arial"/>
          <w:sz w:val="22"/>
          <w:szCs w:val="22"/>
        </w:rPr>
        <w:t>0.010</w:t>
      </w:r>
      <w:r w:rsidR="00144457" w:rsidRPr="003476E6">
        <w:rPr>
          <w:rFonts w:cs="Arial"/>
          <w:sz w:val="22"/>
          <w:szCs w:val="22"/>
        </w:rPr>
        <w:t>)</w:t>
      </w:r>
      <w:r w:rsidRPr="003476E6">
        <w:rPr>
          <w:rFonts w:cs="Arial"/>
          <w:sz w:val="22"/>
          <w:szCs w:val="22"/>
        </w:rPr>
        <w:t>, but a weak relationship between ΔBAI step length and BAI MVT</w:t>
      </w:r>
      <w:r w:rsidR="00144457" w:rsidRPr="003476E6">
        <w:rPr>
          <w:rFonts w:cs="Arial"/>
          <w:sz w:val="22"/>
          <w:szCs w:val="22"/>
        </w:rPr>
        <w:t xml:space="preserve"> (r=</w:t>
      </w:r>
      <w:r w:rsidR="00DD7232" w:rsidRPr="003476E6">
        <w:rPr>
          <w:rFonts w:cs="Arial"/>
          <w:sz w:val="22"/>
          <w:szCs w:val="22"/>
        </w:rPr>
        <w:t>0.41</w:t>
      </w:r>
      <w:r w:rsidR="00144457" w:rsidRPr="003476E6">
        <w:rPr>
          <w:rFonts w:cs="Arial"/>
          <w:sz w:val="22"/>
          <w:szCs w:val="22"/>
        </w:rPr>
        <w:t xml:space="preserve">, </w:t>
      </w:r>
      <w:r w:rsidR="00144457" w:rsidRPr="003476E6">
        <w:rPr>
          <w:rFonts w:cs="Arial"/>
          <w:i/>
          <w:iCs/>
          <w:sz w:val="22"/>
          <w:szCs w:val="22"/>
        </w:rPr>
        <w:t>p</w:t>
      </w:r>
      <w:r w:rsidR="00144457" w:rsidRPr="003476E6">
        <w:rPr>
          <w:rFonts w:cs="Arial"/>
          <w:sz w:val="22"/>
          <w:szCs w:val="22"/>
        </w:rPr>
        <w:t>=</w:t>
      </w:r>
      <w:r w:rsidR="0063604F" w:rsidRPr="003476E6">
        <w:rPr>
          <w:rFonts w:cs="Arial"/>
          <w:sz w:val="22"/>
          <w:szCs w:val="22"/>
        </w:rPr>
        <w:t>0.316</w:t>
      </w:r>
      <w:r w:rsidR="00144457" w:rsidRPr="003476E6">
        <w:rPr>
          <w:rFonts w:cs="Arial"/>
          <w:sz w:val="22"/>
          <w:szCs w:val="22"/>
        </w:rPr>
        <w:t>)</w:t>
      </w:r>
      <w:r w:rsidRPr="003476E6">
        <w:rPr>
          <w:rFonts w:cs="Arial"/>
          <w:sz w:val="22"/>
          <w:szCs w:val="22"/>
        </w:rPr>
        <w:t>. Both ΔBAI single support and ΔBAI step length were moderately correlated with BAI RTD (</w:t>
      </w:r>
      <w:r w:rsidR="00DD7232" w:rsidRPr="003476E6">
        <w:rPr>
          <w:rFonts w:cs="Arial"/>
          <w:sz w:val="22"/>
          <w:szCs w:val="22"/>
        </w:rPr>
        <w:t>r</w:t>
      </w:r>
      <w:r w:rsidR="00144457" w:rsidRPr="003476E6">
        <w:rPr>
          <w:rFonts w:cs="Arial"/>
          <w:sz w:val="22"/>
          <w:szCs w:val="22"/>
        </w:rPr>
        <w:t>=</w:t>
      </w:r>
      <w:r w:rsidR="00DD7232" w:rsidRPr="003476E6">
        <w:rPr>
          <w:rFonts w:cs="Arial"/>
          <w:sz w:val="22"/>
          <w:szCs w:val="22"/>
        </w:rPr>
        <w:t>~0.60</w:t>
      </w:r>
      <w:r w:rsidR="00144457" w:rsidRPr="003476E6">
        <w:rPr>
          <w:rFonts w:cs="Arial"/>
          <w:sz w:val="22"/>
          <w:szCs w:val="22"/>
        </w:rPr>
        <w:t xml:space="preserve">, </w:t>
      </w:r>
      <w:r w:rsidR="00144457" w:rsidRPr="003476E6">
        <w:rPr>
          <w:rFonts w:cs="Arial"/>
          <w:i/>
          <w:iCs/>
          <w:sz w:val="22"/>
          <w:szCs w:val="22"/>
        </w:rPr>
        <w:t>p</w:t>
      </w:r>
      <w:r w:rsidR="0063604F" w:rsidRPr="003476E6">
        <w:rPr>
          <w:rFonts w:cs="Arial"/>
          <w:sz w:val="22"/>
          <w:szCs w:val="22"/>
        </w:rPr>
        <w:t>≤0.123</w:t>
      </w:r>
      <w:r w:rsidR="00144457" w:rsidRPr="003476E6">
        <w:rPr>
          <w:rFonts w:cs="Arial"/>
          <w:sz w:val="22"/>
          <w:szCs w:val="22"/>
        </w:rPr>
        <w:t xml:space="preserve">; </w:t>
      </w:r>
      <w:r w:rsidRPr="003476E6">
        <w:rPr>
          <w:rFonts w:cs="Arial"/>
          <w:sz w:val="22"/>
          <w:szCs w:val="22"/>
        </w:rPr>
        <w:t>Table 5).</w:t>
      </w:r>
    </w:p>
    <w:p w14:paraId="51385FF0" w14:textId="278E092D" w:rsidR="00C07B0C" w:rsidRPr="003476E6" w:rsidRDefault="00BB601F" w:rsidP="003134FF">
      <w:pPr>
        <w:spacing w:after="120" w:line="480" w:lineRule="auto"/>
        <w:jc w:val="both"/>
        <w:rPr>
          <w:sz w:val="22"/>
          <w:szCs w:val="22"/>
        </w:rPr>
      </w:pPr>
      <w:r w:rsidRPr="003476E6">
        <w:rPr>
          <w:sz w:val="22"/>
          <w:szCs w:val="22"/>
        </w:rPr>
        <w:t>M</w:t>
      </w:r>
      <w:r w:rsidR="00697FD7" w:rsidRPr="003476E6">
        <w:rPr>
          <w:sz w:val="22"/>
          <w:szCs w:val="22"/>
        </w:rPr>
        <w:t>oderate negative correlations</w:t>
      </w:r>
      <w:r w:rsidR="003A098B" w:rsidRPr="003476E6">
        <w:rPr>
          <w:sz w:val="22"/>
          <w:szCs w:val="22"/>
        </w:rPr>
        <w:t xml:space="preserve"> were apparent</w:t>
      </w:r>
      <w:r w:rsidR="00697FD7" w:rsidRPr="003476E6">
        <w:rPr>
          <w:sz w:val="22"/>
          <w:szCs w:val="22"/>
        </w:rPr>
        <w:t xml:space="preserve"> between </w:t>
      </w:r>
      <w:r w:rsidR="00DD7232" w:rsidRPr="003476E6">
        <w:rPr>
          <w:sz w:val="22"/>
          <w:szCs w:val="22"/>
        </w:rPr>
        <w:t xml:space="preserve">BAI MVT and </w:t>
      </w:r>
      <w:r w:rsidR="00697FD7" w:rsidRPr="003476E6">
        <w:rPr>
          <w:sz w:val="22"/>
          <w:szCs w:val="22"/>
        </w:rPr>
        <w:t xml:space="preserve">BAI </w:t>
      </w:r>
      <w:r w:rsidR="00F44DBC" w:rsidRPr="003476E6">
        <w:rPr>
          <w:sz w:val="22"/>
          <w:szCs w:val="22"/>
        </w:rPr>
        <w:t>knee-extensor impulse</w:t>
      </w:r>
      <w:r w:rsidR="00DD7232" w:rsidRPr="003476E6">
        <w:rPr>
          <w:sz w:val="22"/>
          <w:szCs w:val="22"/>
        </w:rPr>
        <w:t xml:space="preserve"> </w:t>
      </w:r>
      <w:r w:rsidR="00DD7232" w:rsidRPr="003476E6">
        <w:rPr>
          <w:rFonts w:cs="Arial"/>
          <w:sz w:val="22"/>
          <w:szCs w:val="22"/>
        </w:rPr>
        <w:t xml:space="preserve">(r=-0.56, </w:t>
      </w:r>
      <w:r w:rsidR="00DD7232" w:rsidRPr="003476E6">
        <w:rPr>
          <w:rFonts w:cs="Arial"/>
          <w:i/>
          <w:iCs/>
          <w:sz w:val="22"/>
          <w:szCs w:val="22"/>
        </w:rPr>
        <w:t>p</w:t>
      </w:r>
      <w:r w:rsidR="00DD7232" w:rsidRPr="003476E6">
        <w:rPr>
          <w:rFonts w:cs="Arial"/>
          <w:sz w:val="22"/>
          <w:szCs w:val="22"/>
        </w:rPr>
        <w:t>=</w:t>
      </w:r>
      <w:r w:rsidR="0063604F" w:rsidRPr="003476E6">
        <w:rPr>
          <w:rFonts w:cs="Arial"/>
          <w:sz w:val="22"/>
          <w:szCs w:val="22"/>
        </w:rPr>
        <w:t>0.195</w:t>
      </w:r>
      <w:r w:rsidR="00DD7232" w:rsidRPr="003476E6">
        <w:rPr>
          <w:rFonts w:cs="Arial"/>
          <w:sz w:val="22"/>
          <w:szCs w:val="22"/>
        </w:rPr>
        <w:t>)</w:t>
      </w:r>
      <w:r w:rsidR="00DD7232" w:rsidRPr="003476E6">
        <w:rPr>
          <w:sz w:val="22"/>
          <w:szCs w:val="22"/>
        </w:rPr>
        <w:t xml:space="preserve"> </w:t>
      </w:r>
      <w:r w:rsidR="00697FD7" w:rsidRPr="003476E6">
        <w:rPr>
          <w:sz w:val="22"/>
          <w:szCs w:val="22"/>
        </w:rPr>
        <w:t xml:space="preserve">at fast walking speeds, and BAI </w:t>
      </w:r>
      <w:r w:rsidR="00F44DBC" w:rsidRPr="003476E6">
        <w:rPr>
          <w:sz w:val="22"/>
          <w:szCs w:val="22"/>
        </w:rPr>
        <w:t xml:space="preserve">knee-extensor moment </w:t>
      </w:r>
      <w:r w:rsidR="00697FD7" w:rsidRPr="003476E6">
        <w:rPr>
          <w:sz w:val="22"/>
          <w:szCs w:val="22"/>
        </w:rPr>
        <w:t xml:space="preserve">and </w:t>
      </w:r>
      <w:r w:rsidR="00F9744E" w:rsidRPr="003476E6">
        <w:rPr>
          <w:sz w:val="22"/>
          <w:szCs w:val="22"/>
        </w:rPr>
        <w:t xml:space="preserve">BAI </w:t>
      </w:r>
      <w:r w:rsidR="00697FD7" w:rsidRPr="003476E6">
        <w:rPr>
          <w:sz w:val="22"/>
          <w:szCs w:val="22"/>
        </w:rPr>
        <w:t>RTD at habitual walking speeds (</w:t>
      </w:r>
      <w:r w:rsidR="00DD7232" w:rsidRPr="003476E6">
        <w:rPr>
          <w:sz w:val="22"/>
          <w:szCs w:val="22"/>
        </w:rPr>
        <w:t>r</w:t>
      </w:r>
      <w:r w:rsidR="00144457" w:rsidRPr="003476E6">
        <w:rPr>
          <w:rFonts w:cs="Arial"/>
          <w:sz w:val="22"/>
          <w:szCs w:val="22"/>
        </w:rPr>
        <w:t>=</w:t>
      </w:r>
      <w:r w:rsidR="00DD7232" w:rsidRPr="003476E6">
        <w:rPr>
          <w:rFonts w:cs="Arial"/>
          <w:sz w:val="22"/>
          <w:szCs w:val="22"/>
        </w:rPr>
        <w:t>-0.60</w:t>
      </w:r>
      <w:r w:rsidR="00144457" w:rsidRPr="003476E6">
        <w:rPr>
          <w:rFonts w:cs="Arial"/>
          <w:sz w:val="22"/>
          <w:szCs w:val="22"/>
        </w:rPr>
        <w:t xml:space="preserve">, </w:t>
      </w:r>
      <w:r w:rsidR="00144457" w:rsidRPr="003476E6">
        <w:rPr>
          <w:rFonts w:cs="Arial"/>
          <w:i/>
          <w:iCs/>
          <w:sz w:val="22"/>
          <w:szCs w:val="22"/>
        </w:rPr>
        <w:t>p</w:t>
      </w:r>
      <w:r w:rsidR="00144457" w:rsidRPr="003476E6">
        <w:rPr>
          <w:rFonts w:cs="Arial"/>
          <w:sz w:val="22"/>
          <w:szCs w:val="22"/>
        </w:rPr>
        <w:t>=</w:t>
      </w:r>
      <w:r w:rsidR="0063604F" w:rsidRPr="003476E6">
        <w:rPr>
          <w:rFonts w:cs="Arial"/>
          <w:sz w:val="22"/>
          <w:szCs w:val="22"/>
        </w:rPr>
        <w:t>0.132</w:t>
      </w:r>
      <w:r w:rsidR="00144457" w:rsidRPr="003476E6">
        <w:rPr>
          <w:rFonts w:cs="Arial"/>
          <w:sz w:val="22"/>
          <w:szCs w:val="22"/>
        </w:rPr>
        <w:t xml:space="preserve">; </w:t>
      </w:r>
      <w:r w:rsidR="00697FD7" w:rsidRPr="003476E6">
        <w:rPr>
          <w:sz w:val="22"/>
          <w:szCs w:val="22"/>
        </w:rPr>
        <w:t xml:space="preserve">Table 5). </w:t>
      </w:r>
    </w:p>
    <w:bookmarkEnd w:id="29"/>
    <w:p w14:paraId="7A54BBB6" w14:textId="578CF720" w:rsidR="00823473" w:rsidRPr="003476E6" w:rsidRDefault="00823473" w:rsidP="00823473">
      <w:pPr>
        <w:spacing w:after="120" w:line="480" w:lineRule="auto"/>
        <w:jc w:val="both"/>
        <w:rPr>
          <w:sz w:val="22"/>
          <w:szCs w:val="22"/>
        </w:rPr>
      </w:pPr>
      <w:r w:rsidRPr="003476E6">
        <w:rPr>
          <w:sz w:val="22"/>
          <w:szCs w:val="22"/>
        </w:rPr>
        <w:t>At both walking speeds, braking and propulsive phase BAI vGRF were not, or only weakly, correlated with BAI MVT</w:t>
      </w:r>
      <w:r w:rsidR="00144457" w:rsidRPr="003476E6">
        <w:rPr>
          <w:sz w:val="22"/>
          <w:szCs w:val="22"/>
        </w:rPr>
        <w:t xml:space="preserve"> </w:t>
      </w:r>
      <w:r w:rsidR="00144457" w:rsidRPr="003476E6">
        <w:rPr>
          <w:rFonts w:cs="Arial"/>
          <w:sz w:val="22"/>
          <w:szCs w:val="22"/>
        </w:rPr>
        <w:t>(r=</w:t>
      </w:r>
      <w:r w:rsidR="00DD7232" w:rsidRPr="003476E6">
        <w:rPr>
          <w:rFonts w:cs="Arial"/>
          <w:sz w:val="22"/>
          <w:szCs w:val="22"/>
        </w:rPr>
        <w:t>-0.42 –  -0.01</w:t>
      </w:r>
      <w:r w:rsidR="00144457" w:rsidRPr="003476E6">
        <w:rPr>
          <w:rFonts w:cs="Arial"/>
          <w:sz w:val="22"/>
          <w:szCs w:val="22"/>
        </w:rPr>
        <w:t xml:space="preserve">, </w:t>
      </w:r>
      <w:r w:rsidR="00144457" w:rsidRPr="003476E6">
        <w:rPr>
          <w:rFonts w:cs="Arial"/>
          <w:i/>
          <w:iCs/>
          <w:sz w:val="22"/>
          <w:szCs w:val="22"/>
        </w:rPr>
        <w:t>p</w:t>
      </w:r>
      <w:r w:rsidR="00144457" w:rsidRPr="003476E6">
        <w:rPr>
          <w:rFonts w:cs="Arial"/>
          <w:sz w:val="22"/>
          <w:szCs w:val="22"/>
        </w:rPr>
        <w:t>=</w:t>
      </w:r>
      <w:r w:rsidR="0063604F" w:rsidRPr="003476E6">
        <w:rPr>
          <w:rFonts w:cs="Arial"/>
          <w:sz w:val="22"/>
          <w:szCs w:val="22"/>
        </w:rPr>
        <w:t>0.195–0.994</w:t>
      </w:r>
      <w:r w:rsidR="00144457" w:rsidRPr="003476E6">
        <w:rPr>
          <w:rFonts w:cs="Arial"/>
          <w:sz w:val="22"/>
          <w:szCs w:val="22"/>
        </w:rPr>
        <w:t>)</w:t>
      </w:r>
      <w:r w:rsidRPr="003476E6">
        <w:rPr>
          <w:sz w:val="22"/>
          <w:szCs w:val="22"/>
        </w:rPr>
        <w:t xml:space="preserve">. </w:t>
      </w:r>
      <w:r w:rsidRPr="003476E6">
        <w:rPr>
          <w:rFonts w:cs="Arial"/>
          <w:sz w:val="22"/>
          <w:szCs w:val="22"/>
        </w:rPr>
        <w:t xml:space="preserve">ΔBAI propulsive phase vGRF </w:t>
      </w:r>
      <w:r w:rsidRPr="003476E6">
        <w:rPr>
          <w:sz w:val="22"/>
          <w:szCs w:val="22"/>
        </w:rPr>
        <w:t>was moderately correlated with</w:t>
      </w:r>
      <w:r w:rsidRPr="003476E6">
        <w:rPr>
          <w:rFonts w:cs="Arial"/>
          <w:sz w:val="22"/>
          <w:szCs w:val="22"/>
        </w:rPr>
        <w:t xml:space="preserve"> BAI MVT (</w:t>
      </w:r>
      <w:r w:rsidR="00DD7232" w:rsidRPr="003476E6">
        <w:rPr>
          <w:rFonts w:cs="Arial"/>
          <w:sz w:val="22"/>
          <w:szCs w:val="22"/>
        </w:rPr>
        <w:t>r</w:t>
      </w:r>
      <w:r w:rsidR="00144457" w:rsidRPr="003476E6">
        <w:rPr>
          <w:rFonts w:cs="Arial"/>
          <w:sz w:val="22"/>
          <w:szCs w:val="22"/>
        </w:rPr>
        <w:t>=</w:t>
      </w:r>
      <w:r w:rsidR="00DD7232" w:rsidRPr="003476E6">
        <w:rPr>
          <w:rFonts w:cs="Arial"/>
          <w:sz w:val="22"/>
          <w:szCs w:val="22"/>
        </w:rPr>
        <w:t>0.59</w:t>
      </w:r>
      <w:r w:rsidR="00144457" w:rsidRPr="003476E6">
        <w:rPr>
          <w:rFonts w:cs="Arial"/>
          <w:sz w:val="22"/>
          <w:szCs w:val="22"/>
        </w:rPr>
        <w:t xml:space="preserve">, </w:t>
      </w:r>
      <w:r w:rsidR="00144457" w:rsidRPr="003476E6">
        <w:rPr>
          <w:rFonts w:cs="Arial"/>
          <w:i/>
          <w:iCs/>
          <w:sz w:val="22"/>
          <w:szCs w:val="22"/>
        </w:rPr>
        <w:t>p</w:t>
      </w:r>
      <w:r w:rsidR="00144457" w:rsidRPr="003476E6">
        <w:rPr>
          <w:rFonts w:cs="Arial"/>
          <w:sz w:val="22"/>
          <w:szCs w:val="22"/>
        </w:rPr>
        <w:t>=</w:t>
      </w:r>
      <w:r w:rsidR="0063604F" w:rsidRPr="003476E6">
        <w:rPr>
          <w:rFonts w:cs="Arial"/>
          <w:sz w:val="22"/>
          <w:szCs w:val="22"/>
        </w:rPr>
        <w:t>0.126</w:t>
      </w:r>
      <w:r w:rsidR="00144457" w:rsidRPr="003476E6">
        <w:rPr>
          <w:rFonts w:cs="Arial"/>
          <w:sz w:val="22"/>
          <w:szCs w:val="22"/>
        </w:rPr>
        <w:t xml:space="preserve">; </w:t>
      </w:r>
      <w:r w:rsidRPr="003476E6">
        <w:rPr>
          <w:rFonts w:cs="Arial"/>
          <w:sz w:val="22"/>
          <w:szCs w:val="22"/>
        </w:rPr>
        <w:t>Table 5). Moderate to strong positive correlations were observed between BAI RTD and BAI vGRF in both braking and propulsion, for fast</w:t>
      </w:r>
      <w:r w:rsidR="00144457" w:rsidRPr="003476E6">
        <w:rPr>
          <w:rFonts w:cs="Arial"/>
          <w:sz w:val="22"/>
          <w:szCs w:val="22"/>
        </w:rPr>
        <w:t xml:space="preserve"> (r=</w:t>
      </w:r>
      <w:r w:rsidR="00DD7232" w:rsidRPr="003476E6">
        <w:rPr>
          <w:rFonts w:cs="Arial"/>
          <w:sz w:val="22"/>
          <w:szCs w:val="22"/>
        </w:rPr>
        <w:t>0.54–0.74</w:t>
      </w:r>
      <w:r w:rsidR="00144457" w:rsidRPr="003476E6">
        <w:rPr>
          <w:rFonts w:cs="Arial"/>
          <w:sz w:val="22"/>
          <w:szCs w:val="22"/>
        </w:rPr>
        <w:t xml:space="preserve">, </w:t>
      </w:r>
      <w:r w:rsidR="00144457" w:rsidRPr="003476E6">
        <w:rPr>
          <w:rFonts w:cs="Arial"/>
          <w:i/>
          <w:iCs/>
          <w:sz w:val="22"/>
          <w:szCs w:val="22"/>
        </w:rPr>
        <w:t>p</w:t>
      </w:r>
      <w:r w:rsidR="00144457" w:rsidRPr="003476E6">
        <w:rPr>
          <w:rFonts w:cs="Arial"/>
          <w:sz w:val="22"/>
          <w:szCs w:val="22"/>
        </w:rPr>
        <w:t>=</w:t>
      </w:r>
      <w:r w:rsidR="0063604F" w:rsidRPr="003476E6">
        <w:rPr>
          <w:rFonts w:cs="Arial"/>
          <w:sz w:val="22"/>
          <w:szCs w:val="22"/>
        </w:rPr>
        <w:t>0.048–0.206</w:t>
      </w:r>
      <w:r w:rsidR="00144457" w:rsidRPr="003476E6">
        <w:rPr>
          <w:rFonts w:cs="Arial"/>
          <w:sz w:val="22"/>
          <w:szCs w:val="22"/>
        </w:rPr>
        <w:t>)</w:t>
      </w:r>
      <w:r w:rsidRPr="003476E6">
        <w:rPr>
          <w:rFonts w:cs="Arial"/>
          <w:sz w:val="22"/>
          <w:szCs w:val="22"/>
        </w:rPr>
        <w:t>, but not habitual</w:t>
      </w:r>
      <w:r w:rsidR="00144457" w:rsidRPr="003476E6">
        <w:rPr>
          <w:rFonts w:cs="Arial"/>
          <w:sz w:val="22"/>
          <w:szCs w:val="22"/>
        </w:rPr>
        <w:t xml:space="preserve"> (r=</w:t>
      </w:r>
      <w:r w:rsidR="00DD7232" w:rsidRPr="003476E6">
        <w:rPr>
          <w:rFonts w:cs="Arial"/>
          <w:sz w:val="22"/>
          <w:szCs w:val="22"/>
        </w:rPr>
        <w:t>0.10–0.35</w:t>
      </w:r>
      <w:r w:rsidR="00144457" w:rsidRPr="003476E6">
        <w:rPr>
          <w:rFonts w:cs="Arial"/>
          <w:sz w:val="22"/>
          <w:szCs w:val="22"/>
        </w:rPr>
        <w:t xml:space="preserve">, </w:t>
      </w:r>
      <w:r w:rsidR="00144457" w:rsidRPr="003476E6">
        <w:rPr>
          <w:rFonts w:cs="Arial"/>
          <w:i/>
          <w:iCs/>
          <w:sz w:val="22"/>
          <w:szCs w:val="22"/>
        </w:rPr>
        <w:t>p</w:t>
      </w:r>
      <w:r w:rsidR="00144457" w:rsidRPr="003476E6">
        <w:rPr>
          <w:rFonts w:cs="Arial"/>
          <w:sz w:val="22"/>
          <w:szCs w:val="22"/>
        </w:rPr>
        <w:t>=</w:t>
      </w:r>
      <w:r w:rsidR="0063604F" w:rsidRPr="003476E6">
        <w:rPr>
          <w:rFonts w:cs="Arial"/>
          <w:sz w:val="22"/>
          <w:szCs w:val="22"/>
        </w:rPr>
        <w:t>0.529–0.994</w:t>
      </w:r>
      <w:r w:rsidR="00144457" w:rsidRPr="003476E6">
        <w:rPr>
          <w:rFonts w:cs="Arial"/>
          <w:sz w:val="22"/>
          <w:szCs w:val="22"/>
        </w:rPr>
        <w:t>)</w:t>
      </w:r>
      <w:r w:rsidRPr="003476E6">
        <w:rPr>
          <w:rFonts w:cs="Arial"/>
          <w:sz w:val="22"/>
          <w:szCs w:val="22"/>
        </w:rPr>
        <w:t>, walking speeds (Table 5). Furthermore, there were strong, significant correlations between BAI RTD and ΔBAI vGRF in both braking</w:t>
      </w:r>
      <w:r w:rsidR="00DD7232" w:rsidRPr="003476E6">
        <w:rPr>
          <w:rFonts w:cs="Arial"/>
          <w:sz w:val="22"/>
          <w:szCs w:val="22"/>
        </w:rPr>
        <w:t xml:space="preserve"> (r=0.</w:t>
      </w:r>
      <w:r w:rsidR="009F383E" w:rsidRPr="003476E6">
        <w:rPr>
          <w:rFonts w:cs="Arial"/>
          <w:sz w:val="22"/>
          <w:szCs w:val="22"/>
        </w:rPr>
        <w:t>89</w:t>
      </w:r>
      <w:r w:rsidR="00DD7232" w:rsidRPr="003476E6">
        <w:rPr>
          <w:rFonts w:cs="Arial"/>
          <w:sz w:val="22"/>
          <w:szCs w:val="22"/>
        </w:rPr>
        <w:t xml:space="preserve">, </w:t>
      </w:r>
      <w:r w:rsidR="00DD7232" w:rsidRPr="003476E6">
        <w:rPr>
          <w:rFonts w:cs="Arial"/>
          <w:i/>
          <w:iCs/>
          <w:sz w:val="22"/>
          <w:szCs w:val="22"/>
        </w:rPr>
        <w:t>p</w:t>
      </w:r>
      <w:r w:rsidR="00DD7232" w:rsidRPr="003476E6">
        <w:rPr>
          <w:rFonts w:cs="Arial"/>
          <w:sz w:val="22"/>
          <w:szCs w:val="22"/>
        </w:rPr>
        <w:t>=</w:t>
      </w:r>
      <w:r w:rsidR="0063604F" w:rsidRPr="003476E6">
        <w:rPr>
          <w:rFonts w:cs="Arial"/>
          <w:sz w:val="22"/>
          <w:szCs w:val="22"/>
        </w:rPr>
        <w:t>0.003</w:t>
      </w:r>
      <w:r w:rsidR="00DD7232" w:rsidRPr="003476E6">
        <w:rPr>
          <w:rFonts w:cs="Arial"/>
          <w:sz w:val="22"/>
          <w:szCs w:val="22"/>
        </w:rPr>
        <w:t>)</w:t>
      </w:r>
      <w:r w:rsidRPr="003476E6">
        <w:rPr>
          <w:rFonts w:cs="Arial"/>
          <w:sz w:val="22"/>
          <w:szCs w:val="22"/>
        </w:rPr>
        <w:t xml:space="preserve"> and propulsion (</w:t>
      </w:r>
      <w:r w:rsidR="00DD7232" w:rsidRPr="003476E6">
        <w:rPr>
          <w:rFonts w:cs="Arial"/>
          <w:sz w:val="22"/>
          <w:szCs w:val="22"/>
        </w:rPr>
        <w:t>r</w:t>
      </w:r>
      <w:r w:rsidR="00144457" w:rsidRPr="003476E6">
        <w:rPr>
          <w:rFonts w:cs="Arial"/>
          <w:sz w:val="22"/>
          <w:szCs w:val="22"/>
        </w:rPr>
        <w:t>=</w:t>
      </w:r>
      <w:r w:rsidR="009F383E" w:rsidRPr="003476E6">
        <w:rPr>
          <w:rFonts w:cs="Arial"/>
          <w:sz w:val="22"/>
          <w:szCs w:val="22"/>
        </w:rPr>
        <w:t>0.92</w:t>
      </w:r>
      <w:r w:rsidR="00144457" w:rsidRPr="003476E6">
        <w:rPr>
          <w:rFonts w:cs="Arial"/>
          <w:sz w:val="22"/>
          <w:szCs w:val="22"/>
        </w:rPr>
        <w:t xml:space="preserve">, </w:t>
      </w:r>
      <w:r w:rsidR="00144457" w:rsidRPr="003476E6">
        <w:rPr>
          <w:rFonts w:cs="Arial"/>
          <w:i/>
          <w:iCs/>
          <w:sz w:val="22"/>
          <w:szCs w:val="22"/>
        </w:rPr>
        <w:t>p</w:t>
      </w:r>
      <w:r w:rsidR="00144457" w:rsidRPr="003476E6">
        <w:rPr>
          <w:rFonts w:cs="Arial"/>
          <w:sz w:val="22"/>
          <w:szCs w:val="22"/>
        </w:rPr>
        <w:t>=</w:t>
      </w:r>
      <w:r w:rsidR="0063604F" w:rsidRPr="003476E6">
        <w:rPr>
          <w:rFonts w:cs="Arial"/>
          <w:sz w:val="22"/>
          <w:szCs w:val="22"/>
        </w:rPr>
        <w:t>0.001</w:t>
      </w:r>
      <w:r w:rsidR="00144457" w:rsidRPr="003476E6">
        <w:rPr>
          <w:rFonts w:cs="Arial"/>
          <w:sz w:val="22"/>
          <w:szCs w:val="22"/>
        </w:rPr>
        <w:t xml:space="preserve">; </w:t>
      </w:r>
      <w:r w:rsidRPr="003476E6">
        <w:rPr>
          <w:rFonts w:cs="Arial"/>
          <w:sz w:val="22"/>
          <w:szCs w:val="22"/>
        </w:rPr>
        <w:t>Table 5).</w:t>
      </w:r>
    </w:p>
    <w:p w14:paraId="3548EEB1" w14:textId="15599590" w:rsidR="002E2575" w:rsidRPr="003476E6" w:rsidRDefault="00EF1398" w:rsidP="00964B8E">
      <w:pPr>
        <w:pStyle w:val="Heading1"/>
      </w:pPr>
      <w:r w:rsidRPr="003476E6">
        <w:t>Discussion</w:t>
      </w:r>
    </w:p>
    <w:p w14:paraId="0C84F785" w14:textId="51617DF4" w:rsidR="00823473" w:rsidRPr="003476E6" w:rsidRDefault="00F50399" w:rsidP="00823473">
      <w:pPr>
        <w:pStyle w:val="CommentText"/>
        <w:spacing w:after="240" w:line="480" w:lineRule="auto"/>
        <w:jc w:val="both"/>
        <w:rPr>
          <w:rFonts w:eastAsia="MS Mincho" w:cs="Arial"/>
          <w:sz w:val="22"/>
          <w:szCs w:val="22"/>
        </w:rPr>
      </w:pPr>
      <w:bookmarkStart w:id="30" w:name="_Hlk60664254"/>
      <w:r w:rsidRPr="003476E6">
        <w:rPr>
          <w:sz w:val="22"/>
          <w:szCs w:val="22"/>
        </w:rPr>
        <w:t xml:space="preserve">The correlations between RTD </w:t>
      </w:r>
      <w:r w:rsidR="00300CE9" w:rsidRPr="003476E6">
        <w:rPr>
          <w:sz w:val="22"/>
          <w:szCs w:val="22"/>
        </w:rPr>
        <w:t>asymmetry</w:t>
      </w:r>
      <w:r w:rsidRPr="003476E6">
        <w:rPr>
          <w:sz w:val="22"/>
          <w:szCs w:val="22"/>
        </w:rPr>
        <w:t xml:space="preserve"> </w:t>
      </w:r>
      <w:r w:rsidR="00300CE9" w:rsidRPr="003476E6">
        <w:rPr>
          <w:sz w:val="22"/>
          <w:szCs w:val="22"/>
        </w:rPr>
        <w:t>with</w:t>
      </w:r>
      <w:r w:rsidRPr="003476E6">
        <w:rPr>
          <w:sz w:val="22"/>
          <w:szCs w:val="22"/>
        </w:rPr>
        <w:t xml:space="preserve"> walking gait speed</w:t>
      </w:r>
      <w:r w:rsidR="00300CE9" w:rsidRPr="003476E6">
        <w:rPr>
          <w:sz w:val="22"/>
          <w:szCs w:val="22"/>
        </w:rPr>
        <w:t xml:space="preserve"> and</w:t>
      </w:r>
      <w:r w:rsidRPr="003476E6">
        <w:rPr>
          <w:sz w:val="22"/>
          <w:szCs w:val="22"/>
        </w:rPr>
        <w:t xml:space="preserve"> </w:t>
      </w:r>
      <w:r w:rsidR="00300CE9" w:rsidRPr="003476E6">
        <w:rPr>
          <w:sz w:val="22"/>
          <w:szCs w:val="22"/>
        </w:rPr>
        <w:t>gait asymmetries</w:t>
      </w:r>
      <w:r w:rsidRPr="003476E6">
        <w:rPr>
          <w:sz w:val="22"/>
          <w:szCs w:val="22"/>
        </w:rPr>
        <w:t xml:space="preserve"> observed in this study provide novel evidence that </w:t>
      </w:r>
      <w:r w:rsidR="00823473" w:rsidRPr="003476E6">
        <w:rPr>
          <w:sz w:val="22"/>
          <w:szCs w:val="22"/>
        </w:rPr>
        <w:t>ITTAs with large RTD asymmetry walk more slowly, use their amputated</w:t>
      </w:r>
      <w:r w:rsidR="002655A4" w:rsidRPr="003476E6">
        <w:rPr>
          <w:sz w:val="22"/>
          <w:szCs w:val="22"/>
        </w:rPr>
        <w:t xml:space="preserve"> </w:t>
      </w:r>
      <w:r w:rsidR="00823473" w:rsidRPr="003476E6">
        <w:rPr>
          <w:sz w:val="22"/>
          <w:szCs w:val="22"/>
        </w:rPr>
        <w:t>limb much less than their intact</w:t>
      </w:r>
      <w:r w:rsidR="002655A4" w:rsidRPr="003476E6">
        <w:rPr>
          <w:sz w:val="22"/>
          <w:szCs w:val="22"/>
        </w:rPr>
        <w:t xml:space="preserve"> </w:t>
      </w:r>
      <w:r w:rsidR="006F4410" w:rsidRPr="003476E6">
        <w:rPr>
          <w:sz w:val="22"/>
          <w:szCs w:val="22"/>
        </w:rPr>
        <w:t>l</w:t>
      </w:r>
      <w:r w:rsidR="00823473" w:rsidRPr="003476E6">
        <w:rPr>
          <w:sz w:val="22"/>
          <w:szCs w:val="22"/>
        </w:rPr>
        <w:t xml:space="preserve">imb during propulsion in fast walking, and experience greater increases in loading asymmetry when walking at fast </w:t>
      </w:r>
      <w:r w:rsidR="002655A4" w:rsidRPr="003476E6">
        <w:rPr>
          <w:sz w:val="22"/>
          <w:szCs w:val="22"/>
        </w:rPr>
        <w:t xml:space="preserve">vs. </w:t>
      </w:r>
      <w:r w:rsidR="00823473" w:rsidRPr="003476E6">
        <w:rPr>
          <w:sz w:val="22"/>
          <w:szCs w:val="22"/>
        </w:rPr>
        <w:lastRenderedPageBreak/>
        <w:t xml:space="preserve">habitual speeds. </w:t>
      </w:r>
      <w:r w:rsidR="00300CE9" w:rsidRPr="003476E6">
        <w:rPr>
          <w:sz w:val="22"/>
          <w:szCs w:val="22"/>
        </w:rPr>
        <w:t>MVT asymmetry was strongly correlated only with the difference in single support asymmetry (</w:t>
      </w:r>
      <w:r w:rsidR="00300CE9" w:rsidRPr="003476E6">
        <w:rPr>
          <w:rFonts w:cs="Arial"/>
          <w:sz w:val="22"/>
          <w:szCs w:val="22"/>
        </w:rPr>
        <w:t>Δ</w:t>
      </w:r>
      <w:r w:rsidR="00300CE9" w:rsidRPr="003476E6">
        <w:rPr>
          <w:sz w:val="22"/>
          <w:szCs w:val="22"/>
        </w:rPr>
        <w:t>BAI)</w:t>
      </w:r>
      <w:r w:rsidR="00823473" w:rsidRPr="003476E6">
        <w:rPr>
          <w:sz w:val="22"/>
          <w:szCs w:val="22"/>
        </w:rPr>
        <w:t xml:space="preserve">, suggesting that ITTAs with larger MVT asymmetries tend to increase their single support asymmetry when walking at fast compared to habitual speeds. </w:t>
      </w:r>
    </w:p>
    <w:p w14:paraId="6D6B5957" w14:textId="1A43576F" w:rsidR="0011252C" w:rsidRPr="003476E6" w:rsidRDefault="00463512" w:rsidP="001000AC">
      <w:pPr>
        <w:spacing w:after="240" w:line="480" w:lineRule="auto"/>
        <w:jc w:val="both"/>
        <w:rPr>
          <w:rFonts w:cs="Arial"/>
          <w:sz w:val="22"/>
          <w:szCs w:val="22"/>
        </w:rPr>
      </w:pPr>
      <w:bookmarkStart w:id="31" w:name="_Hlk58533024"/>
      <w:bookmarkEnd w:id="30"/>
      <w:r w:rsidRPr="003476E6">
        <w:rPr>
          <w:rFonts w:cs="Arial"/>
          <w:bCs/>
          <w:sz w:val="22"/>
          <w:szCs w:val="22"/>
        </w:rPr>
        <w:t>BAI RTD was strongly</w:t>
      </w:r>
      <w:r w:rsidR="00094F06" w:rsidRPr="003476E6">
        <w:rPr>
          <w:rFonts w:cs="Arial"/>
          <w:bCs/>
          <w:sz w:val="22"/>
          <w:szCs w:val="22"/>
        </w:rPr>
        <w:t xml:space="preserve"> negatively</w:t>
      </w:r>
      <w:r w:rsidRPr="003476E6">
        <w:rPr>
          <w:rFonts w:cs="Arial"/>
          <w:bCs/>
          <w:sz w:val="22"/>
          <w:szCs w:val="22"/>
        </w:rPr>
        <w:t xml:space="preserve"> related to both habitual and fast </w:t>
      </w:r>
      <w:r w:rsidRPr="003476E6">
        <w:rPr>
          <w:rFonts w:cs="Arial"/>
          <w:sz w:val="22"/>
          <w:szCs w:val="22"/>
        </w:rPr>
        <w:t xml:space="preserve">walking speeds, and moderately correlated with </w:t>
      </w:r>
      <w:bookmarkStart w:id="32" w:name="_Hlk61270862"/>
      <w:proofErr w:type="spellStart"/>
      <w:r w:rsidRPr="003476E6">
        <w:rPr>
          <w:rFonts w:cs="Arial"/>
          <w:sz w:val="22"/>
          <w:szCs w:val="22"/>
        </w:rPr>
        <w:t>Δ</w:t>
      </w:r>
      <w:bookmarkEnd w:id="32"/>
      <w:r w:rsidRPr="003476E6">
        <w:rPr>
          <w:rFonts w:cs="Arial"/>
          <w:sz w:val="22"/>
          <w:szCs w:val="22"/>
        </w:rPr>
        <w:t>Speed</w:t>
      </w:r>
      <w:proofErr w:type="spellEnd"/>
      <w:r w:rsidRPr="003476E6">
        <w:rPr>
          <w:rFonts w:cs="Arial"/>
          <w:sz w:val="22"/>
          <w:szCs w:val="22"/>
        </w:rPr>
        <w:t xml:space="preserve"> (Figure 1). Thus, our results suggest knee-extensor RTD symmetry may be a limiting factor for functional capacity during walking in ITTAs. </w:t>
      </w:r>
      <w:r w:rsidR="004E012C" w:rsidRPr="003476E6">
        <w:rPr>
          <w:rFonts w:cs="Arial"/>
          <w:bCs/>
          <w:sz w:val="22"/>
          <w:szCs w:val="22"/>
        </w:rPr>
        <w:t>Evidence</w:t>
      </w:r>
      <w:r w:rsidR="008C4D8F" w:rsidRPr="003476E6">
        <w:rPr>
          <w:rFonts w:cs="Arial"/>
          <w:bCs/>
          <w:sz w:val="22"/>
          <w:szCs w:val="22"/>
        </w:rPr>
        <w:t xml:space="preserve"> from our correlational analysis suggests that slower self-selected walking speeds may be a result of the amputated limb in individuals with larger RTD asymmetry being less able to contribute to absorption and propulsion loads. Asymmetries in RTD were also associated with vertical limb loading asymmetries during walking – the magnitude of which (~10%) was similar to those of earlier studies </w:t>
      </w:r>
      <w:r w:rsidR="008C4D8F" w:rsidRPr="003476E6">
        <w:rPr>
          <w:rFonts w:cs="Arial"/>
          <w:sz w:val="22"/>
          <w:szCs w:val="22"/>
        </w:rPr>
        <w:fldChar w:fldCharType="begin" w:fldLock="1"/>
      </w:r>
      <w:r w:rsidR="008F25C4" w:rsidRPr="003476E6">
        <w:rPr>
          <w:rFonts w:cs="Arial"/>
          <w:sz w:val="22"/>
          <w:szCs w:val="22"/>
        </w:rPr>
        <w:instrText>ADDIN CSL_CITATION {"citationItems":[{"id":"ITEM-1","itemData":{"author":[{"dropping-particle":"","family":"Sanderson","given":"David J","non-dropping-particle":"","parse-names":false,"suffix":""},{"dropping-particle":"","family":"Martin","given":"Philip E","non-dropping-particle":"","parse-names":false,"suffix":""}],"container-title":"Gait &amp; posture","id":"ITEM-1","issue":"2","issued":{"date-parts":[["1997"]]},"page":"126-136","title":"Lower extremity kinematic and kinetic adaptations in unilateral below-knee amputees during walking","type":"article-journal","volume":"6"},"uris":["http://www.mendeley.com/documents/?uuid=d9da4b05-947e-4543-b121-4362c4e3efcd"]},{"id":"ITEM-2","itemData":{"author":[{"dropping-particle":"","family":"Silverman","given":"Anne K","non-dropping-particle":"","parse-names":false,"suffix":""},{"dropping-particle":"","family":"Neptune","given":"Richard R","non-dropping-particle":"","parse-names":false,"suffix":""}],"container-title":"Journal of Biomechanics","id":"ITEM-2","issue":"13","issued":{"date-parts":[["2012"]]},"page":"2271-2278","title":"Muscle and prosthesis contributions to amputee walking mechanics: a modeling study","type":"article-journal","volume":"45"},"uris":["http://www.mendeley.com/documents/?uuid=4c3f9e86-74fa-4200-a4cb-811fa2ce6de0"]}],"mendeley":{"formattedCitation":"[18,50]","plainTextFormattedCitation":"[18,50]","previouslyFormattedCitation":"[18,50]"},"properties":{"noteIndex":0},"schema":"https://github.com/citation-style-language/schema/raw/master/csl-citation.json"}</w:instrText>
      </w:r>
      <w:r w:rsidR="008C4D8F" w:rsidRPr="003476E6">
        <w:rPr>
          <w:rFonts w:cs="Arial"/>
          <w:sz w:val="22"/>
          <w:szCs w:val="22"/>
        </w:rPr>
        <w:fldChar w:fldCharType="separate"/>
      </w:r>
      <w:r w:rsidR="008F25C4" w:rsidRPr="003476E6">
        <w:rPr>
          <w:rFonts w:cs="Arial"/>
          <w:noProof/>
          <w:sz w:val="22"/>
          <w:szCs w:val="22"/>
        </w:rPr>
        <w:t>[18,50]</w:t>
      </w:r>
      <w:r w:rsidR="008C4D8F" w:rsidRPr="003476E6">
        <w:rPr>
          <w:rFonts w:cs="Arial"/>
          <w:sz w:val="22"/>
          <w:szCs w:val="22"/>
        </w:rPr>
        <w:fldChar w:fldCharType="end"/>
      </w:r>
      <w:r w:rsidR="008C4D8F" w:rsidRPr="003476E6">
        <w:rPr>
          <w:rFonts w:cs="Arial"/>
          <w:bCs/>
          <w:sz w:val="22"/>
          <w:szCs w:val="22"/>
        </w:rPr>
        <w:t xml:space="preserve"> (Table 4</w:t>
      </w:r>
      <w:r w:rsidR="008C4D8F" w:rsidRPr="003476E6">
        <w:rPr>
          <w:rFonts w:cs="Arial"/>
          <w:sz w:val="22"/>
          <w:szCs w:val="22"/>
        </w:rPr>
        <w:t xml:space="preserve">). When asked to walk fast, these </w:t>
      </w:r>
      <w:r w:rsidR="008C4D8F" w:rsidRPr="003476E6">
        <w:rPr>
          <w:rFonts w:cs="Arial"/>
          <w:bCs/>
          <w:sz w:val="22"/>
          <w:szCs w:val="22"/>
        </w:rPr>
        <w:t>asymmetries in absorption and propulsion vGRF increased to a greater extent in the</w:t>
      </w:r>
      <w:r w:rsidR="008C4D8F" w:rsidRPr="003476E6">
        <w:rPr>
          <w:rFonts w:cs="Arial"/>
          <w:sz w:val="22"/>
          <w:szCs w:val="22"/>
        </w:rPr>
        <w:t xml:space="preserve"> </w:t>
      </w:r>
      <w:r w:rsidR="008C4D8F" w:rsidRPr="003476E6">
        <w:rPr>
          <w:rFonts w:cs="Arial"/>
          <w:bCs/>
          <w:sz w:val="22"/>
          <w:szCs w:val="22"/>
        </w:rPr>
        <w:t xml:space="preserve">ITTAs with larger RTD asymmetry, as shown by the strong relationships between BAI RTD and </w:t>
      </w:r>
      <w:r w:rsidR="008C4D8F" w:rsidRPr="003476E6">
        <w:rPr>
          <w:rFonts w:cs="Arial"/>
          <w:sz w:val="22"/>
          <w:szCs w:val="22"/>
        </w:rPr>
        <w:t>∆</w:t>
      </w:r>
      <w:r w:rsidR="008C4D8F" w:rsidRPr="003476E6">
        <w:rPr>
          <w:rFonts w:cs="Arial"/>
          <w:bCs/>
          <w:sz w:val="22"/>
          <w:szCs w:val="22"/>
        </w:rPr>
        <w:t xml:space="preserve">BAI vGRF (r=~0.9; Table 5). </w:t>
      </w:r>
      <w:r w:rsidR="0067144A" w:rsidRPr="003476E6">
        <w:rPr>
          <w:rFonts w:cs="Arial"/>
          <w:bCs/>
          <w:sz w:val="22"/>
          <w:szCs w:val="22"/>
        </w:rPr>
        <w:t xml:space="preserve">Collectively, these observed correlations suggest that in ITTAs with greater RTD asymmetries, the amputated limb is less able to contribute to braking or propulsion. This may result in both </w:t>
      </w:r>
      <w:r w:rsidR="0067144A" w:rsidRPr="003476E6">
        <w:rPr>
          <w:rFonts w:cs="Arial"/>
          <w:sz w:val="22"/>
          <w:szCs w:val="22"/>
          <w:bdr w:val="none" w:sz="0" w:space="0" w:color="auto" w:frame="1"/>
        </w:rPr>
        <w:t xml:space="preserve">limiting their walking </w:t>
      </w:r>
      <w:proofErr w:type="gramStart"/>
      <w:r w:rsidR="0067144A" w:rsidRPr="003476E6">
        <w:rPr>
          <w:rFonts w:cs="Arial"/>
          <w:sz w:val="22"/>
          <w:szCs w:val="22"/>
          <w:bdr w:val="none" w:sz="0" w:space="0" w:color="auto" w:frame="1"/>
        </w:rPr>
        <w:t>speed, and</w:t>
      </w:r>
      <w:proofErr w:type="gramEnd"/>
      <w:r w:rsidR="0067144A" w:rsidRPr="003476E6">
        <w:rPr>
          <w:rFonts w:cs="Arial"/>
          <w:sz w:val="22"/>
          <w:szCs w:val="22"/>
          <w:bdr w:val="none" w:sz="0" w:space="0" w:color="auto" w:frame="1"/>
        </w:rPr>
        <w:t xml:space="preserve"> causing limb loading asymmetry which is exacerbated at faster walking speeds where loading demands are greater</w:t>
      </w:r>
      <w:r w:rsidR="0067144A" w:rsidRPr="003476E6">
        <w:rPr>
          <w:rFonts w:cs="Arial"/>
          <w:sz w:val="22"/>
          <w:szCs w:val="22"/>
        </w:rPr>
        <w:t xml:space="preserve">. </w:t>
      </w:r>
      <w:r w:rsidR="008C4D8F" w:rsidRPr="003476E6">
        <w:rPr>
          <w:rFonts w:cs="Arial"/>
          <w:sz w:val="22"/>
          <w:szCs w:val="22"/>
        </w:rPr>
        <w:t>This is</w:t>
      </w:r>
      <w:r w:rsidR="008C4D8F" w:rsidRPr="003476E6">
        <w:rPr>
          <w:rFonts w:cs="Arial"/>
          <w:bCs/>
          <w:sz w:val="22"/>
          <w:szCs w:val="22"/>
        </w:rPr>
        <w:t xml:space="preserve"> an important consideration – particularly in those ITTAs who aim to be more active and need to </w:t>
      </w:r>
      <w:r w:rsidR="008C4D8F" w:rsidRPr="003476E6">
        <w:rPr>
          <w:rFonts w:cs="Arial"/>
          <w:sz w:val="22"/>
          <w:szCs w:val="22"/>
        </w:rPr>
        <w:t xml:space="preserve">withstand increases in exercise intensity – </w:t>
      </w:r>
      <w:r w:rsidR="008C4D8F" w:rsidRPr="003476E6">
        <w:rPr>
          <w:rFonts w:cs="Arial"/>
          <w:bCs/>
          <w:sz w:val="22"/>
          <w:szCs w:val="22"/>
        </w:rPr>
        <w:t xml:space="preserve">if we consider the hypothesised link between loading asymmetry and the high prevalence of degenerative neuromuscular conditions in this population </w:t>
      </w:r>
      <w:r w:rsidR="008C4D8F" w:rsidRPr="003476E6">
        <w:rPr>
          <w:rFonts w:cs="Arial"/>
          <w:bCs/>
          <w:sz w:val="22"/>
          <w:szCs w:val="22"/>
        </w:rPr>
        <w:fldChar w:fldCharType="begin" w:fldLock="1"/>
      </w:r>
      <w:r w:rsidR="008F25C4" w:rsidRPr="003476E6">
        <w:rPr>
          <w:rFonts w:cs="Arial"/>
          <w:bCs/>
          <w:sz w:val="22"/>
          <w:szCs w:val="22"/>
        </w:rPr>
        <w:instrText>ADDIN CSL_CITATION {"citationItems":[{"id":"ITEM-1","itemData":{"author":[{"dropping-particle":"","family":"Lloyd","given":"Chandra H","non-dropping-particle":"","parse-names":false,"suffix":""},{"dropping-particle":"","family":"Stanhope","given":"Steven J","non-dropping-particle":"","parse-names":false,"suffix":""},{"dropping-particle":"","family":"Davis","given":"Irene S","non-dropping-particle":"","parse-names":false,"suffix":""},{"dropping-particle":"","family":"Royer","given":"Todd D","non-dropping-particle":"","parse-names":false,"suffix":""}],"container-title":"Gait &amp; posture","id":"ITEM-1","issue":"3","issued":{"date-parts":[["2010"]]},"page":"296-300","title":"Strength asymmetry and osteoarthritis risk factors in unilateral trans-tibial, amputee gait","type":"article-journal","volume":"32"},"uris":["http://www.mendeley.com/documents/?uuid=d0351023-36c7-42d7-a475-d7ce9fb5d39f"]},{"id":"ITEM-2","itemData":{"author":[{"dropping-particle":"","family":"Macfarlane","given":"Pamela A","non-dropping-particle":"","parse-names":false,"suffix":""},{"dropping-particle":"","family":"Nielsen","given":"D H","non-dropping-particle":"","parse-names":false,"suffix":""},{"dropping-particle":"","family":"Shurr","given":"D G","non-dropping-particle":"","parse-names":false,"suffix":""},{"dropping-particle":"","family":"Meier","given":"K","non-dropping-particle":"","parse-names":false,"suffix":""}],"container-title":"J Prosthet Orthot","id":"ITEM-2","issue":"4","issued":{"date-parts":[["1991"]]},"page":"150-161","title":"Gait comparisons for below-knee amputees using a Flex-Foot versus a conventional prosthetic foot","type":"article-journal","volume":"3"},"uris":["http://www.mendeley.com/documents/?uuid=456ae0eb-c78d-4feb-ade2-761c4e9b77a4"]},{"id":"ITEM-3","itemData":{"author":[{"dropping-particle":"","family":"Schmalz","given":"T","non-dropping-particle":"","parse-names":false,"suffix":""},{"dropping-particle":"","family":"Blumentritt","given":"S","non-dropping-particle":"","parse-names":false,"suffix":""},{"dropping-particle":"","family":"Reimers","given":"C D","non-dropping-particle":"","parse-names":false,"suffix":""}],"container-title":"Archives of orthopaedic and trauma surgery","id":"ITEM-3","issue":"6","issued":{"date-parts":[["2001"]]},"page":"307-312","title":"Selective thigh muscle atrophy in trans-tibial amputees: an ultrasonographic study","type":"article-journal","volume":"121"},"uris":["http://www.mendeley.com/documents/?uuid=87ff0aa5-6ee7-46d8-a96f-83dee1686068"]}],"mendeley":{"formattedCitation":"[13,51,52]","plainTextFormattedCitation":"[13,51,52]","previouslyFormattedCitation":"[13,51,52]"},"properties":{"noteIndex":0},"schema":"https://github.com/citation-style-language/schema/raw/master/csl-citation.json"}</w:instrText>
      </w:r>
      <w:r w:rsidR="008C4D8F" w:rsidRPr="003476E6">
        <w:rPr>
          <w:rFonts w:cs="Arial"/>
          <w:bCs/>
          <w:sz w:val="22"/>
          <w:szCs w:val="22"/>
        </w:rPr>
        <w:fldChar w:fldCharType="separate"/>
      </w:r>
      <w:r w:rsidR="008F25C4" w:rsidRPr="003476E6">
        <w:rPr>
          <w:rFonts w:cs="Arial"/>
          <w:bCs/>
          <w:noProof/>
          <w:sz w:val="22"/>
          <w:szCs w:val="22"/>
        </w:rPr>
        <w:t>[13,51,52]</w:t>
      </w:r>
      <w:r w:rsidR="008C4D8F" w:rsidRPr="003476E6">
        <w:rPr>
          <w:rFonts w:cs="Arial"/>
          <w:bCs/>
          <w:sz w:val="22"/>
          <w:szCs w:val="22"/>
        </w:rPr>
        <w:fldChar w:fldCharType="end"/>
      </w:r>
      <w:r w:rsidR="008C4D8F" w:rsidRPr="003476E6">
        <w:rPr>
          <w:rFonts w:cs="Arial"/>
          <w:sz w:val="22"/>
          <w:szCs w:val="22"/>
        </w:rPr>
        <w:t xml:space="preserve">. Alternatively, these relationships </w:t>
      </w:r>
      <w:r w:rsidRPr="003476E6">
        <w:rPr>
          <w:rFonts w:cs="Arial"/>
          <w:sz w:val="22"/>
          <w:szCs w:val="22"/>
        </w:rPr>
        <w:t xml:space="preserve">could be due to the need to preserve stability during gait, as previous research has shown positive </w:t>
      </w:r>
      <w:r w:rsidRPr="003476E6">
        <w:rPr>
          <w:rFonts w:cs="Arial"/>
          <w:bCs/>
          <w:sz w:val="22"/>
          <w:szCs w:val="22"/>
        </w:rPr>
        <w:t xml:space="preserve">correlations between RTD and balance performance in healthy, able-bodied adults </w:t>
      </w:r>
      <w:r w:rsidRPr="003476E6">
        <w:rPr>
          <w:rFonts w:cs="Arial"/>
          <w:bCs/>
          <w:sz w:val="22"/>
          <w:szCs w:val="22"/>
        </w:rPr>
        <w:fldChar w:fldCharType="begin" w:fldLock="1"/>
      </w:r>
      <w:r w:rsidR="008F25C4" w:rsidRPr="003476E6">
        <w:rPr>
          <w:rFonts w:cs="Arial"/>
          <w:bCs/>
          <w:sz w:val="22"/>
          <w:szCs w:val="22"/>
        </w:rPr>
        <w:instrText>ADDIN CSL_CITATION {"citationItems":[{"id":"ITEM-1","itemData":{"author":[{"dropping-particle":"","family":"Izquierdo","given":"M","non-dropping-particle":"","parse-names":false,"suffix":""},{"dropping-particle":"","family":"Aguado","given":"X","non-dropping-particle":"","parse-names":false,"suffix":""},{"dropping-particle":"","family":"Gonzalez","given":"R","non-dropping-particle":"","parse-names":false,"suffix":""},{"dropping-particle":"","family":"Lopez","given":"J L","non-dropping-particle":"","parse-names":false,"suffix":""},{"dropping-particle":"","family":"Häkkinen","given":"K","non-dropping-particle":"","parse-names":false,"suffix":""}],"container-title":"European journal of applied physiology and occupational physiology","id":"ITEM-1","issue":"3","issued":{"date-parts":[["1999"]]},"page":"260-267","title":"Maximal and explosive force production capacity and balance performance in men of different ages","type":"article-journal","volume":"79"},"uris":["http://www.mendeley.com/documents/?uuid=64a7987e-f8b2-4af0-ac13-f06094c1eff5"]},{"id":"ITEM-2","itemData":{"author":[{"dropping-particle":"","family":"Behan","given":"Fearghal P","non-dropping-particle":"","parse-names":false,"suffix":""},{"dropping-particle":"","family":"Pain","given":"Matt T G","non-dropping-particle":"","parse-names":false,"suffix":""},{"dropping-particle":"","family":"Folland","given":"Jonathan P","non-dropping-particle":"","parse-names":false,"suffix":""}],"container-title":"Journal of Biomechanics","id":"ITEM-2","issued":{"date-parts":[["2018"]]},"page":"86-92","title":"Explosive voluntary torque is related to whole-body response to unexpected perturbations","type":"article-journal","volume":"81"},"uris":["http://www.mendeley.com/documents/?uuid=b60a160c-f98d-4cda-bcc6-ff4553ecf8c1"]}],"mendeley":{"formattedCitation":"[9,53]","plainTextFormattedCitation":"[9,53]","previouslyFormattedCitation":"[9,53]"},"properties":{"noteIndex":0},"schema":"https://github.com/citation-style-language/schema/raw/master/csl-citation.json"}</w:instrText>
      </w:r>
      <w:r w:rsidRPr="003476E6">
        <w:rPr>
          <w:rFonts w:cs="Arial"/>
          <w:bCs/>
          <w:sz w:val="22"/>
          <w:szCs w:val="22"/>
        </w:rPr>
        <w:fldChar w:fldCharType="separate"/>
      </w:r>
      <w:r w:rsidR="008F25C4" w:rsidRPr="003476E6">
        <w:rPr>
          <w:rFonts w:cs="Arial"/>
          <w:bCs/>
          <w:noProof/>
          <w:sz w:val="22"/>
          <w:szCs w:val="22"/>
        </w:rPr>
        <w:t>[9,53]</w:t>
      </w:r>
      <w:r w:rsidRPr="003476E6">
        <w:rPr>
          <w:rFonts w:cs="Arial"/>
          <w:bCs/>
          <w:sz w:val="22"/>
          <w:szCs w:val="22"/>
        </w:rPr>
        <w:fldChar w:fldCharType="end"/>
      </w:r>
      <w:r w:rsidRPr="003476E6">
        <w:rPr>
          <w:rFonts w:cs="Arial"/>
          <w:bCs/>
          <w:sz w:val="22"/>
          <w:szCs w:val="22"/>
        </w:rPr>
        <w:t xml:space="preserve">. As faster walking speeds </w:t>
      </w:r>
      <w:r w:rsidR="0011252C" w:rsidRPr="003476E6">
        <w:rPr>
          <w:rFonts w:cs="Arial"/>
          <w:bCs/>
          <w:sz w:val="22"/>
          <w:szCs w:val="22"/>
        </w:rPr>
        <w:t>may</w:t>
      </w:r>
      <w:r w:rsidRPr="003476E6">
        <w:rPr>
          <w:rFonts w:cs="Arial"/>
          <w:bCs/>
          <w:sz w:val="22"/>
          <w:szCs w:val="22"/>
        </w:rPr>
        <w:t xml:space="preserve"> decrease </w:t>
      </w:r>
      <w:r w:rsidR="0011252C" w:rsidRPr="003476E6">
        <w:rPr>
          <w:rFonts w:cs="Arial"/>
          <w:bCs/>
          <w:sz w:val="22"/>
          <w:szCs w:val="22"/>
        </w:rPr>
        <w:t>gait</w:t>
      </w:r>
      <w:r w:rsidRPr="003476E6">
        <w:rPr>
          <w:rFonts w:cs="Arial"/>
          <w:bCs/>
          <w:sz w:val="22"/>
          <w:szCs w:val="22"/>
        </w:rPr>
        <w:t xml:space="preserve"> stability</w:t>
      </w:r>
      <w:r w:rsidR="001000AC" w:rsidRPr="003476E6">
        <w:rPr>
          <w:rFonts w:cs="Arial"/>
          <w:bCs/>
          <w:sz w:val="22"/>
          <w:szCs w:val="22"/>
        </w:rPr>
        <w:t xml:space="preserve"> in certain populations</w:t>
      </w:r>
      <w:r w:rsidRPr="003476E6">
        <w:rPr>
          <w:rFonts w:cs="Arial"/>
          <w:bCs/>
          <w:sz w:val="22"/>
          <w:szCs w:val="22"/>
        </w:rPr>
        <w:t xml:space="preserve"> </w:t>
      </w:r>
      <w:r w:rsidR="001000AC" w:rsidRPr="003476E6">
        <w:rPr>
          <w:rFonts w:cs="Arial"/>
          <w:bCs/>
          <w:sz w:val="22"/>
          <w:szCs w:val="22"/>
        </w:rPr>
        <w:fldChar w:fldCharType="begin" w:fldLock="1"/>
      </w:r>
      <w:r w:rsidR="008F25C4" w:rsidRPr="003476E6">
        <w:rPr>
          <w:rFonts w:cs="Arial"/>
          <w:bCs/>
          <w:sz w:val="22"/>
          <w:szCs w:val="22"/>
        </w:rPr>
        <w:instrText>ADDIN CSL_CITATION {"citationItems":[{"id":"ITEM-1","itemData":{"author":[{"dropping-particle":"","family":"Hak","given":"Laura","non-dropping-particle":"","parse-names":false,"suffix":""},{"dropping-particle":"","family":"Houdijk","given":"Han","non-dropping-particle":"","parse-names":false,"suffix":""},{"dropping-particle":"","family":"Beek","given":"Peter J","non-dropping-particle":"","parse-names":false,"suffix":""},{"dropping-particle":"","family":"Dieën","given":"Jaap H","non-dropping-particle":"van","parse-names":false,"suffix":""}],"container-title":"PLoS One","id":"ITEM-1","issue":"12","issued":{"date-parts":[["2013"]]},"page":"e82842","title":"Steps to take to enhance gait stability: the effect of stride frequency, stride length, and walking speed on local dynamic stability and margins of stability","type":"article-journal","volume":"8"},"uris":["http://www.mendeley.com/documents/?uuid=4b5d69a7-a103-4c75-8048-fd6c7d423c8d"]},{"id":"ITEM-2","itemData":{"DOI":"10.1016/j.jbiomech.2008.08.002","ISSN":"00219290","PMID":"18790480","abstract":"Falls pose a tremendous risk to those over 65 and most falls occur during locomotion. Older adults commonly walk slower, which many believe helps improve walking stability. While increased gait variability predicts future fall risk, increased variability is also caused by walking slower. Thus, we need to better understand how differences in age and walking speed independently affect dynamic stability during walking. We investigated if older adults improved their dynamic stability by walking slower, and how leg strength and flexibility (passive range of motion (ROM)) affected this relationship. Eighteen active healthy older and 17 healthy younger adults walked on a treadmill for 5 min each at each of 5 speeds (80-120% of preferred). Local divergence exponents and maximum Floquet multipliers (FM) were calculated to quantify each subject's inherent local dynamic stability. The older subjects walked with the same preferred walking speeds as the younger subjects (p=0.860). However, these older adults still exhibited greater local divergence exponents (p&lt;0.0001) and higher maximum FM (p&lt;0.007) than the younger adults at all walking speeds. These older adults remained more locally unstable (p&lt;0.04) even after adjusting for declines in both strength and ROM. In both age groups, local divergence exponents decreased at slower speeds and increased at faster speeds (p&lt;0.0001). Maximum FM showed similar changes with speed (p&lt;0.02). Both younger and older adults exhibited decreased instability by walking slower, in spite of increased variability. These increases in dynamic instability might be more sensitive indicators of future fall risk than changes in gait variability. © 2008 Elsevier Ltd. All rights reserved.","author":[{"dropping-particle":"","family":"Kang","given":"Hyun G.","non-dropping-particle":"","parse-names":false,"suffix":""},{"dropping-particle":"","family":"Dingwell","given":"Jonathan B.","non-dropping-particle":"","parse-names":false,"suffix":""}],"container-title":"Journal of Biomechanics","id":"ITEM-2","issue":"14","issued":{"date-parts":[["2008","10","20"]]},"page":"2899-2905","publisher":"J Biomech","title":"Effects of walking speed, strength and range of motion on gait stability in healthy older adults","type":"article-journal","volume":"41"},"uris":["http://www.mendeley.com/documents/?uuid=2eeeffe1-12a6-3172-b7bd-386a425d1f31"]}],"mendeley":{"formattedCitation":"[54,55]","plainTextFormattedCitation":"[54,55]","previouslyFormattedCitation":"[54,55]"},"properties":{"noteIndex":0},"schema":"https://github.com/citation-style-language/schema/raw/master/csl-citation.json"}</w:instrText>
      </w:r>
      <w:r w:rsidR="001000AC" w:rsidRPr="003476E6">
        <w:rPr>
          <w:rFonts w:cs="Arial"/>
          <w:bCs/>
          <w:sz w:val="22"/>
          <w:szCs w:val="22"/>
        </w:rPr>
        <w:fldChar w:fldCharType="separate"/>
      </w:r>
      <w:r w:rsidR="008F25C4" w:rsidRPr="003476E6">
        <w:rPr>
          <w:rFonts w:cs="Arial"/>
          <w:bCs/>
          <w:noProof/>
          <w:sz w:val="22"/>
          <w:szCs w:val="22"/>
        </w:rPr>
        <w:t>[54,55]</w:t>
      </w:r>
      <w:r w:rsidR="001000AC" w:rsidRPr="003476E6">
        <w:rPr>
          <w:rFonts w:cs="Arial"/>
          <w:bCs/>
          <w:sz w:val="22"/>
          <w:szCs w:val="22"/>
        </w:rPr>
        <w:fldChar w:fldCharType="end"/>
      </w:r>
      <w:r w:rsidRPr="003476E6">
        <w:rPr>
          <w:rFonts w:cs="Arial"/>
          <w:bCs/>
          <w:sz w:val="22"/>
          <w:szCs w:val="22"/>
        </w:rPr>
        <w:t xml:space="preserve"> it is conceivable that ITTAs with greater deficits in RTD in the amputated limb select a slower walking speed to </w:t>
      </w:r>
      <w:r w:rsidR="006D06AB" w:rsidRPr="003476E6">
        <w:rPr>
          <w:rFonts w:cs="Arial"/>
          <w:bCs/>
          <w:sz w:val="22"/>
          <w:szCs w:val="22"/>
        </w:rPr>
        <w:t>ensure</w:t>
      </w:r>
      <w:r w:rsidRPr="003476E6">
        <w:rPr>
          <w:rFonts w:cs="Arial"/>
          <w:bCs/>
          <w:sz w:val="22"/>
          <w:szCs w:val="22"/>
        </w:rPr>
        <w:t xml:space="preserve"> </w:t>
      </w:r>
      <w:r w:rsidR="0011252C" w:rsidRPr="003476E6">
        <w:rPr>
          <w:rFonts w:cs="Arial"/>
          <w:bCs/>
          <w:sz w:val="22"/>
          <w:szCs w:val="22"/>
        </w:rPr>
        <w:t>stable walking gait</w:t>
      </w:r>
      <w:r w:rsidRPr="003476E6">
        <w:rPr>
          <w:rFonts w:cs="Arial"/>
          <w:bCs/>
          <w:sz w:val="22"/>
          <w:szCs w:val="22"/>
        </w:rPr>
        <w:t>.</w:t>
      </w:r>
      <w:bookmarkEnd w:id="31"/>
      <w:r w:rsidR="00EB1983" w:rsidRPr="003476E6">
        <w:rPr>
          <w:rFonts w:cs="Arial"/>
          <w:bCs/>
          <w:sz w:val="22"/>
          <w:szCs w:val="22"/>
        </w:rPr>
        <w:t xml:space="preserve"> </w:t>
      </w:r>
      <w:bookmarkStart w:id="33" w:name="_Hlk58533920"/>
    </w:p>
    <w:bookmarkEnd w:id="33"/>
    <w:p w14:paraId="5637F303" w14:textId="10D298E1" w:rsidR="00823473" w:rsidRPr="003476E6" w:rsidRDefault="00823473" w:rsidP="001000AC">
      <w:pPr>
        <w:pStyle w:val="CommentText"/>
        <w:spacing w:after="240" w:line="480" w:lineRule="auto"/>
        <w:jc w:val="both"/>
        <w:rPr>
          <w:rFonts w:cs="Arial"/>
          <w:sz w:val="22"/>
          <w:szCs w:val="22"/>
          <w:shd w:val="clear" w:color="auto" w:fill="FFFFFF"/>
        </w:rPr>
      </w:pPr>
      <w:r w:rsidRPr="003476E6">
        <w:rPr>
          <w:rFonts w:cs="Arial"/>
          <w:sz w:val="22"/>
          <w:szCs w:val="22"/>
        </w:rPr>
        <w:lastRenderedPageBreak/>
        <w:t xml:space="preserve">In common with previous research </w:t>
      </w:r>
      <w:r w:rsidRPr="003476E6">
        <w:rPr>
          <w:rFonts w:cs="Arial"/>
          <w:sz w:val="22"/>
          <w:szCs w:val="22"/>
        </w:rPr>
        <w:fldChar w:fldCharType="begin" w:fldLock="1"/>
      </w:r>
      <w:r w:rsidR="008F25C4" w:rsidRPr="003476E6">
        <w:rPr>
          <w:rFonts w:cs="Arial"/>
          <w:sz w:val="22"/>
          <w:szCs w:val="22"/>
        </w:rPr>
        <w:instrText>ADDIN CSL_CITATION {"citationItems":[{"id":"ITEM-1","itemData":{"ISBN":"0031-9023","PMID":"8606900","abstract":"BACKGROUND AND PURPOSE: The purpose of this study was to establish the relationship between isometric muscle force and temporal-spatial gait characteristics for individuals who have had a below-knee amputation secondary to vascular disease. SUBJECTS: Twenty-two individuals (15 male, 7 female) with dysvascular below-knee amputations participated. The male subjects were aged 35 to 72 years (x=59.6, SD=11.1), and the female subjects were aged 54 to 68 years (x=60.5, SD=5.1). Methods. The subjects underwent stride analysis during free-speed and fast walking, as well as bilateral isometric force testing of their remaining hip, knee, and ankle muscles. RESULTS: Stepwise regression analysis revealed that hip extensor force on the amputated side was the only predictor of both free speed (gamma=.50) and fast speed (gamma=.72). Hip abduction force of the sound++ limb was correlated with cadence for both free-speed trials (gamma=.57) and fast-speed trials (gamma=.57). Sound-side knee extensor force was related to free-speed stride length (gamma=.44), whereas residual-limb knee extensor force predicted stride length during fast walking (gamma=.67). CONCLUSION AND DISCUSSION: These results indicate that adequate force is necessary in both residual and sound limbs to improve functional gait ability and that ther hip extensors and abductors and the knee extensors should be emphasized in the rehabilitation of individuals with below-knee amputations.","author":[{"dropping-particle":"","family":"Powers","given":"C M","non-dropping-particle":"","parse-names":false,"suffix":""},{"dropping-particle":"","family":"Boyd","given":"L A","non-dropping-particle":"","parse-names":false,"suffix":""},{"dropping-particle":"","family":"Fontaine","given":"C A","non-dropping-particle":"","parse-names":false,"suffix":""},{"dropping-particle":"","family":"Perry","given":"J","non-dropping-particle":"","parse-names":false,"suffix":""}],"container-title":"Physical Therapy","id":"ITEM-1","issue":"4","issued":{"date-parts":[["1996"]]},"note":"LR: 20100324; JID: 0022623; ppublish","page":"369-385","title":"The influence of lower-extremity muscle force on gait characteristics in individuals with below-knee amputations secondary to vascular disease","type":"article-journal","volume":"76"},"uris":["http://www.mendeley.com/documents/?uuid=f3c60b4e-51e9-49b2-914c-5fd46b014e17"]}],"mendeley":{"formattedCitation":"[29]","plainTextFormattedCitation":"[29]","previouslyFormattedCitation":"[29]"},"properties":{"noteIndex":0},"schema":"https://github.com/citation-style-language/schema/raw/master/csl-citation.json"}</w:instrText>
      </w:r>
      <w:r w:rsidRPr="003476E6">
        <w:rPr>
          <w:rFonts w:cs="Arial"/>
          <w:sz w:val="22"/>
          <w:szCs w:val="22"/>
        </w:rPr>
        <w:fldChar w:fldCharType="separate"/>
      </w:r>
      <w:r w:rsidR="007D4B35" w:rsidRPr="003476E6">
        <w:rPr>
          <w:rFonts w:cs="Arial"/>
          <w:noProof/>
          <w:sz w:val="22"/>
          <w:szCs w:val="22"/>
        </w:rPr>
        <w:t>[29]</w:t>
      </w:r>
      <w:r w:rsidRPr="003476E6">
        <w:rPr>
          <w:rFonts w:cs="Arial"/>
          <w:sz w:val="22"/>
          <w:szCs w:val="22"/>
        </w:rPr>
        <w:fldChar w:fldCharType="end"/>
      </w:r>
      <w:r w:rsidRPr="003476E6">
        <w:rPr>
          <w:rFonts w:cs="Arial"/>
          <w:sz w:val="22"/>
          <w:szCs w:val="22"/>
        </w:rPr>
        <w:t xml:space="preserve">, BAI MVT </w:t>
      </w:r>
      <w:r w:rsidRPr="003476E6">
        <w:rPr>
          <w:rFonts w:cs="Arial"/>
          <w:bCs/>
          <w:sz w:val="22"/>
          <w:szCs w:val="22"/>
        </w:rPr>
        <w:t xml:space="preserve">was not related to habitual nor fast </w:t>
      </w:r>
      <w:r w:rsidRPr="003476E6">
        <w:rPr>
          <w:rFonts w:cs="Arial"/>
          <w:sz w:val="22"/>
          <w:szCs w:val="22"/>
        </w:rPr>
        <w:t>walking speed (Figure 1). However, it was associated with asymmetry in some gait parameters – in particular, single support time. As</w:t>
      </w:r>
      <w:r w:rsidRPr="003476E6">
        <w:rPr>
          <w:rFonts w:cs="Arial"/>
          <w:bCs/>
          <w:sz w:val="22"/>
          <w:szCs w:val="22"/>
        </w:rPr>
        <w:t xml:space="preserve"> expected</w:t>
      </w:r>
      <w:r w:rsidR="002655A4" w:rsidRPr="003476E6">
        <w:rPr>
          <w:rFonts w:cs="Arial"/>
          <w:bCs/>
          <w:sz w:val="22"/>
          <w:szCs w:val="22"/>
        </w:rPr>
        <w:t>,</w:t>
      </w:r>
      <w:r w:rsidRPr="003476E6">
        <w:rPr>
          <w:rFonts w:cs="Arial"/>
          <w:bCs/>
          <w:sz w:val="22"/>
          <w:szCs w:val="22"/>
        </w:rPr>
        <w:t xml:space="preserve"> ITTAs </w:t>
      </w:r>
      <w:r w:rsidRPr="003476E6">
        <w:rPr>
          <w:rFonts w:cs="Arial"/>
          <w:sz w:val="22"/>
          <w:szCs w:val="22"/>
        </w:rPr>
        <w:t>spent longer in single support on the intact when compared to the amputated</w:t>
      </w:r>
      <w:r w:rsidR="00614F59" w:rsidRPr="003476E6">
        <w:rPr>
          <w:rFonts w:cs="Arial"/>
          <w:sz w:val="22"/>
          <w:szCs w:val="22"/>
        </w:rPr>
        <w:t xml:space="preserve"> </w:t>
      </w:r>
      <w:r w:rsidRPr="003476E6">
        <w:rPr>
          <w:rFonts w:cs="Arial"/>
          <w:sz w:val="22"/>
          <w:szCs w:val="22"/>
        </w:rPr>
        <w:t>limb</w:t>
      </w:r>
      <w:r w:rsidR="002655A4" w:rsidRPr="003476E6">
        <w:rPr>
          <w:rFonts w:cs="Arial"/>
          <w:sz w:val="22"/>
          <w:szCs w:val="22"/>
        </w:rPr>
        <w:t xml:space="preserve"> </w:t>
      </w:r>
      <w:r w:rsidR="002655A4" w:rsidRPr="003476E6">
        <w:rPr>
          <w:rFonts w:cs="Arial"/>
          <w:bCs/>
          <w:sz w:val="22"/>
          <w:szCs w:val="22"/>
        </w:rPr>
        <w:fldChar w:fldCharType="begin" w:fldLock="1"/>
      </w:r>
      <w:r w:rsidR="00EF5CF1" w:rsidRPr="003476E6">
        <w:rPr>
          <w:rFonts w:cs="Arial"/>
          <w:bCs/>
          <w:sz w:val="22"/>
          <w:szCs w:val="22"/>
        </w:rPr>
        <w:instrText>ADDIN CSL_CITATION {"citationItems":[{"id":"ITEM-1","itemData":{"author":[{"dropping-particle":"","family":"Lloyd","given":"Chandra H","non-dropping-particle":"","parse-names":false,"suffix":""},{"dropping-particle":"","family":"Stanhope","given":"Steven J","non-dropping-particle":"","parse-names":false,"suffix":""},{"dropping-particle":"","family":"Davis","given":"Irene S","non-dropping-particle":"","parse-names":false,"suffix":""},{"dropping-particle":"","family":"Royer","given":"Todd D","non-dropping-particle":"","parse-names":false,"suffix":""}],"container-title":"Gait &amp; posture","id":"ITEM-1","issue":"3","issued":{"date-parts":[["2010"]]},"page":"296-300","title":"Strength asymmetry and osteoarthritis risk factors in unilateral trans-tibial, amputee gait","type":"article-journal","volume":"32"},"uris":["http://www.mendeley.com/documents/?uuid=d0351023-36c7-42d7-a475-d7ce9fb5d39f"]}],"mendeley":{"formattedCitation":"[13]","plainTextFormattedCitation":"[13]","previouslyFormattedCitation":"[13]"},"properties":{"noteIndex":0},"schema":"https://github.com/citation-style-language/schema/raw/master/csl-citation.json"}</w:instrText>
      </w:r>
      <w:r w:rsidR="002655A4" w:rsidRPr="003476E6">
        <w:rPr>
          <w:rFonts w:cs="Arial"/>
          <w:bCs/>
          <w:sz w:val="22"/>
          <w:szCs w:val="22"/>
        </w:rPr>
        <w:fldChar w:fldCharType="separate"/>
      </w:r>
      <w:r w:rsidR="00DB3F70" w:rsidRPr="003476E6">
        <w:rPr>
          <w:rFonts w:cs="Arial"/>
          <w:bCs/>
          <w:noProof/>
          <w:sz w:val="22"/>
          <w:szCs w:val="22"/>
        </w:rPr>
        <w:t>[13]</w:t>
      </w:r>
      <w:r w:rsidR="002655A4" w:rsidRPr="003476E6">
        <w:rPr>
          <w:rFonts w:cs="Arial"/>
          <w:bCs/>
          <w:sz w:val="22"/>
          <w:szCs w:val="22"/>
        </w:rPr>
        <w:fldChar w:fldCharType="end"/>
      </w:r>
      <w:r w:rsidRPr="003476E6">
        <w:rPr>
          <w:rFonts w:cs="Arial"/>
          <w:sz w:val="22"/>
          <w:szCs w:val="22"/>
        </w:rPr>
        <w:t xml:space="preserve">. </w:t>
      </w:r>
      <w:r w:rsidRPr="003476E6">
        <w:rPr>
          <w:sz w:val="22"/>
          <w:szCs w:val="22"/>
        </w:rPr>
        <w:t>Although there was an overall decrease in mean BAI single support from habitual to fast walking, individual changes in asymmetry between the two walking speeds (</w:t>
      </w:r>
      <w:r w:rsidRPr="003476E6">
        <w:rPr>
          <w:rFonts w:cs="Arial"/>
          <w:sz w:val="22"/>
          <w:szCs w:val="22"/>
        </w:rPr>
        <w:t>∆</w:t>
      </w:r>
      <w:r w:rsidRPr="003476E6">
        <w:rPr>
          <w:sz w:val="22"/>
          <w:szCs w:val="22"/>
        </w:rPr>
        <w:t>BAI) were strongly correlated to BAI MVT (Table 5). This is because the two participants with the largest asymmetry in MVT (76% and 51%) demonstrated an increase, rather than decrease, in BAI single support when walking faster.</w:t>
      </w:r>
      <w:r w:rsidRPr="003476E6">
        <w:rPr>
          <w:rFonts w:cs="Arial"/>
          <w:bCs/>
          <w:sz w:val="22"/>
          <w:szCs w:val="22"/>
        </w:rPr>
        <w:t xml:space="preserve"> </w:t>
      </w:r>
      <w:r w:rsidRPr="003476E6">
        <w:rPr>
          <w:rFonts w:cs="Arial"/>
          <w:sz w:val="22"/>
          <w:szCs w:val="22"/>
          <w:shd w:val="clear" w:color="auto" w:fill="FFFFFF"/>
        </w:rPr>
        <w:t xml:space="preserve">Previous research has demonstrated significant increases in support contributions from the knee-extensor muscles with increased walking speed from habitual to fast </w:t>
      </w:r>
      <w:r w:rsidRPr="003476E6">
        <w:rPr>
          <w:rFonts w:cs="Arial"/>
          <w:sz w:val="22"/>
          <w:szCs w:val="22"/>
          <w:shd w:val="clear" w:color="auto" w:fill="FFFFFF"/>
        </w:rPr>
        <w:fldChar w:fldCharType="begin" w:fldLock="1"/>
      </w:r>
      <w:r w:rsidR="008F25C4" w:rsidRPr="003476E6">
        <w:rPr>
          <w:rFonts w:cs="Arial"/>
          <w:sz w:val="22"/>
          <w:szCs w:val="22"/>
          <w:shd w:val="clear" w:color="auto" w:fill="FFFFFF"/>
        </w:rPr>
        <w:instrText>ADDIN CSL_CITATION {"citationItems":[{"id":"ITEM-1","itemData":{"author":[{"dropping-particle":"","family":"Fey","given":"Nicholas Phillip","non-dropping-particle":"","parse-names":false,"suffix":""},{"dropping-particle":"","family":"Silverman","given":"A K","non-dropping-particle":"","parse-names":false,"suffix":""},{"dropping-particle":"","family":"Neptune","given":"R R","non-dropping-particle":"","parse-names":false,"suffix":""}],"container-title":"Journal of electromyography and Kinesiology","id":"ITEM-1","issue":"1","issued":{"date-parts":[["2010"]]},"page":"155-161","title":"The influence of increasing steady-state walking speed on muscle activity in below-knee amputees","type":"article-journal","volume":"20"},"uris":["http://www.mendeley.com/documents/?uuid=0f59c552-221b-47f3-8175-edded90a76e5"]},{"id":"ITEM-2","itemData":{"author":[{"dropping-particle":"","family":"Liu","given":"May Q","non-dropping-particle":"","parse-names":false,"suffix":""},{"dropping-particle":"","family":"Anderson","given":"Frank C","non-dropping-particle":"","parse-names":false,"suffix":""},{"dropping-particle":"","family":"Schwartz","given":"Michael H","non-dropping-particle":"","parse-names":false,"suffix":""},{"dropping-particle":"","family":"Delp","given":"Scott L","non-dropping-particle":"","parse-names":false,"suffix":""}],"container-title":"Journal of Biomechanics","id":"ITEM-2","issue":"15","issued":{"date-parts":[["2008"]]},"page":"3243-3252","title":"Muscle contributions to support and progression over a range of walking speeds","type":"article-journal","volume":"41"},"uris":["http://www.mendeley.com/documents/?uuid=b14ba40f-926f-4c55-a4d0-aec36a5abb8a"]}],"mendeley":{"formattedCitation":"[56,57]","plainTextFormattedCitation":"[56,57]","previouslyFormattedCitation":"[56,57]"},"properties":{"noteIndex":0},"schema":"https://github.com/citation-style-language/schema/raw/master/csl-citation.json"}</w:instrText>
      </w:r>
      <w:r w:rsidRPr="003476E6">
        <w:rPr>
          <w:rFonts w:cs="Arial"/>
          <w:sz w:val="22"/>
          <w:szCs w:val="22"/>
          <w:shd w:val="clear" w:color="auto" w:fill="FFFFFF"/>
        </w:rPr>
        <w:fldChar w:fldCharType="separate"/>
      </w:r>
      <w:r w:rsidR="008F25C4" w:rsidRPr="003476E6">
        <w:rPr>
          <w:rFonts w:cs="Arial"/>
          <w:noProof/>
          <w:sz w:val="22"/>
          <w:szCs w:val="22"/>
          <w:shd w:val="clear" w:color="auto" w:fill="FFFFFF"/>
        </w:rPr>
        <w:t>[56,57]</w:t>
      </w:r>
      <w:r w:rsidRPr="003476E6">
        <w:rPr>
          <w:rFonts w:cs="Arial"/>
          <w:sz w:val="22"/>
          <w:szCs w:val="22"/>
          <w:shd w:val="clear" w:color="auto" w:fill="FFFFFF"/>
        </w:rPr>
        <w:fldChar w:fldCharType="end"/>
      </w:r>
      <w:r w:rsidRPr="003476E6">
        <w:rPr>
          <w:rFonts w:cs="Arial"/>
          <w:sz w:val="22"/>
          <w:szCs w:val="22"/>
          <w:shd w:val="clear" w:color="auto" w:fill="FFFFFF"/>
        </w:rPr>
        <w:t xml:space="preserve">. It would </w:t>
      </w:r>
      <w:r w:rsidR="00614F59" w:rsidRPr="003476E6">
        <w:rPr>
          <w:rFonts w:cs="Arial"/>
          <w:sz w:val="22"/>
          <w:szCs w:val="22"/>
          <w:shd w:val="clear" w:color="auto" w:fill="FFFFFF"/>
        </w:rPr>
        <w:t xml:space="preserve">therefore </w:t>
      </w:r>
      <w:r w:rsidRPr="003476E6">
        <w:rPr>
          <w:rFonts w:cs="Arial"/>
          <w:sz w:val="22"/>
          <w:szCs w:val="22"/>
          <w:shd w:val="clear" w:color="auto" w:fill="FFFFFF"/>
        </w:rPr>
        <w:t xml:space="preserve">follow that as the muscular demand of gait increases via increased walking speeds, the weaker </w:t>
      </w:r>
      <w:r w:rsidR="006F4410" w:rsidRPr="003476E6">
        <w:rPr>
          <w:rFonts w:cs="Arial"/>
          <w:sz w:val="22"/>
          <w:szCs w:val="22"/>
          <w:shd w:val="clear" w:color="auto" w:fill="FFFFFF"/>
        </w:rPr>
        <w:t>amputated limb</w:t>
      </w:r>
      <w:r w:rsidRPr="003476E6">
        <w:rPr>
          <w:rFonts w:cs="Arial"/>
          <w:sz w:val="22"/>
          <w:szCs w:val="22"/>
          <w:shd w:val="clear" w:color="auto" w:fill="FFFFFF"/>
        </w:rPr>
        <w:t xml:space="preserve"> is less able to perform its role in supporting the body during single support.</w:t>
      </w:r>
    </w:p>
    <w:p w14:paraId="6BE784A3" w14:textId="057CAC50" w:rsidR="00A2679D" w:rsidRPr="003476E6" w:rsidRDefault="00A2679D" w:rsidP="00A2679D">
      <w:pPr>
        <w:pStyle w:val="CommentText"/>
        <w:spacing w:after="240" w:line="480" w:lineRule="auto"/>
        <w:jc w:val="both"/>
        <w:rPr>
          <w:rFonts w:eastAsia="MS Mincho" w:cs="Arial"/>
          <w:sz w:val="22"/>
          <w:szCs w:val="22"/>
        </w:rPr>
      </w:pPr>
      <w:r w:rsidRPr="003476E6">
        <w:rPr>
          <w:rFonts w:cs="Arial"/>
          <w:sz w:val="22"/>
          <w:szCs w:val="22"/>
        </w:rPr>
        <w:t xml:space="preserve">This study was the first to assess the relationship of asymmetries in knee kinetics to knee-extensor strength in ITTAs. Generally, correlations were weak or non-existent. It is possible that differences in contraction mode may have limited observable correlations; while walking is a dynamic activity, we chose to use isometric knee-extensor contractions at assess muscle strength because isometric contractions are required for valid assessment of RTD </w:t>
      </w:r>
      <w:r w:rsidRPr="003476E6">
        <w:rPr>
          <w:rFonts w:cs="Arial"/>
          <w:sz w:val="22"/>
          <w:szCs w:val="22"/>
        </w:rPr>
        <w:fldChar w:fldCharType="begin" w:fldLock="1"/>
      </w:r>
      <w:r w:rsidR="008F25C4" w:rsidRPr="003476E6">
        <w:rPr>
          <w:rFonts w:cs="Arial"/>
          <w:sz w:val="22"/>
          <w:szCs w:val="22"/>
        </w:rPr>
        <w:instrText>ADDIN CSL_CITATION {"citationItems":[{"id":"ITEM-1","itemData":{"author":[{"dropping-particle":"","family":"Maffiuletti","given":"Nicola A","non-dropping-particle":"","parse-names":false,"suffix":""},{"dropping-particle":"","family":"Aagaard","given":"Per","non-dropping-particle":"","parse-names":false,"suffix":""},{"dropping-particle":"","family":"Blazevich","given":"Anthony J","non-dropping-particle":"","parse-names":false,"suffix":""},{"dropping-particle":"","family":"Folland","given":"Jonathan","non-dropping-particle":"","parse-names":false,"suffix":""},{"dropping-particle":"","family":"Tillin","given":"Neale","non-dropping-particle":"","parse-names":false,"suffix":""},{"dropping-particle":"","family":"Duchateau","given":"Jacques","non-dropping-particle":"","parse-names":false,"suffix":""}],"container-title":"European journal of applied physiology","id":"ITEM-1","issue":"6","issued":{"date-parts":[["2016"]]},"page":"1091-1116","title":"Rate of force development: physiological and methodological considerations","type":"article-journal","volume":"116"},"uris":["http://www.mendeley.com/documents/?uuid=6a3501a8-22b9-49ae-bb44-e9f294e1e2dc"]}],"mendeley":{"formattedCitation":"[36]","plainTextFormattedCitation":"[36]","previouslyFormattedCitation":"[36]"},"properties":{"noteIndex":0},"schema":"https://github.com/citation-style-language/schema/raw/master/csl-citation.json"}</w:instrText>
      </w:r>
      <w:r w:rsidRPr="003476E6">
        <w:rPr>
          <w:rFonts w:cs="Arial"/>
          <w:sz w:val="22"/>
          <w:szCs w:val="22"/>
        </w:rPr>
        <w:fldChar w:fldCharType="separate"/>
      </w:r>
      <w:r w:rsidR="007D4B35" w:rsidRPr="003476E6">
        <w:rPr>
          <w:rFonts w:cs="Arial"/>
          <w:noProof/>
          <w:sz w:val="22"/>
          <w:szCs w:val="22"/>
        </w:rPr>
        <w:t>[36]</w:t>
      </w:r>
      <w:r w:rsidRPr="003476E6">
        <w:rPr>
          <w:rFonts w:cs="Arial"/>
          <w:sz w:val="22"/>
          <w:szCs w:val="22"/>
        </w:rPr>
        <w:fldChar w:fldCharType="end"/>
      </w:r>
      <w:r w:rsidRPr="003476E6">
        <w:rPr>
          <w:rFonts w:cs="Arial"/>
          <w:sz w:val="22"/>
          <w:szCs w:val="22"/>
        </w:rPr>
        <w:t xml:space="preserve">. Despite this, two moderate negative associations were found: between BAI knee-extensor impulse during braking at fast walking speeds and BAI MVT; and between BAI knee-extensor moment during braking at habitual speed and BAI RTD </w:t>
      </w:r>
      <w:r w:rsidRPr="003476E6">
        <w:rPr>
          <w:rFonts w:cs="Arial"/>
          <w:bCs/>
          <w:sz w:val="22"/>
          <w:szCs w:val="22"/>
        </w:rPr>
        <w:t>(Table 5)</w:t>
      </w:r>
      <w:r w:rsidRPr="003476E6">
        <w:rPr>
          <w:rFonts w:cs="Arial"/>
          <w:sz w:val="22"/>
          <w:szCs w:val="22"/>
        </w:rPr>
        <w:t xml:space="preserve">. These negative relationships could reflect greater co-contraction of the amputated limb hamstrings in ITTAs with smaller strength asymmetries. Such muscular activity has been observed in previous studies </w:t>
      </w:r>
      <w:r w:rsidRPr="003476E6">
        <w:rPr>
          <w:rFonts w:cs="Arial"/>
          <w:sz w:val="22"/>
          <w:szCs w:val="22"/>
        </w:rPr>
        <w:fldChar w:fldCharType="begin" w:fldLock="1"/>
      </w:r>
      <w:r w:rsidR="008F25C4" w:rsidRPr="003476E6">
        <w:rPr>
          <w:rFonts w:cs="Arial"/>
          <w:sz w:val="22"/>
          <w:szCs w:val="22"/>
        </w:rPr>
        <w:instrText>ADDIN CSL_CITATION {"citationItems":[{"id":"ITEM-1","itemData":{"author":[{"dropping-particle":"","family":"Isakov","given":"Eli","non-dropping-particle":"","parse-names":false,"suffix":""},{"dropping-particle":"","family":"Burger","given":"H","non-dropping-particle":"","parse-names":false,"suffix":""},{"dropping-particle":"","family":"Krajnik","given":"J","non-dropping-particle":"","parse-names":false,"suffix":""},{"dropping-particle":"","family":"Gregoric","given":"M","non-dropping-particle":"","parse-names":false,"suffix":""},{"dropping-particle":"","family":"Marincek","given":"C","non-dropping-particle":"","parse-names":false,"suffix":""}],"id":"ITEM-1","issue":"2","issued":{"date-parts":[["2001"]]},"page":"196-199","title":"Knee muscle activity during ambulation of trans-tibial amputees","type":"article-journal"},"uris":["http://www.mendeley.com/documents/?uuid=5f2278b0-42c3-4d88-8289-d1391ebd30ca"]},{"id":"ITEM-2","itemData":{"author":[{"dropping-particle":"","family":"Mattes","given":"Sarah J","non-dropping-particle":"","parse-names":false,"suffix":""},{"dropping-particle":"","family":"Martin","given":"Philip E","non-dropping-particle":"","parse-names":false,"suffix":""},{"dropping-particle":"","family":"Royer","given":"Todd D","non-dropping-particle":"","parse-names":false,"suffix":""}],"container-title":"Archives of Physical Medicine and Rehabilitation","id":"ITEM-2","issue":"5","issued":{"date-parts":[["2000"]]},"page":"561-568","title":"Walking symmetry and energy cost in persons with unilateral transtibial amputations: matching prosthetic and intact limb inertial properties","type":"article-journal","volume":"81"},"uris":["http://www.mendeley.com/documents/?uuid=23cfa82e-6d22-43c1-a37c-9c919ab94d5b"]},{"id":"ITEM-3","itemData":{"author":[{"dropping-particle":"","family":"Powers","given":"Christopher M","non-dropping-particle":"","parse-names":false,"suffix":""},{"dropping-particle":"","family":"Rao","given":"Sreesha","non-dropping-particle":"","parse-names":false,"suffix":""},{"dropping-particle":"","family":"Perry","given":"Jacquelin","non-dropping-particle":"","parse-names":false,"suffix":""}],"container-title":"Gait &amp; posture","id":"ITEM-3","issue":"1","issued":{"date-parts":[["1998"]]},"page":"1-7","title":"Knee kinetics in trans-tibial amputee gait","type":"article-journal","volume":"8"},"uris":["http://www.mendeley.com/documents/?uuid=235ee1ed-4efa-4a66-8281-4f05d8daa5e0"]},{"id":"ITEM-4","itemData":{"DOI":"10.1016/j.gaitpost.2008.04.005","ISSN":"09666362","PMID":"18514526","abstract":"Compensatory mechanisms in below-knee amputee gait are necessary due to the functional loss of the ankle muscles, especially at higher walking speeds when the mechanical energetic demands of walking are greater. The objective of this study was to examine amputee anterior/posterior (A/P) ground reaction force (GRF) impulses and joint kinetics across a wide range of steady-state walking speeds to further understand the compensatory mechanisms used by below-knee amputees. We hypothesized that amputees would rely more on their intact leg to generate greater propulsion relative to the residual leg, which would result in greater GRF asymmetry between legs as walking speed increased. Amputee and control subject kinematic and kinetic data were collected during overground walking at four different speeds. Group (n = 14) average amputee data showed no significant differences in braking or propulsive GRF impulse ratios, except the propulsive ratio at 0.9 m/s, indicating that the subjects maintained their initial levels of GRF asymmetry when walking faster. Therefore, our hypothesis was not supported (i.e., walking faster does not increase GRF loading asymmetry). The primary compensatory mechanism was greater positive residual leg hip joint power and work in early stance, which led to increased propulsion from the residual leg as walking speed increased. In addition, amputees had reduced residual leg positive knee work in early stance, suggesting increased output from the biarticular hamstrings. Thus, increasing residual leg hip extensor strength and output may be a useful mechanism to reduce GRF loading asymmetry between the intact and residual legs. © 2008 Elsevier B.V.","author":[{"dropping-particle":"","family":"Silverman","given":"Anne K.","non-dropping-particle":"","parse-names":false,"suffix":""},{"dropping-particle":"","family":"Fey","given":"Nicholas P.","non-dropping-particle":"","parse-names":false,"suffix":""},{"dropping-particle":"","family":"Portillo","given":"Albert","non-dropping-particle":"","parse-names":false,"suffix":""},{"dropping-particle":"","family":"Walden","given":"Judith G.","non-dropping-particle":"","parse-names":false,"suffix":""},{"dropping-particle":"","family":"Bosker","given":"Gordon","non-dropping-particle":"","parse-names":false,"suffix":""},{"dropping-particle":"","family":"Neptune","given":"Richard R.","non-dropping-particle":"","parse-names":false,"suffix":""}],"container-title":"Gait and Posture","id":"ITEM-4","issue":"4","issued":{"date-parts":[["2008","11"]]},"page":"602-609","title":"Compensatory mechanisms in below-knee amputee gait in response to increasing steady-state walking speeds","type":"article-journal","volume":"28"},"uris":["http://www.mendeley.com/documents/?uuid=72564c77-6659-3ed7-ba53-eff80abe7e6c"]}],"mendeley":{"formattedCitation":"[19,26,27,58]","plainTextFormattedCitation":"[19,26,27,58]","previouslyFormattedCitation":"[19,26,27,58]"},"properties":{"noteIndex":0},"schema":"https://github.com/citation-style-language/schema/raw/master/csl-citation.json"}</w:instrText>
      </w:r>
      <w:r w:rsidRPr="003476E6">
        <w:rPr>
          <w:rFonts w:cs="Arial"/>
          <w:sz w:val="22"/>
          <w:szCs w:val="22"/>
        </w:rPr>
        <w:fldChar w:fldCharType="separate"/>
      </w:r>
      <w:r w:rsidR="008F25C4" w:rsidRPr="003476E6">
        <w:rPr>
          <w:rFonts w:cs="Arial"/>
          <w:noProof/>
          <w:sz w:val="22"/>
          <w:szCs w:val="22"/>
        </w:rPr>
        <w:t>[19,26,27,58]</w:t>
      </w:r>
      <w:r w:rsidRPr="003476E6">
        <w:rPr>
          <w:rFonts w:cs="Arial"/>
          <w:sz w:val="22"/>
          <w:szCs w:val="22"/>
        </w:rPr>
        <w:fldChar w:fldCharType="end"/>
      </w:r>
      <w:r w:rsidRPr="003476E6">
        <w:rPr>
          <w:rFonts w:cs="Arial"/>
          <w:sz w:val="22"/>
          <w:szCs w:val="22"/>
        </w:rPr>
        <w:t xml:space="preserve"> to aid braking and provide increased propulsion </w:t>
      </w:r>
      <w:r w:rsidRPr="003476E6">
        <w:rPr>
          <w:rFonts w:cs="Arial"/>
          <w:sz w:val="22"/>
          <w:szCs w:val="22"/>
        </w:rPr>
        <w:fldChar w:fldCharType="begin" w:fldLock="1"/>
      </w:r>
      <w:r w:rsidR="008F25C4" w:rsidRPr="003476E6">
        <w:rPr>
          <w:rFonts w:cs="Arial"/>
          <w:sz w:val="22"/>
          <w:szCs w:val="22"/>
        </w:rPr>
        <w:instrText>ADDIN CSL_CITATION {"citationItems":[{"id":"ITEM-1","itemData":{"author":[{"dropping-particle":"","family":"Liu","given":"May Q","non-dropping-particle":"","parse-names":false,"suffix":""},{"dropping-particle":"","family":"Anderson","given":"Frank C","non-dropping-particle":"","parse-names":false,"suffix":""},{"dropping-particle":"","family":"Pandy","given":"Marcus G","non-dropping-particle":"","parse-names":false,"suffix":""},{"dropping-particle":"","family":"Delp","given":"Scott L","non-dropping-particle":"","parse-names":false,"suffix":""}],"container-title":"Journal of Biomechanics","id":"ITEM-1","issue":"14","issued":{"date-parts":[["2006"]]},"page":"2623-2630","title":"Muscles that support the body also modulate forward progression during walking","type":"article-journal","volume":"39"},"uris":["http://www.mendeley.com/documents/?uuid=d00f76b5-5879-4681-b965-705df409d596"]},{"id":"ITEM-2","itemData":{"author":[{"dropping-particle":"","family":"Neptune","given":"R R","non-dropping-particle":"","parse-names":false,"suffix":""},{"dropping-particle":"","family":"Zajac","given":"F E","non-dropping-particle":"","parse-names":false,"suffix":""},{"dropping-particle":"","family":"Kautz","given":"S A","non-dropping-particle":"","parse-names":false,"suffix":""}],"container-title":"Gait &amp; posture","id":"ITEM-2","issue":"2","issued":{"date-parts":[["2004"]]},"page":"194-205","title":"Muscle force redistributes segmental power for body progression during walking","type":"article-journal","volume":"19"},"uris":["http://www.mendeley.com/documents/?uuid=c6eb8c08-9f14-4b00-a079-3367ee5f564e"]}],"mendeley":{"formattedCitation":"[59,60]","plainTextFormattedCitation":"[59,60]","previouslyFormattedCitation":"[59,60]"},"properties":{"noteIndex":0},"schema":"https://github.com/citation-style-language/schema/raw/master/csl-citation.json"}</w:instrText>
      </w:r>
      <w:r w:rsidRPr="003476E6">
        <w:rPr>
          <w:rFonts w:cs="Arial"/>
          <w:sz w:val="22"/>
          <w:szCs w:val="22"/>
        </w:rPr>
        <w:fldChar w:fldCharType="separate"/>
      </w:r>
      <w:r w:rsidR="008F25C4" w:rsidRPr="003476E6">
        <w:rPr>
          <w:rFonts w:cs="Arial"/>
          <w:noProof/>
          <w:sz w:val="22"/>
          <w:szCs w:val="22"/>
        </w:rPr>
        <w:t>[59,60]</w:t>
      </w:r>
      <w:r w:rsidRPr="003476E6">
        <w:rPr>
          <w:rFonts w:cs="Arial"/>
          <w:sz w:val="22"/>
          <w:szCs w:val="22"/>
        </w:rPr>
        <w:fldChar w:fldCharType="end"/>
      </w:r>
      <w:r w:rsidRPr="003476E6">
        <w:rPr>
          <w:rFonts w:cs="Arial"/>
          <w:sz w:val="22"/>
          <w:szCs w:val="22"/>
        </w:rPr>
        <w:t xml:space="preserve"> but with the result of reducing net knee joint moments. </w:t>
      </w:r>
    </w:p>
    <w:p w14:paraId="193D3A75" w14:textId="7949DCED" w:rsidR="00A47855" w:rsidRPr="003476E6" w:rsidRDefault="00A47855" w:rsidP="00144457">
      <w:pPr>
        <w:pStyle w:val="Heading2"/>
        <w:rPr>
          <w:i/>
          <w:iCs/>
          <w:u w:val="none"/>
        </w:rPr>
      </w:pPr>
      <w:r w:rsidRPr="003476E6">
        <w:rPr>
          <w:i/>
          <w:iCs/>
          <w:u w:val="none"/>
        </w:rPr>
        <w:t>Limitations</w:t>
      </w:r>
    </w:p>
    <w:p w14:paraId="7603320D" w14:textId="4D5BFBC3" w:rsidR="00271C13" w:rsidRPr="003476E6" w:rsidRDefault="002E2575" w:rsidP="00EC1B67">
      <w:pPr>
        <w:pStyle w:val="CommentText"/>
        <w:spacing w:after="240" w:line="480" w:lineRule="auto"/>
        <w:jc w:val="both"/>
        <w:rPr>
          <w:rFonts w:eastAsia="MS Mincho" w:cs="Arial"/>
          <w:sz w:val="22"/>
          <w:szCs w:val="22"/>
        </w:rPr>
      </w:pPr>
      <w:r w:rsidRPr="003476E6">
        <w:rPr>
          <w:rFonts w:cs="Arial"/>
          <w:sz w:val="22"/>
          <w:szCs w:val="22"/>
        </w:rPr>
        <w:t>The results of this study should be generalised with care, primarily due to the low sample size</w:t>
      </w:r>
      <w:r w:rsidR="00E50BEF" w:rsidRPr="003476E6">
        <w:rPr>
          <w:rFonts w:cs="Arial"/>
          <w:sz w:val="22"/>
          <w:szCs w:val="22"/>
        </w:rPr>
        <w:t xml:space="preserve"> which </w:t>
      </w:r>
      <w:r w:rsidRPr="003476E6">
        <w:rPr>
          <w:rFonts w:cs="Arial"/>
          <w:sz w:val="22"/>
          <w:szCs w:val="22"/>
        </w:rPr>
        <w:t>reflect</w:t>
      </w:r>
      <w:r w:rsidR="00E50BEF" w:rsidRPr="003476E6">
        <w:rPr>
          <w:rFonts w:cs="Arial"/>
          <w:sz w:val="22"/>
          <w:szCs w:val="22"/>
        </w:rPr>
        <w:t>s</w:t>
      </w:r>
      <w:r w:rsidRPr="003476E6">
        <w:rPr>
          <w:rFonts w:cs="Arial"/>
          <w:sz w:val="22"/>
          <w:szCs w:val="22"/>
        </w:rPr>
        <w:t xml:space="preserve"> the lack of availability of healthy, young</w:t>
      </w:r>
      <w:r w:rsidR="00F81D10" w:rsidRPr="003476E6">
        <w:rPr>
          <w:rFonts w:cs="Arial"/>
          <w:sz w:val="22"/>
          <w:szCs w:val="22"/>
        </w:rPr>
        <w:t xml:space="preserve"> </w:t>
      </w:r>
      <w:bookmarkStart w:id="34" w:name="_Hlk58512888"/>
      <w:r w:rsidR="00F65E12" w:rsidRPr="003476E6">
        <w:rPr>
          <w:rFonts w:cs="Arial"/>
          <w:sz w:val="22"/>
          <w:szCs w:val="22"/>
        </w:rPr>
        <w:t xml:space="preserve">individuals with </w:t>
      </w:r>
      <w:r w:rsidRPr="003476E6">
        <w:rPr>
          <w:rFonts w:cs="Arial"/>
          <w:sz w:val="22"/>
          <w:szCs w:val="22"/>
        </w:rPr>
        <w:t xml:space="preserve">traumatic </w:t>
      </w:r>
      <w:r w:rsidR="00E50BEF" w:rsidRPr="003476E6">
        <w:rPr>
          <w:rFonts w:cs="Arial"/>
          <w:sz w:val="22"/>
          <w:szCs w:val="22"/>
        </w:rPr>
        <w:t xml:space="preserve">unilateral </w:t>
      </w:r>
      <w:r w:rsidR="00F65E12" w:rsidRPr="003476E6">
        <w:rPr>
          <w:rFonts w:cs="Arial"/>
          <w:sz w:val="22"/>
          <w:szCs w:val="22"/>
        </w:rPr>
        <w:lastRenderedPageBreak/>
        <w:t xml:space="preserve">transtibial </w:t>
      </w:r>
      <w:r w:rsidRPr="003476E6">
        <w:rPr>
          <w:rFonts w:cs="Arial"/>
          <w:sz w:val="22"/>
          <w:szCs w:val="22"/>
        </w:rPr>
        <w:t>amput</w:t>
      </w:r>
      <w:r w:rsidR="00F65E12" w:rsidRPr="003476E6">
        <w:rPr>
          <w:rFonts w:cs="Arial"/>
          <w:sz w:val="22"/>
          <w:szCs w:val="22"/>
        </w:rPr>
        <w:t>ation</w:t>
      </w:r>
      <w:r w:rsidRPr="003476E6">
        <w:rPr>
          <w:rFonts w:cs="Arial"/>
          <w:sz w:val="22"/>
          <w:szCs w:val="22"/>
        </w:rPr>
        <w:t>s</w:t>
      </w:r>
      <w:bookmarkEnd w:id="34"/>
      <w:r w:rsidRPr="003476E6">
        <w:rPr>
          <w:rFonts w:cs="Arial"/>
          <w:sz w:val="22"/>
          <w:szCs w:val="22"/>
        </w:rPr>
        <w:t xml:space="preserve">. Additionally, </w:t>
      </w:r>
      <w:r w:rsidR="00C3445A" w:rsidRPr="003476E6">
        <w:rPr>
          <w:rFonts w:cs="Arial"/>
          <w:sz w:val="22"/>
          <w:szCs w:val="22"/>
        </w:rPr>
        <w:t xml:space="preserve">it is important to note that </w:t>
      </w:r>
      <w:r w:rsidR="00636F8B" w:rsidRPr="003476E6">
        <w:rPr>
          <w:rFonts w:cs="Arial"/>
          <w:sz w:val="22"/>
          <w:szCs w:val="22"/>
        </w:rPr>
        <w:t xml:space="preserve">habitual </w:t>
      </w:r>
      <w:r w:rsidR="00C3445A" w:rsidRPr="003476E6">
        <w:rPr>
          <w:rFonts w:cs="Arial"/>
          <w:sz w:val="22"/>
          <w:szCs w:val="22"/>
        </w:rPr>
        <w:t xml:space="preserve">walking speed </w:t>
      </w:r>
      <w:r w:rsidR="00636F8B" w:rsidRPr="003476E6">
        <w:rPr>
          <w:rFonts w:cs="Arial"/>
          <w:sz w:val="22"/>
          <w:szCs w:val="22"/>
        </w:rPr>
        <w:t xml:space="preserve">(1.3 m/s) </w:t>
      </w:r>
      <w:r w:rsidR="00C3445A" w:rsidRPr="003476E6">
        <w:rPr>
          <w:rFonts w:cs="Arial"/>
          <w:sz w:val="22"/>
          <w:szCs w:val="22"/>
        </w:rPr>
        <w:t>was faster</w:t>
      </w:r>
      <w:r w:rsidR="00F16087" w:rsidRPr="003476E6">
        <w:rPr>
          <w:rFonts w:cs="Arial"/>
          <w:sz w:val="22"/>
          <w:szCs w:val="22"/>
        </w:rPr>
        <w:t xml:space="preserve"> </w:t>
      </w:r>
      <w:r w:rsidR="00C3445A" w:rsidRPr="003476E6">
        <w:rPr>
          <w:rFonts w:cs="Arial"/>
          <w:sz w:val="22"/>
          <w:szCs w:val="22"/>
        </w:rPr>
        <w:t xml:space="preserve">in our population than those </w:t>
      </w:r>
      <w:r w:rsidR="00C3445A" w:rsidRPr="003476E6">
        <w:rPr>
          <w:rFonts w:cs="Arial"/>
          <w:bCs/>
          <w:sz w:val="22"/>
          <w:szCs w:val="22"/>
        </w:rPr>
        <w:t>usually reported for confident ambulatory ITTAs (</w:t>
      </w:r>
      <w:r w:rsidR="00636F8B" w:rsidRPr="003476E6">
        <w:rPr>
          <w:rFonts w:cs="Arial"/>
          <w:bCs/>
          <w:sz w:val="22"/>
          <w:szCs w:val="22"/>
        </w:rPr>
        <w:t xml:space="preserve">walking speed, </w:t>
      </w:r>
      <w:r w:rsidR="00C3445A" w:rsidRPr="003476E6">
        <w:rPr>
          <w:rFonts w:cs="Arial"/>
          <w:bCs/>
          <w:sz w:val="22"/>
          <w:szCs w:val="22"/>
        </w:rPr>
        <w:t>1.01–1.20 m/s</w:t>
      </w:r>
      <w:r w:rsidR="007119CB" w:rsidRPr="003476E6">
        <w:rPr>
          <w:rFonts w:cs="Arial"/>
          <w:bCs/>
          <w:sz w:val="22"/>
          <w:szCs w:val="22"/>
        </w:rPr>
        <w:t xml:space="preserve">) </w:t>
      </w:r>
      <w:r w:rsidR="00AF706E" w:rsidRPr="003476E6">
        <w:rPr>
          <w:rFonts w:cs="Arial"/>
          <w:bCs/>
          <w:sz w:val="22"/>
          <w:szCs w:val="22"/>
        </w:rPr>
        <w:fldChar w:fldCharType="begin" w:fldLock="1"/>
      </w:r>
      <w:r w:rsidR="008F25C4" w:rsidRPr="003476E6">
        <w:rPr>
          <w:rFonts w:cs="Arial"/>
          <w:bCs/>
          <w:sz w:val="22"/>
          <w:szCs w:val="22"/>
        </w:rPr>
        <w:instrText>ADDIN CSL_CITATION {"citationItems":[{"id":"ITEM-1","itemData":{"ISBN":"0031-9023","PMID":"8606900","abstract":"BACKGROUND AND PURPOSE: The purpose of this study was to establish the relationship between isometric muscle force and temporal-spatial gait characteristics for individuals who have had a below-knee amputation secondary to vascular disease. SUBJECTS: Twenty-two individuals (15 male, 7 female) with dysvascular below-knee amputations participated. The male subjects were aged 35 to 72 years (x=59.6, SD=11.1), and the female subjects were aged 54 to 68 years (x=60.5, SD=5.1). Methods. The subjects underwent stride analysis during free-speed and fast walking, as well as bilateral isometric force testing of their remaining hip, knee, and ankle muscles. RESULTS: Stepwise regression analysis revealed that hip extensor force on the amputated side was the only predictor of both free speed (gamma=.50) and fast speed (gamma=.72). Hip abduction force of the sound++ limb was correlated with cadence for both free-speed trials (gamma=.57) and fast-speed trials (gamma=.57). Sound-side knee extensor force was related to free-speed stride length (gamma=.44), whereas residual-limb knee extensor force predicted stride length during fast walking (gamma=.67). CONCLUSION AND DISCUSSION: These results indicate that adequate force is necessary in both residual and sound limbs to improve functional gait ability and that ther hip extensors and abductors and the knee extensors should be emphasized in the rehabilitation of individuals with below-knee amputations.","author":[{"dropping-particle":"","family":"Powers","given":"C M","non-dropping-particle":"","parse-names":false,"suffix":""},{"dropping-particle":"","family":"Boyd","given":"L A","non-dropping-particle":"","parse-names":false,"suffix":""},{"dropping-particle":"","family":"Fontaine","given":"C A","non-dropping-particle":"","parse-names":false,"suffix":""},{"dropping-particle":"","family":"Perry","given":"J","non-dropping-particle":"","parse-names":false,"suffix":""}],"container-title":"Physical Therapy","id":"ITEM-1","issue":"4","issued":{"date-parts":[["1996"]]},"note":"LR: 20100324; JID: 0022623; ppublish","page":"369-385","title":"The influence of lower-extremity muscle force on gait characteristics in individuals with below-knee amputations secondary to vascular disease","type":"article-journal","volume":"76"},"uris":["http://www.mendeley.com/documents/?uuid=f3c60b4e-51e9-49b2-914c-5fd46b014e17"]},{"id":"ITEM-2","itemData":{"author":[{"dropping-particle":"","family":"Powers","given":"Christopher M","non-dropping-particle":"","parse-names":false,"suffix":""},{"dropping-particle":"","family":"Rao","given":"Sreesha","non-dropping-particle":"","parse-names":false,"suffix":""},{"dropping-particle":"","family":"Perry","given":"Jacquelin","non-dropping-particle":"","parse-names":false,"suffix":""}],"container-title":"Gait &amp; posture","id":"ITEM-2","issue":"1","issued":{"date-parts":[["1998"]]},"page":"1-7","title":"Knee kinetics in trans-tibial amputee gait","type":"article-journal","volume":"8"},"uris":["http://www.mendeley.com/documents/?uuid=235ee1ed-4efa-4a66-8281-4f05d8daa5e0"]},{"id":"ITEM-3","itemData":{"author":[{"dropping-particle":"","family":"Lloyd","given":"Chandra H","non-dropping-particle":"","parse-names":false,"suffix":""},{"dropping-particle":"","family":"Stanhope","given":"Steven J","non-dropping-particle":"","parse-names":false,"suffix":""},{"dropping-particle":"","family":"Davis","given":"Irene S","non-dropping-particle":"","parse-names":false,"suffix":""},{"dropping-particle":"","family":"Royer","given":"Todd D","non-dropping-particle":"","parse-names":false,"suffix":""}],"container-title":"Gait &amp; posture","id":"ITEM-3","issue":"3","issued":{"date-parts":[["2010"]]},"page":"296-300","title":"Strength asymmetry and osteoarthritis risk factors in unilateral trans-tibial, amputee gait","type":"article-journal","volume":"32"},"uris":["http://www.mendeley.com/documents/?uuid=d0351023-36c7-42d7-a475-d7ce9fb5d39f"]}],"mendeley":{"formattedCitation":"[13,26,29]","plainTextFormattedCitation":"[13,26,29]","previouslyFormattedCitation":"[13,26,29]"},"properties":{"noteIndex":0},"schema":"https://github.com/citation-style-language/schema/raw/master/csl-citation.json"}</w:instrText>
      </w:r>
      <w:r w:rsidR="00AF706E" w:rsidRPr="003476E6">
        <w:rPr>
          <w:rFonts w:cs="Arial"/>
          <w:bCs/>
          <w:sz w:val="22"/>
          <w:szCs w:val="22"/>
        </w:rPr>
        <w:fldChar w:fldCharType="separate"/>
      </w:r>
      <w:r w:rsidR="007D4B35" w:rsidRPr="003476E6">
        <w:rPr>
          <w:rFonts w:cs="Arial"/>
          <w:bCs/>
          <w:noProof/>
          <w:sz w:val="22"/>
          <w:szCs w:val="22"/>
        </w:rPr>
        <w:t>[13,26,29]</w:t>
      </w:r>
      <w:r w:rsidR="00AF706E" w:rsidRPr="003476E6">
        <w:rPr>
          <w:rFonts w:cs="Arial"/>
          <w:bCs/>
          <w:sz w:val="22"/>
          <w:szCs w:val="22"/>
        </w:rPr>
        <w:fldChar w:fldCharType="end"/>
      </w:r>
      <w:r w:rsidR="00AF706E" w:rsidRPr="003476E6">
        <w:rPr>
          <w:rFonts w:cs="Arial"/>
          <w:sz w:val="22"/>
          <w:szCs w:val="22"/>
        </w:rPr>
        <w:t>,</w:t>
      </w:r>
      <w:r w:rsidR="00AF706E" w:rsidRPr="003476E6">
        <w:rPr>
          <w:rFonts w:cs="Arial"/>
          <w:bCs/>
          <w:sz w:val="22"/>
          <w:szCs w:val="22"/>
        </w:rPr>
        <w:t xml:space="preserve"> </w:t>
      </w:r>
      <w:r w:rsidR="00C3445A" w:rsidRPr="003476E6">
        <w:rPr>
          <w:rFonts w:cs="Arial"/>
          <w:bCs/>
          <w:sz w:val="22"/>
          <w:szCs w:val="22"/>
        </w:rPr>
        <w:t xml:space="preserve">potentially due to the </w:t>
      </w:r>
      <w:r w:rsidR="00A47855" w:rsidRPr="003476E6">
        <w:rPr>
          <w:rFonts w:cs="Arial"/>
          <w:bCs/>
          <w:sz w:val="22"/>
          <w:szCs w:val="22"/>
        </w:rPr>
        <w:t xml:space="preserve">relatively </w:t>
      </w:r>
      <w:r w:rsidR="00C3445A" w:rsidRPr="003476E6">
        <w:rPr>
          <w:rFonts w:cs="Arial"/>
          <w:bCs/>
          <w:sz w:val="22"/>
          <w:szCs w:val="22"/>
        </w:rPr>
        <w:t xml:space="preserve">high activity levels of </w:t>
      </w:r>
      <w:r w:rsidR="0098582A" w:rsidRPr="003476E6">
        <w:rPr>
          <w:rFonts w:cs="Arial"/>
          <w:bCs/>
          <w:sz w:val="22"/>
          <w:szCs w:val="22"/>
        </w:rPr>
        <w:t>most</w:t>
      </w:r>
      <w:r w:rsidR="00C3445A" w:rsidRPr="003476E6">
        <w:rPr>
          <w:rFonts w:cs="Arial"/>
          <w:bCs/>
          <w:sz w:val="22"/>
          <w:szCs w:val="22"/>
        </w:rPr>
        <w:t xml:space="preserve"> participants in this study</w:t>
      </w:r>
      <w:r w:rsidR="00C3445A" w:rsidRPr="003476E6">
        <w:rPr>
          <w:rFonts w:cs="Arial"/>
          <w:sz w:val="22"/>
          <w:szCs w:val="22"/>
        </w:rPr>
        <w:t xml:space="preserve">. </w:t>
      </w:r>
      <w:r w:rsidR="00EB5CC2" w:rsidRPr="003476E6">
        <w:rPr>
          <w:rFonts w:cs="Arial"/>
          <w:sz w:val="22"/>
          <w:szCs w:val="22"/>
        </w:rPr>
        <w:t>It</w:t>
      </w:r>
      <w:r w:rsidR="00C3445A" w:rsidRPr="003476E6">
        <w:rPr>
          <w:rFonts w:cs="Arial"/>
          <w:sz w:val="22"/>
          <w:szCs w:val="22"/>
        </w:rPr>
        <w:t xml:space="preserve"> is possible that </w:t>
      </w:r>
      <w:r w:rsidR="00243F99" w:rsidRPr="003476E6">
        <w:rPr>
          <w:rFonts w:cs="Arial"/>
          <w:sz w:val="22"/>
          <w:szCs w:val="22"/>
        </w:rPr>
        <w:t xml:space="preserve">the </w:t>
      </w:r>
      <w:r w:rsidR="00C3445A" w:rsidRPr="003476E6">
        <w:rPr>
          <w:rFonts w:cs="Arial"/>
          <w:sz w:val="22"/>
          <w:szCs w:val="22"/>
        </w:rPr>
        <w:t>correlations observed in this study may be more exaggerated</w:t>
      </w:r>
      <w:r w:rsidR="0017601B" w:rsidRPr="003476E6">
        <w:rPr>
          <w:rFonts w:cs="Arial"/>
          <w:sz w:val="22"/>
          <w:szCs w:val="22"/>
        </w:rPr>
        <w:t>,</w:t>
      </w:r>
      <w:r w:rsidR="00C3445A" w:rsidRPr="003476E6">
        <w:rPr>
          <w:rFonts w:cs="Arial"/>
          <w:sz w:val="22"/>
          <w:szCs w:val="22"/>
        </w:rPr>
        <w:t xml:space="preserve"> </w:t>
      </w:r>
      <w:r w:rsidR="0017601B" w:rsidRPr="003476E6">
        <w:rPr>
          <w:rFonts w:cs="Arial"/>
          <w:sz w:val="22"/>
          <w:szCs w:val="22"/>
        </w:rPr>
        <w:t xml:space="preserve">and thus strength symmetry more important for </w:t>
      </w:r>
      <w:r w:rsidR="005069BF" w:rsidRPr="003476E6">
        <w:rPr>
          <w:rFonts w:cs="Arial"/>
          <w:sz w:val="22"/>
          <w:szCs w:val="22"/>
        </w:rPr>
        <w:t xml:space="preserve">walking speed and </w:t>
      </w:r>
      <w:r w:rsidR="0017601B" w:rsidRPr="003476E6">
        <w:rPr>
          <w:rFonts w:cs="Arial"/>
          <w:sz w:val="22"/>
          <w:szCs w:val="22"/>
        </w:rPr>
        <w:t xml:space="preserve">gait symmetry, </w:t>
      </w:r>
      <w:r w:rsidR="00C3445A" w:rsidRPr="003476E6">
        <w:rPr>
          <w:rFonts w:cs="Arial"/>
          <w:sz w:val="22"/>
          <w:szCs w:val="22"/>
        </w:rPr>
        <w:t>in less active ITTA</w:t>
      </w:r>
      <w:r w:rsidR="00F81D10" w:rsidRPr="003476E6">
        <w:rPr>
          <w:rFonts w:cs="Arial"/>
          <w:sz w:val="22"/>
          <w:szCs w:val="22"/>
        </w:rPr>
        <w:t>s</w:t>
      </w:r>
      <w:r w:rsidR="00636F8B" w:rsidRPr="003476E6">
        <w:rPr>
          <w:rFonts w:cs="Arial"/>
          <w:sz w:val="22"/>
          <w:szCs w:val="22"/>
        </w:rPr>
        <w:t>, so future work should consider such populations</w:t>
      </w:r>
      <w:r w:rsidR="00C3445A" w:rsidRPr="003476E6">
        <w:rPr>
          <w:rFonts w:cs="Arial"/>
          <w:sz w:val="22"/>
          <w:szCs w:val="22"/>
        </w:rPr>
        <w:t>.</w:t>
      </w:r>
      <w:r w:rsidR="00013BAD" w:rsidRPr="003476E6">
        <w:rPr>
          <w:rFonts w:cs="Arial"/>
          <w:sz w:val="22"/>
          <w:szCs w:val="22"/>
        </w:rPr>
        <w:t xml:space="preserve"> </w:t>
      </w:r>
      <w:bookmarkStart w:id="35" w:name="_Hlk60665182"/>
      <w:r w:rsidR="00463512" w:rsidRPr="003476E6">
        <w:rPr>
          <w:sz w:val="22"/>
          <w:szCs w:val="22"/>
        </w:rPr>
        <w:t>Furthermore</w:t>
      </w:r>
      <w:r w:rsidR="00B47F18" w:rsidRPr="003476E6">
        <w:rPr>
          <w:sz w:val="22"/>
          <w:szCs w:val="22"/>
        </w:rPr>
        <w:t xml:space="preserve">, as correlation does not necessarily denote causation, </w:t>
      </w:r>
      <w:r w:rsidR="00463512" w:rsidRPr="003476E6">
        <w:rPr>
          <w:sz w:val="22"/>
          <w:szCs w:val="22"/>
        </w:rPr>
        <w:t>further</w:t>
      </w:r>
      <w:r w:rsidR="00B47F18" w:rsidRPr="003476E6">
        <w:rPr>
          <w:sz w:val="22"/>
          <w:szCs w:val="22"/>
        </w:rPr>
        <w:t xml:space="preserve"> research should </w:t>
      </w:r>
      <w:r w:rsidR="00463512" w:rsidRPr="003476E6">
        <w:rPr>
          <w:sz w:val="22"/>
          <w:szCs w:val="22"/>
        </w:rPr>
        <w:t>additionally</w:t>
      </w:r>
      <w:r w:rsidR="00B47F18" w:rsidRPr="003476E6">
        <w:rPr>
          <w:sz w:val="22"/>
          <w:szCs w:val="22"/>
        </w:rPr>
        <w:t xml:space="preserve"> explore evidence of associations between RTD asymmetry and functional capacity in ITTAs, for example via intervention studies which look to reduce RTD asymmetry and assess any associated improvements in gait symmetry or performance</w:t>
      </w:r>
      <w:bookmarkEnd w:id="35"/>
      <w:r w:rsidR="00B47F18" w:rsidRPr="003476E6">
        <w:rPr>
          <w:sz w:val="22"/>
          <w:szCs w:val="22"/>
        </w:rPr>
        <w:t>.</w:t>
      </w:r>
      <w:bookmarkStart w:id="36" w:name="_Hlk58507360"/>
      <w:bookmarkStart w:id="37" w:name="_Hlk50388339"/>
      <w:r w:rsidR="00D24238" w:rsidRPr="003476E6">
        <w:rPr>
          <w:sz w:val="22"/>
          <w:szCs w:val="22"/>
        </w:rPr>
        <w:t xml:space="preserve"> </w:t>
      </w:r>
      <w:r w:rsidR="000D6B23" w:rsidRPr="003476E6">
        <w:rPr>
          <w:rFonts w:eastAsia="MS Mincho" w:cs="Arial"/>
          <w:sz w:val="22"/>
          <w:szCs w:val="22"/>
        </w:rPr>
        <w:t>Finally</w:t>
      </w:r>
      <w:r w:rsidR="002C0605" w:rsidRPr="003476E6">
        <w:rPr>
          <w:rFonts w:eastAsia="MS Mincho" w:cs="Arial"/>
          <w:sz w:val="22"/>
          <w:szCs w:val="22"/>
        </w:rPr>
        <w:t xml:space="preserve">, while commonly used </w:t>
      </w:r>
      <w:r w:rsidR="002C0605" w:rsidRPr="003476E6">
        <w:rPr>
          <w:rFonts w:cs="Arial"/>
          <w:sz w:val="22"/>
          <w:szCs w:val="22"/>
        </w:rPr>
        <w:fldChar w:fldCharType="begin" w:fldLock="1"/>
      </w:r>
      <w:r w:rsidR="008F25C4" w:rsidRPr="003476E6">
        <w:rPr>
          <w:rFonts w:cs="Arial"/>
          <w:sz w:val="22"/>
          <w:szCs w:val="22"/>
        </w:rPr>
        <w:instrText>ADDIN CSL_CITATION {"citationItems":[{"id":"ITEM-1","itemData":{"DOI":"//dx.doi.org/10.1016/j.clinbiomech.2005.07.003","ISBN":"0268-0033","abstract":"Background. Persons with unilateral, lower-extremity amputation sometimes develop osteoarthritis in the intact limb. The purpose of this study was to investigate gait mechanics and bone mineral density in unilateral, trans-tibial amputees to test the hypotheses that the intact limb knee and hip will have larger frontal plane net joint moments and bone mineral density than the prosthetic side and the limbs of control subjects. Methods. Proximal tibia and femoral neck bone mineral density and gait mechanics were measured from nine subjects with a unilateral, trans-tibial amputation and from age, gender, and mass matched control subjects. Findings. The amputee intact proximal tibia bone mineral density and peak knee internal abduction moment were 45% (P = 0.001) and 56% (P = 0.028) greater, respectively, than the prosthetic side. The intact limb femoral neck bone mineral density and peak hip internal abduction moment were 12% (P = 0.095) and 33% (P = 0.03) greater, respectively, than the prosthetic side. The intact knee frontal plane moment and bone mineral density were moderately larger than the control knee, while the intact and control hip were similar. Interpretation. Elevated frontal plane net joint moments and bone mineral density suggest the potential exists for premature knee joint degradation. Measuring frontal plane joint mechanics and bone mineral density may be important tools for assessing joint health in persons with unilateral, trans-tibial amputation.","author":[{"dropping-particle":"","family":"Royer","given":"Todd","non-dropping-particle":"","parse-names":false,"suffix":""},{"dropping-particle":"","family":"Koenig","given":"Michael","non-dropping-particle":"","parse-names":false,"suffix":""}],"container-title":"Clinical Biomechanics","id":"ITEM-1","issue":"10","issued":{"date-parts":[["2005"]]},"page":"1119-1125","title":"Joint loading and bone mineral density in persons with unilateral, trans-tibial amputation","type":"article-journal","volume":"20"},"uris":["http://www.mendeley.com/documents/?uuid=b655838f-40b8-4407-a4c8-4a843c13ac34"]},{"id":"ITEM-2","itemData":{"author":[{"dropping-particle":"","family":"Lloyd","given":"Chandra H","non-dropping-particle":"","parse-names":false,"suffix":""},{"dropping-particle":"","family":"Stanhope","given":"Steven J","non-dropping-particle":"","parse-names":false,"suffix":""},{"dropping-particle":"","family":"Davis","given":"Irene S","non-dropping-particle":"","parse-names":false,"suffix":""},{"dropping-particle":"","family":"Royer","given":"Todd D","non-dropping-particle":"","parse-names":false,"suffix":""}],"container-title":"Gait &amp; posture","id":"ITEM-2","issue":"3","issued":{"date-parts":[["2010"]]},"page":"296-300","title":"Strength asymmetry and osteoarthritis risk factors in unilateral trans-tibial, amputee gait","type":"article-journal","volume":"32"},"uris":["http://www.mendeley.com/documents/?uuid=d0351023-36c7-42d7-a475-d7ce9fb5d39f"]}],"mendeley":{"formattedCitation":"[13,61]","plainTextFormattedCitation":"[13,61]","previouslyFormattedCitation":"[13,61]"},"properties":{"noteIndex":0},"schema":"https://github.com/citation-style-language/schema/raw/master/csl-citation.json"}</w:instrText>
      </w:r>
      <w:r w:rsidR="002C0605" w:rsidRPr="003476E6">
        <w:rPr>
          <w:rFonts w:cs="Arial"/>
          <w:sz w:val="22"/>
          <w:szCs w:val="22"/>
        </w:rPr>
        <w:fldChar w:fldCharType="separate"/>
      </w:r>
      <w:r w:rsidR="008F25C4" w:rsidRPr="003476E6">
        <w:rPr>
          <w:rFonts w:cs="Arial"/>
          <w:noProof/>
          <w:sz w:val="22"/>
          <w:szCs w:val="22"/>
        </w:rPr>
        <w:t>[13,61]</w:t>
      </w:r>
      <w:r w:rsidR="002C0605" w:rsidRPr="003476E6">
        <w:rPr>
          <w:rFonts w:cs="Arial"/>
          <w:sz w:val="22"/>
          <w:szCs w:val="22"/>
        </w:rPr>
        <w:fldChar w:fldCharType="end"/>
      </w:r>
      <w:r w:rsidR="002C0605" w:rsidRPr="003476E6">
        <w:rPr>
          <w:rFonts w:eastAsia="MS Mincho" w:cs="Arial"/>
          <w:sz w:val="22"/>
          <w:szCs w:val="22"/>
        </w:rPr>
        <w:t>, the method of marker placement on the prosthetic-side ankle joint and lack of incorporation of the inertial properties of the prosthetic into the Plug-in-Gait model are limitations</w:t>
      </w:r>
      <w:r w:rsidR="00EC1B67" w:rsidRPr="003476E6">
        <w:rPr>
          <w:rFonts w:eastAsia="MS Mincho" w:cs="Arial"/>
          <w:sz w:val="22"/>
          <w:szCs w:val="22"/>
        </w:rPr>
        <w:t>. Future</w:t>
      </w:r>
      <w:r w:rsidR="002C0605" w:rsidRPr="003476E6">
        <w:rPr>
          <w:rFonts w:eastAsia="MS Mincho" w:cs="Arial"/>
          <w:sz w:val="22"/>
          <w:szCs w:val="22"/>
        </w:rPr>
        <w:t xml:space="preserve"> work </w:t>
      </w:r>
      <w:r w:rsidR="00EC1B67" w:rsidRPr="003476E6">
        <w:rPr>
          <w:rFonts w:eastAsia="MS Mincho" w:cs="Arial"/>
          <w:sz w:val="22"/>
          <w:szCs w:val="22"/>
        </w:rPr>
        <w:t>in this population should</w:t>
      </w:r>
      <w:bookmarkStart w:id="38" w:name="_Hlk58343881"/>
      <w:r w:rsidR="00EC1B67" w:rsidRPr="003476E6">
        <w:rPr>
          <w:rFonts w:eastAsia="MS Mincho" w:cs="Arial"/>
          <w:sz w:val="22"/>
          <w:szCs w:val="22"/>
        </w:rPr>
        <w:t xml:space="preserve"> use alternative strateg</w:t>
      </w:r>
      <w:r w:rsidR="008F25C4" w:rsidRPr="003476E6">
        <w:rPr>
          <w:rFonts w:eastAsia="MS Mincho" w:cs="Arial"/>
          <w:sz w:val="22"/>
          <w:szCs w:val="22"/>
        </w:rPr>
        <w:t>ies</w:t>
      </w:r>
      <w:r w:rsidR="00EC1B67" w:rsidRPr="003476E6">
        <w:rPr>
          <w:rFonts w:eastAsia="MS Mincho" w:cs="Arial"/>
          <w:sz w:val="22"/>
          <w:szCs w:val="22"/>
        </w:rPr>
        <w:t xml:space="preserve"> </w:t>
      </w:r>
      <w:r w:rsidR="008F25C4" w:rsidRPr="003476E6">
        <w:rPr>
          <w:rFonts w:eastAsia="MS Mincho" w:cs="Arial"/>
          <w:sz w:val="22"/>
          <w:szCs w:val="22"/>
        </w:rPr>
        <w:t xml:space="preserve">(e.g. </w:t>
      </w:r>
      <w:r w:rsidR="008F25C4" w:rsidRPr="003476E6">
        <w:rPr>
          <w:rFonts w:eastAsia="MS Mincho" w:cs="Arial"/>
          <w:sz w:val="22"/>
          <w:szCs w:val="22"/>
        </w:rPr>
        <w:fldChar w:fldCharType="begin" w:fldLock="1"/>
      </w:r>
      <w:r w:rsidR="007E102E">
        <w:rPr>
          <w:rFonts w:eastAsia="MS Mincho" w:cs="Arial"/>
          <w:sz w:val="22"/>
          <w:szCs w:val="22"/>
        </w:rPr>
        <w:instrText>ADDIN CSL_CITATION {"citationItems":[{"id":"ITEM-1","itemData":{"DOI":"10.1016/j.jbiomech.2012.08.017","ISSN":"00219290","PMID":"22939292","abstract":"Anatomically-relevant (AR) biomechanical models are traditionally used to quantify joint powers and segmental energies of lower extremity structures during gait. While AR models contain a series of rigid body segments linked together via mechanical joints, prosthetic below-knee structures are often deformable objects without a definable ankle joint. Consequently, the application of AR models for the study of prosthetic limbs has been problematic. The purpose of this study was to develop and validate a unified deformable (UD) segment model for quantifying the total power of below-knee structures. Estimates of total below-knee power derived via the UD segment model were compared to those derived via an AR model during stance in gait of eleven healthy subjects. The UD segment model achieved similar results to the AR model. Differences in peak power, total positive work, and total negative work were 1.91±0.31%, 3.97±0.49%, and 1.39±0.33%, relative to the AR model estimates. The main advantage of the UD segment model is that it does not require the definition of an ankle joint or foot structures. Therefore, this technique may be valuable for facilitating direct comparisons between anatomical and disparate prosthetic below-knee structures in future studies. © 2012 Elsevier Ltd.","author":[{"dropping-particle":"","family":"Takahashi","given":"Kota Z.","non-dropping-particle":"","parse-names":false,"suffix":""},{"dropping-particle":"","family":"Kepple","given":"Thomas M.","non-dropping-particle":"","parse-names":false,"suffix":""},{"dropping-particle":"","family":"Stanhope","given":"Steven J.","non-dropping-particle":"","parse-names":false,"suffix":""}],"container-title":"Journal of Biomechanics","id":"ITEM-1","issue":"15","issued":{"date-parts":[["2012","10","11"]]},"page":"2662-2667","publisher":"J Biomech","title":"A unified deformable (UD) segment model for quantifying total power of anatomical and prosthetic below-knee structures during stance in gait","type":"article-journal","volume":"45"},"uris":["http://www.mendeley.com/documents/?uuid=aab3a402-b356-3357-97b3-8ba2295eee31"]},{"id":"ITEM-2","itemData":{"DOI":"10.1109/86.340873","ISSN":"10636528","abstract":"Previous research reported calculation of mechanical power of ankle-foot devices using the dot product of the ankle moment times the ankle angular velocity. Unfortunately, there are two errors in this analysis technique. The biomechanical model used assumed a rigid foot articulating around the ankle and there was no accounting for energy storage or dissipation and recovery in the viscoelastic material of the cosmetic cover. The first purpose of this paper is to propose a rigorous technique for the calculation of the net energy efficiency that could be used for any articulated or nonarticulated ankle-foot prosthesis. The second purpose is to quantify the amount of energy stored or dissipated and then recovered in order to discriminate between different ankle-foot prostheses. The SACH, Seattle, Flex-foot, and Golden-Ankle ankle-foot prostheses were evaluated on the same amputee, while walking at his natural cadence. The power entering and leaving the distal end of the prosthetic leg was calculated as the sum of the translational (force-velocity product) and rotational (moment-angular velocity product). All ankle-foot prostheses showed the same distal power pattern. After initial contact, a large energy storage was observed in the cushioned heel, which was followed by some energy recovery. Then, during mid and late stance, another period of storage or dissipation and recovery was observed. Even the SACH foot should be considered an energy storing foot prosthesis since it's cosmetic material was seen to be capable of recovering energy. The balance between the rate of change of foot mechanical energy and the foot powers showed that the new technique takes into account the energy stored or dissipated and then recovered within the compliant material and flexing keel. The new analysis technique can be used by prosthetic designers to assess any type of ankle-foot prostheses. Criteria for ankle-foot prosthesis selection should include, not only the net mechanical efficiency for both rearfoot and forefoot sections, but also the total energy recovered by the ankle-foot prostheses. © 1994 IEEE","author":[{"dropping-particle":"","family":"Prince","given":"François","non-dropping-particle":"","parse-names":false,"suffix":""},{"dropping-particle":"","family":"Winter","given":"David A.","non-dropping-particle":"","parse-names":false,"suffix":""},{"dropping-particle":"","family":"Sjonnesen","given":"Gary","non-dropping-particle":"","parse-names":false,"suffix":""},{"dropping-particle":"","family":"Wheeldon","given":"Robyn K.","non-dropping-particle":"","parse-names":false,"suffix":""}],"container-title":"IEEE Transactions on Rehabilitation Engineering","id":"ITEM-2","issue":"4","issued":{"date-parts":[["1994"]]},"page":"247-255","title":"A New Technique for the Calculation of the Energy Stored, Dissipated, and Recovered in Different Ankle-Foot Prostheses","type":"article-journal","volume":"2"},"uris":["http://www.mendeley.com/documents/?uuid=8d8edf98-db85-3ade-a010-7958aa5a9dd4"]}],"mendeley":{"formattedCitation":"[62,63]","manualFormatting":"[62]","plainTextFormattedCitation":"[62,63]","previouslyFormattedCitation":"[62,63]"},"properties":{"noteIndex":0},"schema":"https://github.com/citation-style-language/schema/raw/master/csl-citation.json"}</w:instrText>
      </w:r>
      <w:r w:rsidR="008F25C4" w:rsidRPr="003476E6">
        <w:rPr>
          <w:rFonts w:eastAsia="MS Mincho" w:cs="Arial"/>
          <w:sz w:val="22"/>
          <w:szCs w:val="22"/>
        </w:rPr>
        <w:fldChar w:fldCharType="separate"/>
      </w:r>
      <w:r w:rsidR="008F25C4" w:rsidRPr="003476E6">
        <w:rPr>
          <w:rFonts w:eastAsia="MS Mincho" w:cs="Arial"/>
          <w:noProof/>
          <w:sz w:val="22"/>
          <w:szCs w:val="22"/>
        </w:rPr>
        <w:t>[62]</w:t>
      </w:r>
      <w:r w:rsidR="008F25C4" w:rsidRPr="003476E6">
        <w:rPr>
          <w:rFonts w:eastAsia="MS Mincho" w:cs="Arial"/>
          <w:sz w:val="22"/>
          <w:szCs w:val="22"/>
        </w:rPr>
        <w:fldChar w:fldCharType="end"/>
      </w:r>
      <w:r w:rsidR="008F25C4" w:rsidRPr="003476E6">
        <w:rPr>
          <w:rFonts w:eastAsia="MS Mincho" w:cs="Arial"/>
          <w:sz w:val="22"/>
          <w:szCs w:val="22"/>
        </w:rPr>
        <w:t xml:space="preserve">) </w:t>
      </w:r>
      <w:r w:rsidR="00EC1B67" w:rsidRPr="003476E6">
        <w:rPr>
          <w:rFonts w:eastAsia="MS Mincho" w:cs="Arial"/>
          <w:sz w:val="22"/>
          <w:szCs w:val="22"/>
        </w:rPr>
        <w:t xml:space="preserve">to ensure that </w:t>
      </w:r>
      <w:r w:rsidR="008F25C4" w:rsidRPr="003476E6">
        <w:rPr>
          <w:rFonts w:eastAsia="MS Mincho" w:cs="Arial"/>
          <w:sz w:val="22"/>
          <w:szCs w:val="22"/>
        </w:rPr>
        <w:t xml:space="preserve">the prosthetic foot-ankle complex is modelled appropriately to prevent under- or over-estimation of joint kinetics. </w:t>
      </w:r>
    </w:p>
    <w:bookmarkEnd w:id="36"/>
    <w:bookmarkEnd w:id="38"/>
    <w:p w14:paraId="36E366AD" w14:textId="29D464CF" w:rsidR="002E2575" w:rsidRPr="003476E6" w:rsidRDefault="002E2575" w:rsidP="00CF7C86">
      <w:pPr>
        <w:pStyle w:val="Heading1"/>
      </w:pPr>
      <w:r w:rsidRPr="003476E6">
        <w:t>Conclusion</w:t>
      </w:r>
    </w:p>
    <w:bookmarkEnd w:id="37"/>
    <w:p w14:paraId="605C83D6" w14:textId="1C8C2AEE" w:rsidR="00827114" w:rsidRPr="003476E6" w:rsidRDefault="00827114" w:rsidP="00827114">
      <w:pPr>
        <w:spacing w:after="120" w:line="480" w:lineRule="auto"/>
        <w:jc w:val="both"/>
        <w:rPr>
          <w:rFonts w:cs="Arial"/>
          <w:sz w:val="22"/>
          <w:szCs w:val="22"/>
        </w:rPr>
      </w:pPr>
      <w:r w:rsidRPr="003476E6">
        <w:rPr>
          <w:rFonts w:cs="Arial"/>
          <w:sz w:val="22"/>
          <w:szCs w:val="22"/>
          <w:lang w:eastAsia="en-GB"/>
        </w:rPr>
        <w:t xml:space="preserve">This study demonstrates novel evidence that RTD asymmetry, and to a lesser extent MVT asymmetry, may limit walking speed and the difference between self-selected habitual and fast speeds. We also found greater RTD asymmetry to be associated with greater vGRF asymmetry at fast walking speeds, and a greater increase in vGRF asymmetry when comparing fast to habitual walking speeds. </w:t>
      </w:r>
      <w:bookmarkStart w:id="39" w:name="_Hlk58537918"/>
      <w:r w:rsidRPr="003476E6">
        <w:rPr>
          <w:rFonts w:cs="Arial"/>
          <w:bCs/>
          <w:sz w:val="22"/>
          <w:szCs w:val="22"/>
        </w:rPr>
        <w:t>Further work should explore whether interventions that monitor and improve RTD symmetry might benefit speed and gait asymmetry during walking.</w:t>
      </w:r>
    </w:p>
    <w:bookmarkEnd w:id="39"/>
    <w:p w14:paraId="4FA81658" w14:textId="77777777" w:rsidR="00424A02" w:rsidRPr="003476E6" w:rsidRDefault="00424A02">
      <w:pPr>
        <w:spacing w:after="160" w:line="259" w:lineRule="auto"/>
        <w:rPr>
          <w:rFonts w:eastAsiaTheme="majorEastAsia" w:cstheme="majorBidi"/>
          <w:b/>
          <w:color w:val="000000" w:themeColor="text1"/>
          <w:szCs w:val="32"/>
        </w:rPr>
      </w:pPr>
      <w:r w:rsidRPr="003476E6">
        <w:br w:type="page"/>
      </w:r>
    </w:p>
    <w:p w14:paraId="076A17CC" w14:textId="27BE6EA9" w:rsidR="00AA5BE9" w:rsidRPr="003476E6" w:rsidRDefault="00D24311" w:rsidP="00951708">
      <w:pPr>
        <w:pStyle w:val="Heading1"/>
      </w:pPr>
      <w:r w:rsidRPr="003476E6">
        <w:lastRenderedPageBreak/>
        <w:t>References</w:t>
      </w:r>
    </w:p>
    <w:p w14:paraId="5DE7E77E" w14:textId="3355F1B4" w:rsidR="007E102E" w:rsidRPr="007E102E" w:rsidRDefault="00801AB3" w:rsidP="007E102E">
      <w:pPr>
        <w:widowControl w:val="0"/>
        <w:autoSpaceDE w:val="0"/>
        <w:autoSpaceDN w:val="0"/>
        <w:adjustRightInd w:val="0"/>
        <w:spacing w:after="160"/>
        <w:ind w:left="640" w:hanging="640"/>
        <w:rPr>
          <w:rFonts w:cs="Arial"/>
          <w:noProof/>
          <w:sz w:val="22"/>
        </w:rPr>
      </w:pPr>
      <w:r w:rsidRPr="003476E6">
        <w:rPr>
          <w:sz w:val="22"/>
          <w:szCs w:val="22"/>
        </w:rPr>
        <w:fldChar w:fldCharType="begin" w:fldLock="1"/>
      </w:r>
      <w:r w:rsidRPr="003476E6">
        <w:rPr>
          <w:sz w:val="22"/>
          <w:szCs w:val="22"/>
        </w:rPr>
        <w:instrText xml:space="preserve">ADDIN Mendeley Bibliography CSL_BIBLIOGRAPHY </w:instrText>
      </w:r>
      <w:r w:rsidRPr="003476E6">
        <w:rPr>
          <w:sz w:val="22"/>
          <w:szCs w:val="22"/>
        </w:rPr>
        <w:fldChar w:fldCharType="separate"/>
      </w:r>
      <w:r w:rsidR="007E102E" w:rsidRPr="007E102E">
        <w:rPr>
          <w:rFonts w:cs="Arial"/>
          <w:noProof/>
          <w:sz w:val="22"/>
        </w:rPr>
        <w:t>[1]</w:t>
      </w:r>
      <w:r w:rsidR="007E102E" w:rsidRPr="007E102E">
        <w:rPr>
          <w:rFonts w:cs="Arial"/>
          <w:noProof/>
          <w:sz w:val="22"/>
        </w:rPr>
        <w:tab/>
        <w:t>P. Abernethy, G. Wilson, P. Logan, Strength and power assessment, Sport. Med. 19 (1995) 401–417. https://doi.org/10.2165/00007256-199519060-00004.</w:t>
      </w:r>
    </w:p>
    <w:p w14:paraId="24A8B96C"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[2]</w:t>
      </w:r>
      <w:r w:rsidRPr="007E102E">
        <w:rPr>
          <w:rFonts w:cs="Arial"/>
          <w:noProof/>
          <w:sz w:val="22"/>
        </w:rPr>
        <w:tab/>
        <w:t>P. Aagaard, E.B. Simonsen, J.L. Andersen, P. Magnusson, P. Dyhre-Poulsen, Neural adaptation to resistance training: changes in evoked V-wave and H-reflex responses, J. Appl. Physiol. (Bethesda, Md. 1985). 92 (2002) 2309–2318. https://doi.org/10.1152/japplphysiol.01185.2001 [doi].</w:t>
      </w:r>
    </w:p>
    <w:p w14:paraId="77DE263E"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[3]</w:t>
      </w:r>
      <w:r w:rsidRPr="007E102E">
        <w:rPr>
          <w:rFonts w:cs="Arial"/>
          <w:noProof/>
          <w:sz w:val="22"/>
        </w:rPr>
        <w:tab/>
        <w:t>N.A. Tillin, J.P. Folland, Maximal and explosive strength training elicit distinct neuromuscular adaptations, specific to the training stimulus, Eur. J. Appl. Physiol. 114 (2014) 365–374.</w:t>
      </w:r>
    </w:p>
    <w:p w14:paraId="206E19B4"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[4]</w:t>
      </w:r>
      <w:r w:rsidRPr="007E102E">
        <w:rPr>
          <w:rFonts w:cs="Arial"/>
          <w:noProof/>
          <w:sz w:val="22"/>
        </w:rPr>
        <w:tab/>
        <w:t>A. Thorstensson, G. Grimby, J. Karlsson, Force-velocity relations and fiber composition in human knee extensor muscles, J. Appl. Physiol. 40 (1976) 12–16.</w:t>
      </w:r>
    </w:p>
    <w:p w14:paraId="3ADCC790"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[5]</w:t>
      </w:r>
      <w:r w:rsidRPr="007E102E">
        <w:rPr>
          <w:rFonts w:cs="Arial"/>
          <w:noProof/>
          <w:sz w:val="22"/>
        </w:rPr>
        <w:tab/>
        <w:t>N.A. Tillin, M.T.G. Pain, J.P. Folland, Contraction type influences the human ability to use the available torque capacity of skeletal muscle during explosive efforts, Proc. Biol. Sci. 279 (2012) 2106–2115. http://www.jstor.org/stable/41549512.</w:t>
      </w:r>
    </w:p>
    <w:p w14:paraId="42E0A97E"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[6]</w:t>
      </w:r>
      <w:r w:rsidRPr="007E102E">
        <w:rPr>
          <w:rFonts w:cs="Arial"/>
          <w:noProof/>
          <w:sz w:val="22"/>
        </w:rPr>
        <w:tab/>
        <w:t>M. Pijnappels, N.D. Reeves, J.H. van Dieën, Identification of elderly fallers by muscle strength measures, Eur. J. Appl. Physiol. 102 (2008) 585–592.</w:t>
      </w:r>
    </w:p>
    <w:p w14:paraId="3FD319DF"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[7]</w:t>
      </w:r>
      <w:r w:rsidRPr="007E102E">
        <w:rPr>
          <w:rFonts w:cs="Arial"/>
          <w:noProof/>
          <w:sz w:val="22"/>
        </w:rPr>
        <w:tab/>
        <w:t>N.A. Maffiuletti, M. Bizzini, K. Widler, U. Munzinger, Asymmetry in quadriceps rate of force development as a functional outcome measure in TKA, Clin. Orthop. Relat. Res. 468 (2010) 191–198. https://doi.org/10.1007/s11999-009-0978-4.</w:t>
      </w:r>
    </w:p>
    <w:p w14:paraId="20944459"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[8]</w:t>
      </w:r>
      <w:r w:rsidRPr="007E102E">
        <w:rPr>
          <w:rFonts w:cs="Arial"/>
          <w:noProof/>
          <w:sz w:val="22"/>
        </w:rPr>
        <w:tab/>
        <w:t>N.A. Tillin, M.T.G. Pain, J. Folland, Explosive force production during isometric squats correlates with athletic performance in rugby union players, J. Sports Sci. 31 (2013) 66–76. https://doi.org/10.1080/02640414.2012.720704.</w:t>
      </w:r>
    </w:p>
    <w:p w14:paraId="730ED6FB"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[9]</w:t>
      </w:r>
      <w:r w:rsidRPr="007E102E">
        <w:rPr>
          <w:rFonts w:cs="Arial"/>
          <w:noProof/>
          <w:sz w:val="22"/>
        </w:rPr>
        <w:tab/>
        <w:t>F.P. Behan, M.T.G. Pain, J.P. Folland, Explosive voluntary torque is related to whole-body response to unexpected perturbations, J. Biomech. 81 (2018) 86–92.</w:t>
      </w:r>
    </w:p>
    <w:p w14:paraId="1B5A546C"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[10]</w:t>
      </w:r>
      <w:r w:rsidRPr="007E102E">
        <w:rPr>
          <w:rFonts w:cs="Arial"/>
          <w:noProof/>
          <w:sz w:val="22"/>
        </w:rPr>
        <w:tab/>
        <w:t>E. Isakov, H. Burger, M. Gregorič, C. Marinček, Isokinetic and isometric strength of the thigh muscles in below-knee amputees, Clin. Biomech. 11 (1996) 233–235.</w:t>
      </w:r>
    </w:p>
    <w:p w14:paraId="736562D0"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[11]</w:t>
      </w:r>
      <w:r w:rsidRPr="007E102E">
        <w:rPr>
          <w:rFonts w:cs="Arial"/>
          <w:noProof/>
          <w:sz w:val="22"/>
        </w:rPr>
        <w:tab/>
        <w:t>P. Renstrom, G. Grimby, E. Larsson, Thigh muscle strength in below-knee amputees, Scand. J. Rehabil. Med. 9 (1983) 163–173.</w:t>
      </w:r>
    </w:p>
    <w:p w14:paraId="138CAC84"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[12]</w:t>
      </w:r>
      <w:r w:rsidRPr="007E102E">
        <w:rPr>
          <w:rFonts w:cs="Arial"/>
          <w:noProof/>
          <w:sz w:val="22"/>
        </w:rPr>
        <w:tab/>
        <w:t>A. Pedrinelli, M. Saito, R.F. Coelho, R.B. V Fontes, R. Guarniero, Comparative study of the strength of the flexor and extensor muscles of the knee through isokinetic evaluation in normal subjects and patients subjected to trans-tibial amputation, Prosthet. Orthot. Int. 26 (2002) 195–205.</w:t>
      </w:r>
    </w:p>
    <w:p w14:paraId="16C30D9C"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[13]</w:t>
      </w:r>
      <w:r w:rsidRPr="007E102E">
        <w:rPr>
          <w:rFonts w:cs="Arial"/>
          <w:noProof/>
          <w:sz w:val="22"/>
        </w:rPr>
        <w:tab/>
        <w:t>C.H. Lloyd, S.J. Stanhope, I.S. Davis, T.D. Royer, Strength asymmetry and osteoarthritis risk factors in unilateral trans-tibial, amputee gait, Gait Posture. 32 (2010) 296–300.</w:t>
      </w:r>
    </w:p>
    <w:p w14:paraId="53EDE25A"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[14]</w:t>
      </w:r>
      <w:r w:rsidRPr="007E102E">
        <w:rPr>
          <w:rFonts w:cs="Arial"/>
          <w:noProof/>
          <w:sz w:val="22"/>
        </w:rPr>
        <w:tab/>
        <w:t>A.R. Sibley, S. Strike, S.C. Moudy, N.A. Tillin, The effects of long</w:t>
      </w:r>
      <w:r w:rsidRPr="007E102E">
        <w:rPr>
          <w:rFonts w:ascii="Cambria Math" w:hAnsi="Cambria Math" w:cs="Cambria Math"/>
          <w:noProof/>
          <w:sz w:val="22"/>
        </w:rPr>
        <w:t>‐</w:t>
      </w:r>
      <w:r w:rsidRPr="007E102E">
        <w:rPr>
          <w:rFonts w:cs="Arial"/>
          <w:noProof/>
          <w:sz w:val="22"/>
        </w:rPr>
        <w:t>term muscle disuse on neuromuscular function in unilateral transtibial amputees, Exp. Physiol. (2019). https://doi.org/10.1113/ep088087.</w:t>
      </w:r>
    </w:p>
    <w:p w14:paraId="681177E0"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[15]</w:t>
      </w:r>
      <w:r w:rsidRPr="007E102E">
        <w:rPr>
          <w:rFonts w:cs="Arial"/>
          <w:noProof/>
          <w:sz w:val="22"/>
        </w:rPr>
        <w:tab/>
        <w:t>J.M. van Velzen, C.A.M. van Bennekom, W. Polomski, J.R. Slootman, L.H. V van der Woude, H. Houdijk, Physical capacity and walking ability after lower limb amputation: a systematic review, Clin Rehabil. 20 (2006) 999–1016. https://doi.org/10.1177/0269215506070700.</w:t>
      </w:r>
    </w:p>
    <w:p w14:paraId="0130BCC6"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[16]</w:t>
      </w:r>
      <w:r w:rsidRPr="007E102E">
        <w:rPr>
          <w:rFonts w:cs="Arial"/>
          <w:noProof/>
          <w:sz w:val="22"/>
        </w:rPr>
        <w:tab/>
        <w:t xml:space="preserve">R.W. Bohannon, Comfortable and maximum walking speed of adults aged 20—79 </w:t>
      </w:r>
      <w:r w:rsidRPr="007E102E">
        <w:rPr>
          <w:rFonts w:cs="Arial"/>
          <w:noProof/>
          <w:sz w:val="22"/>
        </w:rPr>
        <w:lastRenderedPageBreak/>
        <w:t>years: reference values and determinants, Age Ageing. 26 (1997) 15–19.</w:t>
      </w:r>
    </w:p>
    <w:p w14:paraId="45C696BA"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[17]</w:t>
      </w:r>
      <w:r w:rsidRPr="007E102E">
        <w:rPr>
          <w:rFonts w:cs="Arial"/>
          <w:noProof/>
          <w:sz w:val="22"/>
        </w:rPr>
        <w:tab/>
        <w:t>T. Öberg, A. Karsznia, K. Öberg, Basic gait parameters: reference data for normal subjects, 10-79 years of age, J. Rehabil. Res. Dev. 30 (1993) 210.</w:t>
      </w:r>
    </w:p>
    <w:p w14:paraId="6E912A25"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[18]</w:t>
      </w:r>
      <w:r w:rsidRPr="007E102E">
        <w:rPr>
          <w:rFonts w:cs="Arial"/>
          <w:noProof/>
          <w:sz w:val="22"/>
        </w:rPr>
        <w:tab/>
        <w:t>D.J. Sanderson, P.E. Martin, Lower extremity kinematic and kinetic adaptations in unilateral below-knee amputees during walking, Gait Posture. 6 (1997) 126–136.</w:t>
      </w:r>
    </w:p>
    <w:p w14:paraId="520ACB2C"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[19]</w:t>
      </w:r>
      <w:r w:rsidRPr="007E102E">
        <w:rPr>
          <w:rFonts w:cs="Arial"/>
          <w:noProof/>
          <w:sz w:val="22"/>
        </w:rPr>
        <w:tab/>
        <w:t>S.J. Mattes, P.E. Martin, T.D. Royer, Walking symmetry and energy cost in persons with unilateral transtibial amputations: matching prosthetic and intact limb inertial properties, Arch. Phys. Med. Rehabil. 81 (2000) 561–568.</w:t>
      </w:r>
    </w:p>
    <w:p w14:paraId="03212909"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[20]</w:t>
      </w:r>
      <w:r w:rsidRPr="007E102E">
        <w:rPr>
          <w:rFonts w:cs="Arial"/>
          <w:noProof/>
          <w:sz w:val="22"/>
        </w:rPr>
        <w:tab/>
        <w:t>L. Nolan, A. Wit, K. Dudziñski, A. Lees, M. Lake, M. Wychowañski, Adjustments in gait symmetry with walking speed in trans-femoral and trans-tibial amputees, Gait Posture. 17 (2003) 142–151. https://doi.org/10.1016/S0966-6362(02)00066-8.</w:t>
      </w:r>
    </w:p>
    <w:p w14:paraId="2A2FEDC7"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[21]</w:t>
      </w:r>
      <w:r w:rsidRPr="007E102E">
        <w:rPr>
          <w:rFonts w:cs="Arial"/>
          <w:noProof/>
          <w:sz w:val="22"/>
        </w:rPr>
        <w:tab/>
        <w:t>L. Hak, J.H. Van Dieën, P. Van Der Wurff, H. Houdijk, Stepping asymmetry among individuals with unilateral transtibial limb loss might be functional in terms of gait stability, Phys. Ther. 94 (2014) 1480–1488.</w:t>
      </w:r>
    </w:p>
    <w:p w14:paraId="0BC1A4EB"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[22]</w:t>
      </w:r>
      <w:r w:rsidRPr="007E102E">
        <w:rPr>
          <w:rFonts w:cs="Arial"/>
          <w:noProof/>
          <w:sz w:val="22"/>
        </w:rPr>
        <w:tab/>
        <w:t>D.C. Norvell, J.M. Czerniecki, G.E. Reiber, C. Maynard, J.A. Pecoraro, N.S. Weiss, The prevalence of knee pain and symptomatic knee osteoarthritis among veteran traumatic amputees and nonamputees, Arch. Phys. Med. Rehabil. 86 (2005) 487–493.</w:t>
      </w:r>
    </w:p>
    <w:p w14:paraId="1EE089A4"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[23]</w:t>
      </w:r>
      <w:r w:rsidRPr="007E102E">
        <w:rPr>
          <w:rFonts w:cs="Arial"/>
          <w:noProof/>
          <w:sz w:val="22"/>
        </w:rPr>
        <w:tab/>
        <w:t>É. Vignon, J.-P. Valat, M. Rossignol, B. Avouac, S. Rozenberg, P. Thoumie, J. Avouac, M. Nordin, P. Hilliquin, Osteoarthritis of the knee and hip and activity: a systematic international review and synthesis (OASIS), Jt. Bone Spine. 73 (2006) 442–455. https://doi.org///dx.doi.org/10.1016/j.jbspin.2006.03.001.</w:t>
      </w:r>
    </w:p>
    <w:p w14:paraId="270D09E2"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[24]</w:t>
      </w:r>
      <w:r w:rsidRPr="007E102E">
        <w:rPr>
          <w:rFonts w:cs="Arial"/>
          <w:noProof/>
          <w:sz w:val="22"/>
        </w:rPr>
        <w:tab/>
        <w:t>N. Vanicek, S. Strike, L. McNaughton, R. Polman, Gait patterns in transtibial amputee fallers vs. non-fallers: Biomechanical differences during level walking, Gait Posture. 29 (2009) 415–420.</w:t>
      </w:r>
    </w:p>
    <w:p w14:paraId="3A40EA82"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[25]</w:t>
      </w:r>
      <w:r w:rsidRPr="007E102E">
        <w:rPr>
          <w:rFonts w:cs="Arial"/>
          <w:noProof/>
          <w:sz w:val="22"/>
        </w:rPr>
        <w:tab/>
        <w:t>J. Perry, Gait Analysis: Normal and Pathological Function, 2nd ed., Slack Inc, Thorofare, NJ, 1992.</w:t>
      </w:r>
    </w:p>
    <w:p w14:paraId="67715B09"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[26]</w:t>
      </w:r>
      <w:r w:rsidRPr="007E102E">
        <w:rPr>
          <w:rFonts w:cs="Arial"/>
          <w:noProof/>
          <w:sz w:val="22"/>
        </w:rPr>
        <w:tab/>
        <w:t>C.M. Powers, S. Rao, J. Perry, Knee kinetics in trans-tibial amputee gait, Gait Posture. 8 (1998) 1–7.</w:t>
      </w:r>
    </w:p>
    <w:p w14:paraId="02BE51FF"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[27]</w:t>
      </w:r>
      <w:r w:rsidRPr="007E102E">
        <w:rPr>
          <w:rFonts w:cs="Arial"/>
          <w:noProof/>
          <w:sz w:val="22"/>
        </w:rPr>
        <w:tab/>
        <w:t>A.K. Silverman, N.P. Fey, A. Portillo, J.G. Walden, G. Bosker, R.R. Neptune, Compensatory mechanisms in below-knee amputee gait in response to increasing steady-state walking speeds, Gait Posture. 28 (2008) 602–609. https://doi.org/10.1016/j.gaitpost.2008.04.005.</w:t>
      </w:r>
    </w:p>
    <w:p w14:paraId="5A5C626D"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[28]</w:t>
      </w:r>
      <w:r w:rsidRPr="007E102E">
        <w:rPr>
          <w:rFonts w:cs="Arial"/>
          <w:noProof/>
          <w:sz w:val="22"/>
        </w:rPr>
        <w:tab/>
        <w:t>D.A. Winter, S.E. Sienko, Biomechanics of below-knee amputee gait, J. Biomech. 21 (1988) 361–367.</w:t>
      </w:r>
    </w:p>
    <w:p w14:paraId="2538D1AF"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[29]</w:t>
      </w:r>
      <w:r w:rsidRPr="007E102E">
        <w:rPr>
          <w:rFonts w:cs="Arial"/>
          <w:noProof/>
          <w:sz w:val="22"/>
        </w:rPr>
        <w:tab/>
        <w:t>C.M. Powers, L.A. Boyd, C.A. Fontaine, J. Perry, The influence of lower-extremity muscle force on gait characteristics in individuals with below-knee amputations secondary to vascular disease, Phys. Ther. 76 (1996) 369–385.</w:t>
      </w:r>
    </w:p>
    <w:p w14:paraId="0FD0E824"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[30]</w:t>
      </w:r>
      <w:r w:rsidRPr="007E102E">
        <w:rPr>
          <w:rFonts w:cs="Arial"/>
          <w:noProof/>
          <w:sz w:val="22"/>
        </w:rPr>
        <w:tab/>
        <w:t>O.M. Knezevic, D.M. Mirkov, M. Kadija, A. Nedeljkovic, S. Jaric, Asymmetries in explosive strength following anterior cruciate ligament reconstruction, Knee. 21 (2014) 1039–1045.</w:t>
      </w:r>
    </w:p>
    <w:p w14:paraId="5C665E14"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[31]</w:t>
      </w:r>
      <w:r w:rsidRPr="007E102E">
        <w:rPr>
          <w:rFonts w:cs="Arial"/>
          <w:noProof/>
          <w:sz w:val="22"/>
        </w:rPr>
        <w:tab/>
        <w:t>D.P. LaRoche, K.A. Cremin, B. Greenleaf, R. V Croce, Rapid torque development in older female fallers and nonfallers: a comparison across lower-extremity muscles., Ournal Electromyogr. Kinesiol. 20 (2010) 482–488.</w:t>
      </w:r>
    </w:p>
    <w:p w14:paraId="5E341D86"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[32]</w:t>
      </w:r>
      <w:r w:rsidRPr="007E102E">
        <w:rPr>
          <w:rFonts w:cs="Arial"/>
          <w:noProof/>
          <w:sz w:val="22"/>
        </w:rPr>
        <w:tab/>
        <w:t xml:space="preserve">P.W. Kline, K.D. Morgan, D.L. Johnson, M.L. Ireland, B. Noehren, Impaired </w:t>
      </w:r>
      <w:r w:rsidRPr="007E102E">
        <w:rPr>
          <w:rFonts w:cs="Arial"/>
          <w:noProof/>
          <w:sz w:val="22"/>
        </w:rPr>
        <w:lastRenderedPageBreak/>
        <w:t>Quadriceps Rate of Torque Development and Knee Mechanics after Anterior Cruciate Ligament Reconstruction with Patellar Tendon Autograft, Am. J. Sports Med. 43 (2015) 2553–2558. https://doi.org/10.1177/0363546515595834.</w:t>
      </w:r>
    </w:p>
    <w:p w14:paraId="105D8BFA"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[33]</w:t>
      </w:r>
      <w:r w:rsidRPr="007E102E">
        <w:rPr>
          <w:rFonts w:cs="Arial"/>
          <w:noProof/>
          <w:sz w:val="22"/>
        </w:rPr>
        <w:tab/>
        <w:t>D.P. LaRoche, E.D. Millett, R.J. Kralian, Low strength is related to diminished ground reaction forces and walking performance in older women, Gait Posture. 33 (2011) 668–672. https://doi.org/10.1016/j.gaitpost.2011.02.022.</w:t>
      </w:r>
    </w:p>
    <w:p w14:paraId="6FCFB7AE"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[34]</w:t>
      </w:r>
      <w:r w:rsidRPr="007E102E">
        <w:rPr>
          <w:rFonts w:cs="Arial"/>
          <w:noProof/>
          <w:sz w:val="22"/>
        </w:rPr>
        <w:tab/>
        <w:t>S. Fritz, M. Lusardi, White paper:“walking speed: the sixth vital sign,” J. Geriatr. Phys. Ther. 32 (2009) 2–5.</w:t>
      </w:r>
    </w:p>
    <w:p w14:paraId="0EC68174"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[35]</w:t>
      </w:r>
      <w:r w:rsidRPr="007E102E">
        <w:rPr>
          <w:rFonts w:cs="Arial"/>
          <w:noProof/>
          <w:sz w:val="22"/>
        </w:rPr>
        <w:tab/>
        <w:t>M.S. Orendurff, S.U. Raschke, L. Winder, D. Moe, D.A. Boone, T. Kobayashi, Functional level assessment of individuals with transtibial limb loss: Evaluation in the clinical setting versus objective community ambulatory activity, J. Rehabil. Assist. Technol. Eng. 3 (2016) 1–6. https://doi.org/10.1177/2055668316636316.</w:t>
      </w:r>
    </w:p>
    <w:p w14:paraId="706100B3"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[36]</w:t>
      </w:r>
      <w:r w:rsidRPr="007E102E">
        <w:rPr>
          <w:rFonts w:cs="Arial"/>
          <w:noProof/>
          <w:sz w:val="22"/>
        </w:rPr>
        <w:tab/>
        <w:t>N.A. Maffiuletti, P. Aagaard, A.J. Blazevich, J. Folland, N. Tillin, J. Duchateau, Rate of force development: physiological and methodological considerations, Eur. J. Appl. Physiol. 116 (2016) 1091–1116.</w:t>
      </w:r>
    </w:p>
    <w:p w14:paraId="5464D0C2"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[37]</w:t>
      </w:r>
      <w:r w:rsidRPr="007E102E">
        <w:rPr>
          <w:rFonts w:cs="Arial"/>
          <w:noProof/>
          <w:sz w:val="22"/>
        </w:rPr>
        <w:tab/>
        <w:t>J.P. Folland, M.W. Buckthorpe, R. Hannah, Human capacity for explosive force production: neural and contractile determinants, Scand. J. Med. Sci. Sports. 24 (2014) 894–906.</w:t>
      </w:r>
    </w:p>
    <w:p w14:paraId="3AA97486"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[38]</w:t>
      </w:r>
      <w:r w:rsidRPr="007E102E">
        <w:rPr>
          <w:rFonts w:cs="Arial"/>
          <w:noProof/>
          <w:sz w:val="22"/>
        </w:rPr>
        <w:tab/>
        <w:t>R.B. Davis III, S. Ounpuu, D. Tyburski, J.R. Gage, A gait analysis data collection and reduction technique, Hum. Mov. Sci. 10 (1991) 575–587.</w:t>
      </w:r>
    </w:p>
    <w:p w14:paraId="11E80E8D"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[39]</w:t>
      </w:r>
      <w:r w:rsidRPr="007E102E">
        <w:rPr>
          <w:rFonts w:cs="Arial"/>
          <w:noProof/>
          <w:sz w:val="22"/>
        </w:rPr>
        <w:tab/>
        <w:t>D. Rusaw, N. Ramstrand, Sagittal plane position of the functional joint centre of prosthetic foot/ankle mechanisms, Clin. Biomech. 25 (2010) 713–720.</w:t>
      </w:r>
    </w:p>
    <w:p w14:paraId="0E82F0D9"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[40]</w:t>
      </w:r>
      <w:r w:rsidRPr="007E102E">
        <w:rPr>
          <w:rFonts w:cs="Arial"/>
          <w:noProof/>
          <w:sz w:val="22"/>
        </w:rPr>
        <w:tab/>
        <w:t>J. Kent, A. Franklyn-Miller, Biomechanical models in the study of lower limb amputee kinematics: a review, Prosthet. Orthot. Int. 35 (2011) 124–139.</w:t>
      </w:r>
    </w:p>
    <w:p w14:paraId="505E5C18"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[41]</w:t>
      </w:r>
      <w:r w:rsidRPr="007E102E">
        <w:rPr>
          <w:rFonts w:cs="Arial"/>
          <w:noProof/>
          <w:sz w:val="22"/>
        </w:rPr>
        <w:tab/>
        <w:t>W.T. Dempster, The Anthropometry of Body Action, Ann. N. Y. Acad. Sci. 63 (1955) 559–585. https://doi.org/10.1111/j.1749-6632.1955.tb32112.x.</w:t>
      </w:r>
    </w:p>
    <w:p w14:paraId="4EFFE573"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[42]</w:t>
      </w:r>
      <w:r w:rsidRPr="007E102E">
        <w:rPr>
          <w:rFonts w:cs="Arial"/>
          <w:noProof/>
          <w:sz w:val="22"/>
        </w:rPr>
        <w:tab/>
        <w:t>T. Maly, F. Zahalka, L. Mala, P. Cech, The bilateral strength and power asymmetries in untrained boys, Open Med. 10 (2015).</w:t>
      </w:r>
    </w:p>
    <w:p w14:paraId="4A1259B9"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[43]</w:t>
      </w:r>
      <w:r w:rsidRPr="007E102E">
        <w:rPr>
          <w:rFonts w:cs="Arial"/>
          <w:noProof/>
          <w:sz w:val="22"/>
        </w:rPr>
        <w:tab/>
        <w:t>D. Ceroni, X.E. Martin, C. Delhumeau, N.J. Farpour-Lambert, Bilateral and gender differences during single-legged vertical jump performance in healthy teenagers, J. Strength Cond. Res. 26 (2012) 452–457.</w:t>
      </w:r>
    </w:p>
    <w:p w14:paraId="3D08EC18"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[44]</w:t>
      </w:r>
      <w:r w:rsidRPr="007E102E">
        <w:rPr>
          <w:rFonts w:cs="Arial"/>
          <w:noProof/>
          <w:sz w:val="22"/>
        </w:rPr>
        <w:tab/>
        <w:t>M. Schiltz, C. Lehance, D. Maquet, T. Bury, J.-M. Crielaard, J.-L. Croisier, Explosive strength imbalances in professional basketball players, J. Athl. Train. 44 (2009) 39–47.</w:t>
      </w:r>
    </w:p>
    <w:p w14:paraId="1A561F0D"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[45]</w:t>
      </w:r>
      <w:r w:rsidRPr="007E102E">
        <w:rPr>
          <w:rFonts w:cs="Arial"/>
          <w:noProof/>
          <w:sz w:val="22"/>
        </w:rPr>
        <w:tab/>
        <w:t>C. Bishop, A. Turner, P. Read, Effects of inter-limb asymmetries on physical and sports performance: a systematic review, J. Sports Sci. 36 (2018) 1135–1144.</w:t>
      </w:r>
    </w:p>
    <w:p w14:paraId="74F1F063"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[46]</w:t>
      </w:r>
      <w:r w:rsidRPr="007E102E">
        <w:rPr>
          <w:rFonts w:cs="Arial"/>
          <w:noProof/>
          <w:sz w:val="22"/>
        </w:rPr>
        <w:tab/>
        <w:t>D. Lakens, Calculating and reporting effect sizes to facilitate cumulative science: a practical primer for t-tests and ANOVAs, Front. Psychol. 4 (2013). https://doi.org/10.3389/fpsyg.2013.00863.</w:t>
      </w:r>
    </w:p>
    <w:p w14:paraId="00A00ECA"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[47]</w:t>
      </w:r>
      <w:r w:rsidRPr="007E102E">
        <w:rPr>
          <w:rFonts w:cs="Arial"/>
          <w:noProof/>
          <w:sz w:val="22"/>
        </w:rPr>
        <w:tab/>
        <w:t>M.M. Mukaka, A guide to appropriate use of correlation coefficient in medical research, Malawi Med. J. 24 (2012) 69–71.</w:t>
      </w:r>
    </w:p>
    <w:p w14:paraId="17640293"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[48]</w:t>
      </w:r>
      <w:r w:rsidRPr="007E102E">
        <w:rPr>
          <w:rFonts w:cs="Arial"/>
          <w:noProof/>
          <w:sz w:val="22"/>
        </w:rPr>
        <w:tab/>
        <w:t>C.T. Barnett, N. Vanicek, D.F. Rusaw, Do Predictive Relationships Exist Between Postural Control and Falls Efficacy in Unilateral Transtibial Prosthesis Users?, Arch. Phys. Med. Rehabil. 99 (2018) 2271–2278. https://doi.org/10.1016/j.apmr.2018.05.016.</w:t>
      </w:r>
    </w:p>
    <w:p w14:paraId="72C374CD"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lastRenderedPageBreak/>
        <w:t>[49]</w:t>
      </w:r>
      <w:r w:rsidRPr="007E102E">
        <w:rPr>
          <w:rFonts w:cs="Arial"/>
          <w:noProof/>
          <w:sz w:val="22"/>
        </w:rPr>
        <w:tab/>
        <w:t>Y. Benjamini, Y. Hochberg, Controlling the False Discovery Rate: A Practical and Powerful Approach to Multiple Testing, J. R. Stat. Soc. Ser. B. 57 (1995) 289–300. https://doi.org/10.1111/j.2517-6161.1995.tb02031.x.</w:t>
      </w:r>
    </w:p>
    <w:p w14:paraId="4F64D90A"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[50]</w:t>
      </w:r>
      <w:r w:rsidRPr="007E102E">
        <w:rPr>
          <w:rFonts w:cs="Arial"/>
          <w:noProof/>
          <w:sz w:val="22"/>
        </w:rPr>
        <w:tab/>
        <w:t>A.K. Silverman, R.R. Neptune, Muscle and prosthesis contributions to amputee walking mechanics: a modeling study, J. Biomech. 45 (2012) 2271–2278.</w:t>
      </w:r>
    </w:p>
    <w:p w14:paraId="6AE740E7"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[51]</w:t>
      </w:r>
      <w:r w:rsidRPr="007E102E">
        <w:rPr>
          <w:rFonts w:cs="Arial"/>
          <w:noProof/>
          <w:sz w:val="22"/>
        </w:rPr>
        <w:tab/>
        <w:t>P.A. Macfarlane, D.H. Nielsen, D.G. Shurr, K. Meier, Gait comparisons for below-knee amputees using a Flex-Foot versus a conventional prosthetic foot, J Prosthet Orthot. 3 (1991) 150–161.</w:t>
      </w:r>
    </w:p>
    <w:p w14:paraId="44B1C9D1"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[52]</w:t>
      </w:r>
      <w:r w:rsidRPr="007E102E">
        <w:rPr>
          <w:rFonts w:cs="Arial"/>
          <w:noProof/>
          <w:sz w:val="22"/>
        </w:rPr>
        <w:tab/>
        <w:t>T. Schmalz, S. Blumentritt, C.D. Reimers, Selective thigh muscle atrophy in trans-tibial amputees: an ultrasonographic study, Arch. Orthop. Trauma Surg. 121 (2001) 307–312.</w:t>
      </w:r>
    </w:p>
    <w:p w14:paraId="73981FFA"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[53]</w:t>
      </w:r>
      <w:r w:rsidRPr="007E102E">
        <w:rPr>
          <w:rFonts w:cs="Arial"/>
          <w:noProof/>
          <w:sz w:val="22"/>
        </w:rPr>
        <w:tab/>
        <w:t>M. Izquierdo, X. Aguado, R. Gonzalez, J.L. Lopez, K. Häkkinen, Maximal and explosive force production capacity and balance performance in men of different ages, Eur. J. Appl. Physiol. Occup. Physiol. 79 (1999) 260–267.</w:t>
      </w:r>
    </w:p>
    <w:p w14:paraId="2E0FBDD8"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[54]</w:t>
      </w:r>
      <w:r w:rsidRPr="007E102E">
        <w:rPr>
          <w:rFonts w:cs="Arial"/>
          <w:noProof/>
          <w:sz w:val="22"/>
        </w:rPr>
        <w:tab/>
        <w:t>L. Hak, H. Houdijk, P.J. Beek, J.H. van Dieën, Steps to take to enhance gait stability: the effect of stride frequency, stride length, and walking speed on local dynamic stability and margins of stability, PLoS One. 8 (2013) e82842.</w:t>
      </w:r>
    </w:p>
    <w:p w14:paraId="2CF2E368"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[55]</w:t>
      </w:r>
      <w:r w:rsidRPr="007E102E">
        <w:rPr>
          <w:rFonts w:cs="Arial"/>
          <w:noProof/>
          <w:sz w:val="22"/>
        </w:rPr>
        <w:tab/>
        <w:t>H.G. Kang, J.B. Dingwell, Effects of walking speed, strength and range of motion on gait stability in healthy older adults, J. Biomech. 41 (2008) 2899–2905. https://doi.org/10.1016/j.jbiomech.2008.08.002.</w:t>
      </w:r>
    </w:p>
    <w:p w14:paraId="7D0AE1BF"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[56]</w:t>
      </w:r>
      <w:r w:rsidRPr="007E102E">
        <w:rPr>
          <w:rFonts w:cs="Arial"/>
          <w:noProof/>
          <w:sz w:val="22"/>
        </w:rPr>
        <w:tab/>
        <w:t>N.P. Fey, A.K. Silverman, R.R. Neptune, The influence of increasing steady-state walking speed on muscle activity in below-knee amputees, J. Electromyogr. Kinesiol. 20 (2010) 155–161.</w:t>
      </w:r>
    </w:p>
    <w:p w14:paraId="25835BD7"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[57]</w:t>
      </w:r>
      <w:r w:rsidRPr="007E102E">
        <w:rPr>
          <w:rFonts w:cs="Arial"/>
          <w:noProof/>
          <w:sz w:val="22"/>
        </w:rPr>
        <w:tab/>
        <w:t>M.Q. Liu, F.C. Anderson, M.H. Schwartz, S.L. Delp, Muscle contributions to support and progression over a range of walking speeds, J. Biomech. 41 (2008) 3243–3252.</w:t>
      </w:r>
    </w:p>
    <w:p w14:paraId="3B671FE5"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[58]</w:t>
      </w:r>
      <w:r w:rsidRPr="007E102E">
        <w:rPr>
          <w:rFonts w:cs="Arial"/>
          <w:noProof/>
          <w:sz w:val="22"/>
        </w:rPr>
        <w:tab/>
        <w:t>E. Isakov, H. Burger, J. Krajnik, M. Gregoric, C. Marincek, Knee muscle activity during ambulation of trans-tibial amputees, (2001) 196–199.</w:t>
      </w:r>
    </w:p>
    <w:p w14:paraId="7E3F7765"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[59]</w:t>
      </w:r>
      <w:r w:rsidRPr="007E102E">
        <w:rPr>
          <w:rFonts w:cs="Arial"/>
          <w:noProof/>
          <w:sz w:val="22"/>
        </w:rPr>
        <w:tab/>
        <w:t>M.Q. Liu, F.C. Anderson, M.G. Pandy, S.L. Delp, Muscles that support the body also modulate forward progression during walking, J. Biomech. 39 (2006) 2623–2630.</w:t>
      </w:r>
    </w:p>
    <w:p w14:paraId="63D44A69"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[60]</w:t>
      </w:r>
      <w:r w:rsidRPr="007E102E">
        <w:rPr>
          <w:rFonts w:cs="Arial"/>
          <w:noProof/>
          <w:sz w:val="22"/>
        </w:rPr>
        <w:tab/>
        <w:t>R.R. Neptune, F.E. Zajac, S.A. Kautz, Muscle force redistributes segmental power for body progression during walking, Gait Posture. 19 (2004) 194–205.</w:t>
      </w:r>
    </w:p>
    <w:p w14:paraId="62378D90"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[61]</w:t>
      </w:r>
      <w:r w:rsidRPr="007E102E">
        <w:rPr>
          <w:rFonts w:cs="Arial"/>
          <w:noProof/>
          <w:sz w:val="22"/>
        </w:rPr>
        <w:tab/>
        <w:t>T. Royer, M. Koenig, Joint loading and bone mineral density in persons with unilateral, trans-tibial amputation, Clin. Biomech. 20 (2005) 1119–1125. https://doi.org///dx.doi.org/10.1016/j.clinbiomech.2005.07.003.</w:t>
      </w:r>
    </w:p>
    <w:p w14:paraId="083EAAFA"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[62]</w:t>
      </w:r>
      <w:r w:rsidRPr="007E102E">
        <w:rPr>
          <w:rFonts w:cs="Arial"/>
          <w:noProof/>
          <w:sz w:val="22"/>
        </w:rPr>
        <w:tab/>
        <w:t>K.Z. Takahashi, T.M. Kepple, S.J. Stanhope, A unified deformable (UD) segment model for quantifying total power of anatomical and prosthetic below-knee structures during stance in gait, J. Biomech. 45 (2012) 2662–2667. https://doi.org/10.1016/j.jbiomech.2012.08.017.</w:t>
      </w:r>
    </w:p>
    <w:p w14:paraId="6731EE3E" w14:textId="77777777" w:rsidR="007E102E" w:rsidRPr="007E102E" w:rsidRDefault="007E102E" w:rsidP="007E102E">
      <w:pPr>
        <w:widowControl w:val="0"/>
        <w:autoSpaceDE w:val="0"/>
        <w:autoSpaceDN w:val="0"/>
        <w:adjustRightInd w:val="0"/>
        <w:spacing w:after="160"/>
        <w:ind w:left="640" w:hanging="640"/>
        <w:rPr>
          <w:rFonts w:cs="Arial"/>
          <w:noProof/>
          <w:sz w:val="22"/>
        </w:rPr>
      </w:pPr>
      <w:r w:rsidRPr="007E102E">
        <w:rPr>
          <w:rFonts w:cs="Arial"/>
          <w:noProof/>
          <w:sz w:val="22"/>
        </w:rPr>
        <w:t>[63]</w:t>
      </w:r>
      <w:r w:rsidRPr="007E102E">
        <w:rPr>
          <w:rFonts w:cs="Arial"/>
          <w:noProof/>
          <w:sz w:val="22"/>
        </w:rPr>
        <w:tab/>
        <w:t>F. Prince, D.A. Winter, G. Sjonnesen, R.K. Wheeldon, A New Technique for the Calculation of the Energy Stored, Dissipated, and Recovered in Different Ankle-Foot Prostheses, IEEE Trans. Rehabil. Eng. 2 (1994) 247–255. https://doi.org/10.1109/86.340873.</w:t>
      </w:r>
    </w:p>
    <w:p w14:paraId="0707BA1A" w14:textId="59CE6C6F" w:rsidR="00926C70" w:rsidRPr="003476E6" w:rsidRDefault="00801AB3">
      <w:pPr>
        <w:spacing w:after="160" w:line="259" w:lineRule="auto"/>
        <w:rPr>
          <w:rFonts w:eastAsiaTheme="majorEastAsia" w:cstheme="majorBidi"/>
          <w:b/>
          <w:color w:val="000000" w:themeColor="text1"/>
          <w:szCs w:val="32"/>
        </w:rPr>
      </w:pPr>
      <w:r w:rsidRPr="003476E6">
        <w:rPr>
          <w:sz w:val="22"/>
          <w:szCs w:val="22"/>
        </w:rPr>
        <w:fldChar w:fldCharType="end"/>
      </w:r>
      <w:r w:rsidR="00926C70" w:rsidRPr="003476E6">
        <w:br w:type="page"/>
      </w:r>
    </w:p>
    <w:p w14:paraId="053B2523" w14:textId="77777777" w:rsidR="00AD7D69" w:rsidRPr="003476E6" w:rsidRDefault="00AD7D69" w:rsidP="0086271F">
      <w:pPr>
        <w:pStyle w:val="Heading1"/>
        <w:sectPr w:rsidR="00AD7D69" w:rsidRPr="003476E6" w:rsidSect="00BB04B0">
          <w:headerReference w:type="default" r:id="rId12"/>
          <w:pgSz w:w="11906" w:h="16838" w:code="9"/>
          <w:pgMar w:top="1440" w:right="1440" w:bottom="1440" w:left="1440" w:header="709" w:footer="709" w:gutter="0"/>
          <w:cols w:space="708"/>
          <w:docGrid w:linePitch="360"/>
        </w:sectPr>
      </w:pPr>
    </w:p>
    <w:p w14:paraId="4BE5135B" w14:textId="447CDD1B" w:rsidR="00AD7D69" w:rsidRPr="003476E6" w:rsidRDefault="00EF1398" w:rsidP="0086271F">
      <w:pPr>
        <w:pStyle w:val="Heading1"/>
      </w:pPr>
      <w:r w:rsidRPr="003476E6">
        <w:lastRenderedPageBreak/>
        <w:t>Tables</w:t>
      </w:r>
    </w:p>
    <w:tbl>
      <w:tblPr>
        <w:tblW w:w="5000" w:type="pct"/>
        <w:tblCellMar>
          <w:left w:w="0" w:type="dxa"/>
          <w:right w:w="0" w:type="dxa"/>
        </w:tblCellMar>
        <w:tblLook w:val="04A0" w:firstRow="1" w:lastRow="0" w:firstColumn="1" w:lastColumn="0" w:noHBand="0" w:noVBand="1"/>
      </w:tblPr>
      <w:tblGrid>
        <w:gridCol w:w="1162"/>
        <w:gridCol w:w="966"/>
        <w:gridCol w:w="993"/>
        <w:gridCol w:w="848"/>
        <w:gridCol w:w="1560"/>
        <w:gridCol w:w="1415"/>
        <w:gridCol w:w="993"/>
        <w:gridCol w:w="1089"/>
      </w:tblGrid>
      <w:tr w:rsidR="00AD7D69" w:rsidRPr="003476E6" w14:paraId="1B83BB71" w14:textId="77777777" w:rsidTr="0008678E">
        <w:trPr>
          <w:trHeight w:val="240"/>
        </w:trPr>
        <w:tc>
          <w:tcPr>
            <w:tcW w:w="5000" w:type="pct"/>
            <w:gridSpan w:val="8"/>
            <w:tcBorders>
              <w:top w:val="nil"/>
              <w:left w:val="nil"/>
              <w:bottom w:val="single" w:sz="8" w:space="0" w:color="000000"/>
              <w:right w:val="nil"/>
            </w:tcBorders>
            <w:shd w:val="clear" w:color="auto" w:fill="auto"/>
            <w:tcMar>
              <w:top w:w="15" w:type="dxa"/>
              <w:left w:w="108" w:type="dxa"/>
              <w:bottom w:w="0" w:type="dxa"/>
              <w:right w:w="108" w:type="dxa"/>
            </w:tcMar>
            <w:hideMark/>
          </w:tcPr>
          <w:p w14:paraId="235F5670" w14:textId="5F054ABF" w:rsidR="00AD7D69" w:rsidRPr="003476E6" w:rsidRDefault="00AD7D69" w:rsidP="00C51C71">
            <w:pPr>
              <w:spacing w:after="160" w:line="360" w:lineRule="auto"/>
              <w:rPr>
                <w:b/>
                <w:sz w:val="22"/>
                <w:szCs w:val="22"/>
              </w:rPr>
            </w:pPr>
            <w:r w:rsidRPr="003476E6">
              <w:rPr>
                <w:rFonts w:cs="Arial"/>
                <w:b/>
                <w:bCs/>
                <w:iCs/>
                <w:sz w:val="22"/>
                <w:szCs w:val="22"/>
              </w:rPr>
              <w:t>Table 1.</w:t>
            </w:r>
            <w:r w:rsidRPr="003476E6">
              <w:rPr>
                <w:rFonts w:cs="Arial"/>
                <w:iCs/>
                <w:sz w:val="22"/>
                <w:szCs w:val="22"/>
              </w:rPr>
              <w:t xml:space="preserve"> Individual participant information and mean average values for 8 ITTAs. </w:t>
            </w:r>
            <w:r w:rsidRPr="003476E6">
              <w:rPr>
                <w:rFonts w:cs="Arial"/>
                <w:sz w:val="22"/>
                <w:szCs w:val="22"/>
              </w:rPr>
              <w:t xml:space="preserve">Physical activity was assessed using the International Physical Activity Questionnaire (Short Format, </w:t>
            </w:r>
            <w:hyperlink r:id="rId13" w:history="1">
              <w:r w:rsidRPr="003476E6">
                <w:rPr>
                  <w:rStyle w:val="Hyperlink"/>
                  <w:rFonts w:cs="Arial"/>
                  <w:sz w:val="22"/>
                  <w:szCs w:val="22"/>
                </w:rPr>
                <w:t>http://ipaq.ki.se/downloads.htm</w:t>
              </w:r>
            </w:hyperlink>
            <w:r w:rsidRPr="003476E6">
              <w:rPr>
                <w:rFonts w:cs="Arial"/>
                <w:sz w:val="22"/>
                <w:szCs w:val="22"/>
              </w:rPr>
              <w:t>).</w:t>
            </w:r>
          </w:p>
        </w:tc>
      </w:tr>
      <w:tr w:rsidR="0008678E" w:rsidRPr="003476E6" w14:paraId="2EDFBF44" w14:textId="77777777" w:rsidTr="0008678E">
        <w:trPr>
          <w:trHeight w:val="683"/>
        </w:trPr>
        <w:tc>
          <w:tcPr>
            <w:tcW w:w="644" w:type="pct"/>
            <w:vMerge w:val="restart"/>
            <w:tcBorders>
              <w:top w:val="single" w:sz="8" w:space="0" w:color="000000"/>
              <w:left w:val="nil"/>
              <w:right w:val="nil"/>
            </w:tcBorders>
            <w:shd w:val="clear" w:color="auto" w:fill="auto"/>
            <w:tcMar>
              <w:top w:w="15" w:type="dxa"/>
              <w:left w:w="108" w:type="dxa"/>
              <w:bottom w:w="0" w:type="dxa"/>
              <w:right w:w="108" w:type="dxa"/>
            </w:tcMar>
            <w:vAlign w:val="center"/>
            <w:hideMark/>
          </w:tcPr>
          <w:p w14:paraId="27BA8CBC" w14:textId="77777777" w:rsidR="009534B6" w:rsidRPr="003476E6" w:rsidRDefault="009534B6" w:rsidP="00AD7D69">
            <w:pPr>
              <w:spacing w:line="360" w:lineRule="auto"/>
              <w:jc w:val="center"/>
              <w:rPr>
                <w:rFonts w:cs="Arial"/>
                <w:iCs/>
                <w:sz w:val="20"/>
                <w:szCs w:val="20"/>
              </w:rPr>
            </w:pPr>
            <w:r w:rsidRPr="003476E6">
              <w:rPr>
                <w:rFonts w:cs="Arial"/>
                <w:iCs/>
                <w:sz w:val="20"/>
                <w:szCs w:val="20"/>
              </w:rPr>
              <w:t>Participant</w:t>
            </w:r>
          </w:p>
        </w:tc>
        <w:tc>
          <w:tcPr>
            <w:tcW w:w="535" w:type="pct"/>
            <w:vMerge w:val="restart"/>
            <w:tcBorders>
              <w:top w:val="single" w:sz="8" w:space="0" w:color="000000"/>
              <w:left w:val="nil"/>
              <w:right w:val="nil"/>
            </w:tcBorders>
            <w:shd w:val="clear" w:color="auto" w:fill="auto"/>
            <w:tcMar>
              <w:top w:w="15" w:type="dxa"/>
              <w:left w:w="108" w:type="dxa"/>
              <w:bottom w:w="0" w:type="dxa"/>
              <w:right w:w="108" w:type="dxa"/>
            </w:tcMar>
            <w:vAlign w:val="center"/>
            <w:hideMark/>
          </w:tcPr>
          <w:p w14:paraId="3AB5C1FE" w14:textId="77777777" w:rsidR="009534B6" w:rsidRPr="003476E6" w:rsidRDefault="009534B6" w:rsidP="00AD7D69">
            <w:pPr>
              <w:spacing w:line="360" w:lineRule="auto"/>
              <w:jc w:val="center"/>
              <w:rPr>
                <w:rFonts w:cs="Arial"/>
                <w:iCs/>
                <w:sz w:val="20"/>
                <w:szCs w:val="20"/>
              </w:rPr>
            </w:pPr>
            <w:r w:rsidRPr="003476E6">
              <w:rPr>
                <w:rFonts w:cs="Arial"/>
                <w:iCs/>
                <w:sz w:val="20"/>
                <w:szCs w:val="20"/>
              </w:rPr>
              <w:t>Age (years)</w:t>
            </w:r>
          </w:p>
        </w:tc>
        <w:tc>
          <w:tcPr>
            <w:tcW w:w="550" w:type="pct"/>
            <w:vMerge w:val="restart"/>
            <w:tcBorders>
              <w:top w:val="single" w:sz="8" w:space="0" w:color="000000"/>
              <w:left w:val="nil"/>
              <w:right w:val="nil"/>
            </w:tcBorders>
            <w:shd w:val="clear" w:color="auto" w:fill="auto"/>
            <w:tcMar>
              <w:top w:w="15" w:type="dxa"/>
              <w:left w:w="108" w:type="dxa"/>
              <w:bottom w:w="0" w:type="dxa"/>
              <w:right w:w="108" w:type="dxa"/>
            </w:tcMar>
            <w:vAlign w:val="center"/>
            <w:hideMark/>
          </w:tcPr>
          <w:p w14:paraId="69E001DE" w14:textId="77777777" w:rsidR="009534B6" w:rsidRPr="003476E6" w:rsidRDefault="009534B6" w:rsidP="00AD7D69">
            <w:pPr>
              <w:spacing w:line="360" w:lineRule="auto"/>
              <w:jc w:val="center"/>
              <w:rPr>
                <w:rFonts w:cs="Arial"/>
                <w:iCs/>
                <w:sz w:val="20"/>
                <w:szCs w:val="20"/>
              </w:rPr>
            </w:pPr>
            <w:r w:rsidRPr="003476E6">
              <w:rPr>
                <w:rFonts w:cs="Arial"/>
                <w:iCs/>
                <w:sz w:val="20"/>
                <w:szCs w:val="20"/>
              </w:rPr>
              <w:t>Mass (kg)</w:t>
            </w:r>
          </w:p>
        </w:tc>
        <w:tc>
          <w:tcPr>
            <w:tcW w:w="470" w:type="pct"/>
            <w:vMerge w:val="restart"/>
            <w:tcBorders>
              <w:top w:val="single" w:sz="8" w:space="0" w:color="000000"/>
              <w:left w:val="nil"/>
              <w:right w:val="nil"/>
            </w:tcBorders>
            <w:shd w:val="clear" w:color="auto" w:fill="auto"/>
            <w:tcMar>
              <w:top w:w="15" w:type="dxa"/>
              <w:left w:w="108" w:type="dxa"/>
              <w:bottom w:w="0" w:type="dxa"/>
              <w:right w:w="108" w:type="dxa"/>
            </w:tcMar>
            <w:vAlign w:val="center"/>
            <w:hideMark/>
          </w:tcPr>
          <w:p w14:paraId="51B47E42" w14:textId="77777777" w:rsidR="009534B6" w:rsidRPr="003476E6" w:rsidRDefault="009534B6" w:rsidP="00AD7D69">
            <w:pPr>
              <w:spacing w:line="360" w:lineRule="auto"/>
              <w:jc w:val="center"/>
              <w:rPr>
                <w:rFonts w:cs="Arial"/>
                <w:iCs/>
                <w:sz w:val="20"/>
                <w:szCs w:val="20"/>
              </w:rPr>
            </w:pPr>
            <w:r w:rsidRPr="003476E6">
              <w:rPr>
                <w:rFonts w:cs="Arial"/>
                <w:iCs/>
                <w:sz w:val="20"/>
                <w:szCs w:val="20"/>
              </w:rPr>
              <w:t>Height (cm)</w:t>
            </w:r>
          </w:p>
        </w:tc>
        <w:tc>
          <w:tcPr>
            <w:tcW w:w="864" w:type="pct"/>
            <w:vMerge w:val="restart"/>
            <w:tcBorders>
              <w:top w:val="single" w:sz="8" w:space="0" w:color="000000"/>
              <w:left w:val="nil"/>
              <w:right w:val="nil"/>
            </w:tcBorders>
            <w:shd w:val="clear" w:color="auto" w:fill="auto"/>
            <w:tcMar>
              <w:top w:w="15" w:type="dxa"/>
              <w:left w:w="108" w:type="dxa"/>
              <w:bottom w:w="0" w:type="dxa"/>
              <w:right w:w="108" w:type="dxa"/>
            </w:tcMar>
            <w:vAlign w:val="center"/>
            <w:hideMark/>
          </w:tcPr>
          <w:p w14:paraId="145C974D" w14:textId="77777777" w:rsidR="009534B6" w:rsidRPr="003476E6" w:rsidRDefault="009534B6" w:rsidP="00AD7D69">
            <w:pPr>
              <w:spacing w:line="360" w:lineRule="auto"/>
              <w:jc w:val="center"/>
              <w:rPr>
                <w:rFonts w:cs="Arial"/>
                <w:iCs/>
                <w:sz w:val="20"/>
                <w:szCs w:val="20"/>
              </w:rPr>
            </w:pPr>
            <w:r w:rsidRPr="003476E6">
              <w:rPr>
                <w:rFonts w:cs="Arial"/>
                <w:iCs/>
                <w:sz w:val="20"/>
                <w:szCs w:val="20"/>
              </w:rPr>
              <w:t>Time Since Amputation (years)</w:t>
            </w:r>
          </w:p>
        </w:tc>
        <w:tc>
          <w:tcPr>
            <w:tcW w:w="784" w:type="pct"/>
            <w:vMerge w:val="restart"/>
            <w:tcBorders>
              <w:top w:val="single" w:sz="8" w:space="0" w:color="000000"/>
              <w:left w:val="nil"/>
              <w:right w:val="nil"/>
            </w:tcBorders>
            <w:shd w:val="clear" w:color="auto" w:fill="auto"/>
            <w:tcMar>
              <w:top w:w="15" w:type="dxa"/>
              <w:left w:w="108" w:type="dxa"/>
              <w:bottom w:w="0" w:type="dxa"/>
              <w:right w:w="108" w:type="dxa"/>
            </w:tcMar>
            <w:vAlign w:val="center"/>
            <w:hideMark/>
          </w:tcPr>
          <w:p w14:paraId="3F2518F9" w14:textId="77777777" w:rsidR="009534B6" w:rsidRPr="003476E6" w:rsidRDefault="009534B6" w:rsidP="00AD7D69">
            <w:pPr>
              <w:spacing w:line="360" w:lineRule="auto"/>
              <w:jc w:val="center"/>
              <w:rPr>
                <w:rFonts w:cs="Arial"/>
                <w:iCs/>
                <w:sz w:val="20"/>
                <w:szCs w:val="20"/>
              </w:rPr>
            </w:pPr>
            <w:r w:rsidRPr="003476E6">
              <w:rPr>
                <w:rFonts w:cs="Arial"/>
                <w:iCs/>
                <w:sz w:val="20"/>
                <w:szCs w:val="20"/>
              </w:rPr>
              <w:t>IPAQ Score (MET-mins/week)</w:t>
            </w:r>
          </w:p>
        </w:tc>
        <w:tc>
          <w:tcPr>
            <w:tcW w:w="1153" w:type="pct"/>
            <w:gridSpan w:val="2"/>
            <w:tcBorders>
              <w:top w:val="single" w:sz="8" w:space="0" w:color="000000"/>
              <w:left w:val="nil"/>
              <w:bottom w:val="single" w:sz="8" w:space="0" w:color="000000"/>
              <w:right w:val="nil"/>
            </w:tcBorders>
          </w:tcPr>
          <w:p w14:paraId="4DBB8B67" w14:textId="77777777" w:rsidR="009534B6" w:rsidRPr="003476E6" w:rsidRDefault="009534B6" w:rsidP="00AD7D69">
            <w:pPr>
              <w:spacing w:line="360" w:lineRule="auto"/>
              <w:jc w:val="center"/>
              <w:rPr>
                <w:rFonts w:cs="Arial"/>
                <w:iCs/>
                <w:sz w:val="20"/>
                <w:szCs w:val="20"/>
              </w:rPr>
            </w:pPr>
            <w:r w:rsidRPr="003476E6">
              <w:rPr>
                <w:rFonts w:cs="Arial"/>
                <w:iCs/>
                <w:sz w:val="20"/>
                <w:szCs w:val="20"/>
              </w:rPr>
              <w:t>Self-Selected Walking Speed (m/s)</w:t>
            </w:r>
          </w:p>
        </w:tc>
      </w:tr>
      <w:tr w:rsidR="0008678E" w:rsidRPr="003476E6" w14:paraId="3A13D38B" w14:textId="77777777" w:rsidTr="0008678E">
        <w:trPr>
          <w:trHeight w:val="371"/>
        </w:trPr>
        <w:tc>
          <w:tcPr>
            <w:tcW w:w="644" w:type="pct"/>
            <w:vMerge/>
            <w:tcBorders>
              <w:left w:val="nil"/>
              <w:bottom w:val="single" w:sz="8" w:space="0" w:color="000000"/>
              <w:right w:val="nil"/>
            </w:tcBorders>
            <w:shd w:val="clear" w:color="auto" w:fill="auto"/>
            <w:tcMar>
              <w:top w:w="15" w:type="dxa"/>
              <w:left w:w="108" w:type="dxa"/>
              <w:bottom w:w="0" w:type="dxa"/>
              <w:right w:w="108" w:type="dxa"/>
            </w:tcMar>
            <w:vAlign w:val="center"/>
          </w:tcPr>
          <w:p w14:paraId="58B96D2B" w14:textId="77777777" w:rsidR="009534B6" w:rsidRPr="003476E6" w:rsidRDefault="009534B6" w:rsidP="00AD7D69">
            <w:pPr>
              <w:spacing w:line="360" w:lineRule="auto"/>
              <w:jc w:val="center"/>
              <w:rPr>
                <w:rFonts w:cs="Arial"/>
                <w:iCs/>
                <w:sz w:val="20"/>
                <w:szCs w:val="20"/>
              </w:rPr>
            </w:pPr>
          </w:p>
        </w:tc>
        <w:tc>
          <w:tcPr>
            <w:tcW w:w="535" w:type="pct"/>
            <w:vMerge/>
            <w:tcBorders>
              <w:left w:val="nil"/>
              <w:bottom w:val="single" w:sz="8" w:space="0" w:color="000000"/>
              <w:right w:val="nil"/>
            </w:tcBorders>
            <w:shd w:val="clear" w:color="auto" w:fill="auto"/>
            <w:tcMar>
              <w:top w:w="15" w:type="dxa"/>
              <w:left w:w="108" w:type="dxa"/>
              <w:bottom w:w="0" w:type="dxa"/>
              <w:right w:w="108" w:type="dxa"/>
            </w:tcMar>
            <w:vAlign w:val="center"/>
          </w:tcPr>
          <w:p w14:paraId="5C9DDFD0" w14:textId="77777777" w:rsidR="009534B6" w:rsidRPr="003476E6" w:rsidRDefault="009534B6" w:rsidP="00AD7D69">
            <w:pPr>
              <w:spacing w:line="360" w:lineRule="auto"/>
              <w:jc w:val="center"/>
              <w:rPr>
                <w:rFonts w:cs="Arial"/>
                <w:iCs/>
                <w:sz w:val="20"/>
                <w:szCs w:val="20"/>
              </w:rPr>
            </w:pPr>
          </w:p>
        </w:tc>
        <w:tc>
          <w:tcPr>
            <w:tcW w:w="550" w:type="pct"/>
            <w:vMerge/>
            <w:tcBorders>
              <w:left w:val="nil"/>
              <w:bottom w:val="single" w:sz="8" w:space="0" w:color="000000"/>
              <w:right w:val="nil"/>
            </w:tcBorders>
            <w:shd w:val="clear" w:color="auto" w:fill="auto"/>
            <w:tcMar>
              <w:top w:w="15" w:type="dxa"/>
              <w:left w:w="108" w:type="dxa"/>
              <w:bottom w:w="0" w:type="dxa"/>
              <w:right w:w="108" w:type="dxa"/>
            </w:tcMar>
            <w:vAlign w:val="center"/>
          </w:tcPr>
          <w:p w14:paraId="2FA01C8F" w14:textId="77777777" w:rsidR="009534B6" w:rsidRPr="003476E6" w:rsidRDefault="009534B6" w:rsidP="00AD7D69">
            <w:pPr>
              <w:spacing w:line="360" w:lineRule="auto"/>
              <w:jc w:val="center"/>
              <w:rPr>
                <w:rFonts w:cs="Arial"/>
                <w:iCs/>
                <w:sz w:val="20"/>
                <w:szCs w:val="20"/>
              </w:rPr>
            </w:pPr>
          </w:p>
        </w:tc>
        <w:tc>
          <w:tcPr>
            <w:tcW w:w="470" w:type="pct"/>
            <w:vMerge/>
            <w:tcBorders>
              <w:left w:val="nil"/>
              <w:bottom w:val="single" w:sz="8" w:space="0" w:color="000000"/>
              <w:right w:val="nil"/>
            </w:tcBorders>
            <w:shd w:val="clear" w:color="auto" w:fill="auto"/>
            <w:tcMar>
              <w:top w:w="15" w:type="dxa"/>
              <w:left w:w="108" w:type="dxa"/>
              <w:bottom w:w="0" w:type="dxa"/>
              <w:right w:w="108" w:type="dxa"/>
            </w:tcMar>
            <w:vAlign w:val="center"/>
          </w:tcPr>
          <w:p w14:paraId="2C74664D" w14:textId="77777777" w:rsidR="009534B6" w:rsidRPr="003476E6" w:rsidRDefault="009534B6" w:rsidP="00AD7D69">
            <w:pPr>
              <w:spacing w:line="360" w:lineRule="auto"/>
              <w:jc w:val="center"/>
              <w:rPr>
                <w:rFonts w:cs="Arial"/>
                <w:iCs/>
                <w:sz w:val="20"/>
                <w:szCs w:val="20"/>
              </w:rPr>
            </w:pPr>
          </w:p>
        </w:tc>
        <w:tc>
          <w:tcPr>
            <w:tcW w:w="864" w:type="pct"/>
            <w:vMerge/>
            <w:tcBorders>
              <w:left w:val="nil"/>
              <w:bottom w:val="single" w:sz="8" w:space="0" w:color="000000"/>
              <w:right w:val="nil"/>
            </w:tcBorders>
            <w:shd w:val="clear" w:color="auto" w:fill="auto"/>
            <w:tcMar>
              <w:top w:w="15" w:type="dxa"/>
              <w:left w:w="108" w:type="dxa"/>
              <w:bottom w:w="0" w:type="dxa"/>
              <w:right w:w="108" w:type="dxa"/>
            </w:tcMar>
            <w:vAlign w:val="center"/>
          </w:tcPr>
          <w:p w14:paraId="08857556" w14:textId="77777777" w:rsidR="009534B6" w:rsidRPr="003476E6" w:rsidRDefault="009534B6" w:rsidP="00AD7D69">
            <w:pPr>
              <w:spacing w:line="360" w:lineRule="auto"/>
              <w:jc w:val="center"/>
              <w:rPr>
                <w:rFonts w:cs="Arial"/>
                <w:iCs/>
                <w:sz w:val="20"/>
                <w:szCs w:val="20"/>
              </w:rPr>
            </w:pPr>
          </w:p>
        </w:tc>
        <w:tc>
          <w:tcPr>
            <w:tcW w:w="784" w:type="pct"/>
            <w:vMerge/>
            <w:tcBorders>
              <w:left w:val="nil"/>
              <w:bottom w:val="single" w:sz="8" w:space="0" w:color="000000"/>
              <w:right w:val="nil"/>
            </w:tcBorders>
            <w:shd w:val="clear" w:color="auto" w:fill="auto"/>
            <w:tcMar>
              <w:top w:w="15" w:type="dxa"/>
              <w:left w:w="108" w:type="dxa"/>
              <w:bottom w:w="0" w:type="dxa"/>
              <w:right w:w="108" w:type="dxa"/>
            </w:tcMar>
            <w:vAlign w:val="center"/>
          </w:tcPr>
          <w:p w14:paraId="02F32429" w14:textId="77777777" w:rsidR="009534B6" w:rsidRPr="003476E6" w:rsidRDefault="009534B6" w:rsidP="00AD7D69">
            <w:pPr>
              <w:spacing w:line="360" w:lineRule="auto"/>
              <w:jc w:val="center"/>
              <w:rPr>
                <w:rFonts w:cs="Arial"/>
                <w:iCs/>
                <w:sz w:val="20"/>
                <w:szCs w:val="20"/>
              </w:rPr>
            </w:pPr>
          </w:p>
        </w:tc>
        <w:tc>
          <w:tcPr>
            <w:tcW w:w="550" w:type="pct"/>
            <w:tcBorders>
              <w:top w:val="single" w:sz="8" w:space="0" w:color="000000"/>
              <w:left w:val="nil"/>
              <w:bottom w:val="single" w:sz="8" w:space="0" w:color="000000"/>
              <w:right w:val="nil"/>
            </w:tcBorders>
          </w:tcPr>
          <w:p w14:paraId="6B25AE31" w14:textId="77777777" w:rsidR="009534B6" w:rsidRPr="003476E6" w:rsidRDefault="009534B6" w:rsidP="00AD7D69">
            <w:pPr>
              <w:spacing w:line="360" w:lineRule="auto"/>
              <w:jc w:val="center"/>
              <w:rPr>
                <w:rFonts w:cs="Arial"/>
                <w:iCs/>
                <w:sz w:val="20"/>
                <w:szCs w:val="20"/>
              </w:rPr>
            </w:pPr>
            <w:r w:rsidRPr="003476E6">
              <w:rPr>
                <w:rFonts w:cs="Arial"/>
                <w:iCs/>
                <w:sz w:val="20"/>
                <w:szCs w:val="20"/>
              </w:rPr>
              <w:t>Habitual</w:t>
            </w:r>
          </w:p>
        </w:tc>
        <w:tc>
          <w:tcPr>
            <w:tcW w:w="603" w:type="pct"/>
            <w:tcBorders>
              <w:top w:val="single" w:sz="8" w:space="0" w:color="000000"/>
              <w:left w:val="nil"/>
              <w:bottom w:val="single" w:sz="8" w:space="0" w:color="000000"/>
              <w:right w:val="nil"/>
            </w:tcBorders>
          </w:tcPr>
          <w:p w14:paraId="1F988ADC" w14:textId="77777777" w:rsidR="009534B6" w:rsidRPr="003476E6" w:rsidRDefault="009534B6" w:rsidP="00AD7D69">
            <w:pPr>
              <w:spacing w:line="360" w:lineRule="auto"/>
              <w:jc w:val="center"/>
              <w:rPr>
                <w:rFonts w:cs="Arial"/>
                <w:iCs/>
                <w:sz w:val="20"/>
                <w:szCs w:val="20"/>
              </w:rPr>
            </w:pPr>
            <w:r w:rsidRPr="003476E6">
              <w:rPr>
                <w:rFonts w:cs="Arial"/>
                <w:iCs/>
                <w:sz w:val="20"/>
                <w:szCs w:val="20"/>
              </w:rPr>
              <w:t>Fast</w:t>
            </w:r>
          </w:p>
        </w:tc>
      </w:tr>
      <w:tr w:rsidR="0008678E" w:rsidRPr="003476E6" w14:paraId="67BCDE2D" w14:textId="77777777" w:rsidTr="0008678E">
        <w:trPr>
          <w:trHeight w:val="480"/>
        </w:trPr>
        <w:tc>
          <w:tcPr>
            <w:tcW w:w="644"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5A74920"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w:t>
            </w:r>
          </w:p>
        </w:tc>
        <w:tc>
          <w:tcPr>
            <w:tcW w:w="535"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DAD0AFF"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29</w:t>
            </w:r>
          </w:p>
        </w:tc>
        <w:tc>
          <w:tcPr>
            <w:tcW w:w="550"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28B9F39"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82.3</w:t>
            </w:r>
          </w:p>
        </w:tc>
        <w:tc>
          <w:tcPr>
            <w:tcW w:w="470"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168053B"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175</w:t>
            </w:r>
          </w:p>
        </w:tc>
        <w:tc>
          <w:tcPr>
            <w:tcW w:w="864"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5E9D72C3"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5.0</w:t>
            </w:r>
          </w:p>
        </w:tc>
        <w:tc>
          <w:tcPr>
            <w:tcW w:w="784"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594883DF"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9252</w:t>
            </w:r>
          </w:p>
        </w:tc>
        <w:tc>
          <w:tcPr>
            <w:tcW w:w="550" w:type="pct"/>
            <w:tcBorders>
              <w:top w:val="single" w:sz="8" w:space="0" w:color="000000"/>
              <w:left w:val="nil"/>
              <w:bottom w:val="nil"/>
              <w:right w:val="nil"/>
            </w:tcBorders>
            <w:vAlign w:val="center"/>
          </w:tcPr>
          <w:p w14:paraId="3A049CFF"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1.42</w:t>
            </w:r>
          </w:p>
        </w:tc>
        <w:tc>
          <w:tcPr>
            <w:tcW w:w="603" w:type="pct"/>
            <w:tcBorders>
              <w:top w:val="single" w:sz="8" w:space="0" w:color="000000"/>
              <w:left w:val="nil"/>
              <w:bottom w:val="nil"/>
              <w:right w:val="nil"/>
            </w:tcBorders>
            <w:vAlign w:val="center"/>
          </w:tcPr>
          <w:p w14:paraId="5E07AE76"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1.80</w:t>
            </w:r>
          </w:p>
        </w:tc>
      </w:tr>
      <w:tr w:rsidR="0008678E" w:rsidRPr="003476E6" w14:paraId="00C958A9" w14:textId="77777777" w:rsidTr="0008678E">
        <w:trPr>
          <w:trHeight w:val="240"/>
        </w:trPr>
        <w:tc>
          <w:tcPr>
            <w:tcW w:w="644" w:type="pct"/>
            <w:tcBorders>
              <w:top w:val="nil"/>
              <w:left w:val="nil"/>
              <w:bottom w:val="nil"/>
              <w:right w:val="nil"/>
            </w:tcBorders>
            <w:shd w:val="clear" w:color="auto" w:fill="auto"/>
            <w:tcMar>
              <w:top w:w="15" w:type="dxa"/>
              <w:left w:w="108" w:type="dxa"/>
              <w:bottom w:w="0" w:type="dxa"/>
              <w:right w:w="108" w:type="dxa"/>
            </w:tcMar>
            <w:vAlign w:val="center"/>
            <w:hideMark/>
          </w:tcPr>
          <w:p w14:paraId="53A4411C"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2</w:t>
            </w:r>
          </w:p>
        </w:tc>
        <w:tc>
          <w:tcPr>
            <w:tcW w:w="535" w:type="pct"/>
            <w:tcBorders>
              <w:top w:val="nil"/>
              <w:left w:val="nil"/>
              <w:bottom w:val="nil"/>
              <w:right w:val="nil"/>
            </w:tcBorders>
            <w:shd w:val="clear" w:color="auto" w:fill="auto"/>
            <w:tcMar>
              <w:top w:w="15" w:type="dxa"/>
              <w:left w:w="108" w:type="dxa"/>
              <w:bottom w:w="0" w:type="dxa"/>
              <w:right w:w="108" w:type="dxa"/>
            </w:tcMar>
            <w:vAlign w:val="center"/>
            <w:hideMark/>
          </w:tcPr>
          <w:p w14:paraId="5F62A410"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48</w:t>
            </w:r>
          </w:p>
        </w:tc>
        <w:tc>
          <w:tcPr>
            <w:tcW w:w="550" w:type="pct"/>
            <w:tcBorders>
              <w:top w:val="nil"/>
              <w:left w:val="nil"/>
              <w:bottom w:val="nil"/>
              <w:right w:val="nil"/>
            </w:tcBorders>
            <w:shd w:val="clear" w:color="auto" w:fill="auto"/>
            <w:tcMar>
              <w:top w:w="15" w:type="dxa"/>
              <w:left w:w="108" w:type="dxa"/>
              <w:bottom w:w="0" w:type="dxa"/>
              <w:right w:w="108" w:type="dxa"/>
            </w:tcMar>
            <w:vAlign w:val="center"/>
            <w:hideMark/>
          </w:tcPr>
          <w:p w14:paraId="663CF24C"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81.5</w:t>
            </w:r>
          </w:p>
        </w:tc>
        <w:tc>
          <w:tcPr>
            <w:tcW w:w="470" w:type="pct"/>
            <w:tcBorders>
              <w:top w:val="nil"/>
              <w:left w:val="nil"/>
              <w:bottom w:val="nil"/>
              <w:right w:val="nil"/>
            </w:tcBorders>
            <w:shd w:val="clear" w:color="auto" w:fill="auto"/>
            <w:tcMar>
              <w:top w:w="15" w:type="dxa"/>
              <w:left w:w="108" w:type="dxa"/>
              <w:bottom w:w="0" w:type="dxa"/>
              <w:right w:w="108" w:type="dxa"/>
            </w:tcMar>
            <w:vAlign w:val="center"/>
            <w:hideMark/>
          </w:tcPr>
          <w:p w14:paraId="4B282A72"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180</w:t>
            </w:r>
          </w:p>
        </w:tc>
        <w:tc>
          <w:tcPr>
            <w:tcW w:w="864" w:type="pct"/>
            <w:tcBorders>
              <w:top w:val="nil"/>
              <w:left w:val="nil"/>
              <w:bottom w:val="nil"/>
              <w:right w:val="nil"/>
            </w:tcBorders>
            <w:shd w:val="clear" w:color="auto" w:fill="auto"/>
            <w:tcMar>
              <w:top w:w="15" w:type="dxa"/>
              <w:left w:w="108" w:type="dxa"/>
              <w:bottom w:w="0" w:type="dxa"/>
              <w:right w:w="108" w:type="dxa"/>
            </w:tcMar>
            <w:vAlign w:val="center"/>
            <w:hideMark/>
          </w:tcPr>
          <w:p w14:paraId="5EF13346"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29</w:t>
            </w:r>
          </w:p>
        </w:tc>
        <w:tc>
          <w:tcPr>
            <w:tcW w:w="784" w:type="pct"/>
            <w:tcBorders>
              <w:top w:val="nil"/>
              <w:left w:val="nil"/>
              <w:bottom w:val="nil"/>
              <w:right w:val="nil"/>
            </w:tcBorders>
            <w:shd w:val="clear" w:color="auto" w:fill="auto"/>
            <w:tcMar>
              <w:top w:w="15" w:type="dxa"/>
              <w:left w:w="108" w:type="dxa"/>
              <w:bottom w:w="0" w:type="dxa"/>
              <w:right w:w="108" w:type="dxa"/>
            </w:tcMar>
            <w:vAlign w:val="center"/>
            <w:hideMark/>
          </w:tcPr>
          <w:p w14:paraId="6648F8CB"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1813</w:t>
            </w:r>
          </w:p>
        </w:tc>
        <w:tc>
          <w:tcPr>
            <w:tcW w:w="550" w:type="pct"/>
            <w:tcBorders>
              <w:top w:val="nil"/>
              <w:left w:val="nil"/>
              <w:bottom w:val="nil"/>
              <w:right w:val="nil"/>
            </w:tcBorders>
            <w:vAlign w:val="center"/>
          </w:tcPr>
          <w:p w14:paraId="1CFD6F59"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1.36</w:t>
            </w:r>
          </w:p>
        </w:tc>
        <w:tc>
          <w:tcPr>
            <w:tcW w:w="603" w:type="pct"/>
            <w:tcBorders>
              <w:top w:val="nil"/>
              <w:left w:val="nil"/>
              <w:bottom w:val="nil"/>
              <w:right w:val="nil"/>
            </w:tcBorders>
            <w:vAlign w:val="center"/>
          </w:tcPr>
          <w:p w14:paraId="41A562BA"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1.75</w:t>
            </w:r>
          </w:p>
        </w:tc>
      </w:tr>
      <w:tr w:rsidR="0008678E" w:rsidRPr="003476E6" w14:paraId="616A459B" w14:textId="77777777" w:rsidTr="0008678E">
        <w:trPr>
          <w:trHeight w:val="240"/>
        </w:trPr>
        <w:tc>
          <w:tcPr>
            <w:tcW w:w="644" w:type="pct"/>
            <w:tcBorders>
              <w:top w:val="nil"/>
              <w:left w:val="nil"/>
              <w:bottom w:val="nil"/>
              <w:right w:val="nil"/>
            </w:tcBorders>
            <w:shd w:val="clear" w:color="auto" w:fill="auto"/>
            <w:tcMar>
              <w:top w:w="15" w:type="dxa"/>
              <w:left w:w="108" w:type="dxa"/>
              <w:bottom w:w="0" w:type="dxa"/>
              <w:right w:w="108" w:type="dxa"/>
            </w:tcMar>
            <w:vAlign w:val="center"/>
            <w:hideMark/>
          </w:tcPr>
          <w:p w14:paraId="475AEBC3"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3</w:t>
            </w:r>
          </w:p>
        </w:tc>
        <w:tc>
          <w:tcPr>
            <w:tcW w:w="535" w:type="pct"/>
            <w:tcBorders>
              <w:top w:val="nil"/>
              <w:left w:val="nil"/>
              <w:bottom w:val="nil"/>
              <w:right w:val="nil"/>
            </w:tcBorders>
            <w:shd w:val="clear" w:color="auto" w:fill="auto"/>
            <w:tcMar>
              <w:top w:w="15" w:type="dxa"/>
              <w:left w:w="108" w:type="dxa"/>
              <w:bottom w:w="0" w:type="dxa"/>
              <w:right w:w="108" w:type="dxa"/>
            </w:tcMar>
            <w:vAlign w:val="center"/>
            <w:hideMark/>
          </w:tcPr>
          <w:p w14:paraId="061383AB"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38</w:t>
            </w:r>
          </w:p>
        </w:tc>
        <w:tc>
          <w:tcPr>
            <w:tcW w:w="550" w:type="pct"/>
            <w:tcBorders>
              <w:top w:val="nil"/>
              <w:left w:val="nil"/>
              <w:bottom w:val="nil"/>
              <w:right w:val="nil"/>
            </w:tcBorders>
            <w:shd w:val="clear" w:color="auto" w:fill="auto"/>
            <w:tcMar>
              <w:top w:w="15" w:type="dxa"/>
              <w:left w:w="108" w:type="dxa"/>
              <w:bottom w:w="0" w:type="dxa"/>
              <w:right w:w="108" w:type="dxa"/>
            </w:tcMar>
            <w:vAlign w:val="center"/>
            <w:hideMark/>
          </w:tcPr>
          <w:p w14:paraId="35AEDE4F"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114</w:t>
            </w:r>
          </w:p>
        </w:tc>
        <w:tc>
          <w:tcPr>
            <w:tcW w:w="470" w:type="pct"/>
            <w:tcBorders>
              <w:top w:val="nil"/>
              <w:left w:val="nil"/>
              <w:bottom w:val="nil"/>
              <w:right w:val="nil"/>
            </w:tcBorders>
            <w:shd w:val="clear" w:color="auto" w:fill="auto"/>
            <w:tcMar>
              <w:top w:w="15" w:type="dxa"/>
              <w:left w:w="108" w:type="dxa"/>
              <w:bottom w:w="0" w:type="dxa"/>
              <w:right w:w="108" w:type="dxa"/>
            </w:tcMar>
            <w:vAlign w:val="center"/>
            <w:hideMark/>
          </w:tcPr>
          <w:p w14:paraId="10935677"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185</w:t>
            </w:r>
          </w:p>
        </w:tc>
        <w:tc>
          <w:tcPr>
            <w:tcW w:w="864" w:type="pct"/>
            <w:tcBorders>
              <w:top w:val="nil"/>
              <w:left w:val="nil"/>
              <w:bottom w:val="nil"/>
              <w:right w:val="nil"/>
            </w:tcBorders>
            <w:shd w:val="clear" w:color="auto" w:fill="auto"/>
            <w:tcMar>
              <w:top w:w="15" w:type="dxa"/>
              <w:left w:w="108" w:type="dxa"/>
              <w:bottom w:w="0" w:type="dxa"/>
              <w:right w:w="108" w:type="dxa"/>
            </w:tcMar>
            <w:vAlign w:val="center"/>
            <w:hideMark/>
          </w:tcPr>
          <w:p w14:paraId="7F68DDEE"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16</w:t>
            </w:r>
          </w:p>
        </w:tc>
        <w:tc>
          <w:tcPr>
            <w:tcW w:w="784" w:type="pct"/>
            <w:tcBorders>
              <w:top w:val="nil"/>
              <w:left w:val="nil"/>
              <w:bottom w:val="nil"/>
              <w:right w:val="nil"/>
            </w:tcBorders>
            <w:shd w:val="clear" w:color="auto" w:fill="auto"/>
            <w:tcMar>
              <w:top w:w="15" w:type="dxa"/>
              <w:left w:w="108" w:type="dxa"/>
              <w:bottom w:w="0" w:type="dxa"/>
              <w:right w:w="108" w:type="dxa"/>
            </w:tcMar>
            <w:vAlign w:val="center"/>
            <w:hideMark/>
          </w:tcPr>
          <w:p w14:paraId="7516F755"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4746</w:t>
            </w:r>
          </w:p>
        </w:tc>
        <w:tc>
          <w:tcPr>
            <w:tcW w:w="550" w:type="pct"/>
            <w:tcBorders>
              <w:top w:val="nil"/>
              <w:left w:val="nil"/>
              <w:bottom w:val="nil"/>
              <w:right w:val="nil"/>
            </w:tcBorders>
            <w:vAlign w:val="center"/>
          </w:tcPr>
          <w:p w14:paraId="700EA411"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1.58</w:t>
            </w:r>
          </w:p>
        </w:tc>
        <w:tc>
          <w:tcPr>
            <w:tcW w:w="603" w:type="pct"/>
            <w:tcBorders>
              <w:top w:val="nil"/>
              <w:left w:val="nil"/>
              <w:bottom w:val="nil"/>
              <w:right w:val="nil"/>
            </w:tcBorders>
            <w:vAlign w:val="center"/>
          </w:tcPr>
          <w:p w14:paraId="7CB907B9"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2.09</w:t>
            </w:r>
          </w:p>
        </w:tc>
      </w:tr>
      <w:tr w:rsidR="0008678E" w:rsidRPr="003476E6" w14:paraId="7B3338D8" w14:textId="77777777" w:rsidTr="0008678E">
        <w:trPr>
          <w:trHeight w:val="240"/>
        </w:trPr>
        <w:tc>
          <w:tcPr>
            <w:tcW w:w="644" w:type="pct"/>
            <w:tcBorders>
              <w:top w:val="nil"/>
              <w:left w:val="nil"/>
              <w:bottom w:val="nil"/>
              <w:right w:val="nil"/>
            </w:tcBorders>
            <w:shd w:val="clear" w:color="auto" w:fill="auto"/>
            <w:tcMar>
              <w:top w:w="15" w:type="dxa"/>
              <w:left w:w="108" w:type="dxa"/>
              <w:bottom w:w="0" w:type="dxa"/>
              <w:right w:w="108" w:type="dxa"/>
            </w:tcMar>
            <w:vAlign w:val="center"/>
            <w:hideMark/>
          </w:tcPr>
          <w:p w14:paraId="44FD3FD2"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4</w:t>
            </w:r>
          </w:p>
        </w:tc>
        <w:tc>
          <w:tcPr>
            <w:tcW w:w="535" w:type="pct"/>
            <w:tcBorders>
              <w:top w:val="nil"/>
              <w:left w:val="nil"/>
              <w:bottom w:val="nil"/>
              <w:right w:val="nil"/>
            </w:tcBorders>
            <w:shd w:val="clear" w:color="auto" w:fill="auto"/>
            <w:tcMar>
              <w:top w:w="15" w:type="dxa"/>
              <w:left w:w="108" w:type="dxa"/>
              <w:bottom w:w="0" w:type="dxa"/>
              <w:right w:w="108" w:type="dxa"/>
            </w:tcMar>
            <w:vAlign w:val="center"/>
            <w:hideMark/>
          </w:tcPr>
          <w:p w14:paraId="42864670"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48</w:t>
            </w:r>
          </w:p>
        </w:tc>
        <w:tc>
          <w:tcPr>
            <w:tcW w:w="550" w:type="pct"/>
            <w:tcBorders>
              <w:top w:val="nil"/>
              <w:left w:val="nil"/>
              <w:bottom w:val="nil"/>
              <w:right w:val="nil"/>
            </w:tcBorders>
            <w:shd w:val="clear" w:color="auto" w:fill="auto"/>
            <w:tcMar>
              <w:top w:w="15" w:type="dxa"/>
              <w:left w:w="108" w:type="dxa"/>
              <w:bottom w:w="0" w:type="dxa"/>
              <w:right w:w="108" w:type="dxa"/>
            </w:tcMar>
            <w:vAlign w:val="center"/>
            <w:hideMark/>
          </w:tcPr>
          <w:p w14:paraId="344906C9"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83.4</w:t>
            </w:r>
          </w:p>
        </w:tc>
        <w:tc>
          <w:tcPr>
            <w:tcW w:w="470" w:type="pct"/>
            <w:tcBorders>
              <w:top w:val="nil"/>
              <w:left w:val="nil"/>
              <w:bottom w:val="nil"/>
              <w:right w:val="nil"/>
            </w:tcBorders>
            <w:shd w:val="clear" w:color="auto" w:fill="auto"/>
            <w:tcMar>
              <w:top w:w="15" w:type="dxa"/>
              <w:left w:w="108" w:type="dxa"/>
              <w:bottom w:w="0" w:type="dxa"/>
              <w:right w:w="108" w:type="dxa"/>
            </w:tcMar>
            <w:vAlign w:val="center"/>
            <w:hideMark/>
          </w:tcPr>
          <w:p w14:paraId="70962D86"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184</w:t>
            </w:r>
          </w:p>
        </w:tc>
        <w:tc>
          <w:tcPr>
            <w:tcW w:w="864" w:type="pct"/>
            <w:tcBorders>
              <w:top w:val="nil"/>
              <w:left w:val="nil"/>
              <w:bottom w:val="nil"/>
              <w:right w:val="nil"/>
            </w:tcBorders>
            <w:shd w:val="clear" w:color="auto" w:fill="auto"/>
            <w:tcMar>
              <w:top w:w="15" w:type="dxa"/>
              <w:left w:w="108" w:type="dxa"/>
              <w:bottom w:w="0" w:type="dxa"/>
              <w:right w:w="108" w:type="dxa"/>
            </w:tcMar>
            <w:vAlign w:val="center"/>
            <w:hideMark/>
          </w:tcPr>
          <w:p w14:paraId="4C5D6C15"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2.0</w:t>
            </w:r>
          </w:p>
        </w:tc>
        <w:tc>
          <w:tcPr>
            <w:tcW w:w="784" w:type="pct"/>
            <w:tcBorders>
              <w:top w:val="nil"/>
              <w:left w:val="nil"/>
              <w:bottom w:val="nil"/>
              <w:right w:val="nil"/>
            </w:tcBorders>
            <w:shd w:val="clear" w:color="auto" w:fill="auto"/>
            <w:tcMar>
              <w:top w:w="15" w:type="dxa"/>
              <w:left w:w="108" w:type="dxa"/>
              <w:bottom w:w="0" w:type="dxa"/>
              <w:right w:w="108" w:type="dxa"/>
            </w:tcMar>
            <w:vAlign w:val="center"/>
            <w:hideMark/>
          </w:tcPr>
          <w:p w14:paraId="37084BF4"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8856</w:t>
            </w:r>
          </w:p>
        </w:tc>
        <w:tc>
          <w:tcPr>
            <w:tcW w:w="550" w:type="pct"/>
            <w:tcBorders>
              <w:top w:val="nil"/>
              <w:left w:val="nil"/>
              <w:bottom w:val="nil"/>
              <w:right w:val="nil"/>
            </w:tcBorders>
            <w:vAlign w:val="center"/>
          </w:tcPr>
          <w:p w14:paraId="1A3DD60B"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1.32</w:t>
            </w:r>
          </w:p>
        </w:tc>
        <w:tc>
          <w:tcPr>
            <w:tcW w:w="603" w:type="pct"/>
            <w:tcBorders>
              <w:top w:val="nil"/>
              <w:left w:val="nil"/>
              <w:bottom w:val="nil"/>
              <w:right w:val="nil"/>
            </w:tcBorders>
            <w:vAlign w:val="center"/>
          </w:tcPr>
          <w:p w14:paraId="5149118D"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1.68</w:t>
            </w:r>
          </w:p>
        </w:tc>
      </w:tr>
      <w:tr w:rsidR="0008678E" w:rsidRPr="003476E6" w14:paraId="7C7E1ACF" w14:textId="77777777" w:rsidTr="0008678E">
        <w:trPr>
          <w:trHeight w:val="240"/>
        </w:trPr>
        <w:tc>
          <w:tcPr>
            <w:tcW w:w="644" w:type="pct"/>
            <w:tcBorders>
              <w:top w:val="nil"/>
              <w:left w:val="nil"/>
              <w:bottom w:val="nil"/>
              <w:right w:val="nil"/>
            </w:tcBorders>
            <w:shd w:val="clear" w:color="auto" w:fill="auto"/>
            <w:tcMar>
              <w:top w:w="15" w:type="dxa"/>
              <w:left w:w="108" w:type="dxa"/>
              <w:bottom w:w="0" w:type="dxa"/>
              <w:right w:w="108" w:type="dxa"/>
            </w:tcMar>
            <w:vAlign w:val="center"/>
            <w:hideMark/>
          </w:tcPr>
          <w:p w14:paraId="7718A283"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5</w:t>
            </w:r>
          </w:p>
        </w:tc>
        <w:tc>
          <w:tcPr>
            <w:tcW w:w="535" w:type="pct"/>
            <w:tcBorders>
              <w:top w:val="nil"/>
              <w:left w:val="nil"/>
              <w:bottom w:val="nil"/>
              <w:right w:val="nil"/>
            </w:tcBorders>
            <w:shd w:val="clear" w:color="auto" w:fill="auto"/>
            <w:tcMar>
              <w:top w:w="15" w:type="dxa"/>
              <w:left w:w="108" w:type="dxa"/>
              <w:bottom w:w="0" w:type="dxa"/>
              <w:right w:w="108" w:type="dxa"/>
            </w:tcMar>
            <w:vAlign w:val="center"/>
            <w:hideMark/>
          </w:tcPr>
          <w:p w14:paraId="071F7919"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45</w:t>
            </w:r>
          </w:p>
        </w:tc>
        <w:tc>
          <w:tcPr>
            <w:tcW w:w="550" w:type="pct"/>
            <w:tcBorders>
              <w:top w:val="nil"/>
              <w:left w:val="nil"/>
              <w:bottom w:val="nil"/>
              <w:right w:val="nil"/>
            </w:tcBorders>
            <w:shd w:val="clear" w:color="auto" w:fill="auto"/>
            <w:tcMar>
              <w:top w:w="15" w:type="dxa"/>
              <w:left w:w="108" w:type="dxa"/>
              <w:bottom w:w="0" w:type="dxa"/>
              <w:right w:w="108" w:type="dxa"/>
            </w:tcMar>
            <w:vAlign w:val="center"/>
            <w:hideMark/>
          </w:tcPr>
          <w:p w14:paraId="5D757126"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106</w:t>
            </w:r>
          </w:p>
        </w:tc>
        <w:tc>
          <w:tcPr>
            <w:tcW w:w="470" w:type="pct"/>
            <w:tcBorders>
              <w:top w:val="nil"/>
              <w:left w:val="nil"/>
              <w:bottom w:val="nil"/>
              <w:right w:val="nil"/>
            </w:tcBorders>
            <w:shd w:val="clear" w:color="auto" w:fill="auto"/>
            <w:tcMar>
              <w:top w:w="15" w:type="dxa"/>
              <w:left w:w="108" w:type="dxa"/>
              <w:bottom w:w="0" w:type="dxa"/>
              <w:right w:w="108" w:type="dxa"/>
            </w:tcMar>
            <w:vAlign w:val="center"/>
            <w:hideMark/>
          </w:tcPr>
          <w:p w14:paraId="7D829A10"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186</w:t>
            </w:r>
          </w:p>
        </w:tc>
        <w:tc>
          <w:tcPr>
            <w:tcW w:w="864" w:type="pct"/>
            <w:tcBorders>
              <w:top w:val="nil"/>
              <w:left w:val="nil"/>
              <w:bottom w:val="nil"/>
              <w:right w:val="nil"/>
            </w:tcBorders>
            <w:shd w:val="clear" w:color="auto" w:fill="auto"/>
            <w:tcMar>
              <w:top w:w="15" w:type="dxa"/>
              <w:left w:w="108" w:type="dxa"/>
              <w:bottom w:w="0" w:type="dxa"/>
              <w:right w:w="108" w:type="dxa"/>
            </w:tcMar>
            <w:vAlign w:val="center"/>
            <w:hideMark/>
          </w:tcPr>
          <w:p w14:paraId="165D6129" w14:textId="77777777" w:rsidR="009534B6" w:rsidRPr="003476E6" w:rsidRDefault="009534B6" w:rsidP="00C51C71">
            <w:pPr>
              <w:spacing w:after="160" w:line="360" w:lineRule="auto"/>
              <w:jc w:val="center"/>
              <w:rPr>
                <w:rFonts w:cs="Arial"/>
                <w:i/>
                <w:sz w:val="20"/>
                <w:szCs w:val="20"/>
              </w:rPr>
            </w:pPr>
            <w:r w:rsidRPr="003476E6">
              <w:rPr>
                <w:rFonts w:cs="Arial"/>
                <w:i/>
                <w:sz w:val="20"/>
                <w:szCs w:val="20"/>
              </w:rPr>
              <w:t>DNR</w:t>
            </w:r>
          </w:p>
        </w:tc>
        <w:tc>
          <w:tcPr>
            <w:tcW w:w="784" w:type="pct"/>
            <w:tcBorders>
              <w:top w:val="nil"/>
              <w:left w:val="nil"/>
              <w:bottom w:val="nil"/>
              <w:right w:val="nil"/>
            </w:tcBorders>
            <w:shd w:val="clear" w:color="auto" w:fill="auto"/>
            <w:tcMar>
              <w:top w:w="15" w:type="dxa"/>
              <w:left w:w="108" w:type="dxa"/>
              <w:bottom w:w="0" w:type="dxa"/>
              <w:right w:w="108" w:type="dxa"/>
            </w:tcMar>
            <w:vAlign w:val="center"/>
            <w:hideMark/>
          </w:tcPr>
          <w:p w14:paraId="1765136D"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6102</w:t>
            </w:r>
          </w:p>
        </w:tc>
        <w:tc>
          <w:tcPr>
            <w:tcW w:w="550" w:type="pct"/>
            <w:tcBorders>
              <w:top w:val="nil"/>
              <w:left w:val="nil"/>
              <w:right w:val="nil"/>
            </w:tcBorders>
            <w:vAlign w:val="center"/>
          </w:tcPr>
          <w:p w14:paraId="6EB3B64E"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1.01</w:t>
            </w:r>
          </w:p>
        </w:tc>
        <w:tc>
          <w:tcPr>
            <w:tcW w:w="603" w:type="pct"/>
            <w:tcBorders>
              <w:top w:val="nil"/>
              <w:left w:val="nil"/>
              <w:right w:val="nil"/>
            </w:tcBorders>
            <w:vAlign w:val="center"/>
          </w:tcPr>
          <w:p w14:paraId="7F65B92E"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1.37</w:t>
            </w:r>
          </w:p>
        </w:tc>
      </w:tr>
      <w:tr w:rsidR="0008678E" w:rsidRPr="003476E6" w14:paraId="5A85E829" w14:textId="77777777" w:rsidTr="0008678E">
        <w:trPr>
          <w:trHeight w:val="480"/>
        </w:trPr>
        <w:tc>
          <w:tcPr>
            <w:tcW w:w="644" w:type="pct"/>
            <w:tcBorders>
              <w:top w:val="nil"/>
              <w:left w:val="nil"/>
              <w:bottom w:val="nil"/>
              <w:right w:val="nil"/>
            </w:tcBorders>
            <w:shd w:val="clear" w:color="auto" w:fill="auto"/>
            <w:tcMar>
              <w:top w:w="15" w:type="dxa"/>
              <w:left w:w="108" w:type="dxa"/>
              <w:bottom w:w="0" w:type="dxa"/>
              <w:right w:w="108" w:type="dxa"/>
            </w:tcMar>
            <w:vAlign w:val="center"/>
            <w:hideMark/>
          </w:tcPr>
          <w:p w14:paraId="0CD77635"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6</w:t>
            </w:r>
          </w:p>
        </w:tc>
        <w:tc>
          <w:tcPr>
            <w:tcW w:w="535" w:type="pct"/>
            <w:tcBorders>
              <w:top w:val="nil"/>
              <w:left w:val="nil"/>
              <w:bottom w:val="nil"/>
              <w:right w:val="nil"/>
            </w:tcBorders>
            <w:shd w:val="clear" w:color="auto" w:fill="auto"/>
            <w:tcMar>
              <w:top w:w="15" w:type="dxa"/>
              <w:left w:w="108" w:type="dxa"/>
              <w:bottom w:w="0" w:type="dxa"/>
              <w:right w:w="108" w:type="dxa"/>
            </w:tcMar>
            <w:vAlign w:val="center"/>
            <w:hideMark/>
          </w:tcPr>
          <w:p w14:paraId="40DE7E3C"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45</w:t>
            </w:r>
          </w:p>
        </w:tc>
        <w:tc>
          <w:tcPr>
            <w:tcW w:w="550" w:type="pct"/>
            <w:tcBorders>
              <w:top w:val="nil"/>
              <w:left w:val="nil"/>
              <w:bottom w:val="nil"/>
              <w:right w:val="nil"/>
            </w:tcBorders>
            <w:shd w:val="clear" w:color="auto" w:fill="auto"/>
            <w:tcMar>
              <w:top w:w="15" w:type="dxa"/>
              <w:left w:w="108" w:type="dxa"/>
              <w:bottom w:w="0" w:type="dxa"/>
              <w:right w:w="108" w:type="dxa"/>
            </w:tcMar>
            <w:vAlign w:val="center"/>
            <w:hideMark/>
          </w:tcPr>
          <w:p w14:paraId="329D995E"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76.5</w:t>
            </w:r>
          </w:p>
        </w:tc>
        <w:tc>
          <w:tcPr>
            <w:tcW w:w="470" w:type="pct"/>
            <w:tcBorders>
              <w:top w:val="nil"/>
              <w:left w:val="nil"/>
              <w:bottom w:val="nil"/>
              <w:right w:val="nil"/>
            </w:tcBorders>
            <w:shd w:val="clear" w:color="auto" w:fill="auto"/>
            <w:tcMar>
              <w:top w:w="15" w:type="dxa"/>
              <w:left w:w="108" w:type="dxa"/>
              <w:bottom w:w="0" w:type="dxa"/>
              <w:right w:w="108" w:type="dxa"/>
            </w:tcMar>
            <w:vAlign w:val="center"/>
            <w:hideMark/>
          </w:tcPr>
          <w:p w14:paraId="63116F42"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176</w:t>
            </w:r>
          </w:p>
        </w:tc>
        <w:tc>
          <w:tcPr>
            <w:tcW w:w="864" w:type="pct"/>
            <w:tcBorders>
              <w:top w:val="nil"/>
              <w:left w:val="nil"/>
              <w:bottom w:val="nil"/>
              <w:right w:val="nil"/>
            </w:tcBorders>
            <w:shd w:val="clear" w:color="auto" w:fill="auto"/>
            <w:tcMar>
              <w:top w:w="15" w:type="dxa"/>
              <w:left w:w="108" w:type="dxa"/>
              <w:bottom w:w="0" w:type="dxa"/>
              <w:right w:w="108" w:type="dxa"/>
            </w:tcMar>
            <w:vAlign w:val="center"/>
            <w:hideMark/>
          </w:tcPr>
          <w:p w14:paraId="2EE61516"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26</w:t>
            </w:r>
          </w:p>
        </w:tc>
        <w:tc>
          <w:tcPr>
            <w:tcW w:w="784" w:type="pct"/>
            <w:tcBorders>
              <w:top w:val="nil"/>
              <w:left w:val="nil"/>
              <w:bottom w:val="nil"/>
              <w:right w:val="nil"/>
            </w:tcBorders>
            <w:shd w:val="clear" w:color="auto" w:fill="auto"/>
            <w:tcMar>
              <w:top w:w="15" w:type="dxa"/>
              <w:left w:w="108" w:type="dxa"/>
              <w:bottom w:w="0" w:type="dxa"/>
              <w:right w:w="108" w:type="dxa"/>
            </w:tcMar>
            <w:vAlign w:val="center"/>
            <w:hideMark/>
          </w:tcPr>
          <w:p w14:paraId="4BC3CC3A"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480</w:t>
            </w:r>
          </w:p>
        </w:tc>
        <w:tc>
          <w:tcPr>
            <w:tcW w:w="550" w:type="pct"/>
            <w:tcBorders>
              <w:top w:val="nil"/>
              <w:left w:val="nil"/>
              <w:right w:val="nil"/>
            </w:tcBorders>
            <w:vAlign w:val="center"/>
          </w:tcPr>
          <w:p w14:paraId="620FB33D"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1.24</w:t>
            </w:r>
          </w:p>
        </w:tc>
        <w:tc>
          <w:tcPr>
            <w:tcW w:w="603" w:type="pct"/>
            <w:tcBorders>
              <w:top w:val="nil"/>
              <w:left w:val="nil"/>
              <w:right w:val="nil"/>
            </w:tcBorders>
            <w:vAlign w:val="center"/>
          </w:tcPr>
          <w:p w14:paraId="0F5C145D"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1.59</w:t>
            </w:r>
          </w:p>
        </w:tc>
      </w:tr>
      <w:tr w:rsidR="0008678E" w:rsidRPr="003476E6" w14:paraId="2346CA57" w14:textId="77777777" w:rsidTr="0008678E">
        <w:trPr>
          <w:trHeight w:val="480"/>
        </w:trPr>
        <w:tc>
          <w:tcPr>
            <w:tcW w:w="644" w:type="pct"/>
            <w:tcBorders>
              <w:top w:val="nil"/>
              <w:left w:val="nil"/>
              <w:bottom w:val="nil"/>
              <w:right w:val="nil"/>
            </w:tcBorders>
            <w:shd w:val="clear" w:color="auto" w:fill="auto"/>
            <w:tcMar>
              <w:top w:w="15" w:type="dxa"/>
              <w:left w:w="108" w:type="dxa"/>
              <w:bottom w:w="0" w:type="dxa"/>
              <w:right w:w="108" w:type="dxa"/>
            </w:tcMar>
            <w:vAlign w:val="center"/>
            <w:hideMark/>
          </w:tcPr>
          <w:p w14:paraId="5E284575"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7</w:t>
            </w:r>
          </w:p>
        </w:tc>
        <w:tc>
          <w:tcPr>
            <w:tcW w:w="535" w:type="pct"/>
            <w:tcBorders>
              <w:top w:val="nil"/>
              <w:left w:val="nil"/>
              <w:bottom w:val="nil"/>
              <w:right w:val="nil"/>
            </w:tcBorders>
            <w:shd w:val="clear" w:color="auto" w:fill="auto"/>
            <w:tcMar>
              <w:top w:w="15" w:type="dxa"/>
              <w:left w:w="108" w:type="dxa"/>
              <w:bottom w:w="0" w:type="dxa"/>
              <w:right w:w="108" w:type="dxa"/>
            </w:tcMar>
            <w:vAlign w:val="center"/>
            <w:hideMark/>
          </w:tcPr>
          <w:p w14:paraId="49FD8E2B"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24</w:t>
            </w:r>
          </w:p>
        </w:tc>
        <w:tc>
          <w:tcPr>
            <w:tcW w:w="550" w:type="pct"/>
            <w:tcBorders>
              <w:top w:val="nil"/>
              <w:left w:val="nil"/>
              <w:bottom w:val="nil"/>
              <w:right w:val="nil"/>
            </w:tcBorders>
            <w:shd w:val="clear" w:color="auto" w:fill="auto"/>
            <w:tcMar>
              <w:top w:w="15" w:type="dxa"/>
              <w:left w:w="108" w:type="dxa"/>
              <w:bottom w:w="0" w:type="dxa"/>
              <w:right w:w="108" w:type="dxa"/>
            </w:tcMar>
            <w:vAlign w:val="center"/>
            <w:hideMark/>
          </w:tcPr>
          <w:p w14:paraId="1F43DA58"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78.8</w:t>
            </w:r>
          </w:p>
        </w:tc>
        <w:tc>
          <w:tcPr>
            <w:tcW w:w="470" w:type="pct"/>
            <w:tcBorders>
              <w:top w:val="nil"/>
              <w:left w:val="nil"/>
              <w:bottom w:val="nil"/>
              <w:right w:val="nil"/>
            </w:tcBorders>
            <w:shd w:val="clear" w:color="auto" w:fill="auto"/>
            <w:tcMar>
              <w:top w:w="15" w:type="dxa"/>
              <w:left w:w="108" w:type="dxa"/>
              <w:bottom w:w="0" w:type="dxa"/>
              <w:right w:w="108" w:type="dxa"/>
            </w:tcMar>
            <w:vAlign w:val="center"/>
            <w:hideMark/>
          </w:tcPr>
          <w:p w14:paraId="091C29D4"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170</w:t>
            </w:r>
          </w:p>
        </w:tc>
        <w:tc>
          <w:tcPr>
            <w:tcW w:w="864" w:type="pct"/>
            <w:tcBorders>
              <w:top w:val="nil"/>
              <w:left w:val="nil"/>
              <w:bottom w:val="nil"/>
              <w:right w:val="nil"/>
            </w:tcBorders>
            <w:shd w:val="clear" w:color="auto" w:fill="auto"/>
            <w:tcMar>
              <w:top w:w="15" w:type="dxa"/>
              <w:left w:w="108" w:type="dxa"/>
              <w:bottom w:w="0" w:type="dxa"/>
              <w:right w:w="108" w:type="dxa"/>
            </w:tcMar>
            <w:vAlign w:val="center"/>
            <w:hideMark/>
          </w:tcPr>
          <w:p w14:paraId="187D64E9"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1.5</w:t>
            </w:r>
          </w:p>
        </w:tc>
        <w:tc>
          <w:tcPr>
            <w:tcW w:w="784" w:type="pct"/>
            <w:tcBorders>
              <w:top w:val="nil"/>
              <w:left w:val="nil"/>
              <w:bottom w:val="nil"/>
              <w:right w:val="nil"/>
            </w:tcBorders>
            <w:shd w:val="clear" w:color="auto" w:fill="auto"/>
            <w:tcMar>
              <w:top w:w="15" w:type="dxa"/>
              <w:left w:w="108" w:type="dxa"/>
              <w:bottom w:w="0" w:type="dxa"/>
              <w:right w:w="108" w:type="dxa"/>
            </w:tcMar>
            <w:vAlign w:val="center"/>
            <w:hideMark/>
          </w:tcPr>
          <w:p w14:paraId="1D950FA5"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5022</w:t>
            </w:r>
          </w:p>
        </w:tc>
        <w:tc>
          <w:tcPr>
            <w:tcW w:w="550" w:type="pct"/>
            <w:tcBorders>
              <w:left w:val="nil"/>
              <w:bottom w:val="nil"/>
              <w:right w:val="nil"/>
            </w:tcBorders>
            <w:vAlign w:val="center"/>
          </w:tcPr>
          <w:p w14:paraId="7F078322"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1.34</w:t>
            </w:r>
          </w:p>
        </w:tc>
        <w:tc>
          <w:tcPr>
            <w:tcW w:w="603" w:type="pct"/>
            <w:tcBorders>
              <w:left w:val="nil"/>
              <w:bottom w:val="nil"/>
              <w:right w:val="nil"/>
            </w:tcBorders>
            <w:vAlign w:val="center"/>
          </w:tcPr>
          <w:p w14:paraId="5E3E9E2B"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1.58</w:t>
            </w:r>
          </w:p>
        </w:tc>
      </w:tr>
      <w:tr w:rsidR="0008678E" w:rsidRPr="003476E6" w14:paraId="43E0F15A" w14:textId="77777777" w:rsidTr="0008678E">
        <w:trPr>
          <w:trHeight w:val="240"/>
        </w:trPr>
        <w:tc>
          <w:tcPr>
            <w:tcW w:w="644" w:type="pct"/>
            <w:tcBorders>
              <w:top w:val="nil"/>
              <w:left w:val="nil"/>
              <w:bottom w:val="dashed" w:sz="4" w:space="0" w:color="auto"/>
              <w:right w:val="nil"/>
            </w:tcBorders>
            <w:shd w:val="clear" w:color="auto" w:fill="auto"/>
            <w:tcMar>
              <w:top w:w="15" w:type="dxa"/>
              <w:left w:w="108" w:type="dxa"/>
              <w:bottom w:w="0" w:type="dxa"/>
              <w:right w:w="108" w:type="dxa"/>
            </w:tcMar>
            <w:vAlign w:val="center"/>
            <w:hideMark/>
          </w:tcPr>
          <w:p w14:paraId="6DCD229A"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8</w:t>
            </w:r>
          </w:p>
        </w:tc>
        <w:tc>
          <w:tcPr>
            <w:tcW w:w="535" w:type="pct"/>
            <w:tcBorders>
              <w:top w:val="nil"/>
              <w:left w:val="nil"/>
              <w:bottom w:val="dashed" w:sz="4" w:space="0" w:color="auto"/>
              <w:right w:val="nil"/>
            </w:tcBorders>
            <w:shd w:val="clear" w:color="auto" w:fill="auto"/>
            <w:tcMar>
              <w:top w:w="15" w:type="dxa"/>
              <w:left w:w="108" w:type="dxa"/>
              <w:bottom w:w="0" w:type="dxa"/>
              <w:right w:w="108" w:type="dxa"/>
            </w:tcMar>
            <w:vAlign w:val="center"/>
            <w:hideMark/>
          </w:tcPr>
          <w:p w14:paraId="71B55438"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43</w:t>
            </w:r>
          </w:p>
        </w:tc>
        <w:tc>
          <w:tcPr>
            <w:tcW w:w="550" w:type="pct"/>
            <w:tcBorders>
              <w:top w:val="nil"/>
              <w:left w:val="nil"/>
              <w:bottom w:val="dashed" w:sz="4" w:space="0" w:color="auto"/>
              <w:right w:val="nil"/>
            </w:tcBorders>
            <w:shd w:val="clear" w:color="auto" w:fill="auto"/>
            <w:tcMar>
              <w:top w:w="15" w:type="dxa"/>
              <w:left w:w="108" w:type="dxa"/>
              <w:bottom w:w="0" w:type="dxa"/>
              <w:right w:w="108" w:type="dxa"/>
            </w:tcMar>
            <w:vAlign w:val="center"/>
            <w:hideMark/>
          </w:tcPr>
          <w:p w14:paraId="546CE64C"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54.6</w:t>
            </w:r>
          </w:p>
        </w:tc>
        <w:tc>
          <w:tcPr>
            <w:tcW w:w="470" w:type="pct"/>
            <w:tcBorders>
              <w:top w:val="nil"/>
              <w:left w:val="nil"/>
              <w:bottom w:val="dashed" w:sz="4" w:space="0" w:color="auto"/>
              <w:right w:val="nil"/>
            </w:tcBorders>
            <w:shd w:val="clear" w:color="auto" w:fill="auto"/>
            <w:tcMar>
              <w:top w:w="15" w:type="dxa"/>
              <w:left w:w="108" w:type="dxa"/>
              <w:bottom w:w="0" w:type="dxa"/>
              <w:right w:w="108" w:type="dxa"/>
            </w:tcMar>
            <w:vAlign w:val="center"/>
            <w:hideMark/>
          </w:tcPr>
          <w:p w14:paraId="70CBD87C"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165</w:t>
            </w:r>
          </w:p>
        </w:tc>
        <w:tc>
          <w:tcPr>
            <w:tcW w:w="864" w:type="pct"/>
            <w:tcBorders>
              <w:top w:val="nil"/>
              <w:left w:val="nil"/>
              <w:bottom w:val="dashed" w:sz="4" w:space="0" w:color="auto"/>
              <w:right w:val="nil"/>
            </w:tcBorders>
            <w:shd w:val="clear" w:color="auto" w:fill="auto"/>
            <w:tcMar>
              <w:top w:w="15" w:type="dxa"/>
              <w:left w:w="108" w:type="dxa"/>
              <w:bottom w:w="0" w:type="dxa"/>
              <w:right w:w="108" w:type="dxa"/>
            </w:tcMar>
            <w:vAlign w:val="center"/>
            <w:hideMark/>
          </w:tcPr>
          <w:p w14:paraId="573CF5F2"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6.0</w:t>
            </w:r>
          </w:p>
        </w:tc>
        <w:tc>
          <w:tcPr>
            <w:tcW w:w="784" w:type="pct"/>
            <w:tcBorders>
              <w:top w:val="nil"/>
              <w:left w:val="nil"/>
              <w:bottom w:val="dashed" w:sz="4" w:space="0" w:color="auto"/>
              <w:right w:val="nil"/>
            </w:tcBorders>
            <w:shd w:val="clear" w:color="auto" w:fill="auto"/>
            <w:tcMar>
              <w:top w:w="15" w:type="dxa"/>
              <w:left w:w="108" w:type="dxa"/>
              <w:bottom w:w="0" w:type="dxa"/>
              <w:right w:w="108" w:type="dxa"/>
            </w:tcMar>
            <w:vAlign w:val="center"/>
            <w:hideMark/>
          </w:tcPr>
          <w:p w14:paraId="58B42A24"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15918</w:t>
            </w:r>
          </w:p>
        </w:tc>
        <w:tc>
          <w:tcPr>
            <w:tcW w:w="550" w:type="pct"/>
            <w:tcBorders>
              <w:top w:val="nil"/>
              <w:left w:val="nil"/>
              <w:bottom w:val="dashed" w:sz="4" w:space="0" w:color="auto"/>
              <w:right w:val="nil"/>
            </w:tcBorders>
            <w:vAlign w:val="center"/>
          </w:tcPr>
          <w:p w14:paraId="26C30ECB"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1.38</w:t>
            </w:r>
          </w:p>
        </w:tc>
        <w:tc>
          <w:tcPr>
            <w:tcW w:w="603" w:type="pct"/>
            <w:tcBorders>
              <w:top w:val="nil"/>
              <w:left w:val="nil"/>
              <w:bottom w:val="dashed" w:sz="4" w:space="0" w:color="auto"/>
              <w:right w:val="nil"/>
            </w:tcBorders>
            <w:vAlign w:val="center"/>
          </w:tcPr>
          <w:p w14:paraId="241B3C31"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1.76</w:t>
            </w:r>
          </w:p>
        </w:tc>
      </w:tr>
      <w:tr w:rsidR="0008678E" w:rsidRPr="003476E6" w14:paraId="7D28FA17" w14:textId="77777777" w:rsidTr="0008678E">
        <w:trPr>
          <w:trHeight w:val="240"/>
        </w:trPr>
        <w:tc>
          <w:tcPr>
            <w:tcW w:w="644" w:type="pct"/>
            <w:tcBorders>
              <w:top w:val="dashed" w:sz="4" w:space="0" w:color="auto"/>
              <w:left w:val="nil"/>
              <w:bottom w:val="nil"/>
              <w:right w:val="nil"/>
            </w:tcBorders>
            <w:shd w:val="clear" w:color="auto" w:fill="auto"/>
            <w:tcMar>
              <w:top w:w="15" w:type="dxa"/>
              <w:left w:w="108" w:type="dxa"/>
              <w:bottom w:w="0" w:type="dxa"/>
              <w:right w:w="108" w:type="dxa"/>
            </w:tcMar>
            <w:vAlign w:val="center"/>
            <w:hideMark/>
          </w:tcPr>
          <w:p w14:paraId="2797E376"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Mean</w:t>
            </w:r>
          </w:p>
        </w:tc>
        <w:tc>
          <w:tcPr>
            <w:tcW w:w="535" w:type="pct"/>
            <w:tcBorders>
              <w:top w:val="dashed" w:sz="4" w:space="0" w:color="auto"/>
              <w:left w:val="nil"/>
              <w:bottom w:val="nil"/>
              <w:right w:val="nil"/>
            </w:tcBorders>
            <w:shd w:val="clear" w:color="auto" w:fill="auto"/>
            <w:tcMar>
              <w:top w:w="15" w:type="dxa"/>
              <w:left w:w="108" w:type="dxa"/>
              <w:bottom w:w="0" w:type="dxa"/>
              <w:right w:w="108" w:type="dxa"/>
            </w:tcMar>
            <w:vAlign w:val="center"/>
            <w:hideMark/>
          </w:tcPr>
          <w:p w14:paraId="08FDF093"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40.0</w:t>
            </w:r>
          </w:p>
        </w:tc>
        <w:tc>
          <w:tcPr>
            <w:tcW w:w="550" w:type="pct"/>
            <w:tcBorders>
              <w:top w:val="dashed" w:sz="4" w:space="0" w:color="auto"/>
              <w:left w:val="nil"/>
              <w:bottom w:val="nil"/>
              <w:right w:val="nil"/>
            </w:tcBorders>
            <w:shd w:val="clear" w:color="auto" w:fill="auto"/>
            <w:tcMar>
              <w:top w:w="15" w:type="dxa"/>
              <w:left w:w="108" w:type="dxa"/>
              <w:bottom w:w="0" w:type="dxa"/>
              <w:right w:w="108" w:type="dxa"/>
            </w:tcMar>
            <w:vAlign w:val="center"/>
            <w:hideMark/>
          </w:tcPr>
          <w:p w14:paraId="1102EE8E"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84.5</w:t>
            </w:r>
          </w:p>
        </w:tc>
        <w:tc>
          <w:tcPr>
            <w:tcW w:w="470" w:type="pct"/>
            <w:tcBorders>
              <w:top w:val="dashed" w:sz="4" w:space="0" w:color="auto"/>
              <w:left w:val="nil"/>
              <w:bottom w:val="nil"/>
              <w:right w:val="nil"/>
            </w:tcBorders>
            <w:shd w:val="clear" w:color="auto" w:fill="auto"/>
            <w:tcMar>
              <w:top w:w="15" w:type="dxa"/>
              <w:left w:w="108" w:type="dxa"/>
              <w:bottom w:w="0" w:type="dxa"/>
              <w:right w:w="108" w:type="dxa"/>
            </w:tcMar>
            <w:vAlign w:val="center"/>
            <w:hideMark/>
          </w:tcPr>
          <w:p w14:paraId="38866513"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177</w:t>
            </w:r>
          </w:p>
        </w:tc>
        <w:tc>
          <w:tcPr>
            <w:tcW w:w="864" w:type="pct"/>
            <w:tcBorders>
              <w:top w:val="dashed" w:sz="4" w:space="0" w:color="auto"/>
              <w:left w:val="nil"/>
              <w:bottom w:val="nil"/>
              <w:right w:val="nil"/>
            </w:tcBorders>
            <w:shd w:val="clear" w:color="auto" w:fill="auto"/>
            <w:tcMar>
              <w:top w:w="15" w:type="dxa"/>
              <w:left w:w="108" w:type="dxa"/>
              <w:bottom w:w="0" w:type="dxa"/>
              <w:right w:w="108" w:type="dxa"/>
            </w:tcMar>
            <w:vAlign w:val="center"/>
            <w:hideMark/>
          </w:tcPr>
          <w:p w14:paraId="16E0592E"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12.2</w:t>
            </w:r>
          </w:p>
        </w:tc>
        <w:tc>
          <w:tcPr>
            <w:tcW w:w="784" w:type="pct"/>
            <w:tcBorders>
              <w:top w:val="dashed" w:sz="4" w:space="0" w:color="auto"/>
              <w:left w:val="nil"/>
              <w:bottom w:val="nil"/>
              <w:right w:val="nil"/>
            </w:tcBorders>
            <w:shd w:val="clear" w:color="auto" w:fill="auto"/>
            <w:tcMar>
              <w:top w:w="15" w:type="dxa"/>
              <w:left w:w="108" w:type="dxa"/>
              <w:bottom w:w="0" w:type="dxa"/>
              <w:right w:w="108" w:type="dxa"/>
            </w:tcMar>
            <w:vAlign w:val="center"/>
            <w:hideMark/>
          </w:tcPr>
          <w:p w14:paraId="37C9F3EE"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6524</w:t>
            </w:r>
          </w:p>
        </w:tc>
        <w:tc>
          <w:tcPr>
            <w:tcW w:w="550" w:type="pct"/>
            <w:tcBorders>
              <w:top w:val="dashed" w:sz="4" w:space="0" w:color="auto"/>
              <w:left w:val="nil"/>
              <w:bottom w:val="nil"/>
              <w:right w:val="nil"/>
            </w:tcBorders>
            <w:vAlign w:val="center"/>
          </w:tcPr>
          <w:p w14:paraId="630D71B8"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1.33</w:t>
            </w:r>
          </w:p>
        </w:tc>
        <w:tc>
          <w:tcPr>
            <w:tcW w:w="603" w:type="pct"/>
            <w:tcBorders>
              <w:top w:val="dashed" w:sz="4" w:space="0" w:color="auto"/>
              <w:left w:val="nil"/>
              <w:bottom w:val="nil"/>
              <w:right w:val="nil"/>
            </w:tcBorders>
            <w:vAlign w:val="center"/>
          </w:tcPr>
          <w:p w14:paraId="15D08FCA"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1.70</w:t>
            </w:r>
          </w:p>
        </w:tc>
      </w:tr>
      <w:tr w:rsidR="0008678E" w:rsidRPr="003476E6" w14:paraId="67336BB2" w14:textId="77777777" w:rsidTr="0008678E">
        <w:trPr>
          <w:trHeight w:val="240"/>
        </w:trPr>
        <w:tc>
          <w:tcPr>
            <w:tcW w:w="644"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280F5006"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SD</w:t>
            </w:r>
          </w:p>
        </w:tc>
        <w:tc>
          <w:tcPr>
            <w:tcW w:w="535"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6E7DBFD5"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9.00</w:t>
            </w:r>
          </w:p>
        </w:tc>
        <w:tc>
          <w:tcPr>
            <w:tcW w:w="550"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69353D6C"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17.9</w:t>
            </w:r>
          </w:p>
        </w:tc>
        <w:tc>
          <w:tcPr>
            <w:tcW w:w="470"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A823991"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7.40</w:t>
            </w:r>
          </w:p>
        </w:tc>
        <w:tc>
          <w:tcPr>
            <w:tcW w:w="864"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0E747A5"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11.5</w:t>
            </w:r>
          </w:p>
        </w:tc>
        <w:tc>
          <w:tcPr>
            <w:tcW w:w="784"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3B441DC"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4862</w:t>
            </w:r>
          </w:p>
        </w:tc>
        <w:tc>
          <w:tcPr>
            <w:tcW w:w="550" w:type="pct"/>
            <w:tcBorders>
              <w:top w:val="nil"/>
              <w:left w:val="nil"/>
              <w:bottom w:val="single" w:sz="8" w:space="0" w:color="000000"/>
              <w:right w:val="nil"/>
            </w:tcBorders>
            <w:vAlign w:val="center"/>
          </w:tcPr>
          <w:p w14:paraId="7178F61B"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0.15</w:t>
            </w:r>
          </w:p>
        </w:tc>
        <w:tc>
          <w:tcPr>
            <w:tcW w:w="603" w:type="pct"/>
            <w:tcBorders>
              <w:top w:val="nil"/>
              <w:left w:val="nil"/>
              <w:bottom w:val="single" w:sz="8" w:space="0" w:color="000000"/>
              <w:right w:val="nil"/>
            </w:tcBorders>
            <w:vAlign w:val="center"/>
          </w:tcPr>
          <w:p w14:paraId="4886673D" w14:textId="77777777" w:rsidR="009534B6" w:rsidRPr="003476E6" w:rsidRDefault="009534B6" w:rsidP="00C51C71">
            <w:pPr>
              <w:spacing w:after="160" w:line="360" w:lineRule="auto"/>
              <w:jc w:val="center"/>
              <w:rPr>
                <w:rFonts w:cs="Arial"/>
                <w:iCs/>
                <w:sz w:val="20"/>
                <w:szCs w:val="20"/>
              </w:rPr>
            </w:pPr>
            <w:r w:rsidRPr="003476E6">
              <w:rPr>
                <w:rFonts w:cs="Arial"/>
                <w:iCs/>
                <w:sz w:val="20"/>
                <w:szCs w:val="20"/>
              </w:rPr>
              <w:t>0.20</w:t>
            </w:r>
          </w:p>
        </w:tc>
      </w:tr>
      <w:tr w:rsidR="00AD7D69" w:rsidRPr="003476E6" w14:paraId="2A9DE1F0" w14:textId="77777777" w:rsidTr="0008678E">
        <w:trPr>
          <w:trHeight w:val="549"/>
        </w:trPr>
        <w:tc>
          <w:tcPr>
            <w:tcW w:w="5000" w:type="pct"/>
            <w:gridSpan w:val="8"/>
            <w:tcBorders>
              <w:top w:val="single" w:sz="8" w:space="0" w:color="000000"/>
              <w:left w:val="nil"/>
              <w:bottom w:val="nil"/>
              <w:right w:val="nil"/>
            </w:tcBorders>
            <w:shd w:val="clear" w:color="auto" w:fill="auto"/>
            <w:tcMar>
              <w:top w:w="15" w:type="dxa"/>
              <w:left w:w="108" w:type="dxa"/>
              <w:bottom w:w="0" w:type="dxa"/>
              <w:right w:w="108" w:type="dxa"/>
            </w:tcMar>
            <w:hideMark/>
          </w:tcPr>
          <w:p w14:paraId="3AB77204" w14:textId="50BB13AB" w:rsidR="00AD7D69" w:rsidRPr="003476E6" w:rsidRDefault="00AD7D69" w:rsidP="00C51C71">
            <w:pPr>
              <w:spacing w:after="160" w:line="360" w:lineRule="auto"/>
              <w:rPr>
                <w:rFonts w:cs="Arial"/>
                <w:i/>
                <w:iCs/>
                <w:sz w:val="20"/>
                <w:szCs w:val="20"/>
              </w:rPr>
            </w:pPr>
            <w:r w:rsidRPr="003476E6">
              <w:rPr>
                <w:rFonts w:cs="Arial"/>
                <w:i/>
                <w:iCs/>
                <w:sz w:val="20"/>
                <w:szCs w:val="20"/>
              </w:rPr>
              <w:t>IPAQ, International Physical Activity Questionnaire; MET, Metabolic Equivalents; DNR, did not respond; TSB, total surface bearing socket; PTB, patellar tendon bearing socket.</w:t>
            </w:r>
          </w:p>
        </w:tc>
      </w:tr>
    </w:tbl>
    <w:p w14:paraId="79A83318" w14:textId="10840D54" w:rsidR="00AD7D69" w:rsidRPr="003476E6" w:rsidRDefault="00AD7D69" w:rsidP="00AD7D69">
      <w:pPr>
        <w:spacing w:after="160" w:line="259" w:lineRule="auto"/>
        <w:rPr>
          <w:rFonts w:eastAsiaTheme="majorEastAsia" w:cstheme="majorBidi"/>
          <w:b/>
          <w:color w:val="000000" w:themeColor="text1"/>
          <w:szCs w:val="32"/>
        </w:rPr>
        <w:sectPr w:rsidR="00AD7D69" w:rsidRPr="003476E6" w:rsidSect="0008678E">
          <w:pgSz w:w="11906" w:h="16838" w:code="9"/>
          <w:pgMar w:top="1440" w:right="1440" w:bottom="1440" w:left="1440" w:header="709" w:footer="709" w:gutter="0"/>
          <w:cols w:space="708"/>
          <w:docGrid w:linePitch="360"/>
        </w:sectPr>
      </w:pPr>
    </w:p>
    <w:tbl>
      <w:tblPr>
        <w:tblW w:w="9080" w:type="dxa"/>
        <w:tblCellMar>
          <w:left w:w="0" w:type="dxa"/>
          <w:right w:w="0" w:type="dxa"/>
        </w:tblCellMar>
        <w:tblLook w:val="04A0" w:firstRow="1" w:lastRow="0" w:firstColumn="1" w:lastColumn="0" w:noHBand="0" w:noVBand="1"/>
      </w:tblPr>
      <w:tblGrid>
        <w:gridCol w:w="3240"/>
        <w:gridCol w:w="3080"/>
        <w:gridCol w:w="2760"/>
      </w:tblGrid>
      <w:tr w:rsidR="00926C70" w:rsidRPr="003476E6" w14:paraId="7D98C519" w14:textId="77777777" w:rsidTr="00BB04B0">
        <w:tc>
          <w:tcPr>
            <w:tcW w:w="9080" w:type="dxa"/>
            <w:gridSpan w:val="3"/>
            <w:tcBorders>
              <w:top w:val="nil"/>
              <w:left w:val="nil"/>
              <w:bottom w:val="single" w:sz="8" w:space="0" w:color="000000"/>
              <w:right w:val="nil"/>
            </w:tcBorders>
            <w:shd w:val="clear" w:color="auto" w:fill="auto"/>
            <w:tcMar>
              <w:top w:w="15" w:type="dxa"/>
              <w:left w:w="108" w:type="dxa"/>
              <w:bottom w:w="0" w:type="dxa"/>
              <w:right w:w="108" w:type="dxa"/>
            </w:tcMar>
            <w:hideMark/>
          </w:tcPr>
          <w:p w14:paraId="7E50D217" w14:textId="77777777" w:rsidR="00926C70" w:rsidRPr="003476E6" w:rsidRDefault="00926C70" w:rsidP="00BB04B0">
            <w:pPr>
              <w:spacing w:after="160" w:line="360" w:lineRule="auto"/>
              <w:rPr>
                <w:rFonts w:cs="Arial"/>
                <w:bCs/>
                <w:sz w:val="22"/>
                <w:szCs w:val="22"/>
              </w:rPr>
            </w:pPr>
            <w:r w:rsidRPr="003476E6">
              <w:rPr>
                <w:rFonts w:cs="Arial"/>
                <w:b/>
                <w:sz w:val="22"/>
                <w:szCs w:val="22"/>
              </w:rPr>
              <w:lastRenderedPageBreak/>
              <w:t>Table 2.</w:t>
            </w:r>
            <w:r w:rsidRPr="003476E6">
              <w:rPr>
                <w:rFonts w:cs="Arial"/>
                <w:bCs/>
                <w:sz w:val="22"/>
                <w:szCs w:val="22"/>
              </w:rPr>
              <w:t xml:space="preserve"> Criteria used to establish whether walking speed should be covaried for via semi-partial or partial correlations instead of bivariate correlations, between BAI for a given strength variable and BAI for a given gait variable. A moderate relationship was defined as r≥0.5.</w:t>
            </w:r>
          </w:p>
        </w:tc>
      </w:tr>
      <w:tr w:rsidR="00926C70" w:rsidRPr="003476E6" w14:paraId="44766A9A" w14:textId="77777777" w:rsidTr="00BB04B0">
        <w:tc>
          <w:tcPr>
            <w:tcW w:w="324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8CE3CF3" w14:textId="77777777" w:rsidR="00926C70" w:rsidRPr="003476E6" w:rsidRDefault="00926C70" w:rsidP="00BB04B0">
            <w:pPr>
              <w:spacing w:after="160" w:line="360" w:lineRule="auto"/>
              <w:rPr>
                <w:rFonts w:cs="Arial"/>
                <w:bCs/>
                <w:sz w:val="20"/>
                <w:szCs w:val="20"/>
              </w:rPr>
            </w:pPr>
            <w:r w:rsidRPr="003476E6">
              <w:rPr>
                <w:rFonts w:cs="Arial"/>
                <w:bCs/>
                <w:sz w:val="20"/>
                <w:szCs w:val="20"/>
              </w:rPr>
              <w:t>Bivariate</w:t>
            </w:r>
          </w:p>
        </w:tc>
        <w:tc>
          <w:tcPr>
            <w:tcW w:w="30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B0533A2" w14:textId="77777777" w:rsidR="00926C70" w:rsidRPr="003476E6" w:rsidRDefault="00926C70" w:rsidP="00BB04B0">
            <w:pPr>
              <w:spacing w:after="160" w:line="360" w:lineRule="auto"/>
              <w:rPr>
                <w:rFonts w:cs="Arial"/>
                <w:bCs/>
                <w:sz w:val="20"/>
                <w:szCs w:val="20"/>
              </w:rPr>
            </w:pPr>
            <w:r w:rsidRPr="003476E6">
              <w:rPr>
                <w:rFonts w:cs="Arial"/>
                <w:bCs/>
                <w:sz w:val="20"/>
                <w:szCs w:val="20"/>
              </w:rPr>
              <w:t>Semi-partial</w:t>
            </w:r>
          </w:p>
        </w:tc>
        <w:tc>
          <w:tcPr>
            <w:tcW w:w="276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19AA346" w14:textId="77777777" w:rsidR="00926C70" w:rsidRPr="003476E6" w:rsidRDefault="00926C70" w:rsidP="00BB04B0">
            <w:pPr>
              <w:spacing w:after="160" w:line="360" w:lineRule="auto"/>
              <w:rPr>
                <w:rFonts w:cs="Arial"/>
                <w:bCs/>
                <w:sz w:val="20"/>
                <w:szCs w:val="20"/>
              </w:rPr>
            </w:pPr>
            <w:r w:rsidRPr="003476E6">
              <w:rPr>
                <w:rFonts w:cs="Arial"/>
                <w:bCs/>
                <w:sz w:val="20"/>
                <w:szCs w:val="20"/>
              </w:rPr>
              <w:t>Partial</w:t>
            </w:r>
          </w:p>
        </w:tc>
      </w:tr>
      <w:tr w:rsidR="00926C70" w:rsidRPr="003476E6" w14:paraId="486BC463" w14:textId="77777777" w:rsidTr="00BB04B0">
        <w:trPr>
          <w:trHeight w:val="855"/>
        </w:trPr>
        <w:tc>
          <w:tcPr>
            <w:tcW w:w="324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DE47C4D" w14:textId="77777777" w:rsidR="00926C70" w:rsidRPr="003476E6" w:rsidRDefault="00926C70" w:rsidP="00BB04B0">
            <w:pPr>
              <w:spacing w:after="160" w:line="360" w:lineRule="auto"/>
              <w:rPr>
                <w:rFonts w:cs="Arial"/>
                <w:bCs/>
                <w:sz w:val="20"/>
                <w:szCs w:val="20"/>
              </w:rPr>
            </w:pPr>
            <w:r w:rsidRPr="003476E6">
              <w:rPr>
                <w:rFonts w:cs="Arial"/>
                <w:bCs/>
                <w:sz w:val="20"/>
                <w:szCs w:val="20"/>
              </w:rPr>
              <w:t>Neither BAI for the strength nor the gait variable were moderately related to walking speed.</w:t>
            </w:r>
          </w:p>
        </w:tc>
        <w:tc>
          <w:tcPr>
            <w:tcW w:w="30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1814E19" w14:textId="77777777" w:rsidR="00926C70" w:rsidRPr="003476E6" w:rsidRDefault="00926C70" w:rsidP="00BB04B0">
            <w:pPr>
              <w:spacing w:after="160" w:line="360" w:lineRule="auto"/>
              <w:rPr>
                <w:rFonts w:cs="Arial"/>
                <w:bCs/>
                <w:sz w:val="20"/>
                <w:szCs w:val="20"/>
              </w:rPr>
            </w:pPr>
            <w:r w:rsidRPr="003476E6">
              <w:rPr>
                <w:rFonts w:cs="Arial"/>
                <w:bCs/>
                <w:sz w:val="20"/>
                <w:szCs w:val="20"/>
              </w:rPr>
              <w:t>BAI for either the strength or the gait variable was moderately related to walking speed.</w:t>
            </w:r>
          </w:p>
        </w:tc>
        <w:tc>
          <w:tcPr>
            <w:tcW w:w="276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89DCA6F" w14:textId="77777777" w:rsidR="00926C70" w:rsidRPr="003476E6" w:rsidRDefault="00926C70" w:rsidP="00BB04B0">
            <w:pPr>
              <w:spacing w:after="160" w:line="360" w:lineRule="auto"/>
              <w:rPr>
                <w:rFonts w:cs="Arial"/>
                <w:bCs/>
                <w:sz w:val="20"/>
                <w:szCs w:val="20"/>
              </w:rPr>
            </w:pPr>
            <w:r w:rsidRPr="003476E6">
              <w:rPr>
                <w:rFonts w:cs="Arial"/>
                <w:bCs/>
                <w:sz w:val="20"/>
                <w:szCs w:val="20"/>
              </w:rPr>
              <w:t>BAI of both variables was moderately related to walking speed.</w:t>
            </w:r>
          </w:p>
        </w:tc>
      </w:tr>
    </w:tbl>
    <w:p w14:paraId="1068A00D" w14:textId="1DA880E1" w:rsidR="00926C70" w:rsidRPr="003476E6" w:rsidRDefault="00926C70">
      <w:pPr>
        <w:spacing w:after="160" w:line="259" w:lineRule="auto"/>
      </w:pPr>
    </w:p>
    <w:p w14:paraId="6464F986" w14:textId="7BACB647" w:rsidR="00926C70" w:rsidRPr="003476E6" w:rsidRDefault="00926C70">
      <w:pPr>
        <w:spacing w:after="160" w:line="259" w:lineRule="auto"/>
      </w:pPr>
    </w:p>
    <w:tbl>
      <w:tblPr>
        <w:tblW w:w="9026" w:type="dxa"/>
        <w:tblCellMar>
          <w:left w:w="0" w:type="dxa"/>
          <w:right w:w="0" w:type="dxa"/>
        </w:tblCellMar>
        <w:tblLook w:val="04A0" w:firstRow="1" w:lastRow="0" w:firstColumn="1" w:lastColumn="0" w:noHBand="0" w:noVBand="1"/>
      </w:tblPr>
      <w:tblGrid>
        <w:gridCol w:w="993"/>
        <w:gridCol w:w="2126"/>
        <w:gridCol w:w="1701"/>
        <w:gridCol w:w="1559"/>
        <w:gridCol w:w="1701"/>
        <w:gridCol w:w="946"/>
      </w:tblGrid>
      <w:tr w:rsidR="00926C70" w:rsidRPr="003476E6" w14:paraId="1F0AE4C6" w14:textId="77777777" w:rsidTr="00BB04B0">
        <w:trPr>
          <w:trHeight w:val="524"/>
        </w:trPr>
        <w:tc>
          <w:tcPr>
            <w:tcW w:w="9026" w:type="dxa"/>
            <w:gridSpan w:val="6"/>
            <w:tcBorders>
              <w:top w:val="nil"/>
              <w:left w:val="nil"/>
              <w:right w:val="nil"/>
            </w:tcBorders>
          </w:tcPr>
          <w:p w14:paraId="18D0D869" w14:textId="220EB113" w:rsidR="00926C70" w:rsidRPr="003476E6" w:rsidRDefault="00926C70" w:rsidP="00BB04B0">
            <w:pPr>
              <w:spacing w:after="160" w:line="360" w:lineRule="auto"/>
              <w:rPr>
                <w:rFonts w:cs="Arial"/>
                <w:sz w:val="22"/>
                <w:szCs w:val="22"/>
              </w:rPr>
            </w:pPr>
            <w:r w:rsidRPr="003476E6">
              <w:rPr>
                <w:rFonts w:cs="Arial"/>
                <w:b/>
                <w:bCs/>
                <w:sz w:val="22"/>
                <w:szCs w:val="22"/>
              </w:rPr>
              <w:t>Table 3.</w:t>
            </w:r>
            <w:r w:rsidRPr="003476E6">
              <w:rPr>
                <w:rFonts w:cs="Arial"/>
                <w:sz w:val="22"/>
                <w:szCs w:val="22"/>
              </w:rPr>
              <w:t xml:space="preserve"> Absolute, relative (to bodymass, BM) and BAI values for isometric MVT and peak RTD of the knee-extensors in the amputated</w:t>
            </w:r>
            <w:r w:rsidR="006F4410" w:rsidRPr="003476E6">
              <w:rPr>
                <w:rFonts w:cs="Arial"/>
                <w:sz w:val="22"/>
                <w:szCs w:val="22"/>
              </w:rPr>
              <w:t>-</w:t>
            </w:r>
            <w:r w:rsidRPr="003476E6">
              <w:rPr>
                <w:rFonts w:cs="Arial"/>
                <w:sz w:val="22"/>
                <w:szCs w:val="22"/>
              </w:rPr>
              <w:t xml:space="preserve"> and intact</w:t>
            </w:r>
            <w:r w:rsidR="006F4410" w:rsidRPr="003476E6">
              <w:rPr>
                <w:rFonts w:cs="Arial"/>
                <w:sz w:val="22"/>
                <w:szCs w:val="22"/>
              </w:rPr>
              <w:t>-</w:t>
            </w:r>
            <w:r w:rsidRPr="003476E6">
              <w:rPr>
                <w:rFonts w:cs="Arial"/>
                <w:sz w:val="22"/>
                <w:szCs w:val="22"/>
              </w:rPr>
              <w:t xml:space="preserve">limbs of </w:t>
            </w:r>
            <w:r w:rsidR="00320AA9" w:rsidRPr="003476E6">
              <w:rPr>
                <w:rFonts w:cs="Arial"/>
                <w:sz w:val="22"/>
                <w:szCs w:val="22"/>
              </w:rPr>
              <w:t>ITTAs</w:t>
            </w:r>
            <w:r w:rsidRPr="003476E6">
              <w:rPr>
                <w:rFonts w:cs="Arial"/>
                <w:sz w:val="22"/>
                <w:szCs w:val="22"/>
              </w:rPr>
              <w:t>. Data are presented as group mean ± SD (n=8). Paired differences between the amputated</w:t>
            </w:r>
            <w:r w:rsidR="006F4410" w:rsidRPr="003476E6">
              <w:rPr>
                <w:rFonts w:cs="Arial"/>
                <w:sz w:val="22"/>
                <w:szCs w:val="22"/>
              </w:rPr>
              <w:t>-</w:t>
            </w:r>
            <w:r w:rsidRPr="003476E6">
              <w:rPr>
                <w:rFonts w:cs="Arial"/>
                <w:sz w:val="22"/>
                <w:szCs w:val="22"/>
              </w:rPr>
              <w:t xml:space="preserve"> and intact</w:t>
            </w:r>
            <w:r w:rsidR="006F4410" w:rsidRPr="003476E6">
              <w:rPr>
                <w:rFonts w:cs="Arial"/>
                <w:sz w:val="22"/>
                <w:szCs w:val="22"/>
              </w:rPr>
              <w:t>-</w:t>
            </w:r>
            <w:r w:rsidRPr="003476E6">
              <w:rPr>
                <w:rFonts w:cs="Arial"/>
                <w:sz w:val="22"/>
                <w:szCs w:val="22"/>
              </w:rPr>
              <w:t>limbs are denoted by * (</w:t>
            </w:r>
            <w:r w:rsidRPr="003476E6">
              <w:rPr>
                <w:rFonts w:cs="Arial"/>
                <w:i/>
                <w:iCs/>
                <w:sz w:val="22"/>
                <w:szCs w:val="22"/>
              </w:rPr>
              <w:t>p</w:t>
            </w:r>
            <w:r w:rsidRPr="003476E6">
              <w:rPr>
                <w:rFonts w:cs="Arial"/>
                <w:sz w:val="22"/>
                <w:szCs w:val="22"/>
              </w:rPr>
              <w:t>&lt;0.05) or ** (</w:t>
            </w:r>
            <w:r w:rsidRPr="003476E6">
              <w:rPr>
                <w:rFonts w:cs="Arial"/>
                <w:i/>
                <w:iCs/>
                <w:sz w:val="22"/>
                <w:szCs w:val="22"/>
              </w:rPr>
              <w:t>p</w:t>
            </w:r>
            <w:r w:rsidRPr="003476E6">
              <w:rPr>
                <w:rFonts w:cs="Arial"/>
                <w:sz w:val="22"/>
                <w:szCs w:val="22"/>
              </w:rPr>
              <w:t xml:space="preserve">&lt;0.001), </w:t>
            </w:r>
          </w:p>
        </w:tc>
      </w:tr>
      <w:tr w:rsidR="00926C70" w:rsidRPr="003476E6" w14:paraId="6C1C6ABD" w14:textId="77777777" w:rsidTr="00BB04B0">
        <w:trPr>
          <w:trHeight w:val="192"/>
        </w:trPr>
        <w:tc>
          <w:tcPr>
            <w:tcW w:w="993" w:type="dxa"/>
            <w:tcBorders>
              <w:left w:val="nil"/>
              <w:right w:val="nil"/>
            </w:tcBorders>
          </w:tcPr>
          <w:p w14:paraId="7FF75558" w14:textId="77777777" w:rsidR="00926C70" w:rsidRPr="003476E6" w:rsidRDefault="00926C70" w:rsidP="00BB04B0">
            <w:pPr>
              <w:spacing w:after="160" w:line="360" w:lineRule="auto"/>
              <w:rPr>
                <w:rFonts w:cs="Arial"/>
                <w:sz w:val="20"/>
                <w:szCs w:val="20"/>
              </w:rPr>
            </w:pPr>
          </w:p>
        </w:tc>
        <w:tc>
          <w:tcPr>
            <w:tcW w:w="2126" w:type="dxa"/>
            <w:vMerge w:val="restart"/>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4E9213DE" w14:textId="77777777" w:rsidR="00926C70" w:rsidRPr="003476E6" w:rsidRDefault="00926C70" w:rsidP="00BB04B0">
            <w:pPr>
              <w:spacing w:after="160" w:line="360" w:lineRule="auto"/>
              <w:rPr>
                <w:rFonts w:cs="Arial"/>
                <w:sz w:val="20"/>
                <w:szCs w:val="20"/>
              </w:rPr>
            </w:pPr>
            <w:r w:rsidRPr="003476E6">
              <w:rPr>
                <w:rFonts w:cs="Arial"/>
                <w:sz w:val="20"/>
                <w:szCs w:val="20"/>
              </w:rPr>
              <w:t> </w:t>
            </w:r>
          </w:p>
        </w:tc>
        <w:tc>
          <w:tcPr>
            <w:tcW w:w="1701" w:type="dxa"/>
            <w:vMerge w:val="restart"/>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55111213" w14:textId="77777777" w:rsidR="00926C70" w:rsidRPr="003476E6" w:rsidRDefault="00926C70" w:rsidP="00BB04B0">
            <w:pPr>
              <w:spacing w:after="160" w:line="360" w:lineRule="auto"/>
              <w:jc w:val="center"/>
              <w:rPr>
                <w:rFonts w:cs="Arial"/>
                <w:sz w:val="20"/>
                <w:szCs w:val="20"/>
              </w:rPr>
            </w:pPr>
            <w:r w:rsidRPr="003476E6">
              <w:rPr>
                <w:rFonts w:cs="Arial"/>
                <w:sz w:val="20"/>
                <w:szCs w:val="20"/>
              </w:rPr>
              <w:t>Amputated</w:t>
            </w:r>
          </w:p>
        </w:tc>
        <w:tc>
          <w:tcPr>
            <w:tcW w:w="1559" w:type="dxa"/>
            <w:vMerge w:val="restart"/>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0AEF485C" w14:textId="77777777" w:rsidR="00926C70" w:rsidRPr="003476E6" w:rsidRDefault="00926C70" w:rsidP="00BB04B0">
            <w:pPr>
              <w:spacing w:after="160" w:line="360" w:lineRule="auto"/>
              <w:jc w:val="center"/>
              <w:rPr>
                <w:rFonts w:cs="Arial"/>
                <w:sz w:val="20"/>
                <w:szCs w:val="20"/>
              </w:rPr>
            </w:pPr>
            <w:r w:rsidRPr="003476E6">
              <w:rPr>
                <w:rFonts w:cs="Arial"/>
                <w:sz w:val="20"/>
                <w:szCs w:val="20"/>
              </w:rPr>
              <w:t>Intact</w:t>
            </w:r>
          </w:p>
        </w:tc>
        <w:tc>
          <w:tcPr>
            <w:tcW w:w="1701"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18B7A2A7" w14:textId="77777777" w:rsidR="00926C70" w:rsidRPr="003476E6" w:rsidRDefault="00926C70" w:rsidP="00BB04B0">
            <w:pPr>
              <w:spacing w:after="160" w:line="360" w:lineRule="auto"/>
              <w:jc w:val="center"/>
              <w:rPr>
                <w:rFonts w:cs="Arial"/>
                <w:sz w:val="20"/>
                <w:szCs w:val="20"/>
              </w:rPr>
            </w:pPr>
            <w:r w:rsidRPr="003476E6">
              <w:rPr>
                <w:rFonts w:cs="Arial"/>
                <w:sz w:val="20"/>
                <w:szCs w:val="20"/>
              </w:rPr>
              <w:t>BAI (%)</w:t>
            </w:r>
          </w:p>
        </w:tc>
        <w:tc>
          <w:tcPr>
            <w:tcW w:w="946" w:type="dxa"/>
            <w:tcBorders>
              <w:left w:val="nil"/>
              <w:right w:val="nil"/>
            </w:tcBorders>
          </w:tcPr>
          <w:p w14:paraId="57E7A11B" w14:textId="77777777" w:rsidR="00926C70" w:rsidRPr="003476E6" w:rsidRDefault="00926C70" w:rsidP="00BB04B0">
            <w:pPr>
              <w:spacing w:after="160" w:line="360" w:lineRule="auto"/>
              <w:rPr>
                <w:rFonts w:cs="Arial"/>
                <w:sz w:val="20"/>
                <w:szCs w:val="20"/>
              </w:rPr>
            </w:pPr>
          </w:p>
        </w:tc>
      </w:tr>
      <w:tr w:rsidR="00926C70" w:rsidRPr="003476E6" w14:paraId="1F1EF889" w14:textId="77777777" w:rsidTr="00BB04B0">
        <w:trPr>
          <w:trHeight w:val="346"/>
        </w:trPr>
        <w:tc>
          <w:tcPr>
            <w:tcW w:w="993" w:type="dxa"/>
            <w:tcBorders>
              <w:left w:val="nil"/>
              <w:right w:val="nil"/>
            </w:tcBorders>
          </w:tcPr>
          <w:p w14:paraId="1937BE03" w14:textId="77777777" w:rsidR="00926C70" w:rsidRPr="003476E6" w:rsidRDefault="00926C70" w:rsidP="00BB04B0">
            <w:pPr>
              <w:spacing w:after="160" w:line="360" w:lineRule="auto"/>
              <w:rPr>
                <w:rFonts w:cs="Arial"/>
                <w:sz w:val="20"/>
                <w:szCs w:val="20"/>
              </w:rPr>
            </w:pPr>
          </w:p>
        </w:tc>
        <w:tc>
          <w:tcPr>
            <w:tcW w:w="2126" w:type="dxa"/>
            <w:vMerge/>
            <w:tcBorders>
              <w:top w:val="single" w:sz="8" w:space="0" w:color="000000"/>
              <w:left w:val="nil"/>
              <w:bottom w:val="single" w:sz="8" w:space="0" w:color="000000"/>
              <w:right w:val="nil"/>
            </w:tcBorders>
            <w:vAlign w:val="center"/>
            <w:hideMark/>
          </w:tcPr>
          <w:p w14:paraId="0A813B8E" w14:textId="77777777" w:rsidR="00926C70" w:rsidRPr="003476E6" w:rsidRDefault="00926C70" w:rsidP="00BB04B0">
            <w:pPr>
              <w:spacing w:after="160" w:line="360" w:lineRule="auto"/>
              <w:rPr>
                <w:rFonts w:cs="Arial"/>
                <w:sz w:val="20"/>
                <w:szCs w:val="20"/>
              </w:rPr>
            </w:pPr>
          </w:p>
        </w:tc>
        <w:tc>
          <w:tcPr>
            <w:tcW w:w="1701" w:type="dxa"/>
            <w:vMerge/>
            <w:tcBorders>
              <w:top w:val="single" w:sz="8" w:space="0" w:color="000000"/>
              <w:left w:val="nil"/>
              <w:bottom w:val="single" w:sz="8" w:space="0" w:color="000000"/>
              <w:right w:val="nil"/>
            </w:tcBorders>
            <w:vAlign w:val="center"/>
            <w:hideMark/>
          </w:tcPr>
          <w:p w14:paraId="1AD66E7C" w14:textId="77777777" w:rsidR="00926C70" w:rsidRPr="003476E6" w:rsidRDefault="00926C70" w:rsidP="00BB04B0">
            <w:pPr>
              <w:spacing w:after="160" w:line="360" w:lineRule="auto"/>
              <w:jc w:val="center"/>
              <w:rPr>
                <w:rFonts w:cs="Arial"/>
                <w:sz w:val="20"/>
                <w:szCs w:val="20"/>
              </w:rPr>
            </w:pPr>
          </w:p>
        </w:tc>
        <w:tc>
          <w:tcPr>
            <w:tcW w:w="1559" w:type="dxa"/>
            <w:vMerge/>
            <w:tcBorders>
              <w:top w:val="single" w:sz="8" w:space="0" w:color="000000"/>
              <w:left w:val="nil"/>
              <w:bottom w:val="single" w:sz="8" w:space="0" w:color="000000"/>
              <w:right w:val="nil"/>
            </w:tcBorders>
            <w:vAlign w:val="center"/>
            <w:hideMark/>
          </w:tcPr>
          <w:p w14:paraId="2F5951DB" w14:textId="77777777" w:rsidR="00926C70" w:rsidRPr="003476E6" w:rsidRDefault="00926C70" w:rsidP="00BB04B0">
            <w:pPr>
              <w:spacing w:after="160" w:line="360" w:lineRule="auto"/>
              <w:jc w:val="center"/>
              <w:rPr>
                <w:rFonts w:cs="Arial"/>
                <w:sz w:val="20"/>
                <w:szCs w:val="20"/>
              </w:rPr>
            </w:pPr>
          </w:p>
        </w:tc>
        <w:tc>
          <w:tcPr>
            <w:tcW w:w="170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0A60AFD" w14:textId="77777777" w:rsidR="00926C70" w:rsidRPr="003476E6" w:rsidRDefault="00926C70" w:rsidP="00BB04B0">
            <w:pPr>
              <w:spacing w:after="160" w:line="360" w:lineRule="auto"/>
              <w:jc w:val="center"/>
              <w:rPr>
                <w:rFonts w:cs="Arial"/>
                <w:sz w:val="20"/>
                <w:szCs w:val="20"/>
              </w:rPr>
            </w:pPr>
            <w:r w:rsidRPr="003476E6">
              <w:rPr>
                <w:rFonts w:cs="Arial"/>
                <w:sz w:val="20"/>
                <w:szCs w:val="20"/>
              </w:rPr>
              <w:t>Mean ± SD</w:t>
            </w:r>
          </w:p>
        </w:tc>
        <w:tc>
          <w:tcPr>
            <w:tcW w:w="946" w:type="dxa"/>
            <w:tcBorders>
              <w:left w:val="nil"/>
              <w:right w:val="nil"/>
            </w:tcBorders>
          </w:tcPr>
          <w:p w14:paraId="4D0049E0" w14:textId="77777777" w:rsidR="00926C70" w:rsidRPr="003476E6" w:rsidRDefault="00926C70" w:rsidP="00BB04B0">
            <w:pPr>
              <w:spacing w:after="160" w:line="360" w:lineRule="auto"/>
              <w:rPr>
                <w:rFonts w:cs="Arial"/>
                <w:sz w:val="20"/>
                <w:szCs w:val="20"/>
              </w:rPr>
            </w:pPr>
          </w:p>
        </w:tc>
      </w:tr>
      <w:tr w:rsidR="00926C70" w:rsidRPr="003476E6" w14:paraId="5E6B03A1" w14:textId="77777777" w:rsidTr="00BB04B0">
        <w:trPr>
          <w:trHeight w:val="454"/>
        </w:trPr>
        <w:tc>
          <w:tcPr>
            <w:tcW w:w="993" w:type="dxa"/>
            <w:tcBorders>
              <w:left w:val="nil"/>
              <w:bottom w:val="nil"/>
              <w:right w:val="nil"/>
            </w:tcBorders>
          </w:tcPr>
          <w:p w14:paraId="0231514D" w14:textId="77777777" w:rsidR="00926C70" w:rsidRPr="003476E6" w:rsidRDefault="00926C70" w:rsidP="00BB04B0">
            <w:pPr>
              <w:spacing w:after="160" w:line="360" w:lineRule="auto"/>
              <w:rPr>
                <w:rFonts w:cs="Arial"/>
                <w:sz w:val="20"/>
                <w:szCs w:val="20"/>
              </w:rPr>
            </w:pPr>
          </w:p>
        </w:tc>
        <w:tc>
          <w:tcPr>
            <w:tcW w:w="2126"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908ACEC" w14:textId="77777777" w:rsidR="00926C70" w:rsidRPr="003476E6" w:rsidRDefault="00926C70" w:rsidP="00BB04B0">
            <w:pPr>
              <w:spacing w:after="160" w:line="360" w:lineRule="auto"/>
              <w:rPr>
                <w:rFonts w:cs="Arial"/>
                <w:sz w:val="20"/>
                <w:szCs w:val="20"/>
              </w:rPr>
            </w:pPr>
            <w:r w:rsidRPr="003476E6">
              <w:rPr>
                <w:rFonts w:cs="Arial"/>
                <w:sz w:val="20"/>
                <w:szCs w:val="20"/>
              </w:rPr>
              <w:t>MVT (Nm)</w:t>
            </w:r>
          </w:p>
        </w:tc>
        <w:tc>
          <w:tcPr>
            <w:tcW w:w="1701"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CDEAB30" w14:textId="77777777" w:rsidR="00926C70" w:rsidRPr="003476E6" w:rsidRDefault="00926C70" w:rsidP="00BB04B0">
            <w:pPr>
              <w:spacing w:after="160" w:line="360" w:lineRule="auto"/>
              <w:jc w:val="center"/>
              <w:rPr>
                <w:rFonts w:cs="Arial"/>
                <w:sz w:val="20"/>
                <w:szCs w:val="20"/>
              </w:rPr>
            </w:pPr>
            <w:r w:rsidRPr="003476E6">
              <w:rPr>
                <w:rFonts w:cs="Arial"/>
                <w:sz w:val="20"/>
                <w:szCs w:val="20"/>
              </w:rPr>
              <w:t>67.2 ± 24.6*</w:t>
            </w:r>
          </w:p>
        </w:tc>
        <w:tc>
          <w:tcPr>
            <w:tcW w:w="1559"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55A0590" w14:textId="77777777" w:rsidR="00926C70" w:rsidRPr="003476E6" w:rsidRDefault="00926C70" w:rsidP="00BB04B0">
            <w:pPr>
              <w:spacing w:after="160" w:line="360" w:lineRule="auto"/>
              <w:jc w:val="center"/>
              <w:rPr>
                <w:rFonts w:cs="Arial"/>
                <w:sz w:val="20"/>
                <w:szCs w:val="20"/>
              </w:rPr>
            </w:pPr>
            <w:r w:rsidRPr="003476E6">
              <w:rPr>
                <w:rFonts w:cs="Arial"/>
                <w:sz w:val="20"/>
                <w:szCs w:val="20"/>
              </w:rPr>
              <w:t>179 ± 69.9</w:t>
            </w:r>
          </w:p>
        </w:tc>
        <w:tc>
          <w:tcPr>
            <w:tcW w:w="1701" w:type="dxa"/>
            <w:vMerge w:val="restar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099436D7" w14:textId="77777777" w:rsidR="00926C70" w:rsidRPr="003476E6" w:rsidRDefault="00926C70" w:rsidP="00BB04B0">
            <w:pPr>
              <w:spacing w:after="160" w:line="360" w:lineRule="auto"/>
              <w:jc w:val="center"/>
              <w:rPr>
                <w:rFonts w:cs="Arial"/>
                <w:sz w:val="20"/>
                <w:szCs w:val="20"/>
              </w:rPr>
            </w:pPr>
            <w:r w:rsidRPr="003476E6">
              <w:rPr>
                <w:rFonts w:cs="Arial"/>
                <w:sz w:val="20"/>
                <w:szCs w:val="20"/>
              </w:rPr>
              <w:t>42.2 ± 19.1</w:t>
            </w:r>
          </w:p>
        </w:tc>
        <w:tc>
          <w:tcPr>
            <w:tcW w:w="946" w:type="dxa"/>
            <w:tcBorders>
              <w:left w:val="nil"/>
              <w:bottom w:val="nil"/>
              <w:right w:val="nil"/>
            </w:tcBorders>
          </w:tcPr>
          <w:p w14:paraId="16087B33" w14:textId="77777777" w:rsidR="00926C70" w:rsidRPr="003476E6" w:rsidRDefault="00926C70" w:rsidP="00BB04B0">
            <w:pPr>
              <w:spacing w:after="160" w:line="360" w:lineRule="auto"/>
              <w:rPr>
                <w:rFonts w:cs="Arial"/>
                <w:sz w:val="20"/>
                <w:szCs w:val="20"/>
              </w:rPr>
            </w:pPr>
          </w:p>
        </w:tc>
      </w:tr>
      <w:tr w:rsidR="00926C70" w:rsidRPr="003476E6" w14:paraId="179FA9F3" w14:textId="77777777" w:rsidTr="00BB04B0">
        <w:trPr>
          <w:trHeight w:val="454"/>
        </w:trPr>
        <w:tc>
          <w:tcPr>
            <w:tcW w:w="993" w:type="dxa"/>
            <w:tcBorders>
              <w:top w:val="nil"/>
              <w:left w:val="nil"/>
              <w:bottom w:val="nil"/>
              <w:right w:val="nil"/>
            </w:tcBorders>
          </w:tcPr>
          <w:p w14:paraId="4A7728DB" w14:textId="77777777" w:rsidR="00926C70" w:rsidRPr="003476E6" w:rsidRDefault="00926C70" w:rsidP="00BB04B0">
            <w:pPr>
              <w:spacing w:after="160" w:line="360" w:lineRule="auto"/>
              <w:rPr>
                <w:rFonts w:cs="Arial"/>
                <w:sz w:val="20"/>
                <w:szCs w:val="20"/>
              </w:rPr>
            </w:pPr>
          </w:p>
        </w:tc>
        <w:tc>
          <w:tcPr>
            <w:tcW w:w="2126" w:type="dxa"/>
            <w:tcBorders>
              <w:top w:val="nil"/>
              <w:left w:val="nil"/>
              <w:right w:val="nil"/>
            </w:tcBorders>
            <w:shd w:val="clear" w:color="auto" w:fill="auto"/>
            <w:tcMar>
              <w:top w:w="15" w:type="dxa"/>
              <w:left w:w="108" w:type="dxa"/>
              <w:bottom w:w="0" w:type="dxa"/>
              <w:right w:w="108" w:type="dxa"/>
            </w:tcMar>
            <w:vAlign w:val="center"/>
            <w:hideMark/>
          </w:tcPr>
          <w:p w14:paraId="58672C94" w14:textId="77777777" w:rsidR="00926C70" w:rsidRPr="003476E6" w:rsidRDefault="00926C70" w:rsidP="00BB04B0">
            <w:pPr>
              <w:spacing w:after="160" w:line="360" w:lineRule="auto"/>
              <w:rPr>
                <w:rFonts w:cs="Arial"/>
                <w:sz w:val="20"/>
                <w:szCs w:val="20"/>
              </w:rPr>
            </w:pPr>
            <w:r w:rsidRPr="003476E6">
              <w:rPr>
                <w:rFonts w:cs="Arial"/>
                <w:sz w:val="20"/>
                <w:szCs w:val="20"/>
              </w:rPr>
              <w:t>MVT</w:t>
            </w:r>
            <w:r w:rsidRPr="003476E6">
              <w:rPr>
                <w:rFonts w:cs="Arial"/>
                <w:sz w:val="20"/>
                <w:szCs w:val="20"/>
                <w:vertAlign w:val="subscript"/>
              </w:rPr>
              <w:t>BM</w:t>
            </w:r>
            <w:r w:rsidRPr="003476E6">
              <w:rPr>
                <w:rFonts w:cs="Arial"/>
                <w:sz w:val="20"/>
                <w:szCs w:val="20"/>
              </w:rPr>
              <w:t xml:space="preserve"> (Nm.kg</w:t>
            </w:r>
            <w:r w:rsidRPr="003476E6">
              <w:rPr>
                <w:rFonts w:cs="Arial"/>
                <w:sz w:val="20"/>
                <w:szCs w:val="20"/>
                <w:vertAlign w:val="superscript"/>
              </w:rPr>
              <w:t>-1</w:t>
            </w:r>
            <w:r w:rsidRPr="003476E6">
              <w:rPr>
                <w:rFonts w:cs="Arial"/>
                <w:sz w:val="20"/>
                <w:szCs w:val="20"/>
              </w:rPr>
              <w:t>)</w:t>
            </w:r>
          </w:p>
        </w:tc>
        <w:tc>
          <w:tcPr>
            <w:tcW w:w="1701" w:type="dxa"/>
            <w:tcBorders>
              <w:top w:val="nil"/>
              <w:left w:val="nil"/>
              <w:right w:val="nil"/>
            </w:tcBorders>
            <w:shd w:val="clear" w:color="auto" w:fill="auto"/>
            <w:tcMar>
              <w:top w:w="15" w:type="dxa"/>
              <w:left w:w="108" w:type="dxa"/>
              <w:bottom w:w="0" w:type="dxa"/>
              <w:right w:w="108" w:type="dxa"/>
            </w:tcMar>
            <w:vAlign w:val="center"/>
            <w:hideMark/>
          </w:tcPr>
          <w:p w14:paraId="09260D80" w14:textId="77777777" w:rsidR="00926C70" w:rsidRPr="003476E6" w:rsidRDefault="00926C70" w:rsidP="00BB04B0">
            <w:pPr>
              <w:spacing w:after="160" w:line="360" w:lineRule="auto"/>
              <w:jc w:val="center"/>
              <w:rPr>
                <w:rFonts w:cs="Arial"/>
                <w:sz w:val="20"/>
                <w:szCs w:val="20"/>
              </w:rPr>
            </w:pPr>
            <w:r w:rsidRPr="003476E6">
              <w:rPr>
                <w:rFonts w:cs="Arial"/>
                <w:sz w:val="20"/>
                <w:szCs w:val="20"/>
              </w:rPr>
              <w:t>0.85 ± 0.46*</w:t>
            </w:r>
          </w:p>
        </w:tc>
        <w:tc>
          <w:tcPr>
            <w:tcW w:w="1559" w:type="dxa"/>
            <w:tcBorders>
              <w:top w:val="nil"/>
              <w:left w:val="nil"/>
              <w:right w:val="nil"/>
            </w:tcBorders>
            <w:shd w:val="clear" w:color="auto" w:fill="auto"/>
            <w:tcMar>
              <w:top w:w="15" w:type="dxa"/>
              <w:left w:w="108" w:type="dxa"/>
              <w:bottom w:w="0" w:type="dxa"/>
              <w:right w:w="108" w:type="dxa"/>
            </w:tcMar>
            <w:vAlign w:val="center"/>
            <w:hideMark/>
          </w:tcPr>
          <w:p w14:paraId="13E091EA" w14:textId="77777777" w:rsidR="00926C70" w:rsidRPr="003476E6" w:rsidRDefault="00926C70" w:rsidP="00BB04B0">
            <w:pPr>
              <w:spacing w:after="160" w:line="360" w:lineRule="auto"/>
              <w:jc w:val="center"/>
              <w:rPr>
                <w:rFonts w:cs="Arial"/>
                <w:sz w:val="20"/>
                <w:szCs w:val="20"/>
              </w:rPr>
            </w:pPr>
            <w:r w:rsidRPr="003476E6">
              <w:rPr>
                <w:rFonts w:cs="Arial"/>
                <w:sz w:val="20"/>
                <w:szCs w:val="20"/>
              </w:rPr>
              <w:t>2.29 ± 1.17</w:t>
            </w:r>
          </w:p>
        </w:tc>
        <w:tc>
          <w:tcPr>
            <w:tcW w:w="1701" w:type="dxa"/>
            <w:vMerge/>
            <w:tcBorders>
              <w:top w:val="single" w:sz="8" w:space="0" w:color="000000"/>
              <w:left w:val="nil"/>
              <w:right w:val="nil"/>
            </w:tcBorders>
            <w:vAlign w:val="center"/>
            <w:hideMark/>
          </w:tcPr>
          <w:p w14:paraId="294A6A24" w14:textId="77777777" w:rsidR="00926C70" w:rsidRPr="003476E6" w:rsidRDefault="00926C70" w:rsidP="00BB04B0">
            <w:pPr>
              <w:spacing w:after="160" w:line="360" w:lineRule="auto"/>
              <w:jc w:val="center"/>
              <w:rPr>
                <w:rFonts w:cs="Arial"/>
                <w:sz w:val="20"/>
                <w:szCs w:val="20"/>
              </w:rPr>
            </w:pPr>
          </w:p>
        </w:tc>
        <w:tc>
          <w:tcPr>
            <w:tcW w:w="946" w:type="dxa"/>
            <w:tcBorders>
              <w:left w:val="nil"/>
              <w:bottom w:val="nil"/>
              <w:right w:val="nil"/>
            </w:tcBorders>
          </w:tcPr>
          <w:p w14:paraId="26D6C065" w14:textId="77777777" w:rsidR="00926C70" w:rsidRPr="003476E6" w:rsidRDefault="00926C70" w:rsidP="00BB04B0">
            <w:pPr>
              <w:spacing w:after="160" w:line="360" w:lineRule="auto"/>
              <w:rPr>
                <w:rFonts w:cs="Arial"/>
                <w:sz w:val="20"/>
                <w:szCs w:val="20"/>
              </w:rPr>
            </w:pPr>
          </w:p>
        </w:tc>
      </w:tr>
      <w:tr w:rsidR="00926C70" w:rsidRPr="003476E6" w14:paraId="6A0917A1" w14:textId="77777777" w:rsidTr="00BB04B0">
        <w:trPr>
          <w:trHeight w:val="454"/>
        </w:trPr>
        <w:tc>
          <w:tcPr>
            <w:tcW w:w="993" w:type="dxa"/>
            <w:tcBorders>
              <w:top w:val="nil"/>
              <w:left w:val="nil"/>
              <w:right w:val="nil"/>
            </w:tcBorders>
          </w:tcPr>
          <w:p w14:paraId="63479F26" w14:textId="77777777" w:rsidR="00926C70" w:rsidRPr="003476E6" w:rsidRDefault="00926C70" w:rsidP="00BB04B0">
            <w:pPr>
              <w:spacing w:after="160" w:line="360" w:lineRule="auto"/>
              <w:rPr>
                <w:rFonts w:cs="Arial"/>
                <w:sz w:val="20"/>
                <w:szCs w:val="20"/>
              </w:rPr>
            </w:pPr>
          </w:p>
        </w:tc>
        <w:tc>
          <w:tcPr>
            <w:tcW w:w="2126" w:type="dxa"/>
            <w:tcBorders>
              <w:top w:val="nil"/>
              <w:left w:val="nil"/>
              <w:bottom w:val="nil"/>
              <w:right w:val="nil"/>
            </w:tcBorders>
            <w:shd w:val="clear" w:color="auto" w:fill="auto"/>
            <w:tcMar>
              <w:top w:w="15" w:type="dxa"/>
              <w:left w:w="108" w:type="dxa"/>
              <w:bottom w:w="0" w:type="dxa"/>
              <w:right w:w="108" w:type="dxa"/>
            </w:tcMar>
            <w:vAlign w:val="center"/>
            <w:hideMark/>
          </w:tcPr>
          <w:p w14:paraId="4DB166C5" w14:textId="77777777" w:rsidR="00926C70" w:rsidRPr="003476E6" w:rsidRDefault="00926C70" w:rsidP="00BB04B0">
            <w:pPr>
              <w:spacing w:after="160" w:line="360" w:lineRule="auto"/>
              <w:rPr>
                <w:rFonts w:cs="Arial"/>
                <w:sz w:val="20"/>
                <w:szCs w:val="20"/>
              </w:rPr>
            </w:pPr>
            <w:r w:rsidRPr="003476E6">
              <w:rPr>
                <w:rFonts w:cs="Arial"/>
                <w:sz w:val="20"/>
                <w:szCs w:val="20"/>
              </w:rPr>
              <w:t>RTD (Nm.s</w:t>
            </w:r>
            <w:r w:rsidRPr="003476E6">
              <w:rPr>
                <w:rFonts w:cs="Arial"/>
                <w:sz w:val="20"/>
                <w:szCs w:val="20"/>
                <w:vertAlign w:val="superscript"/>
              </w:rPr>
              <w:t>-1</w:t>
            </w:r>
            <w:r w:rsidRPr="003476E6">
              <w:rPr>
                <w:rFonts w:cs="Arial"/>
                <w:sz w:val="20"/>
                <w:szCs w:val="20"/>
              </w:rPr>
              <w:t>)</w:t>
            </w:r>
          </w:p>
        </w:tc>
        <w:tc>
          <w:tcPr>
            <w:tcW w:w="1701" w:type="dxa"/>
            <w:tcBorders>
              <w:top w:val="nil"/>
              <w:left w:val="nil"/>
              <w:bottom w:val="nil"/>
              <w:right w:val="nil"/>
            </w:tcBorders>
            <w:shd w:val="clear" w:color="auto" w:fill="auto"/>
            <w:tcMar>
              <w:top w:w="15" w:type="dxa"/>
              <w:left w:w="108" w:type="dxa"/>
              <w:bottom w:w="0" w:type="dxa"/>
              <w:right w:w="108" w:type="dxa"/>
            </w:tcMar>
            <w:vAlign w:val="center"/>
            <w:hideMark/>
          </w:tcPr>
          <w:p w14:paraId="29C077F9" w14:textId="77777777" w:rsidR="00926C70" w:rsidRPr="003476E6" w:rsidRDefault="00926C70" w:rsidP="00BB04B0">
            <w:pPr>
              <w:spacing w:after="160" w:line="360" w:lineRule="auto"/>
              <w:jc w:val="center"/>
              <w:rPr>
                <w:rFonts w:cs="Arial"/>
                <w:sz w:val="20"/>
                <w:szCs w:val="20"/>
              </w:rPr>
            </w:pPr>
            <w:r w:rsidRPr="003476E6">
              <w:rPr>
                <w:rFonts w:cs="Arial"/>
                <w:sz w:val="20"/>
                <w:szCs w:val="20"/>
              </w:rPr>
              <w:t>388 ± 217**</w:t>
            </w:r>
          </w:p>
        </w:tc>
        <w:tc>
          <w:tcPr>
            <w:tcW w:w="1559" w:type="dxa"/>
            <w:tcBorders>
              <w:top w:val="nil"/>
              <w:left w:val="nil"/>
              <w:bottom w:val="nil"/>
              <w:right w:val="nil"/>
            </w:tcBorders>
            <w:shd w:val="clear" w:color="auto" w:fill="auto"/>
            <w:tcMar>
              <w:top w:w="15" w:type="dxa"/>
              <w:left w:w="108" w:type="dxa"/>
              <w:bottom w:w="0" w:type="dxa"/>
              <w:right w:w="108" w:type="dxa"/>
            </w:tcMar>
            <w:vAlign w:val="center"/>
            <w:hideMark/>
          </w:tcPr>
          <w:p w14:paraId="57C74E38" w14:textId="77777777" w:rsidR="00926C70" w:rsidRPr="003476E6" w:rsidRDefault="00926C70" w:rsidP="00BB04B0">
            <w:pPr>
              <w:spacing w:after="160" w:line="360" w:lineRule="auto"/>
              <w:jc w:val="center"/>
              <w:rPr>
                <w:rFonts w:cs="Arial"/>
                <w:sz w:val="20"/>
                <w:szCs w:val="20"/>
              </w:rPr>
            </w:pPr>
            <w:r w:rsidRPr="003476E6">
              <w:rPr>
                <w:rFonts w:cs="Arial"/>
                <w:sz w:val="20"/>
                <w:szCs w:val="20"/>
              </w:rPr>
              <w:t>1529 ± 608</w:t>
            </w:r>
          </w:p>
        </w:tc>
        <w:tc>
          <w:tcPr>
            <w:tcW w:w="1701" w:type="dxa"/>
            <w:vMerge w:val="restar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4108E1E" w14:textId="77777777" w:rsidR="00926C70" w:rsidRPr="003476E6" w:rsidRDefault="00926C70" w:rsidP="00BB04B0">
            <w:pPr>
              <w:spacing w:after="160" w:line="360" w:lineRule="auto"/>
              <w:jc w:val="center"/>
              <w:rPr>
                <w:rFonts w:cs="Arial"/>
                <w:sz w:val="20"/>
                <w:szCs w:val="20"/>
              </w:rPr>
            </w:pPr>
            <w:r w:rsidRPr="003476E6">
              <w:rPr>
                <w:rFonts w:cs="Arial"/>
                <w:sz w:val="20"/>
                <w:szCs w:val="20"/>
              </w:rPr>
              <w:t>58.5 ± 16.2</w:t>
            </w:r>
          </w:p>
        </w:tc>
        <w:tc>
          <w:tcPr>
            <w:tcW w:w="946" w:type="dxa"/>
            <w:tcBorders>
              <w:top w:val="nil"/>
              <w:left w:val="nil"/>
              <w:right w:val="nil"/>
            </w:tcBorders>
          </w:tcPr>
          <w:p w14:paraId="5A28CB38" w14:textId="77777777" w:rsidR="00926C70" w:rsidRPr="003476E6" w:rsidRDefault="00926C70" w:rsidP="00BB04B0">
            <w:pPr>
              <w:spacing w:after="160" w:line="360" w:lineRule="auto"/>
              <w:rPr>
                <w:rFonts w:cs="Arial"/>
                <w:sz w:val="20"/>
                <w:szCs w:val="20"/>
              </w:rPr>
            </w:pPr>
          </w:p>
        </w:tc>
      </w:tr>
      <w:tr w:rsidR="00926C70" w:rsidRPr="003476E6" w14:paraId="7F2D93DA" w14:textId="77777777" w:rsidTr="00BB04B0">
        <w:trPr>
          <w:trHeight w:val="454"/>
        </w:trPr>
        <w:tc>
          <w:tcPr>
            <w:tcW w:w="993" w:type="dxa"/>
            <w:tcBorders>
              <w:top w:val="nil"/>
              <w:left w:val="nil"/>
              <w:right w:val="nil"/>
            </w:tcBorders>
          </w:tcPr>
          <w:p w14:paraId="79DC7817" w14:textId="77777777" w:rsidR="00926C70" w:rsidRPr="003476E6" w:rsidRDefault="00926C70" w:rsidP="00BB04B0">
            <w:pPr>
              <w:spacing w:after="160" w:line="360" w:lineRule="auto"/>
              <w:rPr>
                <w:rFonts w:cs="Arial"/>
                <w:sz w:val="20"/>
                <w:szCs w:val="20"/>
              </w:rPr>
            </w:pPr>
          </w:p>
        </w:tc>
        <w:tc>
          <w:tcPr>
            <w:tcW w:w="2126"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19F80D2F" w14:textId="77777777" w:rsidR="00926C70" w:rsidRPr="003476E6" w:rsidRDefault="00926C70" w:rsidP="00BB04B0">
            <w:pPr>
              <w:spacing w:after="160" w:line="360" w:lineRule="auto"/>
              <w:rPr>
                <w:rFonts w:cs="Arial"/>
                <w:sz w:val="20"/>
                <w:szCs w:val="20"/>
              </w:rPr>
            </w:pPr>
            <w:r w:rsidRPr="003476E6">
              <w:rPr>
                <w:rFonts w:cs="Arial"/>
                <w:sz w:val="20"/>
                <w:szCs w:val="20"/>
              </w:rPr>
              <w:t>RTD</w:t>
            </w:r>
            <w:r w:rsidRPr="003476E6">
              <w:rPr>
                <w:rFonts w:cs="Arial"/>
                <w:sz w:val="20"/>
                <w:szCs w:val="20"/>
                <w:vertAlign w:val="subscript"/>
              </w:rPr>
              <w:t>BM</w:t>
            </w:r>
            <w:r w:rsidRPr="003476E6">
              <w:rPr>
                <w:rFonts w:cs="Arial"/>
                <w:sz w:val="20"/>
                <w:szCs w:val="20"/>
              </w:rPr>
              <w:t xml:space="preserve"> (Nm.s</w:t>
            </w:r>
            <w:r w:rsidRPr="003476E6">
              <w:rPr>
                <w:rFonts w:cs="Arial"/>
                <w:sz w:val="20"/>
                <w:szCs w:val="20"/>
                <w:vertAlign w:val="superscript"/>
              </w:rPr>
              <w:t>-1</w:t>
            </w:r>
            <w:r w:rsidRPr="003476E6">
              <w:rPr>
                <w:rFonts w:cs="Arial"/>
                <w:sz w:val="20"/>
                <w:szCs w:val="20"/>
              </w:rPr>
              <w:t>.kg</w:t>
            </w:r>
            <w:r w:rsidRPr="003476E6">
              <w:rPr>
                <w:rFonts w:cs="Arial"/>
                <w:sz w:val="20"/>
                <w:szCs w:val="20"/>
                <w:vertAlign w:val="superscript"/>
              </w:rPr>
              <w:t>-1</w:t>
            </w:r>
            <w:r w:rsidRPr="003476E6">
              <w:rPr>
                <w:rFonts w:cs="Arial"/>
                <w:sz w:val="20"/>
                <w:szCs w:val="20"/>
              </w:rPr>
              <w:t>)</w:t>
            </w:r>
          </w:p>
        </w:tc>
        <w:tc>
          <w:tcPr>
            <w:tcW w:w="1701"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5C1E7D3E" w14:textId="77777777" w:rsidR="00926C70" w:rsidRPr="003476E6" w:rsidRDefault="00926C70" w:rsidP="00BB04B0">
            <w:pPr>
              <w:spacing w:after="160" w:line="360" w:lineRule="auto"/>
              <w:jc w:val="center"/>
              <w:rPr>
                <w:rFonts w:cs="Arial"/>
                <w:sz w:val="20"/>
                <w:szCs w:val="20"/>
              </w:rPr>
            </w:pPr>
            <w:r w:rsidRPr="003476E6">
              <w:rPr>
                <w:rFonts w:cs="Arial"/>
                <w:sz w:val="20"/>
                <w:szCs w:val="20"/>
              </w:rPr>
              <w:t>5.17 ± 4.18**</w:t>
            </w:r>
          </w:p>
        </w:tc>
        <w:tc>
          <w:tcPr>
            <w:tcW w:w="1559"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18B7A412" w14:textId="77777777" w:rsidR="00926C70" w:rsidRPr="003476E6" w:rsidRDefault="00926C70" w:rsidP="00BB04B0">
            <w:pPr>
              <w:spacing w:after="160" w:line="360" w:lineRule="auto"/>
              <w:jc w:val="center"/>
              <w:rPr>
                <w:rFonts w:cs="Arial"/>
                <w:sz w:val="20"/>
                <w:szCs w:val="20"/>
              </w:rPr>
            </w:pPr>
            <w:r w:rsidRPr="003476E6">
              <w:rPr>
                <w:rFonts w:cs="Arial"/>
                <w:sz w:val="20"/>
                <w:szCs w:val="20"/>
              </w:rPr>
              <w:t>19.6 ± 9.94</w:t>
            </w:r>
          </w:p>
        </w:tc>
        <w:tc>
          <w:tcPr>
            <w:tcW w:w="1701" w:type="dxa"/>
            <w:vMerge/>
            <w:tcBorders>
              <w:top w:val="nil"/>
              <w:left w:val="nil"/>
              <w:bottom w:val="single" w:sz="4" w:space="0" w:color="auto"/>
              <w:right w:val="nil"/>
            </w:tcBorders>
            <w:vAlign w:val="center"/>
            <w:hideMark/>
          </w:tcPr>
          <w:p w14:paraId="581DF345" w14:textId="77777777" w:rsidR="00926C70" w:rsidRPr="003476E6" w:rsidRDefault="00926C70" w:rsidP="00BB04B0">
            <w:pPr>
              <w:spacing w:after="160" w:line="360" w:lineRule="auto"/>
              <w:rPr>
                <w:rFonts w:cs="Arial"/>
                <w:sz w:val="20"/>
                <w:szCs w:val="20"/>
              </w:rPr>
            </w:pPr>
          </w:p>
        </w:tc>
        <w:tc>
          <w:tcPr>
            <w:tcW w:w="946" w:type="dxa"/>
            <w:tcBorders>
              <w:top w:val="nil"/>
              <w:left w:val="nil"/>
              <w:right w:val="nil"/>
            </w:tcBorders>
          </w:tcPr>
          <w:p w14:paraId="100A88C4" w14:textId="77777777" w:rsidR="00926C70" w:rsidRPr="003476E6" w:rsidRDefault="00926C70" w:rsidP="00BB04B0">
            <w:pPr>
              <w:spacing w:after="160" w:line="360" w:lineRule="auto"/>
              <w:rPr>
                <w:rFonts w:cs="Arial"/>
                <w:sz w:val="20"/>
                <w:szCs w:val="20"/>
              </w:rPr>
            </w:pPr>
          </w:p>
        </w:tc>
      </w:tr>
      <w:tr w:rsidR="00926C70" w:rsidRPr="003476E6" w14:paraId="6E5950E7" w14:textId="77777777" w:rsidTr="00BB04B0">
        <w:trPr>
          <w:trHeight w:val="454"/>
        </w:trPr>
        <w:tc>
          <w:tcPr>
            <w:tcW w:w="9026" w:type="dxa"/>
            <w:gridSpan w:val="6"/>
            <w:tcBorders>
              <w:left w:val="nil"/>
              <w:bottom w:val="nil"/>
              <w:right w:val="nil"/>
            </w:tcBorders>
          </w:tcPr>
          <w:p w14:paraId="128E0B6F" w14:textId="77777777" w:rsidR="00926C70" w:rsidRPr="003476E6" w:rsidRDefault="00926C70" w:rsidP="00BB04B0">
            <w:pPr>
              <w:spacing w:after="160" w:line="360" w:lineRule="auto"/>
              <w:rPr>
                <w:rFonts w:cs="Arial"/>
                <w:i/>
                <w:iCs/>
                <w:sz w:val="20"/>
                <w:szCs w:val="20"/>
              </w:rPr>
            </w:pPr>
            <w:r w:rsidRPr="003476E6">
              <w:rPr>
                <w:rFonts w:cs="Arial"/>
                <w:i/>
                <w:iCs/>
                <w:sz w:val="20"/>
                <w:szCs w:val="20"/>
              </w:rPr>
              <w:t>BAI, Bilateral Asymmetry Index; MVT, maximum voluntary torque; RTD, rate of torque development.</w:t>
            </w:r>
          </w:p>
        </w:tc>
      </w:tr>
    </w:tbl>
    <w:p w14:paraId="56A6917A" w14:textId="0A1DCADD" w:rsidR="00926C70" w:rsidRPr="003476E6" w:rsidRDefault="00926C70">
      <w:pPr>
        <w:spacing w:after="160" w:line="259" w:lineRule="auto"/>
      </w:pPr>
    </w:p>
    <w:p w14:paraId="33FC38EF" w14:textId="77777777" w:rsidR="00926C70" w:rsidRPr="003476E6" w:rsidRDefault="00926C70">
      <w:pPr>
        <w:spacing w:after="160" w:line="259" w:lineRule="auto"/>
      </w:pPr>
      <w:r w:rsidRPr="003476E6">
        <w:br w:type="page"/>
      </w:r>
    </w:p>
    <w:tbl>
      <w:tblPr>
        <w:tblW w:w="9080" w:type="dxa"/>
        <w:tblCellMar>
          <w:left w:w="0" w:type="dxa"/>
          <w:right w:w="0" w:type="dxa"/>
        </w:tblCellMar>
        <w:tblLook w:val="04A0" w:firstRow="1" w:lastRow="0" w:firstColumn="1" w:lastColumn="0" w:noHBand="0" w:noVBand="1"/>
      </w:tblPr>
      <w:tblGrid>
        <w:gridCol w:w="2029"/>
        <w:gridCol w:w="1176"/>
        <w:gridCol w:w="1175"/>
        <w:gridCol w:w="1173"/>
        <w:gridCol w:w="1177"/>
        <w:gridCol w:w="1175"/>
        <w:gridCol w:w="1175"/>
      </w:tblGrid>
      <w:tr w:rsidR="00926C70" w:rsidRPr="003476E6" w14:paraId="3DB475D5" w14:textId="77777777" w:rsidTr="00BB04B0">
        <w:trPr>
          <w:trHeight w:val="452"/>
        </w:trPr>
        <w:tc>
          <w:tcPr>
            <w:tcW w:w="9080" w:type="dxa"/>
            <w:gridSpan w:val="7"/>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3910689" w14:textId="24744BE6" w:rsidR="00926C70" w:rsidRPr="003476E6" w:rsidRDefault="00926C70" w:rsidP="00BB04B0">
            <w:pPr>
              <w:spacing w:line="360" w:lineRule="auto"/>
              <w:jc w:val="both"/>
              <w:rPr>
                <w:rFonts w:cs="Arial"/>
                <w:sz w:val="22"/>
                <w:szCs w:val="22"/>
                <w:lang w:eastAsia="en-GB"/>
              </w:rPr>
            </w:pPr>
            <w:r w:rsidRPr="003476E6">
              <w:rPr>
                <w:rFonts w:cs="Arial"/>
                <w:b/>
                <w:bCs/>
                <w:color w:val="000000"/>
                <w:kern w:val="24"/>
                <w:sz w:val="22"/>
                <w:szCs w:val="22"/>
                <w:lang w:eastAsia="en-GB"/>
              </w:rPr>
              <w:lastRenderedPageBreak/>
              <w:t>Table 4.</w:t>
            </w:r>
            <w:r w:rsidRPr="003476E6">
              <w:rPr>
                <w:rFonts w:cs="Arial"/>
                <w:color w:val="000000"/>
                <w:kern w:val="24"/>
                <w:sz w:val="22"/>
                <w:szCs w:val="22"/>
                <w:lang w:eastAsia="en-GB"/>
              </w:rPr>
              <w:t xml:space="preserve"> BAI in temporo-spatial and kinetic parameters of gait between the amputated (AMP) and intact (INT) limb of </w:t>
            </w:r>
            <w:r w:rsidR="00320AA9" w:rsidRPr="003476E6">
              <w:rPr>
                <w:rFonts w:cs="Arial"/>
                <w:color w:val="000000"/>
                <w:kern w:val="24"/>
                <w:sz w:val="22"/>
                <w:szCs w:val="22"/>
                <w:lang w:eastAsia="en-GB"/>
              </w:rPr>
              <w:t>ITTAs</w:t>
            </w:r>
            <w:r w:rsidRPr="003476E6">
              <w:rPr>
                <w:rFonts w:cs="Arial"/>
                <w:color w:val="000000"/>
                <w:kern w:val="24"/>
                <w:sz w:val="22"/>
                <w:szCs w:val="22"/>
                <w:lang w:eastAsia="en-GB"/>
              </w:rPr>
              <w:t xml:space="preserve"> (n=8), walking at a self-selected habitual and fast speed. Data are presented as mean ± SD. Paired differences between the amputated</w:t>
            </w:r>
            <w:r w:rsidR="006F4410" w:rsidRPr="003476E6">
              <w:rPr>
                <w:rFonts w:cs="Arial"/>
                <w:color w:val="000000"/>
                <w:kern w:val="24"/>
                <w:sz w:val="22"/>
                <w:szCs w:val="22"/>
                <w:lang w:eastAsia="en-GB"/>
              </w:rPr>
              <w:t>-</w:t>
            </w:r>
            <w:r w:rsidRPr="003476E6">
              <w:rPr>
                <w:rFonts w:cs="Arial"/>
                <w:color w:val="000000"/>
                <w:kern w:val="24"/>
                <w:sz w:val="22"/>
                <w:szCs w:val="22"/>
                <w:lang w:eastAsia="en-GB"/>
              </w:rPr>
              <w:t xml:space="preserve"> and intact</w:t>
            </w:r>
            <w:r w:rsidR="006F4410" w:rsidRPr="003476E6">
              <w:rPr>
                <w:rFonts w:cs="Arial"/>
                <w:color w:val="000000"/>
                <w:kern w:val="24"/>
                <w:sz w:val="22"/>
                <w:szCs w:val="22"/>
                <w:lang w:eastAsia="en-GB"/>
              </w:rPr>
              <w:t>-</w:t>
            </w:r>
            <w:r w:rsidRPr="003476E6">
              <w:rPr>
                <w:rFonts w:cs="Arial"/>
                <w:color w:val="000000"/>
                <w:kern w:val="24"/>
                <w:sz w:val="22"/>
                <w:szCs w:val="22"/>
                <w:lang w:eastAsia="en-GB"/>
              </w:rPr>
              <w:t>limbs within a given walking speed are denoted by * (</w:t>
            </w:r>
            <w:r w:rsidRPr="003476E6">
              <w:rPr>
                <w:rFonts w:cs="Arial"/>
                <w:i/>
                <w:iCs/>
                <w:color w:val="000000"/>
                <w:kern w:val="24"/>
                <w:sz w:val="22"/>
                <w:szCs w:val="22"/>
                <w:lang w:eastAsia="en-GB"/>
              </w:rPr>
              <w:t>p</w:t>
            </w:r>
            <w:r w:rsidRPr="003476E6">
              <w:rPr>
                <w:rFonts w:cs="Arial"/>
                <w:color w:val="000000"/>
                <w:kern w:val="24"/>
                <w:sz w:val="22"/>
                <w:szCs w:val="22"/>
                <w:lang w:eastAsia="en-GB"/>
              </w:rPr>
              <w:t>&lt;0.05) or ** (</w:t>
            </w:r>
            <w:r w:rsidRPr="003476E6">
              <w:rPr>
                <w:rFonts w:cs="Arial"/>
                <w:i/>
                <w:iCs/>
                <w:color w:val="000000"/>
                <w:kern w:val="24"/>
                <w:sz w:val="22"/>
                <w:szCs w:val="22"/>
                <w:lang w:eastAsia="en-GB"/>
              </w:rPr>
              <w:t>p</w:t>
            </w:r>
            <w:r w:rsidRPr="003476E6">
              <w:rPr>
                <w:rFonts w:cs="Arial"/>
                <w:color w:val="000000"/>
                <w:kern w:val="24"/>
                <w:sz w:val="22"/>
                <w:szCs w:val="22"/>
                <w:lang w:eastAsia="en-GB"/>
              </w:rPr>
              <w:t>&lt;0.001).</w:t>
            </w:r>
          </w:p>
        </w:tc>
      </w:tr>
      <w:tr w:rsidR="00926C70" w:rsidRPr="003476E6" w14:paraId="1FE3EA20" w14:textId="77777777" w:rsidTr="00BB04B0">
        <w:trPr>
          <w:trHeight w:val="452"/>
        </w:trPr>
        <w:tc>
          <w:tcPr>
            <w:tcW w:w="2029"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4F1951D5"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 </w:t>
            </w:r>
          </w:p>
        </w:tc>
        <w:tc>
          <w:tcPr>
            <w:tcW w:w="3524" w:type="dxa"/>
            <w:gridSpan w:val="3"/>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9652FF9" w14:textId="77777777" w:rsidR="00926C70" w:rsidRPr="003476E6" w:rsidRDefault="00926C70" w:rsidP="00BB04B0">
            <w:pPr>
              <w:spacing w:line="360" w:lineRule="auto"/>
              <w:jc w:val="center"/>
              <w:rPr>
                <w:rFonts w:cs="Arial"/>
                <w:sz w:val="36"/>
                <w:szCs w:val="36"/>
                <w:lang w:eastAsia="en-GB"/>
              </w:rPr>
            </w:pPr>
            <w:r w:rsidRPr="003476E6">
              <w:rPr>
                <w:rFonts w:cs="Arial"/>
                <w:color w:val="000000"/>
                <w:kern w:val="24"/>
                <w:sz w:val="20"/>
                <w:szCs w:val="20"/>
                <w:lang w:eastAsia="en-GB"/>
              </w:rPr>
              <w:t>Habitual</w:t>
            </w:r>
          </w:p>
        </w:tc>
        <w:tc>
          <w:tcPr>
            <w:tcW w:w="3527" w:type="dxa"/>
            <w:gridSpan w:val="3"/>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59EE23E5" w14:textId="77777777" w:rsidR="00926C70" w:rsidRPr="003476E6" w:rsidRDefault="00926C70" w:rsidP="00BB04B0">
            <w:pPr>
              <w:spacing w:line="360" w:lineRule="auto"/>
              <w:jc w:val="center"/>
              <w:rPr>
                <w:rFonts w:cs="Arial"/>
                <w:sz w:val="36"/>
                <w:szCs w:val="36"/>
                <w:lang w:eastAsia="en-GB"/>
              </w:rPr>
            </w:pPr>
            <w:r w:rsidRPr="003476E6">
              <w:rPr>
                <w:rFonts w:cs="Arial"/>
                <w:color w:val="000000"/>
                <w:kern w:val="24"/>
                <w:sz w:val="20"/>
                <w:szCs w:val="20"/>
                <w:lang w:eastAsia="en-GB"/>
              </w:rPr>
              <w:t>Fast</w:t>
            </w:r>
          </w:p>
        </w:tc>
      </w:tr>
      <w:tr w:rsidR="00926C70" w:rsidRPr="003476E6" w14:paraId="170E7D7F" w14:textId="77777777" w:rsidTr="00BB04B0">
        <w:trPr>
          <w:trHeight w:val="452"/>
        </w:trPr>
        <w:tc>
          <w:tcPr>
            <w:tcW w:w="2029"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0599909D"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 </w:t>
            </w:r>
          </w:p>
        </w:tc>
        <w:tc>
          <w:tcPr>
            <w:tcW w:w="117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F4D9958"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AMP</w:t>
            </w:r>
          </w:p>
        </w:tc>
        <w:tc>
          <w:tcPr>
            <w:tcW w:w="1175"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F00BBA9"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INT</w:t>
            </w:r>
          </w:p>
        </w:tc>
        <w:tc>
          <w:tcPr>
            <w:tcW w:w="117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A2BEB15"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BAI (%)</w:t>
            </w:r>
          </w:p>
        </w:tc>
        <w:tc>
          <w:tcPr>
            <w:tcW w:w="117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1E6504E"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AMP</w:t>
            </w:r>
          </w:p>
        </w:tc>
        <w:tc>
          <w:tcPr>
            <w:tcW w:w="1175"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BA3ABB6"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INT</w:t>
            </w:r>
          </w:p>
        </w:tc>
        <w:tc>
          <w:tcPr>
            <w:tcW w:w="1175"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0FF23D5"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BAI (%)</w:t>
            </w:r>
          </w:p>
        </w:tc>
      </w:tr>
      <w:tr w:rsidR="00926C70" w:rsidRPr="003476E6" w14:paraId="3A5E74FC" w14:textId="77777777" w:rsidTr="00BB04B0">
        <w:trPr>
          <w:trHeight w:val="397"/>
        </w:trPr>
        <w:tc>
          <w:tcPr>
            <w:tcW w:w="9080" w:type="dxa"/>
            <w:gridSpan w:val="7"/>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1F11FD2" w14:textId="77777777" w:rsidR="00926C70" w:rsidRPr="003476E6" w:rsidRDefault="00926C70" w:rsidP="00BB04B0">
            <w:pPr>
              <w:spacing w:line="360" w:lineRule="auto"/>
              <w:rPr>
                <w:rFonts w:cs="Arial"/>
                <w:sz w:val="36"/>
                <w:szCs w:val="36"/>
                <w:lang w:eastAsia="en-GB"/>
              </w:rPr>
            </w:pPr>
            <w:r w:rsidRPr="003476E6">
              <w:rPr>
                <w:rFonts w:cs="Arial"/>
                <w:b/>
                <w:bCs/>
                <w:i/>
                <w:iCs/>
                <w:color w:val="000000"/>
                <w:kern w:val="24"/>
                <w:sz w:val="20"/>
                <w:szCs w:val="20"/>
                <w:lang w:eastAsia="en-GB"/>
              </w:rPr>
              <w:t>Temporo-spatial parameters</w:t>
            </w:r>
          </w:p>
        </w:tc>
      </w:tr>
      <w:tr w:rsidR="00926C70" w:rsidRPr="003476E6" w14:paraId="75264EE8" w14:textId="77777777" w:rsidTr="00BB04B0">
        <w:trPr>
          <w:trHeight w:val="397"/>
        </w:trPr>
        <w:tc>
          <w:tcPr>
            <w:tcW w:w="2029" w:type="dxa"/>
            <w:tcBorders>
              <w:top w:val="nil"/>
              <w:left w:val="nil"/>
              <w:bottom w:val="nil"/>
              <w:right w:val="nil"/>
            </w:tcBorders>
            <w:shd w:val="clear" w:color="auto" w:fill="auto"/>
            <w:tcMar>
              <w:top w:w="15" w:type="dxa"/>
              <w:left w:w="108" w:type="dxa"/>
              <w:bottom w:w="0" w:type="dxa"/>
              <w:right w:w="108" w:type="dxa"/>
            </w:tcMar>
            <w:vAlign w:val="center"/>
            <w:hideMark/>
          </w:tcPr>
          <w:p w14:paraId="54BABC24"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Single support time (s)</w:t>
            </w:r>
          </w:p>
        </w:tc>
        <w:tc>
          <w:tcPr>
            <w:tcW w:w="1176" w:type="dxa"/>
            <w:tcBorders>
              <w:top w:val="nil"/>
              <w:left w:val="nil"/>
              <w:bottom w:val="nil"/>
              <w:right w:val="nil"/>
            </w:tcBorders>
            <w:shd w:val="clear" w:color="auto" w:fill="auto"/>
            <w:tcMar>
              <w:top w:w="15" w:type="dxa"/>
              <w:left w:w="108" w:type="dxa"/>
              <w:bottom w:w="0" w:type="dxa"/>
              <w:right w:w="108" w:type="dxa"/>
            </w:tcMar>
            <w:vAlign w:val="center"/>
            <w:hideMark/>
          </w:tcPr>
          <w:p w14:paraId="1AD08DB1"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0.41 ± 0.03**</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4DD88642"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0.44 ± 0.03</w:t>
            </w:r>
          </w:p>
        </w:tc>
        <w:tc>
          <w:tcPr>
            <w:tcW w:w="1173" w:type="dxa"/>
            <w:tcBorders>
              <w:top w:val="nil"/>
              <w:left w:val="nil"/>
              <w:bottom w:val="nil"/>
              <w:right w:val="nil"/>
            </w:tcBorders>
            <w:shd w:val="clear" w:color="auto" w:fill="auto"/>
            <w:tcMar>
              <w:top w:w="15" w:type="dxa"/>
              <w:left w:w="108" w:type="dxa"/>
              <w:bottom w:w="0" w:type="dxa"/>
              <w:right w:w="108" w:type="dxa"/>
            </w:tcMar>
            <w:vAlign w:val="center"/>
            <w:hideMark/>
          </w:tcPr>
          <w:p w14:paraId="06A36C58"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3.65 ± 2.40</w:t>
            </w:r>
          </w:p>
        </w:tc>
        <w:tc>
          <w:tcPr>
            <w:tcW w:w="1177" w:type="dxa"/>
            <w:tcBorders>
              <w:top w:val="nil"/>
              <w:left w:val="nil"/>
              <w:bottom w:val="nil"/>
              <w:right w:val="nil"/>
            </w:tcBorders>
            <w:shd w:val="clear" w:color="auto" w:fill="auto"/>
            <w:tcMar>
              <w:top w:w="15" w:type="dxa"/>
              <w:left w:w="108" w:type="dxa"/>
              <w:bottom w:w="0" w:type="dxa"/>
              <w:right w:w="108" w:type="dxa"/>
            </w:tcMar>
            <w:vAlign w:val="center"/>
            <w:hideMark/>
          </w:tcPr>
          <w:p w14:paraId="468021B1"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0.38 ± 0.05</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3C996635"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0.39 ± 0.05</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63F2D01A"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2.35 ± 4.62</w:t>
            </w:r>
          </w:p>
        </w:tc>
      </w:tr>
      <w:tr w:rsidR="00926C70" w:rsidRPr="003476E6" w14:paraId="56B05C5F" w14:textId="77777777" w:rsidTr="00BB04B0">
        <w:trPr>
          <w:trHeight w:val="397"/>
        </w:trPr>
        <w:tc>
          <w:tcPr>
            <w:tcW w:w="2029" w:type="dxa"/>
            <w:tcBorders>
              <w:top w:val="nil"/>
              <w:left w:val="nil"/>
              <w:bottom w:val="nil"/>
              <w:right w:val="nil"/>
            </w:tcBorders>
            <w:shd w:val="clear" w:color="auto" w:fill="auto"/>
            <w:tcMar>
              <w:top w:w="15" w:type="dxa"/>
              <w:left w:w="108" w:type="dxa"/>
              <w:bottom w:w="0" w:type="dxa"/>
              <w:right w:w="108" w:type="dxa"/>
            </w:tcMar>
            <w:vAlign w:val="center"/>
            <w:hideMark/>
          </w:tcPr>
          <w:p w14:paraId="59AE15D6"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 xml:space="preserve">Step length </w:t>
            </w:r>
            <w:r w:rsidRPr="003476E6">
              <w:rPr>
                <w:rFonts w:cs="Arial"/>
                <w:color w:val="000000"/>
                <w:kern w:val="24"/>
                <w:sz w:val="20"/>
                <w:szCs w:val="20"/>
                <w:lang w:eastAsia="en-GB"/>
              </w:rPr>
              <w:br/>
              <w:t>(m)</w:t>
            </w:r>
          </w:p>
        </w:tc>
        <w:tc>
          <w:tcPr>
            <w:tcW w:w="1176" w:type="dxa"/>
            <w:tcBorders>
              <w:top w:val="nil"/>
              <w:left w:val="nil"/>
              <w:bottom w:val="nil"/>
              <w:right w:val="nil"/>
            </w:tcBorders>
            <w:shd w:val="clear" w:color="auto" w:fill="auto"/>
            <w:tcMar>
              <w:top w:w="15" w:type="dxa"/>
              <w:left w:w="108" w:type="dxa"/>
              <w:bottom w:w="0" w:type="dxa"/>
              <w:right w:w="108" w:type="dxa"/>
            </w:tcMar>
            <w:vAlign w:val="center"/>
            <w:hideMark/>
          </w:tcPr>
          <w:p w14:paraId="0688A0D1"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0.78 ± 0.05*</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428E1EE2"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0.69 ± 0.07</w:t>
            </w:r>
          </w:p>
        </w:tc>
        <w:tc>
          <w:tcPr>
            <w:tcW w:w="1173" w:type="dxa"/>
            <w:tcBorders>
              <w:top w:val="nil"/>
              <w:left w:val="nil"/>
              <w:bottom w:val="nil"/>
              <w:right w:val="nil"/>
            </w:tcBorders>
            <w:shd w:val="clear" w:color="auto" w:fill="auto"/>
            <w:tcMar>
              <w:top w:w="15" w:type="dxa"/>
              <w:left w:w="108" w:type="dxa"/>
              <w:bottom w:w="0" w:type="dxa"/>
              <w:right w:w="108" w:type="dxa"/>
            </w:tcMar>
            <w:vAlign w:val="center"/>
            <w:hideMark/>
          </w:tcPr>
          <w:p w14:paraId="61439D57"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-6.13 ± 2.34</w:t>
            </w:r>
          </w:p>
        </w:tc>
        <w:tc>
          <w:tcPr>
            <w:tcW w:w="1177" w:type="dxa"/>
            <w:tcBorders>
              <w:top w:val="nil"/>
              <w:left w:val="nil"/>
              <w:bottom w:val="nil"/>
              <w:right w:val="nil"/>
            </w:tcBorders>
            <w:shd w:val="clear" w:color="auto" w:fill="auto"/>
            <w:tcMar>
              <w:top w:w="15" w:type="dxa"/>
              <w:left w:w="108" w:type="dxa"/>
              <w:bottom w:w="0" w:type="dxa"/>
              <w:right w:w="108" w:type="dxa"/>
            </w:tcMar>
            <w:vAlign w:val="center"/>
            <w:hideMark/>
          </w:tcPr>
          <w:p w14:paraId="79F7F941"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0.86 ± 0.07**</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39222CF9"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0.78 ± 0.06</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6F2417C2"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-5.03 ± 1.62</w:t>
            </w:r>
          </w:p>
        </w:tc>
      </w:tr>
      <w:tr w:rsidR="00926C70" w:rsidRPr="003476E6" w14:paraId="609C93BF" w14:textId="77777777" w:rsidTr="00BB04B0">
        <w:trPr>
          <w:trHeight w:val="397"/>
        </w:trPr>
        <w:tc>
          <w:tcPr>
            <w:tcW w:w="9080" w:type="dxa"/>
            <w:gridSpan w:val="7"/>
            <w:tcBorders>
              <w:top w:val="nil"/>
              <w:left w:val="nil"/>
              <w:bottom w:val="nil"/>
              <w:right w:val="nil"/>
            </w:tcBorders>
            <w:shd w:val="clear" w:color="auto" w:fill="auto"/>
            <w:tcMar>
              <w:top w:w="15" w:type="dxa"/>
              <w:left w:w="108" w:type="dxa"/>
              <w:bottom w:w="0" w:type="dxa"/>
              <w:right w:w="108" w:type="dxa"/>
            </w:tcMar>
            <w:vAlign w:val="center"/>
            <w:hideMark/>
          </w:tcPr>
          <w:p w14:paraId="46D47BC2" w14:textId="77777777" w:rsidR="00926C70" w:rsidRPr="003476E6" w:rsidRDefault="00926C70" w:rsidP="00BB04B0">
            <w:pPr>
              <w:spacing w:line="360" w:lineRule="auto"/>
              <w:rPr>
                <w:rFonts w:cs="Arial"/>
                <w:sz w:val="36"/>
                <w:szCs w:val="36"/>
                <w:lang w:eastAsia="en-GB"/>
              </w:rPr>
            </w:pPr>
            <w:r w:rsidRPr="003476E6">
              <w:rPr>
                <w:rFonts w:cs="Arial"/>
                <w:b/>
                <w:bCs/>
                <w:i/>
                <w:iCs/>
                <w:color w:val="000000"/>
                <w:kern w:val="24"/>
                <w:sz w:val="20"/>
                <w:szCs w:val="20"/>
                <w:lang w:eastAsia="en-GB"/>
              </w:rPr>
              <w:t>Braking Phase Kinetic parameters</w:t>
            </w:r>
          </w:p>
        </w:tc>
      </w:tr>
      <w:tr w:rsidR="00926C70" w:rsidRPr="003476E6" w14:paraId="63519735" w14:textId="77777777" w:rsidTr="00BB04B0">
        <w:trPr>
          <w:trHeight w:val="397"/>
        </w:trPr>
        <w:tc>
          <w:tcPr>
            <w:tcW w:w="2029" w:type="dxa"/>
            <w:tcBorders>
              <w:top w:val="nil"/>
              <w:left w:val="nil"/>
              <w:bottom w:val="nil"/>
              <w:right w:val="nil"/>
            </w:tcBorders>
            <w:shd w:val="clear" w:color="auto" w:fill="auto"/>
            <w:tcMar>
              <w:top w:w="15" w:type="dxa"/>
              <w:left w:w="108" w:type="dxa"/>
              <w:bottom w:w="0" w:type="dxa"/>
              <w:right w:w="108" w:type="dxa"/>
            </w:tcMar>
            <w:vAlign w:val="center"/>
            <w:hideMark/>
          </w:tcPr>
          <w:p w14:paraId="71DCF128"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Peak KE Moment (Nm.kg</w:t>
            </w:r>
            <w:r w:rsidRPr="003476E6">
              <w:rPr>
                <w:rFonts w:cs="Arial"/>
                <w:color w:val="000000"/>
                <w:kern w:val="24"/>
                <w:sz w:val="20"/>
                <w:szCs w:val="20"/>
                <w:vertAlign w:val="superscript"/>
                <w:lang w:eastAsia="en-GB"/>
              </w:rPr>
              <w:t>-1</w:t>
            </w:r>
            <w:r w:rsidRPr="003476E6">
              <w:rPr>
                <w:rFonts w:cs="Arial"/>
                <w:color w:val="000000"/>
                <w:kern w:val="24"/>
                <w:sz w:val="20"/>
                <w:szCs w:val="20"/>
                <w:lang w:eastAsia="en-GB"/>
              </w:rPr>
              <w:t>)</w:t>
            </w:r>
          </w:p>
        </w:tc>
        <w:tc>
          <w:tcPr>
            <w:tcW w:w="1176" w:type="dxa"/>
            <w:tcBorders>
              <w:top w:val="nil"/>
              <w:left w:val="nil"/>
              <w:bottom w:val="nil"/>
              <w:right w:val="nil"/>
            </w:tcBorders>
            <w:shd w:val="clear" w:color="auto" w:fill="auto"/>
            <w:tcMar>
              <w:top w:w="15" w:type="dxa"/>
              <w:left w:w="108" w:type="dxa"/>
              <w:bottom w:w="0" w:type="dxa"/>
              <w:right w:w="108" w:type="dxa"/>
            </w:tcMar>
            <w:vAlign w:val="center"/>
            <w:hideMark/>
          </w:tcPr>
          <w:p w14:paraId="441C8584"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0.27 ± 0.15*</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153AE7B5"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 xml:space="preserve">0.68 ± </w:t>
            </w:r>
          </w:p>
          <w:p w14:paraId="0FD7BA90"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0.28</w:t>
            </w:r>
          </w:p>
        </w:tc>
        <w:tc>
          <w:tcPr>
            <w:tcW w:w="1173" w:type="dxa"/>
            <w:tcBorders>
              <w:top w:val="nil"/>
              <w:left w:val="nil"/>
              <w:bottom w:val="nil"/>
              <w:right w:val="nil"/>
            </w:tcBorders>
            <w:shd w:val="clear" w:color="auto" w:fill="auto"/>
            <w:tcMar>
              <w:top w:w="15" w:type="dxa"/>
              <w:left w:w="108" w:type="dxa"/>
              <w:bottom w:w="0" w:type="dxa"/>
              <w:right w:w="108" w:type="dxa"/>
            </w:tcMar>
            <w:vAlign w:val="center"/>
            <w:hideMark/>
          </w:tcPr>
          <w:p w14:paraId="621CD571"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46.4 ± 24.7</w:t>
            </w:r>
          </w:p>
        </w:tc>
        <w:tc>
          <w:tcPr>
            <w:tcW w:w="1177" w:type="dxa"/>
            <w:tcBorders>
              <w:top w:val="nil"/>
              <w:left w:val="nil"/>
              <w:bottom w:val="nil"/>
              <w:right w:val="nil"/>
            </w:tcBorders>
            <w:shd w:val="clear" w:color="auto" w:fill="auto"/>
            <w:tcMar>
              <w:top w:w="15" w:type="dxa"/>
              <w:left w:w="108" w:type="dxa"/>
              <w:bottom w:w="0" w:type="dxa"/>
              <w:right w:w="108" w:type="dxa"/>
            </w:tcMar>
            <w:vAlign w:val="center"/>
            <w:hideMark/>
          </w:tcPr>
          <w:p w14:paraId="0735338F"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0.32 ± 0.12**</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1F07B0D2"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1.10 ± 0.28</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051720CA"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 xml:space="preserve">54.5 </w:t>
            </w:r>
            <w:r w:rsidRPr="003476E6">
              <w:rPr>
                <w:rFonts w:cs="Arial"/>
                <w:color w:val="000000"/>
                <w:kern w:val="24"/>
                <w:sz w:val="18"/>
                <w:szCs w:val="18"/>
                <w:lang w:eastAsia="en-GB"/>
              </w:rPr>
              <w:t> </w:t>
            </w:r>
            <w:r w:rsidRPr="003476E6">
              <w:rPr>
                <w:rFonts w:hAnsi="Times New Roman" w:cs="Arial"/>
                <w:color w:val="000000"/>
                <w:kern w:val="24"/>
                <w:sz w:val="20"/>
                <w:szCs w:val="20"/>
                <w:lang w:eastAsia="en-GB"/>
              </w:rPr>
              <w:t>±</w:t>
            </w:r>
            <w:r w:rsidRPr="003476E6">
              <w:rPr>
                <w:rFonts w:hAnsi="Times New Roman" w:cs="Arial"/>
                <w:color w:val="000000"/>
                <w:kern w:val="24"/>
                <w:sz w:val="20"/>
                <w:szCs w:val="20"/>
                <w:lang w:eastAsia="en-GB"/>
              </w:rPr>
              <w:t xml:space="preserve"> 14.3</w:t>
            </w:r>
          </w:p>
        </w:tc>
      </w:tr>
      <w:tr w:rsidR="00926C70" w:rsidRPr="003476E6" w14:paraId="7B1775F7" w14:textId="77777777" w:rsidTr="00BB04B0">
        <w:trPr>
          <w:trHeight w:val="397"/>
        </w:trPr>
        <w:tc>
          <w:tcPr>
            <w:tcW w:w="2029" w:type="dxa"/>
            <w:tcBorders>
              <w:top w:val="nil"/>
              <w:left w:val="nil"/>
              <w:bottom w:val="nil"/>
              <w:right w:val="nil"/>
            </w:tcBorders>
            <w:shd w:val="clear" w:color="auto" w:fill="auto"/>
            <w:tcMar>
              <w:top w:w="15" w:type="dxa"/>
              <w:left w:w="108" w:type="dxa"/>
              <w:bottom w:w="0" w:type="dxa"/>
              <w:right w:w="108" w:type="dxa"/>
            </w:tcMar>
            <w:vAlign w:val="center"/>
            <w:hideMark/>
          </w:tcPr>
          <w:p w14:paraId="4C22C470"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KE Impulse (Nm</w:t>
            </w:r>
            <w:r w:rsidRPr="003476E6">
              <w:rPr>
                <w:rFonts w:cs="Arial"/>
                <w:color w:val="000000"/>
                <w:kern w:val="24"/>
                <w:sz w:val="20"/>
                <w:szCs w:val="20"/>
                <w:vertAlign w:val="superscript"/>
                <w:lang w:eastAsia="en-GB"/>
              </w:rPr>
              <w:t>.</w:t>
            </w:r>
            <w:r w:rsidRPr="003476E6">
              <w:rPr>
                <w:rFonts w:cs="Arial"/>
                <w:color w:val="000000"/>
                <w:kern w:val="24"/>
                <w:sz w:val="20"/>
                <w:szCs w:val="20"/>
                <w:lang w:eastAsia="en-GB"/>
              </w:rPr>
              <w:t>s.kg</w:t>
            </w:r>
            <w:r w:rsidRPr="003476E6">
              <w:rPr>
                <w:rFonts w:cs="Arial"/>
                <w:color w:val="000000"/>
                <w:kern w:val="24"/>
                <w:sz w:val="20"/>
                <w:szCs w:val="20"/>
                <w:vertAlign w:val="superscript"/>
                <w:lang w:eastAsia="en-GB"/>
              </w:rPr>
              <w:t>-1</w:t>
            </w:r>
            <w:r w:rsidRPr="003476E6">
              <w:rPr>
                <w:rFonts w:cs="Arial"/>
                <w:color w:val="000000"/>
                <w:kern w:val="24"/>
                <w:sz w:val="20"/>
                <w:szCs w:val="20"/>
                <w:lang w:eastAsia="en-GB"/>
              </w:rPr>
              <w:t>)</w:t>
            </w:r>
          </w:p>
        </w:tc>
        <w:tc>
          <w:tcPr>
            <w:tcW w:w="1176" w:type="dxa"/>
            <w:tcBorders>
              <w:top w:val="nil"/>
              <w:left w:val="nil"/>
              <w:bottom w:val="nil"/>
              <w:right w:val="nil"/>
            </w:tcBorders>
            <w:shd w:val="clear" w:color="auto" w:fill="auto"/>
            <w:tcMar>
              <w:top w:w="15" w:type="dxa"/>
              <w:left w:w="108" w:type="dxa"/>
              <w:bottom w:w="0" w:type="dxa"/>
              <w:right w:w="108" w:type="dxa"/>
            </w:tcMar>
            <w:vAlign w:val="center"/>
            <w:hideMark/>
          </w:tcPr>
          <w:p w14:paraId="6CD6E403"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0.0084 ± 0.0059*</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0AF63371"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0.0224 ± 0.0104</w:t>
            </w:r>
          </w:p>
        </w:tc>
        <w:tc>
          <w:tcPr>
            <w:tcW w:w="1173" w:type="dxa"/>
            <w:tcBorders>
              <w:top w:val="nil"/>
              <w:left w:val="nil"/>
              <w:bottom w:val="nil"/>
              <w:right w:val="nil"/>
            </w:tcBorders>
            <w:shd w:val="clear" w:color="auto" w:fill="auto"/>
            <w:tcMar>
              <w:top w:w="15" w:type="dxa"/>
              <w:left w:w="108" w:type="dxa"/>
              <w:bottom w:w="0" w:type="dxa"/>
              <w:right w:w="108" w:type="dxa"/>
            </w:tcMar>
            <w:vAlign w:val="center"/>
            <w:hideMark/>
          </w:tcPr>
          <w:p w14:paraId="22201C57"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47.4 ± 35.4</w:t>
            </w:r>
          </w:p>
        </w:tc>
        <w:tc>
          <w:tcPr>
            <w:tcW w:w="1177" w:type="dxa"/>
            <w:tcBorders>
              <w:top w:val="nil"/>
              <w:left w:val="nil"/>
              <w:bottom w:val="nil"/>
              <w:right w:val="nil"/>
            </w:tcBorders>
            <w:shd w:val="clear" w:color="auto" w:fill="auto"/>
            <w:tcMar>
              <w:top w:w="15" w:type="dxa"/>
              <w:left w:w="108" w:type="dxa"/>
              <w:bottom w:w="0" w:type="dxa"/>
              <w:right w:w="108" w:type="dxa"/>
            </w:tcMar>
            <w:vAlign w:val="center"/>
            <w:hideMark/>
          </w:tcPr>
          <w:p w14:paraId="44EC087A"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0.0076 ± 0.0038**</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2E0E061D"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0.0305 ± 0.0102</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6B0D5F8C"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60.6 ± 15.3</w:t>
            </w:r>
          </w:p>
        </w:tc>
      </w:tr>
      <w:tr w:rsidR="00926C70" w:rsidRPr="003476E6" w14:paraId="4343AE4C" w14:textId="77777777" w:rsidTr="00BB04B0">
        <w:trPr>
          <w:trHeight w:val="397"/>
        </w:trPr>
        <w:tc>
          <w:tcPr>
            <w:tcW w:w="2029" w:type="dxa"/>
            <w:tcBorders>
              <w:top w:val="nil"/>
              <w:left w:val="nil"/>
              <w:bottom w:val="nil"/>
              <w:right w:val="nil"/>
            </w:tcBorders>
            <w:shd w:val="clear" w:color="auto" w:fill="auto"/>
            <w:tcMar>
              <w:top w:w="15" w:type="dxa"/>
              <w:left w:w="108" w:type="dxa"/>
              <w:bottom w:w="0" w:type="dxa"/>
              <w:right w:w="108" w:type="dxa"/>
            </w:tcMar>
            <w:vAlign w:val="center"/>
            <w:hideMark/>
          </w:tcPr>
          <w:p w14:paraId="4E158B87"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 xml:space="preserve">Peak vGRF </w:t>
            </w:r>
          </w:p>
          <w:p w14:paraId="2B968B31"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(N.</w:t>
            </w:r>
            <w:proofErr w:type="gramStart"/>
            <w:r w:rsidRPr="003476E6">
              <w:rPr>
                <w:rFonts w:cs="Arial"/>
                <w:color w:val="000000"/>
                <w:kern w:val="24"/>
                <w:sz w:val="20"/>
                <w:szCs w:val="20"/>
                <w:lang w:eastAsia="en-GB"/>
              </w:rPr>
              <w:t>kg</w:t>
            </w:r>
            <w:r w:rsidRPr="003476E6">
              <w:rPr>
                <w:rFonts w:cs="Arial"/>
                <w:color w:val="000000"/>
                <w:kern w:val="24"/>
                <w:sz w:val="20"/>
                <w:szCs w:val="20"/>
                <w:vertAlign w:val="superscript"/>
                <w:lang w:eastAsia="en-GB"/>
              </w:rPr>
              <w:t>-1</w:t>
            </w:r>
            <w:proofErr w:type="gramEnd"/>
            <w:r w:rsidRPr="003476E6">
              <w:rPr>
                <w:rFonts w:cs="Arial"/>
                <w:color w:val="000000"/>
                <w:kern w:val="24"/>
                <w:sz w:val="20"/>
                <w:szCs w:val="20"/>
                <w:lang w:eastAsia="en-GB"/>
              </w:rPr>
              <w:t>)</w:t>
            </w:r>
          </w:p>
        </w:tc>
        <w:tc>
          <w:tcPr>
            <w:tcW w:w="1176" w:type="dxa"/>
            <w:tcBorders>
              <w:top w:val="nil"/>
              <w:left w:val="nil"/>
              <w:bottom w:val="nil"/>
              <w:right w:val="nil"/>
            </w:tcBorders>
            <w:shd w:val="clear" w:color="auto" w:fill="auto"/>
            <w:tcMar>
              <w:top w:w="15" w:type="dxa"/>
              <w:left w:w="108" w:type="dxa"/>
              <w:bottom w:w="0" w:type="dxa"/>
              <w:right w:w="108" w:type="dxa"/>
            </w:tcMar>
            <w:vAlign w:val="center"/>
            <w:hideMark/>
          </w:tcPr>
          <w:p w14:paraId="4966A5C6"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10.5 ± 0.70*</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01F28802"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12.3 ± 1.36</w:t>
            </w:r>
          </w:p>
        </w:tc>
        <w:tc>
          <w:tcPr>
            <w:tcW w:w="1173" w:type="dxa"/>
            <w:tcBorders>
              <w:top w:val="nil"/>
              <w:left w:val="nil"/>
              <w:bottom w:val="nil"/>
              <w:right w:val="nil"/>
            </w:tcBorders>
            <w:shd w:val="clear" w:color="auto" w:fill="auto"/>
            <w:tcMar>
              <w:top w:w="15" w:type="dxa"/>
              <w:left w:w="108" w:type="dxa"/>
              <w:bottom w:w="0" w:type="dxa"/>
              <w:right w:w="108" w:type="dxa"/>
            </w:tcMar>
            <w:vAlign w:val="center"/>
            <w:hideMark/>
          </w:tcPr>
          <w:p w14:paraId="5058577E"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7.76 ± 6.27</w:t>
            </w:r>
          </w:p>
        </w:tc>
        <w:tc>
          <w:tcPr>
            <w:tcW w:w="1177" w:type="dxa"/>
            <w:tcBorders>
              <w:top w:val="nil"/>
              <w:left w:val="nil"/>
              <w:bottom w:val="nil"/>
              <w:right w:val="nil"/>
            </w:tcBorders>
            <w:shd w:val="clear" w:color="auto" w:fill="auto"/>
            <w:tcMar>
              <w:top w:w="15" w:type="dxa"/>
              <w:left w:w="108" w:type="dxa"/>
              <w:bottom w:w="0" w:type="dxa"/>
              <w:right w:w="108" w:type="dxa"/>
            </w:tcMar>
            <w:vAlign w:val="center"/>
            <w:hideMark/>
          </w:tcPr>
          <w:p w14:paraId="68216167"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10.9 ± 1.50*</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63A29B16"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13.6 ± 1.64</w:t>
            </w:r>
          </w:p>
        </w:tc>
        <w:tc>
          <w:tcPr>
            <w:tcW w:w="1175" w:type="dxa"/>
            <w:tcBorders>
              <w:top w:val="nil"/>
              <w:left w:val="nil"/>
              <w:bottom w:val="nil"/>
              <w:right w:val="nil"/>
            </w:tcBorders>
            <w:shd w:val="clear" w:color="auto" w:fill="auto"/>
            <w:tcMar>
              <w:top w:w="15" w:type="dxa"/>
              <w:left w:w="108" w:type="dxa"/>
              <w:bottom w:w="0" w:type="dxa"/>
              <w:right w:w="108" w:type="dxa"/>
            </w:tcMar>
            <w:vAlign w:val="center"/>
            <w:hideMark/>
          </w:tcPr>
          <w:p w14:paraId="70247FB1"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10.8 ± 6.44</w:t>
            </w:r>
          </w:p>
        </w:tc>
      </w:tr>
      <w:tr w:rsidR="00926C70" w:rsidRPr="003476E6" w14:paraId="27F53909" w14:textId="77777777" w:rsidTr="00BB04B0">
        <w:trPr>
          <w:trHeight w:val="397"/>
        </w:trPr>
        <w:tc>
          <w:tcPr>
            <w:tcW w:w="9080" w:type="dxa"/>
            <w:gridSpan w:val="7"/>
            <w:tcBorders>
              <w:top w:val="nil"/>
              <w:left w:val="nil"/>
              <w:bottom w:val="nil"/>
              <w:right w:val="nil"/>
            </w:tcBorders>
            <w:shd w:val="clear" w:color="auto" w:fill="auto"/>
            <w:tcMar>
              <w:top w:w="15" w:type="dxa"/>
              <w:left w:w="108" w:type="dxa"/>
              <w:bottom w:w="0" w:type="dxa"/>
              <w:right w:w="108" w:type="dxa"/>
            </w:tcMar>
            <w:vAlign w:val="center"/>
            <w:hideMark/>
          </w:tcPr>
          <w:p w14:paraId="16828356" w14:textId="77777777" w:rsidR="00926C70" w:rsidRPr="003476E6" w:rsidRDefault="00926C70" w:rsidP="00BB04B0">
            <w:pPr>
              <w:spacing w:line="360" w:lineRule="auto"/>
              <w:rPr>
                <w:rFonts w:cs="Arial"/>
                <w:sz w:val="36"/>
                <w:szCs w:val="36"/>
                <w:lang w:eastAsia="en-GB"/>
              </w:rPr>
            </w:pPr>
            <w:r w:rsidRPr="003476E6">
              <w:rPr>
                <w:rFonts w:cs="Arial"/>
                <w:b/>
                <w:bCs/>
                <w:i/>
                <w:iCs/>
                <w:color w:val="000000"/>
                <w:kern w:val="24"/>
                <w:sz w:val="20"/>
                <w:szCs w:val="20"/>
                <w:lang w:eastAsia="en-GB"/>
              </w:rPr>
              <w:t>Propulsive Phase Kinetic parameters</w:t>
            </w:r>
          </w:p>
        </w:tc>
      </w:tr>
      <w:tr w:rsidR="00926C70" w:rsidRPr="003476E6" w14:paraId="003427FD" w14:textId="77777777" w:rsidTr="00BB04B0">
        <w:trPr>
          <w:trHeight w:val="397"/>
        </w:trPr>
        <w:tc>
          <w:tcPr>
            <w:tcW w:w="2029"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0599C9FE"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 xml:space="preserve">Peak vGRF </w:t>
            </w:r>
            <w:r w:rsidRPr="003476E6">
              <w:rPr>
                <w:rFonts w:cs="Arial"/>
                <w:color w:val="000000"/>
                <w:kern w:val="24"/>
                <w:sz w:val="20"/>
                <w:szCs w:val="20"/>
                <w:lang w:eastAsia="en-GB"/>
              </w:rPr>
              <w:br/>
              <w:t>(N.</w:t>
            </w:r>
            <w:proofErr w:type="gramStart"/>
            <w:r w:rsidRPr="003476E6">
              <w:rPr>
                <w:rFonts w:cs="Arial"/>
                <w:color w:val="000000"/>
                <w:kern w:val="24"/>
                <w:sz w:val="20"/>
                <w:szCs w:val="20"/>
                <w:lang w:eastAsia="en-GB"/>
              </w:rPr>
              <w:t>kg</w:t>
            </w:r>
            <w:r w:rsidRPr="003476E6">
              <w:rPr>
                <w:rFonts w:cs="Arial"/>
                <w:color w:val="000000"/>
                <w:kern w:val="24"/>
                <w:sz w:val="20"/>
                <w:szCs w:val="20"/>
                <w:vertAlign w:val="superscript"/>
                <w:lang w:eastAsia="en-GB"/>
              </w:rPr>
              <w:t>-1</w:t>
            </w:r>
            <w:proofErr w:type="gramEnd"/>
            <w:r w:rsidRPr="003476E6">
              <w:rPr>
                <w:rFonts w:cs="Arial"/>
                <w:color w:val="000000"/>
                <w:kern w:val="24"/>
                <w:sz w:val="20"/>
                <w:szCs w:val="20"/>
                <w:lang w:eastAsia="en-GB"/>
              </w:rPr>
              <w:t>)</w:t>
            </w:r>
          </w:p>
        </w:tc>
        <w:tc>
          <w:tcPr>
            <w:tcW w:w="1176"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77E6BFD4"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9.51 ± 0.89*</w:t>
            </w:r>
          </w:p>
        </w:tc>
        <w:tc>
          <w:tcPr>
            <w:tcW w:w="1175"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6A5A2ECF"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11.5 ± 0.87</w:t>
            </w:r>
          </w:p>
        </w:tc>
        <w:tc>
          <w:tcPr>
            <w:tcW w:w="117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20C2B2B6"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9.69 ± 5.68</w:t>
            </w:r>
          </w:p>
        </w:tc>
        <w:tc>
          <w:tcPr>
            <w:tcW w:w="1177"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684EBF17"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9.60 ± 0.99**</w:t>
            </w:r>
          </w:p>
        </w:tc>
        <w:tc>
          <w:tcPr>
            <w:tcW w:w="1175"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005C06E"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12.1 ± 0.80</w:t>
            </w:r>
          </w:p>
        </w:tc>
        <w:tc>
          <w:tcPr>
            <w:tcW w:w="1175"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67B40517" w14:textId="77777777" w:rsidR="00926C70" w:rsidRPr="003476E6" w:rsidRDefault="00926C70" w:rsidP="00BB04B0">
            <w:pPr>
              <w:spacing w:line="360" w:lineRule="auto"/>
              <w:rPr>
                <w:rFonts w:cs="Arial"/>
                <w:sz w:val="36"/>
                <w:szCs w:val="36"/>
                <w:lang w:eastAsia="en-GB"/>
              </w:rPr>
            </w:pPr>
            <w:r w:rsidRPr="003476E6">
              <w:rPr>
                <w:rFonts w:cs="Arial"/>
                <w:color w:val="000000"/>
                <w:kern w:val="24"/>
                <w:sz w:val="20"/>
                <w:szCs w:val="20"/>
                <w:lang w:eastAsia="en-GB"/>
              </w:rPr>
              <w:t>11.8 ± 4.44</w:t>
            </w:r>
          </w:p>
        </w:tc>
      </w:tr>
      <w:tr w:rsidR="00926C70" w:rsidRPr="003476E6" w14:paraId="4236F364" w14:textId="77777777" w:rsidTr="00BB04B0">
        <w:trPr>
          <w:trHeight w:val="452"/>
        </w:trPr>
        <w:tc>
          <w:tcPr>
            <w:tcW w:w="9080" w:type="dxa"/>
            <w:gridSpan w:val="7"/>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BEEC636" w14:textId="77777777" w:rsidR="00926C70" w:rsidRPr="003476E6" w:rsidRDefault="00926C70" w:rsidP="00BB04B0">
            <w:pPr>
              <w:spacing w:line="360" w:lineRule="auto"/>
              <w:jc w:val="both"/>
              <w:rPr>
                <w:rFonts w:cs="Arial"/>
                <w:sz w:val="36"/>
                <w:szCs w:val="36"/>
                <w:lang w:eastAsia="en-GB"/>
              </w:rPr>
            </w:pPr>
            <w:r w:rsidRPr="003476E6">
              <w:rPr>
                <w:rFonts w:cs="Arial"/>
                <w:i/>
                <w:iCs/>
                <w:color w:val="000000"/>
                <w:kern w:val="24"/>
                <w:sz w:val="20"/>
                <w:szCs w:val="20"/>
                <w:lang w:eastAsia="en-GB"/>
              </w:rPr>
              <w:t>BAI, Bilateral Asymmetry Index; KE, knee extension; vGRF, vertical ground reaction force</w:t>
            </w:r>
          </w:p>
        </w:tc>
      </w:tr>
    </w:tbl>
    <w:p w14:paraId="157B7262" w14:textId="13D5348D" w:rsidR="00926C70" w:rsidRPr="003476E6" w:rsidRDefault="00926C70">
      <w:pPr>
        <w:spacing w:after="160" w:line="259" w:lineRule="auto"/>
      </w:pPr>
    </w:p>
    <w:p w14:paraId="754DD22C" w14:textId="77777777" w:rsidR="00926C70" w:rsidRPr="003476E6" w:rsidRDefault="00926C70">
      <w:pPr>
        <w:spacing w:after="160" w:line="259" w:lineRule="auto"/>
      </w:pPr>
      <w:r w:rsidRPr="003476E6">
        <w:br w:type="page"/>
      </w:r>
    </w:p>
    <w:tbl>
      <w:tblPr>
        <w:tblW w:w="9080" w:type="dxa"/>
        <w:tblCellMar>
          <w:left w:w="0" w:type="dxa"/>
          <w:right w:w="0" w:type="dxa"/>
        </w:tblCellMar>
        <w:tblLook w:val="04A0" w:firstRow="1" w:lastRow="0" w:firstColumn="1" w:lastColumn="0" w:noHBand="0" w:noVBand="1"/>
      </w:tblPr>
      <w:tblGrid>
        <w:gridCol w:w="1891"/>
        <w:gridCol w:w="1200"/>
        <w:gridCol w:w="1199"/>
        <w:gridCol w:w="1196"/>
        <w:gridCol w:w="1199"/>
        <w:gridCol w:w="1199"/>
        <w:gridCol w:w="1196"/>
      </w:tblGrid>
      <w:tr w:rsidR="00926C70" w:rsidRPr="003476E6" w14:paraId="170164F4" w14:textId="77777777" w:rsidTr="00BB04B0">
        <w:tc>
          <w:tcPr>
            <w:tcW w:w="9080" w:type="dxa"/>
            <w:gridSpan w:val="7"/>
            <w:tcBorders>
              <w:top w:val="nil"/>
              <w:left w:val="nil"/>
              <w:bottom w:val="single" w:sz="8" w:space="0" w:color="000000"/>
              <w:right w:val="nil"/>
            </w:tcBorders>
            <w:shd w:val="clear" w:color="auto" w:fill="auto"/>
            <w:tcMar>
              <w:top w:w="15" w:type="dxa"/>
              <w:left w:w="108" w:type="dxa"/>
              <w:bottom w:w="0" w:type="dxa"/>
              <w:right w:w="108" w:type="dxa"/>
            </w:tcMar>
            <w:hideMark/>
          </w:tcPr>
          <w:p w14:paraId="3BDFE282" w14:textId="71F4FF7B" w:rsidR="00926C70" w:rsidRPr="003476E6" w:rsidRDefault="00926C70" w:rsidP="00BB04B0">
            <w:pPr>
              <w:spacing w:line="360" w:lineRule="auto"/>
              <w:jc w:val="both"/>
              <w:rPr>
                <w:rFonts w:cs="Arial"/>
                <w:color w:val="000000"/>
                <w:kern w:val="24"/>
                <w:sz w:val="22"/>
                <w:szCs w:val="22"/>
                <w:lang w:eastAsia="en-GB"/>
              </w:rPr>
            </w:pPr>
            <w:r w:rsidRPr="003476E6">
              <w:rPr>
                <w:rFonts w:cs="Arial"/>
                <w:b/>
                <w:bCs/>
                <w:color w:val="000000"/>
                <w:kern w:val="24"/>
                <w:sz w:val="22"/>
                <w:szCs w:val="22"/>
                <w:lang w:eastAsia="en-GB"/>
              </w:rPr>
              <w:lastRenderedPageBreak/>
              <w:t xml:space="preserve">Table 5. </w:t>
            </w:r>
            <w:r w:rsidRPr="003476E6">
              <w:rPr>
                <w:rFonts w:cs="Arial"/>
                <w:color w:val="000000"/>
                <w:kern w:val="24"/>
                <w:sz w:val="22"/>
                <w:szCs w:val="22"/>
                <w:lang w:eastAsia="en-GB"/>
              </w:rPr>
              <w:t xml:space="preserve">Bivariate, semi-partial and partial correlation coefficients (r) between both BAI in MVT and RTD (measured during voluntary isometric contractions of the knee-extensors), and BAI in gait variables in </w:t>
            </w:r>
            <w:r w:rsidR="00320AA9" w:rsidRPr="003476E6">
              <w:rPr>
                <w:rFonts w:cs="Arial"/>
                <w:color w:val="000000"/>
                <w:kern w:val="24"/>
                <w:sz w:val="22"/>
                <w:szCs w:val="22"/>
                <w:lang w:eastAsia="en-GB"/>
              </w:rPr>
              <w:t>ITTAs</w:t>
            </w:r>
            <w:r w:rsidRPr="003476E6">
              <w:rPr>
                <w:rFonts w:cs="Arial"/>
                <w:color w:val="000000"/>
                <w:kern w:val="24"/>
                <w:sz w:val="22"/>
                <w:szCs w:val="22"/>
                <w:lang w:eastAsia="en-GB"/>
              </w:rPr>
              <w:t xml:space="preserve"> (n=8). BAI in gait variables were measured at a self-selected habitual and fast walking speed.</w:t>
            </w:r>
            <w:r w:rsidR="00EB44DF" w:rsidRPr="003476E6">
              <w:rPr>
                <w:rFonts w:cs="Arial"/>
                <w:color w:val="000000"/>
                <w:kern w:val="24"/>
                <w:sz w:val="22"/>
                <w:szCs w:val="22"/>
                <w:lang w:eastAsia="en-GB"/>
              </w:rPr>
              <w:t xml:space="preserve"> </w:t>
            </w:r>
            <w:r w:rsidR="00797302" w:rsidRPr="003476E6">
              <w:rPr>
                <w:rFonts w:cs="Arial"/>
                <w:color w:val="000000"/>
                <w:kern w:val="24"/>
                <w:sz w:val="22"/>
                <w:szCs w:val="22"/>
                <w:lang w:eastAsia="en-GB"/>
              </w:rPr>
              <w:t xml:space="preserve">Significant correlations after </w:t>
            </w:r>
            <w:proofErr w:type="spellStart"/>
            <w:r w:rsidR="00797302" w:rsidRPr="003476E6">
              <w:rPr>
                <w:rFonts w:cs="Arial"/>
                <w:color w:val="000000"/>
                <w:kern w:val="24"/>
                <w:sz w:val="22"/>
                <w:szCs w:val="22"/>
                <w:lang w:eastAsia="en-GB"/>
              </w:rPr>
              <w:t>Benjamini</w:t>
            </w:r>
            <w:proofErr w:type="spellEnd"/>
            <w:r w:rsidR="00797302" w:rsidRPr="003476E6">
              <w:rPr>
                <w:rFonts w:cs="Arial"/>
                <w:color w:val="000000"/>
                <w:kern w:val="24"/>
                <w:sz w:val="22"/>
                <w:szCs w:val="22"/>
                <w:lang w:eastAsia="en-GB"/>
              </w:rPr>
              <w:t xml:space="preserve">-Hochberg correction are in </w:t>
            </w:r>
            <w:r w:rsidR="00797302" w:rsidRPr="003476E6">
              <w:rPr>
                <w:rFonts w:cs="Arial"/>
                <w:b/>
                <w:bCs/>
                <w:color w:val="000000"/>
                <w:kern w:val="24"/>
                <w:sz w:val="22"/>
                <w:szCs w:val="22"/>
                <w:lang w:eastAsia="en-GB"/>
              </w:rPr>
              <w:t>bold</w:t>
            </w:r>
            <w:r w:rsidR="00EB44DF" w:rsidRPr="003476E6">
              <w:rPr>
                <w:rFonts w:cs="Arial"/>
                <w:color w:val="000000"/>
                <w:kern w:val="24"/>
                <w:sz w:val="22"/>
                <w:szCs w:val="22"/>
                <w:lang w:eastAsia="en-GB"/>
              </w:rPr>
              <w:t>.</w:t>
            </w:r>
          </w:p>
        </w:tc>
      </w:tr>
      <w:tr w:rsidR="00926C70" w:rsidRPr="003476E6" w14:paraId="7FFE3FC3" w14:textId="77777777" w:rsidTr="00BB04B0">
        <w:trPr>
          <w:trHeight w:val="397"/>
        </w:trPr>
        <w:tc>
          <w:tcPr>
            <w:tcW w:w="1891" w:type="dxa"/>
            <w:vMerge w:val="restar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B8AA24F" w14:textId="77777777" w:rsidR="00926C70" w:rsidRPr="003476E6" w:rsidRDefault="00926C70" w:rsidP="00BB04B0">
            <w:pPr>
              <w:spacing w:after="120" w:line="360" w:lineRule="auto"/>
              <w:rPr>
                <w:rFonts w:cs="Arial"/>
                <w:sz w:val="36"/>
                <w:szCs w:val="36"/>
                <w:lang w:eastAsia="en-GB"/>
              </w:rPr>
            </w:pPr>
            <w:r w:rsidRPr="003476E6">
              <w:rPr>
                <w:rFonts w:cs="Arial"/>
                <w:color w:val="000000"/>
                <w:kern w:val="24"/>
                <w:sz w:val="20"/>
                <w:szCs w:val="20"/>
                <w:lang w:eastAsia="en-GB"/>
              </w:rPr>
              <w:t> </w:t>
            </w:r>
          </w:p>
        </w:tc>
        <w:tc>
          <w:tcPr>
            <w:tcW w:w="3595" w:type="dxa"/>
            <w:gridSpan w:val="3"/>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08176FC" w14:textId="0B0D8A2D"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MVT</w:t>
            </w:r>
          </w:p>
        </w:tc>
        <w:tc>
          <w:tcPr>
            <w:tcW w:w="3594" w:type="dxa"/>
            <w:gridSpan w:val="3"/>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1BE6390" w14:textId="748BEE15"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RTD</w:t>
            </w:r>
          </w:p>
        </w:tc>
      </w:tr>
      <w:tr w:rsidR="00926C70" w:rsidRPr="003476E6" w14:paraId="6EFE3BF2" w14:textId="77777777" w:rsidTr="00BB04B0">
        <w:trPr>
          <w:trHeight w:val="397"/>
        </w:trPr>
        <w:tc>
          <w:tcPr>
            <w:tcW w:w="0" w:type="auto"/>
            <w:vMerge/>
            <w:tcBorders>
              <w:top w:val="single" w:sz="8" w:space="0" w:color="000000"/>
              <w:left w:val="nil"/>
              <w:bottom w:val="single" w:sz="8" w:space="0" w:color="000000"/>
              <w:right w:val="nil"/>
            </w:tcBorders>
            <w:vAlign w:val="center"/>
            <w:hideMark/>
          </w:tcPr>
          <w:p w14:paraId="57E106DF" w14:textId="77777777" w:rsidR="00926C70" w:rsidRPr="003476E6" w:rsidRDefault="00926C70" w:rsidP="00BB04B0">
            <w:pPr>
              <w:rPr>
                <w:rFonts w:cs="Arial"/>
                <w:sz w:val="36"/>
                <w:szCs w:val="36"/>
                <w:lang w:eastAsia="en-GB"/>
              </w:rPr>
            </w:pPr>
          </w:p>
        </w:tc>
        <w:tc>
          <w:tcPr>
            <w:tcW w:w="12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ED1813C" w14:textId="77777777" w:rsidR="00926C70" w:rsidRPr="003476E6" w:rsidRDefault="00926C70" w:rsidP="00BB04B0">
            <w:pPr>
              <w:spacing w:after="120" w:line="360" w:lineRule="auto"/>
              <w:jc w:val="center"/>
              <w:rPr>
                <w:rFonts w:cs="Arial"/>
                <w:sz w:val="36"/>
                <w:szCs w:val="36"/>
                <w:lang w:eastAsia="en-GB"/>
              </w:rPr>
            </w:pPr>
            <w:proofErr w:type="spellStart"/>
            <w:r w:rsidRPr="003476E6">
              <w:rPr>
                <w:rFonts w:cs="Arial"/>
                <w:color w:val="000000"/>
                <w:kern w:val="24"/>
                <w:sz w:val="20"/>
                <w:szCs w:val="20"/>
                <w:lang w:eastAsia="en-GB"/>
              </w:rPr>
              <w:t>BAI_Habit</w:t>
            </w:r>
            <w:proofErr w:type="spellEnd"/>
          </w:p>
        </w:tc>
        <w:tc>
          <w:tcPr>
            <w:tcW w:w="119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657CE09" w14:textId="77777777" w:rsidR="00926C70" w:rsidRPr="003476E6" w:rsidRDefault="00926C70" w:rsidP="00BB04B0">
            <w:pPr>
              <w:spacing w:after="120" w:line="360" w:lineRule="auto"/>
              <w:jc w:val="center"/>
              <w:rPr>
                <w:rFonts w:cs="Arial"/>
                <w:sz w:val="36"/>
                <w:szCs w:val="36"/>
                <w:lang w:eastAsia="en-GB"/>
              </w:rPr>
            </w:pPr>
            <w:proofErr w:type="spellStart"/>
            <w:r w:rsidRPr="003476E6">
              <w:rPr>
                <w:rFonts w:cs="Arial"/>
                <w:color w:val="000000"/>
                <w:kern w:val="24"/>
                <w:sz w:val="20"/>
                <w:szCs w:val="20"/>
                <w:lang w:eastAsia="en-GB"/>
              </w:rPr>
              <w:t>BAI_Fast</w:t>
            </w:r>
            <w:proofErr w:type="spellEnd"/>
          </w:p>
        </w:tc>
        <w:tc>
          <w:tcPr>
            <w:tcW w:w="11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1881732"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ΔBAI</w:t>
            </w:r>
          </w:p>
        </w:tc>
        <w:tc>
          <w:tcPr>
            <w:tcW w:w="119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CEEB09A" w14:textId="77777777" w:rsidR="00926C70" w:rsidRPr="003476E6" w:rsidRDefault="00926C70" w:rsidP="00BB04B0">
            <w:pPr>
              <w:spacing w:after="120" w:line="360" w:lineRule="auto"/>
              <w:jc w:val="center"/>
              <w:rPr>
                <w:rFonts w:cs="Arial"/>
                <w:sz w:val="36"/>
                <w:szCs w:val="36"/>
                <w:lang w:eastAsia="en-GB"/>
              </w:rPr>
            </w:pPr>
            <w:proofErr w:type="spellStart"/>
            <w:r w:rsidRPr="003476E6">
              <w:rPr>
                <w:rFonts w:cs="Arial"/>
                <w:color w:val="000000"/>
                <w:kern w:val="24"/>
                <w:sz w:val="20"/>
                <w:szCs w:val="20"/>
                <w:lang w:eastAsia="en-GB"/>
              </w:rPr>
              <w:t>BAI_Habit</w:t>
            </w:r>
            <w:proofErr w:type="spellEnd"/>
          </w:p>
        </w:tc>
        <w:tc>
          <w:tcPr>
            <w:tcW w:w="119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BFA032C" w14:textId="77777777" w:rsidR="00926C70" w:rsidRPr="003476E6" w:rsidRDefault="00926C70" w:rsidP="00BB04B0">
            <w:pPr>
              <w:spacing w:after="120" w:line="360" w:lineRule="auto"/>
              <w:jc w:val="center"/>
              <w:rPr>
                <w:rFonts w:cs="Arial"/>
                <w:sz w:val="36"/>
                <w:szCs w:val="36"/>
                <w:lang w:eastAsia="en-GB"/>
              </w:rPr>
            </w:pPr>
            <w:proofErr w:type="spellStart"/>
            <w:r w:rsidRPr="003476E6">
              <w:rPr>
                <w:rFonts w:cs="Arial"/>
                <w:color w:val="000000"/>
                <w:kern w:val="24"/>
                <w:sz w:val="20"/>
                <w:szCs w:val="20"/>
                <w:lang w:eastAsia="en-GB"/>
              </w:rPr>
              <w:t>BAI_Fast</w:t>
            </w:r>
            <w:proofErr w:type="spellEnd"/>
          </w:p>
        </w:tc>
        <w:tc>
          <w:tcPr>
            <w:tcW w:w="11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158994E"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ΔBAI</w:t>
            </w:r>
          </w:p>
        </w:tc>
      </w:tr>
      <w:tr w:rsidR="00926C70" w:rsidRPr="003476E6" w14:paraId="2593F62B" w14:textId="77777777" w:rsidTr="00BB04B0">
        <w:trPr>
          <w:trHeight w:val="397"/>
        </w:trPr>
        <w:tc>
          <w:tcPr>
            <w:tcW w:w="9080" w:type="dxa"/>
            <w:gridSpan w:val="7"/>
            <w:tcBorders>
              <w:top w:val="single" w:sz="8" w:space="0" w:color="000000"/>
              <w:left w:val="nil"/>
              <w:bottom w:val="nil"/>
              <w:right w:val="nil"/>
            </w:tcBorders>
            <w:shd w:val="clear" w:color="auto" w:fill="auto"/>
            <w:tcMar>
              <w:top w:w="15" w:type="dxa"/>
              <w:left w:w="108" w:type="dxa"/>
              <w:bottom w:w="0" w:type="dxa"/>
              <w:right w:w="108" w:type="dxa"/>
            </w:tcMar>
            <w:hideMark/>
          </w:tcPr>
          <w:p w14:paraId="2A4EA16F" w14:textId="77777777" w:rsidR="00926C70" w:rsidRPr="003476E6" w:rsidRDefault="00926C70" w:rsidP="00BB04B0">
            <w:pPr>
              <w:spacing w:after="120" w:line="360" w:lineRule="auto"/>
              <w:rPr>
                <w:rFonts w:cs="Arial"/>
                <w:sz w:val="36"/>
                <w:szCs w:val="36"/>
                <w:lang w:eastAsia="en-GB"/>
              </w:rPr>
            </w:pPr>
            <w:r w:rsidRPr="003476E6">
              <w:rPr>
                <w:rFonts w:cs="Arial"/>
                <w:b/>
                <w:bCs/>
                <w:i/>
                <w:iCs/>
                <w:color w:val="000000"/>
                <w:kern w:val="24"/>
                <w:sz w:val="20"/>
                <w:szCs w:val="20"/>
                <w:lang w:eastAsia="en-GB"/>
              </w:rPr>
              <w:t>Temporo-spatial parameters</w:t>
            </w:r>
          </w:p>
        </w:tc>
      </w:tr>
      <w:tr w:rsidR="00926C70" w:rsidRPr="003476E6" w14:paraId="42FEBA05" w14:textId="77777777" w:rsidTr="00BB04B0">
        <w:trPr>
          <w:trHeight w:val="397"/>
        </w:trPr>
        <w:tc>
          <w:tcPr>
            <w:tcW w:w="1891" w:type="dxa"/>
            <w:tcBorders>
              <w:top w:val="nil"/>
              <w:left w:val="nil"/>
              <w:bottom w:val="nil"/>
              <w:right w:val="nil"/>
            </w:tcBorders>
            <w:shd w:val="clear" w:color="auto" w:fill="auto"/>
            <w:tcMar>
              <w:top w:w="15" w:type="dxa"/>
              <w:left w:w="108" w:type="dxa"/>
              <w:bottom w:w="0" w:type="dxa"/>
              <w:right w:w="108" w:type="dxa"/>
            </w:tcMar>
            <w:vAlign w:val="center"/>
            <w:hideMark/>
          </w:tcPr>
          <w:p w14:paraId="3857971A" w14:textId="77777777" w:rsidR="00926C70" w:rsidRPr="003476E6" w:rsidRDefault="00926C70" w:rsidP="00BB04B0">
            <w:pPr>
              <w:spacing w:after="120" w:line="360" w:lineRule="auto"/>
              <w:rPr>
                <w:rFonts w:cs="Arial"/>
                <w:sz w:val="36"/>
                <w:szCs w:val="36"/>
                <w:lang w:eastAsia="en-GB"/>
              </w:rPr>
            </w:pPr>
            <w:r w:rsidRPr="003476E6">
              <w:rPr>
                <w:rFonts w:cs="Arial"/>
                <w:color w:val="000000"/>
                <w:kern w:val="24"/>
                <w:sz w:val="20"/>
                <w:szCs w:val="20"/>
                <w:lang w:eastAsia="en-GB"/>
              </w:rPr>
              <w:t>Single support</w:t>
            </w:r>
          </w:p>
        </w:tc>
        <w:tc>
          <w:tcPr>
            <w:tcW w:w="1200" w:type="dxa"/>
            <w:tcBorders>
              <w:top w:val="nil"/>
              <w:left w:val="nil"/>
              <w:bottom w:val="nil"/>
              <w:right w:val="nil"/>
            </w:tcBorders>
            <w:shd w:val="clear" w:color="auto" w:fill="auto"/>
            <w:tcMar>
              <w:top w:w="15" w:type="dxa"/>
              <w:left w:w="108" w:type="dxa"/>
              <w:bottom w:w="0" w:type="dxa"/>
              <w:right w:w="108" w:type="dxa"/>
            </w:tcMar>
            <w:vAlign w:val="center"/>
            <w:hideMark/>
          </w:tcPr>
          <w:p w14:paraId="134CA53A"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-0.17</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7E6B614E"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0.60</w:t>
            </w:r>
          </w:p>
        </w:tc>
        <w:tc>
          <w:tcPr>
            <w:tcW w:w="1196" w:type="dxa"/>
            <w:tcBorders>
              <w:top w:val="nil"/>
              <w:left w:val="nil"/>
              <w:bottom w:val="nil"/>
              <w:right w:val="nil"/>
            </w:tcBorders>
            <w:shd w:val="clear" w:color="auto" w:fill="auto"/>
            <w:tcMar>
              <w:top w:w="15" w:type="dxa"/>
              <w:left w:w="108" w:type="dxa"/>
              <w:bottom w:w="0" w:type="dxa"/>
              <w:right w:w="108" w:type="dxa"/>
            </w:tcMar>
            <w:vAlign w:val="center"/>
            <w:hideMark/>
          </w:tcPr>
          <w:p w14:paraId="7880F939" w14:textId="5EFA115C"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0.83</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06E604B5"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-0.30</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414F571D"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0.06</w:t>
            </w:r>
          </w:p>
        </w:tc>
        <w:tc>
          <w:tcPr>
            <w:tcW w:w="1196" w:type="dxa"/>
            <w:tcBorders>
              <w:top w:val="nil"/>
              <w:left w:val="nil"/>
              <w:bottom w:val="nil"/>
              <w:right w:val="nil"/>
            </w:tcBorders>
            <w:shd w:val="clear" w:color="auto" w:fill="auto"/>
            <w:tcMar>
              <w:top w:w="15" w:type="dxa"/>
              <w:left w:w="108" w:type="dxa"/>
              <w:bottom w:w="0" w:type="dxa"/>
              <w:right w:w="108" w:type="dxa"/>
            </w:tcMar>
            <w:vAlign w:val="center"/>
            <w:hideMark/>
          </w:tcPr>
          <w:p w14:paraId="1BCDD8B1"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0.61</w:t>
            </w:r>
          </w:p>
        </w:tc>
      </w:tr>
      <w:tr w:rsidR="00926C70" w:rsidRPr="003476E6" w14:paraId="5552387D" w14:textId="77777777" w:rsidTr="00BB04B0">
        <w:trPr>
          <w:trHeight w:val="397"/>
        </w:trPr>
        <w:tc>
          <w:tcPr>
            <w:tcW w:w="1891" w:type="dxa"/>
            <w:tcBorders>
              <w:top w:val="nil"/>
              <w:left w:val="nil"/>
              <w:bottom w:val="nil"/>
              <w:right w:val="nil"/>
            </w:tcBorders>
            <w:shd w:val="clear" w:color="auto" w:fill="auto"/>
            <w:tcMar>
              <w:top w:w="15" w:type="dxa"/>
              <w:left w:w="108" w:type="dxa"/>
              <w:bottom w:w="0" w:type="dxa"/>
              <w:right w:w="108" w:type="dxa"/>
            </w:tcMar>
            <w:vAlign w:val="center"/>
            <w:hideMark/>
          </w:tcPr>
          <w:p w14:paraId="413322BD" w14:textId="77777777" w:rsidR="00926C70" w:rsidRPr="003476E6" w:rsidRDefault="00926C70" w:rsidP="00BB04B0">
            <w:pPr>
              <w:spacing w:after="120" w:line="360" w:lineRule="auto"/>
              <w:rPr>
                <w:rFonts w:cs="Arial"/>
                <w:sz w:val="36"/>
                <w:szCs w:val="36"/>
                <w:lang w:eastAsia="en-GB"/>
              </w:rPr>
            </w:pPr>
            <w:r w:rsidRPr="003476E6">
              <w:rPr>
                <w:rFonts w:cs="Arial"/>
                <w:color w:val="000000"/>
                <w:kern w:val="24"/>
                <w:sz w:val="20"/>
                <w:szCs w:val="20"/>
                <w:lang w:eastAsia="en-GB"/>
              </w:rPr>
              <w:t>Step length</w:t>
            </w:r>
          </w:p>
        </w:tc>
        <w:tc>
          <w:tcPr>
            <w:tcW w:w="1200" w:type="dxa"/>
            <w:tcBorders>
              <w:top w:val="nil"/>
              <w:left w:val="nil"/>
              <w:bottom w:val="nil"/>
              <w:right w:val="nil"/>
            </w:tcBorders>
            <w:shd w:val="clear" w:color="auto" w:fill="auto"/>
            <w:tcMar>
              <w:top w:w="15" w:type="dxa"/>
              <w:left w:w="108" w:type="dxa"/>
              <w:bottom w:w="0" w:type="dxa"/>
              <w:right w:w="108" w:type="dxa"/>
            </w:tcMar>
            <w:vAlign w:val="center"/>
            <w:hideMark/>
          </w:tcPr>
          <w:p w14:paraId="61C88D17"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0.07</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65D9A2CA"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0.46</w:t>
            </w:r>
          </w:p>
        </w:tc>
        <w:tc>
          <w:tcPr>
            <w:tcW w:w="1196" w:type="dxa"/>
            <w:tcBorders>
              <w:top w:val="nil"/>
              <w:left w:val="nil"/>
              <w:bottom w:val="nil"/>
              <w:right w:val="nil"/>
            </w:tcBorders>
            <w:shd w:val="clear" w:color="auto" w:fill="auto"/>
            <w:tcMar>
              <w:top w:w="15" w:type="dxa"/>
              <w:left w:w="108" w:type="dxa"/>
              <w:bottom w:w="0" w:type="dxa"/>
              <w:right w:w="108" w:type="dxa"/>
            </w:tcMar>
            <w:vAlign w:val="center"/>
            <w:hideMark/>
          </w:tcPr>
          <w:p w14:paraId="69470DC0"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0.41</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65E76DF1"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0.45</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7A71A5AB"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0.58</w:t>
            </w:r>
          </w:p>
        </w:tc>
        <w:tc>
          <w:tcPr>
            <w:tcW w:w="1196" w:type="dxa"/>
            <w:tcBorders>
              <w:top w:val="nil"/>
              <w:left w:val="nil"/>
              <w:bottom w:val="nil"/>
              <w:right w:val="nil"/>
            </w:tcBorders>
            <w:shd w:val="clear" w:color="auto" w:fill="auto"/>
            <w:tcMar>
              <w:top w:w="15" w:type="dxa"/>
              <w:left w:w="108" w:type="dxa"/>
              <w:bottom w:w="0" w:type="dxa"/>
              <w:right w:w="108" w:type="dxa"/>
            </w:tcMar>
            <w:vAlign w:val="center"/>
            <w:hideMark/>
          </w:tcPr>
          <w:p w14:paraId="74ED7945"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0.59</w:t>
            </w:r>
          </w:p>
        </w:tc>
      </w:tr>
      <w:tr w:rsidR="00926C70" w:rsidRPr="003476E6" w14:paraId="1DA20CCA" w14:textId="77777777" w:rsidTr="00BB04B0">
        <w:trPr>
          <w:trHeight w:val="397"/>
        </w:trPr>
        <w:tc>
          <w:tcPr>
            <w:tcW w:w="9080" w:type="dxa"/>
            <w:gridSpan w:val="7"/>
            <w:tcBorders>
              <w:top w:val="nil"/>
              <w:left w:val="nil"/>
              <w:bottom w:val="nil"/>
              <w:right w:val="nil"/>
            </w:tcBorders>
            <w:shd w:val="clear" w:color="auto" w:fill="auto"/>
            <w:tcMar>
              <w:top w:w="15" w:type="dxa"/>
              <w:left w:w="108" w:type="dxa"/>
              <w:bottom w:w="0" w:type="dxa"/>
              <w:right w:w="108" w:type="dxa"/>
            </w:tcMar>
            <w:vAlign w:val="center"/>
            <w:hideMark/>
          </w:tcPr>
          <w:p w14:paraId="4E4DE6F4" w14:textId="77777777" w:rsidR="00926C70" w:rsidRPr="003476E6" w:rsidRDefault="00926C70" w:rsidP="00BB04B0">
            <w:pPr>
              <w:spacing w:after="120" w:line="360" w:lineRule="auto"/>
              <w:rPr>
                <w:rFonts w:cs="Arial"/>
                <w:sz w:val="36"/>
                <w:szCs w:val="36"/>
                <w:lang w:eastAsia="en-GB"/>
              </w:rPr>
            </w:pPr>
            <w:r w:rsidRPr="003476E6">
              <w:rPr>
                <w:rFonts w:cs="Arial"/>
                <w:b/>
                <w:bCs/>
                <w:i/>
                <w:iCs/>
                <w:color w:val="000000"/>
                <w:kern w:val="24"/>
                <w:sz w:val="20"/>
                <w:szCs w:val="20"/>
                <w:lang w:eastAsia="en-GB"/>
              </w:rPr>
              <w:t>Braking Phase Kinetic parameters</w:t>
            </w:r>
          </w:p>
        </w:tc>
      </w:tr>
      <w:tr w:rsidR="00926C70" w:rsidRPr="003476E6" w14:paraId="4CAA207E" w14:textId="77777777" w:rsidTr="00BB04B0">
        <w:trPr>
          <w:trHeight w:val="397"/>
        </w:trPr>
        <w:tc>
          <w:tcPr>
            <w:tcW w:w="1891" w:type="dxa"/>
            <w:tcBorders>
              <w:top w:val="nil"/>
              <w:left w:val="nil"/>
              <w:bottom w:val="nil"/>
              <w:right w:val="nil"/>
            </w:tcBorders>
            <w:shd w:val="clear" w:color="auto" w:fill="auto"/>
            <w:tcMar>
              <w:top w:w="15" w:type="dxa"/>
              <w:left w:w="108" w:type="dxa"/>
              <w:bottom w:w="0" w:type="dxa"/>
              <w:right w:w="108" w:type="dxa"/>
            </w:tcMar>
            <w:vAlign w:val="center"/>
            <w:hideMark/>
          </w:tcPr>
          <w:p w14:paraId="6CD1554E" w14:textId="77777777" w:rsidR="00926C70" w:rsidRPr="003476E6" w:rsidRDefault="00926C70" w:rsidP="00BB04B0">
            <w:pPr>
              <w:spacing w:after="120" w:line="360" w:lineRule="auto"/>
              <w:rPr>
                <w:rFonts w:cs="Arial"/>
                <w:sz w:val="36"/>
                <w:szCs w:val="36"/>
                <w:lang w:eastAsia="en-GB"/>
              </w:rPr>
            </w:pPr>
            <w:r w:rsidRPr="003476E6">
              <w:rPr>
                <w:rFonts w:cs="Arial"/>
                <w:color w:val="000000"/>
                <w:kern w:val="24"/>
                <w:sz w:val="20"/>
                <w:szCs w:val="20"/>
                <w:lang w:eastAsia="en-GB"/>
              </w:rPr>
              <w:t xml:space="preserve">Peak KE Moment </w:t>
            </w:r>
          </w:p>
        </w:tc>
        <w:tc>
          <w:tcPr>
            <w:tcW w:w="1200" w:type="dxa"/>
            <w:tcBorders>
              <w:top w:val="nil"/>
              <w:left w:val="nil"/>
              <w:bottom w:val="nil"/>
              <w:right w:val="nil"/>
            </w:tcBorders>
            <w:shd w:val="clear" w:color="auto" w:fill="auto"/>
            <w:tcMar>
              <w:top w:w="15" w:type="dxa"/>
              <w:left w:w="108" w:type="dxa"/>
              <w:bottom w:w="0" w:type="dxa"/>
              <w:right w:w="108" w:type="dxa"/>
            </w:tcMar>
            <w:vAlign w:val="center"/>
            <w:hideMark/>
          </w:tcPr>
          <w:p w14:paraId="35C28CD2"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-0.45</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03A114F5"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-0.32</w:t>
            </w:r>
          </w:p>
        </w:tc>
        <w:tc>
          <w:tcPr>
            <w:tcW w:w="1196" w:type="dxa"/>
            <w:tcBorders>
              <w:top w:val="nil"/>
              <w:left w:val="nil"/>
              <w:bottom w:val="nil"/>
              <w:right w:val="nil"/>
            </w:tcBorders>
            <w:shd w:val="clear" w:color="auto" w:fill="auto"/>
            <w:tcMar>
              <w:top w:w="15" w:type="dxa"/>
              <w:left w:w="108" w:type="dxa"/>
              <w:bottom w:w="0" w:type="dxa"/>
              <w:right w:w="108" w:type="dxa"/>
            </w:tcMar>
            <w:vAlign w:val="center"/>
            <w:hideMark/>
          </w:tcPr>
          <w:p w14:paraId="55ADA51D"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0.30</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01A42686"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-0.60</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1166A61E"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0.03</w:t>
            </w:r>
          </w:p>
        </w:tc>
        <w:tc>
          <w:tcPr>
            <w:tcW w:w="1196" w:type="dxa"/>
            <w:tcBorders>
              <w:top w:val="nil"/>
              <w:left w:val="nil"/>
              <w:bottom w:val="nil"/>
              <w:right w:val="nil"/>
            </w:tcBorders>
            <w:shd w:val="clear" w:color="auto" w:fill="auto"/>
            <w:tcMar>
              <w:top w:w="15" w:type="dxa"/>
              <w:left w:w="108" w:type="dxa"/>
              <w:bottom w:w="0" w:type="dxa"/>
              <w:right w:w="108" w:type="dxa"/>
            </w:tcMar>
            <w:vAlign w:val="center"/>
            <w:hideMark/>
          </w:tcPr>
          <w:p w14:paraId="29FF92A9"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-0.33</w:t>
            </w:r>
          </w:p>
        </w:tc>
      </w:tr>
      <w:tr w:rsidR="00926C70" w:rsidRPr="003476E6" w14:paraId="16F61199" w14:textId="77777777" w:rsidTr="00BB04B0">
        <w:trPr>
          <w:trHeight w:val="397"/>
        </w:trPr>
        <w:tc>
          <w:tcPr>
            <w:tcW w:w="1891" w:type="dxa"/>
            <w:tcBorders>
              <w:top w:val="nil"/>
              <w:left w:val="nil"/>
              <w:bottom w:val="nil"/>
              <w:right w:val="nil"/>
            </w:tcBorders>
            <w:shd w:val="clear" w:color="auto" w:fill="auto"/>
            <w:tcMar>
              <w:top w:w="15" w:type="dxa"/>
              <w:left w:w="108" w:type="dxa"/>
              <w:bottom w:w="0" w:type="dxa"/>
              <w:right w:w="108" w:type="dxa"/>
            </w:tcMar>
            <w:vAlign w:val="center"/>
            <w:hideMark/>
          </w:tcPr>
          <w:p w14:paraId="35AD61B8" w14:textId="77777777" w:rsidR="00926C70" w:rsidRPr="003476E6" w:rsidRDefault="00926C70" w:rsidP="00BB04B0">
            <w:pPr>
              <w:spacing w:after="120" w:line="360" w:lineRule="auto"/>
              <w:rPr>
                <w:rFonts w:cs="Arial"/>
                <w:sz w:val="36"/>
                <w:szCs w:val="36"/>
                <w:lang w:eastAsia="en-GB"/>
              </w:rPr>
            </w:pPr>
            <w:r w:rsidRPr="003476E6">
              <w:rPr>
                <w:rFonts w:cs="Arial"/>
                <w:color w:val="000000"/>
                <w:kern w:val="24"/>
                <w:sz w:val="20"/>
                <w:szCs w:val="20"/>
                <w:lang w:eastAsia="en-GB"/>
              </w:rPr>
              <w:t xml:space="preserve">KE Impulse </w:t>
            </w:r>
          </w:p>
        </w:tc>
        <w:tc>
          <w:tcPr>
            <w:tcW w:w="1200" w:type="dxa"/>
            <w:tcBorders>
              <w:top w:val="nil"/>
              <w:left w:val="nil"/>
              <w:bottom w:val="nil"/>
              <w:right w:val="nil"/>
            </w:tcBorders>
            <w:shd w:val="clear" w:color="auto" w:fill="auto"/>
            <w:tcMar>
              <w:top w:w="15" w:type="dxa"/>
              <w:left w:w="108" w:type="dxa"/>
              <w:bottom w:w="0" w:type="dxa"/>
              <w:right w:w="108" w:type="dxa"/>
            </w:tcMar>
            <w:vAlign w:val="center"/>
            <w:hideMark/>
          </w:tcPr>
          <w:p w14:paraId="578AAD34"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-0.28</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7E238A2A"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-0.56</w:t>
            </w:r>
          </w:p>
        </w:tc>
        <w:tc>
          <w:tcPr>
            <w:tcW w:w="1196" w:type="dxa"/>
            <w:tcBorders>
              <w:top w:val="nil"/>
              <w:left w:val="nil"/>
              <w:bottom w:val="nil"/>
              <w:right w:val="nil"/>
            </w:tcBorders>
            <w:shd w:val="clear" w:color="auto" w:fill="auto"/>
            <w:tcMar>
              <w:top w:w="15" w:type="dxa"/>
              <w:left w:w="108" w:type="dxa"/>
              <w:bottom w:w="0" w:type="dxa"/>
              <w:right w:w="108" w:type="dxa"/>
            </w:tcMar>
            <w:vAlign w:val="center"/>
            <w:hideMark/>
          </w:tcPr>
          <w:p w14:paraId="34786B23"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0.01</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0AB2FD8D"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-0.48</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0FB5C9EA"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0.08</w:t>
            </w:r>
          </w:p>
        </w:tc>
        <w:tc>
          <w:tcPr>
            <w:tcW w:w="1196" w:type="dxa"/>
            <w:tcBorders>
              <w:top w:val="nil"/>
              <w:left w:val="nil"/>
              <w:bottom w:val="nil"/>
              <w:right w:val="nil"/>
            </w:tcBorders>
            <w:shd w:val="clear" w:color="auto" w:fill="auto"/>
            <w:tcMar>
              <w:top w:w="15" w:type="dxa"/>
              <w:left w:w="108" w:type="dxa"/>
              <w:bottom w:w="0" w:type="dxa"/>
              <w:right w:w="108" w:type="dxa"/>
            </w:tcMar>
            <w:vAlign w:val="center"/>
            <w:hideMark/>
          </w:tcPr>
          <w:p w14:paraId="4C0FD89E"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-0.36</w:t>
            </w:r>
          </w:p>
        </w:tc>
      </w:tr>
      <w:tr w:rsidR="00926C70" w:rsidRPr="003476E6" w14:paraId="5D4B9DF5" w14:textId="77777777" w:rsidTr="00BB04B0">
        <w:trPr>
          <w:trHeight w:val="397"/>
        </w:trPr>
        <w:tc>
          <w:tcPr>
            <w:tcW w:w="1891" w:type="dxa"/>
            <w:tcBorders>
              <w:top w:val="nil"/>
              <w:left w:val="nil"/>
              <w:bottom w:val="nil"/>
              <w:right w:val="nil"/>
            </w:tcBorders>
            <w:shd w:val="clear" w:color="auto" w:fill="auto"/>
            <w:tcMar>
              <w:top w:w="15" w:type="dxa"/>
              <w:left w:w="108" w:type="dxa"/>
              <w:bottom w:w="0" w:type="dxa"/>
              <w:right w:w="108" w:type="dxa"/>
            </w:tcMar>
            <w:vAlign w:val="center"/>
            <w:hideMark/>
          </w:tcPr>
          <w:p w14:paraId="790DD925" w14:textId="77777777" w:rsidR="00926C70" w:rsidRPr="003476E6" w:rsidRDefault="00926C70" w:rsidP="00BB04B0">
            <w:pPr>
              <w:spacing w:after="120" w:line="360" w:lineRule="auto"/>
              <w:rPr>
                <w:rFonts w:cs="Arial"/>
                <w:sz w:val="36"/>
                <w:szCs w:val="36"/>
                <w:lang w:eastAsia="en-GB"/>
              </w:rPr>
            </w:pPr>
            <w:r w:rsidRPr="003476E6">
              <w:rPr>
                <w:rFonts w:cs="Arial"/>
                <w:color w:val="000000"/>
                <w:kern w:val="24"/>
                <w:sz w:val="20"/>
                <w:szCs w:val="20"/>
                <w:lang w:eastAsia="en-GB"/>
              </w:rPr>
              <w:t xml:space="preserve">Peak vGRF </w:t>
            </w:r>
          </w:p>
        </w:tc>
        <w:tc>
          <w:tcPr>
            <w:tcW w:w="1200" w:type="dxa"/>
            <w:tcBorders>
              <w:top w:val="nil"/>
              <w:left w:val="nil"/>
              <w:bottom w:val="nil"/>
              <w:right w:val="nil"/>
            </w:tcBorders>
            <w:shd w:val="clear" w:color="auto" w:fill="auto"/>
            <w:tcMar>
              <w:top w:w="15" w:type="dxa"/>
              <w:left w:w="108" w:type="dxa"/>
              <w:bottom w:w="0" w:type="dxa"/>
              <w:right w:w="108" w:type="dxa"/>
            </w:tcMar>
            <w:vAlign w:val="center"/>
            <w:hideMark/>
          </w:tcPr>
          <w:p w14:paraId="235053FC"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-0.42</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5BB2A19E"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-0.29</w:t>
            </w:r>
          </w:p>
        </w:tc>
        <w:tc>
          <w:tcPr>
            <w:tcW w:w="1196" w:type="dxa"/>
            <w:tcBorders>
              <w:top w:val="nil"/>
              <w:left w:val="nil"/>
              <w:bottom w:val="nil"/>
              <w:right w:val="nil"/>
            </w:tcBorders>
            <w:shd w:val="clear" w:color="auto" w:fill="auto"/>
            <w:tcMar>
              <w:top w:w="15" w:type="dxa"/>
              <w:left w:w="108" w:type="dxa"/>
              <w:bottom w:w="0" w:type="dxa"/>
              <w:right w:w="108" w:type="dxa"/>
            </w:tcMar>
            <w:vAlign w:val="center"/>
            <w:hideMark/>
          </w:tcPr>
          <w:p w14:paraId="6EEF17A4"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0.36</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656AE856"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0.10</w:t>
            </w:r>
          </w:p>
        </w:tc>
        <w:tc>
          <w:tcPr>
            <w:tcW w:w="1199" w:type="dxa"/>
            <w:tcBorders>
              <w:top w:val="nil"/>
              <w:left w:val="nil"/>
              <w:bottom w:val="nil"/>
              <w:right w:val="nil"/>
            </w:tcBorders>
            <w:shd w:val="clear" w:color="auto" w:fill="auto"/>
            <w:tcMar>
              <w:top w:w="15" w:type="dxa"/>
              <w:left w:w="108" w:type="dxa"/>
              <w:bottom w:w="0" w:type="dxa"/>
              <w:right w:w="108" w:type="dxa"/>
            </w:tcMar>
            <w:vAlign w:val="center"/>
            <w:hideMark/>
          </w:tcPr>
          <w:p w14:paraId="51600B86"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0.54</w:t>
            </w:r>
          </w:p>
        </w:tc>
        <w:tc>
          <w:tcPr>
            <w:tcW w:w="1196" w:type="dxa"/>
            <w:tcBorders>
              <w:top w:val="nil"/>
              <w:left w:val="nil"/>
              <w:bottom w:val="nil"/>
              <w:right w:val="nil"/>
            </w:tcBorders>
            <w:shd w:val="clear" w:color="auto" w:fill="auto"/>
            <w:tcMar>
              <w:top w:w="15" w:type="dxa"/>
              <w:left w:w="108" w:type="dxa"/>
              <w:bottom w:w="0" w:type="dxa"/>
              <w:right w:w="108" w:type="dxa"/>
            </w:tcMar>
            <w:vAlign w:val="center"/>
            <w:hideMark/>
          </w:tcPr>
          <w:p w14:paraId="6CA6FD2D" w14:textId="0F295A71" w:rsidR="00926C70" w:rsidRPr="003476E6" w:rsidRDefault="00926C70" w:rsidP="00BB04B0">
            <w:pPr>
              <w:spacing w:after="120" w:line="360" w:lineRule="auto"/>
              <w:jc w:val="center"/>
              <w:rPr>
                <w:rFonts w:cs="Arial"/>
                <w:b/>
                <w:bCs/>
                <w:sz w:val="36"/>
                <w:szCs w:val="36"/>
                <w:lang w:eastAsia="en-GB"/>
              </w:rPr>
            </w:pPr>
            <w:r w:rsidRPr="003476E6">
              <w:rPr>
                <w:rFonts w:cs="Arial"/>
                <w:b/>
                <w:bCs/>
                <w:color w:val="000000"/>
                <w:kern w:val="24"/>
                <w:sz w:val="20"/>
                <w:szCs w:val="20"/>
                <w:lang w:eastAsia="en-GB"/>
              </w:rPr>
              <w:t>0.89</w:t>
            </w:r>
          </w:p>
        </w:tc>
      </w:tr>
      <w:tr w:rsidR="00926C70" w:rsidRPr="003476E6" w14:paraId="10EF2173" w14:textId="77777777" w:rsidTr="00BB04B0">
        <w:trPr>
          <w:trHeight w:val="397"/>
        </w:trPr>
        <w:tc>
          <w:tcPr>
            <w:tcW w:w="9080" w:type="dxa"/>
            <w:gridSpan w:val="7"/>
            <w:tcBorders>
              <w:top w:val="nil"/>
              <w:left w:val="nil"/>
              <w:bottom w:val="nil"/>
              <w:right w:val="nil"/>
            </w:tcBorders>
            <w:shd w:val="clear" w:color="auto" w:fill="auto"/>
            <w:tcMar>
              <w:top w:w="15" w:type="dxa"/>
              <w:left w:w="108" w:type="dxa"/>
              <w:bottom w:w="0" w:type="dxa"/>
              <w:right w:w="108" w:type="dxa"/>
            </w:tcMar>
            <w:vAlign w:val="center"/>
            <w:hideMark/>
          </w:tcPr>
          <w:p w14:paraId="38F7AE86" w14:textId="77777777" w:rsidR="00926C70" w:rsidRPr="003476E6" w:rsidRDefault="00926C70" w:rsidP="00BB04B0">
            <w:pPr>
              <w:spacing w:after="120" w:line="360" w:lineRule="auto"/>
              <w:rPr>
                <w:rFonts w:cs="Arial"/>
                <w:sz w:val="36"/>
                <w:szCs w:val="36"/>
                <w:lang w:eastAsia="en-GB"/>
              </w:rPr>
            </w:pPr>
            <w:r w:rsidRPr="003476E6">
              <w:rPr>
                <w:rFonts w:cs="Arial"/>
                <w:b/>
                <w:bCs/>
                <w:i/>
                <w:iCs/>
                <w:color w:val="000000"/>
                <w:kern w:val="24"/>
                <w:sz w:val="20"/>
                <w:szCs w:val="20"/>
                <w:lang w:eastAsia="en-GB"/>
              </w:rPr>
              <w:t>Propulsive Phase Kinetic parameters</w:t>
            </w:r>
          </w:p>
        </w:tc>
      </w:tr>
      <w:tr w:rsidR="00926C70" w:rsidRPr="003476E6" w14:paraId="419D265C" w14:textId="77777777" w:rsidTr="00BB04B0">
        <w:trPr>
          <w:trHeight w:val="397"/>
        </w:trPr>
        <w:tc>
          <w:tcPr>
            <w:tcW w:w="1891"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40E2F94A" w14:textId="77777777" w:rsidR="00926C70" w:rsidRPr="003476E6" w:rsidRDefault="00926C70" w:rsidP="00BB04B0">
            <w:pPr>
              <w:spacing w:after="120" w:line="360" w:lineRule="auto"/>
              <w:rPr>
                <w:rFonts w:cs="Arial"/>
                <w:sz w:val="36"/>
                <w:szCs w:val="36"/>
                <w:lang w:eastAsia="en-GB"/>
              </w:rPr>
            </w:pPr>
            <w:r w:rsidRPr="003476E6">
              <w:rPr>
                <w:rFonts w:cs="Arial"/>
                <w:color w:val="000000"/>
                <w:kern w:val="24"/>
                <w:sz w:val="20"/>
                <w:szCs w:val="20"/>
                <w:lang w:eastAsia="en-GB"/>
              </w:rPr>
              <w:t xml:space="preserve">Peak vGRF </w:t>
            </w:r>
          </w:p>
        </w:tc>
        <w:tc>
          <w:tcPr>
            <w:tcW w:w="1200"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5E8274C8"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-0.22</w:t>
            </w:r>
          </w:p>
        </w:tc>
        <w:tc>
          <w:tcPr>
            <w:tcW w:w="1199"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4DC701E2"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-0.01</w:t>
            </w:r>
          </w:p>
        </w:tc>
        <w:tc>
          <w:tcPr>
            <w:tcW w:w="1196"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66A02426"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0.59</w:t>
            </w:r>
          </w:p>
        </w:tc>
        <w:tc>
          <w:tcPr>
            <w:tcW w:w="1199"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2897B8F9" w14:textId="77777777"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0.35</w:t>
            </w:r>
          </w:p>
        </w:tc>
        <w:tc>
          <w:tcPr>
            <w:tcW w:w="1199"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5F9FE2E6" w14:textId="3A78E40B" w:rsidR="00926C70" w:rsidRPr="003476E6" w:rsidRDefault="00926C70" w:rsidP="00BB04B0">
            <w:pPr>
              <w:spacing w:after="120" w:line="360" w:lineRule="auto"/>
              <w:jc w:val="center"/>
              <w:rPr>
                <w:rFonts w:cs="Arial"/>
                <w:sz w:val="36"/>
                <w:szCs w:val="36"/>
                <w:lang w:eastAsia="en-GB"/>
              </w:rPr>
            </w:pPr>
            <w:r w:rsidRPr="003476E6">
              <w:rPr>
                <w:rFonts w:cs="Arial"/>
                <w:color w:val="000000"/>
                <w:kern w:val="24"/>
                <w:sz w:val="20"/>
                <w:szCs w:val="20"/>
                <w:lang w:eastAsia="en-GB"/>
              </w:rPr>
              <w:t>0.74</w:t>
            </w:r>
          </w:p>
        </w:tc>
        <w:tc>
          <w:tcPr>
            <w:tcW w:w="1196"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3D08579" w14:textId="5A0BBB9D" w:rsidR="00926C70" w:rsidRPr="003476E6" w:rsidRDefault="00926C70" w:rsidP="00BB04B0">
            <w:pPr>
              <w:spacing w:after="120" w:line="360" w:lineRule="auto"/>
              <w:jc w:val="center"/>
              <w:rPr>
                <w:rFonts w:cs="Arial"/>
                <w:b/>
                <w:bCs/>
                <w:sz w:val="36"/>
                <w:szCs w:val="36"/>
                <w:lang w:eastAsia="en-GB"/>
              </w:rPr>
            </w:pPr>
            <w:r w:rsidRPr="003476E6">
              <w:rPr>
                <w:rFonts w:cs="Arial"/>
                <w:b/>
                <w:bCs/>
                <w:color w:val="000000"/>
                <w:kern w:val="24"/>
                <w:sz w:val="20"/>
                <w:szCs w:val="20"/>
                <w:lang w:eastAsia="en-GB"/>
              </w:rPr>
              <w:t>0.92</w:t>
            </w:r>
          </w:p>
        </w:tc>
      </w:tr>
      <w:tr w:rsidR="00926C70" w:rsidRPr="003476E6" w14:paraId="49224323" w14:textId="77777777" w:rsidTr="00BB04B0">
        <w:tc>
          <w:tcPr>
            <w:tcW w:w="9080" w:type="dxa"/>
            <w:gridSpan w:val="7"/>
            <w:tcBorders>
              <w:top w:val="single" w:sz="8" w:space="0" w:color="000000"/>
              <w:left w:val="nil"/>
              <w:bottom w:val="nil"/>
              <w:right w:val="nil"/>
            </w:tcBorders>
            <w:shd w:val="clear" w:color="auto" w:fill="auto"/>
            <w:tcMar>
              <w:top w:w="15" w:type="dxa"/>
              <w:left w:w="108" w:type="dxa"/>
              <w:bottom w:w="0" w:type="dxa"/>
              <w:right w:w="108" w:type="dxa"/>
            </w:tcMar>
            <w:hideMark/>
          </w:tcPr>
          <w:p w14:paraId="44D56220" w14:textId="77777777" w:rsidR="00926C70" w:rsidRPr="003476E6" w:rsidRDefault="00926C70" w:rsidP="00BB04B0">
            <w:pPr>
              <w:spacing w:after="120" w:line="360" w:lineRule="auto"/>
              <w:rPr>
                <w:rFonts w:cs="Arial"/>
                <w:sz w:val="36"/>
                <w:szCs w:val="36"/>
                <w:lang w:eastAsia="en-GB"/>
              </w:rPr>
            </w:pPr>
            <w:r w:rsidRPr="003476E6">
              <w:rPr>
                <w:rFonts w:cs="Arial"/>
                <w:i/>
                <w:iCs/>
                <w:color w:val="000000"/>
                <w:kern w:val="24"/>
                <w:sz w:val="20"/>
                <w:szCs w:val="20"/>
                <w:lang w:eastAsia="en-GB"/>
              </w:rPr>
              <w:t xml:space="preserve">BAI, bilateral asymmetry index; MVT, maximal voluntary torque; RTD, rate of torque development; KE, knee-extensor; vGRF, vertical ground reaction force. </w:t>
            </w:r>
          </w:p>
        </w:tc>
      </w:tr>
    </w:tbl>
    <w:p w14:paraId="1088E058" w14:textId="77777777" w:rsidR="000E1191" w:rsidRPr="003476E6" w:rsidRDefault="000E1191">
      <w:pPr>
        <w:spacing w:after="160" w:line="259" w:lineRule="auto"/>
      </w:pPr>
    </w:p>
    <w:p w14:paraId="67A8C034" w14:textId="10F5862A" w:rsidR="00926C70" w:rsidRPr="003476E6" w:rsidRDefault="00926C70">
      <w:pPr>
        <w:spacing w:after="160" w:line="259" w:lineRule="auto"/>
        <w:rPr>
          <w:rFonts w:eastAsiaTheme="majorEastAsia" w:cstheme="majorBidi"/>
          <w:b/>
          <w:color w:val="000000" w:themeColor="text1"/>
          <w:szCs w:val="32"/>
        </w:rPr>
      </w:pPr>
      <w:r w:rsidRPr="003476E6">
        <w:br w:type="page"/>
      </w:r>
    </w:p>
    <w:p w14:paraId="644B64FA" w14:textId="4687D216" w:rsidR="00926C70" w:rsidRPr="003476E6" w:rsidRDefault="00CA1106" w:rsidP="00926C70">
      <w:r w:rsidRPr="00CA1106">
        <w:rPr>
          <w:noProof/>
        </w:rPr>
        <w:lastRenderedPageBreak/>
        <w:drawing>
          <wp:inline distT="0" distB="0" distL="0" distR="0" wp14:anchorId="63936B55" wp14:editId="298997D0">
            <wp:extent cx="5731212" cy="659071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261" b="11129"/>
                    <a:stretch/>
                  </pic:blipFill>
                  <pic:spPr bwMode="auto">
                    <a:xfrm>
                      <a:off x="0" y="0"/>
                      <a:ext cx="5731510" cy="6591057"/>
                    </a:xfrm>
                    <a:prstGeom prst="rect">
                      <a:avLst/>
                    </a:prstGeom>
                    <a:ln>
                      <a:noFill/>
                    </a:ln>
                    <a:extLst>
                      <a:ext uri="{53640926-AAD7-44D8-BBD7-CCE9431645EC}">
                        <a14:shadowObscured xmlns:a14="http://schemas.microsoft.com/office/drawing/2010/main"/>
                      </a:ext>
                    </a:extLst>
                  </pic:spPr>
                </pic:pic>
              </a:graphicData>
            </a:graphic>
          </wp:inline>
        </w:drawing>
      </w:r>
    </w:p>
    <w:p w14:paraId="0C22FB14" w14:textId="409E5C5E" w:rsidR="00926C70" w:rsidRPr="003476E6" w:rsidRDefault="00926C70" w:rsidP="00926C70">
      <w:pPr>
        <w:spacing w:after="240" w:line="480" w:lineRule="auto"/>
        <w:jc w:val="both"/>
        <w:rPr>
          <w:rFonts w:cs="Arial"/>
          <w:iCs/>
          <w:sz w:val="22"/>
        </w:rPr>
      </w:pPr>
      <w:bookmarkStart w:id="40" w:name="_Hlk42004786"/>
      <w:r w:rsidRPr="003476E6">
        <w:rPr>
          <w:rFonts w:cs="Arial"/>
          <w:b/>
          <w:bCs/>
          <w:iCs/>
          <w:sz w:val="22"/>
        </w:rPr>
        <w:t>Figure 1.</w:t>
      </w:r>
      <w:r w:rsidRPr="003476E6">
        <w:rPr>
          <w:rFonts w:cs="Arial"/>
          <w:iCs/>
          <w:sz w:val="22"/>
        </w:rPr>
        <w:t xml:space="preserve"> The relationships between walking speed and asymmetry in both maximal voluntary torque (BAI MVT) and rate of torque development (BAI RTD) of the knee-extensors, in </w:t>
      </w:r>
      <w:r w:rsidR="00320AA9" w:rsidRPr="003476E6">
        <w:rPr>
          <w:rFonts w:cs="Arial"/>
          <w:iCs/>
          <w:sz w:val="22"/>
        </w:rPr>
        <w:t>ITTAs</w:t>
      </w:r>
      <w:r w:rsidRPr="003476E6">
        <w:rPr>
          <w:rFonts w:cs="Arial"/>
          <w:iCs/>
          <w:sz w:val="22"/>
        </w:rPr>
        <w:t>. Walking speed was assessed during both self-selected habitual (A and C) and fast (B and D) speeds. The difference in walking speed between habitual and fast walking (</w:t>
      </w:r>
      <w:r w:rsidRPr="003476E6">
        <w:rPr>
          <w:rFonts w:cs="Arial"/>
          <w:iCs/>
          <w:sz w:val="22"/>
          <w:lang w:val="el-GR"/>
        </w:rPr>
        <w:t>Δ</w:t>
      </w:r>
      <w:r w:rsidRPr="003476E6">
        <w:rPr>
          <w:rFonts w:cs="Arial"/>
          <w:iCs/>
          <w:sz w:val="22"/>
        </w:rPr>
        <w:t>Speed; E and F) was also evaluated.</w:t>
      </w:r>
      <w:r w:rsidR="00D76358" w:rsidRPr="003476E6">
        <w:rPr>
          <w:rFonts w:cs="Arial"/>
          <w:iCs/>
          <w:sz w:val="22"/>
        </w:rPr>
        <w:t xml:space="preserve"> </w:t>
      </w:r>
      <w:r w:rsidR="00D76358" w:rsidRPr="003476E6">
        <w:rPr>
          <w:rFonts w:cs="Arial"/>
          <w:color w:val="000000"/>
          <w:kern w:val="24"/>
          <w:sz w:val="22"/>
          <w:szCs w:val="22"/>
          <w:lang w:eastAsia="en-GB"/>
        </w:rPr>
        <w:t xml:space="preserve">Significant correlations after </w:t>
      </w:r>
      <w:proofErr w:type="spellStart"/>
      <w:r w:rsidR="00D76358" w:rsidRPr="003476E6">
        <w:rPr>
          <w:rFonts w:cs="Arial"/>
          <w:color w:val="000000"/>
          <w:kern w:val="24"/>
          <w:sz w:val="22"/>
          <w:szCs w:val="22"/>
          <w:lang w:eastAsia="en-GB"/>
        </w:rPr>
        <w:t>Benjamini</w:t>
      </w:r>
      <w:proofErr w:type="spellEnd"/>
      <w:r w:rsidR="00D76358" w:rsidRPr="003476E6">
        <w:rPr>
          <w:rFonts w:cs="Arial"/>
          <w:color w:val="000000"/>
          <w:kern w:val="24"/>
          <w:sz w:val="22"/>
          <w:szCs w:val="22"/>
          <w:lang w:eastAsia="en-GB"/>
        </w:rPr>
        <w:t xml:space="preserve">-Hochberg correction are in </w:t>
      </w:r>
      <w:r w:rsidR="00D76358" w:rsidRPr="003476E6">
        <w:rPr>
          <w:rFonts w:cs="Arial"/>
          <w:b/>
          <w:bCs/>
          <w:color w:val="000000"/>
          <w:kern w:val="24"/>
          <w:sz w:val="22"/>
          <w:szCs w:val="22"/>
          <w:lang w:eastAsia="en-GB"/>
        </w:rPr>
        <w:t>bold</w:t>
      </w:r>
      <w:r w:rsidR="00D76358" w:rsidRPr="003476E6">
        <w:rPr>
          <w:rFonts w:cs="Arial"/>
          <w:color w:val="000000"/>
          <w:kern w:val="24"/>
          <w:sz w:val="22"/>
          <w:szCs w:val="22"/>
          <w:lang w:eastAsia="en-GB"/>
        </w:rPr>
        <w:t>.</w:t>
      </w:r>
    </w:p>
    <w:bookmarkEnd w:id="40"/>
    <w:p w14:paraId="59E6F3C7" w14:textId="1C64150A" w:rsidR="00926C70" w:rsidRPr="003476E6" w:rsidRDefault="00CA1106">
      <w:pPr>
        <w:spacing w:after="160" w:line="259" w:lineRule="auto"/>
        <w:rPr>
          <w:rFonts w:eastAsiaTheme="majorEastAsia" w:cstheme="majorBidi"/>
          <w:b/>
          <w:color w:val="000000" w:themeColor="text1"/>
          <w:szCs w:val="32"/>
        </w:rPr>
      </w:pPr>
      <w:r w:rsidRPr="00CA1106">
        <w:t xml:space="preserve"> </w:t>
      </w:r>
      <w:r w:rsidR="00926C70" w:rsidRPr="003476E6">
        <w:br w:type="page"/>
      </w:r>
    </w:p>
    <w:p w14:paraId="173B80DE" w14:textId="13485B65" w:rsidR="0086271F" w:rsidRPr="003476E6" w:rsidRDefault="006540DE" w:rsidP="0086271F">
      <w:pPr>
        <w:pStyle w:val="Heading1"/>
      </w:pPr>
      <w:r w:rsidRPr="003476E6">
        <w:lastRenderedPageBreak/>
        <w:t>Author Contributions</w:t>
      </w:r>
    </w:p>
    <w:p w14:paraId="4358D467" w14:textId="315B50E7" w:rsidR="006540DE" w:rsidRPr="00305C02" w:rsidRDefault="006540DE" w:rsidP="006540DE">
      <w:pPr>
        <w:spacing w:after="240" w:line="480" w:lineRule="auto"/>
        <w:jc w:val="both"/>
        <w:rPr>
          <w:rFonts w:cs="Arial"/>
          <w:spacing w:val="2"/>
          <w:sz w:val="22"/>
          <w:shd w:val="clear" w:color="auto" w:fill="FCFCFC"/>
        </w:rPr>
      </w:pPr>
      <w:r w:rsidRPr="003476E6">
        <w:rPr>
          <w:rFonts w:cs="Arial"/>
          <w:sz w:val="22"/>
          <w:lang w:eastAsia="en-GB"/>
        </w:rPr>
        <w:t>A.S., N.T</w:t>
      </w:r>
      <w:r w:rsidR="00EF1398" w:rsidRPr="003476E6">
        <w:rPr>
          <w:rFonts w:cs="Arial"/>
          <w:sz w:val="22"/>
          <w:lang w:eastAsia="en-GB"/>
        </w:rPr>
        <w:t>., S.S. and S.M. conceived and d</w:t>
      </w:r>
      <w:r w:rsidRPr="003476E6">
        <w:rPr>
          <w:rFonts w:cs="Arial"/>
          <w:sz w:val="22"/>
          <w:lang w:eastAsia="en-GB"/>
        </w:rPr>
        <w:t xml:space="preserve">esigned the research; A.S and S.M. performed experiments; A.S. analysed data; A.S. and N.T. interpreted results of experiments; A.S. and N.T. drafted manuscript; A.S., N.T., S.S. and S.M. edited and revised manuscript; all </w:t>
      </w:r>
      <w:r w:rsidRPr="003476E6">
        <w:rPr>
          <w:rFonts w:cs="Arial"/>
          <w:sz w:val="22"/>
        </w:rPr>
        <w:t>authors approved final version of the manuscript.</w:t>
      </w:r>
      <w:r w:rsidRPr="003476E6">
        <w:rPr>
          <w:rFonts w:cs="Arial"/>
          <w:spacing w:val="2"/>
          <w:sz w:val="22"/>
          <w:shd w:val="clear" w:color="auto" w:fill="FCFCFC"/>
        </w:rPr>
        <w:t xml:space="preserve"> Data collection was performed in the biomechanics laboratory at the University of Roehampton, </w:t>
      </w:r>
      <w:proofErr w:type="spellStart"/>
      <w:r w:rsidRPr="003476E6">
        <w:rPr>
          <w:rFonts w:cs="Arial"/>
          <w:spacing w:val="2"/>
          <w:sz w:val="22"/>
          <w:shd w:val="clear" w:color="auto" w:fill="FCFCFC"/>
        </w:rPr>
        <w:t>Whitelands</w:t>
      </w:r>
      <w:proofErr w:type="spellEnd"/>
      <w:r w:rsidRPr="003476E6">
        <w:rPr>
          <w:rFonts w:cs="Arial"/>
          <w:spacing w:val="2"/>
          <w:sz w:val="22"/>
          <w:shd w:val="clear" w:color="auto" w:fill="FCFCFC"/>
        </w:rPr>
        <w:t xml:space="preserve"> College.</w:t>
      </w:r>
    </w:p>
    <w:sectPr w:rsidR="006540DE" w:rsidRPr="00305C02" w:rsidSect="00AD7D6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94CF5" w14:textId="77777777" w:rsidR="00191A08" w:rsidRDefault="00191A08">
      <w:r>
        <w:separator/>
      </w:r>
    </w:p>
  </w:endnote>
  <w:endnote w:type="continuationSeparator" w:id="0">
    <w:p w14:paraId="6C0441DD" w14:textId="77777777" w:rsidR="00191A08" w:rsidRDefault="00191A08">
      <w:r>
        <w:continuationSeparator/>
      </w:r>
    </w:p>
  </w:endnote>
  <w:endnote w:type="continuationNotice" w:id="1">
    <w:p w14:paraId="45DC39D4" w14:textId="77777777" w:rsidR="00191A08" w:rsidRDefault="00191A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llerText Roman">
    <w:altName w:val="Cambria"/>
    <w:charset w:val="00"/>
    <w:family w:val="roman"/>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97AEF" w14:textId="77777777" w:rsidR="00191A08" w:rsidRDefault="00191A08">
      <w:r>
        <w:separator/>
      </w:r>
    </w:p>
  </w:footnote>
  <w:footnote w:type="continuationSeparator" w:id="0">
    <w:p w14:paraId="5A729B5D" w14:textId="77777777" w:rsidR="00191A08" w:rsidRDefault="00191A08">
      <w:r>
        <w:continuationSeparator/>
      </w:r>
    </w:p>
  </w:footnote>
  <w:footnote w:type="continuationNotice" w:id="1">
    <w:p w14:paraId="3705F6EC" w14:textId="77777777" w:rsidR="00191A08" w:rsidRDefault="00191A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504762"/>
      <w:docPartObj>
        <w:docPartGallery w:val="Page Numbers (Top of Page)"/>
        <w:docPartUnique/>
      </w:docPartObj>
    </w:sdtPr>
    <w:sdtEndPr>
      <w:rPr>
        <w:noProof/>
      </w:rPr>
    </w:sdtEndPr>
    <w:sdtContent>
      <w:p w14:paraId="39171D3C" w14:textId="362E4328" w:rsidR="00422590" w:rsidRDefault="0042259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660910" w14:textId="77777777" w:rsidR="00422590" w:rsidRDefault="00422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6C83"/>
    <w:multiLevelType w:val="hybridMultilevel"/>
    <w:tmpl w:val="7A48BD04"/>
    <w:lvl w:ilvl="0" w:tplc="3C4A527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5520B"/>
    <w:multiLevelType w:val="multilevel"/>
    <w:tmpl w:val="55CA7AB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3E0DA3"/>
    <w:multiLevelType w:val="multilevel"/>
    <w:tmpl w:val="B20AA358"/>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C025FB"/>
    <w:multiLevelType w:val="multilevel"/>
    <w:tmpl w:val="2A6A7FB6"/>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342C20"/>
    <w:multiLevelType w:val="hybridMultilevel"/>
    <w:tmpl w:val="1F66D1F8"/>
    <w:lvl w:ilvl="0" w:tplc="3D044E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35226"/>
    <w:multiLevelType w:val="multilevel"/>
    <w:tmpl w:val="28C6BCD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FC32FD"/>
    <w:multiLevelType w:val="multilevel"/>
    <w:tmpl w:val="9A309CBC"/>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B674190"/>
    <w:multiLevelType w:val="hybridMultilevel"/>
    <w:tmpl w:val="C81EBFA6"/>
    <w:lvl w:ilvl="0" w:tplc="A0405B1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C972A8"/>
    <w:multiLevelType w:val="hybridMultilevel"/>
    <w:tmpl w:val="B854270C"/>
    <w:lvl w:ilvl="0" w:tplc="08090001">
      <w:start w:val="1"/>
      <w:numFmt w:val="bullet"/>
      <w:lvlText w:val=""/>
      <w:lvlJc w:val="left"/>
      <w:pPr>
        <w:ind w:left="3525" w:hanging="360"/>
      </w:pPr>
      <w:rPr>
        <w:rFonts w:ascii="Symbol" w:hAnsi="Symbol" w:hint="default"/>
      </w:rPr>
    </w:lvl>
    <w:lvl w:ilvl="1" w:tplc="08090003" w:tentative="1">
      <w:start w:val="1"/>
      <w:numFmt w:val="bullet"/>
      <w:lvlText w:val="o"/>
      <w:lvlJc w:val="left"/>
      <w:pPr>
        <w:ind w:left="4245" w:hanging="360"/>
      </w:pPr>
      <w:rPr>
        <w:rFonts w:ascii="Courier New" w:hAnsi="Courier New" w:cs="Courier New" w:hint="default"/>
      </w:rPr>
    </w:lvl>
    <w:lvl w:ilvl="2" w:tplc="08090005" w:tentative="1">
      <w:start w:val="1"/>
      <w:numFmt w:val="bullet"/>
      <w:lvlText w:val=""/>
      <w:lvlJc w:val="left"/>
      <w:pPr>
        <w:ind w:left="4965" w:hanging="360"/>
      </w:pPr>
      <w:rPr>
        <w:rFonts w:ascii="Wingdings" w:hAnsi="Wingdings" w:hint="default"/>
      </w:rPr>
    </w:lvl>
    <w:lvl w:ilvl="3" w:tplc="08090001" w:tentative="1">
      <w:start w:val="1"/>
      <w:numFmt w:val="bullet"/>
      <w:lvlText w:val=""/>
      <w:lvlJc w:val="left"/>
      <w:pPr>
        <w:ind w:left="5685" w:hanging="360"/>
      </w:pPr>
      <w:rPr>
        <w:rFonts w:ascii="Symbol" w:hAnsi="Symbol" w:hint="default"/>
      </w:rPr>
    </w:lvl>
    <w:lvl w:ilvl="4" w:tplc="08090003" w:tentative="1">
      <w:start w:val="1"/>
      <w:numFmt w:val="bullet"/>
      <w:lvlText w:val="o"/>
      <w:lvlJc w:val="left"/>
      <w:pPr>
        <w:ind w:left="6405" w:hanging="360"/>
      </w:pPr>
      <w:rPr>
        <w:rFonts w:ascii="Courier New" w:hAnsi="Courier New" w:cs="Courier New" w:hint="default"/>
      </w:rPr>
    </w:lvl>
    <w:lvl w:ilvl="5" w:tplc="08090005" w:tentative="1">
      <w:start w:val="1"/>
      <w:numFmt w:val="bullet"/>
      <w:lvlText w:val=""/>
      <w:lvlJc w:val="left"/>
      <w:pPr>
        <w:ind w:left="7125" w:hanging="360"/>
      </w:pPr>
      <w:rPr>
        <w:rFonts w:ascii="Wingdings" w:hAnsi="Wingdings" w:hint="default"/>
      </w:rPr>
    </w:lvl>
    <w:lvl w:ilvl="6" w:tplc="08090001" w:tentative="1">
      <w:start w:val="1"/>
      <w:numFmt w:val="bullet"/>
      <w:lvlText w:val=""/>
      <w:lvlJc w:val="left"/>
      <w:pPr>
        <w:ind w:left="7845" w:hanging="360"/>
      </w:pPr>
      <w:rPr>
        <w:rFonts w:ascii="Symbol" w:hAnsi="Symbol" w:hint="default"/>
      </w:rPr>
    </w:lvl>
    <w:lvl w:ilvl="7" w:tplc="08090003" w:tentative="1">
      <w:start w:val="1"/>
      <w:numFmt w:val="bullet"/>
      <w:lvlText w:val="o"/>
      <w:lvlJc w:val="left"/>
      <w:pPr>
        <w:ind w:left="8565" w:hanging="360"/>
      </w:pPr>
      <w:rPr>
        <w:rFonts w:ascii="Courier New" w:hAnsi="Courier New" w:cs="Courier New" w:hint="default"/>
      </w:rPr>
    </w:lvl>
    <w:lvl w:ilvl="8" w:tplc="08090005" w:tentative="1">
      <w:start w:val="1"/>
      <w:numFmt w:val="bullet"/>
      <w:lvlText w:val=""/>
      <w:lvlJc w:val="left"/>
      <w:pPr>
        <w:ind w:left="9285" w:hanging="360"/>
      </w:pPr>
      <w:rPr>
        <w:rFonts w:ascii="Wingdings" w:hAnsi="Wingdings" w:hint="default"/>
      </w:rPr>
    </w:lvl>
  </w:abstractNum>
  <w:abstractNum w:abstractNumId="9" w15:restartNumberingAfterBreak="0">
    <w:nsid w:val="2D14166E"/>
    <w:multiLevelType w:val="hybridMultilevel"/>
    <w:tmpl w:val="3900FF14"/>
    <w:lvl w:ilvl="0" w:tplc="4A922D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CF4025"/>
    <w:multiLevelType w:val="hybridMultilevel"/>
    <w:tmpl w:val="F9EA2FAA"/>
    <w:lvl w:ilvl="0" w:tplc="7028349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E10147"/>
    <w:multiLevelType w:val="hybridMultilevel"/>
    <w:tmpl w:val="AE06D240"/>
    <w:lvl w:ilvl="0" w:tplc="799CEBA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7B75D3"/>
    <w:multiLevelType w:val="multilevel"/>
    <w:tmpl w:val="C58C39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CF4286A"/>
    <w:multiLevelType w:val="hybridMultilevel"/>
    <w:tmpl w:val="123A9056"/>
    <w:lvl w:ilvl="0" w:tplc="268E5FDC">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C12FCA"/>
    <w:multiLevelType w:val="hybridMultilevel"/>
    <w:tmpl w:val="41303CD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4D8F2298"/>
    <w:multiLevelType w:val="hybridMultilevel"/>
    <w:tmpl w:val="92E87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8D0106"/>
    <w:multiLevelType w:val="hybridMultilevel"/>
    <w:tmpl w:val="48E034D2"/>
    <w:lvl w:ilvl="0" w:tplc="A2DE92B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32E629A"/>
    <w:multiLevelType w:val="multilevel"/>
    <w:tmpl w:val="E244D9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5CA69E6"/>
    <w:multiLevelType w:val="hybridMultilevel"/>
    <w:tmpl w:val="3BDAAAE6"/>
    <w:lvl w:ilvl="0" w:tplc="30E87A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D723EA"/>
    <w:multiLevelType w:val="hybridMultilevel"/>
    <w:tmpl w:val="130AC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29573E"/>
    <w:multiLevelType w:val="multilevel"/>
    <w:tmpl w:val="75747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F62DE5"/>
    <w:multiLevelType w:val="multilevel"/>
    <w:tmpl w:val="AC8A9BE4"/>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4501DC3"/>
    <w:multiLevelType w:val="multilevel"/>
    <w:tmpl w:val="12CEA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5F7222"/>
    <w:multiLevelType w:val="multilevel"/>
    <w:tmpl w:val="B1B8772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B5E36B7"/>
    <w:multiLevelType w:val="hybridMultilevel"/>
    <w:tmpl w:val="E7A2CABE"/>
    <w:lvl w:ilvl="0" w:tplc="9F76FF1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E06EF7"/>
    <w:multiLevelType w:val="hybridMultilevel"/>
    <w:tmpl w:val="08EA5216"/>
    <w:lvl w:ilvl="0" w:tplc="391A2948">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D61C40"/>
    <w:multiLevelType w:val="multilevel"/>
    <w:tmpl w:val="FA5091D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B083598"/>
    <w:multiLevelType w:val="multilevel"/>
    <w:tmpl w:val="872AFB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C522C4D"/>
    <w:multiLevelType w:val="hybridMultilevel"/>
    <w:tmpl w:val="2ECCA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
  </w:num>
  <w:num w:numId="3">
    <w:abstractNumId w:val="5"/>
  </w:num>
  <w:num w:numId="4">
    <w:abstractNumId w:val="25"/>
  </w:num>
  <w:num w:numId="5">
    <w:abstractNumId w:val="12"/>
  </w:num>
  <w:num w:numId="6">
    <w:abstractNumId w:val="16"/>
  </w:num>
  <w:num w:numId="7">
    <w:abstractNumId w:val="27"/>
  </w:num>
  <w:num w:numId="8">
    <w:abstractNumId w:val="23"/>
  </w:num>
  <w:num w:numId="9">
    <w:abstractNumId w:val="4"/>
  </w:num>
  <w:num w:numId="10">
    <w:abstractNumId w:val="3"/>
  </w:num>
  <w:num w:numId="11">
    <w:abstractNumId w:val="6"/>
  </w:num>
  <w:num w:numId="12">
    <w:abstractNumId w:val="21"/>
  </w:num>
  <w:num w:numId="13">
    <w:abstractNumId w:val="26"/>
  </w:num>
  <w:num w:numId="14">
    <w:abstractNumId w:val="2"/>
  </w:num>
  <w:num w:numId="15">
    <w:abstractNumId w:val="15"/>
  </w:num>
  <w:num w:numId="16">
    <w:abstractNumId w:val="13"/>
  </w:num>
  <w:num w:numId="17">
    <w:abstractNumId w:val="9"/>
  </w:num>
  <w:num w:numId="18">
    <w:abstractNumId w:val="28"/>
  </w:num>
  <w:num w:numId="19">
    <w:abstractNumId w:val="14"/>
  </w:num>
  <w:num w:numId="20">
    <w:abstractNumId w:val="8"/>
  </w:num>
  <w:num w:numId="21">
    <w:abstractNumId w:val="18"/>
  </w:num>
  <w:num w:numId="22">
    <w:abstractNumId w:val="11"/>
  </w:num>
  <w:num w:numId="23">
    <w:abstractNumId w:val="24"/>
  </w:num>
  <w:num w:numId="24">
    <w:abstractNumId w:val="7"/>
  </w:num>
  <w:num w:numId="25">
    <w:abstractNumId w:val="10"/>
  </w:num>
  <w:num w:numId="26">
    <w:abstractNumId w:val="0"/>
  </w:num>
  <w:num w:numId="27">
    <w:abstractNumId w:val="19"/>
  </w:num>
  <w:num w:numId="28">
    <w:abstractNumId w:val="2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04279"/>
    <w:rsid w:val="00000CDD"/>
    <w:rsid w:val="00001C69"/>
    <w:rsid w:val="00004373"/>
    <w:rsid w:val="00012345"/>
    <w:rsid w:val="00013BAD"/>
    <w:rsid w:val="000145E2"/>
    <w:rsid w:val="00014EAC"/>
    <w:rsid w:val="0001601C"/>
    <w:rsid w:val="0002197F"/>
    <w:rsid w:val="00021C38"/>
    <w:rsid w:val="00022719"/>
    <w:rsid w:val="00025766"/>
    <w:rsid w:val="00026A41"/>
    <w:rsid w:val="00030182"/>
    <w:rsid w:val="00030F79"/>
    <w:rsid w:val="00032CF7"/>
    <w:rsid w:val="00032EB6"/>
    <w:rsid w:val="00040121"/>
    <w:rsid w:val="00041A71"/>
    <w:rsid w:val="00041D2B"/>
    <w:rsid w:val="000421B5"/>
    <w:rsid w:val="0005036A"/>
    <w:rsid w:val="00050AA8"/>
    <w:rsid w:val="00051516"/>
    <w:rsid w:val="000523A3"/>
    <w:rsid w:val="00053098"/>
    <w:rsid w:val="00054EEB"/>
    <w:rsid w:val="00055F96"/>
    <w:rsid w:val="00056A8F"/>
    <w:rsid w:val="000635BE"/>
    <w:rsid w:val="00071806"/>
    <w:rsid w:val="00072F13"/>
    <w:rsid w:val="00075922"/>
    <w:rsid w:val="00080127"/>
    <w:rsid w:val="0008022D"/>
    <w:rsid w:val="00081EAB"/>
    <w:rsid w:val="000832D5"/>
    <w:rsid w:val="00084CE4"/>
    <w:rsid w:val="00084F11"/>
    <w:rsid w:val="0008678E"/>
    <w:rsid w:val="00092E78"/>
    <w:rsid w:val="0009303D"/>
    <w:rsid w:val="00093BDA"/>
    <w:rsid w:val="00093CE9"/>
    <w:rsid w:val="00094F06"/>
    <w:rsid w:val="00095077"/>
    <w:rsid w:val="0009536F"/>
    <w:rsid w:val="000A016E"/>
    <w:rsid w:val="000A129D"/>
    <w:rsid w:val="000A1FDC"/>
    <w:rsid w:val="000A54A2"/>
    <w:rsid w:val="000A7640"/>
    <w:rsid w:val="000B1D9F"/>
    <w:rsid w:val="000B4FBE"/>
    <w:rsid w:val="000B5C45"/>
    <w:rsid w:val="000B63B8"/>
    <w:rsid w:val="000C45FC"/>
    <w:rsid w:val="000C71F8"/>
    <w:rsid w:val="000D3223"/>
    <w:rsid w:val="000D652A"/>
    <w:rsid w:val="000D6B23"/>
    <w:rsid w:val="000D7051"/>
    <w:rsid w:val="000E1108"/>
    <w:rsid w:val="000E1191"/>
    <w:rsid w:val="000E2681"/>
    <w:rsid w:val="000E3719"/>
    <w:rsid w:val="000E78B5"/>
    <w:rsid w:val="000E7A16"/>
    <w:rsid w:val="000F055D"/>
    <w:rsid w:val="000F06EE"/>
    <w:rsid w:val="000F376F"/>
    <w:rsid w:val="000F5D83"/>
    <w:rsid w:val="000F6278"/>
    <w:rsid w:val="001000AC"/>
    <w:rsid w:val="00102112"/>
    <w:rsid w:val="00102859"/>
    <w:rsid w:val="001034E9"/>
    <w:rsid w:val="00104279"/>
    <w:rsid w:val="00105D90"/>
    <w:rsid w:val="00111938"/>
    <w:rsid w:val="0011252C"/>
    <w:rsid w:val="00114C4C"/>
    <w:rsid w:val="00114CC8"/>
    <w:rsid w:val="001157E3"/>
    <w:rsid w:val="00123B83"/>
    <w:rsid w:val="00123C07"/>
    <w:rsid w:val="00123D5B"/>
    <w:rsid w:val="00125C2E"/>
    <w:rsid w:val="00131273"/>
    <w:rsid w:val="00131BB2"/>
    <w:rsid w:val="00132B5E"/>
    <w:rsid w:val="001334C6"/>
    <w:rsid w:val="00133E1C"/>
    <w:rsid w:val="001354F4"/>
    <w:rsid w:val="00135582"/>
    <w:rsid w:val="00136735"/>
    <w:rsid w:val="00137DEB"/>
    <w:rsid w:val="001408B0"/>
    <w:rsid w:val="00141515"/>
    <w:rsid w:val="0014178F"/>
    <w:rsid w:val="00141FEF"/>
    <w:rsid w:val="00144457"/>
    <w:rsid w:val="00144D6F"/>
    <w:rsid w:val="0014614E"/>
    <w:rsid w:val="001500B2"/>
    <w:rsid w:val="00153222"/>
    <w:rsid w:val="001557FB"/>
    <w:rsid w:val="00155D23"/>
    <w:rsid w:val="001573A9"/>
    <w:rsid w:val="001574B1"/>
    <w:rsid w:val="00157F5E"/>
    <w:rsid w:val="00162BFE"/>
    <w:rsid w:val="00164169"/>
    <w:rsid w:val="00164B70"/>
    <w:rsid w:val="001662FB"/>
    <w:rsid w:val="00170151"/>
    <w:rsid w:val="0017601B"/>
    <w:rsid w:val="0017614F"/>
    <w:rsid w:val="00177A3C"/>
    <w:rsid w:val="00183380"/>
    <w:rsid w:val="001855AA"/>
    <w:rsid w:val="0019166D"/>
    <w:rsid w:val="00191A08"/>
    <w:rsid w:val="001929A5"/>
    <w:rsid w:val="0019302B"/>
    <w:rsid w:val="001952CA"/>
    <w:rsid w:val="00195584"/>
    <w:rsid w:val="00195E45"/>
    <w:rsid w:val="001A0070"/>
    <w:rsid w:val="001A3AA2"/>
    <w:rsid w:val="001A46C2"/>
    <w:rsid w:val="001A6449"/>
    <w:rsid w:val="001A6799"/>
    <w:rsid w:val="001A6FC4"/>
    <w:rsid w:val="001B0355"/>
    <w:rsid w:val="001C228F"/>
    <w:rsid w:val="001C2A1D"/>
    <w:rsid w:val="001C3F6A"/>
    <w:rsid w:val="001D13F1"/>
    <w:rsid w:val="001D14A2"/>
    <w:rsid w:val="001D3762"/>
    <w:rsid w:val="001E0A0D"/>
    <w:rsid w:val="001E2075"/>
    <w:rsid w:val="001E253C"/>
    <w:rsid w:val="001E535B"/>
    <w:rsid w:val="001F0145"/>
    <w:rsid w:val="001F23CE"/>
    <w:rsid w:val="001F43E4"/>
    <w:rsid w:val="00200BEE"/>
    <w:rsid w:val="00205305"/>
    <w:rsid w:val="00205E2B"/>
    <w:rsid w:val="00206B3C"/>
    <w:rsid w:val="00211C25"/>
    <w:rsid w:val="00212B96"/>
    <w:rsid w:val="00214BB8"/>
    <w:rsid w:val="0021556B"/>
    <w:rsid w:val="002223A8"/>
    <w:rsid w:val="002225B2"/>
    <w:rsid w:val="0022410C"/>
    <w:rsid w:val="00225107"/>
    <w:rsid w:val="0022793A"/>
    <w:rsid w:val="00230B15"/>
    <w:rsid w:val="00230CE1"/>
    <w:rsid w:val="002318B6"/>
    <w:rsid w:val="002325DD"/>
    <w:rsid w:val="0023268E"/>
    <w:rsid w:val="0023360E"/>
    <w:rsid w:val="00234193"/>
    <w:rsid w:val="00237F99"/>
    <w:rsid w:val="00242031"/>
    <w:rsid w:val="00242ACC"/>
    <w:rsid w:val="00243F99"/>
    <w:rsid w:val="00254146"/>
    <w:rsid w:val="0025444B"/>
    <w:rsid w:val="00255A1F"/>
    <w:rsid w:val="002655A4"/>
    <w:rsid w:val="00265A9C"/>
    <w:rsid w:val="0027069E"/>
    <w:rsid w:val="00271C13"/>
    <w:rsid w:val="002737D3"/>
    <w:rsid w:val="00274925"/>
    <w:rsid w:val="002759D8"/>
    <w:rsid w:val="00277164"/>
    <w:rsid w:val="00277C83"/>
    <w:rsid w:val="00290D47"/>
    <w:rsid w:val="002918C7"/>
    <w:rsid w:val="0029259F"/>
    <w:rsid w:val="0029454F"/>
    <w:rsid w:val="00295EFA"/>
    <w:rsid w:val="002A554C"/>
    <w:rsid w:val="002B1C53"/>
    <w:rsid w:val="002B732E"/>
    <w:rsid w:val="002B7F07"/>
    <w:rsid w:val="002C0605"/>
    <w:rsid w:val="002C10E5"/>
    <w:rsid w:val="002C325D"/>
    <w:rsid w:val="002C4468"/>
    <w:rsid w:val="002C7583"/>
    <w:rsid w:val="002D0044"/>
    <w:rsid w:val="002D312D"/>
    <w:rsid w:val="002E2575"/>
    <w:rsid w:val="002E7A71"/>
    <w:rsid w:val="002E7C38"/>
    <w:rsid w:val="002F31CE"/>
    <w:rsid w:val="002F3896"/>
    <w:rsid w:val="002F5C31"/>
    <w:rsid w:val="00300CE9"/>
    <w:rsid w:val="00304A8A"/>
    <w:rsid w:val="00305C02"/>
    <w:rsid w:val="00310E1F"/>
    <w:rsid w:val="00312A9D"/>
    <w:rsid w:val="003134FF"/>
    <w:rsid w:val="00313D5D"/>
    <w:rsid w:val="00314594"/>
    <w:rsid w:val="003150F9"/>
    <w:rsid w:val="00315E36"/>
    <w:rsid w:val="00316F42"/>
    <w:rsid w:val="00320AA9"/>
    <w:rsid w:val="003214E5"/>
    <w:rsid w:val="003241AA"/>
    <w:rsid w:val="003271FB"/>
    <w:rsid w:val="0032733E"/>
    <w:rsid w:val="00327B52"/>
    <w:rsid w:val="00331087"/>
    <w:rsid w:val="003320D6"/>
    <w:rsid w:val="00343703"/>
    <w:rsid w:val="003476E6"/>
    <w:rsid w:val="0034792A"/>
    <w:rsid w:val="00361A49"/>
    <w:rsid w:val="0036238C"/>
    <w:rsid w:val="0036468A"/>
    <w:rsid w:val="00364CEF"/>
    <w:rsid w:val="003672A1"/>
    <w:rsid w:val="00372711"/>
    <w:rsid w:val="00372C49"/>
    <w:rsid w:val="003735A8"/>
    <w:rsid w:val="00373C28"/>
    <w:rsid w:val="003830F4"/>
    <w:rsid w:val="00384431"/>
    <w:rsid w:val="00384AB5"/>
    <w:rsid w:val="00387FA1"/>
    <w:rsid w:val="00390F1B"/>
    <w:rsid w:val="00391FCB"/>
    <w:rsid w:val="0039306B"/>
    <w:rsid w:val="003945FF"/>
    <w:rsid w:val="003953A9"/>
    <w:rsid w:val="00395515"/>
    <w:rsid w:val="00396A83"/>
    <w:rsid w:val="00396B31"/>
    <w:rsid w:val="003A098B"/>
    <w:rsid w:val="003A0A27"/>
    <w:rsid w:val="003A2716"/>
    <w:rsid w:val="003A3648"/>
    <w:rsid w:val="003A573D"/>
    <w:rsid w:val="003A5FCD"/>
    <w:rsid w:val="003A6340"/>
    <w:rsid w:val="003B0C17"/>
    <w:rsid w:val="003B148B"/>
    <w:rsid w:val="003B3740"/>
    <w:rsid w:val="003B510C"/>
    <w:rsid w:val="003B732B"/>
    <w:rsid w:val="003C0739"/>
    <w:rsid w:val="003C2883"/>
    <w:rsid w:val="003C399B"/>
    <w:rsid w:val="003C522B"/>
    <w:rsid w:val="003C5959"/>
    <w:rsid w:val="003D0441"/>
    <w:rsid w:val="003D05A6"/>
    <w:rsid w:val="003D199B"/>
    <w:rsid w:val="003D2D2A"/>
    <w:rsid w:val="003D52DD"/>
    <w:rsid w:val="003E0CB6"/>
    <w:rsid w:val="003E0EEF"/>
    <w:rsid w:val="003E1BC7"/>
    <w:rsid w:val="003E208C"/>
    <w:rsid w:val="003E48DC"/>
    <w:rsid w:val="003E56FC"/>
    <w:rsid w:val="003E57F9"/>
    <w:rsid w:val="003E6B1F"/>
    <w:rsid w:val="003E6B5A"/>
    <w:rsid w:val="003E746F"/>
    <w:rsid w:val="003E7538"/>
    <w:rsid w:val="003E7EF0"/>
    <w:rsid w:val="003F1949"/>
    <w:rsid w:val="003F1F76"/>
    <w:rsid w:val="003F222D"/>
    <w:rsid w:val="003F3BFA"/>
    <w:rsid w:val="0040132E"/>
    <w:rsid w:val="00401774"/>
    <w:rsid w:val="00402300"/>
    <w:rsid w:val="00402CBA"/>
    <w:rsid w:val="00404EEC"/>
    <w:rsid w:val="00407139"/>
    <w:rsid w:val="0040789F"/>
    <w:rsid w:val="00410E4A"/>
    <w:rsid w:val="00411E02"/>
    <w:rsid w:val="0041269F"/>
    <w:rsid w:val="00416156"/>
    <w:rsid w:val="00416644"/>
    <w:rsid w:val="00421483"/>
    <w:rsid w:val="00421623"/>
    <w:rsid w:val="00422590"/>
    <w:rsid w:val="00424A02"/>
    <w:rsid w:val="00426574"/>
    <w:rsid w:val="004279A2"/>
    <w:rsid w:val="004324F7"/>
    <w:rsid w:val="004333D6"/>
    <w:rsid w:val="00435942"/>
    <w:rsid w:val="00436003"/>
    <w:rsid w:val="00436A1B"/>
    <w:rsid w:val="00436F6F"/>
    <w:rsid w:val="0043776F"/>
    <w:rsid w:val="00441780"/>
    <w:rsid w:val="00442BDB"/>
    <w:rsid w:val="00445EC8"/>
    <w:rsid w:val="00447024"/>
    <w:rsid w:val="00447C5D"/>
    <w:rsid w:val="004506A8"/>
    <w:rsid w:val="00456B20"/>
    <w:rsid w:val="00460906"/>
    <w:rsid w:val="00460DB3"/>
    <w:rsid w:val="00461414"/>
    <w:rsid w:val="00461722"/>
    <w:rsid w:val="00463512"/>
    <w:rsid w:val="004638EA"/>
    <w:rsid w:val="004644F8"/>
    <w:rsid w:val="00465F37"/>
    <w:rsid w:val="00470793"/>
    <w:rsid w:val="00471578"/>
    <w:rsid w:val="004727AF"/>
    <w:rsid w:val="0047364D"/>
    <w:rsid w:val="004810C9"/>
    <w:rsid w:val="00481228"/>
    <w:rsid w:val="0048533C"/>
    <w:rsid w:val="00486CB8"/>
    <w:rsid w:val="00490650"/>
    <w:rsid w:val="00491421"/>
    <w:rsid w:val="0049437F"/>
    <w:rsid w:val="00497C1D"/>
    <w:rsid w:val="004A2170"/>
    <w:rsid w:val="004A5018"/>
    <w:rsid w:val="004B1626"/>
    <w:rsid w:val="004B1732"/>
    <w:rsid w:val="004B58D2"/>
    <w:rsid w:val="004B6368"/>
    <w:rsid w:val="004B7288"/>
    <w:rsid w:val="004C405C"/>
    <w:rsid w:val="004C525A"/>
    <w:rsid w:val="004C6720"/>
    <w:rsid w:val="004C6A6F"/>
    <w:rsid w:val="004C7017"/>
    <w:rsid w:val="004C7573"/>
    <w:rsid w:val="004D38AF"/>
    <w:rsid w:val="004D4E17"/>
    <w:rsid w:val="004D551C"/>
    <w:rsid w:val="004D5C65"/>
    <w:rsid w:val="004D6F83"/>
    <w:rsid w:val="004E012C"/>
    <w:rsid w:val="004E0493"/>
    <w:rsid w:val="004E3870"/>
    <w:rsid w:val="004E4041"/>
    <w:rsid w:val="004E5612"/>
    <w:rsid w:val="004E63ED"/>
    <w:rsid w:val="004E69EE"/>
    <w:rsid w:val="004E7FB9"/>
    <w:rsid w:val="004F0D2E"/>
    <w:rsid w:val="004F361D"/>
    <w:rsid w:val="00500790"/>
    <w:rsid w:val="00500A5C"/>
    <w:rsid w:val="0050111D"/>
    <w:rsid w:val="00501326"/>
    <w:rsid w:val="00502037"/>
    <w:rsid w:val="00502E67"/>
    <w:rsid w:val="00502FEC"/>
    <w:rsid w:val="00503BC7"/>
    <w:rsid w:val="005069BF"/>
    <w:rsid w:val="005126DE"/>
    <w:rsid w:val="00513C88"/>
    <w:rsid w:val="005147FF"/>
    <w:rsid w:val="00520214"/>
    <w:rsid w:val="005209D2"/>
    <w:rsid w:val="00524BB9"/>
    <w:rsid w:val="005252A6"/>
    <w:rsid w:val="00525FA5"/>
    <w:rsid w:val="00527328"/>
    <w:rsid w:val="00530B7A"/>
    <w:rsid w:val="00535026"/>
    <w:rsid w:val="00535087"/>
    <w:rsid w:val="00536A18"/>
    <w:rsid w:val="00537C75"/>
    <w:rsid w:val="00542FB1"/>
    <w:rsid w:val="00543804"/>
    <w:rsid w:val="00546C44"/>
    <w:rsid w:val="00550C6D"/>
    <w:rsid w:val="00551012"/>
    <w:rsid w:val="005514C5"/>
    <w:rsid w:val="005520BE"/>
    <w:rsid w:val="00552BBC"/>
    <w:rsid w:val="005542EA"/>
    <w:rsid w:val="005567E4"/>
    <w:rsid w:val="00560838"/>
    <w:rsid w:val="00560DC3"/>
    <w:rsid w:val="00563D46"/>
    <w:rsid w:val="00567017"/>
    <w:rsid w:val="0057061A"/>
    <w:rsid w:val="00574E23"/>
    <w:rsid w:val="00577AB7"/>
    <w:rsid w:val="0058042F"/>
    <w:rsid w:val="005826CC"/>
    <w:rsid w:val="00582B40"/>
    <w:rsid w:val="005833E9"/>
    <w:rsid w:val="00584C99"/>
    <w:rsid w:val="00586F46"/>
    <w:rsid w:val="00590AFA"/>
    <w:rsid w:val="00592532"/>
    <w:rsid w:val="00592F9E"/>
    <w:rsid w:val="005B0B49"/>
    <w:rsid w:val="005B16E0"/>
    <w:rsid w:val="005B1801"/>
    <w:rsid w:val="005B5F4E"/>
    <w:rsid w:val="005B7A8E"/>
    <w:rsid w:val="005C016F"/>
    <w:rsid w:val="005C1DB1"/>
    <w:rsid w:val="005C5C22"/>
    <w:rsid w:val="005D019C"/>
    <w:rsid w:val="005D30E3"/>
    <w:rsid w:val="005D4D10"/>
    <w:rsid w:val="005D4E6E"/>
    <w:rsid w:val="005D5611"/>
    <w:rsid w:val="005D7E85"/>
    <w:rsid w:val="005E060A"/>
    <w:rsid w:val="005E1086"/>
    <w:rsid w:val="005F003E"/>
    <w:rsid w:val="005F184D"/>
    <w:rsid w:val="005F686E"/>
    <w:rsid w:val="00600AA5"/>
    <w:rsid w:val="00600FD9"/>
    <w:rsid w:val="00602B6C"/>
    <w:rsid w:val="00602C1E"/>
    <w:rsid w:val="00602CE4"/>
    <w:rsid w:val="00603D9A"/>
    <w:rsid w:val="00606494"/>
    <w:rsid w:val="00606D0E"/>
    <w:rsid w:val="00606E82"/>
    <w:rsid w:val="00612878"/>
    <w:rsid w:val="00614844"/>
    <w:rsid w:val="00614F59"/>
    <w:rsid w:val="00615554"/>
    <w:rsid w:val="00620A7A"/>
    <w:rsid w:val="00623510"/>
    <w:rsid w:val="0062358B"/>
    <w:rsid w:val="00624E31"/>
    <w:rsid w:val="0062561E"/>
    <w:rsid w:val="00626C09"/>
    <w:rsid w:val="00631869"/>
    <w:rsid w:val="00631C58"/>
    <w:rsid w:val="00632A09"/>
    <w:rsid w:val="0063474D"/>
    <w:rsid w:val="00634823"/>
    <w:rsid w:val="0063604F"/>
    <w:rsid w:val="00636F8B"/>
    <w:rsid w:val="006404D9"/>
    <w:rsid w:val="00644666"/>
    <w:rsid w:val="00651555"/>
    <w:rsid w:val="00652737"/>
    <w:rsid w:val="006540DE"/>
    <w:rsid w:val="00654EBF"/>
    <w:rsid w:val="006612C6"/>
    <w:rsid w:val="00663496"/>
    <w:rsid w:val="006642C4"/>
    <w:rsid w:val="006663F2"/>
    <w:rsid w:val="0067100B"/>
    <w:rsid w:val="0067144A"/>
    <w:rsid w:val="0067288D"/>
    <w:rsid w:val="00673338"/>
    <w:rsid w:val="00673DA7"/>
    <w:rsid w:val="00682C4C"/>
    <w:rsid w:val="006845E1"/>
    <w:rsid w:val="006869E2"/>
    <w:rsid w:val="00691E2A"/>
    <w:rsid w:val="00693A4F"/>
    <w:rsid w:val="006979BC"/>
    <w:rsid w:val="00697FD7"/>
    <w:rsid w:val="006A45F6"/>
    <w:rsid w:val="006A5AD1"/>
    <w:rsid w:val="006A6BDC"/>
    <w:rsid w:val="006B4136"/>
    <w:rsid w:val="006B42F2"/>
    <w:rsid w:val="006B452B"/>
    <w:rsid w:val="006D06AB"/>
    <w:rsid w:val="006E0CAC"/>
    <w:rsid w:val="006E1B36"/>
    <w:rsid w:val="006E2B21"/>
    <w:rsid w:val="006E5F46"/>
    <w:rsid w:val="006E7AC9"/>
    <w:rsid w:val="006F0A7B"/>
    <w:rsid w:val="006F253D"/>
    <w:rsid w:val="006F3570"/>
    <w:rsid w:val="006F3A20"/>
    <w:rsid w:val="006F4410"/>
    <w:rsid w:val="006F4664"/>
    <w:rsid w:val="006F5D4B"/>
    <w:rsid w:val="007006F1"/>
    <w:rsid w:val="00702C59"/>
    <w:rsid w:val="00703A78"/>
    <w:rsid w:val="00704A74"/>
    <w:rsid w:val="00706D4A"/>
    <w:rsid w:val="00707C42"/>
    <w:rsid w:val="00710A16"/>
    <w:rsid w:val="007119CB"/>
    <w:rsid w:val="007164B6"/>
    <w:rsid w:val="0072222A"/>
    <w:rsid w:val="00724F62"/>
    <w:rsid w:val="00732D81"/>
    <w:rsid w:val="00733CF3"/>
    <w:rsid w:val="00735705"/>
    <w:rsid w:val="00737981"/>
    <w:rsid w:val="00741D34"/>
    <w:rsid w:val="00743A26"/>
    <w:rsid w:val="007460E4"/>
    <w:rsid w:val="00750F65"/>
    <w:rsid w:val="007518B8"/>
    <w:rsid w:val="007518F2"/>
    <w:rsid w:val="00753FD4"/>
    <w:rsid w:val="00756353"/>
    <w:rsid w:val="00760379"/>
    <w:rsid w:val="007626E1"/>
    <w:rsid w:val="00765461"/>
    <w:rsid w:val="00765625"/>
    <w:rsid w:val="007664EB"/>
    <w:rsid w:val="007700A3"/>
    <w:rsid w:val="00773DD4"/>
    <w:rsid w:val="00775E45"/>
    <w:rsid w:val="00777947"/>
    <w:rsid w:val="00781A79"/>
    <w:rsid w:val="007833E2"/>
    <w:rsid w:val="00783AE0"/>
    <w:rsid w:val="00785417"/>
    <w:rsid w:val="00786262"/>
    <w:rsid w:val="007869C3"/>
    <w:rsid w:val="00792E3A"/>
    <w:rsid w:val="007966B5"/>
    <w:rsid w:val="00797302"/>
    <w:rsid w:val="007A03CA"/>
    <w:rsid w:val="007A4ACB"/>
    <w:rsid w:val="007A4C16"/>
    <w:rsid w:val="007A62EB"/>
    <w:rsid w:val="007A6B4A"/>
    <w:rsid w:val="007A7D10"/>
    <w:rsid w:val="007B185C"/>
    <w:rsid w:val="007B1B94"/>
    <w:rsid w:val="007B426E"/>
    <w:rsid w:val="007B56B7"/>
    <w:rsid w:val="007B797D"/>
    <w:rsid w:val="007C53D9"/>
    <w:rsid w:val="007C63F4"/>
    <w:rsid w:val="007C7321"/>
    <w:rsid w:val="007D4B35"/>
    <w:rsid w:val="007D4D5E"/>
    <w:rsid w:val="007E102E"/>
    <w:rsid w:val="007E5A49"/>
    <w:rsid w:val="007E6C50"/>
    <w:rsid w:val="007F2903"/>
    <w:rsid w:val="007F3D36"/>
    <w:rsid w:val="007F5115"/>
    <w:rsid w:val="007F6374"/>
    <w:rsid w:val="007F67BD"/>
    <w:rsid w:val="007F699A"/>
    <w:rsid w:val="007F713C"/>
    <w:rsid w:val="00800551"/>
    <w:rsid w:val="00801AB3"/>
    <w:rsid w:val="0080259D"/>
    <w:rsid w:val="008035A5"/>
    <w:rsid w:val="008037A1"/>
    <w:rsid w:val="00804CCA"/>
    <w:rsid w:val="008055FC"/>
    <w:rsid w:val="0080571E"/>
    <w:rsid w:val="00805FE9"/>
    <w:rsid w:val="00807C43"/>
    <w:rsid w:val="00810D57"/>
    <w:rsid w:val="00812D12"/>
    <w:rsid w:val="00812F13"/>
    <w:rsid w:val="008139E2"/>
    <w:rsid w:val="008175EF"/>
    <w:rsid w:val="00817A19"/>
    <w:rsid w:val="00823473"/>
    <w:rsid w:val="00827114"/>
    <w:rsid w:val="008276DA"/>
    <w:rsid w:val="00833454"/>
    <w:rsid w:val="00837188"/>
    <w:rsid w:val="00843844"/>
    <w:rsid w:val="00846CDD"/>
    <w:rsid w:val="00853BC1"/>
    <w:rsid w:val="00855DAB"/>
    <w:rsid w:val="00860AFF"/>
    <w:rsid w:val="008612E4"/>
    <w:rsid w:val="0086271F"/>
    <w:rsid w:val="008659A7"/>
    <w:rsid w:val="008660DC"/>
    <w:rsid w:val="008742CD"/>
    <w:rsid w:val="008743F3"/>
    <w:rsid w:val="008746D8"/>
    <w:rsid w:val="00875329"/>
    <w:rsid w:val="0087643E"/>
    <w:rsid w:val="0087719A"/>
    <w:rsid w:val="00877528"/>
    <w:rsid w:val="00882E52"/>
    <w:rsid w:val="00896614"/>
    <w:rsid w:val="008A3E89"/>
    <w:rsid w:val="008A59C1"/>
    <w:rsid w:val="008A72C7"/>
    <w:rsid w:val="008B11F8"/>
    <w:rsid w:val="008B15B3"/>
    <w:rsid w:val="008B2DD2"/>
    <w:rsid w:val="008B3364"/>
    <w:rsid w:val="008B4009"/>
    <w:rsid w:val="008B4551"/>
    <w:rsid w:val="008B4655"/>
    <w:rsid w:val="008C1343"/>
    <w:rsid w:val="008C4D8F"/>
    <w:rsid w:val="008C5D31"/>
    <w:rsid w:val="008D0D3C"/>
    <w:rsid w:val="008D191A"/>
    <w:rsid w:val="008D1BF9"/>
    <w:rsid w:val="008E01BC"/>
    <w:rsid w:val="008E31ED"/>
    <w:rsid w:val="008E69EB"/>
    <w:rsid w:val="008F0AA7"/>
    <w:rsid w:val="008F0CE1"/>
    <w:rsid w:val="008F25C4"/>
    <w:rsid w:val="009037E3"/>
    <w:rsid w:val="0090545E"/>
    <w:rsid w:val="0090685E"/>
    <w:rsid w:val="0091063F"/>
    <w:rsid w:val="00911905"/>
    <w:rsid w:val="00911F53"/>
    <w:rsid w:val="0091350E"/>
    <w:rsid w:val="0091491A"/>
    <w:rsid w:val="009160F8"/>
    <w:rsid w:val="009166EB"/>
    <w:rsid w:val="0091750D"/>
    <w:rsid w:val="009210CC"/>
    <w:rsid w:val="009222C2"/>
    <w:rsid w:val="00922BD7"/>
    <w:rsid w:val="00926C70"/>
    <w:rsid w:val="009301F8"/>
    <w:rsid w:val="009332A3"/>
    <w:rsid w:val="00934420"/>
    <w:rsid w:val="0093663E"/>
    <w:rsid w:val="00936BBB"/>
    <w:rsid w:val="00937575"/>
    <w:rsid w:val="009400E9"/>
    <w:rsid w:val="009408A1"/>
    <w:rsid w:val="00947E95"/>
    <w:rsid w:val="009503C0"/>
    <w:rsid w:val="00951708"/>
    <w:rsid w:val="00952E47"/>
    <w:rsid w:val="009534B6"/>
    <w:rsid w:val="00953893"/>
    <w:rsid w:val="00956068"/>
    <w:rsid w:val="0096025C"/>
    <w:rsid w:val="00960A03"/>
    <w:rsid w:val="00960BE4"/>
    <w:rsid w:val="00961A29"/>
    <w:rsid w:val="0096309B"/>
    <w:rsid w:val="00963C6A"/>
    <w:rsid w:val="00964B8E"/>
    <w:rsid w:val="009650EC"/>
    <w:rsid w:val="00965A86"/>
    <w:rsid w:val="00965BA9"/>
    <w:rsid w:val="00967379"/>
    <w:rsid w:val="00970031"/>
    <w:rsid w:val="00975355"/>
    <w:rsid w:val="00975C14"/>
    <w:rsid w:val="00981EA5"/>
    <w:rsid w:val="00982A05"/>
    <w:rsid w:val="0098582A"/>
    <w:rsid w:val="00986D3D"/>
    <w:rsid w:val="00990C18"/>
    <w:rsid w:val="00995275"/>
    <w:rsid w:val="00997E92"/>
    <w:rsid w:val="009A2280"/>
    <w:rsid w:val="009A3677"/>
    <w:rsid w:val="009A4785"/>
    <w:rsid w:val="009A4BBF"/>
    <w:rsid w:val="009A5447"/>
    <w:rsid w:val="009A657F"/>
    <w:rsid w:val="009A6E7A"/>
    <w:rsid w:val="009B113C"/>
    <w:rsid w:val="009B6210"/>
    <w:rsid w:val="009B6BE7"/>
    <w:rsid w:val="009B7373"/>
    <w:rsid w:val="009C2137"/>
    <w:rsid w:val="009C29F4"/>
    <w:rsid w:val="009C5AEB"/>
    <w:rsid w:val="009C5BBD"/>
    <w:rsid w:val="009C7036"/>
    <w:rsid w:val="009D203B"/>
    <w:rsid w:val="009D2113"/>
    <w:rsid w:val="009D3572"/>
    <w:rsid w:val="009D4154"/>
    <w:rsid w:val="009D468F"/>
    <w:rsid w:val="009E7AAC"/>
    <w:rsid w:val="009F364B"/>
    <w:rsid w:val="009F383E"/>
    <w:rsid w:val="009F5BED"/>
    <w:rsid w:val="009F680D"/>
    <w:rsid w:val="00A02FFE"/>
    <w:rsid w:val="00A04733"/>
    <w:rsid w:val="00A10609"/>
    <w:rsid w:val="00A12E52"/>
    <w:rsid w:val="00A13BB0"/>
    <w:rsid w:val="00A20E99"/>
    <w:rsid w:val="00A222B3"/>
    <w:rsid w:val="00A24A0D"/>
    <w:rsid w:val="00A26285"/>
    <w:rsid w:val="00A26539"/>
    <w:rsid w:val="00A265FB"/>
    <w:rsid w:val="00A2679D"/>
    <w:rsid w:val="00A26BCC"/>
    <w:rsid w:val="00A30ECD"/>
    <w:rsid w:val="00A3647D"/>
    <w:rsid w:val="00A3795D"/>
    <w:rsid w:val="00A4102C"/>
    <w:rsid w:val="00A419D5"/>
    <w:rsid w:val="00A434A5"/>
    <w:rsid w:val="00A4395B"/>
    <w:rsid w:val="00A44E38"/>
    <w:rsid w:val="00A4558F"/>
    <w:rsid w:val="00A460E8"/>
    <w:rsid w:val="00A47855"/>
    <w:rsid w:val="00A47B41"/>
    <w:rsid w:val="00A50017"/>
    <w:rsid w:val="00A55F70"/>
    <w:rsid w:val="00A57B20"/>
    <w:rsid w:val="00A60954"/>
    <w:rsid w:val="00A640A9"/>
    <w:rsid w:val="00A64AC2"/>
    <w:rsid w:val="00A65158"/>
    <w:rsid w:val="00A72BA7"/>
    <w:rsid w:val="00A74B83"/>
    <w:rsid w:val="00A769E8"/>
    <w:rsid w:val="00A80BD3"/>
    <w:rsid w:val="00A80CCE"/>
    <w:rsid w:val="00A84561"/>
    <w:rsid w:val="00A84E76"/>
    <w:rsid w:val="00A84FF3"/>
    <w:rsid w:val="00A906FC"/>
    <w:rsid w:val="00A90DF5"/>
    <w:rsid w:val="00A9153F"/>
    <w:rsid w:val="00A92841"/>
    <w:rsid w:val="00A929CF"/>
    <w:rsid w:val="00A94CA0"/>
    <w:rsid w:val="00A95DD5"/>
    <w:rsid w:val="00A96F86"/>
    <w:rsid w:val="00AA08BF"/>
    <w:rsid w:val="00AA33EF"/>
    <w:rsid w:val="00AA3A11"/>
    <w:rsid w:val="00AA4BBA"/>
    <w:rsid w:val="00AA55CD"/>
    <w:rsid w:val="00AA5BE9"/>
    <w:rsid w:val="00AA7F4C"/>
    <w:rsid w:val="00AB0FE3"/>
    <w:rsid w:val="00AB140B"/>
    <w:rsid w:val="00AB2131"/>
    <w:rsid w:val="00AB2215"/>
    <w:rsid w:val="00AB3691"/>
    <w:rsid w:val="00AB4776"/>
    <w:rsid w:val="00AB72B2"/>
    <w:rsid w:val="00AC3E91"/>
    <w:rsid w:val="00AC52E8"/>
    <w:rsid w:val="00AC5354"/>
    <w:rsid w:val="00AC5CF6"/>
    <w:rsid w:val="00AD1C59"/>
    <w:rsid w:val="00AD3D0C"/>
    <w:rsid w:val="00AD6C61"/>
    <w:rsid w:val="00AD7A3C"/>
    <w:rsid w:val="00AD7D69"/>
    <w:rsid w:val="00AE2BE9"/>
    <w:rsid w:val="00AF706E"/>
    <w:rsid w:val="00AF743A"/>
    <w:rsid w:val="00AF7EC0"/>
    <w:rsid w:val="00B01089"/>
    <w:rsid w:val="00B027F0"/>
    <w:rsid w:val="00B0616C"/>
    <w:rsid w:val="00B063C3"/>
    <w:rsid w:val="00B06934"/>
    <w:rsid w:val="00B10DF5"/>
    <w:rsid w:val="00B12CE7"/>
    <w:rsid w:val="00B20FA5"/>
    <w:rsid w:val="00B246FC"/>
    <w:rsid w:val="00B30840"/>
    <w:rsid w:val="00B30E57"/>
    <w:rsid w:val="00B3149B"/>
    <w:rsid w:val="00B31DA0"/>
    <w:rsid w:val="00B32B6C"/>
    <w:rsid w:val="00B3381E"/>
    <w:rsid w:val="00B33B12"/>
    <w:rsid w:val="00B352C1"/>
    <w:rsid w:val="00B369C9"/>
    <w:rsid w:val="00B36A6E"/>
    <w:rsid w:val="00B36C2F"/>
    <w:rsid w:val="00B37DA5"/>
    <w:rsid w:val="00B40A03"/>
    <w:rsid w:val="00B41652"/>
    <w:rsid w:val="00B41E36"/>
    <w:rsid w:val="00B434A7"/>
    <w:rsid w:val="00B459C4"/>
    <w:rsid w:val="00B4637D"/>
    <w:rsid w:val="00B47D3C"/>
    <w:rsid w:val="00B47F18"/>
    <w:rsid w:val="00B50D67"/>
    <w:rsid w:val="00B513E2"/>
    <w:rsid w:val="00B55BA4"/>
    <w:rsid w:val="00B55BB8"/>
    <w:rsid w:val="00B55CF3"/>
    <w:rsid w:val="00B57B5B"/>
    <w:rsid w:val="00B61532"/>
    <w:rsid w:val="00B61CC0"/>
    <w:rsid w:val="00B66BAC"/>
    <w:rsid w:val="00B70B9F"/>
    <w:rsid w:val="00B70C25"/>
    <w:rsid w:val="00B71FCA"/>
    <w:rsid w:val="00B7356B"/>
    <w:rsid w:val="00B73F5B"/>
    <w:rsid w:val="00B744DF"/>
    <w:rsid w:val="00B82DF6"/>
    <w:rsid w:val="00B85A41"/>
    <w:rsid w:val="00B86B82"/>
    <w:rsid w:val="00B871A8"/>
    <w:rsid w:val="00B872CD"/>
    <w:rsid w:val="00B90414"/>
    <w:rsid w:val="00B91E8D"/>
    <w:rsid w:val="00B93479"/>
    <w:rsid w:val="00B94D3B"/>
    <w:rsid w:val="00BA1ECA"/>
    <w:rsid w:val="00BA31F7"/>
    <w:rsid w:val="00BA4EDA"/>
    <w:rsid w:val="00BA4F82"/>
    <w:rsid w:val="00BB04B0"/>
    <w:rsid w:val="00BB22A9"/>
    <w:rsid w:val="00BB3A88"/>
    <w:rsid w:val="00BB4979"/>
    <w:rsid w:val="00BB601F"/>
    <w:rsid w:val="00BC1306"/>
    <w:rsid w:val="00BC3C19"/>
    <w:rsid w:val="00BC75A1"/>
    <w:rsid w:val="00BD1956"/>
    <w:rsid w:val="00BD1FCA"/>
    <w:rsid w:val="00BD677E"/>
    <w:rsid w:val="00BD6A51"/>
    <w:rsid w:val="00BE29F9"/>
    <w:rsid w:val="00BE4BB0"/>
    <w:rsid w:val="00BE4DB1"/>
    <w:rsid w:val="00BE58B2"/>
    <w:rsid w:val="00BE5CFF"/>
    <w:rsid w:val="00BE6475"/>
    <w:rsid w:val="00BE6492"/>
    <w:rsid w:val="00BE6BE9"/>
    <w:rsid w:val="00BF0FA3"/>
    <w:rsid w:val="00BF17C8"/>
    <w:rsid w:val="00BF28C1"/>
    <w:rsid w:val="00BF3E77"/>
    <w:rsid w:val="00C0439C"/>
    <w:rsid w:val="00C05DFC"/>
    <w:rsid w:val="00C06077"/>
    <w:rsid w:val="00C07B0C"/>
    <w:rsid w:val="00C106D7"/>
    <w:rsid w:val="00C10BD8"/>
    <w:rsid w:val="00C1253D"/>
    <w:rsid w:val="00C12B24"/>
    <w:rsid w:val="00C171A5"/>
    <w:rsid w:val="00C176FE"/>
    <w:rsid w:val="00C2368E"/>
    <w:rsid w:val="00C24EBF"/>
    <w:rsid w:val="00C27E80"/>
    <w:rsid w:val="00C30B10"/>
    <w:rsid w:val="00C31ED4"/>
    <w:rsid w:val="00C32BAF"/>
    <w:rsid w:val="00C32DD8"/>
    <w:rsid w:val="00C3445A"/>
    <w:rsid w:val="00C37E2D"/>
    <w:rsid w:val="00C403C6"/>
    <w:rsid w:val="00C42C88"/>
    <w:rsid w:val="00C43E51"/>
    <w:rsid w:val="00C44D96"/>
    <w:rsid w:val="00C451C7"/>
    <w:rsid w:val="00C46E6B"/>
    <w:rsid w:val="00C46EC7"/>
    <w:rsid w:val="00C47652"/>
    <w:rsid w:val="00C51C71"/>
    <w:rsid w:val="00C52937"/>
    <w:rsid w:val="00C626EC"/>
    <w:rsid w:val="00C644C8"/>
    <w:rsid w:val="00C810D8"/>
    <w:rsid w:val="00C8166A"/>
    <w:rsid w:val="00C850FC"/>
    <w:rsid w:val="00C85D2A"/>
    <w:rsid w:val="00C861A6"/>
    <w:rsid w:val="00C908EA"/>
    <w:rsid w:val="00C916A5"/>
    <w:rsid w:val="00CA1106"/>
    <w:rsid w:val="00CA3CDD"/>
    <w:rsid w:val="00CA4D1E"/>
    <w:rsid w:val="00CA6765"/>
    <w:rsid w:val="00CB0B33"/>
    <w:rsid w:val="00CB1750"/>
    <w:rsid w:val="00CB4895"/>
    <w:rsid w:val="00CB4A2E"/>
    <w:rsid w:val="00CC4BE1"/>
    <w:rsid w:val="00CC558D"/>
    <w:rsid w:val="00CD158E"/>
    <w:rsid w:val="00CD3241"/>
    <w:rsid w:val="00CD3369"/>
    <w:rsid w:val="00CD58E9"/>
    <w:rsid w:val="00CE005E"/>
    <w:rsid w:val="00CE0197"/>
    <w:rsid w:val="00CE06EC"/>
    <w:rsid w:val="00CE15EB"/>
    <w:rsid w:val="00CE5940"/>
    <w:rsid w:val="00CF14F4"/>
    <w:rsid w:val="00CF5693"/>
    <w:rsid w:val="00CF7C86"/>
    <w:rsid w:val="00D00BD9"/>
    <w:rsid w:val="00D066C5"/>
    <w:rsid w:val="00D07D75"/>
    <w:rsid w:val="00D206AF"/>
    <w:rsid w:val="00D24238"/>
    <w:rsid w:val="00D24311"/>
    <w:rsid w:val="00D24C01"/>
    <w:rsid w:val="00D305A9"/>
    <w:rsid w:val="00D318AD"/>
    <w:rsid w:val="00D36F32"/>
    <w:rsid w:val="00D37745"/>
    <w:rsid w:val="00D41129"/>
    <w:rsid w:val="00D41E49"/>
    <w:rsid w:val="00D4489D"/>
    <w:rsid w:val="00D45315"/>
    <w:rsid w:val="00D4550C"/>
    <w:rsid w:val="00D45848"/>
    <w:rsid w:val="00D506FA"/>
    <w:rsid w:val="00D50BBB"/>
    <w:rsid w:val="00D53AFE"/>
    <w:rsid w:val="00D549F1"/>
    <w:rsid w:val="00D56B46"/>
    <w:rsid w:val="00D71920"/>
    <w:rsid w:val="00D720AB"/>
    <w:rsid w:val="00D76358"/>
    <w:rsid w:val="00D857B7"/>
    <w:rsid w:val="00D92FDF"/>
    <w:rsid w:val="00D961AD"/>
    <w:rsid w:val="00D965E2"/>
    <w:rsid w:val="00DA006F"/>
    <w:rsid w:val="00DA0498"/>
    <w:rsid w:val="00DA05CC"/>
    <w:rsid w:val="00DA1BBB"/>
    <w:rsid w:val="00DA2942"/>
    <w:rsid w:val="00DA572F"/>
    <w:rsid w:val="00DA78D9"/>
    <w:rsid w:val="00DA7991"/>
    <w:rsid w:val="00DB156E"/>
    <w:rsid w:val="00DB2CD7"/>
    <w:rsid w:val="00DB3F70"/>
    <w:rsid w:val="00DB403B"/>
    <w:rsid w:val="00DB4898"/>
    <w:rsid w:val="00DB4F44"/>
    <w:rsid w:val="00DB5173"/>
    <w:rsid w:val="00DC5040"/>
    <w:rsid w:val="00DC7187"/>
    <w:rsid w:val="00DD585A"/>
    <w:rsid w:val="00DD7232"/>
    <w:rsid w:val="00DE0C55"/>
    <w:rsid w:val="00DE44AE"/>
    <w:rsid w:val="00DE5AEE"/>
    <w:rsid w:val="00DE7D1F"/>
    <w:rsid w:val="00DF044B"/>
    <w:rsid w:val="00DF2190"/>
    <w:rsid w:val="00DF3379"/>
    <w:rsid w:val="00DF3DFC"/>
    <w:rsid w:val="00DF600E"/>
    <w:rsid w:val="00DF76BD"/>
    <w:rsid w:val="00E00E98"/>
    <w:rsid w:val="00E02C48"/>
    <w:rsid w:val="00E02FEC"/>
    <w:rsid w:val="00E05D89"/>
    <w:rsid w:val="00E07577"/>
    <w:rsid w:val="00E109C2"/>
    <w:rsid w:val="00E10C0A"/>
    <w:rsid w:val="00E1332F"/>
    <w:rsid w:val="00E138C6"/>
    <w:rsid w:val="00E166A1"/>
    <w:rsid w:val="00E1672A"/>
    <w:rsid w:val="00E17A75"/>
    <w:rsid w:val="00E22F80"/>
    <w:rsid w:val="00E26024"/>
    <w:rsid w:val="00E279C2"/>
    <w:rsid w:val="00E27B7B"/>
    <w:rsid w:val="00E30265"/>
    <w:rsid w:val="00E30B88"/>
    <w:rsid w:val="00E31A1A"/>
    <w:rsid w:val="00E32D6D"/>
    <w:rsid w:val="00E401E4"/>
    <w:rsid w:val="00E4030E"/>
    <w:rsid w:val="00E4430F"/>
    <w:rsid w:val="00E45AC5"/>
    <w:rsid w:val="00E509C6"/>
    <w:rsid w:val="00E50BEF"/>
    <w:rsid w:val="00E55E8F"/>
    <w:rsid w:val="00E576D7"/>
    <w:rsid w:val="00E578D5"/>
    <w:rsid w:val="00E57BFB"/>
    <w:rsid w:val="00E666EC"/>
    <w:rsid w:val="00E67459"/>
    <w:rsid w:val="00E71C35"/>
    <w:rsid w:val="00E77261"/>
    <w:rsid w:val="00E77A35"/>
    <w:rsid w:val="00E81043"/>
    <w:rsid w:val="00E8104C"/>
    <w:rsid w:val="00E828DE"/>
    <w:rsid w:val="00E86725"/>
    <w:rsid w:val="00E931F1"/>
    <w:rsid w:val="00E94EED"/>
    <w:rsid w:val="00EA08E2"/>
    <w:rsid w:val="00EA1490"/>
    <w:rsid w:val="00EA38BA"/>
    <w:rsid w:val="00EA5293"/>
    <w:rsid w:val="00EB14CD"/>
    <w:rsid w:val="00EB1983"/>
    <w:rsid w:val="00EB44DF"/>
    <w:rsid w:val="00EB5054"/>
    <w:rsid w:val="00EB5CC2"/>
    <w:rsid w:val="00EB63F7"/>
    <w:rsid w:val="00EB6441"/>
    <w:rsid w:val="00EC00D6"/>
    <w:rsid w:val="00EC1B67"/>
    <w:rsid w:val="00EC4E25"/>
    <w:rsid w:val="00ED0C2D"/>
    <w:rsid w:val="00ED2168"/>
    <w:rsid w:val="00ED27E6"/>
    <w:rsid w:val="00ED6978"/>
    <w:rsid w:val="00EE48F4"/>
    <w:rsid w:val="00EE58EC"/>
    <w:rsid w:val="00EE6354"/>
    <w:rsid w:val="00EF05C4"/>
    <w:rsid w:val="00EF1398"/>
    <w:rsid w:val="00EF5CF1"/>
    <w:rsid w:val="00EF736B"/>
    <w:rsid w:val="00F0093A"/>
    <w:rsid w:val="00F00CFA"/>
    <w:rsid w:val="00F02AF0"/>
    <w:rsid w:val="00F03BFF"/>
    <w:rsid w:val="00F06ED9"/>
    <w:rsid w:val="00F0704F"/>
    <w:rsid w:val="00F13CF9"/>
    <w:rsid w:val="00F1484C"/>
    <w:rsid w:val="00F15B49"/>
    <w:rsid w:val="00F15BF1"/>
    <w:rsid w:val="00F16087"/>
    <w:rsid w:val="00F1681F"/>
    <w:rsid w:val="00F2405D"/>
    <w:rsid w:val="00F25723"/>
    <w:rsid w:val="00F26FB7"/>
    <w:rsid w:val="00F27063"/>
    <w:rsid w:val="00F2779D"/>
    <w:rsid w:val="00F300B5"/>
    <w:rsid w:val="00F30164"/>
    <w:rsid w:val="00F31693"/>
    <w:rsid w:val="00F316FF"/>
    <w:rsid w:val="00F31CAA"/>
    <w:rsid w:val="00F33B11"/>
    <w:rsid w:val="00F36351"/>
    <w:rsid w:val="00F367E2"/>
    <w:rsid w:val="00F406E3"/>
    <w:rsid w:val="00F4251F"/>
    <w:rsid w:val="00F44DBC"/>
    <w:rsid w:val="00F45D54"/>
    <w:rsid w:val="00F47E44"/>
    <w:rsid w:val="00F50399"/>
    <w:rsid w:val="00F523D4"/>
    <w:rsid w:val="00F57778"/>
    <w:rsid w:val="00F57EE9"/>
    <w:rsid w:val="00F6543B"/>
    <w:rsid w:val="00F65E12"/>
    <w:rsid w:val="00F70570"/>
    <w:rsid w:val="00F71D14"/>
    <w:rsid w:val="00F72FDA"/>
    <w:rsid w:val="00F76C44"/>
    <w:rsid w:val="00F812A6"/>
    <w:rsid w:val="00F81D10"/>
    <w:rsid w:val="00F8200F"/>
    <w:rsid w:val="00F847D3"/>
    <w:rsid w:val="00F85DBD"/>
    <w:rsid w:val="00F915C5"/>
    <w:rsid w:val="00F921D5"/>
    <w:rsid w:val="00F9265F"/>
    <w:rsid w:val="00F927F3"/>
    <w:rsid w:val="00F930BE"/>
    <w:rsid w:val="00F94077"/>
    <w:rsid w:val="00F94680"/>
    <w:rsid w:val="00F9744E"/>
    <w:rsid w:val="00FA01B5"/>
    <w:rsid w:val="00FA2D96"/>
    <w:rsid w:val="00FA6F19"/>
    <w:rsid w:val="00FB04F8"/>
    <w:rsid w:val="00FB5778"/>
    <w:rsid w:val="00FB58B3"/>
    <w:rsid w:val="00FB723C"/>
    <w:rsid w:val="00FC09D6"/>
    <w:rsid w:val="00FC47AE"/>
    <w:rsid w:val="00FC597D"/>
    <w:rsid w:val="00FC6208"/>
    <w:rsid w:val="00FC7762"/>
    <w:rsid w:val="00FD31E0"/>
    <w:rsid w:val="00FD3B61"/>
    <w:rsid w:val="00FD453D"/>
    <w:rsid w:val="00FD56BC"/>
    <w:rsid w:val="00FD6707"/>
    <w:rsid w:val="00FD67F3"/>
    <w:rsid w:val="00FD6B27"/>
    <w:rsid w:val="00FD6DCB"/>
    <w:rsid w:val="00FD7267"/>
    <w:rsid w:val="00FE119D"/>
    <w:rsid w:val="00FE2E22"/>
    <w:rsid w:val="00FE358D"/>
    <w:rsid w:val="00FE40E1"/>
    <w:rsid w:val="00FE7E4C"/>
    <w:rsid w:val="00FF0D0B"/>
    <w:rsid w:val="00FF2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4DFA1"/>
  <w15:chartTrackingRefBased/>
  <w15:docId w15:val="{5EB5F5F4-C87A-421A-AFBE-4690373B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4279"/>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964B8E"/>
    <w:pPr>
      <w:keepNext/>
      <w:keepLines/>
      <w:spacing w:before="480" w:after="24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964B8E"/>
    <w:pPr>
      <w:keepNext/>
      <w:keepLines/>
      <w:spacing w:before="280" w:after="240"/>
      <w:outlineLvl w:val="1"/>
    </w:pPr>
    <w:rPr>
      <w:rFonts w:eastAsiaTheme="majorEastAsia" w:cstheme="majorBid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04279"/>
    <w:rPr>
      <w:sz w:val="16"/>
      <w:szCs w:val="16"/>
    </w:rPr>
  </w:style>
  <w:style w:type="paragraph" w:styleId="CommentText">
    <w:name w:val="annotation text"/>
    <w:basedOn w:val="Normal"/>
    <w:link w:val="CommentTextChar"/>
    <w:uiPriority w:val="99"/>
    <w:unhideWhenUsed/>
    <w:rsid w:val="00104279"/>
    <w:rPr>
      <w:sz w:val="20"/>
      <w:szCs w:val="20"/>
    </w:rPr>
  </w:style>
  <w:style w:type="character" w:customStyle="1" w:styleId="CommentTextChar">
    <w:name w:val="Comment Text Char"/>
    <w:basedOn w:val="DefaultParagraphFont"/>
    <w:link w:val="CommentText"/>
    <w:uiPriority w:val="99"/>
    <w:rsid w:val="00104279"/>
    <w:rPr>
      <w:rFonts w:ascii="Arial" w:eastAsia="Times New Roman" w:hAnsi="Arial" w:cs="Times New Roman"/>
      <w:sz w:val="20"/>
      <w:szCs w:val="20"/>
    </w:rPr>
  </w:style>
  <w:style w:type="character" w:styleId="Hyperlink">
    <w:name w:val="Hyperlink"/>
    <w:basedOn w:val="DefaultParagraphFont"/>
    <w:uiPriority w:val="99"/>
    <w:unhideWhenUsed/>
    <w:rsid w:val="00104279"/>
    <w:rPr>
      <w:color w:val="0000FF"/>
      <w:u w:val="single"/>
    </w:rPr>
  </w:style>
  <w:style w:type="paragraph" w:styleId="BalloonText">
    <w:name w:val="Balloon Text"/>
    <w:basedOn w:val="Normal"/>
    <w:link w:val="BalloonTextChar"/>
    <w:uiPriority w:val="99"/>
    <w:semiHidden/>
    <w:unhideWhenUsed/>
    <w:rsid w:val="001042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279"/>
    <w:rPr>
      <w:rFonts w:ascii="Segoe UI" w:eastAsia="Times New Roman" w:hAnsi="Segoe UI" w:cs="Segoe UI"/>
      <w:sz w:val="18"/>
      <w:szCs w:val="18"/>
    </w:rPr>
  </w:style>
  <w:style w:type="table" w:styleId="TableGrid">
    <w:name w:val="Table Grid"/>
    <w:basedOn w:val="TableNormal"/>
    <w:uiPriority w:val="39"/>
    <w:rsid w:val="00104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4279"/>
    <w:pPr>
      <w:ind w:left="720"/>
      <w:contextualSpacing/>
    </w:pPr>
    <w:rPr>
      <w:sz w:val="22"/>
    </w:rPr>
  </w:style>
  <w:style w:type="paragraph" w:styleId="Caption">
    <w:name w:val="caption"/>
    <w:basedOn w:val="Normal"/>
    <w:next w:val="Normal"/>
    <w:autoRedefine/>
    <w:uiPriority w:val="35"/>
    <w:unhideWhenUsed/>
    <w:qFormat/>
    <w:rsid w:val="00104279"/>
    <w:pPr>
      <w:spacing w:before="240" w:after="200" w:line="360" w:lineRule="auto"/>
      <w:jc w:val="both"/>
    </w:pPr>
    <w:rPr>
      <w:rFonts w:eastAsiaTheme="minorHAnsi" w:cs="Arial"/>
      <w:iCs/>
      <w:sz w:val="18"/>
      <w:szCs w:val="18"/>
    </w:rPr>
  </w:style>
  <w:style w:type="paragraph" w:styleId="Header">
    <w:name w:val="header"/>
    <w:basedOn w:val="Normal"/>
    <w:link w:val="HeaderChar"/>
    <w:uiPriority w:val="99"/>
    <w:unhideWhenUsed/>
    <w:rsid w:val="00104279"/>
    <w:pPr>
      <w:tabs>
        <w:tab w:val="center" w:pos="4513"/>
        <w:tab w:val="right" w:pos="9026"/>
      </w:tabs>
    </w:pPr>
  </w:style>
  <w:style w:type="character" w:customStyle="1" w:styleId="HeaderChar">
    <w:name w:val="Header Char"/>
    <w:basedOn w:val="DefaultParagraphFont"/>
    <w:link w:val="Header"/>
    <w:uiPriority w:val="99"/>
    <w:rsid w:val="00104279"/>
    <w:rPr>
      <w:rFonts w:ascii="Arial" w:eastAsia="Times New Roman" w:hAnsi="Arial" w:cs="Times New Roman"/>
      <w:sz w:val="24"/>
      <w:szCs w:val="24"/>
    </w:rPr>
  </w:style>
  <w:style w:type="paragraph" w:styleId="Footer">
    <w:name w:val="footer"/>
    <w:basedOn w:val="Normal"/>
    <w:link w:val="FooterChar"/>
    <w:uiPriority w:val="99"/>
    <w:unhideWhenUsed/>
    <w:rsid w:val="00104279"/>
    <w:pPr>
      <w:tabs>
        <w:tab w:val="center" w:pos="4513"/>
        <w:tab w:val="right" w:pos="9026"/>
      </w:tabs>
    </w:pPr>
  </w:style>
  <w:style w:type="character" w:customStyle="1" w:styleId="FooterChar">
    <w:name w:val="Footer Char"/>
    <w:basedOn w:val="DefaultParagraphFont"/>
    <w:link w:val="Footer"/>
    <w:uiPriority w:val="99"/>
    <w:rsid w:val="00104279"/>
    <w:rPr>
      <w:rFonts w:ascii="Arial" w:eastAsia="Times New Roman" w:hAnsi="Arial" w:cs="Times New Roman"/>
      <w:sz w:val="24"/>
      <w:szCs w:val="24"/>
    </w:rPr>
  </w:style>
  <w:style w:type="paragraph" w:styleId="NormalWeb">
    <w:name w:val="Normal (Web)"/>
    <w:basedOn w:val="Normal"/>
    <w:uiPriority w:val="99"/>
    <w:unhideWhenUsed/>
    <w:rsid w:val="00104279"/>
    <w:pPr>
      <w:spacing w:before="100" w:beforeAutospacing="1" w:after="100" w:afterAutospacing="1"/>
    </w:pPr>
    <w:rPr>
      <w:rFonts w:ascii="Times New Roman" w:eastAsiaTheme="minorEastAsia" w:hAnsi="Times New Roman"/>
    </w:rPr>
  </w:style>
  <w:style w:type="paragraph" w:styleId="CommentSubject">
    <w:name w:val="annotation subject"/>
    <w:basedOn w:val="CommentText"/>
    <w:next w:val="CommentText"/>
    <w:link w:val="CommentSubjectChar"/>
    <w:uiPriority w:val="99"/>
    <w:semiHidden/>
    <w:unhideWhenUsed/>
    <w:rsid w:val="008F0CE1"/>
    <w:rPr>
      <w:b/>
      <w:bCs/>
    </w:rPr>
  </w:style>
  <w:style w:type="character" w:customStyle="1" w:styleId="CommentSubjectChar">
    <w:name w:val="Comment Subject Char"/>
    <w:basedOn w:val="CommentTextChar"/>
    <w:link w:val="CommentSubject"/>
    <w:uiPriority w:val="99"/>
    <w:semiHidden/>
    <w:rsid w:val="008F0CE1"/>
    <w:rPr>
      <w:rFonts w:ascii="Arial" w:eastAsia="Times New Roman" w:hAnsi="Arial" w:cs="Times New Roman"/>
      <w:b/>
      <w:bCs/>
      <w:sz w:val="20"/>
      <w:szCs w:val="20"/>
    </w:rPr>
  </w:style>
  <w:style w:type="paragraph" w:styleId="Revision">
    <w:name w:val="Revision"/>
    <w:hidden/>
    <w:uiPriority w:val="99"/>
    <w:semiHidden/>
    <w:rsid w:val="00396B31"/>
    <w:pPr>
      <w:spacing w:after="0" w:line="240" w:lineRule="auto"/>
    </w:pPr>
    <w:rPr>
      <w:rFonts w:ascii="Arial" w:eastAsia="Times New Roman" w:hAnsi="Arial" w:cs="Times New Roman"/>
      <w:sz w:val="24"/>
      <w:szCs w:val="24"/>
    </w:rPr>
  </w:style>
  <w:style w:type="paragraph" w:customStyle="1" w:styleId="SectionHeader">
    <w:name w:val="Section Header"/>
    <w:basedOn w:val="Normal"/>
    <w:link w:val="SectionHeaderChar"/>
    <w:autoRedefine/>
    <w:qFormat/>
    <w:rsid w:val="00026A41"/>
    <w:pPr>
      <w:spacing w:after="120" w:line="480" w:lineRule="auto"/>
      <w:ind w:left="360" w:hanging="360"/>
      <w:jc w:val="center"/>
    </w:pPr>
    <w:rPr>
      <w:rFonts w:cs="Arial"/>
      <w:b/>
      <w:spacing w:val="-2"/>
      <w:szCs w:val="22"/>
    </w:rPr>
  </w:style>
  <w:style w:type="paragraph" w:customStyle="1" w:styleId="SectionHeader2">
    <w:name w:val="Section Header 2"/>
    <w:basedOn w:val="Normal"/>
    <w:link w:val="SectionHeader2Char"/>
    <w:autoRedefine/>
    <w:qFormat/>
    <w:rsid w:val="00F94077"/>
    <w:pPr>
      <w:spacing w:after="120" w:line="480" w:lineRule="auto"/>
      <w:jc w:val="both"/>
    </w:pPr>
    <w:rPr>
      <w:rFonts w:cs="Arial"/>
      <w:b/>
      <w:sz w:val="22"/>
      <w:szCs w:val="22"/>
    </w:rPr>
  </w:style>
  <w:style w:type="character" w:customStyle="1" w:styleId="SectionHeaderChar">
    <w:name w:val="Section Header Char"/>
    <w:basedOn w:val="DefaultParagraphFont"/>
    <w:link w:val="SectionHeader"/>
    <w:rsid w:val="00026A41"/>
    <w:rPr>
      <w:rFonts w:ascii="Arial" w:eastAsia="Times New Roman" w:hAnsi="Arial" w:cs="Arial"/>
      <w:b/>
      <w:spacing w:val="-2"/>
      <w:sz w:val="24"/>
    </w:rPr>
  </w:style>
  <w:style w:type="paragraph" w:customStyle="1" w:styleId="SubsectionHeader">
    <w:name w:val="Subsection Header"/>
    <w:basedOn w:val="Normal"/>
    <w:link w:val="SubsectionHeaderChar"/>
    <w:qFormat/>
    <w:rsid w:val="00C10BD8"/>
    <w:pPr>
      <w:spacing w:before="120" w:after="120" w:line="480" w:lineRule="auto"/>
      <w:jc w:val="both"/>
    </w:pPr>
    <w:rPr>
      <w:rFonts w:cs="Arial"/>
      <w:i/>
      <w:szCs w:val="20"/>
    </w:rPr>
  </w:style>
  <w:style w:type="character" w:customStyle="1" w:styleId="SectionHeader2Char">
    <w:name w:val="Section Header 2 Char"/>
    <w:basedOn w:val="DefaultParagraphFont"/>
    <w:link w:val="SectionHeader2"/>
    <w:rsid w:val="00F94077"/>
    <w:rPr>
      <w:rFonts w:ascii="Arial" w:eastAsia="Times New Roman" w:hAnsi="Arial" w:cs="Arial"/>
      <w:b/>
    </w:rPr>
  </w:style>
  <w:style w:type="paragraph" w:customStyle="1" w:styleId="Default">
    <w:name w:val="Default"/>
    <w:uiPriority w:val="99"/>
    <w:rsid w:val="00DC7187"/>
    <w:pPr>
      <w:autoSpaceDE w:val="0"/>
      <w:autoSpaceDN w:val="0"/>
      <w:adjustRightInd w:val="0"/>
      <w:spacing w:after="0" w:line="240" w:lineRule="auto"/>
    </w:pPr>
    <w:rPr>
      <w:rFonts w:ascii="MillerText Roman" w:hAnsi="MillerText Roman" w:cs="MillerText Roman"/>
      <w:color w:val="000000"/>
      <w:sz w:val="24"/>
      <w:szCs w:val="24"/>
    </w:rPr>
  </w:style>
  <w:style w:type="character" w:customStyle="1" w:styleId="SubsectionHeaderChar">
    <w:name w:val="Subsection Header Char"/>
    <w:basedOn w:val="DefaultParagraphFont"/>
    <w:link w:val="SubsectionHeader"/>
    <w:rsid w:val="00C10BD8"/>
    <w:rPr>
      <w:rFonts w:ascii="Arial" w:eastAsia="Times New Roman" w:hAnsi="Arial" w:cs="Arial"/>
      <w:i/>
      <w:sz w:val="24"/>
      <w:szCs w:val="20"/>
    </w:rPr>
  </w:style>
  <w:style w:type="character" w:customStyle="1" w:styleId="A41">
    <w:name w:val="A4+1"/>
    <w:uiPriority w:val="99"/>
    <w:rsid w:val="00DC7187"/>
    <w:rPr>
      <w:rFonts w:cs="MillerText Roman"/>
      <w:color w:val="000000"/>
      <w:sz w:val="10"/>
      <w:szCs w:val="10"/>
    </w:rPr>
  </w:style>
  <w:style w:type="character" w:styleId="FollowedHyperlink">
    <w:name w:val="FollowedHyperlink"/>
    <w:basedOn w:val="DefaultParagraphFont"/>
    <w:uiPriority w:val="99"/>
    <w:semiHidden/>
    <w:unhideWhenUsed/>
    <w:rsid w:val="007518F2"/>
    <w:rPr>
      <w:color w:val="954F72" w:themeColor="followedHyperlink"/>
      <w:u w:val="single"/>
    </w:rPr>
  </w:style>
  <w:style w:type="character" w:styleId="PlaceholderText">
    <w:name w:val="Placeholder Text"/>
    <w:basedOn w:val="DefaultParagraphFont"/>
    <w:uiPriority w:val="99"/>
    <w:semiHidden/>
    <w:rsid w:val="00F300B5"/>
    <w:rPr>
      <w:color w:val="808080"/>
    </w:rPr>
  </w:style>
  <w:style w:type="character" w:styleId="LineNumber">
    <w:name w:val="line number"/>
    <w:basedOn w:val="DefaultParagraphFont"/>
    <w:uiPriority w:val="99"/>
    <w:semiHidden/>
    <w:unhideWhenUsed/>
    <w:rsid w:val="005C1DB1"/>
  </w:style>
  <w:style w:type="character" w:customStyle="1" w:styleId="UnresolvedMention1">
    <w:name w:val="Unresolved Mention1"/>
    <w:basedOn w:val="DefaultParagraphFont"/>
    <w:uiPriority w:val="99"/>
    <w:rsid w:val="00BB4979"/>
    <w:rPr>
      <w:color w:val="605E5C"/>
      <w:shd w:val="clear" w:color="auto" w:fill="E1DFDD"/>
    </w:rPr>
  </w:style>
  <w:style w:type="character" w:customStyle="1" w:styleId="UnresolvedMention2">
    <w:name w:val="Unresolved Mention2"/>
    <w:basedOn w:val="DefaultParagraphFont"/>
    <w:uiPriority w:val="99"/>
    <w:semiHidden/>
    <w:unhideWhenUsed/>
    <w:rsid w:val="00792E3A"/>
    <w:rPr>
      <w:color w:val="605E5C"/>
      <w:shd w:val="clear" w:color="auto" w:fill="E1DFDD"/>
    </w:rPr>
  </w:style>
  <w:style w:type="character" w:customStyle="1" w:styleId="Heading1Char">
    <w:name w:val="Heading 1 Char"/>
    <w:basedOn w:val="DefaultParagraphFont"/>
    <w:link w:val="Heading1"/>
    <w:uiPriority w:val="9"/>
    <w:rsid w:val="00964B8E"/>
    <w:rPr>
      <w:rFonts w:ascii="Arial" w:eastAsiaTheme="majorEastAsia" w:hAnsi="Arial" w:cstheme="majorBidi"/>
      <w:b/>
      <w:color w:val="000000" w:themeColor="text1"/>
      <w:sz w:val="24"/>
      <w:szCs w:val="32"/>
    </w:rPr>
  </w:style>
  <w:style w:type="character" w:customStyle="1" w:styleId="Heading2Char">
    <w:name w:val="Heading 2 Char"/>
    <w:basedOn w:val="DefaultParagraphFont"/>
    <w:link w:val="Heading2"/>
    <w:uiPriority w:val="9"/>
    <w:rsid w:val="00964B8E"/>
    <w:rPr>
      <w:rFonts w:ascii="Arial" w:eastAsiaTheme="majorEastAsia" w:hAnsi="Arial" w:cstheme="majorBidi"/>
      <w:szCs w:val="26"/>
      <w:u w:val="single"/>
    </w:rPr>
  </w:style>
  <w:style w:type="character" w:styleId="UnresolvedMention">
    <w:name w:val="Unresolved Mention"/>
    <w:basedOn w:val="DefaultParagraphFont"/>
    <w:uiPriority w:val="99"/>
    <w:rsid w:val="009222C2"/>
    <w:rPr>
      <w:color w:val="605E5C"/>
      <w:shd w:val="clear" w:color="auto" w:fill="E1DFDD"/>
    </w:rPr>
  </w:style>
  <w:style w:type="character" w:customStyle="1" w:styleId="ref-label">
    <w:name w:val="ref-label"/>
    <w:basedOn w:val="DefaultParagraphFont"/>
    <w:rsid w:val="00FB723C"/>
  </w:style>
  <w:style w:type="character" w:styleId="HTMLCite">
    <w:name w:val="HTML Cite"/>
    <w:basedOn w:val="DefaultParagraphFont"/>
    <w:uiPriority w:val="99"/>
    <w:semiHidden/>
    <w:unhideWhenUsed/>
    <w:rsid w:val="00FB723C"/>
    <w:rPr>
      <w:i/>
      <w:iCs/>
    </w:rPr>
  </w:style>
  <w:style w:type="character" w:customStyle="1" w:styleId="cit-auth">
    <w:name w:val="cit-auth"/>
    <w:basedOn w:val="DefaultParagraphFont"/>
    <w:rsid w:val="00FB723C"/>
  </w:style>
  <w:style w:type="character" w:customStyle="1" w:styleId="cit-name-surname">
    <w:name w:val="cit-name-surname"/>
    <w:basedOn w:val="DefaultParagraphFont"/>
    <w:rsid w:val="00FB723C"/>
  </w:style>
  <w:style w:type="character" w:customStyle="1" w:styleId="cit-name-given-names">
    <w:name w:val="cit-name-given-names"/>
    <w:basedOn w:val="DefaultParagraphFont"/>
    <w:rsid w:val="00FB723C"/>
  </w:style>
  <w:style w:type="character" w:customStyle="1" w:styleId="cit-article-title">
    <w:name w:val="cit-article-title"/>
    <w:basedOn w:val="DefaultParagraphFont"/>
    <w:rsid w:val="00FB723C"/>
  </w:style>
  <w:style w:type="character" w:customStyle="1" w:styleId="cit-pub-date">
    <w:name w:val="cit-pub-date"/>
    <w:basedOn w:val="DefaultParagraphFont"/>
    <w:rsid w:val="00FB723C"/>
  </w:style>
  <w:style w:type="character" w:customStyle="1" w:styleId="cit-vol">
    <w:name w:val="cit-vol"/>
    <w:basedOn w:val="DefaultParagraphFont"/>
    <w:rsid w:val="00FB723C"/>
  </w:style>
  <w:style w:type="character" w:customStyle="1" w:styleId="cit-fpage">
    <w:name w:val="cit-fpage"/>
    <w:basedOn w:val="DefaultParagraphFont"/>
    <w:rsid w:val="00FB723C"/>
  </w:style>
  <w:style w:type="character" w:customStyle="1" w:styleId="cit-lpage">
    <w:name w:val="cit-lpage"/>
    <w:basedOn w:val="DefaultParagraphFont"/>
    <w:rsid w:val="00FB723C"/>
  </w:style>
  <w:style w:type="character" w:customStyle="1" w:styleId="cit-etal">
    <w:name w:val="cit-etal"/>
    <w:basedOn w:val="DefaultParagraphFont"/>
    <w:rsid w:val="00FB7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65953">
      <w:bodyDiv w:val="1"/>
      <w:marLeft w:val="0"/>
      <w:marRight w:val="0"/>
      <w:marTop w:val="0"/>
      <w:marBottom w:val="0"/>
      <w:divBdr>
        <w:top w:val="none" w:sz="0" w:space="0" w:color="auto"/>
        <w:left w:val="none" w:sz="0" w:space="0" w:color="auto"/>
        <w:bottom w:val="none" w:sz="0" w:space="0" w:color="auto"/>
        <w:right w:val="none" w:sz="0" w:space="0" w:color="auto"/>
      </w:divBdr>
    </w:div>
    <w:div w:id="134638902">
      <w:bodyDiv w:val="1"/>
      <w:marLeft w:val="0"/>
      <w:marRight w:val="0"/>
      <w:marTop w:val="0"/>
      <w:marBottom w:val="0"/>
      <w:divBdr>
        <w:top w:val="none" w:sz="0" w:space="0" w:color="auto"/>
        <w:left w:val="none" w:sz="0" w:space="0" w:color="auto"/>
        <w:bottom w:val="none" w:sz="0" w:space="0" w:color="auto"/>
        <w:right w:val="none" w:sz="0" w:space="0" w:color="auto"/>
      </w:divBdr>
    </w:div>
    <w:div w:id="187909245">
      <w:bodyDiv w:val="1"/>
      <w:marLeft w:val="0"/>
      <w:marRight w:val="0"/>
      <w:marTop w:val="0"/>
      <w:marBottom w:val="0"/>
      <w:divBdr>
        <w:top w:val="none" w:sz="0" w:space="0" w:color="auto"/>
        <w:left w:val="none" w:sz="0" w:space="0" w:color="auto"/>
        <w:bottom w:val="none" w:sz="0" w:space="0" w:color="auto"/>
        <w:right w:val="none" w:sz="0" w:space="0" w:color="auto"/>
      </w:divBdr>
    </w:div>
    <w:div w:id="287398416">
      <w:bodyDiv w:val="1"/>
      <w:marLeft w:val="0"/>
      <w:marRight w:val="0"/>
      <w:marTop w:val="0"/>
      <w:marBottom w:val="0"/>
      <w:divBdr>
        <w:top w:val="none" w:sz="0" w:space="0" w:color="auto"/>
        <w:left w:val="none" w:sz="0" w:space="0" w:color="auto"/>
        <w:bottom w:val="none" w:sz="0" w:space="0" w:color="auto"/>
        <w:right w:val="none" w:sz="0" w:space="0" w:color="auto"/>
      </w:divBdr>
    </w:div>
    <w:div w:id="399133934">
      <w:bodyDiv w:val="1"/>
      <w:marLeft w:val="0"/>
      <w:marRight w:val="0"/>
      <w:marTop w:val="0"/>
      <w:marBottom w:val="0"/>
      <w:divBdr>
        <w:top w:val="none" w:sz="0" w:space="0" w:color="auto"/>
        <w:left w:val="none" w:sz="0" w:space="0" w:color="auto"/>
        <w:bottom w:val="none" w:sz="0" w:space="0" w:color="auto"/>
        <w:right w:val="none" w:sz="0" w:space="0" w:color="auto"/>
      </w:divBdr>
    </w:div>
    <w:div w:id="453641577">
      <w:bodyDiv w:val="1"/>
      <w:marLeft w:val="0"/>
      <w:marRight w:val="0"/>
      <w:marTop w:val="0"/>
      <w:marBottom w:val="0"/>
      <w:divBdr>
        <w:top w:val="none" w:sz="0" w:space="0" w:color="auto"/>
        <w:left w:val="none" w:sz="0" w:space="0" w:color="auto"/>
        <w:bottom w:val="none" w:sz="0" w:space="0" w:color="auto"/>
        <w:right w:val="none" w:sz="0" w:space="0" w:color="auto"/>
      </w:divBdr>
    </w:div>
    <w:div w:id="455484799">
      <w:bodyDiv w:val="1"/>
      <w:marLeft w:val="0"/>
      <w:marRight w:val="0"/>
      <w:marTop w:val="0"/>
      <w:marBottom w:val="0"/>
      <w:divBdr>
        <w:top w:val="none" w:sz="0" w:space="0" w:color="auto"/>
        <w:left w:val="none" w:sz="0" w:space="0" w:color="auto"/>
        <w:bottom w:val="none" w:sz="0" w:space="0" w:color="auto"/>
        <w:right w:val="none" w:sz="0" w:space="0" w:color="auto"/>
      </w:divBdr>
    </w:div>
    <w:div w:id="470904982">
      <w:bodyDiv w:val="1"/>
      <w:marLeft w:val="0"/>
      <w:marRight w:val="0"/>
      <w:marTop w:val="0"/>
      <w:marBottom w:val="0"/>
      <w:divBdr>
        <w:top w:val="none" w:sz="0" w:space="0" w:color="auto"/>
        <w:left w:val="none" w:sz="0" w:space="0" w:color="auto"/>
        <w:bottom w:val="none" w:sz="0" w:space="0" w:color="auto"/>
        <w:right w:val="none" w:sz="0" w:space="0" w:color="auto"/>
      </w:divBdr>
    </w:div>
    <w:div w:id="523634973">
      <w:bodyDiv w:val="1"/>
      <w:marLeft w:val="0"/>
      <w:marRight w:val="0"/>
      <w:marTop w:val="0"/>
      <w:marBottom w:val="0"/>
      <w:divBdr>
        <w:top w:val="none" w:sz="0" w:space="0" w:color="auto"/>
        <w:left w:val="none" w:sz="0" w:space="0" w:color="auto"/>
        <w:bottom w:val="none" w:sz="0" w:space="0" w:color="auto"/>
        <w:right w:val="none" w:sz="0" w:space="0" w:color="auto"/>
      </w:divBdr>
    </w:div>
    <w:div w:id="530848095">
      <w:bodyDiv w:val="1"/>
      <w:marLeft w:val="0"/>
      <w:marRight w:val="0"/>
      <w:marTop w:val="0"/>
      <w:marBottom w:val="0"/>
      <w:divBdr>
        <w:top w:val="none" w:sz="0" w:space="0" w:color="auto"/>
        <w:left w:val="none" w:sz="0" w:space="0" w:color="auto"/>
        <w:bottom w:val="none" w:sz="0" w:space="0" w:color="auto"/>
        <w:right w:val="none" w:sz="0" w:space="0" w:color="auto"/>
      </w:divBdr>
      <w:divsChild>
        <w:div w:id="709844182">
          <w:marLeft w:val="0"/>
          <w:marRight w:val="120"/>
          <w:marTop w:val="0"/>
          <w:marBottom w:val="0"/>
          <w:divBdr>
            <w:top w:val="none" w:sz="0" w:space="0" w:color="auto"/>
            <w:left w:val="none" w:sz="0" w:space="0" w:color="auto"/>
            <w:bottom w:val="none" w:sz="0" w:space="0" w:color="auto"/>
            <w:right w:val="none" w:sz="0" w:space="0" w:color="auto"/>
          </w:divBdr>
        </w:div>
      </w:divsChild>
    </w:div>
    <w:div w:id="531646739">
      <w:bodyDiv w:val="1"/>
      <w:marLeft w:val="0"/>
      <w:marRight w:val="0"/>
      <w:marTop w:val="0"/>
      <w:marBottom w:val="0"/>
      <w:divBdr>
        <w:top w:val="none" w:sz="0" w:space="0" w:color="auto"/>
        <w:left w:val="none" w:sz="0" w:space="0" w:color="auto"/>
        <w:bottom w:val="none" w:sz="0" w:space="0" w:color="auto"/>
        <w:right w:val="none" w:sz="0" w:space="0" w:color="auto"/>
      </w:divBdr>
    </w:div>
    <w:div w:id="546915536">
      <w:bodyDiv w:val="1"/>
      <w:marLeft w:val="0"/>
      <w:marRight w:val="0"/>
      <w:marTop w:val="0"/>
      <w:marBottom w:val="0"/>
      <w:divBdr>
        <w:top w:val="none" w:sz="0" w:space="0" w:color="auto"/>
        <w:left w:val="none" w:sz="0" w:space="0" w:color="auto"/>
        <w:bottom w:val="none" w:sz="0" w:space="0" w:color="auto"/>
        <w:right w:val="none" w:sz="0" w:space="0" w:color="auto"/>
      </w:divBdr>
    </w:div>
    <w:div w:id="590629965">
      <w:bodyDiv w:val="1"/>
      <w:marLeft w:val="0"/>
      <w:marRight w:val="0"/>
      <w:marTop w:val="0"/>
      <w:marBottom w:val="0"/>
      <w:divBdr>
        <w:top w:val="none" w:sz="0" w:space="0" w:color="auto"/>
        <w:left w:val="none" w:sz="0" w:space="0" w:color="auto"/>
        <w:bottom w:val="none" w:sz="0" w:space="0" w:color="auto"/>
        <w:right w:val="none" w:sz="0" w:space="0" w:color="auto"/>
      </w:divBdr>
    </w:div>
    <w:div w:id="681128044">
      <w:bodyDiv w:val="1"/>
      <w:marLeft w:val="0"/>
      <w:marRight w:val="0"/>
      <w:marTop w:val="0"/>
      <w:marBottom w:val="0"/>
      <w:divBdr>
        <w:top w:val="none" w:sz="0" w:space="0" w:color="auto"/>
        <w:left w:val="none" w:sz="0" w:space="0" w:color="auto"/>
        <w:bottom w:val="none" w:sz="0" w:space="0" w:color="auto"/>
        <w:right w:val="none" w:sz="0" w:space="0" w:color="auto"/>
      </w:divBdr>
    </w:div>
    <w:div w:id="704214513">
      <w:bodyDiv w:val="1"/>
      <w:marLeft w:val="0"/>
      <w:marRight w:val="0"/>
      <w:marTop w:val="0"/>
      <w:marBottom w:val="0"/>
      <w:divBdr>
        <w:top w:val="none" w:sz="0" w:space="0" w:color="auto"/>
        <w:left w:val="none" w:sz="0" w:space="0" w:color="auto"/>
        <w:bottom w:val="none" w:sz="0" w:space="0" w:color="auto"/>
        <w:right w:val="none" w:sz="0" w:space="0" w:color="auto"/>
      </w:divBdr>
      <w:divsChild>
        <w:div w:id="436947718">
          <w:marLeft w:val="0"/>
          <w:marRight w:val="0"/>
          <w:marTop w:val="0"/>
          <w:marBottom w:val="0"/>
          <w:divBdr>
            <w:top w:val="none" w:sz="0" w:space="0" w:color="auto"/>
            <w:left w:val="none" w:sz="0" w:space="0" w:color="auto"/>
            <w:bottom w:val="none" w:sz="0" w:space="0" w:color="auto"/>
            <w:right w:val="none" w:sz="0" w:space="0" w:color="auto"/>
          </w:divBdr>
          <w:divsChild>
            <w:div w:id="68965850">
              <w:marLeft w:val="0"/>
              <w:marRight w:val="120"/>
              <w:marTop w:val="0"/>
              <w:marBottom w:val="0"/>
              <w:divBdr>
                <w:top w:val="none" w:sz="0" w:space="0" w:color="auto"/>
                <w:left w:val="none" w:sz="0" w:space="0" w:color="auto"/>
                <w:bottom w:val="none" w:sz="0" w:space="0" w:color="auto"/>
                <w:right w:val="none" w:sz="0" w:space="0" w:color="auto"/>
              </w:divBdr>
            </w:div>
            <w:div w:id="870218835">
              <w:marLeft w:val="0"/>
              <w:marRight w:val="0"/>
              <w:marTop w:val="0"/>
              <w:marBottom w:val="0"/>
              <w:divBdr>
                <w:top w:val="none" w:sz="0" w:space="0" w:color="auto"/>
                <w:left w:val="none" w:sz="0" w:space="0" w:color="auto"/>
                <w:bottom w:val="none" w:sz="0" w:space="0" w:color="auto"/>
                <w:right w:val="none" w:sz="0" w:space="0" w:color="auto"/>
              </w:divBdr>
            </w:div>
          </w:divsChild>
        </w:div>
        <w:div w:id="1688749569">
          <w:marLeft w:val="0"/>
          <w:marRight w:val="0"/>
          <w:marTop w:val="0"/>
          <w:marBottom w:val="0"/>
          <w:divBdr>
            <w:top w:val="none" w:sz="0" w:space="0" w:color="auto"/>
            <w:left w:val="none" w:sz="0" w:space="0" w:color="auto"/>
            <w:bottom w:val="none" w:sz="0" w:space="0" w:color="auto"/>
            <w:right w:val="none" w:sz="0" w:space="0" w:color="auto"/>
          </w:divBdr>
          <w:divsChild>
            <w:div w:id="82694403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739405318">
      <w:bodyDiv w:val="1"/>
      <w:marLeft w:val="0"/>
      <w:marRight w:val="0"/>
      <w:marTop w:val="0"/>
      <w:marBottom w:val="0"/>
      <w:divBdr>
        <w:top w:val="none" w:sz="0" w:space="0" w:color="auto"/>
        <w:left w:val="none" w:sz="0" w:space="0" w:color="auto"/>
        <w:bottom w:val="none" w:sz="0" w:space="0" w:color="auto"/>
        <w:right w:val="none" w:sz="0" w:space="0" w:color="auto"/>
      </w:divBdr>
    </w:div>
    <w:div w:id="766927482">
      <w:bodyDiv w:val="1"/>
      <w:marLeft w:val="0"/>
      <w:marRight w:val="0"/>
      <w:marTop w:val="0"/>
      <w:marBottom w:val="0"/>
      <w:divBdr>
        <w:top w:val="none" w:sz="0" w:space="0" w:color="auto"/>
        <w:left w:val="none" w:sz="0" w:space="0" w:color="auto"/>
        <w:bottom w:val="none" w:sz="0" w:space="0" w:color="auto"/>
        <w:right w:val="none" w:sz="0" w:space="0" w:color="auto"/>
      </w:divBdr>
    </w:div>
    <w:div w:id="829756393">
      <w:bodyDiv w:val="1"/>
      <w:marLeft w:val="0"/>
      <w:marRight w:val="0"/>
      <w:marTop w:val="0"/>
      <w:marBottom w:val="0"/>
      <w:divBdr>
        <w:top w:val="none" w:sz="0" w:space="0" w:color="auto"/>
        <w:left w:val="none" w:sz="0" w:space="0" w:color="auto"/>
        <w:bottom w:val="none" w:sz="0" w:space="0" w:color="auto"/>
        <w:right w:val="none" w:sz="0" w:space="0" w:color="auto"/>
      </w:divBdr>
    </w:div>
    <w:div w:id="911620183">
      <w:bodyDiv w:val="1"/>
      <w:marLeft w:val="0"/>
      <w:marRight w:val="0"/>
      <w:marTop w:val="0"/>
      <w:marBottom w:val="0"/>
      <w:divBdr>
        <w:top w:val="none" w:sz="0" w:space="0" w:color="auto"/>
        <w:left w:val="none" w:sz="0" w:space="0" w:color="auto"/>
        <w:bottom w:val="none" w:sz="0" w:space="0" w:color="auto"/>
        <w:right w:val="none" w:sz="0" w:space="0" w:color="auto"/>
      </w:divBdr>
    </w:div>
    <w:div w:id="946084749">
      <w:bodyDiv w:val="1"/>
      <w:marLeft w:val="0"/>
      <w:marRight w:val="0"/>
      <w:marTop w:val="0"/>
      <w:marBottom w:val="0"/>
      <w:divBdr>
        <w:top w:val="none" w:sz="0" w:space="0" w:color="auto"/>
        <w:left w:val="none" w:sz="0" w:space="0" w:color="auto"/>
        <w:bottom w:val="none" w:sz="0" w:space="0" w:color="auto"/>
        <w:right w:val="none" w:sz="0" w:space="0" w:color="auto"/>
      </w:divBdr>
    </w:div>
    <w:div w:id="1094518218">
      <w:bodyDiv w:val="1"/>
      <w:marLeft w:val="0"/>
      <w:marRight w:val="0"/>
      <w:marTop w:val="0"/>
      <w:marBottom w:val="0"/>
      <w:divBdr>
        <w:top w:val="none" w:sz="0" w:space="0" w:color="auto"/>
        <w:left w:val="none" w:sz="0" w:space="0" w:color="auto"/>
        <w:bottom w:val="none" w:sz="0" w:space="0" w:color="auto"/>
        <w:right w:val="none" w:sz="0" w:space="0" w:color="auto"/>
      </w:divBdr>
      <w:divsChild>
        <w:div w:id="1194884160">
          <w:marLeft w:val="0"/>
          <w:marRight w:val="0"/>
          <w:marTop w:val="0"/>
          <w:marBottom w:val="0"/>
          <w:divBdr>
            <w:top w:val="none" w:sz="0" w:space="0" w:color="auto"/>
            <w:left w:val="none" w:sz="0" w:space="0" w:color="auto"/>
            <w:bottom w:val="none" w:sz="0" w:space="0" w:color="auto"/>
            <w:right w:val="none" w:sz="0" w:space="0" w:color="auto"/>
          </w:divBdr>
          <w:divsChild>
            <w:div w:id="449401497">
              <w:marLeft w:val="0"/>
              <w:marRight w:val="120"/>
              <w:marTop w:val="0"/>
              <w:marBottom w:val="0"/>
              <w:divBdr>
                <w:top w:val="none" w:sz="0" w:space="0" w:color="auto"/>
                <w:left w:val="none" w:sz="0" w:space="0" w:color="auto"/>
                <w:bottom w:val="none" w:sz="0" w:space="0" w:color="auto"/>
                <w:right w:val="none" w:sz="0" w:space="0" w:color="auto"/>
              </w:divBdr>
            </w:div>
            <w:div w:id="1230385140">
              <w:marLeft w:val="0"/>
              <w:marRight w:val="0"/>
              <w:marTop w:val="0"/>
              <w:marBottom w:val="0"/>
              <w:divBdr>
                <w:top w:val="none" w:sz="0" w:space="0" w:color="auto"/>
                <w:left w:val="none" w:sz="0" w:space="0" w:color="auto"/>
                <w:bottom w:val="none" w:sz="0" w:space="0" w:color="auto"/>
                <w:right w:val="none" w:sz="0" w:space="0" w:color="auto"/>
              </w:divBdr>
            </w:div>
          </w:divsChild>
        </w:div>
        <w:div w:id="1413549968">
          <w:marLeft w:val="0"/>
          <w:marRight w:val="0"/>
          <w:marTop w:val="0"/>
          <w:marBottom w:val="0"/>
          <w:divBdr>
            <w:top w:val="none" w:sz="0" w:space="0" w:color="auto"/>
            <w:left w:val="none" w:sz="0" w:space="0" w:color="auto"/>
            <w:bottom w:val="none" w:sz="0" w:space="0" w:color="auto"/>
            <w:right w:val="none" w:sz="0" w:space="0" w:color="auto"/>
          </w:divBdr>
          <w:divsChild>
            <w:div w:id="1059399939">
              <w:marLeft w:val="0"/>
              <w:marRight w:val="120"/>
              <w:marTop w:val="0"/>
              <w:marBottom w:val="0"/>
              <w:divBdr>
                <w:top w:val="none" w:sz="0" w:space="0" w:color="auto"/>
                <w:left w:val="none" w:sz="0" w:space="0" w:color="auto"/>
                <w:bottom w:val="none" w:sz="0" w:space="0" w:color="auto"/>
                <w:right w:val="none" w:sz="0" w:space="0" w:color="auto"/>
              </w:divBdr>
            </w:div>
            <w:div w:id="1693678996">
              <w:marLeft w:val="0"/>
              <w:marRight w:val="0"/>
              <w:marTop w:val="0"/>
              <w:marBottom w:val="0"/>
              <w:divBdr>
                <w:top w:val="none" w:sz="0" w:space="0" w:color="auto"/>
                <w:left w:val="none" w:sz="0" w:space="0" w:color="auto"/>
                <w:bottom w:val="none" w:sz="0" w:space="0" w:color="auto"/>
                <w:right w:val="none" w:sz="0" w:space="0" w:color="auto"/>
              </w:divBdr>
            </w:div>
          </w:divsChild>
        </w:div>
        <w:div w:id="608783249">
          <w:marLeft w:val="0"/>
          <w:marRight w:val="0"/>
          <w:marTop w:val="0"/>
          <w:marBottom w:val="0"/>
          <w:divBdr>
            <w:top w:val="none" w:sz="0" w:space="0" w:color="auto"/>
            <w:left w:val="none" w:sz="0" w:space="0" w:color="auto"/>
            <w:bottom w:val="none" w:sz="0" w:space="0" w:color="auto"/>
            <w:right w:val="none" w:sz="0" w:space="0" w:color="auto"/>
          </w:divBdr>
          <w:divsChild>
            <w:div w:id="623968579">
              <w:marLeft w:val="0"/>
              <w:marRight w:val="120"/>
              <w:marTop w:val="0"/>
              <w:marBottom w:val="0"/>
              <w:divBdr>
                <w:top w:val="none" w:sz="0" w:space="0" w:color="auto"/>
                <w:left w:val="none" w:sz="0" w:space="0" w:color="auto"/>
                <w:bottom w:val="none" w:sz="0" w:space="0" w:color="auto"/>
                <w:right w:val="none" w:sz="0" w:space="0" w:color="auto"/>
              </w:divBdr>
            </w:div>
            <w:div w:id="1733236912">
              <w:marLeft w:val="0"/>
              <w:marRight w:val="0"/>
              <w:marTop w:val="0"/>
              <w:marBottom w:val="0"/>
              <w:divBdr>
                <w:top w:val="none" w:sz="0" w:space="0" w:color="auto"/>
                <w:left w:val="none" w:sz="0" w:space="0" w:color="auto"/>
                <w:bottom w:val="none" w:sz="0" w:space="0" w:color="auto"/>
                <w:right w:val="none" w:sz="0" w:space="0" w:color="auto"/>
              </w:divBdr>
            </w:div>
          </w:divsChild>
        </w:div>
        <w:div w:id="649790576">
          <w:marLeft w:val="0"/>
          <w:marRight w:val="0"/>
          <w:marTop w:val="0"/>
          <w:marBottom w:val="0"/>
          <w:divBdr>
            <w:top w:val="none" w:sz="0" w:space="0" w:color="auto"/>
            <w:left w:val="none" w:sz="0" w:space="0" w:color="auto"/>
            <w:bottom w:val="none" w:sz="0" w:space="0" w:color="auto"/>
            <w:right w:val="none" w:sz="0" w:space="0" w:color="auto"/>
          </w:divBdr>
          <w:divsChild>
            <w:div w:id="527763436">
              <w:marLeft w:val="0"/>
              <w:marRight w:val="120"/>
              <w:marTop w:val="0"/>
              <w:marBottom w:val="0"/>
              <w:divBdr>
                <w:top w:val="none" w:sz="0" w:space="0" w:color="auto"/>
                <w:left w:val="none" w:sz="0" w:space="0" w:color="auto"/>
                <w:bottom w:val="none" w:sz="0" w:space="0" w:color="auto"/>
                <w:right w:val="none" w:sz="0" w:space="0" w:color="auto"/>
              </w:divBdr>
            </w:div>
            <w:div w:id="192298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56240">
      <w:bodyDiv w:val="1"/>
      <w:marLeft w:val="0"/>
      <w:marRight w:val="0"/>
      <w:marTop w:val="0"/>
      <w:marBottom w:val="0"/>
      <w:divBdr>
        <w:top w:val="none" w:sz="0" w:space="0" w:color="auto"/>
        <w:left w:val="none" w:sz="0" w:space="0" w:color="auto"/>
        <w:bottom w:val="none" w:sz="0" w:space="0" w:color="auto"/>
        <w:right w:val="none" w:sz="0" w:space="0" w:color="auto"/>
      </w:divBdr>
    </w:div>
    <w:div w:id="1301230600">
      <w:bodyDiv w:val="1"/>
      <w:marLeft w:val="0"/>
      <w:marRight w:val="0"/>
      <w:marTop w:val="0"/>
      <w:marBottom w:val="0"/>
      <w:divBdr>
        <w:top w:val="none" w:sz="0" w:space="0" w:color="auto"/>
        <w:left w:val="none" w:sz="0" w:space="0" w:color="auto"/>
        <w:bottom w:val="none" w:sz="0" w:space="0" w:color="auto"/>
        <w:right w:val="none" w:sz="0" w:space="0" w:color="auto"/>
      </w:divBdr>
    </w:div>
    <w:div w:id="1332224240">
      <w:bodyDiv w:val="1"/>
      <w:marLeft w:val="0"/>
      <w:marRight w:val="0"/>
      <w:marTop w:val="0"/>
      <w:marBottom w:val="0"/>
      <w:divBdr>
        <w:top w:val="none" w:sz="0" w:space="0" w:color="auto"/>
        <w:left w:val="none" w:sz="0" w:space="0" w:color="auto"/>
        <w:bottom w:val="none" w:sz="0" w:space="0" w:color="auto"/>
        <w:right w:val="none" w:sz="0" w:space="0" w:color="auto"/>
      </w:divBdr>
    </w:div>
    <w:div w:id="1346781630">
      <w:bodyDiv w:val="1"/>
      <w:marLeft w:val="0"/>
      <w:marRight w:val="0"/>
      <w:marTop w:val="0"/>
      <w:marBottom w:val="0"/>
      <w:divBdr>
        <w:top w:val="none" w:sz="0" w:space="0" w:color="auto"/>
        <w:left w:val="none" w:sz="0" w:space="0" w:color="auto"/>
        <w:bottom w:val="none" w:sz="0" w:space="0" w:color="auto"/>
        <w:right w:val="none" w:sz="0" w:space="0" w:color="auto"/>
      </w:divBdr>
    </w:div>
    <w:div w:id="1504783605">
      <w:bodyDiv w:val="1"/>
      <w:marLeft w:val="0"/>
      <w:marRight w:val="0"/>
      <w:marTop w:val="0"/>
      <w:marBottom w:val="0"/>
      <w:divBdr>
        <w:top w:val="none" w:sz="0" w:space="0" w:color="auto"/>
        <w:left w:val="none" w:sz="0" w:space="0" w:color="auto"/>
        <w:bottom w:val="none" w:sz="0" w:space="0" w:color="auto"/>
        <w:right w:val="none" w:sz="0" w:space="0" w:color="auto"/>
      </w:divBdr>
    </w:div>
    <w:div w:id="1572959945">
      <w:bodyDiv w:val="1"/>
      <w:marLeft w:val="0"/>
      <w:marRight w:val="0"/>
      <w:marTop w:val="0"/>
      <w:marBottom w:val="0"/>
      <w:divBdr>
        <w:top w:val="none" w:sz="0" w:space="0" w:color="auto"/>
        <w:left w:val="none" w:sz="0" w:space="0" w:color="auto"/>
        <w:bottom w:val="none" w:sz="0" w:space="0" w:color="auto"/>
        <w:right w:val="none" w:sz="0" w:space="0" w:color="auto"/>
      </w:divBdr>
    </w:div>
    <w:div w:id="1602564456">
      <w:bodyDiv w:val="1"/>
      <w:marLeft w:val="0"/>
      <w:marRight w:val="0"/>
      <w:marTop w:val="0"/>
      <w:marBottom w:val="0"/>
      <w:divBdr>
        <w:top w:val="none" w:sz="0" w:space="0" w:color="auto"/>
        <w:left w:val="none" w:sz="0" w:space="0" w:color="auto"/>
        <w:bottom w:val="none" w:sz="0" w:space="0" w:color="auto"/>
        <w:right w:val="none" w:sz="0" w:space="0" w:color="auto"/>
      </w:divBdr>
    </w:div>
    <w:div w:id="1677614421">
      <w:bodyDiv w:val="1"/>
      <w:marLeft w:val="0"/>
      <w:marRight w:val="0"/>
      <w:marTop w:val="0"/>
      <w:marBottom w:val="0"/>
      <w:divBdr>
        <w:top w:val="none" w:sz="0" w:space="0" w:color="auto"/>
        <w:left w:val="none" w:sz="0" w:space="0" w:color="auto"/>
        <w:bottom w:val="none" w:sz="0" w:space="0" w:color="auto"/>
        <w:right w:val="none" w:sz="0" w:space="0" w:color="auto"/>
      </w:divBdr>
    </w:div>
    <w:div w:id="1680235146">
      <w:bodyDiv w:val="1"/>
      <w:marLeft w:val="0"/>
      <w:marRight w:val="0"/>
      <w:marTop w:val="0"/>
      <w:marBottom w:val="0"/>
      <w:divBdr>
        <w:top w:val="none" w:sz="0" w:space="0" w:color="auto"/>
        <w:left w:val="none" w:sz="0" w:space="0" w:color="auto"/>
        <w:bottom w:val="none" w:sz="0" w:space="0" w:color="auto"/>
        <w:right w:val="none" w:sz="0" w:space="0" w:color="auto"/>
      </w:divBdr>
    </w:div>
    <w:div w:id="1846893796">
      <w:bodyDiv w:val="1"/>
      <w:marLeft w:val="0"/>
      <w:marRight w:val="0"/>
      <w:marTop w:val="0"/>
      <w:marBottom w:val="0"/>
      <w:divBdr>
        <w:top w:val="none" w:sz="0" w:space="0" w:color="auto"/>
        <w:left w:val="none" w:sz="0" w:space="0" w:color="auto"/>
        <w:bottom w:val="none" w:sz="0" w:space="0" w:color="auto"/>
        <w:right w:val="none" w:sz="0" w:space="0" w:color="auto"/>
      </w:divBdr>
    </w:div>
    <w:div w:id="2045516355">
      <w:bodyDiv w:val="1"/>
      <w:marLeft w:val="0"/>
      <w:marRight w:val="0"/>
      <w:marTop w:val="0"/>
      <w:marBottom w:val="0"/>
      <w:divBdr>
        <w:top w:val="none" w:sz="0" w:space="0" w:color="auto"/>
        <w:left w:val="none" w:sz="0" w:space="0" w:color="auto"/>
        <w:bottom w:val="none" w:sz="0" w:space="0" w:color="auto"/>
        <w:right w:val="none" w:sz="0" w:space="0" w:color="auto"/>
      </w:divBdr>
    </w:div>
    <w:div w:id="209702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arah.moudy@unthsc.edu"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E76BD-224A-4C45-86B5-C560A4644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24</Pages>
  <Words>26687</Words>
  <Characters>152116</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Rebecca Sibley (Research Student)</dc:creator>
  <cp:keywords/>
  <dc:description/>
  <cp:lastModifiedBy>Amy Sibley</cp:lastModifiedBy>
  <cp:revision>2</cp:revision>
  <cp:lastPrinted>2019-06-11T09:48:00Z</cp:lastPrinted>
  <dcterms:created xsi:type="dcterms:W3CDTF">2021-09-02T13:32:00Z</dcterms:created>
  <dcterms:modified xsi:type="dcterms:W3CDTF">2021-09-02T13:32:00Z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http://www.zotero.org/styles/european-journal-of-applied-physiology</vt:lpwstr>
  </property>
  <property fmtid="{D5CDD505-2E9C-101B-9397-08002B2CF9AE}" pid="11" name="Mendeley Recent Style Name 4_1">
    <vt:lpwstr>European Journal of Applied Physiology</vt:lpwstr>
  </property>
  <property fmtid="{D5CDD505-2E9C-101B-9397-08002B2CF9AE}" pid="12" name="Mendeley Recent Style Id 5_1">
    <vt:lpwstr>http://www.zotero.org/styles/gait-and-posture</vt:lpwstr>
  </property>
  <property fmtid="{D5CDD505-2E9C-101B-9397-08002B2CF9AE}" pid="13" name="Mendeley Recent Style Name 5_1">
    <vt:lpwstr>Gait &amp; Posture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http://www.zotero.org/styles/the-journal-of-physiology</vt:lpwstr>
  </property>
  <property fmtid="{D5CDD505-2E9C-101B-9397-08002B2CF9AE}" pid="21" name="Mendeley Recent Style Name 9_1">
    <vt:lpwstr>The Journal of Physiology</vt:lpwstr>
  </property>
  <property fmtid="{D5CDD505-2E9C-101B-9397-08002B2CF9AE}" pid="22" name="Mendeley Document_1">
    <vt:lpwstr>True</vt:lpwstr>
  </property>
  <property fmtid="{D5CDD505-2E9C-101B-9397-08002B2CF9AE}" pid="23" name="Mendeley Unique User Id_1">
    <vt:lpwstr>8c69f847-7bf5-3dcc-8622-28ab2682276a</vt:lpwstr>
  </property>
  <property fmtid="{D5CDD505-2E9C-101B-9397-08002B2CF9AE}" pid="24" name="Mendeley Citation Style_1">
    <vt:lpwstr>http://www.zotero.org/styles/gait-and-posture</vt:lpwstr>
  </property>
  <property fmtid="{D5CDD505-2E9C-101B-9397-08002B2CF9AE}" pid="25" name="_DocHome">
    <vt:i4>-1003097141</vt:i4>
  </property>
</Properties>
</file>