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9D523" w14:textId="77777777" w:rsidR="007C4D15" w:rsidRPr="00E64DB6" w:rsidRDefault="004F352D" w:rsidP="00E64DB6">
      <w:pPr>
        <w:pStyle w:val="02AuthorName"/>
      </w:pPr>
      <w:r w:rsidRPr="004F352D">
        <w:rPr>
          <w:sz w:val="48"/>
          <w:szCs w:val="48"/>
        </w:rPr>
        <w:t xml:space="preserve">Assessing the Performance of District Heating Networks Utilising Waste Heat: </w:t>
      </w:r>
      <w:r w:rsidR="003E5DB8">
        <w:rPr>
          <w:sz w:val="48"/>
          <w:szCs w:val="48"/>
        </w:rPr>
        <w:t>A</w:t>
      </w:r>
      <w:r w:rsidRPr="004F352D">
        <w:rPr>
          <w:sz w:val="48"/>
          <w:szCs w:val="48"/>
        </w:rPr>
        <w:t xml:space="preserve"> Review</w:t>
      </w:r>
    </w:p>
    <w:p w14:paraId="3AE26373" w14:textId="77777777" w:rsidR="00C013EC" w:rsidRPr="00E64DB6" w:rsidRDefault="00C013EC" w:rsidP="00E64DB6">
      <w:pPr>
        <w:pStyle w:val="02AuthorName"/>
      </w:pPr>
    </w:p>
    <w:p w14:paraId="1A0E1469" w14:textId="77777777" w:rsidR="00C013EC" w:rsidRPr="00E64DB6" w:rsidRDefault="00C013EC" w:rsidP="00E64DB6">
      <w:pPr>
        <w:pStyle w:val="02AuthorName"/>
      </w:pPr>
    </w:p>
    <w:p w14:paraId="2931CD9F" w14:textId="2239782E" w:rsidR="004F352D" w:rsidRDefault="004F352D" w:rsidP="00EC00CB">
      <w:pPr>
        <w:pStyle w:val="02AuthorName"/>
        <w:tabs>
          <w:tab w:val="clear" w:pos="3960"/>
          <w:tab w:val="clear" w:pos="7560"/>
          <w:tab w:val="left" w:pos="3690"/>
          <w:tab w:val="left" w:pos="7200"/>
        </w:tabs>
      </w:pPr>
      <w:r>
        <w:t>Hen</w:t>
      </w:r>
      <w:r w:rsidR="007D758C">
        <w:t>rique Lagoeiro</w:t>
      </w:r>
      <w:r w:rsidR="007D758C">
        <w:tab/>
        <w:t>Akos Revesz, PhD</w:t>
      </w:r>
      <w:r w:rsidR="0072120A">
        <w:tab/>
        <w:t>Gareth Davies, PhD</w:t>
      </w:r>
    </w:p>
    <w:p w14:paraId="1F52CBA9" w14:textId="1EAB53A5" w:rsidR="007D758C" w:rsidRDefault="0072120A" w:rsidP="00EC00CB">
      <w:pPr>
        <w:pStyle w:val="02AuthorName"/>
        <w:tabs>
          <w:tab w:val="clear" w:pos="3960"/>
          <w:tab w:val="clear" w:pos="7560"/>
          <w:tab w:val="left" w:pos="3690"/>
          <w:tab w:val="left" w:pos="7200"/>
        </w:tabs>
      </w:pPr>
      <w:r>
        <w:t>Daniel Curry</w:t>
      </w:r>
      <w:r w:rsidR="004F352D">
        <w:tab/>
      </w:r>
      <w:r>
        <w:t>Gareth Faulks</w:t>
      </w:r>
      <w:r w:rsidR="007D758C">
        <w:tab/>
        <w:t>Michal Murawa</w:t>
      </w:r>
    </w:p>
    <w:p w14:paraId="76AA1F8E" w14:textId="16F75207" w:rsidR="003A4C53" w:rsidRPr="00E64DB6" w:rsidRDefault="004F352D" w:rsidP="00EC00CB">
      <w:pPr>
        <w:pStyle w:val="02AuthorName"/>
        <w:tabs>
          <w:tab w:val="clear" w:pos="3960"/>
          <w:tab w:val="clear" w:pos="7560"/>
          <w:tab w:val="left" w:pos="3690"/>
          <w:tab w:val="left" w:pos="7200"/>
        </w:tabs>
      </w:pPr>
      <w:r>
        <w:t>Graeme Maidment, Ph</w:t>
      </w:r>
      <w:r w:rsidR="003E5DB8">
        <w:t>D</w:t>
      </w:r>
      <w:r w:rsidR="003A4C53" w:rsidRPr="00E64DB6">
        <w:t>, PE</w:t>
      </w:r>
      <w:r w:rsidR="003A4C53" w:rsidRPr="00E64DB6">
        <w:tab/>
      </w:r>
    </w:p>
    <w:p w14:paraId="77897FC5" w14:textId="77777777" w:rsidR="003A4C53" w:rsidRPr="00E64DB6" w:rsidRDefault="003A4C53" w:rsidP="00EC00CB">
      <w:pPr>
        <w:pStyle w:val="03ASHRAEAffiliationMemberASHRAE"/>
        <w:tabs>
          <w:tab w:val="clear" w:pos="3960"/>
          <w:tab w:val="clear" w:pos="7560"/>
          <w:tab w:val="left" w:pos="3690"/>
          <w:tab w:val="left" w:pos="7200"/>
        </w:tabs>
      </w:pPr>
      <w:r w:rsidRPr="00E64DB6">
        <w:tab/>
      </w:r>
      <w:r w:rsidRPr="00E64DB6">
        <w:tab/>
      </w:r>
    </w:p>
    <w:p w14:paraId="70F7AC10" w14:textId="77777777" w:rsidR="003A4C53" w:rsidRPr="00E64DB6" w:rsidRDefault="003A4C53" w:rsidP="007E4265">
      <w:pPr>
        <w:pStyle w:val="04AbstractHeading"/>
      </w:pPr>
      <w:r w:rsidRPr="00E64DB6">
        <w:t>ABSTRACT</w:t>
      </w:r>
    </w:p>
    <w:p w14:paraId="6890D99F" w14:textId="03CBB779" w:rsidR="00695EF4" w:rsidRPr="003751A5" w:rsidRDefault="004F352D" w:rsidP="00E64DB6">
      <w:pPr>
        <w:pStyle w:val="05AbstractBodyApplytomaintextofAbstract"/>
      </w:pPr>
      <w:r w:rsidRPr="004F352D">
        <w:t xml:space="preserve">In order to combat climate change, many countries have been focusing their efforts on how to accelerate the transition towards a clean energy future, expanding access to energy across the world whilst significantly reducing </w:t>
      </w:r>
      <w:r w:rsidR="00A828F6">
        <w:t>the</w:t>
      </w:r>
      <w:r w:rsidRPr="004F352D">
        <w:t xml:space="preserve"> global carbon footprint. In the UK, as heating and cooling account for nearly half of the energy consumption and a third of carbon emissions, district heating and cooling networks represent a key technology for facilitating a smooth transition from current fossil fuel based energy to future low-carbon energy sources. A key contributor to these low carbon energy sources has been identified as the use of waste heat sources in urban environments, which can help to tackle both climate change and fuel poverty within cities. Despite their known advantages and wide applic</w:t>
      </w:r>
      <w:r w:rsidR="00A828F6">
        <w:t>ation in many countries, heat</w:t>
      </w:r>
      <w:r w:rsidRPr="004F352D">
        <w:t xml:space="preserve"> networks currently supply only a small fraction of demand (~2% of heating needs) in the UK. This paper reviews how a new generation of district heating networks utilising waste heat can deliver massive carbon savings and are key to meeting future targets. In order to guarantee an efficient operation of the heat network, the installation of integrated control and monitoring systems is </w:t>
      </w:r>
      <w:r w:rsidRPr="001575D2">
        <w:t>essential, as they allow measuring and adjusting key parameters, such as temperatures, pressures and flow rates, assuring that the system achieves optimum performance and stays within safe operating limits. This paper focuses on understanding how the performance of waste heat based district networks can be assessed by exploring best practices identified in the literature relating to control and monitoring of heat networks. Based on the review, the paper also provides recommendations for the best approach for monitoring the performance of a recently developed waste heat recovery system in</w:t>
      </w:r>
      <w:r w:rsidRPr="004F352D">
        <w:t xml:space="preserve"> Islington, London, involving the capture of waste heat from the London Underground, which is then upgraded and used to supply a local district heating network.</w:t>
      </w:r>
    </w:p>
    <w:p w14:paraId="17F993B0" w14:textId="77777777" w:rsidR="0039074C" w:rsidRPr="00E64DB6" w:rsidRDefault="0039074C" w:rsidP="00E64DB6">
      <w:pPr>
        <w:pStyle w:val="10Level1Heading"/>
      </w:pPr>
      <w:r w:rsidRPr="00E64DB6">
        <w:t>INTRODUCTION</w:t>
      </w:r>
    </w:p>
    <w:p w14:paraId="5CA38221" w14:textId="263BF315" w:rsidR="00752775" w:rsidRPr="00721D1B" w:rsidRDefault="006B5057" w:rsidP="00D91965">
      <w:pPr>
        <w:pStyle w:val="06BodyMaintext"/>
      </w:pPr>
      <w:r w:rsidRPr="00721D1B">
        <w:t xml:space="preserve">The climate emergency is one of the greatest challenges ever faced by mankind. </w:t>
      </w:r>
      <w:r w:rsidR="00767F74">
        <w:t>Since</w:t>
      </w:r>
      <w:r w:rsidRPr="00721D1B">
        <w:t xml:space="preserve"> the Industrial Revolution, the economic development of the world has been based on the </w:t>
      </w:r>
      <w:r w:rsidR="00356120" w:rsidRPr="00721D1B">
        <w:t>use of fossil fuels to meet</w:t>
      </w:r>
      <w:r w:rsidRPr="00721D1B">
        <w:t xml:space="preserve"> </w:t>
      </w:r>
      <w:r w:rsidR="00767F74">
        <w:t xml:space="preserve">global </w:t>
      </w:r>
      <w:r w:rsidR="001B3FCB" w:rsidRPr="00721D1B">
        <w:t>energy demand</w:t>
      </w:r>
      <w:r w:rsidR="00767F74">
        <w:t>.</w:t>
      </w:r>
      <w:r w:rsidRPr="00721D1B">
        <w:t xml:space="preserve"> </w:t>
      </w:r>
      <w:r w:rsidR="00A534C1" w:rsidRPr="00721D1B">
        <w:t xml:space="preserve">With the growing </w:t>
      </w:r>
      <w:r w:rsidR="00767F74">
        <w:t>climate threat</w:t>
      </w:r>
      <w:r w:rsidR="00A534C1" w:rsidRPr="00721D1B">
        <w:t>,</w:t>
      </w:r>
      <w:r w:rsidRPr="00721D1B">
        <w:t xml:space="preserve"> </w:t>
      </w:r>
      <w:r w:rsidR="00A534C1" w:rsidRPr="00721D1B">
        <w:t xml:space="preserve">many governments have </w:t>
      </w:r>
      <w:r w:rsidR="00215003" w:rsidRPr="00721D1B">
        <w:t>worked to accelerate the</w:t>
      </w:r>
      <w:r w:rsidR="001B3FCB" w:rsidRPr="00721D1B">
        <w:t xml:space="preserve"> uptake of clean or low carbon energy sources, particularly for the generation of electricity. </w:t>
      </w:r>
      <w:r w:rsidR="00215003" w:rsidRPr="00721D1B">
        <w:t>For instance, t</w:t>
      </w:r>
      <w:r w:rsidR="00A24E75" w:rsidRPr="00721D1B">
        <w:t>he United Kingdom (UK) has managed to achieve a significant reduction of Greenhouse Gas (GHG) emissions in recent years, cutting them by 43% since 1990 (CCC, 2019)</w:t>
      </w:r>
      <w:r w:rsidR="005453A7" w:rsidRPr="00721D1B">
        <w:t xml:space="preserve">. These results </w:t>
      </w:r>
      <w:r w:rsidR="00A24E75" w:rsidRPr="00721D1B">
        <w:t xml:space="preserve">can mainly be attributed to the power sector, which has seen a considerable reduction in the use of coal as an energy source and an increase in the use of renewable sources. </w:t>
      </w:r>
      <w:r w:rsidR="00056B0B" w:rsidRPr="00721D1B">
        <w:t>As a matter of fact, i</w:t>
      </w:r>
      <w:r w:rsidR="001B3FCB" w:rsidRPr="00721D1B">
        <w:t xml:space="preserve">n the year of 2017, 27.9% of the electricity </w:t>
      </w:r>
      <w:r w:rsidR="00962503" w:rsidRPr="00721D1B">
        <w:t>generated in the UK</w:t>
      </w:r>
      <w:r w:rsidR="00443FD0" w:rsidRPr="00721D1B">
        <w:t xml:space="preserve"> came from renewables, whilst renewable</w:t>
      </w:r>
      <w:r w:rsidR="001B3FCB" w:rsidRPr="00721D1B">
        <w:t xml:space="preserve"> heat and transport only represented</w:t>
      </w:r>
      <w:r w:rsidR="00962503" w:rsidRPr="00721D1B">
        <w:t>, respectively,</w:t>
      </w:r>
      <w:r w:rsidR="001B3FCB" w:rsidRPr="00721D1B">
        <w:t xml:space="preserve"> 7.7% and </w:t>
      </w:r>
      <w:r w:rsidR="00962503" w:rsidRPr="00721D1B">
        <w:t>4.6% of the national</w:t>
      </w:r>
      <w:r w:rsidR="001B3FCB" w:rsidRPr="00721D1B">
        <w:t xml:space="preserve"> demand (BEIS 2018</w:t>
      </w:r>
      <w:r w:rsidR="00FE2A85" w:rsidRPr="00721D1B">
        <w:t>a</w:t>
      </w:r>
      <w:r w:rsidR="001B3FCB" w:rsidRPr="00721D1B">
        <w:t>)</w:t>
      </w:r>
      <w:r w:rsidR="00056B0B" w:rsidRPr="00721D1B">
        <w:t>.</w:t>
      </w:r>
      <w:r w:rsidR="00A24E75" w:rsidRPr="00721D1B">
        <w:t xml:space="preserve"> If the UK </w:t>
      </w:r>
      <w:r w:rsidR="005453A7" w:rsidRPr="00721D1B">
        <w:t>is</w:t>
      </w:r>
      <w:r w:rsidR="00A24E75" w:rsidRPr="00721D1B">
        <w:t xml:space="preserve"> to honour its recent pledge to reach net zero carbon emissions by 2050, much greater efforts will be required, especially from the heating</w:t>
      </w:r>
      <w:r w:rsidR="00FE2A85" w:rsidRPr="00721D1B">
        <w:t xml:space="preserve"> </w:t>
      </w:r>
      <w:r w:rsidR="00A24E75" w:rsidRPr="00721D1B">
        <w:t>sector</w:t>
      </w:r>
      <w:r w:rsidR="00FE2A85" w:rsidRPr="00721D1B">
        <w:t>, which is responsible for nearly half the energy consumption and around one third of carbon emissions</w:t>
      </w:r>
      <w:r w:rsidR="00620308" w:rsidRPr="00721D1B">
        <w:t xml:space="preserve"> in the UK</w:t>
      </w:r>
      <w:r w:rsidR="00FE2A85" w:rsidRPr="00721D1B">
        <w:t xml:space="preserve"> (BEIS 2018b). </w:t>
      </w:r>
    </w:p>
    <w:p w14:paraId="07C418DD" w14:textId="3F1159E3" w:rsidR="00962503" w:rsidRDefault="00FD0315" w:rsidP="00D91965">
      <w:pPr>
        <w:pStyle w:val="06BodyMaintext"/>
      </w:pPr>
      <w:r w:rsidRPr="00FD0315">
        <w:t xml:space="preserve">Sustainable heating is also a problem </w:t>
      </w:r>
      <w:r>
        <w:t xml:space="preserve">for London, where </w:t>
      </w:r>
      <w:r w:rsidRPr="00FD0315">
        <w:t xml:space="preserve">nearly 90% of the heating sources used to warm buildings are gas-fired boilers, posing a threat not only </w:t>
      </w:r>
      <w:r w:rsidR="00962503">
        <w:t xml:space="preserve">in </w:t>
      </w:r>
      <w:r w:rsidR="00443FD0">
        <w:t>climate terms</w:t>
      </w:r>
      <w:r w:rsidRPr="00FD0315">
        <w:t xml:space="preserve"> but also due to air pollution. London’s homes produce </w:t>
      </w:r>
      <w:r w:rsidRPr="00FD0315">
        <w:lastRenderedPageBreak/>
        <w:t>one third of the capital’s total GHG emissions and nearly 75% of the energy consumed by homes is used to</w:t>
      </w:r>
      <w:r>
        <w:t xml:space="preserve"> </w:t>
      </w:r>
      <w:r w:rsidRPr="00FD0315">
        <w:t>provide space and hot water heating. Meanwhile, workplaces account for approximately 40% of the city’s emissions, with half of their energy demand being related to heating</w:t>
      </w:r>
      <w:r>
        <w:t xml:space="preserve"> (GLA 2018). </w:t>
      </w:r>
      <w:r w:rsidR="00962503" w:rsidRPr="00962503">
        <w:t>It is clear that, if London and the UK want to decarbonise their energy systems, heat generation</w:t>
      </w:r>
      <w:r w:rsidR="00215003">
        <w:t xml:space="preserve"> all over the country must be shifted towards a wide deployment of efficient and low carbon heating sources.</w:t>
      </w:r>
    </w:p>
    <w:p w14:paraId="08FA86D8" w14:textId="21B84031" w:rsidR="00FD0315" w:rsidRPr="003751A5" w:rsidRDefault="00962503" w:rsidP="00D91965">
      <w:pPr>
        <w:pStyle w:val="06BodyMaintext"/>
      </w:pPr>
      <w:r>
        <w:t xml:space="preserve">Waste heat recovery systems represent a </w:t>
      </w:r>
      <w:r w:rsidRPr="00FD0315">
        <w:t>unique opportunity to make use of the surplus heat that is wasted in a v</w:t>
      </w:r>
      <w:r>
        <w:t>ariety of urban infrastructures, which could be widely exploited in London and other cities across the UK</w:t>
      </w:r>
      <w:r w:rsidR="007F4D8C">
        <w:t xml:space="preserve"> and </w:t>
      </w:r>
      <w:r w:rsidR="00BF3B98">
        <w:t>globally</w:t>
      </w:r>
      <w:r>
        <w:t xml:space="preserve">. These systems </w:t>
      </w:r>
      <w:r w:rsidRPr="00962503">
        <w:t xml:space="preserve">unlock the potential to generate and distribute energy locally through </w:t>
      </w:r>
      <w:r w:rsidR="007F4D8C">
        <w:t>heat</w:t>
      </w:r>
      <w:r w:rsidRPr="00962503">
        <w:t xml:space="preserve"> networks, which increase the efficiency of the overall energy system, helping to reduce the carbon footprint associated with heating whilst also tackling fuel poverty</w:t>
      </w:r>
      <w:r w:rsidR="00FD0315" w:rsidRPr="00FD0315">
        <w:t>.</w:t>
      </w:r>
      <w:r w:rsidRPr="00962503">
        <w:t xml:space="preserve"> </w:t>
      </w:r>
      <w:r w:rsidR="00984CC3" w:rsidRPr="00984CC3">
        <w:t xml:space="preserve">In the UK, heat networks supply only around 2% of </w:t>
      </w:r>
      <w:r w:rsidR="00984CC3">
        <w:t>the overall heating demand (ADE</w:t>
      </w:r>
      <w:r w:rsidR="00984CC3" w:rsidRPr="00984CC3">
        <w:t xml:space="preserve"> 2018), whilst in London, 6% of the energy demand is sup</w:t>
      </w:r>
      <w:r w:rsidR="00984CC3">
        <w:t>plied via district systems (GLA 2018</w:t>
      </w:r>
      <w:r w:rsidR="00984CC3" w:rsidRPr="00984CC3">
        <w:t>).</w:t>
      </w:r>
      <w:r w:rsidR="00984CC3">
        <w:t xml:space="preserve"> </w:t>
      </w:r>
      <w:r>
        <w:t xml:space="preserve">The Committee on Climate Change (2019) recognises </w:t>
      </w:r>
      <w:r w:rsidRPr="00FD0315">
        <w:t xml:space="preserve">that </w:t>
      </w:r>
      <w:r w:rsidR="007F4D8C">
        <w:t>waste heat based</w:t>
      </w:r>
      <w:r w:rsidRPr="00FD0315">
        <w:t xml:space="preserve"> district heating will play an important role in decarbonising the heating of bui</w:t>
      </w:r>
      <w:r>
        <w:t>ldings in the UK, being an essential technology in reaching the</w:t>
      </w:r>
      <w:r w:rsidRPr="00FD0315">
        <w:t xml:space="preserve"> net-zero GHG emission target by 2050, whilst the London Environm</w:t>
      </w:r>
      <w:r>
        <w:t>ent Strategy (2018)</w:t>
      </w:r>
      <w:r w:rsidRPr="00FD0315">
        <w:t xml:space="preserve"> has already set a target of </w:t>
      </w:r>
      <w:r w:rsidR="007F4D8C">
        <w:t>increasing the</w:t>
      </w:r>
      <w:r w:rsidRPr="00FD0315">
        <w:t xml:space="preserve"> energy </w:t>
      </w:r>
      <w:r w:rsidR="005003AF">
        <w:t>supply from</w:t>
      </w:r>
      <w:r w:rsidRPr="00FD0315">
        <w:t xml:space="preserve"> district schemes and renewable sources</w:t>
      </w:r>
      <w:r w:rsidR="005003AF">
        <w:t xml:space="preserve"> </w:t>
      </w:r>
      <w:r w:rsidR="007F4D8C">
        <w:t>to 15% by 2030</w:t>
      </w:r>
      <w:r w:rsidRPr="00FD0315">
        <w:t>.</w:t>
      </w:r>
      <w:r w:rsidR="007F4D8C">
        <w:t xml:space="preserve"> </w:t>
      </w:r>
      <w:r w:rsidR="00356120">
        <w:t xml:space="preserve">As the deployment of waste heat recovery schemes is expected to grow in the future, this </w:t>
      </w:r>
      <w:r w:rsidR="009F368A">
        <w:t>study analyses</w:t>
      </w:r>
      <w:r w:rsidR="00356120">
        <w:t xml:space="preserve"> how these new low carbon heat sources can be introduced into district energ</w:t>
      </w:r>
      <w:r w:rsidR="00215003">
        <w:t>y systems, helping to identify</w:t>
      </w:r>
      <w:r w:rsidR="00356120">
        <w:t xml:space="preserve"> how their performance can be monitored to guarantee an efficient, safe and reliable operation.</w:t>
      </w:r>
    </w:p>
    <w:p w14:paraId="0E13B48F" w14:textId="49FF7284" w:rsidR="0032046E" w:rsidRPr="00F55C70" w:rsidRDefault="00F8176D" w:rsidP="00E64DB6">
      <w:pPr>
        <w:pStyle w:val="10Level1Heading"/>
      </w:pPr>
      <w:r>
        <w:t>Performance</w:t>
      </w:r>
      <w:r w:rsidR="00FB5D75">
        <w:t xml:space="preserve"> ANalysis</w:t>
      </w:r>
    </w:p>
    <w:p w14:paraId="6DCB0C80" w14:textId="4E7C8319" w:rsidR="00E72277" w:rsidRDefault="00F74D11" w:rsidP="00BF3B98">
      <w:pPr>
        <w:pStyle w:val="06BodyMaintext"/>
      </w:pPr>
      <w:r w:rsidRPr="00F74D11">
        <w:t>The perf</w:t>
      </w:r>
      <w:r w:rsidR="00634520">
        <w:t>ormance of waste heat recovery systems</w:t>
      </w:r>
      <w:r w:rsidRPr="00F74D11">
        <w:t xml:space="preserve"> and district energy </w:t>
      </w:r>
      <w:r w:rsidR="00634520">
        <w:t>networks</w:t>
      </w:r>
      <w:r w:rsidRPr="00F74D11">
        <w:t xml:space="preserve"> depend on a wide variety of aspects and can</w:t>
      </w:r>
      <w:r w:rsidR="00942888">
        <w:t xml:space="preserve"> be</w:t>
      </w:r>
      <w:r w:rsidRPr="00F74D11">
        <w:t xml:space="preserve"> approached in different ways. According to BEIS (2018</w:t>
      </w:r>
      <w:r>
        <w:t>c</w:t>
      </w:r>
      <w:r w:rsidRPr="00F74D11">
        <w:t xml:space="preserve">), when optimising the performance of </w:t>
      </w:r>
      <w:r w:rsidR="00634520">
        <w:t>district heating</w:t>
      </w:r>
      <w:r w:rsidRPr="00F74D11">
        <w:t xml:space="preserve">, the objectives of such optimisation might be related, amongst others, to economic, social, environmental and technological benefits. </w:t>
      </w:r>
      <w:r w:rsidR="00607531">
        <w:t>From a technical point of view, the incorporation of</w:t>
      </w:r>
      <w:r w:rsidR="00BC0B0A">
        <w:t xml:space="preserve"> waste heat </w:t>
      </w:r>
      <w:r w:rsidR="00BD2053">
        <w:t xml:space="preserve">sources into </w:t>
      </w:r>
      <w:r w:rsidR="00BC0B0A">
        <w:t xml:space="preserve">future </w:t>
      </w:r>
      <w:r w:rsidR="00BD2053">
        <w:t>district energy system</w:t>
      </w:r>
      <w:r w:rsidR="00BC0B0A">
        <w:t>s</w:t>
      </w:r>
      <w:r w:rsidR="00607531">
        <w:t xml:space="preserve"> poses a great challenge for district energy operators,</w:t>
      </w:r>
      <w:r w:rsidR="00BC0B0A">
        <w:t xml:space="preserve"> </w:t>
      </w:r>
      <w:r w:rsidR="00EA37C5">
        <w:t xml:space="preserve">as </w:t>
      </w:r>
      <w:r w:rsidR="00607531">
        <w:t>waste heat</w:t>
      </w:r>
      <w:r w:rsidR="00BC0B0A">
        <w:t xml:space="preserve"> must be able to effectively replace traditional heat sources without compromising the reliability, safety and cost-efectiveness of the heat supply.</w:t>
      </w:r>
      <w:r w:rsidR="00BF3B98">
        <w:t xml:space="preserve"> </w:t>
      </w:r>
      <w:r w:rsidR="00EA37C5">
        <w:t>As in any energy system, the purpose of monitoring and controlling operating parameters for waste heat recovery schemes and district heating networks</w:t>
      </w:r>
      <w:r w:rsidR="003163D9">
        <w:t xml:space="preserve"> (DHNs)</w:t>
      </w:r>
      <w:r w:rsidR="00EA37C5">
        <w:t xml:space="preserve"> relates to increasing their overall energy efficiency. This means setting out control strategies that are </w:t>
      </w:r>
      <w:r w:rsidR="00DA36E5">
        <w:t>able to deliver the required amount of heat whilst consuming the lowest energy possible</w:t>
      </w:r>
      <w:r w:rsidR="00EA37C5">
        <w:t xml:space="preserve">, leading to clear financial and environmental benefits. </w:t>
      </w:r>
      <w:r w:rsidR="00634520">
        <w:t>This</w:t>
      </w:r>
      <w:r w:rsidR="00BC0B0A">
        <w:t xml:space="preserve"> paper focuses on analysing the key operating parameters that need to be monitored in order to guarantee a smooth integration </w:t>
      </w:r>
      <w:r w:rsidR="00B76EC9">
        <w:t xml:space="preserve">between a heat pump utilising waste heat from the London Underground and a </w:t>
      </w:r>
      <w:r w:rsidR="00527D38">
        <w:t>DHN</w:t>
      </w:r>
      <w:r w:rsidR="00B76EC9">
        <w:t xml:space="preserve"> in the London </w:t>
      </w:r>
      <w:r w:rsidR="004F35E8">
        <w:t>B</w:t>
      </w:r>
      <w:r w:rsidR="00B76EC9">
        <w:t xml:space="preserve">orough of Islington. </w:t>
      </w:r>
    </w:p>
    <w:p w14:paraId="21AB6C82" w14:textId="77777777" w:rsidR="00062156" w:rsidRPr="00AF2D6D" w:rsidRDefault="00DD6919" w:rsidP="00062156">
      <w:pPr>
        <w:pStyle w:val="11Level2Heading"/>
        <w:rPr>
          <w:rFonts w:ascii="Garamond" w:hAnsi="Garamond"/>
          <w:sz w:val="21"/>
          <w:szCs w:val="21"/>
        </w:rPr>
      </w:pPr>
      <w:r>
        <w:t>Heat Networks</w:t>
      </w:r>
    </w:p>
    <w:p w14:paraId="486E812E" w14:textId="5FDE873D" w:rsidR="00372C1A" w:rsidRDefault="004F35E8" w:rsidP="00D91965">
      <w:pPr>
        <w:pStyle w:val="06BodyMaintext"/>
      </w:pPr>
      <w:r>
        <w:t>The Heat Networks</w:t>
      </w:r>
      <w:r w:rsidR="00123A9B" w:rsidRPr="00123A9B">
        <w:t xml:space="preserve"> Code of Practice for the </w:t>
      </w:r>
      <w:r w:rsidR="00AD74C3">
        <w:t>UK (CIBSE/ADE</w:t>
      </w:r>
      <w:r w:rsidR="00123A9B">
        <w:t xml:space="preserve"> 2015</w:t>
      </w:r>
      <w:r w:rsidR="00123A9B" w:rsidRPr="00123A9B">
        <w:t xml:space="preserve">) </w:t>
      </w:r>
      <w:r w:rsidR="0069091A">
        <w:t>aims</w:t>
      </w:r>
      <w:r w:rsidR="00123A9B" w:rsidRPr="00123A9B">
        <w:t xml:space="preserve"> to guarantee that </w:t>
      </w:r>
      <w:r w:rsidR="0069091A">
        <w:t xml:space="preserve">district heating </w:t>
      </w:r>
      <w:r w:rsidR="00123A9B" w:rsidRPr="00123A9B">
        <w:t>remain</w:t>
      </w:r>
      <w:r w:rsidR="0069091A">
        <w:t>s</w:t>
      </w:r>
      <w:r w:rsidR="00123A9B" w:rsidRPr="00123A9B">
        <w:t xml:space="preserve"> a cost-competitive suppl</w:t>
      </w:r>
      <w:r w:rsidR="003163D9">
        <w:t>y of heat compared to</w:t>
      </w:r>
      <w:r w:rsidR="0069091A">
        <w:t xml:space="preserve"> conventional heating methods</w:t>
      </w:r>
      <w:r w:rsidR="00123A9B" w:rsidRPr="00123A9B">
        <w:t>, maintaining a high level of reliability and customer satis</w:t>
      </w:r>
      <w:r w:rsidR="003163D9">
        <w:t xml:space="preserve">faction, </w:t>
      </w:r>
      <w:r w:rsidR="0069091A">
        <w:t>while</w:t>
      </w:r>
      <w:r w:rsidR="003163D9">
        <w:t xml:space="preserve"> reducing</w:t>
      </w:r>
      <w:r w:rsidR="00123A9B" w:rsidRPr="00123A9B">
        <w:t xml:space="preserve"> carbon emissions and energy consumption. In order to achieve this, the Code suggests how to improve the quality of the whole network by covering all components of a district heating scheme, incl</w:t>
      </w:r>
      <w:r w:rsidR="00560539">
        <w:t xml:space="preserve">uding </w:t>
      </w:r>
      <w:r w:rsidR="00260E96">
        <w:t>heat generation plants</w:t>
      </w:r>
      <w:r w:rsidR="00123A9B" w:rsidRPr="00123A9B">
        <w:t xml:space="preserve">, </w:t>
      </w:r>
      <w:r w:rsidR="00DA7CDB">
        <w:t>the heat distribution network</w:t>
      </w:r>
      <w:r w:rsidR="00560539">
        <w:t>,</w:t>
      </w:r>
      <w:r w:rsidR="00123A9B" w:rsidRPr="00123A9B">
        <w:t xml:space="preserve"> </w:t>
      </w:r>
      <w:r w:rsidR="00260E96">
        <w:t xml:space="preserve">and </w:t>
      </w:r>
      <w:r w:rsidR="00560539">
        <w:t>substations that connect</w:t>
      </w:r>
      <w:r w:rsidR="00260E96">
        <w:t xml:space="preserve"> </w:t>
      </w:r>
      <w:r w:rsidR="00560539">
        <w:t xml:space="preserve">the </w:t>
      </w:r>
      <w:r w:rsidR="00260E96">
        <w:t>main network</w:t>
      </w:r>
      <w:r w:rsidR="00560539">
        <w:t xml:space="preserve"> to</w:t>
      </w:r>
      <w:r w:rsidR="00260E96">
        <w:t xml:space="preserve"> end users</w:t>
      </w:r>
      <w:r w:rsidR="00123A9B">
        <w:t xml:space="preserve">. </w:t>
      </w:r>
      <w:r w:rsidR="00123A9B" w:rsidRPr="00123A9B">
        <w:t xml:space="preserve">One essential aspect highlighted by the Code of Practice that can optimise the performance of heat networks is the use of data. The Heat Networks (Metering and Billing) Regulations 2014 </w:t>
      </w:r>
      <w:r w:rsidR="00543E65">
        <w:t>state</w:t>
      </w:r>
      <w:r w:rsidR="00123A9B" w:rsidRPr="00123A9B">
        <w:t xml:space="preserve"> that all buildings connected to heat networks </w:t>
      </w:r>
      <w:r w:rsidR="00543E65">
        <w:t>must</w:t>
      </w:r>
      <w:r w:rsidR="00123A9B" w:rsidRPr="00123A9B">
        <w:t xml:space="preserve"> incorporate heat meters by default. </w:t>
      </w:r>
      <w:r w:rsidR="003163D9">
        <w:t>Introducing</w:t>
      </w:r>
      <w:r w:rsidR="00123A9B" w:rsidRPr="00123A9B">
        <w:t xml:space="preserve"> additional meters</w:t>
      </w:r>
      <w:r w:rsidR="00560539">
        <w:t xml:space="preserve"> at different points of the network</w:t>
      </w:r>
      <w:r w:rsidR="00BB0C59">
        <w:t>, such as</w:t>
      </w:r>
      <w:r w:rsidR="00123A9B" w:rsidRPr="00123A9B">
        <w:t xml:space="preserve"> temperature and pressure sensors and flow meters, </w:t>
      </w:r>
      <w:r w:rsidR="003163D9">
        <w:t xml:space="preserve">can optimise </w:t>
      </w:r>
      <w:r w:rsidR="00BB0C59">
        <w:t xml:space="preserve">the </w:t>
      </w:r>
      <w:r w:rsidR="003163D9">
        <w:t>management of a DHN by providing</w:t>
      </w:r>
      <w:r w:rsidR="00123A9B" w:rsidRPr="00123A9B">
        <w:t xml:space="preserve"> detailed information regarding </w:t>
      </w:r>
      <w:r w:rsidR="003163D9">
        <w:t>its operation. The data gathered</w:t>
      </w:r>
      <w:r w:rsidR="00BB0C59">
        <w:t xml:space="preserve"> by these meters can help monitoring peak demands, heat losses and operating temperatures, making it much easier to analyse the efficiency of a heat network and identify potential improvements that could be made.</w:t>
      </w:r>
    </w:p>
    <w:p w14:paraId="141D4F67" w14:textId="01D7C0D7" w:rsidR="002479E3" w:rsidRDefault="00560539" w:rsidP="00D91965">
      <w:pPr>
        <w:pStyle w:val="06BodyMaintext"/>
      </w:pPr>
      <w:r>
        <w:t>Energy</w:t>
      </w:r>
      <w:r w:rsidR="00F8176D" w:rsidRPr="00F8176D">
        <w:t xml:space="preserve"> efficiency can be obtained mainly by reducing heat distribution losses and lowering the </w:t>
      </w:r>
      <w:r w:rsidR="00DA7CDB">
        <w:t xml:space="preserve">energy inputs </w:t>
      </w:r>
      <w:r w:rsidR="00CB73AA">
        <w:t>t</w:t>
      </w:r>
      <w:r w:rsidR="00DA7CDB">
        <w:t xml:space="preserve">o </w:t>
      </w:r>
      <w:r w:rsidR="00DA7CDB">
        <w:lastRenderedPageBreak/>
        <w:t>the system</w:t>
      </w:r>
      <w:r w:rsidR="00C95979">
        <w:t xml:space="preserve">. </w:t>
      </w:r>
      <w:r w:rsidR="00B36C0C">
        <w:t>M</w:t>
      </w:r>
      <w:r w:rsidR="00F8176D" w:rsidRPr="00F8176D">
        <w:t>any</w:t>
      </w:r>
      <w:r w:rsidR="00C95979">
        <w:t xml:space="preserve"> authors have reported how</w:t>
      </w:r>
      <w:r w:rsidR="00B36C0C">
        <w:t xml:space="preserve"> </w:t>
      </w:r>
      <w:r w:rsidR="00B36C0C" w:rsidRPr="00B36C0C">
        <w:t>heat distribution losse</w:t>
      </w:r>
      <w:r w:rsidR="00B36C0C">
        <w:t xml:space="preserve">s </w:t>
      </w:r>
      <w:r w:rsidR="00F8176D" w:rsidRPr="00F8176D">
        <w:t xml:space="preserve">can be </w:t>
      </w:r>
      <w:r w:rsidR="00C95979">
        <w:t>lowered</w:t>
      </w:r>
      <w:r w:rsidR="00F8176D" w:rsidRPr="00F8176D">
        <w:t xml:space="preserve">. Jangsten et al. (2011) modelled how different heat densities can affect the distribution losses of a </w:t>
      </w:r>
      <w:r w:rsidR="00DA7CDB">
        <w:t>DHN</w:t>
      </w:r>
      <w:r w:rsidR="00F8176D" w:rsidRPr="00F8176D">
        <w:t xml:space="preserve"> and </w:t>
      </w:r>
      <w:r w:rsidR="00BD0554">
        <w:t>reported</w:t>
      </w:r>
      <w:r w:rsidR="00F8176D" w:rsidRPr="00F8176D">
        <w:t xml:space="preserve"> how </w:t>
      </w:r>
      <w:r w:rsidR="00C95979">
        <w:t>smaller</w:t>
      </w:r>
      <w:r w:rsidR="00F8176D" w:rsidRPr="00F8176D">
        <w:t xml:space="preserve"> pipe configurations and </w:t>
      </w:r>
      <w:r w:rsidR="00C95979">
        <w:t xml:space="preserve">lower </w:t>
      </w:r>
      <w:r w:rsidR="00F8176D" w:rsidRPr="00F8176D">
        <w:t>operating temperatures can lead to higher efficiency.</w:t>
      </w:r>
      <w:r w:rsidR="00004E6B">
        <w:t xml:space="preserve"> </w:t>
      </w:r>
      <w:r w:rsidR="00834B3C">
        <w:t>However,</w:t>
      </w:r>
      <w:r w:rsidR="00D260F0">
        <w:t xml:space="preserve"> it is important to highlight that</w:t>
      </w:r>
      <w:r w:rsidR="00834B3C">
        <w:t xml:space="preserve"> lower operating temperatures require higher flow rates to deliver the same amount of heat, so the savings associated with </w:t>
      </w:r>
      <w:r w:rsidR="00B36C0C">
        <w:t>reducing distribution temperatures</w:t>
      </w:r>
      <w:r w:rsidR="00834B3C">
        <w:t xml:space="preserve"> might be offset by </w:t>
      </w:r>
      <w:r w:rsidR="00B36C0C">
        <w:t xml:space="preserve">increased power consumption for pumping. </w:t>
      </w:r>
      <w:r w:rsidR="00777671">
        <w:t>Vesterlund et al. (2017) modelled a multi-source district heating network to investigate how operating costs related to heat generation and delivery could be minimised.</w:t>
      </w:r>
      <w:r w:rsidR="002E44B8">
        <w:t xml:space="preserve"> The authors</w:t>
      </w:r>
      <w:r w:rsidR="00B36C0C">
        <w:t xml:space="preserve"> analysed a Swedish case study and</w:t>
      </w:r>
      <w:r w:rsidR="002E44B8">
        <w:t xml:space="preserve"> showed that generation plants with higher efficiencies and lower fuel consumption, which </w:t>
      </w:r>
      <w:r w:rsidR="002479E3">
        <w:t>consisted of</w:t>
      </w:r>
      <w:r w:rsidR="002E44B8">
        <w:t xml:space="preserve"> biomass boilers and industrial waste heat, led to greater cost savings</w:t>
      </w:r>
      <w:r w:rsidR="00B36C0C">
        <w:t xml:space="preserve"> when compared to</w:t>
      </w:r>
      <w:r w:rsidR="00D260F0">
        <w:t xml:space="preserve"> oil and electric boilers</w:t>
      </w:r>
      <w:r w:rsidR="002E44B8">
        <w:t xml:space="preserve">. Another interesting finding was that </w:t>
      </w:r>
      <w:r w:rsidR="002867AB">
        <w:t>lower operating temperatures, which can be obtained with waste heat sources, reduce</w:t>
      </w:r>
      <w:r w:rsidR="002479E3">
        <w:t>d</w:t>
      </w:r>
      <w:r w:rsidR="002867AB">
        <w:t xml:space="preserve"> the overall operation</w:t>
      </w:r>
      <w:r w:rsidR="006743E1">
        <w:t>al</w:t>
      </w:r>
      <w:r w:rsidR="002867AB">
        <w:t xml:space="preserve"> costs of the network, </w:t>
      </w:r>
      <w:r w:rsidR="002479E3">
        <w:t>even though the pumping costs we</w:t>
      </w:r>
      <w:r w:rsidR="002867AB">
        <w:t>re increased.</w:t>
      </w:r>
      <w:r w:rsidR="00921596">
        <w:t xml:space="preserve"> Flexibility in thermal networks</w:t>
      </w:r>
      <w:r w:rsidR="00D260F0">
        <w:t xml:space="preserve"> can also help </w:t>
      </w:r>
      <w:r w:rsidR="004F35E8">
        <w:t>to achieve</w:t>
      </w:r>
      <w:r w:rsidR="00D260F0">
        <w:t xml:space="preserve"> lower operating temperatures by reducing peak demands, either through the use of thermal storage devices or </w:t>
      </w:r>
      <w:r w:rsidR="00921596">
        <w:t>by exploiting the thermal inertia of the distribution network or the buildings connected to it</w:t>
      </w:r>
      <w:r w:rsidR="00D260F0">
        <w:t xml:space="preserve"> </w:t>
      </w:r>
      <w:r w:rsidR="00921596">
        <w:t>(Vandermeulen et al. 2018).</w:t>
      </w:r>
      <w:r w:rsidR="00D260F0" w:rsidRPr="00D260F0">
        <w:t xml:space="preserve"> </w:t>
      </w:r>
      <w:r w:rsidR="00D260F0">
        <w:t>This</w:t>
      </w:r>
      <w:r w:rsidR="002479E3">
        <w:t xml:space="preserve"> can be especially beneficial for waste heat recovery systems, as heat pumps can convert excess renewable electricity into thermal energy, helping to balance the intermittent</w:t>
      </w:r>
      <w:r w:rsidR="002479E3" w:rsidRPr="002479E3">
        <w:t xml:space="preserve"> renewable power supply</w:t>
      </w:r>
      <w:r w:rsidR="00BF3B98">
        <w:t xml:space="preserve"> and </w:t>
      </w:r>
      <w:r w:rsidR="002479E3">
        <w:t>alleviat</w:t>
      </w:r>
      <w:r w:rsidR="00BF3B98">
        <w:t>ing</w:t>
      </w:r>
      <w:r w:rsidR="002479E3">
        <w:t xml:space="preserve"> the</w:t>
      </w:r>
      <w:r w:rsidR="004F35E8">
        <w:t xml:space="preserve"> pressure on the</w:t>
      </w:r>
      <w:r w:rsidR="002479E3">
        <w:t xml:space="preserve"> grid</w:t>
      </w:r>
      <w:r w:rsidR="002479E3" w:rsidRPr="002479E3">
        <w:t>.</w:t>
      </w:r>
    </w:p>
    <w:p w14:paraId="437BEDF2" w14:textId="10F1EAAA" w:rsidR="00543E65" w:rsidRPr="00543E65" w:rsidRDefault="003304F9" w:rsidP="00D91965">
      <w:pPr>
        <w:pStyle w:val="06BodyMaintext"/>
      </w:pPr>
      <w:r>
        <w:t xml:space="preserve">Over the years, district heating has evolved significantly towards lower operating temperatures, higher energy efficiency and lower use of fossil fuels to </w:t>
      </w:r>
      <w:r w:rsidR="00543E65">
        <w:t>produce</w:t>
      </w:r>
      <w:r>
        <w:t xml:space="preserve"> heat. Lund et al. (2014) showed how the 4</w:t>
      </w:r>
      <w:r w:rsidRPr="003304F9">
        <w:rPr>
          <w:vertAlign w:val="superscript"/>
        </w:rPr>
        <w:t>th</w:t>
      </w:r>
      <w:r>
        <w:t xml:space="preserve"> Generation of District Heating (4GDH) </w:t>
      </w:r>
      <w:r w:rsidRPr="003304F9">
        <w:t>is defined by low temperature</w:t>
      </w:r>
      <w:r w:rsidR="003D6BDB">
        <w:t xml:space="preserve"> </w:t>
      </w:r>
      <w:r w:rsidRPr="003304F9">
        <w:t xml:space="preserve">networks based on </w:t>
      </w:r>
      <w:r w:rsidR="003D6BDB">
        <w:t>flexibility and the</w:t>
      </w:r>
      <w:r w:rsidRPr="003304F9">
        <w:t xml:space="preserve"> use of renewable and waste heat sources, being linked to electrical grids</w:t>
      </w:r>
      <w:r w:rsidR="003D6BDB">
        <w:t xml:space="preserve"> </w:t>
      </w:r>
      <w:r w:rsidRPr="003304F9">
        <w:t>to form smart energy systems</w:t>
      </w:r>
      <w:r>
        <w:t xml:space="preserve">. Buffa et al. (2019) showed how cooling is also an important part of </w:t>
      </w:r>
      <w:r w:rsidR="003D6BDB">
        <w:t>the future of energy</w:t>
      </w:r>
      <w:r>
        <w:t xml:space="preserve">, introducing the </w:t>
      </w:r>
      <w:r w:rsidRPr="003304F9">
        <w:t>5th Generation District Heating and Cooling (5GDHC)</w:t>
      </w:r>
      <w:r>
        <w:t>, which involve</w:t>
      </w:r>
      <w:r w:rsidR="003D6BDB">
        <w:t>s</w:t>
      </w:r>
      <w:r>
        <w:t xml:space="preserve"> </w:t>
      </w:r>
      <w:r w:rsidRPr="003304F9">
        <w:t>not only smart coupling of sectors, but also the provision of both heating and cooling through the same network</w:t>
      </w:r>
      <w:r w:rsidR="001F0545">
        <w:t>,</w:t>
      </w:r>
      <w:r w:rsidRPr="003304F9">
        <w:t xml:space="preserve"> operating at ver</w:t>
      </w:r>
      <w:r w:rsidR="00A707EC">
        <w:t xml:space="preserve">y low temperatures </w:t>
      </w:r>
      <w:r w:rsidRPr="003304F9">
        <w:t>with</w:t>
      </w:r>
      <w:r w:rsidR="00A707EC">
        <w:t xml:space="preserve"> negligible thermal losses and high energy efficiencies</w:t>
      </w:r>
      <w:r>
        <w:t xml:space="preserve">. </w:t>
      </w:r>
      <w:r w:rsidR="00543E65">
        <w:t xml:space="preserve">Both 4GDH and 5GDHC </w:t>
      </w:r>
      <w:r w:rsidR="00BF3B98">
        <w:t>will play a key</w:t>
      </w:r>
      <w:r w:rsidR="00543E65" w:rsidRPr="003304F9">
        <w:t xml:space="preserve"> role in futu</w:t>
      </w:r>
      <w:r w:rsidR="00543E65">
        <w:t>re energy systems,</w:t>
      </w:r>
      <w:r w:rsidR="00543E65" w:rsidRPr="00BA6BFE">
        <w:t xml:space="preserve"> which will increasingly involve the use of waste heat as</w:t>
      </w:r>
      <w:r w:rsidR="00543E65">
        <w:t xml:space="preserve"> one of</w:t>
      </w:r>
      <w:r w:rsidR="00543E65" w:rsidRPr="00BA6BFE">
        <w:t xml:space="preserve"> the main sources of energy, shifting the heating sector towards decarbonisation, smart coupling and </w:t>
      </w:r>
      <w:r w:rsidR="00BF3B98">
        <w:t>energy savings</w:t>
      </w:r>
      <w:r w:rsidR="00543E65">
        <w:t>.</w:t>
      </w:r>
    </w:p>
    <w:p w14:paraId="04643A5B" w14:textId="77777777" w:rsidR="00F55C70" w:rsidRPr="00AF2D6D" w:rsidRDefault="00CD3D53" w:rsidP="00E64DB6">
      <w:pPr>
        <w:pStyle w:val="11Level2Heading"/>
        <w:rPr>
          <w:rFonts w:ascii="Garamond" w:hAnsi="Garamond"/>
          <w:sz w:val="21"/>
          <w:szCs w:val="21"/>
        </w:rPr>
      </w:pPr>
      <w:r>
        <w:t>Waste Heat Sources</w:t>
      </w:r>
    </w:p>
    <w:p w14:paraId="73A7A1C4" w14:textId="774F5F93" w:rsidR="00E11223" w:rsidRDefault="00543E65" w:rsidP="00D91965">
      <w:pPr>
        <w:pStyle w:val="06BodyMaintext"/>
      </w:pPr>
      <w:r w:rsidRPr="00543E65">
        <w:t>The in</w:t>
      </w:r>
      <w:r>
        <w:t xml:space="preserve">tegration of waste heat sources into </w:t>
      </w:r>
      <w:r w:rsidR="006A39CC">
        <w:t>district energy systems</w:t>
      </w:r>
      <w:r w:rsidR="00F25558">
        <w:t xml:space="preserve"> </w:t>
      </w:r>
      <w:r w:rsidR="00F25558" w:rsidRPr="00F25558">
        <w:t>provides a wide range of possibilities as heat can be recovered from any heat s</w:t>
      </w:r>
      <w:r w:rsidR="000569EB">
        <w:t xml:space="preserve">ource of sufficient temperature. </w:t>
      </w:r>
      <w:r w:rsidR="006A39CC">
        <w:t xml:space="preserve">Urban environments are particularly interesting for waste heat exploitation, as there are many opportunities for recovering and reusing surplus heat generated in cities. </w:t>
      </w:r>
      <w:r w:rsidR="000569EB">
        <w:t xml:space="preserve"> </w:t>
      </w:r>
      <w:r w:rsidR="006A39CC">
        <w:t xml:space="preserve">Potential urban waste heat sources include data centres, electrical systems, industrial plants, sewage systems, supermarkets and railway tunnels, amongst others. </w:t>
      </w:r>
      <w:r w:rsidR="006A39CC" w:rsidRPr="006A39CC">
        <w:t xml:space="preserve">Due to its typical low grade, </w:t>
      </w:r>
      <w:r w:rsidR="006A39CC">
        <w:t xml:space="preserve">urban </w:t>
      </w:r>
      <w:r w:rsidR="006A39CC" w:rsidRPr="006A39CC">
        <w:t xml:space="preserve">waste heat can be well integrated into district heating, </w:t>
      </w:r>
      <w:r w:rsidR="006A39CC">
        <w:t>either directly or after</w:t>
      </w:r>
      <w:r w:rsidR="006A39CC" w:rsidRPr="006A39CC">
        <w:t xml:space="preserve"> </w:t>
      </w:r>
      <w:r w:rsidR="006A39CC">
        <w:t>being</w:t>
      </w:r>
      <w:r w:rsidR="006A39CC" w:rsidRPr="006A39CC">
        <w:t xml:space="preserve"> upgrade</w:t>
      </w:r>
      <w:r w:rsidR="004F35E8">
        <w:t>d</w:t>
      </w:r>
      <w:r w:rsidR="006A39CC" w:rsidRPr="006A39CC">
        <w:t xml:space="preserve"> by a heat pump, which</w:t>
      </w:r>
      <w:r w:rsidR="0096528F">
        <w:t xml:space="preserve"> will depend on the temperatures of both the source and the</w:t>
      </w:r>
      <w:r w:rsidR="00EA2C3D">
        <w:t xml:space="preserve"> network. </w:t>
      </w:r>
      <w:r w:rsidR="00B15995">
        <w:t>The design of a waste heat recovery system typically involves a heat recovery heat exchanger, which recover</w:t>
      </w:r>
      <w:r w:rsidR="00216EF1">
        <w:t>s</w:t>
      </w:r>
      <w:r w:rsidR="00B15995">
        <w:t xml:space="preserve"> heat </w:t>
      </w:r>
      <w:r w:rsidR="00216EF1">
        <w:t>from either air or a liquid, and a heat pump in case the heat needs to be upgraded.</w:t>
      </w:r>
      <w:r w:rsidR="006D0EEB">
        <w:t xml:space="preserve"> For that reason, the performance of </w:t>
      </w:r>
      <w:r w:rsidR="00327E02">
        <w:t>waste heat recovery systems</w:t>
      </w:r>
      <w:r w:rsidR="006D0EEB">
        <w:t xml:space="preserve"> is related mainly to the</w:t>
      </w:r>
      <w:r w:rsidR="00327E02">
        <w:t xml:space="preserve"> energy</w:t>
      </w:r>
      <w:r w:rsidR="006D0EEB">
        <w:t xml:space="preserve"> eff</w:t>
      </w:r>
      <w:r w:rsidR="00327E02">
        <w:t>i</w:t>
      </w:r>
      <w:r w:rsidR="0095111A">
        <w:t>ciency of these two components. Many authors have reported the benefits of heat pumps in enha</w:t>
      </w:r>
      <w:r w:rsidR="004C4099">
        <w:t>ncing energy</w:t>
      </w:r>
      <w:r w:rsidR="0095111A">
        <w:t xml:space="preserve"> efficiency</w:t>
      </w:r>
      <w:r w:rsidR="004C4099">
        <w:t xml:space="preserve">, </w:t>
      </w:r>
      <w:r w:rsidR="00BF4D42">
        <w:t>being able to</w:t>
      </w:r>
      <w:r w:rsidR="0095111A">
        <w:t xml:space="preserve"> minimis</w:t>
      </w:r>
      <w:r w:rsidR="004C4099">
        <w:t>e costs and environmental impacts of</w:t>
      </w:r>
      <w:r w:rsidR="0095111A">
        <w:t xml:space="preserve"> heating</w:t>
      </w:r>
      <w:r w:rsidR="004C4099">
        <w:t xml:space="preserve"> systems, </w:t>
      </w:r>
      <w:r w:rsidR="00BF4D42">
        <w:t>which include</w:t>
      </w:r>
      <w:r w:rsidR="004C4099">
        <w:t xml:space="preserve"> district energy schemes</w:t>
      </w:r>
      <w:r w:rsidR="0095111A">
        <w:t xml:space="preserve">. </w:t>
      </w:r>
      <w:r w:rsidR="00F10306">
        <w:t xml:space="preserve">These advantages can be even greater when </w:t>
      </w:r>
      <w:r w:rsidR="00CC56D9">
        <w:t>utilising</w:t>
      </w:r>
      <w:r w:rsidR="00F10306">
        <w:t xml:space="preserve"> waste heat, as more constant source temperatures can improve the coefficient of performance (COP) of heat pumps when compared to conventional air-source systems (Chua et al. 2010).</w:t>
      </w:r>
      <w:r w:rsidR="008D0D17">
        <w:t xml:space="preserve"> </w:t>
      </w:r>
    </w:p>
    <w:p w14:paraId="141F5595" w14:textId="381DB436" w:rsidR="00543E65" w:rsidRPr="006A39CC" w:rsidRDefault="00E11223" w:rsidP="00D91965">
      <w:pPr>
        <w:pStyle w:val="06BodyMaintext"/>
      </w:pPr>
      <w:r>
        <w:t xml:space="preserve">Underground railway tunnels represent a particularly interesting waste heat source for cities like London, where public transportation heavily relies on </w:t>
      </w:r>
      <w:r w:rsidR="00F800F1">
        <w:t>metro systems</w:t>
      </w:r>
      <w:r>
        <w:t xml:space="preserve">. </w:t>
      </w:r>
      <w:r w:rsidRPr="00E11223">
        <w:t>The potential of exploiting the London Underground’s waste heat was investigated by</w:t>
      </w:r>
      <w:r>
        <w:t xml:space="preserve"> Gilbey et al. (2011)</w:t>
      </w:r>
      <w:r w:rsidRPr="00E11223">
        <w:t>, who showed that average platform temperatures can be as high as 20°C</w:t>
      </w:r>
      <w:r w:rsidR="00BA6FD8">
        <w:t xml:space="preserve"> (</w:t>
      </w:r>
      <w:r w:rsidR="009A2980">
        <w:t>86</w:t>
      </w:r>
      <w:r w:rsidR="009A2980" w:rsidRPr="00E11223">
        <w:t>°</w:t>
      </w:r>
      <w:r w:rsidR="009A2980">
        <w:t>F)</w:t>
      </w:r>
      <w:r w:rsidRPr="00E11223">
        <w:t xml:space="preserve"> on a cold winter’s day and reach up to 32°C</w:t>
      </w:r>
      <w:r w:rsidR="009A2980">
        <w:t xml:space="preserve"> (90°F)</w:t>
      </w:r>
      <w:r w:rsidRPr="00E11223">
        <w:t xml:space="preserve"> during summer</w:t>
      </w:r>
      <w:r w:rsidR="003D7C29">
        <w:t>.</w:t>
      </w:r>
      <w:r w:rsidR="00AA3517">
        <w:t xml:space="preserve"> Duffy (2018) reported that</w:t>
      </w:r>
      <w:r w:rsidR="003D7C29">
        <w:t xml:space="preserve"> </w:t>
      </w:r>
      <w:r w:rsidR="00AA3517">
        <w:t>nearly 500 GWh</w:t>
      </w:r>
      <w:r w:rsidR="00900EF1">
        <w:t xml:space="preserve"> (17 million therm</w:t>
      </w:r>
      <w:r w:rsidR="004F7DEB">
        <w:t>s</w:t>
      </w:r>
      <w:r w:rsidR="00900EF1">
        <w:t>)</w:t>
      </w:r>
      <w:r w:rsidR="00AA3517">
        <w:t xml:space="preserve"> of heat per annum is produced in the Underground tunnels and stations. </w:t>
      </w:r>
      <w:r w:rsidR="003D7C29">
        <w:t xml:space="preserve">This heat could be efficiently </w:t>
      </w:r>
      <w:r w:rsidR="006E7742">
        <w:t>recovered and utilised by a heat pump, delivering low carbon heat while p</w:t>
      </w:r>
      <w:r w:rsidR="0096528F">
        <w:t>roviding cooling to the tunnels</w:t>
      </w:r>
      <w:r w:rsidR="00A853CC">
        <w:t>, which is also beneficial</w:t>
      </w:r>
      <w:r w:rsidR="003D7C29">
        <w:t>.</w:t>
      </w:r>
      <w:r w:rsidR="001E7110">
        <w:t xml:space="preserve"> </w:t>
      </w:r>
      <w:r w:rsidRPr="00E11223">
        <w:t xml:space="preserve">As the technology to recover waste heat from </w:t>
      </w:r>
      <w:r w:rsidR="00F800F1">
        <w:t>underground railways</w:t>
      </w:r>
      <w:r>
        <w:t xml:space="preserve"> </w:t>
      </w:r>
      <w:r w:rsidRPr="00E11223">
        <w:t xml:space="preserve">is still very incipient, </w:t>
      </w:r>
      <w:r w:rsidR="00F800F1">
        <w:t xml:space="preserve">being </w:t>
      </w:r>
      <w:r w:rsidRPr="00E11223">
        <w:t xml:space="preserve">closely linked </w:t>
      </w:r>
      <w:r w:rsidR="00274826">
        <w:lastRenderedPageBreak/>
        <w:t>to the recent 4</w:t>
      </w:r>
      <w:r w:rsidR="00274826" w:rsidRPr="00274826">
        <w:rPr>
          <w:vertAlign w:val="superscript"/>
        </w:rPr>
        <w:t>th</w:t>
      </w:r>
      <w:r w:rsidR="00274826">
        <w:t xml:space="preserve"> and 5</w:t>
      </w:r>
      <w:r w:rsidR="00274826" w:rsidRPr="00274826">
        <w:rPr>
          <w:vertAlign w:val="superscript"/>
        </w:rPr>
        <w:t>th</w:t>
      </w:r>
      <w:r w:rsidR="00274826">
        <w:t xml:space="preserve"> generations of district heating, which reflect efforts to increase</w:t>
      </w:r>
      <w:r w:rsidRPr="00E11223">
        <w:t xml:space="preserve"> energy efficiency of heating systems and </w:t>
      </w:r>
      <w:r w:rsidR="00274826">
        <w:t>reduce their carbon footprints</w:t>
      </w:r>
      <w:r w:rsidRPr="00E11223">
        <w:t xml:space="preserve">, there is still a lot to be explored on this topic. </w:t>
      </w:r>
      <w:r w:rsidRPr="00F800F1">
        <w:t xml:space="preserve">The heat distribution through district heating networks, </w:t>
      </w:r>
      <w:r w:rsidRPr="009D44C6">
        <w:t xml:space="preserve">on the other hand, is a very well established technology, being widely reported in current literature. For that reason, this </w:t>
      </w:r>
      <w:r w:rsidR="001E7110" w:rsidRPr="009D44C6">
        <w:t>paper</w:t>
      </w:r>
      <w:r w:rsidRPr="009D44C6">
        <w:t xml:space="preserve"> </w:t>
      </w:r>
      <w:r w:rsidR="001E7110" w:rsidRPr="009D44C6">
        <w:t>focuses</w:t>
      </w:r>
      <w:r w:rsidRPr="009D44C6">
        <w:t xml:space="preserve"> on understanding how waste heat can be effectively recovered from underground railway</w:t>
      </w:r>
      <w:r w:rsidR="00F800F1" w:rsidRPr="009D44C6">
        <w:t xml:space="preserve"> tunnels by proposing a metering strategy to help monitoring the performance of the system</w:t>
      </w:r>
      <w:r w:rsidRPr="009D44C6">
        <w:t xml:space="preserve">, serving as an important learning experience for future similar developments in the UK and </w:t>
      </w:r>
      <w:r w:rsidRPr="00AA3517">
        <w:t>abroad.</w:t>
      </w:r>
      <w:r w:rsidRPr="00E11223">
        <w:t xml:space="preserve"> </w:t>
      </w:r>
      <w:r w:rsidR="00240704">
        <w:t xml:space="preserve"> </w:t>
      </w:r>
    </w:p>
    <w:p w14:paraId="2B82742C" w14:textId="77777777" w:rsidR="004F35E8" w:rsidRPr="00AF2D6D" w:rsidRDefault="004F35E8" w:rsidP="004F35E8">
      <w:pPr>
        <w:pStyle w:val="10Level1Heading"/>
        <w:rPr>
          <w:rFonts w:ascii="Garamond" w:hAnsi="Garamond"/>
        </w:rPr>
      </w:pPr>
      <w:r>
        <w:t>The BUNHILL WASTE HEAT RECOVERY SYSTEM</w:t>
      </w:r>
    </w:p>
    <w:p w14:paraId="46AF8411" w14:textId="289D46FE" w:rsidR="004F35E8" w:rsidRDefault="004F35E8" w:rsidP="00D91965">
      <w:pPr>
        <w:pStyle w:val="06BodyMaintext"/>
      </w:pPr>
      <w:r>
        <w:t xml:space="preserve">The Bunhill Waste Heat Recovery System </w:t>
      </w:r>
      <w:r w:rsidRPr="00A21DF6">
        <w:t>is the extension of an existing heat network, Bunhill 1, located in the London Borough of Islington</w:t>
      </w:r>
      <w:r>
        <w:t>, being often referred to as Bunhill 2. The system is based on the installation of an air-to-water heat exchanger within a ventilation shaft of the Northern Line of the</w:t>
      </w:r>
      <w:r w:rsidR="0019568B">
        <w:t xml:space="preserve"> London</w:t>
      </w:r>
      <w:r>
        <w:t xml:space="preserve"> Underground network. The heat captured is distributed to a two-stage water-to-water R717 (ammonia) heat pump, which upgrades it to a suitable temperature for distribution to local buildings through a heat network. The Energy Centre of Bunhill 2 consists of the waste heat recovery heat pump, two combined heat and power (CHP) units, as well as a thermal storage tank. The heat pump has an average capacity of 1,033 kW</w:t>
      </w:r>
      <w:r w:rsidRPr="00A21DF6">
        <w:rPr>
          <w:vertAlign w:val="subscript"/>
        </w:rPr>
        <w:t>th</w:t>
      </w:r>
      <w:r w:rsidR="0019568B">
        <w:t xml:space="preserve"> (3.52</w:t>
      </w:r>
      <w:r>
        <w:t xml:space="preserve"> </w:t>
      </w:r>
      <w:r w:rsidR="0019568B">
        <w:t>MMBTU/hr</w:t>
      </w:r>
      <w:r>
        <w:t>), with 780 kW (2</w:t>
      </w:r>
      <w:r w:rsidR="00795298">
        <w:t>.</w:t>
      </w:r>
      <w:r>
        <w:t>6</w:t>
      </w:r>
      <w:r w:rsidR="00795298">
        <w:t>6</w:t>
      </w:r>
      <w:r>
        <w:t xml:space="preserve"> </w:t>
      </w:r>
      <w:r w:rsidR="00795298">
        <w:t>MMBTU/hr</w:t>
      </w:r>
      <w:r>
        <w:t>) of that heat being recovered from the ventilation shaft. The two CHP units, each with an output of 237kW</w:t>
      </w:r>
      <w:r w:rsidRPr="00A21DF6">
        <w:rPr>
          <w:vertAlign w:val="subscript"/>
        </w:rPr>
        <w:t>e</w:t>
      </w:r>
      <w:r>
        <w:rPr>
          <w:vertAlign w:val="subscript"/>
        </w:rPr>
        <w:t xml:space="preserve"> </w:t>
      </w:r>
      <w:r>
        <w:t>(318 hp)/372kW</w:t>
      </w:r>
      <w:r w:rsidRPr="00A21DF6">
        <w:rPr>
          <w:vertAlign w:val="subscript"/>
        </w:rPr>
        <w:t>th</w:t>
      </w:r>
      <w:r>
        <w:t xml:space="preserve"> (1.27 MMBTU/hr), add resilience and flexibility to the system, although its output heat could be rejected through dry air coolers if not needed. A thermal store of 77.5 m</w:t>
      </w:r>
      <w:r w:rsidRPr="00A21DF6">
        <w:rPr>
          <w:vertAlign w:val="superscript"/>
        </w:rPr>
        <w:t>3</w:t>
      </w:r>
      <w:r>
        <w:t xml:space="preserve"> (27,368.87 </w:t>
      </w:r>
      <w:r w:rsidRPr="00CF2509">
        <w:t>ft</w:t>
      </w:r>
      <w:r w:rsidRPr="00CF2509">
        <w:rPr>
          <w:vertAlign w:val="superscript"/>
        </w:rPr>
        <w:t>3</w:t>
      </w:r>
      <w:r>
        <w:t xml:space="preserve">) </w:t>
      </w:r>
      <w:r w:rsidRPr="00CF2509">
        <w:t>will</w:t>
      </w:r>
      <w:r>
        <w:t xml:space="preserve"> also be installed in order to add flexibility, helping to manage peak demands. The network operates with return and flow temperatures of 55°C (131</w:t>
      </w:r>
      <w:r w:rsidRPr="00E11223">
        <w:t>°</w:t>
      </w:r>
      <w:r>
        <w:t>F) and 75°C (167</w:t>
      </w:r>
      <w:r w:rsidRPr="00E11223">
        <w:t>°</w:t>
      </w:r>
      <w:r w:rsidR="00273B00">
        <w:t>F), respectively.</w:t>
      </w:r>
      <w:r>
        <w:t xml:space="preserve"> </w:t>
      </w:r>
      <w:r w:rsidR="00273B00">
        <w:t xml:space="preserve">The system </w:t>
      </w:r>
      <w:r>
        <w:t xml:space="preserve">is expected to provide heating to 455 dwellings in 5 building blocks of </w:t>
      </w:r>
      <w:r w:rsidR="00273B00">
        <w:t xml:space="preserve">a </w:t>
      </w:r>
      <w:r>
        <w:t>local housing estat</w:t>
      </w:r>
      <w:r w:rsidR="00273B00">
        <w:t>e,</w:t>
      </w:r>
      <w:r w:rsidR="00D91965">
        <w:t xml:space="preserve"> a </w:t>
      </w:r>
      <w:r w:rsidR="00273B00">
        <w:t>primary school and a mixed use building,</w:t>
      </w:r>
      <w:r w:rsidR="00D91965">
        <w:t xml:space="preserve"> </w:t>
      </w:r>
      <w:r w:rsidR="008F5B21">
        <w:t xml:space="preserve">being able to incorporate </w:t>
      </w:r>
      <w:r w:rsidR="00273B00">
        <w:t>other</w:t>
      </w:r>
      <w:r w:rsidR="008F5B21">
        <w:t xml:space="preserve"> buildings</w:t>
      </w:r>
      <w:r w:rsidR="00D91965">
        <w:t xml:space="preserve"> in the future.</w:t>
      </w:r>
      <w:r>
        <w:t xml:space="preserve"> </w:t>
      </w:r>
    </w:p>
    <w:p w14:paraId="566A4FF9" w14:textId="7F4180B3" w:rsidR="004F35E8" w:rsidRDefault="004F35E8" w:rsidP="00D91965">
      <w:pPr>
        <w:pStyle w:val="06BodyMaintext"/>
      </w:pPr>
      <w:r>
        <w:t>The heat exchanger used for this waste heat recovery system is a fan coil unit. The ventilation shaft had to be upgraded to accommodate both the coils and the variable speed reversible fan that enables the system to work in both Extract and Supply modes. The benefits of operation in these two different modes have been previously investigated by Davies et al. (2017) and consist of reversing the flow direction of the fan, allowing the system to operate by either extracting hot air from the Underground, which can then be used to warm the water in the coils, or using ambient air, which would be cooled by the coils and then supplied to the Underground, with the heat extracted being recovered by the heat exchanger. Extract mode would be used during the colder months of the year, when the heat demand is at its peak and the underground air is warmer. Supply mode would be used to supply cooling to the Underground during the summer, when ambient temperatures are higher. Figure 1 shows a schematic of the Bunhill Waste Heat Recovery system.</w:t>
      </w:r>
    </w:p>
    <w:p w14:paraId="0EF3539C" w14:textId="77777777" w:rsidR="00D91965" w:rsidRDefault="00D91965" w:rsidP="00D91965">
      <w:pPr>
        <w:pStyle w:val="06BodyMaintext"/>
      </w:pPr>
    </w:p>
    <w:p w14:paraId="478AEE74" w14:textId="43912ADE" w:rsidR="004F35E8" w:rsidRDefault="004F35E8" w:rsidP="00767F74">
      <w:pPr>
        <w:pStyle w:val="06BodyMaintext"/>
        <w:jc w:val="center"/>
      </w:pPr>
      <w:r w:rsidRPr="00CD3D53">
        <w:rPr>
          <w:noProof/>
          <w:lang w:val="en-GB" w:eastAsia="en-GB"/>
        </w:rPr>
        <w:drawing>
          <wp:inline distT="0" distB="0" distL="0" distR="0" wp14:anchorId="451D353F" wp14:editId="78A8449A">
            <wp:extent cx="4933951" cy="24840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3951" cy="2484000"/>
                    </a:xfrm>
                    <a:prstGeom prst="rect">
                      <a:avLst/>
                    </a:prstGeom>
                    <a:noFill/>
                    <a:ln>
                      <a:noFill/>
                    </a:ln>
                  </pic:spPr>
                </pic:pic>
              </a:graphicData>
            </a:graphic>
          </wp:inline>
        </w:drawing>
      </w:r>
    </w:p>
    <w:p w14:paraId="37EAC0AB" w14:textId="18DBAD31" w:rsidR="004F35E8" w:rsidRDefault="004F35E8" w:rsidP="00767F74">
      <w:pPr>
        <w:pStyle w:val="06BodyMaintext"/>
        <w:jc w:val="center"/>
      </w:pPr>
      <w:r>
        <w:rPr>
          <w:b/>
        </w:rPr>
        <w:t>Figure 1</w:t>
      </w:r>
      <w:r>
        <w:tab/>
        <w:t>Schematic of the Bunhill Waste Heat Recovery System.</w:t>
      </w:r>
    </w:p>
    <w:p w14:paraId="28584CE9" w14:textId="517DCEBE" w:rsidR="00D91965" w:rsidRPr="00D91965" w:rsidRDefault="00D91965" w:rsidP="00D91965">
      <w:pPr>
        <w:pStyle w:val="06BodyMaintext"/>
        <w:rPr>
          <w:highlight w:val="yellow"/>
        </w:rPr>
      </w:pPr>
      <w:r w:rsidRPr="00FC60AB">
        <w:lastRenderedPageBreak/>
        <w:t>The Bunhill Waste Heat Recovery System is a pilot project that can pave the way for London to become a truly smart city in terms of energy, unlocking the potential of urban waste heat a</w:t>
      </w:r>
      <w:r w:rsidR="001143EE">
        <w:t>nd district heating as</w:t>
      </w:r>
      <w:r w:rsidRPr="00FC60AB">
        <w:t xml:space="preserve"> turning point</w:t>
      </w:r>
      <w:r w:rsidR="001143EE">
        <w:t>s</w:t>
      </w:r>
      <w:r w:rsidRPr="00FC60AB">
        <w:t xml:space="preserve"> for the heating sector in the UK. </w:t>
      </w:r>
      <w:r w:rsidRPr="00FF3D81">
        <w:t xml:space="preserve">The advantages of the system have been investigated by Lagoeiro et al. (2019), who analysed the benefits of meeting all the heat demand of Bunhill 2 using only the waste heat based heat pump as a source for the DHN. This scenario was compared to a reference case where each building would have its own communal gas boiler instead of being connected to the heat network. The results indicated that the waste heat recovery system could potentially </w:t>
      </w:r>
      <w:r>
        <w:t>deliver</w:t>
      </w:r>
      <w:r w:rsidRPr="00FF3D81">
        <w:t xml:space="preserve"> carbon savings of 82% and cost savings of 14% when compared to conventional gas-fired heating. After simulating the potential benefits of the system, the next steps of the research involve planning how to evaluate its performance, which will start with the metering strategy proposed in this paper.</w:t>
      </w:r>
    </w:p>
    <w:p w14:paraId="5C57A742" w14:textId="05C32338" w:rsidR="00312D36" w:rsidRPr="00AF2D6D" w:rsidRDefault="00FB5D75" w:rsidP="00E64DB6">
      <w:pPr>
        <w:pStyle w:val="10Level1Heading"/>
        <w:rPr>
          <w:rFonts w:ascii="Garamond" w:hAnsi="Garamond"/>
        </w:rPr>
      </w:pPr>
      <w:r>
        <w:t>Monitoring system</w:t>
      </w:r>
    </w:p>
    <w:p w14:paraId="484099B4" w14:textId="4816FF6E" w:rsidR="00A853CC" w:rsidRDefault="004B76CB" w:rsidP="00D91965">
      <w:pPr>
        <w:pStyle w:val="06BodyMaintext"/>
      </w:pPr>
      <w:r>
        <w:t xml:space="preserve">In order to investigate the performance of Bunhill 2, </w:t>
      </w:r>
      <w:r w:rsidRPr="004B76CB">
        <w:t>it is important to have high quality data available, which should reflect accurately and consistently the operation of the system in an appropriate timescale. This can only be achieved by deploying a reliable m</w:t>
      </w:r>
      <w:r w:rsidR="006F5093">
        <w:t>onitoring</w:t>
      </w:r>
      <w:r w:rsidRPr="004B76CB">
        <w:t xml:space="preserve"> system, and this </w:t>
      </w:r>
      <w:r w:rsidR="00EA12D1">
        <w:t xml:space="preserve">paper </w:t>
      </w:r>
      <w:r w:rsidR="00BD2012">
        <w:t>identifies the critical parameters that need to be measured</w:t>
      </w:r>
      <w:r w:rsidRPr="004B76CB">
        <w:t xml:space="preserve">, as well </w:t>
      </w:r>
      <w:r w:rsidR="006F5093">
        <w:t xml:space="preserve">as </w:t>
      </w:r>
      <w:r w:rsidR="004067C9">
        <w:t xml:space="preserve">sets out a metering strategy, involving </w:t>
      </w:r>
      <w:r w:rsidR="006F5093">
        <w:t xml:space="preserve">the </w:t>
      </w:r>
      <w:r w:rsidR="00BD2012">
        <w:t>type of meters</w:t>
      </w:r>
      <w:r w:rsidR="006F5093">
        <w:t xml:space="preserve"> that</w:t>
      </w:r>
      <w:r w:rsidR="00BD2012">
        <w:t xml:space="preserve"> should be installed and where they should be p</w:t>
      </w:r>
      <w:r w:rsidR="007D065E">
        <w:t>laced</w:t>
      </w:r>
      <w:r w:rsidR="00E71090">
        <w:t xml:space="preserve"> within the system</w:t>
      </w:r>
      <w:r w:rsidR="006F5093">
        <w:t>.</w:t>
      </w:r>
      <w:r w:rsidR="004067C9">
        <w:t xml:space="preserve"> </w:t>
      </w:r>
      <w:r w:rsidR="006F61FF">
        <w:t xml:space="preserve">As this paper focuses on waste heat recovery, the other heat sources that comprise the Energy Centre, namely the CHP units and the thermal storage, will not be analysed in detail. </w:t>
      </w:r>
      <w:r w:rsidR="00014AAC">
        <w:t xml:space="preserve">The performance of the waste heat recovery system will be </w:t>
      </w:r>
      <w:r w:rsidR="001030A2">
        <w:t>investigated</w:t>
      </w:r>
      <w:r w:rsidR="00014AAC">
        <w:t xml:space="preserve"> from two main perspectives</w:t>
      </w:r>
      <w:r w:rsidR="00FF77DE">
        <w:t>, heating and cooling. This will allow evaluating</w:t>
      </w:r>
      <w:r w:rsidR="004067C9" w:rsidRPr="004067C9">
        <w:t xml:space="preserve"> </w:t>
      </w:r>
      <w:r w:rsidR="00FF77DE">
        <w:t>the system’s</w:t>
      </w:r>
      <w:r w:rsidR="004067C9" w:rsidRPr="004067C9">
        <w:t xml:space="preserve"> efficiency as a heat source for district heating,</w:t>
      </w:r>
      <w:r w:rsidR="00385B5A">
        <w:t xml:space="preserve"> as well as</w:t>
      </w:r>
      <w:r w:rsidR="007704BF">
        <w:t xml:space="preserve"> </w:t>
      </w:r>
      <w:r w:rsidR="00FF77DE">
        <w:t>calculating</w:t>
      </w:r>
      <w:r w:rsidR="00385B5A">
        <w:t xml:space="preserve"> the</w:t>
      </w:r>
      <w:r w:rsidR="004B070A">
        <w:t xml:space="preserve"> amount </w:t>
      </w:r>
      <w:r w:rsidR="00385B5A">
        <w:t>of</w:t>
      </w:r>
      <w:r w:rsidR="004067C9" w:rsidRPr="004067C9">
        <w:t xml:space="preserve"> cooling that is </w:t>
      </w:r>
      <w:r w:rsidR="00FF77DE">
        <w:t>delivered</w:t>
      </w:r>
      <w:r w:rsidR="004067C9" w:rsidRPr="004067C9">
        <w:t xml:space="preserve"> to the Underground tunnels</w:t>
      </w:r>
      <w:r w:rsidR="005F42CB">
        <w:t xml:space="preserve"> when the system operates in Supply Mode. These perspectives are </w:t>
      </w:r>
      <w:r w:rsidR="00A853CC">
        <w:t>reflected on the following aims and objectives:</w:t>
      </w:r>
    </w:p>
    <w:p w14:paraId="71B48F55" w14:textId="7CC901CC" w:rsidR="00A853CC" w:rsidRPr="00D91965" w:rsidRDefault="00A853CC" w:rsidP="00D91965">
      <w:pPr>
        <w:pStyle w:val="06BodyMaintext"/>
        <w:rPr>
          <w:b/>
        </w:rPr>
      </w:pPr>
      <w:r w:rsidRPr="00D91965">
        <w:rPr>
          <w:b/>
        </w:rPr>
        <w:t>Aims.</w:t>
      </w:r>
    </w:p>
    <w:p w14:paraId="36EB91F6" w14:textId="5EE82B1F" w:rsidR="00A853CC" w:rsidRDefault="00A853CC" w:rsidP="00D91965">
      <w:pPr>
        <w:pStyle w:val="06BodyMaintext"/>
        <w:numPr>
          <w:ilvl w:val="0"/>
          <w:numId w:val="33"/>
        </w:numPr>
      </w:pPr>
      <w:r>
        <w:t xml:space="preserve">To investigate how </w:t>
      </w:r>
      <w:r w:rsidR="00FF77DE">
        <w:t xml:space="preserve">efficiently </w:t>
      </w:r>
      <w:r>
        <w:t xml:space="preserve">the waste heat recovery system </w:t>
      </w:r>
      <w:r w:rsidR="00FF77DE">
        <w:t>generates heat</w:t>
      </w:r>
      <w:r>
        <w:t>;</w:t>
      </w:r>
    </w:p>
    <w:p w14:paraId="064B5B5E" w14:textId="3C3EEE2C" w:rsidR="00A853CC" w:rsidRDefault="00A853CC" w:rsidP="00D91965">
      <w:pPr>
        <w:pStyle w:val="06BodyMaintext"/>
        <w:numPr>
          <w:ilvl w:val="0"/>
          <w:numId w:val="33"/>
        </w:numPr>
      </w:pPr>
      <w:r>
        <w:t xml:space="preserve">To evaluate the cooling benefit to the London Underground </w:t>
      </w:r>
      <w:r w:rsidR="001030A2">
        <w:t>when the system operates</w:t>
      </w:r>
      <w:r>
        <w:t xml:space="preserve"> i</w:t>
      </w:r>
      <w:r w:rsidR="006F61FF">
        <w:t>n Supply mode.</w:t>
      </w:r>
    </w:p>
    <w:p w14:paraId="6A71A0B5" w14:textId="4F9194A0" w:rsidR="00A853CC" w:rsidRPr="00D91965" w:rsidRDefault="00A853CC" w:rsidP="00D91965">
      <w:pPr>
        <w:pStyle w:val="06BodyMaintext"/>
        <w:rPr>
          <w:b/>
        </w:rPr>
      </w:pPr>
      <w:r w:rsidRPr="00D91965">
        <w:rPr>
          <w:b/>
        </w:rPr>
        <w:t>Objectives</w:t>
      </w:r>
      <w:r w:rsidR="000B2C93" w:rsidRPr="00D91965">
        <w:rPr>
          <w:b/>
        </w:rPr>
        <w:t>.</w:t>
      </w:r>
    </w:p>
    <w:p w14:paraId="5A9A310E" w14:textId="0B401E23" w:rsidR="00A853CC" w:rsidRDefault="00A853CC" w:rsidP="00D91965">
      <w:pPr>
        <w:pStyle w:val="06BodyMaintext"/>
        <w:numPr>
          <w:ilvl w:val="0"/>
          <w:numId w:val="36"/>
        </w:numPr>
      </w:pPr>
      <w:r>
        <w:t>To identify key</w:t>
      </w:r>
      <w:r w:rsidR="00FF77DE">
        <w:t xml:space="preserve"> operating</w:t>
      </w:r>
      <w:r>
        <w:t xml:space="preserve"> parameters </w:t>
      </w:r>
      <w:r w:rsidR="00FF77DE">
        <w:t>that must</w:t>
      </w:r>
      <w:r>
        <w:t xml:space="preserve"> be monitored </w:t>
      </w:r>
      <w:r w:rsidR="00FF77DE">
        <w:t>so as</w:t>
      </w:r>
      <w:r>
        <w:t xml:space="preserve"> to assess performance;</w:t>
      </w:r>
    </w:p>
    <w:p w14:paraId="1A934F33" w14:textId="291464A3" w:rsidR="00A853CC" w:rsidRDefault="00A853CC" w:rsidP="00D91965">
      <w:pPr>
        <w:pStyle w:val="06BodyMaintext"/>
        <w:numPr>
          <w:ilvl w:val="0"/>
          <w:numId w:val="36"/>
        </w:numPr>
      </w:pPr>
      <w:r>
        <w:t>To investigate what meters</w:t>
      </w:r>
      <w:r w:rsidR="00FF77DE">
        <w:t>/sensors</w:t>
      </w:r>
      <w:r>
        <w:t xml:space="preserve"> would be </w:t>
      </w:r>
      <w:r w:rsidR="00FF77DE">
        <w:t>required</w:t>
      </w:r>
      <w:r>
        <w:t xml:space="preserve"> in order to measure the operating parameters;</w:t>
      </w:r>
    </w:p>
    <w:p w14:paraId="2D8BB590" w14:textId="15201883" w:rsidR="005F7BAA" w:rsidRDefault="00FF77DE" w:rsidP="00D91965">
      <w:pPr>
        <w:pStyle w:val="06BodyMaintext"/>
        <w:numPr>
          <w:ilvl w:val="0"/>
          <w:numId w:val="36"/>
        </w:numPr>
      </w:pPr>
      <w:r>
        <w:t>To define the best location within the system for the meters/sensors to be installed.</w:t>
      </w:r>
    </w:p>
    <w:p w14:paraId="3E4A215F" w14:textId="77777777" w:rsidR="005F7BAA" w:rsidRDefault="005F7BAA" w:rsidP="00D91965">
      <w:pPr>
        <w:pStyle w:val="06BodyMaintext"/>
      </w:pPr>
    </w:p>
    <w:p w14:paraId="4C761864" w14:textId="25AEC595" w:rsidR="00EF0064" w:rsidRDefault="00EF0064" w:rsidP="00D91965">
      <w:pPr>
        <w:pStyle w:val="06BodyMaintext"/>
      </w:pPr>
      <w:r>
        <w:t>Figure 2 shows the waste heat recovery system, highlighting the key point</w:t>
      </w:r>
      <w:r w:rsidR="00F40C4F">
        <w:t>s</w:t>
      </w:r>
      <w:r>
        <w:t xml:space="preserve"> </w:t>
      </w:r>
      <w:r w:rsidR="00B001F2">
        <w:t>(1, 2 and 3) where a heat transfer process occurs, namely the air to water heat exchanger</w:t>
      </w:r>
      <w:r w:rsidR="00676266">
        <w:t xml:space="preserve"> coils (1)</w:t>
      </w:r>
      <w:r w:rsidR="00B001F2">
        <w:t xml:space="preserve"> and the evaporator</w:t>
      </w:r>
      <w:r w:rsidR="00676266">
        <w:t xml:space="preserve"> (2)</w:t>
      </w:r>
      <w:r w:rsidR="00B001F2">
        <w:t xml:space="preserve"> and </w:t>
      </w:r>
      <w:r w:rsidR="0081461A">
        <w:t>condenser (3) of the heat</w:t>
      </w:r>
      <w:r w:rsidR="00A57BA0">
        <w:t xml:space="preserve"> pump</w:t>
      </w:r>
      <w:r w:rsidR="00F40C4F">
        <w:t>, as well as all the energy inputs to the system</w:t>
      </w:r>
      <w:r w:rsidR="00B001F2">
        <w:t>. The energy balance at these points of the system will enable the identification of the key parameters that should be monitored, as well as the best location for meters to be placed.</w:t>
      </w:r>
    </w:p>
    <w:p w14:paraId="51727D36" w14:textId="77777777" w:rsidR="00373BF4" w:rsidRDefault="00373BF4" w:rsidP="00D91965">
      <w:pPr>
        <w:pStyle w:val="06BodyMaintext"/>
      </w:pPr>
    </w:p>
    <w:p w14:paraId="65613C45" w14:textId="1395A2A4" w:rsidR="00B001F2" w:rsidRDefault="00F40C4F" w:rsidP="001030A2">
      <w:pPr>
        <w:pStyle w:val="06BodyMaintext"/>
        <w:jc w:val="center"/>
      </w:pPr>
      <w:r>
        <w:rPr>
          <w:noProof/>
          <w:lang w:val="en-GB" w:eastAsia="en-GB"/>
        </w:rPr>
        <w:drawing>
          <wp:inline distT="0" distB="0" distL="0" distR="0" wp14:anchorId="6E8D3C40" wp14:editId="5605E0A2">
            <wp:extent cx="5586505" cy="16560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48CDF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6505" cy="1656000"/>
                    </a:xfrm>
                    <a:prstGeom prst="rect">
                      <a:avLst/>
                    </a:prstGeom>
                  </pic:spPr>
                </pic:pic>
              </a:graphicData>
            </a:graphic>
          </wp:inline>
        </w:drawing>
      </w:r>
    </w:p>
    <w:p w14:paraId="3F31507C" w14:textId="37048D5A" w:rsidR="00B001F2" w:rsidRDefault="00B001F2" w:rsidP="00D91965">
      <w:pPr>
        <w:pStyle w:val="06BodyMaintext"/>
      </w:pPr>
      <w:r>
        <w:rPr>
          <w:b/>
        </w:rPr>
        <w:t>Figure 2</w:t>
      </w:r>
      <w:r>
        <w:tab/>
      </w:r>
      <w:r w:rsidR="00F40C4F">
        <w:t>Schematic highlighting energy inputs and outputs associated with the waste heat recovery system.</w:t>
      </w:r>
    </w:p>
    <w:p w14:paraId="45E7AC83" w14:textId="52B44102" w:rsidR="00AA6038" w:rsidRPr="00AA6038" w:rsidRDefault="00E830C5" w:rsidP="00572179">
      <w:pPr>
        <w:pStyle w:val="11Level2Heading"/>
      </w:pPr>
      <w:r>
        <w:lastRenderedPageBreak/>
        <w:t>Heating</w:t>
      </w:r>
    </w:p>
    <w:p w14:paraId="6C6A3BAD" w14:textId="72348808" w:rsidR="00AA6038" w:rsidRDefault="00E616A3" w:rsidP="00D91965">
      <w:pPr>
        <w:pStyle w:val="06BodyMaintext"/>
      </w:pPr>
      <w:r>
        <w:t>The performance of a</w:t>
      </w:r>
      <w:r w:rsidR="002C2F24">
        <w:t xml:space="preserve"> heat</w:t>
      </w:r>
      <w:r>
        <w:t xml:space="preserve"> source is reflected by its energy efficiency</w:t>
      </w:r>
      <w:r w:rsidR="000B2719">
        <w:t>, which is a fu</w:t>
      </w:r>
      <w:r w:rsidR="00F942AD">
        <w:t>n</w:t>
      </w:r>
      <w:r w:rsidR="000B2719">
        <w:t>ction of</w:t>
      </w:r>
      <w:r w:rsidRPr="00E616A3">
        <w:t xml:space="preserve"> both the energy entering the source, such as the electricity </w:t>
      </w:r>
      <w:r w:rsidR="004A5F17">
        <w:t>being used by</w:t>
      </w:r>
      <w:r w:rsidR="007C3032">
        <w:t xml:space="preserve"> system</w:t>
      </w:r>
      <w:r w:rsidR="004A5F17">
        <w:t xml:space="preserve"> components</w:t>
      </w:r>
      <w:r w:rsidRPr="00E616A3">
        <w:t>, and the energy leaving it, which corresponds to the heat that is being produced</w:t>
      </w:r>
      <w:r w:rsidR="000B2719">
        <w:t xml:space="preserve">. The energy inputs to the system </w:t>
      </w:r>
      <w:r w:rsidR="00CC0E00">
        <w:t xml:space="preserve">consist of the power input to </w:t>
      </w:r>
      <w:r w:rsidR="007C3032">
        <w:t xml:space="preserve">the heat pump </w:t>
      </w:r>
      <w:r w:rsidR="007C3032" w:rsidRPr="000B2719">
        <w:t>(</w:t>
      </w:r>
      <m:oMath>
        <m:acc>
          <m:accPr>
            <m:chr m:val="̇"/>
            <m:ctrlPr>
              <w:rPr>
                <w:rFonts w:ascii="Cambria Math" w:hAnsi="Cambria Math"/>
                <w:i/>
              </w:rPr>
            </m:ctrlPr>
          </m:accPr>
          <m:e>
            <m:r>
              <w:rPr>
                <w:rFonts w:ascii="Cambria Math" w:hAnsi="Cambria Math"/>
              </w:rPr>
              <m:t>W</m:t>
            </m:r>
          </m:e>
        </m:acc>
      </m:oMath>
      <w:r w:rsidR="007C3032" w:rsidRPr="000B2719">
        <w:rPr>
          <w:vertAlign w:val="subscript"/>
        </w:rPr>
        <w:t>HP</w:t>
      </w:r>
      <w:r w:rsidR="00E865A4">
        <w:t>), t</w:t>
      </w:r>
      <w:r w:rsidR="007C3032">
        <w:t xml:space="preserve">he </w:t>
      </w:r>
      <w:r w:rsidR="00CC0E00">
        <w:t>power input to</w:t>
      </w:r>
      <w:r w:rsidR="007C3032">
        <w:t xml:space="preserve"> the water pump (</w:t>
      </w:r>
      <m:oMath>
        <m:acc>
          <m:accPr>
            <m:chr m:val="̇"/>
            <m:ctrlPr>
              <w:rPr>
                <w:rFonts w:ascii="Cambria Math" w:hAnsi="Cambria Math"/>
                <w:i/>
              </w:rPr>
            </m:ctrlPr>
          </m:accPr>
          <m:e>
            <m:r>
              <w:rPr>
                <w:rFonts w:ascii="Cambria Math" w:hAnsi="Cambria Math"/>
              </w:rPr>
              <m:t>W</m:t>
            </m:r>
          </m:e>
        </m:acc>
      </m:oMath>
      <w:r w:rsidR="007C3032" w:rsidRPr="000B2719">
        <w:rPr>
          <w:vertAlign w:val="subscript"/>
        </w:rPr>
        <w:t>P</w:t>
      </w:r>
      <w:r w:rsidR="007C3032">
        <w:t>) used to circulate water through the coils and bac</w:t>
      </w:r>
      <w:r w:rsidR="00E865A4">
        <w:t>k to the heat pump’s evaporator</w:t>
      </w:r>
      <w:r w:rsidR="00A57BA0">
        <w:t>,</w:t>
      </w:r>
      <w:r w:rsidR="00E865A4">
        <w:t xml:space="preserve"> t</w:t>
      </w:r>
      <w:r w:rsidR="007C3032">
        <w:t xml:space="preserve">he </w:t>
      </w:r>
      <w:r w:rsidR="00CC0E00">
        <w:t>power consumption of</w:t>
      </w:r>
      <w:r w:rsidR="007C3032">
        <w:t xml:space="preserve"> the reversible fan (</w:t>
      </w:r>
      <m:oMath>
        <m:acc>
          <m:accPr>
            <m:chr m:val="̇"/>
            <m:ctrlPr>
              <w:rPr>
                <w:rFonts w:ascii="Cambria Math" w:hAnsi="Cambria Math"/>
                <w:i/>
              </w:rPr>
            </m:ctrlPr>
          </m:accPr>
          <m:e>
            <m:r>
              <w:rPr>
                <w:rFonts w:ascii="Cambria Math" w:hAnsi="Cambria Math"/>
              </w:rPr>
              <m:t>W</m:t>
            </m:r>
          </m:e>
        </m:acc>
      </m:oMath>
      <w:r w:rsidR="007C3032" w:rsidRPr="000B2719">
        <w:rPr>
          <w:vertAlign w:val="subscript"/>
        </w:rPr>
        <w:t>F</w:t>
      </w:r>
      <w:r w:rsidR="00E865A4">
        <w:t>) within the ventilation shaft, and the</w:t>
      </w:r>
      <w:r w:rsidR="00B16256">
        <w:t xml:space="preserve"> power consumed</w:t>
      </w:r>
      <w:r w:rsidR="007C3032">
        <w:t xml:space="preserve"> to heat up the electric immersion heater (</w:t>
      </w:r>
      <m:oMath>
        <m:acc>
          <m:accPr>
            <m:chr m:val="̇"/>
            <m:ctrlPr>
              <w:rPr>
                <w:rFonts w:ascii="Cambria Math" w:hAnsi="Cambria Math"/>
                <w:i/>
              </w:rPr>
            </m:ctrlPr>
          </m:accPr>
          <m:e>
            <m:r>
              <w:rPr>
                <w:rFonts w:ascii="Cambria Math" w:hAnsi="Cambria Math"/>
              </w:rPr>
              <m:t>W</m:t>
            </m:r>
          </m:e>
        </m:acc>
      </m:oMath>
      <w:r w:rsidR="007C3032" w:rsidRPr="000B2719">
        <w:rPr>
          <w:vertAlign w:val="subscript"/>
        </w:rPr>
        <w:t>IH</w:t>
      </w:r>
      <w:r w:rsidR="007C3032">
        <w:t>), used to provide protection against frost accumulating on the coils.</w:t>
      </w:r>
      <w:r w:rsidR="00E865A4">
        <w:t xml:space="preserve"> </w:t>
      </w:r>
      <w:r w:rsidR="000B2719">
        <w:t>The useful energy output is equivalent to the</w:t>
      </w:r>
      <w:r w:rsidR="000B2719" w:rsidRPr="000B2719">
        <w:t xml:space="preserve"> heat</w:t>
      </w:r>
      <w:r w:rsidR="000B2719">
        <w:t xml:space="preserve"> that is</w:t>
      </w:r>
      <w:r w:rsidR="000B2719" w:rsidRPr="000B2719">
        <w:t xml:space="preserve"> generated </w:t>
      </w:r>
      <w:r w:rsidR="000B2719">
        <w:t>at the heat pump’s condenser (</w:t>
      </w:r>
      <m:oMath>
        <m:acc>
          <m:accPr>
            <m:chr m:val="̇"/>
            <m:ctrlPr>
              <w:rPr>
                <w:rFonts w:ascii="Cambria Math" w:hAnsi="Cambria Math"/>
                <w:i/>
              </w:rPr>
            </m:ctrlPr>
          </m:accPr>
          <m:e>
            <m:r>
              <w:rPr>
                <w:rFonts w:ascii="Cambria Math" w:hAnsi="Cambria Math"/>
              </w:rPr>
              <m:t>Q</m:t>
            </m:r>
          </m:e>
        </m:acc>
      </m:oMath>
      <w:r w:rsidR="000B2719">
        <w:rPr>
          <w:vertAlign w:val="subscript"/>
        </w:rPr>
        <w:t>c</w:t>
      </w:r>
      <w:r w:rsidR="000B2719">
        <w:t>). Based on these values, the overall energy effic</w:t>
      </w:r>
      <w:r w:rsidR="00232021">
        <w:t>iency of the waste heat source (η) can be calculated as in Equation 1.</w:t>
      </w:r>
    </w:p>
    <w:p w14:paraId="7E46FA23" w14:textId="32806503" w:rsidR="00232021" w:rsidRDefault="00232021" w:rsidP="00232021">
      <w:pPr>
        <w:pStyle w:val="19Equation"/>
        <w:ind w:firstLine="2880"/>
      </w:pPr>
      <m:oMath>
        <m:r>
          <m:rPr>
            <m:sty m:val="p"/>
          </m:rPr>
          <w:rPr>
            <w:rFonts w:ascii="Cambria Math" w:hAnsi="Cambria Math"/>
          </w:rPr>
          <m:t xml:space="preserve">η= </m:t>
        </m:r>
        <m:f>
          <m:fPr>
            <m:ctrlPr>
              <w:rPr>
                <w:rFonts w:ascii="Cambria Math" w:hAnsi="Cambria Math"/>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c</m:t>
                </m:r>
              </m:sub>
            </m:sSub>
          </m:num>
          <m:den>
            <m:r>
              <w:rPr>
                <w:rFonts w:ascii="Cambria Math" w:hAnsi="Cambria Math"/>
              </w:rPr>
              <m:t>Σ</m:t>
            </m:r>
            <m:acc>
              <m:accPr>
                <m:chr m:val="̇"/>
                <m:ctrlPr>
                  <w:rPr>
                    <w:rFonts w:ascii="Cambria Math" w:hAnsi="Cambria Math"/>
                    <w:i/>
                  </w:rPr>
                </m:ctrlPr>
              </m:accPr>
              <m:e>
                <m:r>
                  <w:rPr>
                    <w:rFonts w:ascii="Cambria Math" w:hAnsi="Cambria Math"/>
                  </w:rPr>
                  <m:t>W</m:t>
                </m:r>
              </m:e>
            </m:acc>
          </m:den>
        </m:f>
        <m:r>
          <w:rPr>
            <w:rFonts w:ascii="Cambria Math" w:hAnsi="Cambria Math"/>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c</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HP</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P</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F</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IH</m:t>
                </m:r>
              </m:sub>
            </m:sSub>
          </m:den>
        </m:f>
      </m:oMath>
      <w:r>
        <w:tab/>
        <w:t>(1</w:t>
      </w:r>
      <w:r w:rsidRPr="00785819">
        <w:t>)</w:t>
      </w:r>
    </w:p>
    <w:p w14:paraId="0A463D08" w14:textId="1601F6FE" w:rsidR="00A853CC" w:rsidRDefault="00A853CC" w:rsidP="00D91965">
      <w:pPr>
        <w:pStyle w:val="06BodyMaintext"/>
      </w:pPr>
    </w:p>
    <w:p w14:paraId="413C75D7" w14:textId="653B6975" w:rsidR="00CC692C" w:rsidRDefault="00225B64" w:rsidP="00D91965">
      <w:pPr>
        <w:pStyle w:val="06BodyMaintext"/>
      </w:pPr>
      <w:r>
        <w:t>The</w:t>
      </w:r>
      <w:r w:rsidR="00CC692C">
        <w:t xml:space="preserve"> heat output of the waste heat recovery system</w:t>
      </w:r>
      <w:r w:rsidR="00E72BCC">
        <w:t xml:space="preserve"> (</w:t>
      </w:r>
      <m:oMath>
        <m:acc>
          <m:accPr>
            <m:chr m:val="̇"/>
            <m:ctrlPr>
              <w:rPr>
                <w:rFonts w:ascii="Cambria Math" w:hAnsi="Cambria Math"/>
                <w:i/>
              </w:rPr>
            </m:ctrlPr>
          </m:accPr>
          <m:e>
            <m:r>
              <w:rPr>
                <w:rFonts w:ascii="Cambria Math" w:hAnsi="Cambria Math"/>
              </w:rPr>
              <m:t>Q</m:t>
            </m:r>
          </m:e>
        </m:acc>
      </m:oMath>
      <w:r w:rsidR="00E72BCC">
        <w:rPr>
          <w:vertAlign w:val="subscript"/>
        </w:rPr>
        <w:t>c</w:t>
      </w:r>
      <w:r w:rsidR="00E72BCC">
        <w:t>),</w:t>
      </w:r>
      <w:r w:rsidR="00354C49">
        <w:t xml:space="preserve"> can be </w:t>
      </w:r>
      <w:r w:rsidR="00BC59DD">
        <w:t>calculated</w:t>
      </w:r>
      <w:r w:rsidR="00A3213C">
        <w:t xml:space="preserve"> using the energy balance </w:t>
      </w:r>
      <w:r w:rsidR="00354C49">
        <w:t>at the condenser of the h</w:t>
      </w:r>
      <w:r w:rsidR="00A3213C">
        <w:t xml:space="preserve">eat pump (point 3 in Figure 2). </w:t>
      </w:r>
      <w:r w:rsidR="009908B6">
        <w:t xml:space="preserve">As the kinetic and potential energy terms </w:t>
      </w:r>
      <w:r w:rsidR="00527CAC">
        <w:t>are negligible compared to the heat transfer, the energy balance will involve</w:t>
      </w:r>
      <w:r w:rsidR="00F750A6">
        <w:t xml:space="preserve"> </w:t>
      </w:r>
      <w:r w:rsidR="00527CAC">
        <w:t xml:space="preserve">only the heat being supplied by the </w:t>
      </w:r>
      <w:r w:rsidR="00D67013">
        <w:t xml:space="preserve">R717 </w:t>
      </w:r>
      <w:r w:rsidR="00527CAC">
        <w:t>refrigerant</w:t>
      </w:r>
      <w:r w:rsidR="00CA7138">
        <w:t xml:space="preserve">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Q</m:t>
                </m:r>
              </m:e>
            </m:acc>
          </m:e>
          <m:sub>
            <m:r>
              <w:rPr>
                <w:rFonts w:ascii="Cambria Math" w:hAnsi="Cambria Math"/>
                <w:sz w:val="20"/>
                <w:szCs w:val="22"/>
              </w:rPr>
              <m:t>R717</m:t>
            </m:r>
          </m:sub>
        </m:sSub>
      </m:oMath>
      <w:r w:rsidR="00CA7138">
        <w:t>)</w:t>
      </w:r>
      <w:r w:rsidR="00527CAC">
        <w:t xml:space="preserve"> and the heat being absorbed on the water side of the condenser</w:t>
      </w:r>
      <w:r w:rsidR="00CA7138">
        <w:t xml:space="preserve">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Q</m:t>
                </m:r>
              </m:e>
            </m:acc>
          </m:e>
          <m:sub>
            <m:r>
              <w:rPr>
                <w:rFonts w:ascii="Cambria Math" w:hAnsi="Cambria Math"/>
              </w:rPr>
              <m:t>w</m:t>
            </m:r>
          </m:sub>
        </m:sSub>
      </m:oMath>
      <w:r w:rsidR="00CA7138">
        <w:rPr>
          <w:sz w:val="20"/>
          <w:szCs w:val="22"/>
        </w:rPr>
        <w:t>)</w:t>
      </w:r>
      <w:r w:rsidR="00527CAC">
        <w:t xml:space="preserve"> (Tran et al. 2012), as shown by Equation 2.</w:t>
      </w:r>
      <w:r w:rsidR="00EE6E8B">
        <w:t xml:space="preserve"> </w:t>
      </w:r>
      <w:r w:rsidR="00CA7138">
        <w:t>As the condenser operates in steady conditions (constant mass flow for both refrigerant and water streams)</w:t>
      </w:r>
      <w:r w:rsidR="00CC0E00">
        <w:t>, as in any heat exchanger</w:t>
      </w:r>
      <w:r w:rsidR="00CA7138">
        <w:t xml:space="preserve">, </w:t>
      </w:r>
      <w:r w:rsidR="00F750A6">
        <w:t>the change in total energy of the control volume is zero (</w:t>
      </w:r>
      <m:oMath>
        <m:f>
          <m:fPr>
            <m:ctrlPr>
              <w:rPr>
                <w:rFonts w:ascii="Cambria Math" w:hAnsi="Cambria Math"/>
              </w:rPr>
            </m:ctrlPr>
          </m:fPr>
          <m:num>
            <m:r>
              <w:rPr>
                <w:rFonts w:ascii="Cambria Math" w:hAnsi="Cambria Math"/>
              </w:rPr>
              <m:t>dE</m:t>
            </m:r>
          </m:num>
          <m:den>
            <m:r>
              <w:rPr>
                <w:rFonts w:ascii="Cambria Math" w:hAnsi="Cambria Math"/>
              </w:rPr>
              <m:t>dt</m:t>
            </m:r>
          </m:den>
        </m:f>
      </m:oMath>
      <w:r w:rsidR="00F750A6">
        <w:t xml:space="preserve"> = 0).</w:t>
      </w:r>
    </w:p>
    <w:p w14:paraId="2E51AD4C" w14:textId="0397C776" w:rsidR="00CF3146" w:rsidRDefault="00CF3146" w:rsidP="00CF3146">
      <w:pPr>
        <w:pStyle w:val="19Equation"/>
        <w:ind w:firstLine="2880"/>
      </w:pPr>
      <m:oMath>
        <m:r>
          <m:rPr>
            <m:sty m:val="p"/>
          </m:rPr>
          <w:rPr>
            <w:rFonts w:ascii="Cambria Math" w:hAnsi="Cambria Math"/>
          </w:rPr>
          <m:t xml:space="preserve"> </m:t>
        </m:r>
        <m:f>
          <m:fPr>
            <m:ctrlPr>
              <w:rPr>
                <w:rFonts w:ascii="Cambria Math" w:hAnsi="Cambria Math"/>
              </w:rPr>
            </m:ctrlPr>
          </m:fPr>
          <m:num>
            <m:r>
              <w:rPr>
                <w:rFonts w:ascii="Cambria Math" w:hAnsi="Cambria Math"/>
              </w:rPr>
              <m:t>dE</m:t>
            </m:r>
          </m:num>
          <m:den>
            <m:r>
              <w:rPr>
                <w:rFonts w:ascii="Cambria Math" w:hAnsi="Cambria Math"/>
              </w:rPr>
              <m:t>dt</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w</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R717</m:t>
            </m:r>
          </m:sub>
        </m:sSub>
        <m:r>
          <w:rPr>
            <w:rFonts w:ascii="Cambria Math" w:hAnsi="Cambria Math"/>
          </w:rPr>
          <m:t>=0</m:t>
        </m:r>
      </m:oMath>
      <w:r>
        <w:tab/>
        <w:t>(2</w:t>
      </w:r>
      <w:r w:rsidRPr="00785819">
        <w:t>)</w:t>
      </w:r>
    </w:p>
    <w:p w14:paraId="3C783142" w14:textId="6A068E09" w:rsidR="00CF3146" w:rsidRDefault="00CF3146" w:rsidP="00D91965">
      <w:pPr>
        <w:pStyle w:val="06BodyMaintext"/>
      </w:pPr>
    </w:p>
    <w:p w14:paraId="5E755300" w14:textId="354A7743" w:rsidR="00F750A6" w:rsidRDefault="00F750A6" w:rsidP="00D91965">
      <w:pPr>
        <w:pStyle w:val="06BodyMaintext"/>
      </w:pPr>
      <w:r>
        <w:t>For that reason, the</w:t>
      </w:r>
      <w:r w:rsidR="00CE5FF8">
        <w:t xml:space="preserve"> </w:t>
      </w:r>
      <w:r>
        <w:t xml:space="preserve">heat being </w:t>
      </w:r>
      <w:r w:rsidR="0081461A">
        <w:t>rejected</w:t>
      </w:r>
      <w:r w:rsidR="00CE5FF8">
        <w:t xml:space="preserve"> by the refrigerant </w:t>
      </w:r>
      <w:r w:rsidR="007B4EF3">
        <w:t>is</w:t>
      </w:r>
      <w:r w:rsidR="00CE5FF8">
        <w:t xml:space="preserve"> </w:t>
      </w:r>
      <w:r>
        <w:t xml:space="preserve">equal to the heat being absorbed by the water going through the condenser </w:t>
      </w:r>
      <w:r w:rsidRPr="006E58B7">
        <w:rPr>
          <w:szCs w:val="22"/>
        </w:rPr>
        <w:t>(</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Q</m:t>
                </m:r>
              </m:e>
            </m:acc>
          </m:e>
          <m:sub>
            <m:r>
              <w:rPr>
                <w:rFonts w:ascii="Cambria Math" w:hAnsi="Cambria Math"/>
                <w:szCs w:val="22"/>
              </w:rPr>
              <m:t>R717</m:t>
            </m:r>
          </m:sub>
        </m:sSub>
        <m:r>
          <w:rPr>
            <w:rFonts w:ascii="Cambria Math" w:hAnsi="Cambria Math"/>
            <w:szCs w:val="22"/>
          </w:rPr>
          <m:t>=</m:t>
        </m:r>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Q</m:t>
                </m:r>
              </m:e>
            </m:acc>
          </m:e>
          <m:sub>
            <m:r>
              <w:rPr>
                <w:rFonts w:ascii="Cambria Math" w:hAnsi="Cambria Math"/>
                <w:szCs w:val="22"/>
              </w:rPr>
              <m:t>w</m:t>
            </m:r>
          </m:sub>
        </m:sSub>
        <m:r>
          <w:rPr>
            <w:rFonts w:ascii="Cambria Math" w:hAnsi="Cambria Math"/>
            <w:szCs w:val="22"/>
          </w:rPr>
          <m:t>=</m:t>
        </m:r>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Q</m:t>
                </m:r>
              </m:e>
            </m:acc>
          </m:e>
          <m:sub>
            <m:r>
              <w:rPr>
                <w:rFonts w:ascii="Cambria Math" w:hAnsi="Cambria Math"/>
                <w:szCs w:val="22"/>
              </w:rPr>
              <m:t>c</m:t>
            </m:r>
          </m:sub>
        </m:sSub>
        <m:r>
          <w:rPr>
            <w:rFonts w:ascii="Cambria Math" w:hAnsi="Cambria Math"/>
            <w:szCs w:val="22"/>
          </w:rPr>
          <m:t>)</m:t>
        </m:r>
      </m:oMath>
      <w:r>
        <w:rPr>
          <w:sz w:val="20"/>
          <w:szCs w:val="22"/>
        </w:rPr>
        <w:t xml:space="preserve">. </w:t>
      </w:r>
      <w:r w:rsidRPr="00F750A6">
        <w:t>Therefore, the</w:t>
      </w:r>
      <w:r w:rsidR="00373BF4">
        <w:t xml:space="preserve"> rate of</w:t>
      </w:r>
      <w:r w:rsidRPr="00F750A6">
        <w:t xml:space="preserve"> heat being g</w:t>
      </w:r>
      <w:r w:rsidR="00373BF4">
        <w:t>ener</w:t>
      </w:r>
      <w:r w:rsidRPr="00F750A6">
        <w:t>ated by the heat pump</w:t>
      </w:r>
      <w:r w:rsidR="002075A7">
        <w:t xml:space="preserve"> (</w:t>
      </w:r>
      <m:oMath>
        <m:acc>
          <m:accPr>
            <m:chr m:val="̇"/>
            <m:ctrlPr>
              <w:rPr>
                <w:rFonts w:ascii="Cambria Math" w:hAnsi="Cambria Math"/>
                <w:i/>
              </w:rPr>
            </m:ctrlPr>
          </m:accPr>
          <m:e>
            <m:r>
              <w:rPr>
                <w:rFonts w:ascii="Cambria Math" w:hAnsi="Cambria Math"/>
              </w:rPr>
              <m:t>Q</m:t>
            </m:r>
          </m:e>
        </m:acc>
      </m:oMath>
      <w:r w:rsidR="00B16256">
        <w:rPr>
          <w:vertAlign w:val="subscript"/>
        </w:rPr>
        <w:t>c</w:t>
      </w:r>
      <w:r w:rsidR="002075A7">
        <w:t>)</w:t>
      </w:r>
      <w:r w:rsidRPr="00F750A6">
        <w:t xml:space="preserve"> can be calculated either on the refrigerant</w:t>
      </w:r>
      <w:r w:rsidR="00CC0E00">
        <w:t xml:space="preserve"> or on the water side. Equation 3 shows</w:t>
      </w:r>
      <w:r w:rsidR="00B16256">
        <w:t xml:space="preserve"> the heat output calculation on the refrigerant stream, which is based on the mass flow rate of the refrigerant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m</m:t>
                </m:r>
              </m:e>
            </m:acc>
          </m:e>
          <m:sub>
            <m:r>
              <w:rPr>
                <w:rFonts w:ascii="Cambria Math" w:hAnsi="Cambria Math"/>
              </w:rPr>
              <m:t>r</m:t>
            </m:r>
          </m:sub>
        </m:sSub>
      </m:oMath>
      <w:r w:rsidR="004F331E">
        <w:t>) and its change in enthalpy between the inlet (</w:t>
      </w:r>
      <m:oMath>
        <m:sSub>
          <m:sSubPr>
            <m:ctrlPr>
              <w:rPr>
                <w:rFonts w:ascii="Cambria Math" w:hAnsi="Cambria Math"/>
                <w:i/>
                <w:sz w:val="20"/>
                <w:szCs w:val="22"/>
              </w:rPr>
            </m:ctrlPr>
          </m:sSubPr>
          <m:e>
            <m:r>
              <w:rPr>
                <w:rFonts w:ascii="Cambria Math" w:hAnsi="Cambria Math"/>
              </w:rPr>
              <m:t>h</m:t>
            </m:r>
          </m:e>
          <m:sub>
            <m:r>
              <w:rPr>
                <w:rFonts w:ascii="Cambria Math" w:hAnsi="Cambria Math"/>
              </w:rPr>
              <m:t>r,i</m:t>
            </m:r>
          </m:sub>
        </m:sSub>
      </m:oMath>
      <w:r w:rsidR="004F331E">
        <w:t>) and outlet (</w:t>
      </w:r>
      <m:oMath>
        <m:sSub>
          <m:sSubPr>
            <m:ctrlPr>
              <w:rPr>
                <w:rFonts w:ascii="Cambria Math" w:hAnsi="Cambria Math"/>
                <w:i/>
                <w:sz w:val="20"/>
                <w:szCs w:val="22"/>
              </w:rPr>
            </m:ctrlPr>
          </m:sSubPr>
          <m:e>
            <m:r>
              <w:rPr>
                <w:rFonts w:ascii="Cambria Math" w:hAnsi="Cambria Math"/>
              </w:rPr>
              <m:t>h</m:t>
            </m:r>
          </m:e>
          <m:sub>
            <m:r>
              <w:rPr>
                <w:rFonts w:ascii="Cambria Math" w:hAnsi="Cambria Math"/>
              </w:rPr>
              <m:t>r,o</m:t>
            </m:r>
          </m:sub>
        </m:sSub>
      </m:oMath>
      <w:r w:rsidR="004F331E">
        <w:t>) of the condenser</w:t>
      </w:r>
      <w:r w:rsidR="00D67013">
        <w:t>.</w:t>
      </w:r>
      <w:r w:rsidR="00B16256">
        <w:t xml:space="preserve"> The heat transfer rate calculation on the water side is provided in Equatio</w:t>
      </w:r>
      <w:r w:rsidR="00D67013">
        <w:t>n 4</w:t>
      </w:r>
      <w:r w:rsidR="00B16256">
        <w:t xml:space="preserve">. In this case, as </w:t>
      </w:r>
      <w:r w:rsidR="001F0D1C">
        <w:t>the fluid do</w:t>
      </w:r>
      <w:r w:rsidR="00373BF4">
        <w:t xml:space="preserve">es not undergo a phase change, </w:t>
      </w:r>
      <w:r w:rsidR="001F0D1C">
        <w:t xml:space="preserve">it is possible to </w:t>
      </w:r>
      <w:r w:rsidR="00373BF4">
        <w:t>calculat</w:t>
      </w:r>
      <w:r w:rsidR="001F0D1C">
        <w:t xml:space="preserve">e the </w:t>
      </w:r>
      <w:r w:rsidR="00373BF4">
        <w:t>heat transfer rate as a function of the water mass flow rate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m</m:t>
                </m:r>
              </m:e>
            </m:acc>
          </m:e>
          <m:sub>
            <m:r>
              <w:rPr>
                <w:rFonts w:ascii="Cambria Math" w:hAnsi="Cambria Math"/>
              </w:rPr>
              <m:t>w</m:t>
            </m:r>
          </m:sub>
        </m:sSub>
      </m:oMath>
      <w:r w:rsidR="00373BF4">
        <w:t>), the specific heat capacity of water at constant pressure (</w:t>
      </w:r>
      <m:oMath>
        <m:sSub>
          <m:sSubPr>
            <m:ctrlPr>
              <w:rPr>
                <w:rFonts w:ascii="Cambria Math" w:hAnsi="Cambria Math"/>
                <w:i/>
                <w:sz w:val="20"/>
                <w:szCs w:val="22"/>
              </w:rPr>
            </m:ctrlPr>
          </m:sSubPr>
          <m:e>
            <m:r>
              <w:rPr>
                <w:rFonts w:ascii="Cambria Math" w:hAnsi="Cambria Math"/>
              </w:rPr>
              <m:t>C</m:t>
            </m:r>
          </m:e>
          <m:sub>
            <m:r>
              <w:rPr>
                <w:rFonts w:ascii="Cambria Math" w:hAnsi="Cambria Math"/>
              </w:rPr>
              <m:t>p,w</m:t>
            </m:r>
          </m:sub>
        </m:sSub>
      </m:oMath>
      <w:r w:rsidR="00373BF4">
        <w:t xml:space="preserve">) and the </w:t>
      </w:r>
      <w:r w:rsidR="004F331E" w:rsidRPr="004F331E">
        <w:t>inlet (</w:t>
      </w:r>
      <m:oMath>
        <m:sSub>
          <m:sSubPr>
            <m:ctrlPr>
              <w:rPr>
                <w:rFonts w:ascii="Cambria Math" w:hAnsi="Cambria Math"/>
                <w:i/>
                <w:sz w:val="20"/>
                <w:szCs w:val="22"/>
              </w:rPr>
            </m:ctrlPr>
          </m:sSubPr>
          <m:e>
            <m:r>
              <w:rPr>
                <w:rFonts w:ascii="Cambria Math" w:hAnsi="Cambria Math"/>
              </w:rPr>
              <m:t>T</m:t>
            </m:r>
          </m:e>
          <m:sub>
            <m:r>
              <w:rPr>
                <w:rFonts w:ascii="Cambria Math" w:hAnsi="Cambria Math"/>
              </w:rPr>
              <m:t>i</m:t>
            </m:r>
          </m:sub>
        </m:sSub>
      </m:oMath>
      <w:r w:rsidR="004F331E" w:rsidRPr="004F331E">
        <w:t>) and outlet (</w:t>
      </w:r>
      <m:oMath>
        <m:sSub>
          <m:sSubPr>
            <m:ctrlPr>
              <w:rPr>
                <w:rFonts w:ascii="Cambria Math" w:hAnsi="Cambria Math"/>
                <w:i/>
                <w:sz w:val="20"/>
                <w:szCs w:val="22"/>
              </w:rPr>
            </m:ctrlPr>
          </m:sSubPr>
          <m:e>
            <m:r>
              <w:rPr>
                <w:rFonts w:ascii="Cambria Math" w:hAnsi="Cambria Math"/>
              </w:rPr>
              <m:t>T</m:t>
            </m:r>
          </m:e>
          <m:sub>
            <m:r>
              <w:rPr>
                <w:rFonts w:ascii="Cambria Math" w:hAnsi="Cambria Math"/>
              </w:rPr>
              <m:t>o</m:t>
            </m:r>
          </m:sub>
        </m:sSub>
      </m:oMath>
      <w:r w:rsidR="004F331E" w:rsidRPr="004F331E">
        <w:t xml:space="preserve">) temperatures </w:t>
      </w:r>
      <w:r w:rsidR="00373BF4">
        <w:t>of the condenser (Incropera</w:t>
      </w:r>
      <w:r w:rsidR="004F331E">
        <w:t xml:space="preserve"> et al.</w:t>
      </w:r>
      <w:r w:rsidR="00373BF4">
        <w:t xml:space="preserve"> 2002).</w:t>
      </w:r>
      <w:r w:rsidR="00B3504A">
        <w:t xml:space="preserve"> It is also common for flow meters to calculate the heat transfer rate as a function of the volume flow rate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V</m:t>
                </m:r>
              </m:e>
            </m:acc>
          </m:e>
          <m:sub>
            <m:r>
              <w:rPr>
                <w:rFonts w:ascii="Cambria Math" w:hAnsi="Cambria Math"/>
              </w:rPr>
              <m:t>w</m:t>
            </m:r>
          </m:sub>
        </m:sSub>
      </m:oMath>
      <w:r w:rsidR="00B3504A">
        <w:t>) and the water density (</w:t>
      </w:r>
      <m:oMath>
        <m:sSub>
          <m:sSubPr>
            <m:ctrlPr>
              <w:rPr>
                <w:rFonts w:ascii="Cambria Math" w:hAnsi="Cambria Math"/>
                <w:i/>
                <w:sz w:val="20"/>
                <w:szCs w:val="22"/>
              </w:rPr>
            </m:ctrlPr>
          </m:sSubPr>
          <m:e>
            <m:r>
              <w:rPr>
                <w:rFonts w:ascii="Cambria Math" w:hAnsi="Cambria Math"/>
              </w:rPr>
              <m:t>ρ</m:t>
            </m:r>
          </m:e>
          <m:sub>
            <m:r>
              <w:rPr>
                <w:rFonts w:ascii="Cambria Math" w:hAnsi="Cambria Math"/>
              </w:rPr>
              <m:t>w</m:t>
            </m:r>
          </m:sub>
        </m:sSub>
      </m:oMath>
      <w:r w:rsidR="00B3504A">
        <w:t>), which is also shown in Equation 4.</w:t>
      </w:r>
    </w:p>
    <w:p w14:paraId="182D7AB3" w14:textId="6251298F" w:rsidR="004F331E" w:rsidRDefault="005B20DB" w:rsidP="004F331E">
      <w:pPr>
        <w:pStyle w:val="19Equation"/>
        <w:ind w:firstLine="2880"/>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R717</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r,o</m:t>
            </m:r>
          </m:sub>
        </m:sSub>
        <m:r>
          <w:rPr>
            <w:rFonts w:ascii="Cambria Math" w:hAnsi="Cambria Math"/>
          </w:rPr>
          <m:t>)</m:t>
        </m:r>
      </m:oMath>
      <w:r w:rsidR="004F331E">
        <w:tab/>
        <w:t>(3</w:t>
      </w:r>
      <w:r w:rsidR="004F331E" w:rsidRPr="00785819">
        <w:t>)</w:t>
      </w:r>
    </w:p>
    <w:p w14:paraId="23C8F2E1" w14:textId="69C56729" w:rsidR="004F331E" w:rsidRDefault="005B20DB" w:rsidP="004F331E">
      <w:pPr>
        <w:pStyle w:val="19Equation"/>
        <w:ind w:firstLine="2880"/>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w</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p,w</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w</m:t>
            </m:r>
          </m:sub>
        </m:sSub>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p,w</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oMath>
      <w:r w:rsidR="004F331E">
        <w:tab/>
        <w:t>(</w:t>
      </w:r>
      <w:r w:rsidR="00D67013">
        <w:t>4</w:t>
      </w:r>
      <w:r w:rsidR="004F331E" w:rsidRPr="00785819">
        <w:t>)</w:t>
      </w:r>
    </w:p>
    <w:p w14:paraId="4128B214" w14:textId="2E819091" w:rsidR="00E830C5" w:rsidRDefault="00E830C5" w:rsidP="00E830C5">
      <w:pPr>
        <w:pStyle w:val="11Level2Heading"/>
      </w:pPr>
      <w:r>
        <w:t>Cooling</w:t>
      </w:r>
    </w:p>
    <w:p w14:paraId="26F08CAC" w14:textId="425E85CE" w:rsidR="006B162C" w:rsidRDefault="006B162C" w:rsidP="00D91965">
      <w:pPr>
        <w:pStyle w:val="06BodyMaintext"/>
      </w:pPr>
      <w:r>
        <w:t xml:space="preserve">The analysis of the amount of cooling being provided to the Underground relates </w:t>
      </w:r>
      <w:r w:rsidR="00E65708">
        <w:t>to the heat recovery heat exchanger</w:t>
      </w:r>
      <w:r w:rsidR="0081461A">
        <w:t xml:space="preserve">. </w:t>
      </w:r>
      <w:r w:rsidR="00E65708">
        <w:t xml:space="preserve"> </w:t>
      </w:r>
      <w:r w:rsidR="0081461A">
        <w:t xml:space="preserve">The relation established by Equation 2 also applies in this case, so the cooling </w:t>
      </w:r>
      <w:r w:rsidR="006B330B">
        <w:t>delivered to the air stream</w:t>
      </w:r>
      <w:r w:rsidR="007126E0">
        <w:t>, i.e. the heat extracted from the air,</w:t>
      </w:r>
      <w:r w:rsidR="006B330B">
        <w:t xml:space="preserve"> is equivalent to the heat recovered by the water side of the heat exchanger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Q</m:t>
                </m:r>
              </m:e>
            </m:acc>
          </m:e>
          <m:sub>
            <m:r>
              <w:rPr>
                <w:rFonts w:ascii="Cambria Math" w:hAnsi="Cambria Math"/>
              </w:rPr>
              <m:t>r</m:t>
            </m:r>
          </m:sub>
        </m:sSub>
      </m:oMath>
      <w:r w:rsidR="007126E0">
        <w:rPr>
          <w:szCs w:val="22"/>
        </w:rPr>
        <w:t xml:space="preserve">). </w:t>
      </w:r>
      <w:r w:rsidR="0081461A">
        <w:t>Ideally, the heat being recovered at the coils</w:t>
      </w:r>
      <w:r w:rsidR="002D5ED5">
        <w:t xml:space="preserve">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Q</m:t>
                </m:r>
              </m:e>
            </m:acc>
          </m:e>
          <m:sub>
            <m:r>
              <w:rPr>
                <w:rFonts w:ascii="Cambria Math" w:hAnsi="Cambria Math"/>
              </w:rPr>
              <m:t>r</m:t>
            </m:r>
          </m:sub>
        </m:sSub>
      </m:oMath>
      <w:r w:rsidR="002D5ED5">
        <w:rPr>
          <w:sz w:val="20"/>
          <w:szCs w:val="22"/>
        </w:rPr>
        <w:t>)</w:t>
      </w:r>
      <w:r w:rsidR="0081461A">
        <w:t xml:space="preserve"> should be equal to the heat provided to the heat pump’s evaporator</w:t>
      </w:r>
      <w:r w:rsidR="002D5ED5">
        <w:t xml:space="preserve">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Q</m:t>
                </m:r>
              </m:e>
            </m:acc>
          </m:e>
          <m:sub>
            <m:r>
              <w:rPr>
                <w:rFonts w:ascii="Cambria Math" w:hAnsi="Cambria Math"/>
              </w:rPr>
              <m:t>e</m:t>
            </m:r>
          </m:sub>
        </m:sSub>
      </m:oMath>
      <w:r w:rsidR="002D5ED5">
        <w:rPr>
          <w:sz w:val="20"/>
          <w:szCs w:val="22"/>
        </w:rPr>
        <w:t>)</w:t>
      </w:r>
      <w:r w:rsidR="0081461A">
        <w:t xml:space="preserve">. As there might be some heat losses in the water loop that delivers the recovered heat to the heat pump, the analysis </w:t>
      </w:r>
      <w:r w:rsidR="0081461A">
        <w:lastRenderedPageBreak/>
        <w:t xml:space="preserve">of the cooling </w:t>
      </w:r>
      <w:r w:rsidR="00A67811">
        <w:t>benefit</w:t>
      </w:r>
      <w:r w:rsidR="0081461A">
        <w:t xml:space="preserve"> will </w:t>
      </w:r>
      <w:r w:rsidR="007126E0">
        <w:t xml:space="preserve">consider only the energy balance at the heat exchanger (point 1 in </w:t>
      </w:r>
      <w:r w:rsidR="00CE5FF8">
        <w:t>F</w:t>
      </w:r>
      <w:r w:rsidR="007126E0">
        <w:t>igure 2).</w:t>
      </w:r>
      <w:r w:rsidR="0084041A">
        <w:t xml:space="preserve"> At point 1, the cooling being delivered can be calculated either on the air side or on the water side. </w:t>
      </w:r>
      <w:r w:rsidR="008220F2">
        <w:t xml:space="preserve">On the water side, </w:t>
      </w:r>
      <w:r w:rsidR="004F3EBC">
        <w:t>E</w:t>
      </w:r>
      <w:r w:rsidR="00D67013">
        <w:t>quation 4</w:t>
      </w:r>
      <w:r w:rsidR="008220F2">
        <w:t xml:space="preserve"> can be used to calculate the heat transfer rate. </w:t>
      </w:r>
      <w:r w:rsidR="00C0339F">
        <w:t>For</w:t>
      </w:r>
      <w:r w:rsidR="0084041A">
        <w:t xml:space="preserve"> the air stream, </w:t>
      </w:r>
      <w:r w:rsidR="00C0339F">
        <w:t xml:space="preserve">as there is a risk of condensation forming on the coils, </w:t>
      </w:r>
      <w:r w:rsidR="0084041A">
        <w:t>the calculation of the heat transfer rate</w:t>
      </w:r>
      <w:r w:rsidR="00B5164E">
        <w:t xml:space="preserve"> of the heat exchanger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Q</m:t>
                </m:r>
              </m:e>
            </m:acc>
          </m:e>
          <m:sub>
            <m:r>
              <w:rPr>
                <w:rFonts w:ascii="Cambria Math" w:hAnsi="Cambria Math"/>
              </w:rPr>
              <m:t>r</m:t>
            </m:r>
          </m:sub>
        </m:sSub>
      </m:oMath>
      <w:r w:rsidR="00B5164E">
        <w:rPr>
          <w:sz w:val="20"/>
          <w:szCs w:val="22"/>
        </w:rPr>
        <w:t>)</w:t>
      </w:r>
      <w:r w:rsidR="00BC59DD">
        <w:t xml:space="preserve"> must be </w:t>
      </w:r>
      <w:r w:rsidR="0084041A">
        <w:t>based on the mass flow rate of the air (</w:t>
      </w:r>
      <m:oMath>
        <m:sSub>
          <m:sSubPr>
            <m:ctrlPr>
              <w:rPr>
                <w:rFonts w:ascii="Cambria Math" w:hAnsi="Cambria Math"/>
                <w:i/>
                <w:sz w:val="20"/>
                <w:szCs w:val="22"/>
              </w:rPr>
            </m:ctrlPr>
          </m:sSubPr>
          <m:e>
            <m:acc>
              <m:accPr>
                <m:chr m:val="̇"/>
                <m:ctrlPr>
                  <w:rPr>
                    <w:rFonts w:ascii="Cambria Math" w:hAnsi="Cambria Math"/>
                    <w:i/>
                    <w:sz w:val="20"/>
                    <w:szCs w:val="22"/>
                  </w:rPr>
                </m:ctrlPr>
              </m:accPr>
              <m:e>
                <m:r>
                  <w:rPr>
                    <w:rFonts w:ascii="Cambria Math" w:hAnsi="Cambria Math"/>
                  </w:rPr>
                  <m:t>m</m:t>
                </m:r>
              </m:e>
            </m:acc>
          </m:e>
          <m:sub>
            <m:r>
              <w:rPr>
                <w:rFonts w:ascii="Cambria Math" w:hAnsi="Cambria Math"/>
              </w:rPr>
              <m:t>a</m:t>
            </m:r>
          </m:sub>
        </m:sSub>
      </m:oMath>
      <w:r w:rsidR="0084041A">
        <w:t>) and its enthalpy difference at the inlet (</w:t>
      </w:r>
      <m:oMath>
        <m:sSub>
          <m:sSubPr>
            <m:ctrlPr>
              <w:rPr>
                <w:rFonts w:ascii="Cambria Math" w:hAnsi="Cambria Math"/>
                <w:i/>
                <w:sz w:val="20"/>
                <w:szCs w:val="22"/>
              </w:rPr>
            </m:ctrlPr>
          </m:sSubPr>
          <m:e>
            <m:r>
              <w:rPr>
                <w:rFonts w:ascii="Cambria Math" w:hAnsi="Cambria Math"/>
              </w:rPr>
              <m:t>h</m:t>
            </m:r>
          </m:e>
          <m:sub>
            <m:r>
              <w:rPr>
                <w:rFonts w:ascii="Cambria Math" w:hAnsi="Cambria Math"/>
              </w:rPr>
              <m:t>a,i</m:t>
            </m:r>
          </m:sub>
        </m:sSub>
      </m:oMath>
      <w:r w:rsidR="0084041A">
        <w:t>) and outlet (</w:t>
      </w:r>
      <m:oMath>
        <m:sSub>
          <m:sSubPr>
            <m:ctrlPr>
              <w:rPr>
                <w:rFonts w:ascii="Cambria Math" w:hAnsi="Cambria Math"/>
                <w:i/>
                <w:sz w:val="20"/>
                <w:szCs w:val="22"/>
              </w:rPr>
            </m:ctrlPr>
          </m:sSubPr>
          <m:e>
            <m:r>
              <w:rPr>
                <w:rFonts w:ascii="Cambria Math" w:hAnsi="Cambria Math"/>
              </w:rPr>
              <m:t>h</m:t>
            </m:r>
          </m:e>
          <m:sub>
            <m:r>
              <w:rPr>
                <w:rFonts w:ascii="Cambria Math" w:hAnsi="Cambria Math"/>
              </w:rPr>
              <m:t>a,o</m:t>
            </m:r>
          </m:sub>
        </m:sSub>
      </m:oMath>
      <w:r w:rsidR="0084041A">
        <w:t>)</w:t>
      </w:r>
      <w:r w:rsidR="00C0339F">
        <w:t xml:space="preserve"> of the coils, as shown in Equation </w:t>
      </w:r>
      <w:r w:rsidR="00D67013">
        <w:t>5</w:t>
      </w:r>
      <w:r w:rsidR="00C0339F">
        <w:t xml:space="preserve"> (Naphon &amp; Wongwises 2005).</w:t>
      </w:r>
      <w:r w:rsidR="004F3EBC">
        <w:t xml:space="preserve"> </w:t>
      </w:r>
      <w:r w:rsidR="007856D4">
        <w:t xml:space="preserve">In this case, the enthalpy of air has to be </w:t>
      </w:r>
      <w:r w:rsidR="00F12D3D">
        <w:t>based on</w:t>
      </w:r>
      <w:r w:rsidR="007856D4">
        <w:t xml:space="preserve"> its specific humidity (</w:t>
      </w:r>
      <m:oMath>
        <m:sSub>
          <m:sSubPr>
            <m:ctrlPr>
              <w:rPr>
                <w:rFonts w:ascii="Cambria Math" w:hAnsi="Cambria Math"/>
                <w:i/>
                <w:sz w:val="20"/>
                <w:szCs w:val="22"/>
              </w:rPr>
            </m:ctrlPr>
          </m:sSubPr>
          <m:e>
            <m:r>
              <w:rPr>
                <w:rFonts w:ascii="Cambria Math" w:hAnsi="Cambria Math"/>
              </w:rPr>
              <m:t>ω</m:t>
            </m:r>
          </m:e>
          <m:sub>
            <m:r>
              <w:rPr>
                <w:rFonts w:ascii="Cambria Math" w:hAnsi="Cambria Math"/>
              </w:rPr>
              <m:t>a</m:t>
            </m:r>
          </m:sub>
        </m:sSub>
      </m:oMath>
      <w:r w:rsidR="00F12D3D">
        <w:t>), the specific heat of air at constant pressure (</w:t>
      </w:r>
      <m:oMath>
        <m:sSub>
          <m:sSubPr>
            <m:ctrlPr>
              <w:rPr>
                <w:rFonts w:ascii="Cambria Math" w:hAnsi="Cambria Math"/>
                <w:i/>
                <w:sz w:val="20"/>
                <w:szCs w:val="22"/>
              </w:rPr>
            </m:ctrlPr>
          </m:sSubPr>
          <m:e>
            <m:r>
              <w:rPr>
                <w:rFonts w:ascii="Cambria Math" w:hAnsi="Cambria Math"/>
              </w:rPr>
              <m:t>C</m:t>
            </m:r>
          </m:e>
          <m:sub>
            <m:r>
              <w:rPr>
                <w:rFonts w:ascii="Cambria Math" w:hAnsi="Cambria Math"/>
              </w:rPr>
              <m:t>p,a</m:t>
            </m:r>
          </m:sub>
        </m:sSub>
      </m:oMath>
      <w:r w:rsidR="00F12D3D">
        <w:t>),</w:t>
      </w:r>
      <w:r w:rsidR="0044394D">
        <w:t xml:space="preserve"> the</w:t>
      </w:r>
      <w:r w:rsidR="00F12D3D">
        <w:t xml:space="preserve"> air temperature (</w:t>
      </w:r>
      <m:oMath>
        <m:sSub>
          <m:sSubPr>
            <m:ctrlPr>
              <w:rPr>
                <w:rFonts w:ascii="Cambria Math" w:hAnsi="Cambria Math"/>
                <w:i/>
                <w:sz w:val="20"/>
                <w:szCs w:val="22"/>
              </w:rPr>
            </m:ctrlPr>
          </m:sSubPr>
          <m:e>
            <m:r>
              <w:rPr>
                <w:rFonts w:ascii="Cambria Math" w:hAnsi="Cambria Math"/>
              </w:rPr>
              <m:t>T</m:t>
            </m:r>
          </m:e>
          <m:sub>
            <m:r>
              <w:rPr>
                <w:rFonts w:ascii="Cambria Math" w:hAnsi="Cambria Math"/>
              </w:rPr>
              <m:t>a</m:t>
            </m:r>
          </m:sub>
        </m:sSub>
      </m:oMath>
      <w:r w:rsidR="0000346D">
        <w:t>) and the enthalpy of saturated water vapour (</w:t>
      </w:r>
      <m:oMath>
        <m:sSub>
          <m:sSubPr>
            <m:ctrlPr>
              <w:rPr>
                <w:rFonts w:ascii="Cambria Math" w:hAnsi="Cambria Math"/>
                <w:i/>
                <w:sz w:val="20"/>
                <w:szCs w:val="22"/>
              </w:rPr>
            </m:ctrlPr>
          </m:sSubPr>
          <m:e>
            <m:r>
              <w:rPr>
                <w:rFonts w:ascii="Cambria Math" w:hAnsi="Cambria Math"/>
              </w:rPr>
              <m:t>h</m:t>
            </m:r>
          </m:e>
          <m:sub>
            <m:r>
              <w:rPr>
                <w:rFonts w:ascii="Cambria Math" w:hAnsi="Cambria Math"/>
              </w:rPr>
              <m:t>w,g</m:t>
            </m:r>
          </m:sub>
        </m:sSub>
      </m:oMath>
      <w:r w:rsidR="0000346D">
        <w:t xml:space="preserve">), as shown in Equation </w:t>
      </w:r>
      <w:r w:rsidR="00D67013">
        <w:t>6</w:t>
      </w:r>
      <w:r w:rsidR="0000346D">
        <w:t>.</w:t>
      </w:r>
    </w:p>
    <w:p w14:paraId="0E8C9369" w14:textId="28F42F56" w:rsidR="00B5164E" w:rsidRDefault="006B162C" w:rsidP="00B5164E">
      <w:pPr>
        <w:pStyle w:val="19Equation"/>
        <w:ind w:firstLine="2880"/>
      </w:pP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r</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a,o</m:t>
            </m:r>
          </m:sub>
        </m:sSub>
        <m:r>
          <w:rPr>
            <w:rFonts w:ascii="Cambria Math" w:hAnsi="Cambria Math"/>
          </w:rPr>
          <m:t>)</m:t>
        </m:r>
      </m:oMath>
      <w:r w:rsidR="00B5164E">
        <w:tab/>
        <w:t>(</w:t>
      </w:r>
      <w:r w:rsidR="00D67013">
        <w:t>5</w:t>
      </w:r>
      <w:r w:rsidR="00B5164E" w:rsidRPr="00785819">
        <w:t>)</w:t>
      </w:r>
    </w:p>
    <w:p w14:paraId="34F79A72" w14:textId="35D09A0F" w:rsidR="004F3EBC" w:rsidRDefault="005B20DB" w:rsidP="004F3EBC">
      <w:pPr>
        <w:pStyle w:val="19Equation"/>
        <w:ind w:firstLine="2880"/>
      </w:pP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p,a</m:t>
            </m:r>
          </m:sub>
        </m:sSub>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a</m:t>
            </m:r>
          </m:sub>
        </m:sSub>
        <m:sSub>
          <m:sSubPr>
            <m:ctrlPr>
              <w:rPr>
                <w:rFonts w:ascii="Cambria Math" w:hAnsi="Cambria Math"/>
                <w:i/>
              </w:rPr>
            </m:ctrlPr>
          </m:sSubPr>
          <m:e>
            <m:r>
              <w:rPr>
                <w:rFonts w:ascii="Cambria Math" w:hAnsi="Cambria Math"/>
              </w:rPr>
              <m:t>h</m:t>
            </m:r>
          </m:e>
          <m:sub>
            <m:r>
              <w:rPr>
                <w:rFonts w:ascii="Cambria Math" w:hAnsi="Cambria Math"/>
              </w:rPr>
              <m:t>w,g</m:t>
            </m:r>
          </m:sub>
        </m:sSub>
      </m:oMath>
      <w:r w:rsidR="004F3EBC">
        <w:tab/>
        <w:t>(</w:t>
      </w:r>
      <w:r w:rsidR="00D67013">
        <w:t>6</w:t>
      </w:r>
      <w:r w:rsidR="004F3EBC" w:rsidRPr="00785819">
        <w:t>)</w:t>
      </w:r>
    </w:p>
    <w:p w14:paraId="120876EF" w14:textId="48B722A6" w:rsidR="00385B5A" w:rsidRPr="00AA6038" w:rsidRDefault="00F750A6" w:rsidP="00385B5A">
      <w:pPr>
        <w:pStyle w:val="11Level2Heading"/>
      </w:pPr>
      <w:r>
        <w:t>Measurements</w:t>
      </w:r>
    </w:p>
    <w:p w14:paraId="65C671BF" w14:textId="1C316110" w:rsidR="000E0AA0" w:rsidRDefault="000E0AA0" w:rsidP="00D91965">
      <w:pPr>
        <w:pStyle w:val="06BodyMaintext"/>
      </w:pPr>
      <w:r w:rsidRPr="000E0AA0">
        <w:t xml:space="preserve">In order to calculate the energy efficiency of the waste heat source, as shown in Equation 1, many operating parameters of the system need to be monitored, which means sensors and meters need to be placed at different locations within the system. </w:t>
      </w:r>
      <w:r w:rsidR="005C719F">
        <w:t>In terms of power input to the system</w:t>
      </w:r>
      <w:r w:rsidR="0041010F">
        <w:t xml:space="preserve"> (</w:t>
      </w:r>
      <m:oMath>
        <m:r>
          <w:rPr>
            <w:rFonts w:ascii="Cambria Math" w:hAnsi="Cambria Math"/>
          </w:rPr>
          <m:t>Σ</m:t>
        </m:r>
        <m:acc>
          <m:accPr>
            <m:chr m:val="̇"/>
            <m:ctrlPr>
              <w:rPr>
                <w:rFonts w:ascii="Cambria Math" w:hAnsi="Cambria Math"/>
                <w:i/>
              </w:rPr>
            </m:ctrlPr>
          </m:accPr>
          <m:e>
            <m:r>
              <w:rPr>
                <w:rFonts w:ascii="Cambria Math" w:hAnsi="Cambria Math"/>
              </w:rPr>
              <m:t>W</m:t>
            </m:r>
          </m:e>
        </m:acc>
      </m:oMath>
      <w:r w:rsidR="0041010F">
        <w:t>)</w:t>
      </w:r>
      <w:r w:rsidR="005C719F">
        <w:t xml:space="preserve">, </w:t>
      </w:r>
      <w:r w:rsidRPr="000E0AA0">
        <w:t>The ASHRAE Handbook – Fundamentals (2017) suggests that Wattmeters should be used to measure the active power of a given circuit, which can then be used to calculate the electricity consumption of the machinery connected to that circuit. An electrical energy meter using a current transformer (CT) will be applied to measure the power input to each of the aforementioned equipm</w:t>
      </w:r>
      <w:r w:rsidR="00F942AD">
        <w:t>ent</w:t>
      </w:r>
      <w:r w:rsidRPr="000E0AA0">
        <w:t>, as they enable multiple measurements to be made and can also record energy consumption over time. The device is able to measure currents, voltages, power and energy consumption of three-phase electrical circuits with an accuracy of 0.5%.</w:t>
      </w:r>
    </w:p>
    <w:p w14:paraId="21989958" w14:textId="4096BC00" w:rsidR="005C719F" w:rsidRDefault="005C719F" w:rsidP="00D91965">
      <w:pPr>
        <w:pStyle w:val="06BodyMaintext"/>
      </w:pPr>
      <w:r>
        <w:t xml:space="preserve">As for the </w:t>
      </w:r>
      <w:r w:rsidR="0041010F">
        <w:t>heating and cooling aspects of the w</w:t>
      </w:r>
      <w:r w:rsidR="00704ABF">
        <w:t xml:space="preserve">aste heat recovery systems, </w:t>
      </w:r>
      <w:r w:rsidR="0041010F">
        <w:t xml:space="preserve">critical parameters can </w:t>
      </w:r>
      <w:r w:rsidR="00BC59DD">
        <w:t>be monitored by placing meters i</w:t>
      </w:r>
      <w:r w:rsidR="0041010F">
        <w:t>n differe</w:t>
      </w:r>
      <w:r w:rsidR="00BC59DD">
        <w:t xml:space="preserve">nt locations </w:t>
      </w:r>
      <w:r w:rsidR="0041010F">
        <w:t xml:space="preserve">within the system. </w:t>
      </w:r>
      <w:r w:rsidR="00704ABF" w:rsidRPr="00704ABF">
        <w:t xml:space="preserve">Table 1 </w:t>
      </w:r>
      <w:r w:rsidR="00704ABF">
        <w:t>summarises what are these parameters, the medium in which they will be m</w:t>
      </w:r>
      <w:r w:rsidR="00BC59DD">
        <w:t>e</w:t>
      </w:r>
      <w:r w:rsidR="00704ABF">
        <w:t>asured and their related units of measurement</w:t>
      </w:r>
      <w:r w:rsidR="00BC59DD">
        <w:t>. T</w:t>
      </w:r>
      <w:r w:rsidR="00704ABF">
        <w:t>he</w:t>
      </w:r>
      <w:r w:rsidR="00BC59DD">
        <w:t xml:space="preserve"> list of</w:t>
      </w:r>
      <w:r w:rsidR="00704ABF">
        <w:t xml:space="preserve"> instruments that could be used for monitoring and their typical uncertainty val</w:t>
      </w:r>
      <w:r w:rsidR="00BC59DD">
        <w:t xml:space="preserve">ues </w:t>
      </w:r>
      <w:r w:rsidR="004F1EEA">
        <w:t>are</w:t>
      </w:r>
      <w:r w:rsidR="00BC59DD">
        <w:t xml:space="preserve"> also provided.</w:t>
      </w:r>
    </w:p>
    <w:p w14:paraId="36811D45" w14:textId="7E032A08" w:rsidR="005F7BAA" w:rsidRDefault="005F7BAA" w:rsidP="00D91965">
      <w:pPr>
        <w:pStyle w:val="06BodyMaintext"/>
      </w:pPr>
    </w:p>
    <w:tbl>
      <w:tblPr>
        <w:tblW w:w="5000" w:type="pct"/>
        <w:jc w:val="center"/>
        <w:tblBorders>
          <w:top w:val="single" w:sz="18" w:space="0" w:color="auto"/>
          <w:bottom w:val="single" w:sz="18" w:space="0" w:color="auto"/>
        </w:tblBorders>
        <w:tblLook w:val="04A0" w:firstRow="1" w:lastRow="0" w:firstColumn="1" w:lastColumn="0" w:noHBand="0" w:noVBand="1"/>
      </w:tblPr>
      <w:tblGrid>
        <w:gridCol w:w="1543"/>
        <w:gridCol w:w="1083"/>
        <w:gridCol w:w="1626"/>
        <w:gridCol w:w="1417"/>
        <w:gridCol w:w="2268"/>
        <w:gridCol w:w="2143"/>
      </w:tblGrid>
      <w:tr w:rsidR="005F7BAA" w:rsidRPr="006C7028" w14:paraId="1E2D686E" w14:textId="77777777" w:rsidTr="00E22E9B">
        <w:trPr>
          <w:jc w:val="center"/>
        </w:trPr>
        <w:tc>
          <w:tcPr>
            <w:tcW w:w="5000" w:type="pct"/>
            <w:gridSpan w:val="6"/>
            <w:tcBorders>
              <w:top w:val="nil"/>
              <w:bottom w:val="single" w:sz="18" w:space="0" w:color="auto"/>
            </w:tcBorders>
          </w:tcPr>
          <w:p w14:paraId="79326A85" w14:textId="77777777" w:rsidR="005F7BAA" w:rsidRPr="00B94BEB" w:rsidRDefault="005F7BAA" w:rsidP="00E22E9B">
            <w:pPr>
              <w:pStyle w:val="15TableTitle"/>
            </w:pPr>
            <w:r w:rsidRPr="00B94BEB">
              <w:t xml:space="preserve">Table 1.   </w:t>
            </w:r>
            <w:r>
              <w:t>Critical parameters and instruments for performance evaluation of the Bunhill Waste Heat Recovery System (Tran et al. 2012)</w:t>
            </w:r>
            <w:r>
              <w:rPr>
                <w:vertAlign w:val="superscript"/>
              </w:rPr>
              <w:t>1</w:t>
            </w:r>
            <w:r>
              <w:t xml:space="preserve"> (ASHRAE 2017)</w:t>
            </w:r>
            <w:r>
              <w:rPr>
                <w:vertAlign w:val="superscript"/>
              </w:rPr>
              <w:t>2</w:t>
            </w:r>
            <w:r>
              <w:t>.</w:t>
            </w:r>
          </w:p>
        </w:tc>
      </w:tr>
      <w:tr w:rsidR="005F7BAA" w:rsidRPr="006C7028" w14:paraId="395B3FC7" w14:textId="77777777" w:rsidTr="00E22E9B">
        <w:trPr>
          <w:jc w:val="center"/>
        </w:trPr>
        <w:tc>
          <w:tcPr>
            <w:tcW w:w="765" w:type="pct"/>
            <w:tcBorders>
              <w:top w:val="single" w:sz="18" w:space="0" w:color="auto"/>
              <w:bottom w:val="double" w:sz="6" w:space="0" w:color="auto"/>
            </w:tcBorders>
            <w:vAlign w:val="center"/>
          </w:tcPr>
          <w:p w14:paraId="4F0BFE08" w14:textId="77777777" w:rsidR="005F7BAA" w:rsidRPr="00976C86" w:rsidRDefault="005F7BAA" w:rsidP="00E22E9B">
            <w:pPr>
              <w:pStyle w:val="14TableHeading"/>
            </w:pPr>
            <w:r>
              <w:t>Evaluation</w:t>
            </w:r>
          </w:p>
        </w:tc>
        <w:tc>
          <w:tcPr>
            <w:tcW w:w="537" w:type="pct"/>
            <w:tcBorders>
              <w:top w:val="single" w:sz="18" w:space="0" w:color="auto"/>
              <w:bottom w:val="double" w:sz="6" w:space="0" w:color="auto"/>
            </w:tcBorders>
            <w:vAlign w:val="center"/>
          </w:tcPr>
          <w:p w14:paraId="1A1D49FB" w14:textId="77777777" w:rsidR="005F7BAA" w:rsidRPr="00976C86" w:rsidRDefault="005F7BAA" w:rsidP="00E22E9B">
            <w:pPr>
              <w:pStyle w:val="14TableHeading"/>
            </w:pPr>
            <w:r>
              <w:t>Medium</w:t>
            </w:r>
          </w:p>
        </w:tc>
        <w:tc>
          <w:tcPr>
            <w:tcW w:w="807" w:type="pct"/>
            <w:tcBorders>
              <w:top w:val="single" w:sz="18" w:space="0" w:color="auto"/>
              <w:bottom w:val="double" w:sz="6" w:space="0" w:color="auto"/>
            </w:tcBorders>
            <w:vAlign w:val="center"/>
          </w:tcPr>
          <w:p w14:paraId="70ABEA30" w14:textId="77777777" w:rsidR="005F7BAA" w:rsidRPr="00976C86" w:rsidRDefault="005F7BAA" w:rsidP="00E22E9B">
            <w:pPr>
              <w:pStyle w:val="14TableHeading"/>
            </w:pPr>
            <w:r>
              <w:t>Parameter</w:t>
            </w:r>
          </w:p>
        </w:tc>
        <w:tc>
          <w:tcPr>
            <w:tcW w:w="703" w:type="pct"/>
            <w:tcBorders>
              <w:top w:val="single" w:sz="18" w:space="0" w:color="auto"/>
              <w:bottom w:val="double" w:sz="6" w:space="0" w:color="auto"/>
            </w:tcBorders>
          </w:tcPr>
          <w:p w14:paraId="0E4422A2" w14:textId="77777777" w:rsidR="005F7BAA" w:rsidRPr="00976C86" w:rsidRDefault="005F7BAA" w:rsidP="00E22E9B">
            <w:pPr>
              <w:pStyle w:val="14TableHeading"/>
            </w:pPr>
            <w:r>
              <w:t>Unit</w:t>
            </w:r>
          </w:p>
        </w:tc>
        <w:tc>
          <w:tcPr>
            <w:tcW w:w="1125" w:type="pct"/>
            <w:tcBorders>
              <w:top w:val="single" w:sz="18" w:space="0" w:color="auto"/>
              <w:bottom w:val="double" w:sz="6" w:space="0" w:color="auto"/>
            </w:tcBorders>
            <w:vAlign w:val="center"/>
          </w:tcPr>
          <w:p w14:paraId="66F1699B" w14:textId="77777777" w:rsidR="005F7BAA" w:rsidRDefault="005F7BAA" w:rsidP="00E22E9B">
            <w:pPr>
              <w:pStyle w:val="14TableHeading"/>
            </w:pPr>
            <w:r>
              <w:t>Instruments (quantity)</w:t>
            </w:r>
          </w:p>
        </w:tc>
        <w:tc>
          <w:tcPr>
            <w:tcW w:w="1063" w:type="pct"/>
            <w:tcBorders>
              <w:top w:val="single" w:sz="18" w:space="0" w:color="auto"/>
              <w:bottom w:val="double" w:sz="6" w:space="0" w:color="auto"/>
            </w:tcBorders>
            <w:vAlign w:val="center"/>
          </w:tcPr>
          <w:p w14:paraId="566D4775" w14:textId="77777777" w:rsidR="005F7BAA" w:rsidRPr="00976C86" w:rsidRDefault="005F7BAA" w:rsidP="00E22E9B">
            <w:pPr>
              <w:pStyle w:val="14TableHeading"/>
            </w:pPr>
            <w:r>
              <w:t>Typical Uncertainty</w:t>
            </w:r>
          </w:p>
        </w:tc>
      </w:tr>
      <w:tr w:rsidR="005F7BAA" w:rsidRPr="006C7028" w14:paraId="1D1A1014" w14:textId="77777777" w:rsidTr="00E22E9B">
        <w:trPr>
          <w:jc w:val="center"/>
        </w:trPr>
        <w:tc>
          <w:tcPr>
            <w:tcW w:w="765" w:type="pct"/>
            <w:vMerge w:val="restart"/>
            <w:tcBorders>
              <w:top w:val="double" w:sz="6" w:space="0" w:color="auto"/>
            </w:tcBorders>
            <w:vAlign w:val="center"/>
          </w:tcPr>
          <w:p w14:paraId="7CAA7AD3" w14:textId="77777777" w:rsidR="005F7BAA" w:rsidRPr="00FF24B5" w:rsidRDefault="005F7BAA" w:rsidP="00E22E9B">
            <w:pPr>
              <w:pStyle w:val="16TableText"/>
            </w:pPr>
            <w:r>
              <w:t>Heating</w:t>
            </w:r>
          </w:p>
        </w:tc>
        <w:tc>
          <w:tcPr>
            <w:tcW w:w="537" w:type="pct"/>
            <w:vMerge w:val="restart"/>
            <w:tcBorders>
              <w:top w:val="double" w:sz="6" w:space="0" w:color="auto"/>
            </w:tcBorders>
            <w:vAlign w:val="center"/>
          </w:tcPr>
          <w:p w14:paraId="3336E012" w14:textId="77777777" w:rsidR="005F7BAA" w:rsidRPr="0099761A" w:rsidRDefault="005F7BAA" w:rsidP="00E22E9B">
            <w:pPr>
              <w:pStyle w:val="16TableText"/>
            </w:pPr>
            <w:r>
              <w:t>Refrigerant</w:t>
            </w:r>
          </w:p>
        </w:tc>
        <w:tc>
          <w:tcPr>
            <w:tcW w:w="807" w:type="pct"/>
            <w:tcBorders>
              <w:top w:val="double" w:sz="6" w:space="0" w:color="auto"/>
              <w:bottom w:val="nil"/>
            </w:tcBorders>
            <w:vAlign w:val="center"/>
          </w:tcPr>
          <w:p w14:paraId="5B3EF046" w14:textId="77777777" w:rsidR="005F7BAA" w:rsidRPr="0099761A" w:rsidRDefault="005F7BAA" w:rsidP="00E22E9B">
            <w:pPr>
              <w:pStyle w:val="16TableText"/>
            </w:pPr>
            <w:r>
              <w:t>Pressure</w:t>
            </w:r>
          </w:p>
        </w:tc>
        <w:tc>
          <w:tcPr>
            <w:tcW w:w="703" w:type="pct"/>
            <w:tcBorders>
              <w:top w:val="double" w:sz="6" w:space="0" w:color="auto"/>
              <w:bottom w:val="nil"/>
            </w:tcBorders>
          </w:tcPr>
          <w:p w14:paraId="18949030" w14:textId="77777777" w:rsidR="005F7BAA" w:rsidRDefault="005F7BAA" w:rsidP="00E22E9B">
            <w:pPr>
              <w:pStyle w:val="16TableText"/>
            </w:pPr>
            <w:r>
              <w:t>kPa (psi)</w:t>
            </w:r>
          </w:p>
        </w:tc>
        <w:tc>
          <w:tcPr>
            <w:tcW w:w="1125" w:type="pct"/>
            <w:tcBorders>
              <w:top w:val="double" w:sz="6" w:space="0" w:color="auto"/>
              <w:bottom w:val="nil"/>
            </w:tcBorders>
          </w:tcPr>
          <w:p w14:paraId="166C445A" w14:textId="77777777" w:rsidR="005F7BAA" w:rsidRDefault="005F7BAA" w:rsidP="00E22E9B">
            <w:pPr>
              <w:pStyle w:val="16TableText"/>
            </w:pPr>
            <w:r>
              <w:t>Pressure gauges (2)</w:t>
            </w:r>
          </w:p>
        </w:tc>
        <w:tc>
          <w:tcPr>
            <w:tcW w:w="1063" w:type="pct"/>
            <w:tcBorders>
              <w:top w:val="double" w:sz="6" w:space="0" w:color="auto"/>
              <w:bottom w:val="nil"/>
            </w:tcBorders>
            <w:vAlign w:val="center"/>
          </w:tcPr>
          <w:p w14:paraId="5286EC0A" w14:textId="77777777" w:rsidR="005F7BAA" w:rsidRPr="0099761A" w:rsidRDefault="005F7BAA" w:rsidP="00E22E9B">
            <w:pPr>
              <w:pStyle w:val="16TableText"/>
            </w:pPr>
            <w:r>
              <w:t>0.25%</w:t>
            </w:r>
            <w:r>
              <w:rPr>
                <w:vertAlign w:val="superscript"/>
              </w:rPr>
              <w:t>1</w:t>
            </w:r>
          </w:p>
        </w:tc>
      </w:tr>
      <w:tr w:rsidR="005F7BAA" w:rsidRPr="006C7028" w14:paraId="4ACBA4DE" w14:textId="77777777" w:rsidTr="00E22E9B">
        <w:trPr>
          <w:jc w:val="center"/>
        </w:trPr>
        <w:tc>
          <w:tcPr>
            <w:tcW w:w="765" w:type="pct"/>
            <w:vMerge/>
            <w:vAlign w:val="center"/>
          </w:tcPr>
          <w:p w14:paraId="0BE79DF2" w14:textId="77777777" w:rsidR="005F7BAA" w:rsidRPr="0099761A" w:rsidRDefault="005F7BAA" w:rsidP="00E22E9B">
            <w:pPr>
              <w:pStyle w:val="16TableText"/>
            </w:pPr>
          </w:p>
        </w:tc>
        <w:tc>
          <w:tcPr>
            <w:tcW w:w="537" w:type="pct"/>
            <w:vMerge/>
            <w:vAlign w:val="center"/>
          </w:tcPr>
          <w:p w14:paraId="4FA2F5C0" w14:textId="77777777" w:rsidR="005F7BAA" w:rsidRPr="0099761A" w:rsidRDefault="005F7BAA" w:rsidP="00E22E9B">
            <w:pPr>
              <w:pStyle w:val="16TableText"/>
            </w:pPr>
          </w:p>
        </w:tc>
        <w:tc>
          <w:tcPr>
            <w:tcW w:w="807" w:type="pct"/>
            <w:tcBorders>
              <w:top w:val="nil"/>
              <w:bottom w:val="nil"/>
            </w:tcBorders>
            <w:vAlign w:val="center"/>
          </w:tcPr>
          <w:p w14:paraId="39BAA05D" w14:textId="77777777" w:rsidR="005F7BAA" w:rsidRPr="0099761A" w:rsidRDefault="005F7BAA" w:rsidP="00E22E9B">
            <w:pPr>
              <w:pStyle w:val="16TableText"/>
            </w:pPr>
            <w:r>
              <w:t>Temperature</w:t>
            </w:r>
          </w:p>
        </w:tc>
        <w:tc>
          <w:tcPr>
            <w:tcW w:w="703" w:type="pct"/>
            <w:tcBorders>
              <w:top w:val="nil"/>
              <w:bottom w:val="nil"/>
            </w:tcBorders>
          </w:tcPr>
          <w:p w14:paraId="47A6F2EA" w14:textId="77777777" w:rsidR="005F7BAA" w:rsidRDefault="005F7BAA" w:rsidP="00E22E9B">
            <w:pPr>
              <w:pStyle w:val="16TableText"/>
            </w:pPr>
            <w:r w:rsidRPr="00A526C0">
              <w:t>°C</w:t>
            </w:r>
            <w:r>
              <w:t xml:space="preserve"> (</w:t>
            </w:r>
            <w:r w:rsidRPr="00A526C0">
              <w:t>°</w:t>
            </w:r>
            <w:r>
              <w:t>F)</w:t>
            </w:r>
          </w:p>
        </w:tc>
        <w:tc>
          <w:tcPr>
            <w:tcW w:w="1125" w:type="pct"/>
            <w:tcBorders>
              <w:top w:val="nil"/>
              <w:bottom w:val="nil"/>
            </w:tcBorders>
          </w:tcPr>
          <w:p w14:paraId="6AC1E0C2" w14:textId="77777777" w:rsidR="005F7BAA" w:rsidRDefault="005F7BAA" w:rsidP="00E22E9B">
            <w:pPr>
              <w:pStyle w:val="16TableText"/>
            </w:pPr>
            <w:r>
              <w:t>Platinum RTD</w:t>
            </w:r>
            <w:r w:rsidRPr="009009DE">
              <w:t xml:space="preserve"> (2)</w:t>
            </w:r>
          </w:p>
        </w:tc>
        <w:tc>
          <w:tcPr>
            <w:tcW w:w="1063" w:type="pct"/>
            <w:tcBorders>
              <w:top w:val="nil"/>
              <w:bottom w:val="nil"/>
            </w:tcBorders>
            <w:vAlign w:val="center"/>
          </w:tcPr>
          <w:p w14:paraId="2AD865F1" w14:textId="77777777" w:rsidR="005F7BAA" w:rsidRPr="0099761A" w:rsidRDefault="005F7BAA" w:rsidP="00E22E9B">
            <w:pPr>
              <w:pStyle w:val="16TableText"/>
            </w:pPr>
            <w:r w:rsidRPr="00C27606">
              <w:t>0.</w:t>
            </w:r>
            <w:r>
              <w:t>1</w:t>
            </w:r>
            <w:r>
              <w:rPr>
                <w:vertAlign w:val="superscript"/>
              </w:rPr>
              <w:t>2</w:t>
            </w:r>
            <w:r>
              <w:t xml:space="preserve"> to 0.8 K</w:t>
            </w:r>
            <w:r>
              <w:rPr>
                <w:vertAlign w:val="superscript"/>
              </w:rPr>
              <w:t>1</w:t>
            </w:r>
          </w:p>
        </w:tc>
      </w:tr>
      <w:tr w:rsidR="005F7BAA" w:rsidRPr="006C7028" w14:paraId="3C57093F" w14:textId="77777777" w:rsidTr="00E22E9B">
        <w:trPr>
          <w:jc w:val="center"/>
        </w:trPr>
        <w:tc>
          <w:tcPr>
            <w:tcW w:w="765" w:type="pct"/>
            <w:vMerge/>
            <w:vAlign w:val="center"/>
          </w:tcPr>
          <w:p w14:paraId="0180BC15" w14:textId="77777777" w:rsidR="005F7BAA" w:rsidRPr="0099761A" w:rsidRDefault="005F7BAA" w:rsidP="00E22E9B">
            <w:pPr>
              <w:pStyle w:val="16TableText"/>
            </w:pPr>
          </w:p>
        </w:tc>
        <w:tc>
          <w:tcPr>
            <w:tcW w:w="537" w:type="pct"/>
            <w:vMerge/>
            <w:vAlign w:val="center"/>
          </w:tcPr>
          <w:p w14:paraId="42BC2687" w14:textId="77777777" w:rsidR="005F7BAA" w:rsidRPr="0099761A" w:rsidRDefault="005F7BAA" w:rsidP="00E22E9B">
            <w:pPr>
              <w:pStyle w:val="16TableText"/>
            </w:pPr>
          </w:p>
        </w:tc>
        <w:tc>
          <w:tcPr>
            <w:tcW w:w="807" w:type="pct"/>
            <w:tcBorders>
              <w:top w:val="nil"/>
              <w:bottom w:val="nil"/>
            </w:tcBorders>
            <w:vAlign w:val="center"/>
          </w:tcPr>
          <w:p w14:paraId="471EEC06" w14:textId="77777777" w:rsidR="005F7BAA" w:rsidRPr="0099761A" w:rsidRDefault="005F7BAA" w:rsidP="00E22E9B">
            <w:pPr>
              <w:pStyle w:val="16TableText"/>
            </w:pPr>
            <w:r>
              <w:t>Flow rate</w:t>
            </w:r>
          </w:p>
        </w:tc>
        <w:tc>
          <w:tcPr>
            <w:tcW w:w="703" w:type="pct"/>
            <w:tcBorders>
              <w:top w:val="nil"/>
              <w:bottom w:val="nil"/>
            </w:tcBorders>
          </w:tcPr>
          <w:p w14:paraId="08518577" w14:textId="77777777" w:rsidR="005F7BAA" w:rsidRDefault="005F7BAA" w:rsidP="00E22E9B">
            <w:pPr>
              <w:pStyle w:val="16TableText"/>
            </w:pPr>
            <w:r>
              <w:t>kg</w:t>
            </w:r>
            <w:r w:rsidRPr="0026776E">
              <w:t>/s</w:t>
            </w:r>
            <w:r>
              <w:t xml:space="preserve"> (lb/s)</w:t>
            </w:r>
          </w:p>
        </w:tc>
        <w:tc>
          <w:tcPr>
            <w:tcW w:w="1125" w:type="pct"/>
            <w:tcBorders>
              <w:top w:val="nil"/>
              <w:bottom w:val="nil"/>
            </w:tcBorders>
          </w:tcPr>
          <w:p w14:paraId="3A79CD32" w14:textId="77777777" w:rsidR="005F7BAA" w:rsidRDefault="005F7BAA" w:rsidP="00E22E9B">
            <w:pPr>
              <w:pStyle w:val="16TableText"/>
            </w:pPr>
            <w:r>
              <w:t>Coriolis/ultrasonic (1)</w:t>
            </w:r>
          </w:p>
        </w:tc>
        <w:tc>
          <w:tcPr>
            <w:tcW w:w="1063" w:type="pct"/>
            <w:tcBorders>
              <w:top w:val="nil"/>
              <w:bottom w:val="nil"/>
            </w:tcBorders>
            <w:vAlign w:val="center"/>
          </w:tcPr>
          <w:p w14:paraId="6DC1BC05" w14:textId="77777777" w:rsidR="005F7BAA" w:rsidRPr="0099761A" w:rsidRDefault="005F7BAA" w:rsidP="00E22E9B">
            <w:pPr>
              <w:pStyle w:val="16TableText"/>
            </w:pPr>
            <w:r>
              <w:t>0.2%</w:t>
            </w:r>
            <w:r>
              <w:rPr>
                <w:vertAlign w:val="superscript"/>
              </w:rPr>
              <w:t>1</w:t>
            </w:r>
          </w:p>
        </w:tc>
      </w:tr>
      <w:tr w:rsidR="005F7BAA" w:rsidRPr="006C7028" w14:paraId="2373C595" w14:textId="77777777" w:rsidTr="00E22E9B">
        <w:trPr>
          <w:jc w:val="center"/>
        </w:trPr>
        <w:tc>
          <w:tcPr>
            <w:tcW w:w="765" w:type="pct"/>
            <w:vMerge/>
            <w:tcBorders>
              <w:bottom w:val="single" w:sz="4" w:space="0" w:color="auto"/>
            </w:tcBorders>
            <w:vAlign w:val="center"/>
          </w:tcPr>
          <w:p w14:paraId="720A926C" w14:textId="77777777" w:rsidR="005F7BAA" w:rsidRPr="0099761A" w:rsidRDefault="005F7BAA" w:rsidP="00E22E9B">
            <w:pPr>
              <w:pStyle w:val="16TableText"/>
            </w:pPr>
          </w:p>
        </w:tc>
        <w:tc>
          <w:tcPr>
            <w:tcW w:w="537" w:type="pct"/>
            <w:vMerge/>
            <w:tcBorders>
              <w:bottom w:val="single" w:sz="4" w:space="0" w:color="auto"/>
            </w:tcBorders>
            <w:vAlign w:val="center"/>
          </w:tcPr>
          <w:p w14:paraId="1AA01F97" w14:textId="77777777" w:rsidR="005F7BAA" w:rsidRPr="0099761A" w:rsidRDefault="005F7BAA" w:rsidP="00E22E9B">
            <w:pPr>
              <w:pStyle w:val="16TableText"/>
            </w:pPr>
          </w:p>
        </w:tc>
        <w:tc>
          <w:tcPr>
            <w:tcW w:w="807" w:type="pct"/>
            <w:tcBorders>
              <w:top w:val="nil"/>
              <w:bottom w:val="single" w:sz="4" w:space="0" w:color="auto"/>
            </w:tcBorders>
            <w:vAlign w:val="center"/>
          </w:tcPr>
          <w:p w14:paraId="0BE89C21" w14:textId="77777777" w:rsidR="005F7BAA" w:rsidRPr="0099761A" w:rsidRDefault="005F7BAA" w:rsidP="00E22E9B">
            <w:pPr>
              <w:pStyle w:val="16TableText"/>
            </w:pPr>
            <w:r>
              <w:t>Density</w:t>
            </w:r>
          </w:p>
        </w:tc>
        <w:tc>
          <w:tcPr>
            <w:tcW w:w="703" w:type="pct"/>
            <w:tcBorders>
              <w:top w:val="nil"/>
              <w:bottom w:val="single" w:sz="4" w:space="0" w:color="auto"/>
            </w:tcBorders>
          </w:tcPr>
          <w:p w14:paraId="75BA6145" w14:textId="77777777" w:rsidR="005F7BAA" w:rsidRDefault="005F7BAA" w:rsidP="00E22E9B">
            <w:pPr>
              <w:pStyle w:val="16TableText"/>
            </w:pPr>
            <w:r>
              <w:t>kg/</w:t>
            </w:r>
            <w:r w:rsidRPr="0026776E">
              <w:t>m</w:t>
            </w:r>
            <w:r w:rsidRPr="0026776E">
              <w:rPr>
                <w:vertAlign w:val="superscript"/>
              </w:rPr>
              <w:t>3</w:t>
            </w:r>
            <w:r>
              <w:rPr>
                <w:vertAlign w:val="superscript"/>
              </w:rPr>
              <w:t xml:space="preserve"> </w:t>
            </w:r>
            <w:r>
              <w:t>(lb/ft</w:t>
            </w:r>
            <w:r>
              <w:rPr>
                <w:vertAlign w:val="superscript"/>
              </w:rPr>
              <w:t>3</w:t>
            </w:r>
            <w:r>
              <w:t>)</w:t>
            </w:r>
          </w:p>
        </w:tc>
        <w:tc>
          <w:tcPr>
            <w:tcW w:w="1125" w:type="pct"/>
            <w:tcBorders>
              <w:top w:val="nil"/>
              <w:bottom w:val="single" w:sz="4" w:space="0" w:color="auto"/>
            </w:tcBorders>
          </w:tcPr>
          <w:p w14:paraId="0A32989E" w14:textId="77777777" w:rsidR="005F7BAA" w:rsidRDefault="005F7BAA" w:rsidP="00E22E9B">
            <w:pPr>
              <w:pStyle w:val="16TableText"/>
            </w:pPr>
            <w:r>
              <w:t>Coriolis/ultrasonic (1)</w:t>
            </w:r>
          </w:p>
        </w:tc>
        <w:tc>
          <w:tcPr>
            <w:tcW w:w="1063" w:type="pct"/>
            <w:tcBorders>
              <w:top w:val="nil"/>
              <w:bottom w:val="single" w:sz="4" w:space="0" w:color="auto"/>
            </w:tcBorders>
            <w:vAlign w:val="center"/>
          </w:tcPr>
          <w:p w14:paraId="5215A550" w14:textId="77777777" w:rsidR="005F7BAA" w:rsidRPr="0099761A" w:rsidRDefault="005F7BAA" w:rsidP="00E22E9B">
            <w:pPr>
              <w:pStyle w:val="16TableText"/>
            </w:pPr>
            <w:r>
              <w:t>0.2%</w:t>
            </w:r>
            <w:r>
              <w:rPr>
                <w:vertAlign w:val="superscript"/>
              </w:rPr>
              <w:t>1</w:t>
            </w:r>
          </w:p>
        </w:tc>
      </w:tr>
      <w:tr w:rsidR="005F7BAA" w:rsidRPr="006C7028" w14:paraId="5C063C04" w14:textId="77777777" w:rsidTr="00E22E9B">
        <w:trPr>
          <w:jc w:val="center"/>
        </w:trPr>
        <w:tc>
          <w:tcPr>
            <w:tcW w:w="765" w:type="pct"/>
            <w:vMerge w:val="restart"/>
            <w:tcBorders>
              <w:top w:val="single" w:sz="4" w:space="0" w:color="auto"/>
            </w:tcBorders>
            <w:vAlign w:val="center"/>
          </w:tcPr>
          <w:p w14:paraId="2B6F9E9A" w14:textId="77777777" w:rsidR="005F7BAA" w:rsidRPr="0099761A" w:rsidRDefault="005F7BAA" w:rsidP="00E22E9B">
            <w:pPr>
              <w:pStyle w:val="16TableText"/>
            </w:pPr>
            <w:r>
              <w:t>Heating/Cooling</w:t>
            </w:r>
          </w:p>
        </w:tc>
        <w:tc>
          <w:tcPr>
            <w:tcW w:w="537" w:type="pct"/>
            <w:vMerge w:val="restart"/>
            <w:tcBorders>
              <w:top w:val="single" w:sz="4" w:space="0" w:color="auto"/>
            </w:tcBorders>
            <w:vAlign w:val="center"/>
          </w:tcPr>
          <w:p w14:paraId="742439A2" w14:textId="77777777" w:rsidR="005F7BAA" w:rsidRPr="0099761A" w:rsidRDefault="005F7BAA" w:rsidP="00E22E9B">
            <w:pPr>
              <w:pStyle w:val="16TableText"/>
            </w:pPr>
            <w:r>
              <w:t>Water</w:t>
            </w:r>
          </w:p>
        </w:tc>
        <w:tc>
          <w:tcPr>
            <w:tcW w:w="807" w:type="pct"/>
            <w:tcBorders>
              <w:top w:val="single" w:sz="4" w:space="0" w:color="auto"/>
              <w:bottom w:val="nil"/>
            </w:tcBorders>
            <w:vAlign w:val="center"/>
          </w:tcPr>
          <w:p w14:paraId="2CC3E4D4" w14:textId="77777777" w:rsidR="005F7BAA" w:rsidRPr="0099761A" w:rsidRDefault="005F7BAA" w:rsidP="00E22E9B">
            <w:pPr>
              <w:pStyle w:val="16TableText"/>
            </w:pPr>
            <w:r>
              <w:t>Flow rate</w:t>
            </w:r>
          </w:p>
        </w:tc>
        <w:tc>
          <w:tcPr>
            <w:tcW w:w="703" w:type="pct"/>
            <w:tcBorders>
              <w:top w:val="single" w:sz="4" w:space="0" w:color="auto"/>
              <w:bottom w:val="nil"/>
            </w:tcBorders>
          </w:tcPr>
          <w:p w14:paraId="722E5EEC" w14:textId="77777777" w:rsidR="005F7BAA" w:rsidRDefault="005F7BAA" w:rsidP="00E22E9B">
            <w:pPr>
              <w:pStyle w:val="16TableText"/>
            </w:pPr>
            <w:r w:rsidRPr="0026776E">
              <w:t>m</w:t>
            </w:r>
            <w:r w:rsidRPr="0026776E">
              <w:rPr>
                <w:vertAlign w:val="superscript"/>
              </w:rPr>
              <w:t>3</w:t>
            </w:r>
            <w:r w:rsidRPr="0026776E">
              <w:t>/s</w:t>
            </w:r>
            <w:r>
              <w:t xml:space="preserve"> (ft</w:t>
            </w:r>
            <w:r>
              <w:rPr>
                <w:vertAlign w:val="superscript"/>
              </w:rPr>
              <w:t>3</w:t>
            </w:r>
            <w:r>
              <w:t>/s)</w:t>
            </w:r>
          </w:p>
        </w:tc>
        <w:tc>
          <w:tcPr>
            <w:tcW w:w="1125" w:type="pct"/>
            <w:tcBorders>
              <w:top w:val="single" w:sz="4" w:space="0" w:color="auto"/>
              <w:bottom w:val="nil"/>
            </w:tcBorders>
          </w:tcPr>
          <w:p w14:paraId="77FC6FA1" w14:textId="77777777" w:rsidR="005F7BAA" w:rsidRDefault="005F7BAA" w:rsidP="00E22E9B">
            <w:pPr>
              <w:pStyle w:val="16TableText"/>
            </w:pPr>
            <w:r>
              <w:t>Ultrasonic (1H,1C)</w:t>
            </w:r>
          </w:p>
        </w:tc>
        <w:tc>
          <w:tcPr>
            <w:tcW w:w="1063" w:type="pct"/>
            <w:tcBorders>
              <w:top w:val="single" w:sz="4" w:space="0" w:color="auto"/>
              <w:bottom w:val="nil"/>
            </w:tcBorders>
            <w:vAlign w:val="center"/>
          </w:tcPr>
          <w:p w14:paraId="2A5362E9" w14:textId="77777777" w:rsidR="005F7BAA" w:rsidRPr="0099761A" w:rsidRDefault="005F7BAA" w:rsidP="00E22E9B">
            <w:pPr>
              <w:pStyle w:val="16TableText"/>
            </w:pPr>
            <w:r>
              <w:t>1.2%</w:t>
            </w:r>
            <w:r>
              <w:rPr>
                <w:vertAlign w:val="superscript"/>
              </w:rPr>
              <w:t>1</w:t>
            </w:r>
          </w:p>
        </w:tc>
      </w:tr>
      <w:tr w:rsidR="005F7BAA" w:rsidRPr="006C7028" w14:paraId="1E145052" w14:textId="77777777" w:rsidTr="00E22E9B">
        <w:trPr>
          <w:jc w:val="center"/>
        </w:trPr>
        <w:tc>
          <w:tcPr>
            <w:tcW w:w="765" w:type="pct"/>
            <w:vMerge/>
            <w:tcBorders>
              <w:bottom w:val="single" w:sz="4" w:space="0" w:color="auto"/>
            </w:tcBorders>
            <w:vAlign w:val="center"/>
          </w:tcPr>
          <w:p w14:paraId="76394835" w14:textId="77777777" w:rsidR="005F7BAA" w:rsidRPr="0099761A" w:rsidRDefault="005F7BAA" w:rsidP="00E22E9B">
            <w:pPr>
              <w:pStyle w:val="16TableText"/>
            </w:pPr>
          </w:p>
        </w:tc>
        <w:tc>
          <w:tcPr>
            <w:tcW w:w="537" w:type="pct"/>
            <w:vMerge/>
            <w:tcBorders>
              <w:bottom w:val="single" w:sz="4" w:space="0" w:color="auto"/>
            </w:tcBorders>
            <w:vAlign w:val="center"/>
          </w:tcPr>
          <w:p w14:paraId="0E940288" w14:textId="77777777" w:rsidR="005F7BAA" w:rsidRPr="0099761A" w:rsidRDefault="005F7BAA" w:rsidP="00E22E9B">
            <w:pPr>
              <w:pStyle w:val="16TableText"/>
            </w:pPr>
          </w:p>
        </w:tc>
        <w:tc>
          <w:tcPr>
            <w:tcW w:w="807" w:type="pct"/>
            <w:tcBorders>
              <w:top w:val="nil"/>
              <w:bottom w:val="single" w:sz="4" w:space="0" w:color="auto"/>
            </w:tcBorders>
            <w:vAlign w:val="center"/>
          </w:tcPr>
          <w:p w14:paraId="5F31D6D3" w14:textId="77777777" w:rsidR="005F7BAA" w:rsidRPr="0099761A" w:rsidRDefault="005F7BAA" w:rsidP="00E22E9B">
            <w:pPr>
              <w:pStyle w:val="16TableText"/>
            </w:pPr>
            <w:r>
              <w:t>Temperature</w:t>
            </w:r>
          </w:p>
        </w:tc>
        <w:tc>
          <w:tcPr>
            <w:tcW w:w="703" w:type="pct"/>
            <w:tcBorders>
              <w:top w:val="nil"/>
              <w:bottom w:val="single" w:sz="4" w:space="0" w:color="auto"/>
            </w:tcBorders>
          </w:tcPr>
          <w:p w14:paraId="160B3811" w14:textId="77777777" w:rsidR="005F7BAA" w:rsidRDefault="005F7BAA" w:rsidP="00E22E9B">
            <w:pPr>
              <w:pStyle w:val="16TableText"/>
            </w:pPr>
            <w:r w:rsidRPr="00A526C0">
              <w:t>°C</w:t>
            </w:r>
            <w:r>
              <w:t xml:space="preserve"> (</w:t>
            </w:r>
            <w:r w:rsidRPr="00A526C0">
              <w:t>°</w:t>
            </w:r>
            <w:r>
              <w:t>F)</w:t>
            </w:r>
          </w:p>
        </w:tc>
        <w:tc>
          <w:tcPr>
            <w:tcW w:w="1125" w:type="pct"/>
            <w:tcBorders>
              <w:top w:val="nil"/>
              <w:bottom w:val="single" w:sz="4" w:space="0" w:color="auto"/>
            </w:tcBorders>
          </w:tcPr>
          <w:p w14:paraId="4772AEBB" w14:textId="77777777" w:rsidR="005F7BAA" w:rsidRDefault="005F7BAA" w:rsidP="00E22E9B">
            <w:pPr>
              <w:pStyle w:val="16TableText"/>
            </w:pPr>
            <w:r>
              <w:t>Platinum RTD (2H,2C)</w:t>
            </w:r>
          </w:p>
        </w:tc>
        <w:tc>
          <w:tcPr>
            <w:tcW w:w="1063" w:type="pct"/>
            <w:tcBorders>
              <w:top w:val="nil"/>
              <w:bottom w:val="single" w:sz="4" w:space="0" w:color="auto"/>
            </w:tcBorders>
            <w:vAlign w:val="center"/>
          </w:tcPr>
          <w:p w14:paraId="15A60B83" w14:textId="77777777" w:rsidR="005F7BAA" w:rsidRPr="0099761A" w:rsidRDefault="005F7BAA" w:rsidP="00E22E9B">
            <w:pPr>
              <w:pStyle w:val="16TableText"/>
            </w:pPr>
            <w:r w:rsidRPr="00C27606">
              <w:t>0.</w:t>
            </w:r>
            <w:r>
              <w:t>05</w:t>
            </w:r>
            <w:r>
              <w:rPr>
                <w:vertAlign w:val="superscript"/>
              </w:rPr>
              <w:t>1</w:t>
            </w:r>
            <w:r>
              <w:t xml:space="preserve"> to 0.1 K</w:t>
            </w:r>
            <w:r>
              <w:rPr>
                <w:vertAlign w:val="superscript"/>
              </w:rPr>
              <w:t>2</w:t>
            </w:r>
          </w:p>
        </w:tc>
      </w:tr>
      <w:tr w:rsidR="005F7BAA" w:rsidRPr="006C7028" w14:paraId="36952C20" w14:textId="77777777" w:rsidTr="00E22E9B">
        <w:trPr>
          <w:jc w:val="center"/>
        </w:trPr>
        <w:tc>
          <w:tcPr>
            <w:tcW w:w="765" w:type="pct"/>
            <w:tcBorders>
              <w:top w:val="single" w:sz="4" w:space="0" w:color="auto"/>
            </w:tcBorders>
            <w:vAlign w:val="center"/>
          </w:tcPr>
          <w:p w14:paraId="0C5A2851" w14:textId="77777777" w:rsidR="005F7BAA" w:rsidRPr="0099761A" w:rsidRDefault="005F7BAA" w:rsidP="00E22E9B">
            <w:pPr>
              <w:pStyle w:val="16TableText"/>
            </w:pPr>
          </w:p>
        </w:tc>
        <w:tc>
          <w:tcPr>
            <w:tcW w:w="537" w:type="pct"/>
            <w:tcBorders>
              <w:top w:val="single" w:sz="4" w:space="0" w:color="auto"/>
            </w:tcBorders>
            <w:vAlign w:val="center"/>
          </w:tcPr>
          <w:p w14:paraId="79C96CAF" w14:textId="77777777" w:rsidR="005F7BAA" w:rsidRPr="0099761A" w:rsidRDefault="005F7BAA" w:rsidP="00E22E9B">
            <w:pPr>
              <w:pStyle w:val="16TableText"/>
            </w:pPr>
          </w:p>
        </w:tc>
        <w:tc>
          <w:tcPr>
            <w:tcW w:w="807" w:type="pct"/>
            <w:tcBorders>
              <w:top w:val="single" w:sz="4" w:space="0" w:color="auto"/>
            </w:tcBorders>
            <w:vAlign w:val="center"/>
          </w:tcPr>
          <w:p w14:paraId="3F5B7DCB" w14:textId="1DD2FD65" w:rsidR="005F7BAA" w:rsidRPr="0099761A" w:rsidRDefault="005B20DB" w:rsidP="00E22E9B">
            <w:pPr>
              <w:pStyle w:val="16TableText"/>
            </w:pPr>
            <w:r>
              <w:t>Relative</w:t>
            </w:r>
            <w:r w:rsidR="005F7BAA">
              <w:t xml:space="preserve"> humidity</w:t>
            </w:r>
          </w:p>
        </w:tc>
        <w:tc>
          <w:tcPr>
            <w:tcW w:w="703" w:type="pct"/>
            <w:tcBorders>
              <w:top w:val="single" w:sz="4" w:space="0" w:color="auto"/>
            </w:tcBorders>
          </w:tcPr>
          <w:p w14:paraId="33F5B747" w14:textId="77777777" w:rsidR="005F7BAA" w:rsidRDefault="005F7BAA" w:rsidP="00E22E9B">
            <w:pPr>
              <w:pStyle w:val="16TableText"/>
            </w:pPr>
            <w:r>
              <w:t>%</w:t>
            </w:r>
          </w:p>
        </w:tc>
        <w:tc>
          <w:tcPr>
            <w:tcW w:w="1125" w:type="pct"/>
            <w:tcBorders>
              <w:top w:val="single" w:sz="4" w:space="0" w:color="auto"/>
            </w:tcBorders>
          </w:tcPr>
          <w:p w14:paraId="7484F329" w14:textId="77777777" w:rsidR="005F7BAA" w:rsidRDefault="005F7BAA" w:rsidP="00E22E9B">
            <w:pPr>
              <w:pStyle w:val="16TableText"/>
            </w:pPr>
            <w:r>
              <w:t>Hygrometer (2)</w:t>
            </w:r>
          </w:p>
        </w:tc>
        <w:tc>
          <w:tcPr>
            <w:tcW w:w="1063" w:type="pct"/>
            <w:tcBorders>
              <w:top w:val="single" w:sz="4" w:space="0" w:color="auto"/>
            </w:tcBorders>
            <w:vAlign w:val="center"/>
          </w:tcPr>
          <w:p w14:paraId="2B7159F7" w14:textId="77777777" w:rsidR="005F7BAA" w:rsidRPr="0099761A" w:rsidRDefault="005F7BAA" w:rsidP="00E22E9B">
            <w:pPr>
              <w:pStyle w:val="16TableText"/>
            </w:pPr>
            <w:r>
              <w:t>0.2 to 7% RH</w:t>
            </w:r>
            <w:r>
              <w:rPr>
                <w:vertAlign w:val="superscript"/>
              </w:rPr>
              <w:t>2</w:t>
            </w:r>
          </w:p>
        </w:tc>
      </w:tr>
      <w:tr w:rsidR="005F7BAA" w:rsidRPr="006C7028" w14:paraId="528449FF" w14:textId="77777777" w:rsidTr="00E22E9B">
        <w:trPr>
          <w:jc w:val="center"/>
        </w:trPr>
        <w:tc>
          <w:tcPr>
            <w:tcW w:w="765" w:type="pct"/>
            <w:vAlign w:val="center"/>
          </w:tcPr>
          <w:p w14:paraId="13CAA7D6" w14:textId="77777777" w:rsidR="005F7BAA" w:rsidRDefault="005F7BAA" w:rsidP="00E22E9B">
            <w:pPr>
              <w:pStyle w:val="16TableText"/>
            </w:pPr>
            <w:r>
              <w:t xml:space="preserve">Cooling </w:t>
            </w:r>
          </w:p>
        </w:tc>
        <w:tc>
          <w:tcPr>
            <w:tcW w:w="537" w:type="pct"/>
            <w:vAlign w:val="center"/>
          </w:tcPr>
          <w:p w14:paraId="609578E8" w14:textId="77777777" w:rsidR="005F7BAA" w:rsidRDefault="005F7BAA" w:rsidP="00E22E9B">
            <w:pPr>
              <w:pStyle w:val="16TableText"/>
            </w:pPr>
            <w:r>
              <w:t>Air</w:t>
            </w:r>
          </w:p>
        </w:tc>
        <w:tc>
          <w:tcPr>
            <w:tcW w:w="807" w:type="pct"/>
            <w:vAlign w:val="center"/>
          </w:tcPr>
          <w:p w14:paraId="614C5703" w14:textId="77777777" w:rsidR="005F7BAA" w:rsidRDefault="005F7BAA" w:rsidP="00E22E9B">
            <w:pPr>
              <w:pStyle w:val="16TableText"/>
            </w:pPr>
            <w:r>
              <w:t>Flow rate</w:t>
            </w:r>
          </w:p>
        </w:tc>
        <w:tc>
          <w:tcPr>
            <w:tcW w:w="703" w:type="pct"/>
          </w:tcPr>
          <w:p w14:paraId="48B2FC29" w14:textId="77777777" w:rsidR="005F7BAA" w:rsidRDefault="005F7BAA" w:rsidP="00E22E9B">
            <w:pPr>
              <w:pStyle w:val="16TableText"/>
            </w:pPr>
            <w:r w:rsidRPr="0026776E">
              <w:t>m</w:t>
            </w:r>
            <w:r w:rsidRPr="0026776E">
              <w:rPr>
                <w:vertAlign w:val="superscript"/>
              </w:rPr>
              <w:t>3</w:t>
            </w:r>
            <w:r w:rsidRPr="0026776E">
              <w:t>/s</w:t>
            </w:r>
            <w:r>
              <w:t xml:space="preserve"> (ft</w:t>
            </w:r>
            <w:r>
              <w:rPr>
                <w:vertAlign w:val="superscript"/>
              </w:rPr>
              <w:t>3</w:t>
            </w:r>
            <w:r>
              <w:t>/s)</w:t>
            </w:r>
          </w:p>
        </w:tc>
        <w:tc>
          <w:tcPr>
            <w:tcW w:w="1125" w:type="pct"/>
          </w:tcPr>
          <w:p w14:paraId="15808438" w14:textId="77777777" w:rsidR="005F7BAA" w:rsidRDefault="005F7BAA" w:rsidP="00E22E9B">
            <w:pPr>
              <w:pStyle w:val="16TableText"/>
            </w:pPr>
            <w:r>
              <w:t>Anemometer (1)</w:t>
            </w:r>
          </w:p>
        </w:tc>
        <w:tc>
          <w:tcPr>
            <w:tcW w:w="1063" w:type="pct"/>
            <w:vAlign w:val="center"/>
          </w:tcPr>
          <w:p w14:paraId="7E5D0B37" w14:textId="77777777" w:rsidR="005F7BAA" w:rsidRDefault="005F7BAA" w:rsidP="00E22E9B">
            <w:pPr>
              <w:pStyle w:val="16TableText"/>
            </w:pPr>
            <w:r>
              <w:t>2 to 10%</w:t>
            </w:r>
            <w:r>
              <w:rPr>
                <w:vertAlign w:val="superscript"/>
              </w:rPr>
              <w:t>2</w:t>
            </w:r>
          </w:p>
        </w:tc>
      </w:tr>
      <w:tr w:rsidR="005F7BAA" w:rsidRPr="006C7028" w14:paraId="175F6F84" w14:textId="77777777" w:rsidTr="00E22E9B">
        <w:trPr>
          <w:jc w:val="center"/>
        </w:trPr>
        <w:tc>
          <w:tcPr>
            <w:tcW w:w="765" w:type="pct"/>
            <w:vAlign w:val="center"/>
          </w:tcPr>
          <w:p w14:paraId="38178FC8" w14:textId="77777777" w:rsidR="005F7BAA" w:rsidRPr="0099761A" w:rsidRDefault="005F7BAA" w:rsidP="00E22E9B">
            <w:pPr>
              <w:pStyle w:val="16TableText"/>
            </w:pPr>
          </w:p>
        </w:tc>
        <w:tc>
          <w:tcPr>
            <w:tcW w:w="537" w:type="pct"/>
            <w:vAlign w:val="center"/>
          </w:tcPr>
          <w:p w14:paraId="7AF3C4D1" w14:textId="77777777" w:rsidR="005F7BAA" w:rsidRPr="0099761A" w:rsidRDefault="005F7BAA" w:rsidP="00E22E9B">
            <w:pPr>
              <w:pStyle w:val="16TableText"/>
            </w:pPr>
          </w:p>
        </w:tc>
        <w:tc>
          <w:tcPr>
            <w:tcW w:w="807" w:type="pct"/>
            <w:vAlign w:val="center"/>
          </w:tcPr>
          <w:p w14:paraId="74D28BF8" w14:textId="77777777" w:rsidR="005F7BAA" w:rsidRPr="0099761A" w:rsidRDefault="005F7BAA" w:rsidP="00E22E9B">
            <w:pPr>
              <w:pStyle w:val="16TableText"/>
            </w:pPr>
            <w:r>
              <w:t>Temperature</w:t>
            </w:r>
          </w:p>
        </w:tc>
        <w:tc>
          <w:tcPr>
            <w:tcW w:w="703" w:type="pct"/>
          </w:tcPr>
          <w:p w14:paraId="4C50A7A6" w14:textId="77777777" w:rsidR="005F7BAA" w:rsidRDefault="005F7BAA" w:rsidP="00E22E9B">
            <w:pPr>
              <w:pStyle w:val="16TableText"/>
            </w:pPr>
            <w:r w:rsidRPr="00A526C0">
              <w:t>°C</w:t>
            </w:r>
            <w:r>
              <w:t xml:space="preserve"> (</w:t>
            </w:r>
            <w:r w:rsidRPr="00A526C0">
              <w:t>°</w:t>
            </w:r>
            <w:r>
              <w:t>F)</w:t>
            </w:r>
          </w:p>
        </w:tc>
        <w:tc>
          <w:tcPr>
            <w:tcW w:w="1125" w:type="pct"/>
          </w:tcPr>
          <w:p w14:paraId="4D3C5D33" w14:textId="77777777" w:rsidR="005F7BAA" w:rsidRDefault="005F7BAA" w:rsidP="00E22E9B">
            <w:pPr>
              <w:pStyle w:val="16TableText"/>
            </w:pPr>
            <w:r>
              <w:t>Thermistor/Pt RTD</w:t>
            </w:r>
            <w:r w:rsidRPr="009009DE">
              <w:t xml:space="preserve"> (2)</w:t>
            </w:r>
          </w:p>
        </w:tc>
        <w:tc>
          <w:tcPr>
            <w:tcW w:w="1063" w:type="pct"/>
            <w:vAlign w:val="center"/>
          </w:tcPr>
          <w:p w14:paraId="1FD05BD3" w14:textId="77777777" w:rsidR="005F7BAA" w:rsidRPr="0099761A" w:rsidRDefault="005F7BAA" w:rsidP="00E22E9B">
            <w:pPr>
              <w:pStyle w:val="16TableText"/>
            </w:pPr>
            <w:r>
              <w:t xml:space="preserve">0.1 </w:t>
            </w:r>
            <w:r w:rsidRPr="005D656E">
              <w:t>K</w:t>
            </w:r>
            <w:r>
              <w:rPr>
                <w:vertAlign w:val="superscript"/>
              </w:rPr>
              <w:t>1,</w:t>
            </w:r>
            <w:r w:rsidRPr="005D656E">
              <w:rPr>
                <w:vertAlign w:val="superscript"/>
              </w:rPr>
              <w:t>2</w:t>
            </w:r>
          </w:p>
        </w:tc>
      </w:tr>
    </w:tbl>
    <w:p w14:paraId="5A706C1E" w14:textId="77777777" w:rsidR="005F7BAA" w:rsidRDefault="005F7BAA" w:rsidP="00D91965">
      <w:pPr>
        <w:pStyle w:val="06BodyMaintext"/>
      </w:pPr>
    </w:p>
    <w:p w14:paraId="65FE02ED" w14:textId="546CEFB3" w:rsidR="00D91965" w:rsidRDefault="00D91965" w:rsidP="00D91965">
      <w:pPr>
        <w:pStyle w:val="06BodyMaintext"/>
      </w:pPr>
      <w:r>
        <w:t>As shown by Equations 3 and 4, the heat being delivered by the heat pump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c</m:t>
            </m:r>
          </m:sub>
        </m:sSub>
      </m:oMath>
      <w:r>
        <w:t>) can be monitored either on the refrigerant or</w:t>
      </w:r>
      <w:r w:rsidR="00BC59DD">
        <w:t xml:space="preserve"> on</w:t>
      </w:r>
      <w:r>
        <w:t xml:space="preserve"> the water side of the con</w:t>
      </w:r>
      <w:bookmarkStart w:id="0" w:name="_GoBack"/>
      <w:bookmarkEnd w:id="0"/>
      <w:r>
        <w:t xml:space="preserve">denser. On the refrigerant stream, its enthalpy and mass flow rate need to </w:t>
      </w:r>
      <w:r w:rsidR="00F942AD">
        <w:t xml:space="preserve">be </w:t>
      </w:r>
      <w:r>
        <w:t>measured in order to calculate its heat transfer rate. According to Tran et al. (2012), the mass flow rate has to be measured at the outlet of the compressor, where the refrigerant is always in gas phase. This can be done by using either a Coriolis or an ultrasonic flow meter. Measuring the enthalpy of the refrigerant requires temperature and pressure measurements at both inlet and outlet of the condenser. At the outlet, as the refrigerant may be bi</w:t>
      </w:r>
      <w:r w:rsidR="00693C19">
        <w:t>p</w:t>
      </w:r>
      <w:r>
        <w:t>ha</w:t>
      </w:r>
      <w:r w:rsidR="00693C19">
        <w:t>s</w:t>
      </w:r>
      <w:r>
        <w:t xml:space="preserve">ic, measuring its enthalpy will require an additional flow meter that can measure its density. This method is challenging as the flow meters </w:t>
      </w:r>
      <w:r>
        <w:lastRenderedPageBreak/>
        <w:t>might not be accurate with biphasic refrigerants (Tran et al. 2012). The other option would be measuring the heat on the water side by applying a heat meter, which links temperature sensors to a flow meter and calculates the heat transfer rate, as shown in Equation 4. This is more practical as less instruments need to be installed (see Table 1), which will reduce the risk of error propagation. Platinum Resistance Temperature Detectors (RTDs) will be used to measure the inlet and outlet temperatures combined with an u</w:t>
      </w:r>
      <w:r w:rsidRPr="005147B0">
        <w:t xml:space="preserve">ltrasonic flow </w:t>
      </w:r>
      <w:r>
        <w:t>meter, which are</w:t>
      </w:r>
      <w:r w:rsidRPr="005147B0">
        <w:t xml:space="preserve"> commonly used for district heating applications (CIBSE/ADE 2015).</w:t>
      </w:r>
    </w:p>
    <w:p w14:paraId="48AC5179" w14:textId="240F799F" w:rsidR="00CA47A0" w:rsidRDefault="000E13AE" w:rsidP="00D91965">
      <w:pPr>
        <w:pStyle w:val="06BodyMaintext"/>
      </w:pPr>
      <w:r>
        <w:t xml:space="preserve">The measurements related to the cooling being supplied to the Underground tunnels can be taken either </w:t>
      </w:r>
      <w:r w:rsidR="00B661BF">
        <w:t>inside</w:t>
      </w:r>
      <w:r>
        <w:t xml:space="preserve"> the ventilation shaft</w:t>
      </w:r>
      <w:r w:rsidR="00B661BF">
        <w:t xml:space="preserve"> or in</w:t>
      </w:r>
      <w:r>
        <w:t xml:space="preserve"> the water loop that delivers heat to the heat pump</w:t>
      </w:r>
      <w:r w:rsidR="00BC59DD">
        <w:t>’s evaporator</w:t>
      </w:r>
      <w:r>
        <w:t>. As shown in Equations 5 and 6, the parameters that would require monitoring on the air side would be the air</w:t>
      </w:r>
      <w:r w:rsidR="00704ABF">
        <w:t xml:space="preserve"> mass</w:t>
      </w:r>
      <w:r>
        <w:t xml:space="preserve"> flow rate</w:t>
      </w:r>
      <w:r w:rsidR="00BC59DD">
        <w:t xml:space="preserve"> </w:t>
      </w:r>
      <w:r w:rsidR="00145EAC">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a</m:t>
            </m:r>
          </m:sub>
        </m:sSub>
      </m:oMath>
      <w:r w:rsidR="00145EAC">
        <w:t>)</w:t>
      </w:r>
      <w:r w:rsidR="00704ABF">
        <w:t>, as well as the air temperatures</w:t>
      </w:r>
      <w:r w:rsidR="00145EAC">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145EAC">
        <w:t>)</w:t>
      </w:r>
      <w:r w:rsidR="00704ABF">
        <w:t xml:space="preserve"> and specific humidities</w:t>
      </w:r>
      <w:r w:rsidR="00145EAC">
        <w:t xml:space="preserve"> (</w:t>
      </w:r>
      <m:oMath>
        <m:sSub>
          <m:sSubPr>
            <m:ctrlPr>
              <w:rPr>
                <w:rFonts w:ascii="Cambria Math" w:hAnsi="Cambria Math"/>
                <w:i/>
              </w:rPr>
            </m:ctrlPr>
          </m:sSubPr>
          <m:e>
            <m:r>
              <w:rPr>
                <w:rFonts w:ascii="Cambria Math" w:hAnsi="Cambria Math"/>
              </w:rPr>
              <m:t>ω</m:t>
            </m:r>
          </m:e>
          <m:sub>
            <m:r>
              <w:rPr>
                <w:rFonts w:ascii="Cambria Math" w:hAnsi="Cambria Math"/>
              </w:rPr>
              <m:t>a</m:t>
            </m:r>
          </m:sub>
        </m:sSub>
      </m:oMath>
      <w:r w:rsidR="00145EAC">
        <w:t>), used to calculate air enthalpy (</w:t>
      </w:r>
      <m:oMath>
        <m:sSub>
          <m:sSubPr>
            <m:ctrlPr>
              <w:rPr>
                <w:rFonts w:ascii="Cambria Math" w:hAnsi="Cambria Math"/>
                <w:i/>
              </w:rPr>
            </m:ctrlPr>
          </m:sSubPr>
          <m:e>
            <m:r>
              <w:rPr>
                <w:rFonts w:ascii="Cambria Math" w:hAnsi="Cambria Math"/>
              </w:rPr>
              <m:t>h</m:t>
            </m:r>
          </m:e>
          <m:sub>
            <m:r>
              <w:rPr>
                <w:rFonts w:ascii="Cambria Math" w:hAnsi="Cambria Math"/>
              </w:rPr>
              <m:t>a</m:t>
            </m:r>
          </m:sub>
        </m:sSub>
      </m:oMath>
      <w:r w:rsidR="00145EAC">
        <w:t xml:space="preserve">) </w:t>
      </w:r>
      <w:r w:rsidR="00704ABF">
        <w:t xml:space="preserve">at both the inlet and outlet of the heat exchanger. </w:t>
      </w:r>
      <w:r w:rsidR="00B661BF">
        <w:t>The mass flow rate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a</m:t>
            </m:r>
          </m:sub>
        </m:sSub>
      </m:oMath>
      <w:r w:rsidR="00B661BF">
        <w:t>) would have to be determined by measuring volume flow rates and air density</w:t>
      </w:r>
      <w:r w:rsidR="00BC59DD">
        <w:t>, being a potential source of error, as density would be</w:t>
      </w:r>
      <w:r w:rsidR="00145EAC">
        <w:t xml:space="preserve"> based on the specific humidity of air (</w:t>
      </w:r>
      <m:oMath>
        <m:sSub>
          <m:sSubPr>
            <m:ctrlPr>
              <w:rPr>
                <w:rFonts w:ascii="Cambria Math" w:hAnsi="Cambria Math"/>
                <w:i/>
              </w:rPr>
            </m:ctrlPr>
          </m:sSubPr>
          <m:e>
            <m:r>
              <w:rPr>
                <w:rFonts w:ascii="Cambria Math" w:hAnsi="Cambria Math"/>
              </w:rPr>
              <m:t>ω</m:t>
            </m:r>
          </m:e>
          <m:sub>
            <m:r>
              <w:rPr>
                <w:rFonts w:ascii="Cambria Math" w:hAnsi="Cambria Math"/>
              </w:rPr>
              <m:t>a</m:t>
            </m:r>
          </m:sub>
        </m:sSub>
      </m:oMath>
      <w:r w:rsidR="00145EAC">
        <w:t>)</w:t>
      </w:r>
      <w:r w:rsidR="00854489">
        <w:t>, which can</w:t>
      </w:r>
      <w:r w:rsidR="000901E0">
        <w:t xml:space="preserve"> be measured with uncertainties of up to 7% (ASHRAE 2017). The volume flow rate </w:t>
      </w:r>
      <w:r w:rsidR="00854489">
        <w:t>would</w:t>
      </w:r>
      <w:r w:rsidR="000901E0">
        <w:t xml:space="preserve"> be measured by placing </w:t>
      </w:r>
      <w:r w:rsidR="000901E0" w:rsidRPr="000901E0">
        <w:t>anemometer probes to determine the average air velocity in an axial plane of the shaft</w:t>
      </w:r>
      <w:r w:rsidR="000901E0">
        <w:t xml:space="preserve"> (ASHRAE 2017). As for the water side, the measurements would be taken using a heat meter, </w:t>
      </w:r>
      <w:r w:rsidR="00854489">
        <w:t>the same method</w:t>
      </w:r>
      <w:r w:rsidR="000901E0">
        <w:t xml:space="preserve"> proposed for calculating the heat output </w:t>
      </w:r>
      <w:r w:rsidR="00854489">
        <w:t>at the heat pump’s condenser</w:t>
      </w:r>
      <w:r w:rsidR="000901E0">
        <w:t>.</w:t>
      </w:r>
      <w:r w:rsidR="004A0857">
        <w:t xml:space="preserve"> Thermometers will also be placed within the tunnels to investigate the impact of the cooling supplied on th</w:t>
      </w:r>
      <w:r w:rsidR="001A25C6">
        <w:t>e tunnel temperatures.</w:t>
      </w:r>
      <w:r w:rsidR="000901E0">
        <w:t xml:space="preserve"> F</w:t>
      </w:r>
      <w:r w:rsidR="00704ABF" w:rsidRPr="00704ABF">
        <w:t xml:space="preserve">or </w:t>
      </w:r>
      <w:r w:rsidR="000901E0">
        <w:t xml:space="preserve">evaluating </w:t>
      </w:r>
      <w:r w:rsidR="00704ABF" w:rsidRPr="00704ABF">
        <w:t>both</w:t>
      </w:r>
      <w:r w:rsidR="000901E0">
        <w:t xml:space="preserve"> the cooling delivered/heat</w:t>
      </w:r>
      <w:r w:rsidR="00704ABF" w:rsidRPr="00704ABF">
        <w:t xml:space="preserve"> recovered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r</m:t>
            </m:r>
          </m:sub>
        </m:sSub>
      </m:oMath>
      <w:r w:rsidR="00704ABF" w:rsidRPr="00704ABF">
        <w:t>)</w:t>
      </w:r>
      <w:r w:rsidR="00704ABF">
        <w:t xml:space="preserve"> and the heat </w:t>
      </w:r>
      <w:r w:rsidR="000901E0">
        <w:t>generation</w:t>
      </w:r>
      <w:r w:rsidR="00704AB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c</m:t>
            </m:r>
          </m:sub>
        </m:sSub>
      </m:oMath>
      <w:r w:rsidR="00704ABF">
        <w:t>), monitoring should be carried out on the water side, as it would involve less uncertain measurements and require fewer instruments, which is beneficial as it reduces installation costs and the propagation of uncertainty.</w:t>
      </w:r>
    </w:p>
    <w:p w14:paraId="4BB35F81" w14:textId="3031B30C" w:rsidR="00495104" w:rsidRPr="00AF2D6D" w:rsidRDefault="00495104" w:rsidP="00E64DB6">
      <w:pPr>
        <w:pStyle w:val="10Level1Heading"/>
        <w:rPr>
          <w:rFonts w:ascii="Garamond" w:hAnsi="Garamond"/>
        </w:rPr>
      </w:pPr>
      <w:r>
        <w:t>CONCLUSION</w:t>
      </w:r>
    </w:p>
    <w:p w14:paraId="05DD89F7" w14:textId="1A906B5C" w:rsidR="00EF0907" w:rsidRPr="000A39EC" w:rsidRDefault="00A50A5F" w:rsidP="001030A2">
      <w:pPr>
        <w:pStyle w:val="06BodyMaintext"/>
      </w:pPr>
      <w:r w:rsidRPr="000A39EC">
        <w:t xml:space="preserve">The climate crisis will demand </w:t>
      </w:r>
      <w:r w:rsidR="006754F9" w:rsidRPr="000A39EC">
        <w:t xml:space="preserve">combined </w:t>
      </w:r>
      <w:r w:rsidRPr="000A39EC">
        <w:t xml:space="preserve">international efforts not only to make the global energy matrix cleaner, but also to make use of </w:t>
      </w:r>
      <w:r w:rsidR="0072262C" w:rsidRPr="000A39EC">
        <w:t xml:space="preserve">existing </w:t>
      </w:r>
      <w:r w:rsidRPr="000A39EC">
        <w:t>energy resources</w:t>
      </w:r>
      <w:r w:rsidR="00620308">
        <w:t xml:space="preserve"> more efficient</w:t>
      </w:r>
      <w:r w:rsidR="001030A2">
        <w:t>ly</w:t>
      </w:r>
      <w:r w:rsidRPr="000A39EC">
        <w:t xml:space="preserve">. </w:t>
      </w:r>
      <w:r w:rsidR="00897F92" w:rsidRPr="000A39EC">
        <w:t xml:space="preserve">As thermal confort </w:t>
      </w:r>
      <w:r w:rsidR="007A1D91" w:rsidRPr="000A39EC">
        <w:t>in cities consumes significant amounts of energy</w:t>
      </w:r>
      <w:r w:rsidR="00897F92" w:rsidRPr="000A39EC">
        <w:t>, the adoption of sustainable solutions for heating and cooling</w:t>
      </w:r>
      <w:r w:rsidR="007A1D91" w:rsidRPr="000A39EC">
        <w:t xml:space="preserve"> in urban environments</w:t>
      </w:r>
      <w:r w:rsidR="00897F92" w:rsidRPr="000A39EC">
        <w:t xml:space="preserve"> will be essential to meet future energy demands and climate targets. </w:t>
      </w:r>
      <w:r w:rsidR="007A1D91" w:rsidRPr="000A39EC">
        <w:t>This is materialised by the</w:t>
      </w:r>
      <w:r w:rsidR="00897F92" w:rsidRPr="000A39EC">
        <w:t xml:space="preserve"> 4</w:t>
      </w:r>
      <w:r w:rsidR="00897F92" w:rsidRPr="000A39EC">
        <w:rPr>
          <w:vertAlign w:val="superscript"/>
        </w:rPr>
        <w:t>th</w:t>
      </w:r>
      <w:r w:rsidR="00897F92" w:rsidRPr="000A39EC">
        <w:t xml:space="preserve"> and 5</w:t>
      </w:r>
      <w:r w:rsidR="00897F92" w:rsidRPr="000A39EC">
        <w:rPr>
          <w:vertAlign w:val="superscript"/>
        </w:rPr>
        <w:t>th</w:t>
      </w:r>
      <w:r w:rsidR="00897F92" w:rsidRPr="000A39EC">
        <w:t xml:space="preserve"> generations of district energy</w:t>
      </w:r>
      <w:r w:rsidR="007A1D91" w:rsidRPr="000A39EC">
        <w:t>, which</w:t>
      </w:r>
      <w:r w:rsidR="00897F92" w:rsidRPr="000A39EC">
        <w:t xml:space="preserve"> </w:t>
      </w:r>
      <w:r w:rsidR="00716FB7" w:rsidRPr="000A39EC">
        <w:t xml:space="preserve">represent </w:t>
      </w:r>
      <w:r w:rsidR="00897F92" w:rsidRPr="000A39EC">
        <w:t>a shift towards efficient and low carbon technologies</w:t>
      </w:r>
      <w:r w:rsidR="007A1D91" w:rsidRPr="000A39EC">
        <w:t xml:space="preserve"> </w:t>
      </w:r>
      <w:r w:rsidR="001030A2">
        <w:t>as it unlocks</w:t>
      </w:r>
      <w:r w:rsidR="00897F92" w:rsidRPr="000A39EC">
        <w:t xml:space="preserve"> the potential of utilising renewable and waste heat in thermal networks.</w:t>
      </w:r>
      <w:r w:rsidR="001030A2">
        <w:t xml:space="preserve"> </w:t>
      </w:r>
      <w:r w:rsidRPr="000A39EC">
        <w:t>Recovering and reusing waste energy</w:t>
      </w:r>
      <w:r w:rsidR="006754F9" w:rsidRPr="000A39EC">
        <w:t xml:space="preserve"> will play </w:t>
      </w:r>
      <w:r w:rsidR="00E72BCC">
        <w:t xml:space="preserve">an important </w:t>
      </w:r>
      <w:r w:rsidR="006754F9" w:rsidRPr="000A39EC">
        <w:t>role</w:t>
      </w:r>
      <w:r w:rsidRPr="000A39EC">
        <w:t xml:space="preserve"> </w:t>
      </w:r>
      <w:r w:rsidR="006754F9" w:rsidRPr="000A39EC">
        <w:t>in meeting the</w:t>
      </w:r>
      <w:r w:rsidR="00620308">
        <w:t xml:space="preserve"> growing</w:t>
      </w:r>
      <w:r w:rsidR="006754F9" w:rsidRPr="000A39EC">
        <w:t xml:space="preserve"> energy </w:t>
      </w:r>
      <w:r w:rsidR="00E72BCC">
        <w:t>requirements</w:t>
      </w:r>
      <w:r w:rsidR="006754F9" w:rsidRPr="000A39EC">
        <w:t xml:space="preserve"> of </w:t>
      </w:r>
      <w:r w:rsidR="00620308">
        <w:t>urban</w:t>
      </w:r>
      <w:r w:rsidR="006754F9" w:rsidRPr="000A39EC">
        <w:t xml:space="preserve"> population</w:t>
      </w:r>
      <w:r w:rsidR="00716FB7" w:rsidRPr="000A39EC">
        <w:t>s</w:t>
      </w:r>
      <w:r w:rsidR="006754F9" w:rsidRPr="000A39EC">
        <w:t>, particularly as the worl</w:t>
      </w:r>
      <w:r w:rsidR="0072262C" w:rsidRPr="000A39EC">
        <w:t>d moves away from fossil fuels</w:t>
      </w:r>
      <w:r w:rsidR="00CE1E11" w:rsidRPr="000A39EC">
        <w:t xml:space="preserve">. </w:t>
      </w:r>
      <w:r w:rsidR="00716FB7" w:rsidRPr="000A39EC">
        <w:t>As many cities in the world rely on metro systems for their everyday operation, t</w:t>
      </w:r>
      <w:r w:rsidR="006754F9" w:rsidRPr="000A39EC">
        <w:t xml:space="preserve">he exploitation of </w:t>
      </w:r>
      <w:r w:rsidR="00716FB7" w:rsidRPr="000A39EC">
        <w:t xml:space="preserve">waste heat from railway tunnels </w:t>
      </w:r>
      <w:r w:rsidR="006754F9" w:rsidRPr="000A39EC">
        <w:t xml:space="preserve">represents </w:t>
      </w:r>
      <w:r w:rsidR="00060C1F" w:rsidRPr="000A39EC">
        <w:t>an</w:t>
      </w:r>
      <w:r w:rsidR="006754F9" w:rsidRPr="000A39EC">
        <w:t xml:space="preserve"> opportunity for cities </w:t>
      </w:r>
      <w:r w:rsidR="00EF0907" w:rsidRPr="000A39EC">
        <w:t xml:space="preserve">to decarbonise their heating systems and enhance the energy efficiency of the built environment. </w:t>
      </w:r>
    </w:p>
    <w:p w14:paraId="54B54D9E" w14:textId="38B0C964" w:rsidR="00060C1F" w:rsidRPr="000A39EC" w:rsidRDefault="00EF0907" w:rsidP="00D91965">
      <w:pPr>
        <w:pStyle w:val="06BodyMaintext"/>
      </w:pPr>
      <w:r w:rsidRPr="000A39EC">
        <w:t xml:space="preserve">Metering and monitoring are critical activies to guarantee </w:t>
      </w:r>
      <w:r w:rsidR="00E4617C">
        <w:t>an efficient</w:t>
      </w:r>
      <w:r w:rsidRPr="000A39EC">
        <w:t xml:space="preserve"> performance of any energy system. As waste heat recovery schemes are not yet an established technology, measuring their performance as a heat source</w:t>
      </w:r>
      <w:r w:rsidR="00060C1F" w:rsidRPr="000A39EC">
        <w:t xml:space="preserve"> in pilot projects</w:t>
      </w:r>
      <w:r w:rsidRPr="000A39EC">
        <w:t xml:space="preserve"> will indicate their benefits in terms </w:t>
      </w:r>
      <w:r w:rsidR="00060C1F" w:rsidRPr="000A39EC">
        <w:t xml:space="preserve">of </w:t>
      </w:r>
      <w:r w:rsidRPr="000A39EC">
        <w:t>increasing energy efficiency</w:t>
      </w:r>
      <w:r w:rsidR="00060C1F" w:rsidRPr="000A39EC">
        <w:t xml:space="preserve"> and reducing costs and carbon emissions associated with heating.</w:t>
      </w:r>
      <w:r w:rsidR="00620308">
        <w:t xml:space="preserve"> </w:t>
      </w:r>
      <w:r w:rsidR="00060C1F" w:rsidRPr="000A39EC">
        <w:t xml:space="preserve"> This pape</w:t>
      </w:r>
      <w:r w:rsidR="004030F0">
        <w:t>r introduced</w:t>
      </w:r>
      <w:r w:rsidR="00060C1F" w:rsidRPr="000A39EC">
        <w:t xml:space="preserve"> a strategy to measure key operating parameters of a novel scheme that recovers</w:t>
      </w:r>
      <w:r w:rsidR="007A1D91" w:rsidRPr="000A39EC">
        <w:t xml:space="preserve"> waste</w:t>
      </w:r>
      <w:r w:rsidR="00060C1F" w:rsidRPr="000A39EC">
        <w:t xml:space="preserve"> heat from railway tunnels</w:t>
      </w:r>
      <w:r w:rsidR="007A1D91" w:rsidRPr="000A39EC">
        <w:t>,</w:t>
      </w:r>
      <w:r w:rsidR="00060C1F" w:rsidRPr="000A39EC">
        <w:t xml:space="preserve"> and aims to </w:t>
      </w:r>
      <w:r w:rsidR="009C2DFB">
        <w:t>guide</w:t>
      </w:r>
      <w:r w:rsidR="00060C1F" w:rsidRPr="000A39EC">
        <w:t xml:space="preserve"> future studies and waste heat recovery projects</w:t>
      </w:r>
      <w:r w:rsidR="007A1D91" w:rsidRPr="000A39EC">
        <w:t>, not limited to railway tunnels, to develop</w:t>
      </w:r>
      <w:r w:rsidR="000A39EC">
        <w:t xml:space="preserve"> effective m</w:t>
      </w:r>
      <w:r w:rsidR="00173F93">
        <w:t>etering strat</w:t>
      </w:r>
      <w:r w:rsidR="00632FD4">
        <w:t>egies that allow</w:t>
      </w:r>
      <w:r w:rsidR="000A39EC">
        <w:t xml:space="preserve"> their performances to be optimised and their expected benefits to be achieved</w:t>
      </w:r>
      <w:r w:rsidR="00620308">
        <w:t xml:space="preserve">, </w:t>
      </w:r>
      <w:r w:rsidR="006A37F8">
        <w:t>helping</w:t>
      </w:r>
      <w:r w:rsidR="00620308">
        <w:t xml:space="preserve"> waste heat </w:t>
      </w:r>
      <w:r w:rsidR="001030A2">
        <w:t>recovery to</w:t>
      </w:r>
      <w:r w:rsidR="00620308">
        <w:t xml:space="preserve"> become a competitive and reliable form of heating</w:t>
      </w:r>
      <w:r w:rsidR="00D91965">
        <w:t>.</w:t>
      </w:r>
    </w:p>
    <w:p w14:paraId="154FD32E" w14:textId="06D41C46" w:rsidR="00495104" w:rsidRPr="00AF2D6D" w:rsidRDefault="00495104" w:rsidP="00E64DB6">
      <w:pPr>
        <w:pStyle w:val="10Level1Heading"/>
        <w:rPr>
          <w:rFonts w:ascii="Garamond" w:hAnsi="Garamond"/>
        </w:rPr>
      </w:pPr>
      <w:r>
        <w:t>ACKNOWLEDGMENTS</w:t>
      </w:r>
    </w:p>
    <w:p w14:paraId="32655B5C" w14:textId="77777777" w:rsidR="00495104" w:rsidRDefault="00FB79CB" w:rsidP="00D91965">
      <w:pPr>
        <w:pStyle w:val="06BodyMaintext"/>
      </w:pPr>
      <w:r w:rsidRPr="00FB79CB">
        <w:t>The authors would like to express their gratitude for the support given by Transport for London, London South Bank University and the Engineering and Physical Science Research Council (EPSRC) through projects LUSTER - London Urban Sub-Terrain Energy Recovery project [EP/R001294/1] and LoT-NET - Low Temperature Heat Recovery and Distribution Network Technologies [EP/R045496/1]. The authors are also grateful to the London Borough of Islington for their support in providing valuable information for this project.</w:t>
      </w:r>
    </w:p>
    <w:p w14:paraId="0504DA62" w14:textId="77777777" w:rsidR="004B61B8" w:rsidRDefault="004B61B8" w:rsidP="00E64DB6">
      <w:pPr>
        <w:pStyle w:val="10Level1Heading"/>
      </w:pPr>
      <w:r>
        <w:lastRenderedPageBreak/>
        <w:t>REFERENCES</w:t>
      </w:r>
    </w:p>
    <w:p w14:paraId="162473C4" w14:textId="0FA60313" w:rsidR="00FA2F2E" w:rsidRDefault="00FA2F2E" w:rsidP="00925393">
      <w:pPr>
        <w:pStyle w:val="18References"/>
      </w:pPr>
      <w:r>
        <w:t>ASHRAE. 2017. ASHRAE Handbook—Fundamentals. SI edition.</w:t>
      </w:r>
      <w:r w:rsidRPr="00FA2F2E">
        <w:t xml:space="preserve"> Atlanta: ASHRAE.</w:t>
      </w:r>
    </w:p>
    <w:p w14:paraId="4DD4ECEA" w14:textId="7545E9BA" w:rsidR="009A0B16" w:rsidRDefault="00984CC3" w:rsidP="00925393">
      <w:pPr>
        <w:pStyle w:val="18References"/>
      </w:pPr>
      <w:r>
        <w:t xml:space="preserve">The Association for Decentralised Energy (ADE). 2018. Market Report: Heat Networks in the UK. Available online: </w:t>
      </w:r>
      <w:r w:rsidRPr="00984CC3">
        <w:t>https://www.theade.co.uk/resources/publications/market-report-heat-networks-in-the-uk</w:t>
      </w:r>
      <w:r>
        <w:t xml:space="preserve"> (accessed 4 November 2018).</w:t>
      </w:r>
    </w:p>
    <w:p w14:paraId="3078D1CF" w14:textId="77777777" w:rsidR="003304F9" w:rsidRDefault="003304F9" w:rsidP="00B94BEB">
      <w:pPr>
        <w:pStyle w:val="18References"/>
      </w:pPr>
      <w:r w:rsidRPr="003304F9">
        <w:t>Buffa, S., Cozzini, M., D’Antoni, M</w:t>
      </w:r>
      <w:r>
        <w:t>., Baratieri, M. &amp; Fedrizzi, R.</w:t>
      </w:r>
      <w:r w:rsidRPr="003304F9">
        <w:t xml:space="preserve"> 2019. 5th generation district heating and cooling systems: A review of existing cases in Europe. Renewable and Sustainable Energy Reviews 104</w:t>
      </w:r>
      <w:r>
        <w:t>:</w:t>
      </w:r>
      <w:r w:rsidRPr="003304F9">
        <w:t xml:space="preserve"> 504-522.</w:t>
      </w:r>
    </w:p>
    <w:p w14:paraId="2615C778" w14:textId="77777777" w:rsidR="00123A9B" w:rsidRDefault="00123A9B" w:rsidP="00123A9B">
      <w:pPr>
        <w:pStyle w:val="18References"/>
      </w:pPr>
      <w:r>
        <w:t>Chartered Institution of Building Services Engineers (CIBSE) and The Association for Decentralised Energy (ADE). 2015. CP1: Heat Networks: Code of Practice for the UK. United Kingdom.</w:t>
      </w:r>
    </w:p>
    <w:p w14:paraId="2C921532" w14:textId="77777777" w:rsidR="0095111A" w:rsidRDefault="0095111A" w:rsidP="00123A9B">
      <w:pPr>
        <w:pStyle w:val="18References"/>
      </w:pPr>
      <w:r>
        <w:t xml:space="preserve">Chua, K. </w:t>
      </w:r>
      <w:r w:rsidR="0009633A">
        <w:t>J., Chou, S. K. &amp; Yang, W. M. 2010. Advances in heat pump systems: A review. Appled Energy 87(12): 3611-24.</w:t>
      </w:r>
    </w:p>
    <w:p w14:paraId="7B43E764" w14:textId="77777777" w:rsidR="00A24E75" w:rsidRDefault="00A24E75" w:rsidP="00B94BEB">
      <w:pPr>
        <w:pStyle w:val="18References"/>
      </w:pPr>
      <w:r w:rsidRPr="00A24E75">
        <w:t>Co</w:t>
      </w:r>
      <w:r>
        <w:t>mmittee on Climate Change (CCC).</w:t>
      </w:r>
      <w:r w:rsidRPr="00A24E75">
        <w:t xml:space="preserve"> 2019. Net Zero – The UK’s contribution to stopping global warming. Available online: https://www.theccc.org.uk/publication/net-zero-the-uks-contribution-to-stopping-global-warming/ (accessed 19 May 2019).</w:t>
      </w:r>
    </w:p>
    <w:p w14:paraId="7710EB6C" w14:textId="77777777" w:rsidR="001B3FCB" w:rsidRDefault="001B3FCB" w:rsidP="00B94BEB">
      <w:pPr>
        <w:pStyle w:val="18References"/>
      </w:pPr>
      <w:r>
        <w:t>Department for Business, Energy &amp; Industrial Strategy (BEIS). 2018</w:t>
      </w:r>
      <w:r w:rsidR="00FE2A85">
        <w:t>a</w:t>
      </w:r>
      <w:r>
        <w:t xml:space="preserve">. Digest of UK Energy Statistics (DUKES): renewable sources of energy. Available online: </w:t>
      </w:r>
      <w:r w:rsidRPr="001B3FCB">
        <w:t>https://www.gov.uk/government/statistics/renewable-sources-of-energy-chapter-6-digest-of-united-kingdom-energy-statistics-dukes</w:t>
      </w:r>
      <w:r>
        <w:t xml:space="preserve"> (accessed 27 June 2019).</w:t>
      </w:r>
    </w:p>
    <w:p w14:paraId="5F24976D" w14:textId="77777777" w:rsidR="001B3FCB" w:rsidRDefault="00FE2A85" w:rsidP="00B94BEB">
      <w:pPr>
        <w:pStyle w:val="18References"/>
      </w:pPr>
      <w:r w:rsidRPr="00FE2A85">
        <w:t>Department for Business, Ener</w:t>
      </w:r>
      <w:r>
        <w:t>gy &amp; Industrial Strategy (BEIS).</w:t>
      </w:r>
      <w:r w:rsidRPr="00FE2A85">
        <w:t xml:space="preserve"> 2018</w:t>
      </w:r>
      <w:r>
        <w:t>b</w:t>
      </w:r>
      <w:r w:rsidRPr="00FE2A85">
        <w:t>. Heat Networks Investment Project, Introduction to the Scheme. United Kingdom.</w:t>
      </w:r>
    </w:p>
    <w:p w14:paraId="19D220EB" w14:textId="206E9E09" w:rsidR="00E72277" w:rsidRDefault="00E72277" w:rsidP="00B94BEB">
      <w:pPr>
        <w:pStyle w:val="18References"/>
      </w:pPr>
      <w:r w:rsidRPr="00FE2A85">
        <w:t>Department for Business, Ener</w:t>
      </w:r>
      <w:r>
        <w:t>gy &amp; Industrial Strategy (BEIS).</w:t>
      </w:r>
      <w:r w:rsidRPr="00FE2A85">
        <w:t xml:space="preserve"> 2018</w:t>
      </w:r>
      <w:r>
        <w:t>c</w:t>
      </w:r>
      <w:r w:rsidRPr="00FE2A85">
        <w:t xml:space="preserve">. </w:t>
      </w:r>
      <w:r w:rsidR="00F74D11" w:rsidRPr="00F74D11">
        <w:t>Optimisation of Heat Networks: Issues for Project Sponsors to consider</w:t>
      </w:r>
      <w:r w:rsidRPr="00FE2A85">
        <w:t>. United Kingdom</w:t>
      </w:r>
      <w:r w:rsidR="00F74D11">
        <w:t>.</w:t>
      </w:r>
    </w:p>
    <w:p w14:paraId="4EB17E82" w14:textId="17B52B98" w:rsidR="00AA3517" w:rsidRDefault="00AA3517" w:rsidP="00B94BEB">
      <w:pPr>
        <w:pStyle w:val="18References"/>
      </w:pPr>
      <w:r w:rsidRPr="00AA3517">
        <w:t>Duffy, S.</w:t>
      </w:r>
      <w:r>
        <w:t xml:space="preserve"> 2018.</w:t>
      </w:r>
      <w:r w:rsidRPr="00AA3517">
        <w:t xml:space="preserve"> Opportunities to Utilise Transport for London’s Secondary Heat Sources. Proceedings of the CIBSE Technical Symposium, London, UK, 12 – 13 April, 2018.</w:t>
      </w:r>
    </w:p>
    <w:p w14:paraId="43BA9077" w14:textId="33F6BBDF" w:rsidR="00E11223" w:rsidRDefault="00E11223" w:rsidP="00B94BEB">
      <w:pPr>
        <w:pStyle w:val="18References"/>
      </w:pPr>
      <w:r w:rsidRPr="00E11223">
        <w:t xml:space="preserve">Gilbey, M. </w:t>
      </w:r>
      <w:r w:rsidR="003D7C29">
        <w:t>J., Duffy, S. &amp; Thompson, J. A.</w:t>
      </w:r>
      <w:r w:rsidRPr="00E11223">
        <w:t xml:space="preserve"> 2011. The Potential for Heat Recovery from London Underground Stations and Tunnels. Proceedings of the CIBSE Technical Symposium, Leicester, UK, 6 – 7 September, 2011.</w:t>
      </w:r>
    </w:p>
    <w:p w14:paraId="2D459590" w14:textId="77777777" w:rsidR="001B3FCB" w:rsidRDefault="00FD0315" w:rsidP="00B94BEB">
      <w:pPr>
        <w:pStyle w:val="18References"/>
      </w:pPr>
      <w:r>
        <w:t>Greater London Authority (GLA).</w:t>
      </w:r>
      <w:r w:rsidRPr="00FD0315">
        <w:t xml:space="preserve"> 2018. London Environment Strategy. Available online: https://www.london.gov.uk//what-we-do/environment/london-environment-strategy (accessed 30 October 2018).</w:t>
      </w:r>
    </w:p>
    <w:p w14:paraId="62EA3D39" w14:textId="2411368E" w:rsidR="006342A1" w:rsidRDefault="006342A1" w:rsidP="00B94BEB">
      <w:pPr>
        <w:pStyle w:val="18References"/>
      </w:pPr>
      <w:r>
        <w:t>Incropera, F. P.</w:t>
      </w:r>
      <w:r w:rsidR="003D6AD5">
        <w:t>,</w:t>
      </w:r>
      <w:r w:rsidRPr="006342A1">
        <w:t xml:space="preserve"> DeWitt</w:t>
      </w:r>
      <w:r>
        <w:t>, D. P.</w:t>
      </w:r>
      <w:r w:rsidR="003D6AD5">
        <w:t>, Bergman, T. L. &amp; Lavine, A. S.</w:t>
      </w:r>
      <w:r>
        <w:t xml:space="preserve"> 2002</w:t>
      </w:r>
      <w:r w:rsidRPr="006342A1">
        <w:t>. Fundamentals of heat and mass transfer</w:t>
      </w:r>
      <w:r w:rsidR="003D6AD5">
        <w:t>, 6</w:t>
      </w:r>
      <w:r w:rsidR="003D6AD5" w:rsidRPr="003D6AD5">
        <w:rPr>
          <w:vertAlign w:val="superscript"/>
        </w:rPr>
        <w:t>th</w:t>
      </w:r>
      <w:r w:rsidR="003D6AD5">
        <w:t xml:space="preserve"> edition.</w:t>
      </w:r>
      <w:r w:rsidRPr="006342A1">
        <w:t xml:space="preserve"> New York: J. Wiley.</w:t>
      </w:r>
    </w:p>
    <w:p w14:paraId="272CEC9F" w14:textId="5D71C64C" w:rsidR="00F8176D" w:rsidRDefault="00F8176D" w:rsidP="00B94BEB">
      <w:pPr>
        <w:pStyle w:val="18References"/>
      </w:pPr>
      <w:r w:rsidRPr="00F8176D">
        <w:t>Jangsten, O., Aguiló-Rullán, A</w:t>
      </w:r>
      <w:r>
        <w:t>., Williams, J. &amp; Wiltshire, R.</w:t>
      </w:r>
      <w:r w:rsidRPr="00F8176D">
        <w:t xml:space="preserve"> 2011. The Performance of District Heating in New Developments: Application Guidance, Bracknell: BRE Group.</w:t>
      </w:r>
    </w:p>
    <w:p w14:paraId="017E46D7" w14:textId="6D331B6D" w:rsidR="00767B3C" w:rsidRDefault="00767B3C" w:rsidP="00B94BEB">
      <w:pPr>
        <w:pStyle w:val="18References"/>
      </w:pPr>
      <w:r>
        <w:t>Kwon, O., Cha, D. &amp; Park, C. 2013. Performance evaluation of a two-stage compression heat pump system for district heating using waste energy. Energy 57: 375-381.</w:t>
      </w:r>
    </w:p>
    <w:p w14:paraId="5CB01417" w14:textId="52CE718C" w:rsidR="006E1EB8" w:rsidRDefault="006E1EB8" w:rsidP="00B94BEB">
      <w:pPr>
        <w:pStyle w:val="18References"/>
      </w:pPr>
      <w:r w:rsidRPr="006E1EB8">
        <w:t>Lagoeiro, H., Revesz, A., Davies, G., Maidment, G., Curry, D., Faulks, G. &amp; Bielicki, J., 2019. Heat from Underground Energy London. Proceedings of the CIBSE Technical Symposium, Sheffield, UK, 25 – 26 April, 2019.</w:t>
      </w:r>
    </w:p>
    <w:p w14:paraId="42523B86" w14:textId="75AA5AEA" w:rsidR="003304F9" w:rsidRDefault="003304F9" w:rsidP="00F8176D">
      <w:pPr>
        <w:pStyle w:val="18References"/>
      </w:pPr>
      <w:r w:rsidRPr="003304F9">
        <w:t>Lund, H., Werner, S., Wiltshire, R., Svendsen, S., Thorsen, J. E., H</w:t>
      </w:r>
      <w:r>
        <w:t>velplund, F. &amp; Mathiesen, B. V.</w:t>
      </w:r>
      <w:r w:rsidRPr="003304F9">
        <w:t xml:space="preserve"> 2014. 4th Generation District Heating (4GDH): Integrating smart thermal grids into future sustai</w:t>
      </w:r>
      <w:r>
        <w:t>nable energy systems. Energy 68:</w:t>
      </w:r>
      <w:r w:rsidRPr="003304F9">
        <w:t xml:space="preserve"> 1-11.</w:t>
      </w:r>
    </w:p>
    <w:p w14:paraId="236EBE44" w14:textId="2847C0C1" w:rsidR="008220F2" w:rsidRDefault="008220F2" w:rsidP="00F8176D">
      <w:pPr>
        <w:pStyle w:val="18References"/>
      </w:pPr>
      <w:r>
        <w:t xml:space="preserve">Naphon, P. &amp; Wongwises, S. 2005. </w:t>
      </w:r>
      <w:r w:rsidRPr="008220F2">
        <w:t>Heat transfer coefficients under dry- and wet-surface conditions for a spirally coiled finned tube heat exchanger</w:t>
      </w:r>
      <w:r>
        <w:t>. International Communications in Heat and Mass Transfer 32(3): 371-385.</w:t>
      </w:r>
    </w:p>
    <w:p w14:paraId="007DA90D" w14:textId="173CCB79" w:rsidR="00EE6E8B" w:rsidRDefault="00EE6E8B" w:rsidP="00F8176D">
      <w:pPr>
        <w:pStyle w:val="18References"/>
      </w:pPr>
      <w:r>
        <w:t xml:space="preserve">Tran, C. T., </w:t>
      </w:r>
      <w:r w:rsidRPr="00EE6E8B">
        <w:t>Rivière</w:t>
      </w:r>
      <w:r>
        <w:t xml:space="preserve">, P., Marchio, D. &amp; </w:t>
      </w:r>
      <w:r w:rsidRPr="00EE6E8B">
        <w:t>Arzano-Daurelle</w:t>
      </w:r>
      <w:r>
        <w:t xml:space="preserve">, C. 2012. </w:t>
      </w:r>
      <w:r w:rsidRPr="00EE6E8B">
        <w:t>Refrigerant-based measurement method of heat pump seasonal performances</w:t>
      </w:r>
      <w:r>
        <w:t>. International Journal of Refrigeration 35(6): 1583-94.</w:t>
      </w:r>
    </w:p>
    <w:p w14:paraId="67C248FC" w14:textId="77777777" w:rsidR="00123A9B" w:rsidRDefault="00123A9B" w:rsidP="00B94BEB">
      <w:pPr>
        <w:pStyle w:val="18References"/>
      </w:pPr>
      <w:r>
        <w:t xml:space="preserve">UK Government. 2014. The Heat Network (Metering and Billing) Regulations. Available onlne: </w:t>
      </w:r>
      <w:r w:rsidRPr="00123A9B">
        <w:t>http://www.legislation.gov.uk/uksi/2014/3120/pdfs/uksi_20143120_en.pdf</w:t>
      </w:r>
      <w:r>
        <w:t xml:space="preserve"> (accessed 14 March 2019).</w:t>
      </w:r>
    </w:p>
    <w:p w14:paraId="2376EC6D" w14:textId="77777777" w:rsidR="00C41031" w:rsidRDefault="00C41031" w:rsidP="00B94BEB">
      <w:pPr>
        <w:pStyle w:val="18References"/>
      </w:pPr>
      <w:r>
        <w:t>Vandermeulen, A., van der Heijde, B. &amp; Helsen, L. 2018. Controlling district heating and cooling networks to unlock flexibility: A review. Energy 151: 103-115.</w:t>
      </w:r>
    </w:p>
    <w:p w14:paraId="43C8741E" w14:textId="03EEF3A8" w:rsidR="007E4265" w:rsidRDefault="00F337FF" w:rsidP="009C2DFB">
      <w:pPr>
        <w:pStyle w:val="18References"/>
      </w:pPr>
      <w:r>
        <w:t>Vesterlund</w:t>
      </w:r>
      <w:r w:rsidR="00777671">
        <w:t>, M., Toffolo, A. &amp; Dahl, J. 2017. Optimization of multi-source complex district heating network, a case study. Energy 126: 53-63.</w:t>
      </w:r>
    </w:p>
    <w:sectPr w:rsidR="007E4265" w:rsidSect="00BC57A4">
      <w:footerReference w:type="first" r:id="rId13"/>
      <w:pgSz w:w="12240" w:h="15840"/>
      <w:pgMar w:top="1656" w:right="1080" w:bottom="1440" w:left="1080" w:header="547" w:footer="172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2DFA6" w14:textId="77777777" w:rsidR="009009DE" w:rsidRDefault="009009DE" w:rsidP="002620D9">
      <w:r>
        <w:separator/>
      </w:r>
    </w:p>
  </w:endnote>
  <w:endnote w:type="continuationSeparator" w:id="0">
    <w:p w14:paraId="40C28AE9" w14:textId="77777777" w:rsidR="009009DE" w:rsidRDefault="009009DE" w:rsidP="0026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B492FB30-9F5C-45E7-AED7-27EA2AC53F68}"/>
    <w:embedBold r:id="rId2" w:fontKey="{1F5E7123-E470-4C52-8258-786C1EC922F3}"/>
    <w:embedItalic r:id="rId3" w:fontKey="{18D7BA73-2268-445F-A015-47CAB510B5F6}"/>
  </w:font>
  <w:font w:name="Calibri">
    <w:panose1 w:val="020F0502020204030204"/>
    <w:charset w:val="00"/>
    <w:family w:val="swiss"/>
    <w:pitch w:val="variable"/>
    <w:sig w:usb0="E0002AFF" w:usb1="C000247B" w:usb2="00000009" w:usb3="00000000" w:csb0="000001FF" w:csb1="00000000"/>
    <w:embedRegular r:id="rId4" w:fontKey="{84E3486E-A261-40AC-AE18-0E24B48D251A}"/>
    <w:embedBold r:id="rId5" w:fontKey="{DBAC0D1E-1AE9-4C25-A24F-85ABCFED040F}"/>
    <w:embedItalic r:id="rId6" w:fontKey="{F750403F-FCA5-415E-ABC1-05D2F838C9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F1E6E08F-4736-4BB8-A7F0-187E15F962DD}"/>
  </w:font>
  <w:font w:name="Verdana">
    <w:panose1 w:val="020B0604030504040204"/>
    <w:charset w:val="00"/>
    <w:family w:val="swiss"/>
    <w:pitch w:val="variable"/>
    <w:sig w:usb0="A10006FF" w:usb1="4000205B" w:usb2="00000010" w:usb3="00000000" w:csb0="0000019F" w:csb1="00000000"/>
    <w:embedRegular r:id="rId8" w:fontKey="{008BDF0D-5160-4F07-AA6E-8045C3B957EA}"/>
    <w:embedBold r:id="rId9" w:fontKey="{B9ABA497-BD0C-432F-B40A-9487519C4304}"/>
    <w:embedItalic r:id="rId10" w:fontKey="{1676BF65-0454-4603-85C4-E0C79B4E07E6}"/>
  </w:font>
  <w:font w:name="Times New Roman PS MT">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1" w:fontKey="{DCDB600E-F2B9-49FC-8AED-3A7437AE7772}"/>
    <w:embedBold r:id="rId12" w:fontKey="{C1984B80-A2F0-42CF-94D7-0E7874B2212E}"/>
  </w:font>
  <w:font w:name="Cambria Math">
    <w:panose1 w:val="02040503050406030204"/>
    <w:charset w:val="00"/>
    <w:family w:val="roman"/>
    <w:pitch w:val="variable"/>
    <w:sig w:usb0="E00002FF" w:usb1="420024FF" w:usb2="00000000" w:usb3="00000000" w:csb0="0000019F" w:csb1="00000000"/>
    <w:embedRegular r:id="rId13" w:fontKey="{EFFD064B-2BFF-4FD9-B100-C206B2810C70}"/>
    <w:embedItalic r:id="rId14" w:fontKey="{15FCCB50-65E2-469A-B1F3-0B9454C0EBF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38AF6" w14:textId="77777777" w:rsidR="009009DE" w:rsidRDefault="009009DE" w:rsidP="007E4265">
    <w:pPr>
      <w:pStyle w:val="20AuthorNoteFirstPageFooter"/>
    </w:pPr>
  </w:p>
  <w:p w14:paraId="5D36EB0A" w14:textId="47844E86" w:rsidR="009009DE" w:rsidRPr="00BA1421" w:rsidRDefault="009009DE" w:rsidP="007E4265">
    <w:pPr>
      <w:pStyle w:val="20AuthorNoteFirstPageFooter"/>
    </w:pPr>
    <w:r>
      <w:rPr>
        <w:b/>
      </w:rPr>
      <w:t xml:space="preserve">Henrique Lagoeiro </w:t>
    </w:r>
    <w:r>
      <w:t xml:space="preserve">is a PhD student, </w:t>
    </w:r>
    <w:r w:rsidRPr="003E5DB8">
      <w:rPr>
        <w:b/>
      </w:rPr>
      <w:t>Akos Resvesz, PhD</w:t>
    </w:r>
    <w:r>
      <w:t xml:space="preserve"> is a senior research fellow, </w:t>
    </w:r>
    <w:r w:rsidRPr="003E5DB8">
      <w:rPr>
        <w:b/>
      </w:rPr>
      <w:t>Gareth Davies, PhD</w:t>
    </w:r>
    <w:r>
      <w:t xml:space="preserve"> is a senior research fellow, and </w:t>
    </w:r>
    <w:r>
      <w:rPr>
        <w:b/>
      </w:rPr>
      <w:t>Graeme Maidment, PhD, PE</w:t>
    </w:r>
    <w:r w:rsidRPr="003751A5">
      <w:t xml:space="preserve"> is a professor </w:t>
    </w:r>
    <w:r>
      <w:t>at</w:t>
    </w:r>
    <w:r w:rsidRPr="003751A5">
      <w:t xml:space="preserve"> the </w:t>
    </w:r>
    <w:r>
      <w:t>School of Engineering, London South Bank University, London, UK.</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AD353" w14:textId="77777777" w:rsidR="009009DE" w:rsidRDefault="009009DE" w:rsidP="002620D9">
      <w:r>
        <w:separator/>
      </w:r>
    </w:p>
  </w:footnote>
  <w:footnote w:type="continuationSeparator" w:id="0">
    <w:p w14:paraId="66FC8745" w14:textId="77777777" w:rsidR="009009DE" w:rsidRDefault="009009DE" w:rsidP="002620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0B2"/>
    <w:multiLevelType w:val="hybridMultilevel"/>
    <w:tmpl w:val="1B24B728"/>
    <w:lvl w:ilvl="0" w:tplc="AC6E7274">
      <w:start w:val="1"/>
      <w:numFmt w:val="decimal"/>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0E33886"/>
    <w:multiLevelType w:val="hybridMultilevel"/>
    <w:tmpl w:val="C9EAAFBA"/>
    <w:lvl w:ilvl="0" w:tplc="01C2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66555"/>
    <w:multiLevelType w:val="hybridMultilevel"/>
    <w:tmpl w:val="212E6472"/>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6DF420F"/>
    <w:multiLevelType w:val="hybridMultilevel"/>
    <w:tmpl w:val="D4F8E42A"/>
    <w:lvl w:ilvl="0" w:tplc="EF320220">
      <w:start w:val="1"/>
      <w:numFmt w:val="decimal"/>
      <w:lvlText w:val="%1."/>
      <w:lvlJc w:val="left"/>
      <w:pPr>
        <w:ind w:left="806" w:hanging="360"/>
      </w:pPr>
      <w:rPr>
        <w:rFonts w:hint="default"/>
        <w:color w:val="000000"/>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15:restartNumberingAfterBreak="0">
    <w:nsid w:val="093E52DF"/>
    <w:multiLevelType w:val="hybridMultilevel"/>
    <w:tmpl w:val="0EFC554C"/>
    <w:lvl w:ilvl="0" w:tplc="DA326C44">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 w15:restartNumberingAfterBreak="0">
    <w:nsid w:val="0C524843"/>
    <w:multiLevelType w:val="hybridMultilevel"/>
    <w:tmpl w:val="F9DACFBC"/>
    <w:lvl w:ilvl="0" w:tplc="BA9EBC48">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1A001F"/>
    <w:multiLevelType w:val="hybridMultilevel"/>
    <w:tmpl w:val="C4C67840"/>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7" w15:restartNumberingAfterBreak="0">
    <w:nsid w:val="19DA015D"/>
    <w:multiLevelType w:val="hybridMultilevel"/>
    <w:tmpl w:val="1AFA47B2"/>
    <w:lvl w:ilvl="0" w:tplc="0409000F">
      <w:start w:val="1"/>
      <w:numFmt w:val="decimal"/>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8" w15:restartNumberingAfterBreak="0">
    <w:nsid w:val="1EF2592F"/>
    <w:multiLevelType w:val="hybridMultilevel"/>
    <w:tmpl w:val="3F46AEC4"/>
    <w:lvl w:ilvl="0" w:tplc="F272A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125797"/>
    <w:multiLevelType w:val="hybridMultilevel"/>
    <w:tmpl w:val="212E6472"/>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4796EAB"/>
    <w:multiLevelType w:val="hybridMultilevel"/>
    <w:tmpl w:val="8A2090F6"/>
    <w:lvl w:ilvl="0" w:tplc="B5425A2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15:restartNumberingAfterBreak="0">
    <w:nsid w:val="2AEC6104"/>
    <w:multiLevelType w:val="hybridMultilevel"/>
    <w:tmpl w:val="4A32E904"/>
    <w:lvl w:ilvl="0" w:tplc="B9BCD16A">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8D79AE"/>
    <w:multiLevelType w:val="hybridMultilevel"/>
    <w:tmpl w:val="212E6472"/>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37D0B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690270"/>
    <w:multiLevelType w:val="hybridMultilevel"/>
    <w:tmpl w:val="348081B2"/>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83756D8"/>
    <w:multiLevelType w:val="hybridMultilevel"/>
    <w:tmpl w:val="BB4C0658"/>
    <w:lvl w:ilvl="0" w:tplc="AC6E7274">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3B20BC"/>
    <w:multiLevelType w:val="hybridMultilevel"/>
    <w:tmpl w:val="2240676A"/>
    <w:lvl w:ilvl="0" w:tplc="E4D2EB74">
      <w:start w:val="6"/>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2B13B14"/>
    <w:multiLevelType w:val="hybridMultilevel"/>
    <w:tmpl w:val="85FEFC72"/>
    <w:lvl w:ilvl="0" w:tplc="A8BA8B1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44FE0435"/>
    <w:multiLevelType w:val="hybridMultilevel"/>
    <w:tmpl w:val="DA384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4935E2"/>
    <w:multiLevelType w:val="hybridMultilevel"/>
    <w:tmpl w:val="B55C0704"/>
    <w:lvl w:ilvl="0" w:tplc="D744F996">
      <w:numFmt w:val="bullet"/>
      <w:lvlText w:val="•"/>
      <w:lvlJc w:val="left"/>
      <w:pPr>
        <w:ind w:left="720" w:hanging="360"/>
      </w:pPr>
      <w:rPr>
        <w:rFonts w:ascii="Garamond" w:eastAsia="Calibr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A00BD7"/>
    <w:multiLevelType w:val="hybridMultilevel"/>
    <w:tmpl w:val="E83CDE6A"/>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1" w15:restartNumberingAfterBreak="0">
    <w:nsid w:val="47E86062"/>
    <w:multiLevelType w:val="hybridMultilevel"/>
    <w:tmpl w:val="1E8C5812"/>
    <w:lvl w:ilvl="0" w:tplc="E200C37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499F14EB"/>
    <w:multiLevelType w:val="hybridMultilevel"/>
    <w:tmpl w:val="133EB34E"/>
    <w:lvl w:ilvl="0" w:tplc="5260B95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9525C5"/>
    <w:multiLevelType w:val="hybridMultilevel"/>
    <w:tmpl w:val="42F6545A"/>
    <w:lvl w:ilvl="0" w:tplc="AC6E727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554E59A3"/>
    <w:multiLevelType w:val="hybridMultilevel"/>
    <w:tmpl w:val="212E6472"/>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1485CC7"/>
    <w:multiLevelType w:val="hybridMultilevel"/>
    <w:tmpl w:val="0AFCCFA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64FC56FF"/>
    <w:multiLevelType w:val="hybridMultilevel"/>
    <w:tmpl w:val="EA263BC6"/>
    <w:lvl w:ilvl="0" w:tplc="BA9EBC48">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52D4E82"/>
    <w:multiLevelType w:val="hybridMultilevel"/>
    <w:tmpl w:val="3DCE94B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1811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D726F05"/>
    <w:multiLevelType w:val="hybridMultilevel"/>
    <w:tmpl w:val="91CE2408"/>
    <w:lvl w:ilvl="0" w:tplc="AC6E7274">
      <w:start w:val="1"/>
      <w:numFmt w:val="decimal"/>
      <w:lvlText w:val="%1."/>
      <w:lvlJc w:val="left"/>
      <w:pPr>
        <w:ind w:left="198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15:restartNumberingAfterBreak="0">
    <w:nsid w:val="7102320C"/>
    <w:multiLevelType w:val="hybridMultilevel"/>
    <w:tmpl w:val="545CBD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3C65108"/>
    <w:multiLevelType w:val="hybridMultilevel"/>
    <w:tmpl w:val="9B9C2E9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75FA3AED"/>
    <w:multiLevelType w:val="hybridMultilevel"/>
    <w:tmpl w:val="C9EAAFBA"/>
    <w:lvl w:ilvl="0" w:tplc="01C2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A55C51"/>
    <w:multiLevelType w:val="hybridMultilevel"/>
    <w:tmpl w:val="ED300080"/>
    <w:lvl w:ilvl="0" w:tplc="9B22E85E">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AC6C08"/>
    <w:multiLevelType w:val="hybridMultilevel"/>
    <w:tmpl w:val="56543424"/>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356DCE"/>
    <w:multiLevelType w:val="hybridMultilevel"/>
    <w:tmpl w:val="A9DCE6BE"/>
    <w:lvl w:ilvl="0" w:tplc="BA9EBC48">
      <w:start w:val="1"/>
      <w:numFmt w:val="lowerLetter"/>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num w:numId="1">
    <w:abstractNumId w:val="25"/>
  </w:num>
  <w:num w:numId="2">
    <w:abstractNumId w:val="10"/>
  </w:num>
  <w:num w:numId="3">
    <w:abstractNumId w:val="10"/>
    <w:lvlOverride w:ilvl="0">
      <w:startOverride w:val="1"/>
    </w:lvlOverride>
  </w:num>
  <w:num w:numId="4">
    <w:abstractNumId w:val="17"/>
  </w:num>
  <w:num w:numId="5">
    <w:abstractNumId w:val="14"/>
  </w:num>
  <w:num w:numId="6">
    <w:abstractNumId w:val="23"/>
  </w:num>
  <w:num w:numId="7">
    <w:abstractNumId w:val="15"/>
  </w:num>
  <w:num w:numId="8">
    <w:abstractNumId w:val="22"/>
  </w:num>
  <w:num w:numId="9">
    <w:abstractNumId w:val="0"/>
  </w:num>
  <w:num w:numId="10">
    <w:abstractNumId w:val="31"/>
  </w:num>
  <w:num w:numId="11">
    <w:abstractNumId w:val="21"/>
  </w:num>
  <w:num w:numId="12">
    <w:abstractNumId w:val="29"/>
  </w:num>
  <w:num w:numId="13">
    <w:abstractNumId w:val="34"/>
  </w:num>
  <w:num w:numId="14">
    <w:abstractNumId w:val="27"/>
  </w:num>
  <w:num w:numId="15">
    <w:abstractNumId w:val="6"/>
  </w:num>
  <w:num w:numId="16">
    <w:abstractNumId w:val="20"/>
  </w:num>
  <w:num w:numId="17">
    <w:abstractNumId w:val="4"/>
  </w:num>
  <w:num w:numId="18">
    <w:abstractNumId w:val="3"/>
  </w:num>
  <w:num w:numId="19">
    <w:abstractNumId w:val="18"/>
  </w:num>
  <w:num w:numId="20">
    <w:abstractNumId w:val="28"/>
  </w:num>
  <w:num w:numId="21">
    <w:abstractNumId w:val="13"/>
  </w:num>
  <w:num w:numId="22">
    <w:abstractNumId w:val="8"/>
  </w:num>
  <w:num w:numId="23">
    <w:abstractNumId w:val="30"/>
  </w:num>
  <w:num w:numId="24">
    <w:abstractNumId w:val="33"/>
  </w:num>
  <w:num w:numId="25">
    <w:abstractNumId w:val="11"/>
  </w:num>
  <w:num w:numId="26">
    <w:abstractNumId w:val="26"/>
  </w:num>
  <w:num w:numId="27">
    <w:abstractNumId w:val="1"/>
  </w:num>
  <w:num w:numId="28">
    <w:abstractNumId w:val="5"/>
  </w:num>
  <w:num w:numId="29">
    <w:abstractNumId w:val="35"/>
  </w:num>
  <w:num w:numId="30">
    <w:abstractNumId w:val="7"/>
  </w:num>
  <w:num w:numId="31">
    <w:abstractNumId w:val="16"/>
  </w:num>
  <w:num w:numId="32">
    <w:abstractNumId w:val="32"/>
  </w:num>
  <w:num w:numId="33">
    <w:abstractNumId w:val="24"/>
  </w:num>
  <w:num w:numId="34">
    <w:abstractNumId w:val="19"/>
  </w:num>
  <w:num w:numId="35">
    <w:abstractNumId w:val="2"/>
  </w:num>
  <w:num w:numId="36">
    <w:abstractNumId w:val="12"/>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56321" o:allowoverlap="f"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C53"/>
    <w:rsid w:val="00001355"/>
    <w:rsid w:val="0000346D"/>
    <w:rsid w:val="00004E6B"/>
    <w:rsid w:val="00013FF5"/>
    <w:rsid w:val="00014AAC"/>
    <w:rsid w:val="000172BA"/>
    <w:rsid w:val="000222FE"/>
    <w:rsid w:val="000326B4"/>
    <w:rsid w:val="00032A81"/>
    <w:rsid w:val="00033E2B"/>
    <w:rsid w:val="00042519"/>
    <w:rsid w:val="000456AF"/>
    <w:rsid w:val="00051785"/>
    <w:rsid w:val="00051B9D"/>
    <w:rsid w:val="00053EAA"/>
    <w:rsid w:val="00053EE0"/>
    <w:rsid w:val="000569EB"/>
    <w:rsid w:val="00056B0B"/>
    <w:rsid w:val="00060C1F"/>
    <w:rsid w:val="00061AD2"/>
    <w:rsid w:val="00062156"/>
    <w:rsid w:val="0006260C"/>
    <w:rsid w:val="0007256F"/>
    <w:rsid w:val="00083B98"/>
    <w:rsid w:val="000901E0"/>
    <w:rsid w:val="0009556B"/>
    <w:rsid w:val="0009633A"/>
    <w:rsid w:val="000A39EC"/>
    <w:rsid w:val="000B2719"/>
    <w:rsid w:val="000B2C93"/>
    <w:rsid w:val="000C3333"/>
    <w:rsid w:val="000E040A"/>
    <w:rsid w:val="000E0AA0"/>
    <w:rsid w:val="000E13AE"/>
    <w:rsid w:val="000E4516"/>
    <w:rsid w:val="000F4DE4"/>
    <w:rsid w:val="001030A2"/>
    <w:rsid w:val="001143EE"/>
    <w:rsid w:val="00123A9B"/>
    <w:rsid w:val="00136316"/>
    <w:rsid w:val="00145EAC"/>
    <w:rsid w:val="001470B5"/>
    <w:rsid w:val="001476EA"/>
    <w:rsid w:val="00151549"/>
    <w:rsid w:val="00157472"/>
    <w:rsid w:val="001575D2"/>
    <w:rsid w:val="00163935"/>
    <w:rsid w:val="00173F93"/>
    <w:rsid w:val="00175C18"/>
    <w:rsid w:val="00181CEC"/>
    <w:rsid w:val="00183753"/>
    <w:rsid w:val="001869D6"/>
    <w:rsid w:val="00187055"/>
    <w:rsid w:val="0019568B"/>
    <w:rsid w:val="001A1A9B"/>
    <w:rsid w:val="001A25C6"/>
    <w:rsid w:val="001A41E6"/>
    <w:rsid w:val="001A789A"/>
    <w:rsid w:val="001B3FCB"/>
    <w:rsid w:val="001C0927"/>
    <w:rsid w:val="001E002F"/>
    <w:rsid w:val="001E688F"/>
    <w:rsid w:val="001E7110"/>
    <w:rsid w:val="001F0545"/>
    <w:rsid w:val="001F0D1C"/>
    <w:rsid w:val="001F230D"/>
    <w:rsid w:val="001F2D41"/>
    <w:rsid w:val="002075A7"/>
    <w:rsid w:val="00212EA8"/>
    <w:rsid w:val="00215003"/>
    <w:rsid w:val="002155E7"/>
    <w:rsid w:val="00216EF1"/>
    <w:rsid w:val="00222E6D"/>
    <w:rsid w:val="00225B64"/>
    <w:rsid w:val="00232021"/>
    <w:rsid w:val="00232E5E"/>
    <w:rsid w:val="002344B5"/>
    <w:rsid w:val="00240704"/>
    <w:rsid w:val="00242862"/>
    <w:rsid w:val="002479E3"/>
    <w:rsid w:val="002547C8"/>
    <w:rsid w:val="00257155"/>
    <w:rsid w:val="00260E96"/>
    <w:rsid w:val="002620D9"/>
    <w:rsid w:val="00262A9C"/>
    <w:rsid w:val="0026776E"/>
    <w:rsid w:val="00273B00"/>
    <w:rsid w:val="002742C3"/>
    <w:rsid w:val="00274826"/>
    <w:rsid w:val="00281E1A"/>
    <w:rsid w:val="00285097"/>
    <w:rsid w:val="002867AB"/>
    <w:rsid w:val="002948BB"/>
    <w:rsid w:val="002A5523"/>
    <w:rsid w:val="002A5FEA"/>
    <w:rsid w:val="002B40D1"/>
    <w:rsid w:val="002C05AA"/>
    <w:rsid w:val="002C2F24"/>
    <w:rsid w:val="002C55AD"/>
    <w:rsid w:val="002D53FE"/>
    <w:rsid w:val="002D5ED5"/>
    <w:rsid w:val="002E44B8"/>
    <w:rsid w:val="002E5ED4"/>
    <w:rsid w:val="002F1252"/>
    <w:rsid w:val="002F42D4"/>
    <w:rsid w:val="002F5276"/>
    <w:rsid w:val="002F7001"/>
    <w:rsid w:val="002F70CC"/>
    <w:rsid w:val="00312D36"/>
    <w:rsid w:val="003161DD"/>
    <w:rsid w:val="003163D9"/>
    <w:rsid w:val="0032046E"/>
    <w:rsid w:val="00325F80"/>
    <w:rsid w:val="00327E02"/>
    <w:rsid w:val="003304F9"/>
    <w:rsid w:val="003329F4"/>
    <w:rsid w:val="003368A5"/>
    <w:rsid w:val="00341644"/>
    <w:rsid w:val="00350ABB"/>
    <w:rsid w:val="00350EA4"/>
    <w:rsid w:val="00353990"/>
    <w:rsid w:val="00354C49"/>
    <w:rsid w:val="00356120"/>
    <w:rsid w:val="00360FDE"/>
    <w:rsid w:val="00370BC6"/>
    <w:rsid w:val="00370C21"/>
    <w:rsid w:val="00372C1A"/>
    <w:rsid w:val="00372D8F"/>
    <w:rsid w:val="00373BF4"/>
    <w:rsid w:val="003751A5"/>
    <w:rsid w:val="00375CF9"/>
    <w:rsid w:val="00381EE8"/>
    <w:rsid w:val="0038456F"/>
    <w:rsid w:val="00385B5A"/>
    <w:rsid w:val="00386116"/>
    <w:rsid w:val="0039074C"/>
    <w:rsid w:val="00394758"/>
    <w:rsid w:val="003958BE"/>
    <w:rsid w:val="003A1671"/>
    <w:rsid w:val="003A4C53"/>
    <w:rsid w:val="003A4D0E"/>
    <w:rsid w:val="003B0244"/>
    <w:rsid w:val="003B4123"/>
    <w:rsid w:val="003B473E"/>
    <w:rsid w:val="003C3063"/>
    <w:rsid w:val="003C36C5"/>
    <w:rsid w:val="003D12E3"/>
    <w:rsid w:val="003D1D9A"/>
    <w:rsid w:val="003D2A0C"/>
    <w:rsid w:val="003D56D6"/>
    <w:rsid w:val="003D6AD5"/>
    <w:rsid w:val="003D6BDB"/>
    <w:rsid w:val="003D7C29"/>
    <w:rsid w:val="003E00B0"/>
    <w:rsid w:val="003E4687"/>
    <w:rsid w:val="003E5DB8"/>
    <w:rsid w:val="003E7D45"/>
    <w:rsid w:val="003F04AC"/>
    <w:rsid w:val="003F5CE6"/>
    <w:rsid w:val="004030F0"/>
    <w:rsid w:val="00403BEA"/>
    <w:rsid w:val="004054EB"/>
    <w:rsid w:val="004067C9"/>
    <w:rsid w:val="0041010F"/>
    <w:rsid w:val="004210C1"/>
    <w:rsid w:val="004224DD"/>
    <w:rsid w:val="00430570"/>
    <w:rsid w:val="00430B9D"/>
    <w:rsid w:val="00431F59"/>
    <w:rsid w:val="0043451A"/>
    <w:rsid w:val="00437BD7"/>
    <w:rsid w:val="00443007"/>
    <w:rsid w:val="0044394D"/>
    <w:rsid w:val="00443FD0"/>
    <w:rsid w:val="004507EC"/>
    <w:rsid w:val="0045210F"/>
    <w:rsid w:val="004562DF"/>
    <w:rsid w:val="00467D84"/>
    <w:rsid w:val="004705F2"/>
    <w:rsid w:val="004856EC"/>
    <w:rsid w:val="00491341"/>
    <w:rsid w:val="004950F1"/>
    <w:rsid w:val="00495104"/>
    <w:rsid w:val="004A0857"/>
    <w:rsid w:val="004A5F17"/>
    <w:rsid w:val="004A778A"/>
    <w:rsid w:val="004B070A"/>
    <w:rsid w:val="004B27A5"/>
    <w:rsid w:val="004B2B7E"/>
    <w:rsid w:val="004B61B8"/>
    <w:rsid w:val="004B761F"/>
    <w:rsid w:val="004B76CB"/>
    <w:rsid w:val="004C4099"/>
    <w:rsid w:val="004D241D"/>
    <w:rsid w:val="004D3DD7"/>
    <w:rsid w:val="004E7E65"/>
    <w:rsid w:val="004F1EEA"/>
    <w:rsid w:val="004F331E"/>
    <w:rsid w:val="004F352D"/>
    <w:rsid w:val="004F35E8"/>
    <w:rsid w:val="004F3EBC"/>
    <w:rsid w:val="004F46E2"/>
    <w:rsid w:val="004F4D75"/>
    <w:rsid w:val="004F7DEB"/>
    <w:rsid w:val="005003AF"/>
    <w:rsid w:val="005007D9"/>
    <w:rsid w:val="00505797"/>
    <w:rsid w:val="005147B0"/>
    <w:rsid w:val="00515821"/>
    <w:rsid w:val="0051582B"/>
    <w:rsid w:val="00527CAC"/>
    <w:rsid w:val="00527D38"/>
    <w:rsid w:val="00534DE1"/>
    <w:rsid w:val="005369B0"/>
    <w:rsid w:val="00543E65"/>
    <w:rsid w:val="005453A7"/>
    <w:rsid w:val="005469BC"/>
    <w:rsid w:val="005472E3"/>
    <w:rsid w:val="00550AE5"/>
    <w:rsid w:val="005543AB"/>
    <w:rsid w:val="00560539"/>
    <w:rsid w:val="00565423"/>
    <w:rsid w:val="00572179"/>
    <w:rsid w:val="00574607"/>
    <w:rsid w:val="0058556B"/>
    <w:rsid w:val="0058772A"/>
    <w:rsid w:val="00592923"/>
    <w:rsid w:val="00596E8C"/>
    <w:rsid w:val="005A0C01"/>
    <w:rsid w:val="005A5C56"/>
    <w:rsid w:val="005B20DB"/>
    <w:rsid w:val="005B2EA9"/>
    <w:rsid w:val="005B5A27"/>
    <w:rsid w:val="005C719F"/>
    <w:rsid w:val="005D656E"/>
    <w:rsid w:val="005D670A"/>
    <w:rsid w:val="005E4992"/>
    <w:rsid w:val="005F42CB"/>
    <w:rsid w:val="005F61EE"/>
    <w:rsid w:val="005F7BAA"/>
    <w:rsid w:val="00607531"/>
    <w:rsid w:val="00620308"/>
    <w:rsid w:val="00620620"/>
    <w:rsid w:val="00625DB5"/>
    <w:rsid w:val="006312A6"/>
    <w:rsid w:val="00631BB8"/>
    <w:rsid w:val="00632FD4"/>
    <w:rsid w:val="0063409B"/>
    <w:rsid w:val="006342A1"/>
    <w:rsid w:val="00634520"/>
    <w:rsid w:val="00634E6C"/>
    <w:rsid w:val="00644185"/>
    <w:rsid w:val="00653328"/>
    <w:rsid w:val="00661FCE"/>
    <w:rsid w:val="00665C08"/>
    <w:rsid w:val="006743E1"/>
    <w:rsid w:val="006754F9"/>
    <w:rsid w:val="00675CF1"/>
    <w:rsid w:val="00676266"/>
    <w:rsid w:val="00677B0D"/>
    <w:rsid w:val="0068441A"/>
    <w:rsid w:val="00684A76"/>
    <w:rsid w:val="0069091A"/>
    <w:rsid w:val="00692982"/>
    <w:rsid w:val="00693C19"/>
    <w:rsid w:val="006949F7"/>
    <w:rsid w:val="00695EF4"/>
    <w:rsid w:val="006A37F8"/>
    <w:rsid w:val="006A39CC"/>
    <w:rsid w:val="006A40C9"/>
    <w:rsid w:val="006A49DB"/>
    <w:rsid w:val="006A66ED"/>
    <w:rsid w:val="006A729E"/>
    <w:rsid w:val="006B162C"/>
    <w:rsid w:val="006B330B"/>
    <w:rsid w:val="006B5057"/>
    <w:rsid w:val="006C467B"/>
    <w:rsid w:val="006C6E01"/>
    <w:rsid w:val="006C7028"/>
    <w:rsid w:val="006D0EEB"/>
    <w:rsid w:val="006D1FCB"/>
    <w:rsid w:val="006E1EB8"/>
    <w:rsid w:val="006E58B7"/>
    <w:rsid w:val="006E7742"/>
    <w:rsid w:val="006F3B16"/>
    <w:rsid w:val="006F5093"/>
    <w:rsid w:val="006F61FF"/>
    <w:rsid w:val="00700807"/>
    <w:rsid w:val="007009EB"/>
    <w:rsid w:val="0070299F"/>
    <w:rsid w:val="00704ABF"/>
    <w:rsid w:val="007126E0"/>
    <w:rsid w:val="00716FB7"/>
    <w:rsid w:val="00720B20"/>
    <w:rsid w:val="0072120A"/>
    <w:rsid w:val="00721D1B"/>
    <w:rsid w:val="0072262C"/>
    <w:rsid w:val="007422A6"/>
    <w:rsid w:val="007503F8"/>
    <w:rsid w:val="00752775"/>
    <w:rsid w:val="00756867"/>
    <w:rsid w:val="00761B58"/>
    <w:rsid w:val="00767B3C"/>
    <w:rsid w:val="00767BBF"/>
    <w:rsid w:val="00767F74"/>
    <w:rsid w:val="007704BF"/>
    <w:rsid w:val="00771A94"/>
    <w:rsid w:val="00772855"/>
    <w:rsid w:val="00775662"/>
    <w:rsid w:val="00777671"/>
    <w:rsid w:val="007856D4"/>
    <w:rsid w:val="00785819"/>
    <w:rsid w:val="00785923"/>
    <w:rsid w:val="00795298"/>
    <w:rsid w:val="0079620B"/>
    <w:rsid w:val="007A1D91"/>
    <w:rsid w:val="007A72BC"/>
    <w:rsid w:val="007B4EF3"/>
    <w:rsid w:val="007B7C8F"/>
    <w:rsid w:val="007C01C6"/>
    <w:rsid w:val="007C0C7E"/>
    <w:rsid w:val="007C2648"/>
    <w:rsid w:val="007C3032"/>
    <w:rsid w:val="007C4D15"/>
    <w:rsid w:val="007C4E79"/>
    <w:rsid w:val="007D065E"/>
    <w:rsid w:val="007D758C"/>
    <w:rsid w:val="007E4265"/>
    <w:rsid w:val="007E710D"/>
    <w:rsid w:val="007F4D8C"/>
    <w:rsid w:val="00807BE9"/>
    <w:rsid w:val="00810EFD"/>
    <w:rsid w:val="0081461A"/>
    <w:rsid w:val="0081604D"/>
    <w:rsid w:val="008220F2"/>
    <w:rsid w:val="0082575C"/>
    <w:rsid w:val="00834B3C"/>
    <w:rsid w:val="0084041A"/>
    <w:rsid w:val="00840CEB"/>
    <w:rsid w:val="008459AA"/>
    <w:rsid w:val="0084641E"/>
    <w:rsid w:val="00854489"/>
    <w:rsid w:val="008569F0"/>
    <w:rsid w:val="008576E5"/>
    <w:rsid w:val="008600E2"/>
    <w:rsid w:val="00860189"/>
    <w:rsid w:val="00863654"/>
    <w:rsid w:val="00875471"/>
    <w:rsid w:val="00883524"/>
    <w:rsid w:val="008851EC"/>
    <w:rsid w:val="00886F8B"/>
    <w:rsid w:val="00896C17"/>
    <w:rsid w:val="00897F92"/>
    <w:rsid w:val="008C4210"/>
    <w:rsid w:val="008C6AC4"/>
    <w:rsid w:val="008D0D17"/>
    <w:rsid w:val="008D4DF9"/>
    <w:rsid w:val="008E04B2"/>
    <w:rsid w:val="008F4A20"/>
    <w:rsid w:val="008F5B21"/>
    <w:rsid w:val="008F5CCF"/>
    <w:rsid w:val="008F78F7"/>
    <w:rsid w:val="009009DE"/>
    <w:rsid w:val="00900EF1"/>
    <w:rsid w:val="00917EE1"/>
    <w:rsid w:val="00921596"/>
    <w:rsid w:val="00925393"/>
    <w:rsid w:val="0092571E"/>
    <w:rsid w:val="00926656"/>
    <w:rsid w:val="00927175"/>
    <w:rsid w:val="00933C08"/>
    <w:rsid w:val="00934D32"/>
    <w:rsid w:val="00942888"/>
    <w:rsid w:val="00944CB7"/>
    <w:rsid w:val="00946154"/>
    <w:rsid w:val="00946BD5"/>
    <w:rsid w:val="0095111A"/>
    <w:rsid w:val="00954A66"/>
    <w:rsid w:val="00960736"/>
    <w:rsid w:val="00962503"/>
    <w:rsid w:val="0096528F"/>
    <w:rsid w:val="00976C86"/>
    <w:rsid w:val="00976D94"/>
    <w:rsid w:val="009772C2"/>
    <w:rsid w:val="0097778A"/>
    <w:rsid w:val="00984CC3"/>
    <w:rsid w:val="00985F61"/>
    <w:rsid w:val="009908B6"/>
    <w:rsid w:val="00993332"/>
    <w:rsid w:val="0099761A"/>
    <w:rsid w:val="009A0185"/>
    <w:rsid w:val="009A0B16"/>
    <w:rsid w:val="009A2980"/>
    <w:rsid w:val="009A68D8"/>
    <w:rsid w:val="009B19CD"/>
    <w:rsid w:val="009B5774"/>
    <w:rsid w:val="009C2DFB"/>
    <w:rsid w:val="009D44C6"/>
    <w:rsid w:val="009F368A"/>
    <w:rsid w:val="00A077AB"/>
    <w:rsid w:val="00A10E25"/>
    <w:rsid w:val="00A11E2C"/>
    <w:rsid w:val="00A21DF6"/>
    <w:rsid w:val="00A22D7D"/>
    <w:rsid w:val="00A24E75"/>
    <w:rsid w:val="00A272C5"/>
    <w:rsid w:val="00A3213C"/>
    <w:rsid w:val="00A34237"/>
    <w:rsid w:val="00A37404"/>
    <w:rsid w:val="00A41B60"/>
    <w:rsid w:val="00A50A5F"/>
    <w:rsid w:val="00A526C0"/>
    <w:rsid w:val="00A534C1"/>
    <w:rsid w:val="00A57BA0"/>
    <w:rsid w:val="00A619F2"/>
    <w:rsid w:val="00A67811"/>
    <w:rsid w:val="00A707EC"/>
    <w:rsid w:val="00A73556"/>
    <w:rsid w:val="00A828F6"/>
    <w:rsid w:val="00A82CB6"/>
    <w:rsid w:val="00A853CC"/>
    <w:rsid w:val="00AA1721"/>
    <w:rsid w:val="00AA3517"/>
    <w:rsid w:val="00AA6038"/>
    <w:rsid w:val="00AA744E"/>
    <w:rsid w:val="00AB65B3"/>
    <w:rsid w:val="00AC1ACD"/>
    <w:rsid w:val="00AC54A4"/>
    <w:rsid w:val="00AD5798"/>
    <w:rsid w:val="00AD74C3"/>
    <w:rsid w:val="00AE6A53"/>
    <w:rsid w:val="00AF2D6D"/>
    <w:rsid w:val="00AF7C03"/>
    <w:rsid w:val="00B001F2"/>
    <w:rsid w:val="00B00FB2"/>
    <w:rsid w:val="00B03A9D"/>
    <w:rsid w:val="00B12DE7"/>
    <w:rsid w:val="00B15995"/>
    <w:rsid w:val="00B16256"/>
    <w:rsid w:val="00B211CF"/>
    <w:rsid w:val="00B23FDC"/>
    <w:rsid w:val="00B25349"/>
    <w:rsid w:val="00B26CD9"/>
    <w:rsid w:val="00B3504A"/>
    <w:rsid w:val="00B36C0C"/>
    <w:rsid w:val="00B46ADF"/>
    <w:rsid w:val="00B5164E"/>
    <w:rsid w:val="00B51A08"/>
    <w:rsid w:val="00B5604D"/>
    <w:rsid w:val="00B57BC1"/>
    <w:rsid w:val="00B661BF"/>
    <w:rsid w:val="00B66202"/>
    <w:rsid w:val="00B72A9D"/>
    <w:rsid w:val="00B7323D"/>
    <w:rsid w:val="00B76EC9"/>
    <w:rsid w:val="00B82124"/>
    <w:rsid w:val="00B90BB6"/>
    <w:rsid w:val="00B94050"/>
    <w:rsid w:val="00B94BEB"/>
    <w:rsid w:val="00BA1421"/>
    <w:rsid w:val="00BA65FA"/>
    <w:rsid w:val="00BA6BFE"/>
    <w:rsid w:val="00BA6FD8"/>
    <w:rsid w:val="00BB0A57"/>
    <w:rsid w:val="00BB0C59"/>
    <w:rsid w:val="00BB6DD5"/>
    <w:rsid w:val="00BC0B0A"/>
    <w:rsid w:val="00BC57A4"/>
    <w:rsid w:val="00BC59DD"/>
    <w:rsid w:val="00BC6E09"/>
    <w:rsid w:val="00BD0554"/>
    <w:rsid w:val="00BD09AF"/>
    <w:rsid w:val="00BD2012"/>
    <w:rsid w:val="00BD2053"/>
    <w:rsid w:val="00BF0F10"/>
    <w:rsid w:val="00BF3B98"/>
    <w:rsid w:val="00BF4D42"/>
    <w:rsid w:val="00C0042F"/>
    <w:rsid w:val="00C013EC"/>
    <w:rsid w:val="00C0339F"/>
    <w:rsid w:val="00C06080"/>
    <w:rsid w:val="00C213E7"/>
    <w:rsid w:val="00C27606"/>
    <w:rsid w:val="00C27E3B"/>
    <w:rsid w:val="00C35CC7"/>
    <w:rsid w:val="00C37A1A"/>
    <w:rsid w:val="00C41031"/>
    <w:rsid w:val="00C443A3"/>
    <w:rsid w:val="00C5526C"/>
    <w:rsid w:val="00C5666F"/>
    <w:rsid w:val="00C57C79"/>
    <w:rsid w:val="00C57E41"/>
    <w:rsid w:val="00C67B93"/>
    <w:rsid w:val="00C7134A"/>
    <w:rsid w:val="00C7760F"/>
    <w:rsid w:val="00C86158"/>
    <w:rsid w:val="00C95979"/>
    <w:rsid w:val="00CA47A0"/>
    <w:rsid w:val="00CA6401"/>
    <w:rsid w:val="00CA7138"/>
    <w:rsid w:val="00CB73AA"/>
    <w:rsid w:val="00CC08B3"/>
    <w:rsid w:val="00CC0E00"/>
    <w:rsid w:val="00CC2735"/>
    <w:rsid w:val="00CC56D9"/>
    <w:rsid w:val="00CC692C"/>
    <w:rsid w:val="00CD3D53"/>
    <w:rsid w:val="00CD5B4F"/>
    <w:rsid w:val="00CE0624"/>
    <w:rsid w:val="00CE1E11"/>
    <w:rsid w:val="00CE45FA"/>
    <w:rsid w:val="00CE5FF8"/>
    <w:rsid w:val="00CE634D"/>
    <w:rsid w:val="00CF2509"/>
    <w:rsid w:val="00CF3146"/>
    <w:rsid w:val="00CF77ED"/>
    <w:rsid w:val="00D12702"/>
    <w:rsid w:val="00D24B03"/>
    <w:rsid w:val="00D260F0"/>
    <w:rsid w:val="00D30BC4"/>
    <w:rsid w:val="00D37B66"/>
    <w:rsid w:val="00D621AC"/>
    <w:rsid w:val="00D67013"/>
    <w:rsid w:val="00D6786D"/>
    <w:rsid w:val="00D7631A"/>
    <w:rsid w:val="00D76423"/>
    <w:rsid w:val="00D76CE0"/>
    <w:rsid w:val="00D81974"/>
    <w:rsid w:val="00D82230"/>
    <w:rsid w:val="00D90105"/>
    <w:rsid w:val="00D91938"/>
    <w:rsid w:val="00D91965"/>
    <w:rsid w:val="00D92AE5"/>
    <w:rsid w:val="00D9794E"/>
    <w:rsid w:val="00DA36E5"/>
    <w:rsid w:val="00DA7CDB"/>
    <w:rsid w:val="00DB2A91"/>
    <w:rsid w:val="00DB43F7"/>
    <w:rsid w:val="00DB795D"/>
    <w:rsid w:val="00DD6919"/>
    <w:rsid w:val="00DF1CE7"/>
    <w:rsid w:val="00DF39A9"/>
    <w:rsid w:val="00DF6ADB"/>
    <w:rsid w:val="00E11223"/>
    <w:rsid w:val="00E22B6D"/>
    <w:rsid w:val="00E23B5D"/>
    <w:rsid w:val="00E35283"/>
    <w:rsid w:val="00E35D41"/>
    <w:rsid w:val="00E45BFA"/>
    <w:rsid w:val="00E4617C"/>
    <w:rsid w:val="00E53AE0"/>
    <w:rsid w:val="00E53C0B"/>
    <w:rsid w:val="00E53FDC"/>
    <w:rsid w:val="00E5636D"/>
    <w:rsid w:val="00E616A3"/>
    <w:rsid w:val="00E64DB6"/>
    <w:rsid w:val="00E65708"/>
    <w:rsid w:val="00E71090"/>
    <w:rsid w:val="00E72277"/>
    <w:rsid w:val="00E72BCC"/>
    <w:rsid w:val="00E74916"/>
    <w:rsid w:val="00E80111"/>
    <w:rsid w:val="00E805DF"/>
    <w:rsid w:val="00E813AD"/>
    <w:rsid w:val="00E830C5"/>
    <w:rsid w:val="00E8612B"/>
    <w:rsid w:val="00E865A4"/>
    <w:rsid w:val="00E86F5F"/>
    <w:rsid w:val="00E8792A"/>
    <w:rsid w:val="00E967E9"/>
    <w:rsid w:val="00EA12D1"/>
    <w:rsid w:val="00EA2C3D"/>
    <w:rsid w:val="00EA37C5"/>
    <w:rsid w:val="00EA5CE0"/>
    <w:rsid w:val="00EA7A24"/>
    <w:rsid w:val="00EB172C"/>
    <w:rsid w:val="00EB36A2"/>
    <w:rsid w:val="00EB480A"/>
    <w:rsid w:val="00EB4871"/>
    <w:rsid w:val="00EB530B"/>
    <w:rsid w:val="00EC00CB"/>
    <w:rsid w:val="00EE6E8B"/>
    <w:rsid w:val="00EF0064"/>
    <w:rsid w:val="00EF0907"/>
    <w:rsid w:val="00EF27AB"/>
    <w:rsid w:val="00EF366E"/>
    <w:rsid w:val="00EF3C31"/>
    <w:rsid w:val="00F06CB5"/>
    <w:rsid w:val="00F10306"/>
    <w:rsid w:val="00F1067B"/>
    <w:rsid w:val="00F12D3D"/>
    <w:rsid w:val="00F157C7"/>
    <w:rsid w:val="00F15A17"/>
    <w:rsid w:val="00F25558"/>
    <w:rsid w:val="00F32A4F"/>
    <w:rsid w:val="00F337FF"/>
    <w:rsid w:val="00F40C4F"/>
    <w:rsid w:val="00F47A01"/>
    <w:rsid w:val="00F55C70"/>
    <w:rsid w:val="00F7455F"/>
    <w:rsid w:val="00F74D11"/>
    <w:rsid w:val="00F750A6"/>
    <w:rsid w:val="00F800F1"/>
    <w:rsid w:val="00F8176D"/>
    <w:rsid w:val="00F8237F"/>
    <w:rsid w:val="00F8313C"/>
    <w:rsid w:val="00F83E8F"/>
    <w:rsid w:val="00F87CCD"/>
    <w:rsid w:val="00F916E7"/>
    <w:rsid w:val="00F942AD"/>
    <w:rsid w:val="00FA07D3"/>
    <w:rsid w:val="00FA2F2E"/>
    <w:rsid w:val="00FA6913"/>
    <w:rsid w:val="00FB2F6B"/>
    <w:rsid w:val="00FB5D75"/>
    <w:rsid w:val="00FB79CB"/>
    <w:rsid w:val="00FC48CA"/>
    <w:rsid w:val="00FC508D"/>
    <w:rsid w:val="00FC50AE"/>
    <w:rsid w:val="00FC60AB"/>
    <w:rsid w:val="00FD0315"/>
    <w:rsid w:val="00FD48FB"/>
    <w:rsid w:val="00FD7161"/>
    <w:rsid w:val="00FD7773"/>
    <w:rsid w:val="00FE1C4E"/>
    <w:rsid w:val="00FE2A85"/>
    <w:rsid w:val="00FE3F22"/>
    <w:rsid w:val="00FE5186"/>
    <w:rsid w:val="00FF24B5"/>
    <w:rsid w:val="00FF3CC7"/>
    <w:rsid w:val="00FF3D81"/>
    <w:rsid w:val="00FF7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1" o:allowoverlap="f" fill="f" fillcolor="white" stroke="f">
      <v:fill color="white" on="f"/>
      <v:stroke on="f"/>
      <v:textbox style="mso-rotate-with-shape:t"/>
    </o:shapedefaults>
    <o:shapelayout v:ext="edit">
      <o:idmap v:ext="edit" data="1"/>
    </o:shapelayout>
  </w:shapeDefaults>
  <w:decimalSymbol w:val="."/>
  <w:listSeparator w:val=","/>
  <w14:docId w14:val="22AC5E0A"/>
  <w15:chartTrackingRefBased/>
  <w15:docId w15:val="{A81B69A2-DB48-488A-A726-D6782EBBA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604D"/>
    <w:pPr>
      <w:ind w:left="720" w:hanging="360"/>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074C"/>
    <w:pPr>
      <w:autoSpaceDE w:val="0"/>
      <w:autoSpaceDN w:val="0"/>
      <w:adjustRightInd w:val="0"/>
      <w:spacing w:line="288" w:lineRule="auto"/>
      <w:ind w:left="0" w:firstLine="0"/>
      <w:textAlignment w:val="center"/>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AA1721"/>
    <w:rPr>
      <w:rFonts w:ascii="Tahoma" w:hAnsi="Tahoma" w:cs="Tahoma"/>
      <w:sz w:val="16"/>
      <w:szCs w:val="16"/>
    </w:rPr>
  </w:style>
  <w:style w:type="character" w:customStyle="1" w:styleId="BalloonTextChar">
    <w:name w:val="Balloon Text Char"/>
    <w:link w:val="BalloonText"/>
    <w:uiPriority w:val="99"/>
    <w:semiHidden/>
    <w:rsid w:val="00AA1721"/>
    <w:rPr>
      <w:rFonts w:ascii="Tahoma" w:hAnsi="Tahoma" w:cs="Tahoma"/>
      <w:sz w:val="16"/>
      <w:szCs w:val="16"/>
    </w:rPr>
  </w:style>
  <w:style w:type="table" w:styleId="TableGrid">
    <w:name w:val="Table Grid"/>
    <w:basedOn w:val="TableNormal"/>
    <w:uiPriority w:val="59"/>
    <w:rsid w:val="007858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Equation">
    <w:name w:val="19. Equation"/>
    <w:basedOn w:val="Normal"/>
    <w:qFormat/>
    <w:rsid w:val="00B94BEB"/>
    <w:pPr>
      <w:tabs>
        <w:tab w:val="left" w:pos="3600"/>
        <w:tab w:val="left" w:pos="8640"/>
      </w:tabs>
      <w:spacing w:before="360"/>
      <w:ind w:firstLine="450"/>
    </w:pPr>
    <w:rPr>
      <w:rFonts w:ascii="Garamond" w:hAnsi="Garamond"/>
      <w:sz w:val="20"/>
    </w:rPr>
  </w:style>
  <w:style w:type="paragraph" w:customStyle="1" w:styleId="01PaperTitle">
    <w:name w:val="01. Paper Title"/>
    <w:basedOn w:val="Normal"/>
    <w:autoRedefine/>
    <w:qFormat/>
    <w:rsid w:val="00E64DB6"/>
    <w:pPr>
      <w:spacing w:before="240" w:after="960"/>
      <w:ind w:left="0" w:firstLine="0"/>
    </w:pPr>
    <w:rPr>
      <w:rFonts w:ascii="Verdana" w:hAnsi="Verdana"/>
      <w:b/>
      <w:sz w:val="48"/>
      <w:szCs w:val="48"/>
    </w:rPr>
  </w:style>
  <w:style w:type="character" w:styleId="Hyperlink">
    <w:name w:val="Hyperlink"/>
    <w:uiPriority w:val="99"/>
    <w:unhideWhenUsed/>
    <w:rsid w:val="001B3FCB"/>
    <w:rPr>
      <w:color w:val="0563C1"/>
      <w:u w:val="single"/>
    </w:rPr>
  </w:style>
  <w:style w:type="paragraph" w:customStyle="1" w:styleId="02AuthorName">
    <w:name w:val="02. Author Name"/>
    <w:basedOn w:val="Normal"/>
    <w:autoRedefine/>
    <w:qFormat/>
    <w:rsid w:val="00E64DB6"/>
    <w:pPr>
      <w:tabs>
        <w:tab w:val="left" w:pos="3960"/>
        <w:tab w:val="left" w:pos="7560"/>
      </w:tabs>
      <w:ind w:left="0" w:firstLine="0"/>
    </w:pPr>
    <w:rPr>
      <w:rFonts w:ascii="Verdana" w:hAnsi="Verdana"/>
      <w:b/>
    </w:rPr>
  </w:style>
  <w:style w:type="paragraph" w:customStyle="1" w:styleId="03ASHRAEAffiliationMemberASHRAE">
    <w:name w:val="03. ASHRAE Affiliation [Member ASHRAE"/>
    <w:aliases w:val="Fellow ASHRAE,etc.]"/>
    <w:basedOn w:val="Normal"/>
    <w:autoRedefine/>
    <w:qFormat/>
    <w:rsid w:val="00E64DB6"/>
    <w:pPr>
      <w:tabs>
        <w:tab w:val="left" w:pos="3960"/>
        <w:tab w:val="left" w:pos="7560"/>
      </w:tabs>
      <w:spacing w:before="60"/>
      <w:ind w:left="0" w:firstLine="0"/>
    </w:pPr>
    <w:rPr>
      <w:rFonts w:ascii="Verdana" w:hAnsi="Verdana"/>
      <w:i/>
      <w:sz w:val="18"/>
      <w:szCs w:val="18"/>
    </w:rPr>
  </w:style>
  <w:style w:type="paragraph" w:customStyle="1" w:styleId="04AbstractHeading">
    <w:name w:val="04. Abstract Heading"/>
    <w:basedOn w:val="Normal"/>
    <w:autoRedefine/>
    <w:qFormat/>
    <w:rsid w:val="007E4265"/>
    <w:pPr>
      <w:tabs>
        <w:tab w:val="left" w:pos="3960"/>
        <w:tab w:val="left" w:pos="7560"/>
      </w:tabs>
      <w:spacing w:before="480" w:after="120"/>
      <w:ind w:left="0" w:firstLine="0"/>
    </w:pPr>
    <w:rPr>
      <w:rFonts w:ascii="Verdana" w:hAnsi="Verdana"/>
      <w:b/>
      <w:caps/>
      <w:sz w:val="20"/>
      <w:szCs w:val="20"/>
    </w:rPr>
  </w:style>
  <w:style w:type="paragraph" w:customStyle="1" w:styleId="05AbstractBodyApplytomaintextofAbstract">
    <w:name w:val="05. Abstract Body [Apply to main text of Abstract]"/>
    <w:basedOn w:val="03ASHRAEAffiliationMemberASHRAE"/>
    <w:autoRedefine/>
    <w:qFormat/>
    <w:rsid w:val="003751A5"/>
    <w:pPr>
      <w:spacing w:line="288" w:lineRule="auto"/>
      <w:jc w:val="both"/>
    </w:pPr>
    <w:rPr>
      <w:rFonts w:ascii="Garamond" w:hAnsi="Garamond"/>
      <w:sz w:val="20"/>
    </w:rPr>
  </w:style>
  <w:style w:type="paragraph" w:customStyle="1" w:styleId="10Level1Heading">
    <w:name w:val="10. Level 1 Heading"/>
    <w:basedOn w:val="BasicParagraph"/>
    <w:autoRedefine/>
    <w:qFormat/>
    <w:rsid w:val="00E64DB6"/>
    <w:pPr>
      <w:spacing w:before="240" w:after="120"/>
    </w:pPr>
    <w:rPr>
      <w:rFonts w:ascii="Verdana" w:hAnsi="Verdana"/>
      <w:b/>
      <w:caps/>
      <w:sz w:val="20"/>
      <w:szCs w:val="20"/>
    </w:rPr>
  </w:style>
  <w:style w:type="paragraph" w:customStyle="1" w:styleId="06BodyMaintext">
    <w:name w:val="06. Body [Main text]"/>
    <w:basedOn w:val="BasicParagraph"/>
    <w:autoRedefine/>
    <w:qFormat/>
    <w:rsid w:val="00D91965"/>
    <w:pPr>
      <w:widowControl w:val="0"/>
      <w:spacing w:line="264" w:lineRule="auto"/>
      <w:ind w:firstLine="448"/>
      <w:jc w:val="both"/>
    </w:pPr>
    <w:rPr>
      <w:rFonts w:ascii="Garamond" w:hAnsi="Garamond"/>
      <w:color w:val="auto"/>
      <w:sz w:val="22"/>
      <w:szCs w:val="20"/>
    </w:rPr>
  </w:style>
  <w:style w:type="paragraph" w:customStyle="1" w:styleId="11Level2Heading">
    <w:name w:val="11. Level 2 Heading"/>
    <w:basedOn w:val="BasicParagraph"/>
    <w:autoRedefine/>
    <w:qFormat/>
    <w:rsid w:val="00E64DB6"/>
    <w:pPr>
      <w:spacing w:before="240" w:after="120"/>
    </w:pPr>
    <w:rPr>
      <w:rFonts w:ascii="Verdana" w:hAnsi="Verdana"/>
      <w:b/>
      <w:sz w:val="20"/>
      <w:szCs w:val="20"/>
    </w:rPr>
  </w:style>
  <w:style w:type="paragraph" w:customStyle="1" w:styleId="13FigureCaption">
    <w:name w:val="13. Figure Caption"/>
    <w:basedOn w:val="Normal"/>
    <w:qFormat/>
    <w:rsid w:val="007E4265"/>
    <w:pPr>
      <w:tabs>
        <w:tab w:val="left" w:pos="1440"/>
        <w:tab w:val="left" w:pos="2790"/>
        <w:tab w:val="left" w:pos="8640"/>
      </w:tabs>
      <w:spacing w:after="840"/>
      <w:ind w:left="1440" w:hanging="990"/>
      <w:jc w:val="both"/>
    </w:pPr>
    <w:rPr>
      <w:rFonts w:ascii="Garamond" w:hAnsi="Garamond"/>
      <w:sz w:val="20"/>
      <w:szCs w:val="20"/>
    </w:rPr>
  </w:style>
  <w:style w:type="paragraph" w:customStyle="1" w:styleId="12FigureFormatSelectafigureandclickonthisstyle">
    <w:name w:val="12. Figure Format [Select a figure and click on this style]"/>
    <w:basedOn w:val="06BodyMaintext"/>
    <w:autoRedefine/>
    <w:qFormat/>
    <w:rsid w:val="00FC48CA"/>
    <w:pPr>
      <w:spacing w:after="240"/>
      <w:jc w:val="center"/>
    </w:pPr>
  </w:style>
  <w:style w:type="paragraph" w:customStyle="1" w:styleId="15TableTitle">
    <w:name w:val="15. Table Title"/>
    <w:basedOn w:val="Normal"/>
    <w:autoRedefine/>
    <w:qFormat/>
    <w:rsid w:val="00B94BEB"/>
    <w:pPr>
      <w:jc w:val="center"/>
    </w:pPr>
    <w:rPr>
      <w:rFonts w:ascii="Verdana" w:hAnsi="Verdana"/>
      <w:b/>
      <w:sz w:val="20"/>
      <w:szCs w:val="20"/>
    </w:rPr>
  </w:style>
  <w:style w:type="paragraph" w:customStyle="1" w:styleId="14TableHeading">
    <w:name w:val="14. Table Heading"/>
    <w:basedOn w:val="Normal"/>
    <w:autoRedefine/>
    <w:qFormat/>
    <w:rsid w:val="00B26CD9"/>
    <w:pPr>
      <w:ind w:left="360"/>
      <w:jc w:val="center"/>
    </w:pPr>
    <w:rPr>
      <w:rFonts w:ascii="Garamond" w:hAnsi="Garamond"/>
      <w:b/>
      <w:sz w:val="20"/>
      <w:szCs w:val="20"/>
    </w:rPr>
  </w:style>
  <w:style w:type="paragraph" w:customStyle="1" w:styleId="16TableText">
    <w:name w:val="16. Table Text"/>
    <w:basedOn w:val="Normal"/>
    <w:qFormat/>
    <w:rsid w:val="00FF24B5"/>
    <w:pPr>
      <w:ind w:left="360"/>
      <w:jc w:val="center"/>
    </w:pPr>
    <w:rPr>
      <w:rFonts w:ascii="Garamond" w:hAnsi="Garamond"/>
      <w:sz w:val="20"/>
      <w:szCs w:val="20"/>
    </w:rPr>
  </w:style>
  <w:style w:type="paragraph" w:customStyle="1" w:styleId="09BodyafterTableApplytomaintextafteratable">
    <w:name w:val="09. Body after Table [Apply to main text after a table]"/>
    <w:basedOn w:val="07BodySpaceAboveApplytomaintextafternumberedlist"/>
    <w:autoRedefine/>
    <w:qFormat/>
    <w:rsid w:val="0081604D"/>
  </w:style>
  <w:style w:type="paragraph" w:customStyle="1" w:styleId="17Nomenclature">
    <w:name w:val="17. Nomenclature"/>
    <w:basedOn w:val="Normal"/>
    <w:qFormat/>
    <w:rsid w:val="00B94BEB"/>
    <w:pPr>
      <w:tabs>
        <w:tab w:val="left" w:pos="720"/>
        <w:tab w:val="left" w:pos="1080"/>
      </w:tabs>
      <w:spacing w:before="60" w:after="60"/>
    </w:pPr>
    <w:rPr>
      <w:rFonts w:ascii="Garamond" w:hAnsi="Garamond"/>
      <w:sz w:val="20"/>
      <w:szCs w:val="20"/>
    </w:rPr>
  </w:style>
  <w:style w:type="paragraph" w:customStyle="1" w:styleId="18References">
    <w:name w:val="18. References"/>
    <w:basedOn w:val="Normal"/>
    <w:qFormat/>
    <w:rsid w:val="00B94BE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jc w:val="both"/>
    </w:pPr>
    <w:rPr>
      <w:rFonts w:ascii="Garamond" w:hAnsi="Garamond" w:cs="Times New Roman PS MT"/>
      <w:color w:val="000000"/>
      <w:sz w:val="21"/>
      <w:szCs w:val="20"/>
    </w:rPr>
  </w:style>
  <w:style w:type="paragraph" w:customStyle="1" w:styleId="08BodySpaceBelowApplytomaintextbeforeanumberedlist">
    <w:name w:val="08. Body Space Below [Apply to main text before a numbered list]"/>
    <w:basedOn w:val="06BodyMaintext"/>
    <w:autoRedefine/>
    <w:qFormat/>
    <w:rsid w:val="00FC48CA"/>
    <w:pPr>
      <w:spacing w:after="240"/>
    </w:pPr>
  </w:style>
  <w:style w:type="paragraph" w:customStyle="1" w:styleId="07BodySpaceAboveApplytomaintextafternumberedlist">
    <w:name w:val="07. Body Space Above [Apply to main text after numbered list]"/>
    <w:basedOn w:val="08BodySpaceBelowApplytomaintextbeforeanumberedlist"/>
    <w:autoRedefine/>
    <w:qFormat/>
    <w:rsid w:val="006A49DB"/>
    <w:pPr>
      <w:spacing w:before="240" w:after="0"/>
    </w:pPr>
    <w:rPr>
      <w:szCs w:val="22"/>
    </w:rPr>
  </w:style>
  <w:style w:type="paragraph" w:styleId="Header">
    <w:name w:val="header"/>
    <w:basedOn w:val="Normal"/>
    <w:link w:val="HeaderChar"/>
    <w:uiPriority w:val="99"/>
    <w:unhideWhenUsed/>
    <w:rsid w:val="007E4265"/>
    <w:pPr>
      <w:tabs>
        <w:tab w:val="center" w:pos="4680"/>
        <w:tab w:val="right" w:pos="9360"/>
      </w:tabs>
    </w:pPr>
    <w:rPr>
      <w:rFonts w:ascii="Verdana" w:hAnsi="Verdana"/>
      <w:sz w:val="20"/>
    </w:rPr>
  </w:style>
  <w:style w:type="character" w:customStyle="1" w:styleId="HeaderChar">
    <w:name w:val="Header Char"/>
    <w:link w:val="Header"/>
    <w:uiPriority w:val="99"/>
    <w:rsid w:val="007E4265"/>
    <w:rPr>
      <w:rFonts w:ascii="Verdana" w:hAnsi="Verdana"/>
      <w:szCs w:val="22"/>
    </w:rPr>
  </w:style>
  <w:style w:type="paragraph" w:styleId="Footer">
    <w:name w:val="footer"/>
    <w:basedOn w:val="Normal"/>
    <w:link w:val="FooterChar"/>
    <w:uiPriority w:val="99"/>
    <w:unhideWhenUsed/>
    <w:rsid w:val="007E4265"/>
    <w:pPr>
      <w:tabs>
        <w:tab w:val="center" w:pos="4680"/>
        <w:tab w:val="right" w:pos="9360"/>
      </w:tabs>
    </w:pPr>
    <w:rPr>
      <w:rFonts w:ascii="Verdana" w:hAnsi="Verdana"/>
      <w:sz w:val="20"/>
    </w:rPr>
  </w:style>
  <w:style w:type="character" w:customStyle="1" w:styleId="FooterChar">
    <w:name w:val="Footer Char"/>
    <w:link w:val="Footer"/>
    <w:uiPriority w:val="99"/>
    <w:rsid w:val="007E4265"/>
    <w:rPr>
      <w:rFonts w:ascii="Verdana" w:hAnsi="Verdana"/>
      <w:szCs w:val="22"/>
    </w:rPr>
  </w:style>
  <w:style w:type="paragraph" w:customStyle="1" w:styleId="20AuthorNoteFirstPageFooter">
    <w:name w:val="20. Author Note (First Page Footer)"/>
    <w:basedOn w:val="Footer"/>
    <w:autoRedefine/>
    <w:qFormat/>
    <w:rsid w:val="003751A5"/>
    <w:pPr>
      <w:tabs>
        <w:tab w:val="left" w:pos="8100"/>
      </w:tabs>
      <w:ind w:left="0" w:firstLine="0"/>
    </w:pPr>
    <w:rPr>
      <w:rFonts w:ascii="Garamond" w:hAnsi="Garamond" w:cs="Arial"/>
      <w:sz w:val="16"/>
      <w:szCs w:val="16"/>
    </w:rPr>
  </w:style>
  <w:style w:type="table" w:customStyle="1" w:styleId="TableFormat">
    <w:name w:val="Table Format"/>
    <w:basedOn w:val="TableNormal"/>
    <w:uiPriority w:val="99"/>
    <w:qFormat/>
    <w:rsid w:val="006C7028"/>
    <w:rPr>
      <w:rFonts w:ascii="Times New Roman PS MT" w:hAnsi="Times New Roman PS MT"/>
    </w:rPr>
    <w:tblPr>
      <w:jc w:val="center"/>
      <w:tblBorders>
        <w:top w:val="single" w:sz="18" w:space="0" w:color="auto"/>
        <w:bottom w:val="single" w:sz="18" w:space="0" w:color="auto"/>
      </w:tblBorders>
    </w:tblPr>
    <w:trPr>
      <w:jc w:val="center"/>
    </w:trPr>
    <w:tcPr>
      <w:vAlign w:val="center"/>
    </w:tcPr>
    <w:tblStylePr w:type="firstRow">
      <w:rPr>
        <w:rFonts w:ascii="Calibri Light" w:hAnsi="Calibri Light"/>
        <w:b/>
        <w:sz w:val="20"/>
      </w:rPr>
      <w:tblPr>
        <w:jc w:val="center"/>
      </w:tblPr>
      <w:trPr>
        <w:jc w:val="center"/>
      </w:trPr>
      <w:tcPr>
        <w:tcBorders>
          <w:top w:val="nil"/>
          <w:bottom w:val="single" w:sz="18" w:space="0" w:color="auto"/>
        </w:tcBorders>
        <w:vAlign w:val="center"/>
      </w:tcPr>
    </w:tblStylePr>
  </w:style>
  <w:style w:type="paragraph" w:styleId="ListParagraph">
    <w:name w:val="List Paragraph"/>
    <w:basedOn w:val="Normal"/>
    <w:uiPriority w:val="34"/>
    <w:rsid w:val="004067C9"/>
    <w:pPr>
      <w:contextualSpacing/>
    </w:pPr>
  </w:style>
  <w:style w:type="character" w:styleId="PlaceholderText">
    <w:name w:val="Placeholder Text"/>
    <w:basedOn w:val="DefaultParagraphFont"/>
    <w:uiPriority w:val="99"/>
    <w:semiHidden/>
    <w:rsid w:val="009253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52155">
      <w:bodyDiv w:val="1"/>
      <w:marLeft w:val="0"/>
      <w:marRight w:val="0"/>
      <w:marTop w:val="0"/>
      <w:marBottom w:val="0"/>
      <w:divBdr>
        <w:top w:val="none" w:sz="0" w:space="0" w:color="auto"/>
        <w:left w:val="none" w:sz="0" w:space="0" w:color="auto"/>
        <w:bottom w:val="none" w:sz="0" w:space="0" w:color="auto"/>
        <w:right w:val="none" w:sz="0" w:space="0" w:color="auto"/>
      </w:divBdr>
    </w:div>
    <w:div w:id="150832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D2E21DBD8F96468B336EC1A1344676" ma:contentTypeVersion="10" ma:contentTypeDescription="Create a new document." ma:contentTypeScope="" ma:versionID="2f2dc2bec7d9b4f93bebf56f780cec32">
  <xsd:schema xmlns:xsd="http://www.w3.org/2001/XMLSchema" xmlns:xs="http://www.w3.org/2001/XMLSchema" xmlns:p="http://schemas.microsoft.com/office/2006/metadata/properties" xmlns:ns3="ecee6795-fb55-4d03-85cb-af6f56f5d1bc" xmlns:ns4="9e8c740a-bf30-4fec-a03b-5dcf545d8eda" targetNamespace="http://schemas.microsoft.com/office/2006/metadata/properties" ma:root="true" ma:fieldsID="1053212f3aaa615ed3ece00556c33c11" ns3:_="" ns4:_="">
    <xsd:import namespace="ecee6795-fb55-4d03-85cb-af6f56f5d1bc"/>
    <xsd:import namespace="9e8c740a-bf30-4fec-a03b-5dcf545d8ed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e6795-fb55-4d03-85cb-af6f56f5d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c740a-bf30-4fec-a03b-5dcf545d8ed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06E530E-999E-40FD-99ED-93D55D93F94E}">
  <ds:schemaRefs>
    <ds:schemaRef ds:uri="http://schemas.microsoft.com/office/2006/metadata/properties"/>
    <ds:schemaRef ds:uri="ecee6795-fb55-4d03-85cb-af6f56f5d1b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e8c740a-bf30-4fec-a03b-5dcf545d8eda"/>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73AC4298-8C08-4A8B-842D-C7876AF88598}">
  <ds:schemaRefs>
    <ds:schemaRef ds:uri="http://schemas.microsoft.com/sharepoint/v3/contenttype/forms"/>
  </ds:schemaRefs>
</ds:datastoreItem>
</file>

<file path=customXml/itemProps3.xml><?xml version="1.0" encoding="utf-8"?>
<ds:datastoreItem xmlns:ds="http://schemas.openxmlformats.org/officeDocument/2006/customXml" ds:itemID="{BCA3AEED-D236-4351-91FD-D1B91F768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e6795-fb55-4d03-85cb-af6f56f5d1bc"/>
    <ds:schemaRef ds:uri="9e8c740a-bf30-4fec-a03b-5dcf545d8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0CA2DC-2BDC-424C-B9B8-42AA402EC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5418</Words>
  <Characters>30886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mwalker</dc:creator>
  <cp:keywords/>
  <dc:description/>
  <cp:lastModifiedBy>Roscoe Papini Lagoeiro, Henrique</cp:lastModifiedBy>
  <cp:revision>2</cp:revision>
  <cp:lastPrinted>2014-12-18T15:47:00Z</cp:lastPrinted>
  <dcterms:created xsi:type="dcterms:W3CDTF">2019-11-27T09:46:00Z</dcterms:created>
  <dcterms:modified xsi:type="dcterms:W3CDTF">2019-11-27T09:46:00Z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0x01010009D2E21DBD8F96468B336EC1A1344676</vt:lpwstr>
  </property>
</Properties>
</file>