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2B1F" w14:textId="77777777" w:rsidR="00C354C4" w:rsidRPr="00586A09" w:rsidRDefault="00C354C4" w:rsidP="00586A09">
      <w:pPr>
        <w:spacing w:line="480" w:lineRule="auto"/>
        <w:rPr>
          <w:bCs/>
          <w:sz w:val="24"/>
          <w:szCs w:val="24"/>
        </w:rPr>
      </w:pPr>
      <w:bookmarkStart w:id="0" w:name="formatting-abstract"/>
      <w:bookmarkStart w:id="1" w:name="_GoBack"/>
      <w:bookmarkEnd w:id="0"/>
      <w:bookmarkEnd w:id="1"/>
      <w:r w:rsidRPr="00586A09">
        <w:rPr>
          <w:b/>
          <w:bCs/>
          <w:sz w:val="24"/>
          <w:szCs w:val="24"/>
        </w:rPr>
        <w:t xml:space="preserve">Title: </w:t>
      </w:r>
      <w:r w:rsidRPr="00586A09">
        <w:rPr>
          <w:bCs/>
          <w:sz w:val="24"/>
          <w:szCs w:val="24"/>
        </w:rPr>
        <w:t>An embedded mixed methods feasibility study evaluating the use of low-intensity, nurse-delivered Cognitive Behavioural Therapy for the treatment of Irritable Bowel Syndrome</w:t>
      </w:r>
    </w:p>
    <w:p w14:paraId="290234E1" w14:textId="77777777" w:rsidR="00C354C4" w:rsidRDefault="00C354C4" w:rsidP="00A80986">
      <w:pPr>
        <w:spacing w:line="240" w:lineRule="auto"/>
        <w:rPr>
          <w:bCs/>
          <w:color w:val="000000" w:themeColor="text1"/>
          <w:sz w:val="24"/>
          <w:szCs w:val="24"/>
        </w:rPr>
      </w:pPr>
      <w:r>
        <w:rPr>
          <w:b/>
          <w:bCs/>
          <w:color w:val="000000" w:themeColor="text1"/>
          <w:sz w:val="24"/>
          <w:szCs w:val="24"/>
        </w:rPr>
        <w:t>Abstract</w:t>
      </w:r>
    </w:p>
    <w:p w14:paraId="54B375CD" w14:textId="77777777" w:rsidR="00C354C4" w:rsidRDefault="00C354C4" w:rsidP="00A86447">
      <w:pPr>
        <w:suppressAutoHyphens/>
        <w:autoSpaceDN w:val="0"/>
        <w:spacing w:line="480" w:lineRule="auto"/>
        <w:textAlignment w:val="baseline"/>
        <w:rPr>
          <w:rFonts w:eastAsia="SimSun" w:cs="Calibri"/>
          <w:color w:val="000000" w:themeColor="text1"/>
          <w:kern w:val="3"/>
          <w:sz w:val="24"/>
          <w:szCs w:val="24"/>
          <w:lang w:eastAsia="en-GB"/>
        </w:rPr>
      </w:pPr>
      <w:r>
        <w:rPr>
          <w:rFonts w:eastAsia="SimSun" w:cs="Calibri"/>
          <w:b/>
          <w:color w:val="000000" w:themeColor="text1"/>
          <w:kern w:val="3"/>
          <w:sz w:val="24"/>
          <w:szCs w:val="24"/>
          <w:lang w:eastAsia="en-GB"/>
        </w:rPr>
        <w:t>Introduction:</w:t>
      </w:r>
      <w:r>
        <w:rPr>
          <w:rFonts w:eastAsia="SimSun" w:cs="Calibri"/>
          <w:color w:val="000000" w:themeColor="text1"/>
          <w:kern w:val="3"/>
          <w:sz w:val="24"/>
          <w:szCs w:val="24"/>
          <w:lang w:eastAsia="en-GB"/>
        </w:rPr>
        <w:t xml:space="preserve"> This study assessed the feasibility of a nurse-delivered cognitive behavioural therapy (CBT) for the treatment of irritable bowel syndrome (IBS).</w:t>
      </w:r>
    </w:p>
    <w:p w14:paraId="03BB200E" w14:textId="77777777" w:rsidR="00C354C4" w:rsidRDefault="00C354C4" w:rsidP="00A86447">
      <w:pPr>
        <w:suppressAutoHyphens/>
        <w:autoSpaceDN w:val="0"/>
        <w:spacing w:line="480" w:lineRule="auto"/>
        <w:textAlignment w:val="baseline"/>
        <w:rPr>
          <w:rFonts w:eastAsia="SimSun" w:cs="Calibri"/>
          <w:color w:val="000000" w:themeColor="text1"/>
          <w:kern w:val="3"/>
          <w:sz w:val="24"/>
          <w:szCs w:val="24"/>
        </w:rPr>
      </w:pPr>
      <w:r>
        <w:rPr>
          <w:rFonts w:eastAsia="SimSun" w:cs="Calibri"/>
          <w:b/>
          <w:color w:val="000000" w:themeColor="text1"/>
          <w:kern w:val="3"/>
          <w:sz w:val="24"/>
          <w:szCs w:val="24"/>
          <w:lang w:eastAsia="en-GB"/>
        </w:rPr>
        <w:t>Methods and analysis</w:t>
      </w:r>
      <w:r>
        <w:rPr>
          <w:rFonts w:eastAsia="SimSun" w:cs="Calibri"/>
          <w:color w:val="000000" w:themeColor="text1"/>
          <w:kern w:val="3"/>
          <w:sz w:val="24"/>
          <w:szCs w:val="24"/>
          <w:lang w:eastAsia="en-GB"/>
        </w:rPr>
        <w:t>: A mixed-method design was used. Twenty participants were randomly allocated to high-intensity CBT (</w:t>
      </w:r>
      <w:r>
        <w:rPr>
          <w:rFonts w:eastAsia="SimSun" w:cs="Calibri"/>
          <w:i/>
          <w:color w:val="000000" w:themeColor="text1"/>
          <w:kern w:val="3"/>
          <w:sz w:val="24"/>
          <w:szCs w:val="24"/>
          <w:lang w:eastAsia="en-GB"/>
        </w:rPr>
        <w:t>n</w:t>
      </w:r>
      <w:r>
        <w:rPr>
          <w:rFonts w:eastAsia="SimSun" w:cs="Calibri"/>
          <w:color w:val="000000" w:themeColor="text1"/>
          <w:kern w:val="3"/>
          <w:sz w:val="24"/>
          <w:szCs w:val="24"/>
          <w:lang w:eastAsia="en-GB"/>
        </w:rPr>
        <w:t>=5), guided self-help (</w:t>
      </w:r>
      <w:r>
        <w:rPr>
          <w:rFonts w:eastAsia="SimSun" w:cs="Calibri"/>
          <w:i/>
          <w:color w:val="000000" w:themeColor="text1"/>
          <w:kern w:val="3"/>
          <w:sz w:val="24"/>
          <w:szCs w:val="24"/>
          <w:lang w:eastAsia="en-GB"/>
        </w:rPr>
        <w:t>n</w:t>
      </w:r>
      <w:r>
        <w:rPr>
          <w:rFonts w:eastAsia="SimSun" w:cs="Calibri"/>
          <w:color w:val="000000" w:themeColor="text1"/>
          <w:kern w:val="3"/>
          <w:sz w:val="24"/>
          <w:szCs w:val="24"/>
          <w:lang w:eastAsia="en-GB"/>
        </w:rPr>
        <w:t>=5), self-help only (</w:t>
      </w:r>
      <w:r>
        <w:rPr>
          <w:rFonts w:eastAsia="SimSun" w:cs="Calibri"/>
          <w:i/>
          <w:color w:val="000000" w:themeColor="text1"/>
          <w:kern w:val="3"/>
          <w:sz w:val="24"/>
          <w:szCs w:val="24"/>
          <w:lang w:eastAsia="en-GB"/>
        </w:rPr>
        <w:t>n</w:t>
      </w:r>
      <w:r>
        <w:rPr>
          <w:rFonts w:eastAsia="SimSun" w:cs="Calibri"/>
          <w:color w:val="000000" w:themeColor="text1"/>
          <w:kern w:val="3"/>
          <w:sz w:val="24"/>
          <w:szCs w:val="24"/>
          <w:lang w:eastAsia="en-GB"/>
        </w:rPr>
        <w:t>=5) or treatment as usual (</w:t>
      </w:r>
      <w:r>
        <w:rPr>
          <w:rFonts w:eastAsia="SimSun" w:cs="Calibri"/>
          <w:i/>
          <w:color w:val="000000" w:themeColor="text1"/>
          <w:kern w:val="3"/>
          <w:sz w:val="24"/>
          <w:szCs w:val="24"/>
          <w:lang w:eastAsia="en-GB"/>
        </w:rPr>
        <w:t>n</w:t>
      </w:r>
      <w:r>
        <w:rPr>
          <w:rFonts w:eastAsia="SimSun" w:cs="Calibri"/>
          <w:color w:val="000000" w:themeColor="text1"/>
          <w:kern w:val="3"/>
          <w:sz w:val="24"/>
          <w:szCs w:val="24"/>
          <w:lang w:eastAsia="en-GB"/>
        </w:rPr>
        <w:t>=5). Ten intervention participants completed semi-structured interviews. Quantitative data were analysed using descriptive statistics; qualitative data were analysed using group thematic analysis.</w:t>
      </w:r>
    </w:p>
    <w:p w14:paraId="3CC95FC0" w14:textId="77777777" w:rsidR="00C354C4" w:rsidRDefault="00C354C4" w:rsidP="00A86447">
      <w:pPr>
        <w:spacing w:after="0" w:line="480" w:lineRule="auto"/>
        <w:rPr>
          <w:rFonts w:eastAsia="Calibri" w:cs="Times New Roman"/>
          <w:sz w:val="24"/>
          <w:szCs w:val="24"/>
        </w:rPr>
      </w:pPr>
      <w:r>
        <w:rPr>
          <w:rFonts w:eastAsia="Calibri" w:cs="Calibri"/>
          <w:b/>
          <w:color w:val="000000" w:themeColor="text1"/>
          <w:sz w:val="24"/>
          <w:szCs w:val="24"/>
        </w:rPr>
        <w:t>Results:</w:t>
      </w:r>
      <w:r>
        <w:rPr>
          <w:rFonts w:eastAsia="Calibri" w:cs="Calibri"/>
          <w:color w:val="000000" w:themeColor="text1"/>
          <w:sz w:val="24"/>
          <w:szCs w:val="24"/>
        </w:rPr>
        <w:t xml:space="preserve"> </w:t>
      </w:r>
      <w:r>
        <w:rPr>
          <w:rFonts w:eastAsia="Calibri" w:cs="Times New Roman"/>
          <w:sz w:val="24"/>
          <w:szCs w:val="24"/>
        </w:rPr>
        <w:t>Barriers to the interventions used were negative preconceptions about treatment, factors relating to supporting materials and stigma. Treatment facilitators included therapist-facilitated relaxation, narratives located within self-help materials and social support mechanisms.</w:t>
      </w:r>
    </w:p>
    <w:p w14:paraId="146B181A" w14:textId="77777777" w:rsidR="00C354C4" w:rsidRDefault="00C354C4" w:rsidP="00A86447">
      <w:pPr>
        <w:spacing w:after="0" w:line="480" w:lineRule="auto"/>
        <w:rPr>
          <w:rFonts w:eastAsia="Calibri" w:cs="Times New Roman"/>
          <w:sz w:val="6"/>
          <w:szCs w:val="24"/>
        </w:rPr>
      </w:pPr>
    </w:p>
    <w:p w14:paraId="6B885EA1" w14:textId="77777777" w:rsidR="00C354C4" w:rsidRPr="000F76C6" w:rsidRDefault="00C354C4" w:rsidP="00A86447">
      <w:pPr>
        <w:suppressAutoHyphens/>
        <w:autoSpaceDN w:val="0"/>
        <w:spacing w:line="480" w:lineRule="auto"/>
        <w:textAlignment w:val="baseline"/>
        <w:rPr>
          <w:rFonts w:eastAsia="SimSun" w:cs="Calibri"/>
          <w:b/>
          <w:color w:val="000000" w:themeColor="text1"/>
          <w:kern w:val="3"/>
          <w:sz w:val="24"/>
          <w:szCs w:val="24"/>
          <w:lang w:eastAsia="en-GB"/>
        </w:rPr>
      </w:pPr>
      <w:r>
        <w:rPr>
          <w:rFonts w:eastAsia="Calibri" w:cs="Calibri"/>
          <w:b/>
          <w:color w:val="000000" w:themeColor="text1"/>
          <w:sz w:val="24"/>
          <w:szCs w:val="24"/>
        </w:rPr>
        <w:t xml:space="preserve">Conclusion: </w:t>
      </w:r>
      <w:r>
        <w:rPr>
          <w:rFonts w:eastAsia="Calibri" w:cs="Calibri"/>
          <w:color w:val="000000" w:themeColor="text1"/>
          <w:sz w:val="24"/>
          <w:szCs w:val="24"/>
        </w:rPr>
        <w:t>Further development of the low-intensity interventions in collaboration with service users is required to improve intervention acceptability and relevance.</w:t>
      </w:r>
    </w:p>
    <w:p w14:paraId="69A347BD" w14:textId="77777777" w:rsidR="00C354C4" w:rsidRPr="00586A09" w:rsidRDefault="00C354C4" w:rsidP="00586A09">
      <w:pPr>
        <w:spacing w:line="480" w:lineRule="auto"/>
        <w:rPr>
          <w:b/>
          <w:bCs/>
          <w:sz w:val="24"/>
          <w:szCs w:val="24"/>
        </w:rPr>
      </w:pPr>
    </w:p>
    <w:p w14:paraId="3804043D" w14:textId="77777777" w:rsidR="00C354C4" w:rsidRPr="00586A09" w:rsidRDefault="00C354C4" w:rsidP="00586A09">
      <w:pPr>
        <w:pStyle w:val="Heading1"/>
        <w:spacing w:line="480" w:lineRule="auto"/>
        <w:rPr>
          <w:sz w:val="24"/>
          <w:szCs w:val="24"/>
        </w:rPr>
      </w:pPr>
      <w:bookmarkStart w:id="2" w:name="_Toc476381593"/>
      <w:r w:rsidRPr="00586A09">
        <w:rPr>
          <w:sz w:val="24"/>
          <w:szCs w:val="24"/>
        </w:rPr>
        <w:lastRenderedPageBreak/>
        <w:t>Introduction</w:t>
      </w:r>
      <w:bookmarkEnd w:id="2"/>
    </w:p>
    <w:p w14:paraId="0D236531" w14:textId="77777777" w:rsidR="00C354C4" w:rsidRDefault="00C354C4" w:rsidP="00586A09">
      <w:pPr>
        <w:spacing w:line="480" w:lineRule="auto"/>
        <w:rPr>
          <w:color w:val="000000" w:themeColor="text1"/>
          <w:sz w:val="24"/>
          <w:szCs w:val="24"/>
        </w:rPr>
      </w:pPr>
      <w:r w:rsidRPr="00586A09">
        <w:rPr>
          <w:color w:val="000000" w:themeColor="text1"/>
          <w:sz w:val="24"/>
          <w:szCs w:val="24"/>
        </w:rPr>
        <w:t xml:space="preserve">Irritable Bowel Syndrome (IBS) is a functional gastrointestinal disorder characterised by symptoms such as altered bowel habit, bloating and abdominal pain </w:t>
      </w:r>
      <w:r>
        <w:rPr>
          <w:noProof/>
          <w:color w:val="000000" w:themeColor="text1"/>
          <w:sz w:val="24"/>
          <w:szCs w:val="24"/>
        </w:rPr>
        <w:t>(Lacy et al., 2016)</w:t>
      </w:r>
      <w:r w:rsidRPr="00586A09">
        <w:rPr>
          <w:color w:val="000000" w:themeColor="text1"/>
          <w:sz w:val="24"/>
          <w:szCs w:val="24"/>
        </w:rPr>
        <w:t xml:space="preserve">. People with IBS may be troubled by concerns relating to the cause and the effects of their condition </w:t>
      </w:r>
      <w:r>
        <w:rPr>
          <w:noProof/>
          <w:color w:val="000000" w:themeColor="text1"/>
          <w:sz w:val="24"/>
          <w:szCs w:val="24"/>
        </w:rPr>
        <w:t>(North et al., 2007)</w:t>
      </w:r>
      <w:r w:rsidRPr="00586A09">
        <w:rPr>
          <w:color w:val="000000" w:themeColor="text1"/>
          <w:sz w:val="24"/>
          <w:szCs w:val="24"/>
        </w:rPr>
        <w:t xml:space="preserve">, report a poor quality of life and often experience work-related absenteeism </w:t>
      </w:r>
      <w:r>
        <w:rPr>
          <w:noProof/>
          <w:color w:val="000000" w:themeColor="text1"/>
          <w:sz w:val="24"/>
          <w:szCs w:val="24"/>
        </w:rPr>
        <w:t>(Halder et al., 2004)</w:t>
      </w:r>
      <w:r w:rsidRPr="00586A09">
        <w:rPr>
          <w:color w:val="000000" w:themeColor="text1"/>
          <w:sz w:val="24"/>
          <w:szCs w:val="24"/>
        </w:rPr>
        <w:t xml:space="preserve">. Moreover, IBS places a significant strain on healthcare resources </w:t>
      </w:r>
      <w:r>
        <w:rPr>
          <w:noProof/>
          <w:color w:val="000000" w:themeColor="text1"/>
          <w:sz w:val="24"/>
          <w:szCs w:val="24"/>
        </w:rPr>
        <w:t>(Canavan et al., 2014 , Longstreth et al., 2003)</w:t>
      </w:r>
      <w:r w:rsidRPr="00586A09">
        <w:rPr>
          <w:color w:val="000000" w:themeColor="text1"/>
          <w:sz w:val="24"/>
          <w:szCs w:val="24"/>
        </w:rPr>
        <w:t xml:space="preserve">. Psychosocial factors and stress are associated with the onset of the disorder and related to the severity and prognosis of IBS symptoms </w:t>
      </w:r>
      <w:r>
        <w:rPr>
          <w:noProof/>
          <w:color w:val="000000" w:themeColor="text1"/>
          <w:sz w:val="24"/>
          <w:szCs w:val="24"/>
        </w:rPr>
        <w:t>(Gwee et al., 1996)</w:t>
      </w:r>
      <w:r w:rsidRPr="00586A09">
        <w:rPr>
          <w:color w:val="000000" w:themeColor="text1"/>
          <w:sz w:val="24"/>
          <w:szCs w:val="24"/>
        </w:rPr>
        <w:t xml:space="preserve">. </w:t>
      </w:r>
    </w:p>
    <w:p w14:paraId="21EDB1CA" w14:textId="77777777" w:rsidR="00C354C4" w:rsidRPr="00586A09" w:rsidRDefault="00C354C4" w:rsidP="00586A09">
      <w:pPr>
        <w:spacing w:line="480" w:lineRule="auto"/>
        <w:rPr>
          <w:b/>
          <w:bCs/>
          <w:color w:val="000000" w:themeColor="text1"/>
          <w:sz w:val="24"/>
          <w:szCs w:val="24"/>
        </w:rPr>
      </w:pPr>
      <w:r w:rsidRPr="00586A09">
        <w:rPr>
          <w:color w:val="000000" w:themeColor="text1"/>
          <w:sz w:val="24"/>
          <w:szCs w:val="24"/>
        </w:rPr>
        <w:t>CBT is particularly useful for addressing negative thought patterns</w:t>
      </w:r>
      <w:r>
        <w:rPr>
          <w:noProof/>
          <w:color w:val="000000" w:themeColor="text1"/>
          <w:sz w:val="24"/>
          <w:szCs w:val="24"/>
        </w:rPr>
        <w:t>(North et al., 2007)</w:t>
      </w:r>
      <w:r w:rsidRPr="00586A09">
        <w:rPr>
          <w:color w:val="000000" w:themeColor="text1"/>
          <w:sz w:val="24"/>
          <w:szCs w:val="24"/>
        </w:rPr>
        <w:t xml:space="preserve">, catastrophizing cognitions and avoidant behaviours </w:t>
      </w:r>
      <w:r>
        <w:rPr>
          <w:noProof/>
          <w:color w:val="000000" w:themeColor="text1"/>
          <w:sz w:val="24"/>
          <w:szCs w:val="24"/>
        </w:rPr>
        <w:t>(Hunt et al., 2009)</w:t>
      </w:r>
      <w:r w:rsidRPr="00586A09">
        <w:rPr>
          <w:color w:val="000000" w:themeColor="text1"/>
          <w:sz w:val="24"/>
          <w:szCs w:val="24"/>
        </w:rPr>
        <w:t xml:space="preserve">, and is well supported empirically for IBS </w:t>
      </w:r>
      <w:r>
        <w:rPr>
          <w:noProof/>
          <w:color w:val="000000" w:themeColor="text1"/>
          <w:sz w:val="24"/>
          <w:szCs w:val="24"/>
        </w:rPr>
        <w:t>(Craske et al., 2011 , Drossman et al., 2003 , Kennedy et al., 2005)</w:t>
      </w:r>
      <w:r w:rsidRPr="00586A09">
        <w:rPr>
          <w:color w:val="000000" w:themeColor="text1"/>
          <w:sz w:val="24"/>
          <w:szCs w:val="24"/>
        </w:rPr>
        <w:t xml:space="preserve">. A systematic review identified issues regarding the methodological quality and power of related studies </w:t>
      </w:r>
      <w:r>
        <w:rPr>
          <w:noProof/>
          <w:color w:val="000000" w:themeColor="text1"/>
          <w:sz w:val="24"/>
          <w:szCs w:val="24"/>
        </w:rPr>
        <w:t>(Zijdenbos et al., 2009)</w:t>
      </w:r>
      <w:r w:rsidRPr="00586A09">
        <w:rPr>
          <w:color w:val="000000" w:themeColor="text1"/>
          <w:sz w:val="24"/>
          <w:szCs w:val="24"/>
        </w:rPr>
        <w:t>. The provision of CBT interventions for patients with functional gastrointestinal disorders is lacking in many health care systems and, in the context of our own practice, NHS patients within the UK have no routine access to CBT interventions for the treatment of IBS.</w:t>
      </w:r>
      <w:r>
        <w:rPr>
          <w:color w:val="000000" w:themeColor="text1"/>
          <w:sz w:val="24"/>
          <w:szCs w:val="24"/>
        </w:rPr>
        <w:t xml:space="preserve"> </w:t>
      </w:r>
      <w:r w:rsidRPr="007F3C1E">
        <w:rPr>
          <w:color w:val="000000" w:themeColor="text1"/>
          <w:sz w:val="24"/>
          <w:szCs w:val="24"/>
        </w:rPr>
        <w:t xml:space="preserve">The National Institute for Health and Clinical Excellence (NICE), currently </w:t>
      </w:r>
      <w:r w:rsidRPr="007F3C1E">
        <w:rPr>
          <w:color w:val="000000" w:themeColor="text1"/>
          <w:sz w:val="24"/>
          <w:szCs w:val="24"/>
        </w:rPr>
        <w:lastRenderedPageBreak/>
        <w:t xml:space="preserve">recommend referral for psychological therapy for people with IBS who fail to respond to the medical management of IBS </w:t>
      </w:r>
      <w:r w:rsidRPr="007F3C1E">
        <w:rPr>
          <w:noProof/>
          <w:color w:val="000000" w:themeColor="text1"/>
          <w:sz w:val="24"/>
          <w:szCs w:val="24"/>
        </w:rPr>
        <w:t>(NICE, 2017)</w:t>
      </w:r>
      <w:r w:rsidRPr="007F3C1E">
        <w:rPr>
          <w:color w:val="000000" w:themeColor="text1"/>
          <w:sz w:val="24"/>
          <w:szCs w:val="24"/>
        </w:rPr>
        <w:t>.</w:t>
      </w:r>
    </w:p>
    <w:p w14:paraId="36CA5392" w14:textId="77777777" w:rsidR="00C354C4" w:rsidRDefault="00C354C4" w:rsidP="007F3C1E">
      <w:pPr>
        <w:pStyle w:val="Standard1"/>
        <w:spacing w:after="0" w:line="480" w:lineRule="auto"/>
        <w:rPr>
          <w:rFonts w:ascii="Verdana" w:hAnsi="Verdana"/>
          <w:color w:val="000000" w:themeColor="text1"/>
          <w:sz w:val="24"/>
          <w:szCs w:val="24"/>
        </w:rPr>
      </w:pPr>
      <w:r w:rsidRPr="00586A09">
        <w:rPr>
          <w:rFonts w:ascii="Verdana" w:hAnsi="Verdana"/>
          <w:color w:val="000000" w:themeColor="text1"/>
          <w:sz w:val="24"/>
          <w:szCs w:val="24"/>
        </w:rPr>
        <w:t xml:space="preserve">Few studies have evaluated psychological interventions which address concerns regarding treatment provision and intervention accessibility </w:t>
      </w:r>
      <w:r>
        <w:rPr>
          <w:rFonts w:ascii="Verdana" w:hAnsi="Verdana"/>
          <w:noProof/>
          <w:color w:val="000000" w:themeColor="text1"/>
          <w:sz w:val="24"/>
          <w:szCs w:val="24"/>
        </w:rPr>
        <w:t>(Lackner et al., 2008)</w:t>
      </w:r>
      <w:r w:rsidRPr="00586A09">
        <w:rPr>
          <w:rFonts w:ascii="Verdana" w:hAnsi="Verdana"/>
          <w:color w:val="000000" w:themeColor="text1"/>
          <w:sz w:val="24"/>
          <w:szCs w:val="24"/>
        </w:rPr>
        <w:t xml:space="preserve">. This randomised controlled trial reports on aspects of the feasibility and acceptability of a nurse-delivered, low-intensity (LI) CBT, guided self-help intervention for the treatment of IBS compared to high-intensity (HI) </w:t>
      </w:r>
      <w:r>
        <w:rPr>
          <w:rFonts w:ascii="Verdana" w:hAnsi="Verdana"/>
          <w:color w:val="000000" w:themeColor="text1"/>
          <w:sz w:val="24"/>
          <w:szCs w:val="24"/>
        </w:rPr>
        <w:t xml:space="preserve">CBT treatment, </w:t>
      </w:r>
      <w:r w:rsidRPr="00586A09">
        <w:rPr>
          <w:rFonts w:ascii="Verdana" w:hAnsi="Verdana"/>
          <w:color w:val="000000" w:themeColor="text1"/>
          <w:sz w:val="24"/>
          <w:szCs w:val="24"/>
        </w:rPr>
        <w:t xml:space="preserve">self-help </w:t>
      </w:r>
      <w:r>
        <w:rPr>
          <w:rFonts w:ascii="Verdana" w:hAnsi="Verdana"/>
          <w:color w:val="000000" w:themeColor="text1"/>
          <w:sz w:val="24"/>
          <w:szCs w:val="24"/>
        </w:rPr>
        <w:t xml:space="preserve">(SH) </w:t>
      </w:r>
      <w:r w:rsidRPr="00586A09">
        <w:rPr>
          <w:rFonts w:ascii="Verdana" w:hAnsi="Verdana"/>
          <w:color w:val="000000" w:themeColor="text1"/>
          <w:sz w:val="24"/>
          <w:szCs w:val="24"/>
        </w:rPr>
        <w:t>without therapist support and a treatment as usual control condition. For IBS patients attending secondary care gastrointestinal clinics, it was envisaged that such an LI-CBT intervention might provide many of the benefits, but be more accessible to participants and more feasible to implement compared to HI-CBT interventions.</w:t>
      </w:r>
    </w:p>
    <w:p w14:paraId="0AF4E2EE" w14:textId="77777777" w:rsidR="007F3C1E" w:rsidRDefault="007F3C1E" w:rsidP="007F3C1E">
      <w:pPr>
        <w:pStyle w:val="Standard1"/>
        <w:spacing w:after="0" w:line="480" w:lineRule="auto"/>
        <w:rPr>
          <w:rFonts w:ascii="Verdana" w:hAnsi="Verdana"/>
          <w:color w:val="000000" w:themeColor="text1"/>
          <w:sz w:val="24"/>
          <w:szCs w:val="24"/>
        </w:rPr>
      </w:pPr>
    </w:p>
    <w:p w14:paraId="6FB28499" w14:textId="77777777" w:rsidR="007F3C1E" w:rsidRDefault="007F3C1E" w:rsidP="007F3C1E">
      <w:pPr>
        <w:pStyle w:val="Standard1"/>
        <w:spacing w:after="0" w:line="480" w:lineRule="auto"/>
        <w:rPr>
          <w:rFonts w:ascii="Verdana" w:hAnsi="Verdana"/>
          <w:color w:val="000000" w:themeColor="text1"/>
          <w:sz w:val="24"/>
          <w:szCs w:val="24"/>
        </w:rPr>
      </w:pPr>
    </w:p>
    <w:p w14:paraId="2E95CE01" w14:textId="77777777" w:rsidR="007F3C1E" w:rsidRDefault="007F3C1E" w:rsidP="007F3C1E">
      <w:pPr>
        <w:pStyle w:val="Standard1"/>
        <w:spacing w:after="0" w:line="480" w:lineRule="auto"/>
        <w:rPr>
          <w:rFonts w:ascii="Verdana" w:hAnsi="Verdana"/>
          <w:color w:val="000000" w:themeColor="text1"/>
          <w:sz w:val="24"/>
          <w:szCs w:val="24"/>
        </w:rPr>
      </w:pPr>
    </w:p>
    <w:p w14:paraId="440CCFE9" w14:textId="77777777" w:rsidR="007F3C1E" w:rsidRDefault="007F3C1E" w:rsidP="007F3C1E">
      <w:pPr>
        <w:pStyle w:val="Standard1"/>
        <w:spacing w:after="0" w:line="480" w:lineRule="auto"/>
        <w:rPr>
          <w:rFonts w:ascii="Verdana" w:hAnsi="Verdana"/>
          <w:color w:val="000000" w:themeColor="text1"/>
          <w:sz w:val="24"/>
          <w:szCs w:val="24"/>
        </w:rPr>
      </w:pPr>
    </w:p>
    <w:p w14:paraId="3A90E56D" w14:textId="77777777" w:rsidR="007F3C1E" w:rsidRDefault="007F3C1E" w:rsidP="007F3C1E">
      <w:pPr>
        <w:pStyle w:val="Standard1"/>
        <w:spacing w:after="0" w:line="480" w:lineRule="auto"/>
        <w:rPr>
          <w:rFonts w:ascii="Verdana" w:hAnsi="Verdana"/>
          <w:color w:val="000000" w:themeColor="text1"/>
          <w:sz w:val="24"/>
          <w:szCs w:val="24"/>
        </w:rPr>
      </w:pPr>
    </w:p>
    <w:p w14:paraId="63BE60E2" w14:textId="77777777" w:rsidR="007F3C1E" w:rsidRPr="00586A09" w:rsidRDefault="007F3C1E" w:rsidP="007F3C1E">
      <w:pPr>
        <w:pStyle w:val="Standard1"/>
        <w:spacing w:after="0" w:line="480" w:lineRule="auto"/>
        <w:rPr>
          <w:rFonts w:ascii="Verdana" w:hAnsi="Verdana"/>
          <w:color w:val="000000" w:themeColor="text1"/>
          <w:sz w:val="24"/>
          <w:szCs w:val="24"/>
        </w:rPr>
      </w:pPr>
    </w:p>
    <w:p w14:paraId="1997B996" w14:textId="77777777" w:rsidR="00C354C4" w:rsidRPr="00586A09" w:rsidRDefault="00C354C4" w:rsidP="00586A09">
      <w:pPr>
        <w:pStyle w:val="Heading1"/>
        <w:spacing w:line="480" w:lineRule="auto"/>
        <w:rPr>
          <w:color w:val="auto"/>
          <w:sz w:val="24"/>
          <w:szCs w:val="24"/>
          <w:lang w:eastAsia="en-GB"/>
        </w:rPr>
      </w:pPr>
      <w:bookmarkStart w:id="3" w:name="_Toc476381594"/>
      <w:r w:rsidRPr="00586A09">
        <w:rPr>
          <w:sz w:val="24"/>
          <w:szCs w:val="24"/>
          <w:lang w:eastAsia="en-GB"/>
        </w:rPr>
        <w:lastRenderedPageBreak/>
        <w:t>Methods</w:t>
      </w:r>
      <w:bookmarkEnd w:id="3"/>
      <w:r w:rsidRPr="00586A09">
        <w:rPr>
          <w:sz w:val="24"/>
          <w:szCs w:val="24"/>
          <w:lang w:eastAsia="en-GB"/>
        </w:rPr>
        <w:t xml:space="preserve"> </w:t>
      </w:r>
    </w:p>
    <w:p w14:paraId="6CB77027" w14:textId="77777777" w:rsidR="00C354C4" w:rsidRPr="00586A09" w:rsidRDefault="00C354C4" w:rsidP="00586A09">
      <w:pPr>
        <w:pStyle w:val="Heading2"/>
        <w:spacing w:line="480" w:lineRule="auto"/>
        <w:rPr>
          <w:sz w:val="24"/>
          <w:szCs w:val="24"/>
          <w:lang w:eastAsia="en-GB"/>
        </w:rPr>
      </w:pPr>
      <w:bookmarkStart w:id="4" w:name="_Toc476381595"/>
      <w:r w:rsidRPr="00586A09">
        <w:rPr>
          <w:sz w:val="24"/>
          <w:szCs w:val="24"/>
          <w:lang w:eastAsia="en-GB"/>
        </w:rPr>
        <w:t>Study aim</w:t>
      </w:r>
      <w:bookmarkEnd w:id="4"/>
    </w:p>
    <w:p w14:paraId="54567F01" w14:textId="77777777" w:rsidR="00C354C4" w:rsidRPr="00586A09" w:rsidRDefault="00C354C4" w:rsidP="00586A09">
      <w:pPr>
        <w:pStyle w:val="Standard"/>
        <w:spacing w:after="0" w:line="480" w:lineRule="auto"/>
        <w:rPr>
          <w:rFonts w:ascii="Verdana" w:eastAsia="Times New Roman" w:hAnsi="Verdana" w:cs="Arial"/>
          <w:color w:val="000000" w:themeColor="text1"/>
          <w:sz w:val="24"/>
          <w:szCs w:val="24"/>
          <w:lang w:eastAsia="en-GB"/>
        </w:rPr>
      </w:pPr>
      <w:r w:rsidRPr="00586A09">
        <w:rPr>
          <w:rFonts w:ascii="Verdana" w:eastAsia="Times New Roman" w:hAnsi="Verdana" w:cs="Arial"/>
          <w:color w:val="000000" w:themeColor="text1"/>
          <w:sz w:val="24"/>
          <w:szCs w:val="24"/>
          <w:lang w:eastAsia="en-GB"/>
        </w:rPr>
        <w:t>To investigate the feasibility and acceptability of LI-CBT interventions for participants with IBS within secondary care gastrointestinal clinics</w:t>
      </w:r>
    </w:p>
    <w:p w14:paraId="15532681" w14:textId="77777777" w:rsidR="00C354C4" w:rsidRPr="00586A09" w:rsidRDefault="00C354C4" w:rsidP="00586A09">
      <w:pPr>
        <w:pStyle w:val="Heading2"/>
        <w:spacing w:line="480" w:lineRule="auto"/>
        <w:rPr>
          <w:rFonts w:eastAsia="Times New Roman"/>
          <w:sz w:val="24"/>
          <w:szCs w:val="24"/>
          <w:lang w:eastAsia="en-GB"/>
        </w:rPr>
      </w:pPr>
      <w:bookmarkStart w:id="5" w:name="_Toc370475041"/>
      <w:bookmarkStart w:id="6" w:name="_Toc476381596"/>
      <w:r w:rsidRPr="00586A09">
        <w:rPr>
          <w:rFonts w:eastAsia="Times New Roman"/>
          <w:sz w:val="24"/>
          <w:szCs w:val="24"/>
          <w:lang w:eastAsia="en-GB"/>
        </w:rPr>
        <w:t>Study objectives</w:t>
      </w:r>
      <w:bookmarkEnd w:id="5"/>
      <w:bookmarkEnd w:id="6"/>
    </w:p>
    <w:p w14:paraId="31F8CDE0" w14:textId="77777777" w:rsidR="00C354C4" w:rsidRPr="00586A09" w:rsidRDefault="00C354C4" w:rsidP="00C354C4">
      <w:pPr>
        <w:pStyle w:val="Standard"/>
        <w:numPr>
          <w:ilvl w:val="0"/>
          <w:numId w:val="5"/>
        </w:numPr>
        <w:spacing w:after="0" w:line="480" w:lineRule="auto"/>
        <w:rPr>
          <w:rFonts w:ascii="Verdana" w:eastAsia="Times New Roman" w:hAnsi="Verdana" w:cs="Arial"/>
          <w:color w:val="000000" w:themeColor="text1"/>
          <w:sz w:val="24"/>
          <w:szCs w:val="24"/>
          <w:lang w:eastAsia="en-GB"/>
        </w:rPr>
      </w:pPr>
      <w:r w:rsidRPr="00586A09">
        <w:rPr>
          <w:rFonts w:ascii="Verdana" w:eastAsia="Times New Roman" w:hAnsi="Verdana" w:cs="Arial"/>
          <w:color w:val="000000" w:themeColor="text1"/>
          <w:sz w:val="24"/>
          <w:szCs w:val="24"/>
          <w:lang w:eastAsia="en-GB"/>
        </w:rPr>
        <w:t>To develop a tailored nurse-delivered LI-CBT treatment protocol</w:t>
      </w:r>
    </w:p>
    <w:p w14:paraId="30FEC7E4" w14:textId="77777777" w:rsidR="00C354C4" w:rsidRPr="00586A09" w:rsidRDefault="00C354C4" w:rsidP="00C354C4">
      <w:pPr>
        <w:pStyle w:val="Standard"/>
        <w:numPr>
          <w:ilvl w:val="0"/>
          <w:numId w:val="5"/>
        </w:numPr>
        <w:spacing w:after="0" w:line="480" w:lineRule="auto"/>
        <w:rPr>
          <w:rFonts w:ascii="Verdana" w:eastAsia="Times New Roman" w:hAnsi="Verdana" w:cs="Arial"/>
          <w:color w:val="000000" w:themeColor="text1"/>
          <w:sz w:val="24"/>
          <w:szCs w:val="24"/>
          <w:lang w:eastAsia="en-GB"/>
        </w:rPr>
      </w:pPr>
      <w:r w:rsidRPr="00586A09">
        <w:rPr>
          <w:rFonts w:ascii="Verdana" w:eastAsia="Times New Roman" w:hAnsi="Verdana" w:cs="Arial"/>
          <w:color w:val="000000" w:themeColor="text1"/>
          <w:sz w:val="24"/>
          <w:szCs w:val="24"/>
          <w:lang w:eastAsia="en-GB"/>
        </w:rPr>
        <w:t>To examine the number of participants needed to screen in relation to the numbers successfully randomised into the study</w:t>
      </w:r>
    </w:p>
    <w:p w14:paraId="3947548A" w14:textId="77777777" w:rsidR="00C354C4" w:rsidRPr="00586A09" w:rsidRDefault="00C354C4" w:rsidP="00C354C4">
      <w:pPr>
        <w:pStyle w:val="Standard"/>
        <w:numPr>
          <w:ilvl w:val="0"/>
          <w:numId w:val="5"/>
        </w:numPr>
        <w:spacing w:after="0" w:line="480" w:lineRule="auto"/>
        <w:rPr>
          <w:rFonts w:ascii="Verdana" w:eastAsia="Times New Roman" w:hAnsi="Verdana" w:cs="Arial"/>
          <w:color w:val="000000" w:themeColor="text1"/>
          <w:sz w:val="24"/>
          <w:szCs w:val="24"/>
          <w:lang w:eastAsia="en-GB"/>
        </w:rPr>
      </w:pPr>
      <w:r w:rsidRPr="00586A09">
        <w:rPr>
          <w:rFonts w:ascii="Verdana" w:eastAsia="Times New Roman" w:hAnsi="Verdana" w:cs="Arial"/>
          <w:color w:val="000000" w:themeColor="text1"/>
          <w:sz w:val="24"/>
          <w:szCs w:val="24"/>
          <w:lang w:eastAsia="en-GB"/>
        </w:rPr>
        <w:t>To gather reasons why participants may not take part in the trialled interventions</w:t>
      </w:r>
    </w:p>
    <w:p w14:paraId="0082FC64" w14:textId="77777777" w:rsidR="00C354C4" w:rsidRPr="00586A09" w:rsidRDefault="00C354C4" w:rsidP="00C354C4">
      <w:pPr>
        <w:pStyle w:val="Standard"/>
        <w:numPr>
          <w:ilvl w:val="0"/>
          <w:numId w:val="5"/>
        </w:numPr>
        <w:spacing w:after="0" w:line="480" w:lineRule="auto"/>
        <w:rPr>
          <w:rFonts w:ascii="Verdana" w:eastAsia="Times New Roman" w:hAnsi="Verdana" w:cs="Arial"/>
          <w:color w:val="000000" w:themeColor="text1"/>
          <w:sz w:val="24"/>
          <w:szCs w:val="24"/>
          <w:lang w:eastAsia="en-GB"/>
        </w:rPr>
      </w:pPr>
      <w:r w:rsidRPr="00586A09">
        <w:rPr>
          <w:rFonts w:ascii="Verdana" w:eastAsia="Times New Roman" w:hAnsi="Verdana" w:cs="Arial"/>
          <w:color w:val="000000" w:themeColor="text1"/>
          <w:sz w:val="24"/>
          <w:szCs w:val="24"/>
          <w:lang w:eastAsia="en-GB"/>
        </w:rPr>
        <w:t>To explore the experience of participants undergoing treatment conditions</w:t>
      </w:r>
    </w:p>
    <w:p w14:paraId="3C193C07" w14:textId="77777777" w:rsidR="00C354C4" w:rsidRPr="00586A09" w:rsidRDefault="00C354C4" w:rsidP="00C354C4">
      <w:pPr>
        <w:pStyle w:val="Standard"/>
        <w:numPr>
          <w:ilvl w:val="0"/>
          <w:numId w:val="5"/>
        </w:numPr>
        <w:spacing w:after="0" w:line="480" w:lineRule="auto"/>
        <w:rPr>
          <w:rFonts w:ascii="Verdana" w:eastAsia="Times New Roman" w:hAnsi="Verdana" w:cs="Arial"/>
          <w:color w:val="000000" w:themeColor="text1"/>
          <w:sz w:val="24"/>
          <w:szCs w:val="24"/>
          <w:lang w:eastAsia="en-GB"/>
        </w:rPr>
      </w:pPr>
      <w:r w:rsidRPr="00586A09">
        <w:rPr>
          <w:rFonts w:ascii="Verdana" w:eastAsia="Times New Roman" w:hAnsi="Verdana" w:cs="Arial"/>
          <w:color w:val="000000" w:themeColor="text1"/>
          <w:sz w:val="24"/>
          <w:szCs w:val="24"/>
          <w:lang w:eastAsia="en-GB"/>
        </w:rPr>
        <w:t>To identify barriers and facilitators to the implementation of the trial interventions</w:t>
      </w:r>
    </w:p>
    <w:p w14:paraId="2F20BF1F" w14:textId="77777777" w:rsidR="00C354C4" w:rsidRPr="00586A09" w:rsidRDefault="00C354C4" w:rsidP="00586A09">
      <w:pPr>
        <w:pStyle w:val="Heading2"/>
        <w:spacing w:line="480" w:lineRule="auto"/>
        <w:rPr>
          <w:sz w:val="24"/>
          <w:szCs w:val="24"/>
        </w:rPr>
      </w:pPr>
      <w:bookmarkStart w:id="7" w:name="_Toc476381597"/>
      <w:r w:rsidRPr="00586A09">
        <w:rPr>
          <w:sz w:val="24"/>
          <w:szCs w:val="24"/>
        </w:rPr>
        <w:t>Study design</w:t>
      </w:r>
      <w:bookmarkEnd w:id="7"/>
    </w:p>
    <w:p w14:paraId="1650E0C1" w14:textId="77777777" w:rsidR="00C354C4" w:rsidRPr="00693A05" w:rsidRDefault="00C354C4" w:rsidP="00693A05">
      <w:pPr>
        <w:widowControl w:val="0"/>
        <w:suppressAutoHyphens/>
        <w:autoSpaceDN w:val="0"/>
        <w:spacing w:after="0" w:line="480" w:lineRule="auto"/>
        <w:textAlignment w:val="baseline"/>
        <w:rPr>
          <w:rFonts w:eastAsia="SimSun" w:cs="Calibri"/>
          <w:color w:val="000000" w:themeColor="text1"/>
          <w:kern w:val="3"/>
          <w:sz w:val="24"/>
          <w:szCs w:val="24"/>
          <w:highlight w:val="yellow"/>
        </w:rPr>
      </w:pPr>
      <w:r w:rsidRPr="00586A09">
        <w:rPr>
          <w:rFonts w:eastAsia="SimSun" w:cs="Calibri"/>
          <w:color w:val="000000" w:themeColor="text1"/>
          <w:kern w:val="3"/>
          <w:sz w:val="24"/>
          <w:szCs w:val="24"/>
        </w:rPr>
        <w:t xml:space="preserve">An embedded mixed method design comprising a feasibility randomised controlled trial (RCT) and a nested qualitative component was used </w:t>
      </w:r>
      <w:r>
        <w:rPr>
          <w:rFonts w:eastAsia="SimSun" w:cs="Calibri"/>
          <w:noProof/>
          <w:color w:val="000000" w:themeColor="text1"/>
          <w:kern w:val="3"/>
          <w:sz w:val="24"/>
          <w:szCs w:val="24"/>
        </w:rPr>
        <w:t>(Johnson and Onwuegbuzie, 2004)</w:t>
      </w:r>
      <w:r>
        <w:rPr>
          <w:rFonts w:eastAsia="SimSun" w:cs="Calibri"/>
          <w:color w:val="000000" w:themeColor="text1"/>
          <w:kern w:val="3"/>
          <w:sz w:val="24"/>
          <w:szCs w:val="24"/>
        </w:rPr>
        <w:t xml:space="preserve">. A criticism of </w:t>
      </w:r>
      <w:r w:rsidRPr="007F3C1E">
        <w:rPr>
          <w:rFonts w:eastAsia="SimSun" w:cs="Calibri"/>
          <w:color w:val="000000" w:themeColor="text1"/>
          <w:kern w:val="3"/>
          <w:sz w:val="24"/>
          <w:szCs w:val="24"/>
        </w:rPr>
        <w:t xml:space="preserve">RCTs is the methods potential inability to consider the context of interventions </w:t>
      </w:r>
      <w:r w:rsidRPr="007F3C1E">
        <w:rPr>
          <w:rFonts w:eastAsia="SimSun" w:cs="Calibri"/>
          <w:noProof/>
          <w:color w:val="000000" w:themeColor="text1"/>
          <w:kern w:val="3"/>
          <w:sz w:val="24"/>
          <w:szCs w:val="24"/>
        </w:rPr>
        <w:t>(Tarquinio et al., 2015)</w:t>
      </w:r>
      <w:r w:rsidRPr="007F3C1E">
        <w:rPr>
          <w:rFonts w:eastAsia="SimSun" w:cs="Calibri"/>
          <w:color w:val="000000" w:themeColor="text1"/>
          <w:kern w:val="3"/>
          <w:sz w:val="24"/>
          <w:szCs w:val="24"/>
        </w:rPr>
        <w:t xml:space="preserve">. It was hypothesised that the collection of qualitative data during the trial would also help identify barriers to the implementation of CBT interventions </w:t>
      </w:r>
      <w:r w:rsidRPr="007F3C1E">
        <w:rPr>
          <w:rFonts w:eastAsia="SimSun" w:cs="Calibri"/>
          <w:color w:val="000000" w:themeColor="text1"/>
          <w:kern w:val="3"/>
          <w:sz w:val="24"/>
          <w:szCs w:val="24"/>
        </w:rPr>
        <w:lastRenderedPageBreak/>
        <w:t xml:space="preserve">consistent with the Medical Research Council’s guidelines for the evaluation of complex interventions </w:t>
      </w:r>
      <w:r w:rsidRPr="007F3C1E">
        <w:rPr>
          <w:rFonts w:eastAsia="SimSun" w:cs="Calibri"/>
          <w:noProof/>
          <w:color w:val="000000" w:themeColor="text1"/>
          <w:kern w:val="3"/>
          <w:sz w:val="24"/>
          <w:szCs w:val="24"/>
        </w:rPr>
        <w:t>(MRC, 2008)</w:t>
      </w:r>
      <w:r w:rsidRPr="007F3C1E">
        <w:rPr>
          <w:rFonts w:eastAsia="SimSun" w:cs="Calibri"/>
          <w:color w:val="000000" w:themeColor="text1"/>
          <w:kern w:val="3"/>
          <w:sz w:val="24"/>
          <w:szCs w:val="24"/>
        </w:rPr>
        <w:t xml:space="preserve">. Mixed methods research provides robust and rigorous approaches to research </w:t>
      </w:r>
      <w:r w:rsidRPr="007F3C1E">
        <w:rPr>
          <w:rFonts w:eastAsia="SimSun" w:cs="Calibri"/>
          <w:noProof/>
          <w:color w:val="000000" w:themeColor="text1"/>
          <w:kern w:val="3"/>
          <w:sz w:val="24"/>
          <w:szCs w:val="24"/>
        </w:rPr>
        <w:t>(Anaf and Sheppard, 2007)</w:t>
      </w:r>
      <w:r w:rsidRPr="007F3C1E">
        <w:rPr>
          <w:rFonts w:eastAsia="SimSun" w:cs="Calibri"/>
          <w:color w:val="000000" w:themeColor="text1"/>
          <w:kern w:val="3"/>
          <w:sz w:val="24"/>
          <w:szCs w:val="24"/>
        </w:rPr>
        <w:t xml:space="preserve"> and creates a richer understanding of phenomena </w:t>
      </w:r>
      <w:r w:rsidRPr="007F3C1E">
        <w:rPr>
          <w:rFonts w:eastAsia="SimSun" w:cs="Calibri"/>
          <w:noProof/>
          <w:color w:val="000000" w:themeColor="text1"/>
          <w:kern w:val="3"/>
          <w:sz w:val="24"/>
          <w:szCs w:val="24"/>
        </w:rPr>
        <w:t>(Creswell and Plano Clark, 2007)</w:t>
      </w:r>
      <w:r w:rsidRPr="007F3C1E">
        <w:rPr>
          <w:rFonts w:eastAsia="SimSun" w:cs="Calibri"/>
          <w:color w:val="000000" w:themeColor="text1"/>
          <w:kern w:val="3"/>
          <w:sz w:val="24"/>
          <w:szCs w:val="24"/>
        </w:rPr>
        <w:t xml:space="preserve">. A mixed methods research (MMR) approach, underpinned by a pragmatic philosophy, was therefore used to draw from the strengths of both qualitative and quantitative approaches </w:t>
      </w:r>
      <w:r w:rsidRPr="007F3C1E">
        <w:rPr>
          <w:rFonts w:eastAsia="SimSun" w:cs="Calibri"/>
          <w:noProof/>
          <w:color w:val="000000" w:themeColor="text1"/>
          <w:kern w:val="3"/>
          <w:sz w:val="24"/>
          <w:szCs w:val="24"/>
        </w:rPr>
        <w:t>(Johnson and Onwuegbuzie, 2004)</w:t>
      </w:r>
      <w:r w:rsidRPr="007F3C1E">
        <w:rPr>
          <w:rFonts w:eastAsia="SimSun" w:cs="Calibri"/>
          <w:color w:val="000000" w:themeColor="text1"/>
          <w:kern w:val="3"/>
          <w:sz w:val="24"/>
          <w:szCs w:val="24"/>
        </w:rPr>
        <w:t xml:space="preserve">. The incorporation of qualitative methods within the RCT ensured that the research was able to consider social experiences and meaning </w:t>
      </w:r>
      <w:r w:rsidRPr="007F3C1E">
        <w:rPr>
          <w:rFonts w:eastAsia="SimSun" w:cs="Calibri"/>
          <w:noProof/>
          <w:color w:val="000000" w:themeColor="text1"/>
          <w:kern w:val="3"/>
          <w:sz w:val="24"/>
          <w:szCs w:val="24"/>
        </w:rPr>
        <w:t>(Denzin and Lincoln, 2000)</w:t>
      </w:r>
      <w:r w:rsidRPr="007F3C1E">
        <w:rPr>
          <w:rFonts w:eastAsia="SimSun" w:cs="Calibri"/>
          <w:color w:val="000000" w:themeColor="text1"/>
          <w:kern w:val="3"/>
          <w:sz w:val="24"/>
          <w:szCs w:val="24"/>
        </w:rPr>
        <w:t>.</w:t>
      </w:r>
    </w:p>
    <w:p w14:paraId="37CB1372" w14:textId="77777777" w:rsidR="00C354C4" w:rsidRPr="00586A09" w:rsidRDefault="00C354C4" w:rsidP="00586A09">
      <w:pPr>
        <w:widowControl w:val="0"/>
        <w:suppressAutoHyphens/>
        <w:autoSpaceDN w:val="0"/>
        <w:spacing w:after="0" w:line="480" w:lineRule="auto"/>
        <w:textAlignment w:val="baseline"/>
        <w:rPr>
          <w:rFonts w:eastAsia="Calibri" w:cs="Times New Roman"/>
          <w:color w:val="000000" w:themeColor="text1"/>
          <w:kern w:val="3"/>
          <w:sz w:val="24"/>
          <w:szCs w:val="24"/>
        </w:rPr>
      </w:pPr>
    </w:p>
    <w:p w14:paraId="04B5D343" w14:textId="77777777" w:rsidR="00C354C4" w:rsidRPr="00586A09" w:rsidRDefault="00C354C4" w:rsidP="00586A09">
      <w:pPr>
        <w:pStyle w:val="Heading1"/>
        <w:spacing w:line="480" w:lineRule="auto"/>
        <w:rPr>
          <w:rFonts w:eastAsia="SimSun"/>
          <w:sz w:val="24"/>
          <w:szCs w:val="24"/>
          <w:lang w:eastAsia="en-GB"/>
        </w:rPr>
      </w:pPr>
      <w:r w:rsidRPr="00586A09">
        <w:rPr>
          <w:rFonts w:eastAsia="SimSun"/>
          <w:sz w:val="24"/>
          <w:szCs w:val="24"/>
          <w:lang w:eastAsia="en-GB"/>
        </w:rPr>
        <w:t>Participants</w:t>
      </w:r>
    </w:p>
    <w:p w14:paraId="4E765275" w14:textId="77777777" w:rsidR="00C354C4" w:rsidRPr="00586A09" w:rsidRDefault="00C354C4" w:rsidP="00586A09">
      <w:pPr>
        <w:widowControl w:val="0"/>
        <w:suppressAutoHyphens/>
        <w:autoSpaceDN w:val="0"/>
        <w:spacing w:after="0" w:line="480" w:lineRule="auto"/>
        <w:textAlignment w:val="baseline"/>
        <w:rPr>
          <w:rFonts w:eastAsia="Calibri" w:cs="Times New Roman"/>
          <w:color w:val="000000" w:themeColor="text1"/>
          <w:kern w:val="3"/>
          <w:sz w:val="24"/>
          <w:szCs w:val="24"/>
        </w:rPr>
      </w:pPr>
      <w:r w:rsidRPr="00586A09">
        <w:rPr>
          <w:rFonts w:eastAsia="Calibri" w:cs="Times New Roman"/>
          <w:color w:val="000000" w:themeColor="text1"/>
          <w:kern w:val="3"/>
          <w:sz w:val="24"/>
          <w:szCs w:val="24"/>
        </w:rPr>
        <w:t>Adults (over 18 years of age) fulfilling Rome III criteria for IBS were included</w:t>
      </w:r>
      <w:r>
        <w:rPr>
          <w:rFonts w:eastAsia="Calibri" w:cs="Times New Roman"/>
          <w:color w:val="000000" w:themeColor="text1"/>
          <w:kern w:val="3"/>
          <w:sz w:val="24"/>
          <w:szCs w:val="24"/>
        </w:rPr>
        <w:t xml:space="preserve"> </w:t>
      </w:r>
      <w:r>
        <w:rPr>
          <w:rFonts w:eastAsia="Calibri" w:cs="Times New Roman"/>
          <w:noProof/>
          <w:color w:val="000000" w:themeColor="text1"/>
          <w:kern w:val="3"/>
          <w:sz w:val="24"/>
          <w:szCs w:val="24"/>
        </w:rPr>
        <w:t>(The Rome Foundation, 2017)</w:t>
      </w:r>
      <w:r w:rsidRPr="00586A09">
        <w:rPr>
          <w:rFonts w:eastAsia="Calibri" w:cs="Times New Roman"/>
          <w:color w:val="000000" w:themeColor="text1"/>
          <w:kern w:val="3"/>
          <w:sz w:val="24"/>
          <w:szCs w:val="24"/>
        </w:rPr>
        <w:t>.</w:t>
      </w:r>
    </w:p>
    <w:p w14:paraId="2C463749" w14:textId="77777777" w:rsidR="00C354C4" w:rsidRPr="00586A09" w:rsidRDefault="00C354C4" w:rsidP="00586A09">
      <w:pPr>
        <w:pStyle w:val="Heading2"/>
        <w:spacing w:line="480" w:lineRule="auto"/>
        <w:rPr>
          <w:rFonts w:eastAsia="SimSun"/>
          <w:sz w:val="24"/>
          <w:szCs w:val="24"/>
        </w:rPr>
      </w:pPr>
      <w:bookmarkStart w:id="8" w:name="_Toc370475056"/>
      <w:bookmarkStart w:id="9" w:name="_Toc476381599"/>
      <w:r w:rsidRPr="00586A09">
        <w:rPr>
          <w:rFonts w:eastAsia="SimSun"/>
          <w:sz w:val="24"/>
          <w:szCs w:val="24"/>
        </w:rPr>
        <w:t>Inclusion criteria</w:t>
      </w:r>
      <w:bookmarkEnd w:id="8"/>
      <w:bookmarkEnd w:id="9"/>
    </w:p>
    <w:p w14:paraId="1CC3AAC3" w14:textId="77777777" w:rsidR="00C354C4" w:rsidRPr="00586A09" w:rsidRDefault="00C354C4" w:rsidP="00C354C4">
      <w:pPr>
        <w:pStyle w:val="ListParagraph"/>
        <w:widowControl w:val="0"/>
        <w:numPr>
          <w:ilvl w:val="0"/>
          <w:numId w:val="9"/>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Documented medical diagnosis of IBS</w:t>
      </w:r>
    </w:p>
    <w:p w14:paraId="197ABA02" w14:textId="77777777" w:rsidR="00C354C4" w:rsidRPr="00586A09" w:rsidRDefault="00C354C4" w:rsidP="00C354C4">
      <w:pPr>
        <w:pStyle w:val="ListParagraph"/>
        <w:widowControl w:val="0"/>
        <w:numPr>
          <w:ilvl w:val="0"/>
          <w:numId w:val="9"/>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Participants with IBS who met Rome III Criteria</w:t>
      </w:r>
    </w:p>
    <w:p w14:paraId="143E96ED" w14:textId="77777777" w:rsidR="00C354C4" w:rsidRPr="00586A09" w:rsidRDefault="00C354C4" w:rsidP="00C354C4">
      <w:pPr>
        <w:pStyle w:val="ListParagraph"/>
        <w:widowControl w:val="0"/>
        <w:numPr>
          <w:ilvl w:val="0"/>
          <w:numId w:val="9"/>
        </w:numPr>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Able to read, write and speak English</w:t>
      </w:r>
    </w:p>
    <w:p w14:paraId="4030BE6A" w14:textId="77777777" w:rsidR="00C354C4" w:rsidRPr="00586A09" w:rsidRDefault="00C354C4" w:rsidP="00C354C4">
      <w:pPr>
        <w:pStyle w:val="ListParagraph"/>
        <w:widowControl w:val="0"/>
        <w:numPr>
          <w:ilvl w:val="0"/>
          <w:numId w:val="9"/>
        </w:numPr>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Able to provide written informed consent</w:t>
      </w:r>
    </w:p>
    <w:p w14:paraId="2905CAD1" w14:textId="77777777" w:rsidR="00C354C4" w:rsidRPr="00586A09" w:rsidRDefault="00C354C4" w:rsidP="00586A09">
      <w:pPr>
        <w:pStyle w:val="Heading2"/>
        <w:spacing w:line="480" w:lineRule="auto"/>
        <w:rPr>
          <w:rFonts w:eastAsia="SimSun"/>
          <w:sz w:val="24"/>
          <w:szCs w:val="24"/>
        </w:rPr>
      </w:pPr>
      <w:bookmarkStart w:id="10" w:name="_Toc370475057"/>
      <w:bookmarkStart w:id="11" w:name="_Toc165362089"/>
      <w:bookmarkStart w:id="12" w:name="_Toc476381600"/>
      <w:r w:rsidRPr="00586A09">
        <w:rPr>
          <w:rFonts w:eastAsia="SimSun"/>
          <w:sz w:val="24"/>
          <w:szCs w:val="24"/>
        </w:rPr>
        <w:t>Exclusion criteria</w:t>
      </w:r>
      <w:bookmarkEnd w:id="10"/>
      <w:bookmarkEnd w:id="11"/>
      <w:bookmarkEnd w:id="12"/>
    </w:p>
    <w:p w14:paraId="5E427363"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Already receiving psychological therapy or hypnotherapy</w:t>
      </w:r>
    </w:p>
    <w:p w14:paraId="36519766"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lastRenderedPageBreak/>
        <w:t>Existing diagnosis of bowel disease based on endoscopic or histologic criteria (i.e. Crohn’s Disease, Ulcerative Colitis, coeliac disease)</w:t>
      </w:r>
    </w:p>
    <w:p w14:paraId="7329F640"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Presence or history of structural or surgical diseases of the GI tract (not including appendix or gall bladder surgery)</w:t>
      </w:r>
    </w:p>
    <w:p w14:paraId="2BD8D90E"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Evidence of alcohol or substance misuse</w:t>
      </w:r>
    </w:p>
    <w:p w14:paraId="390BC5D4"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An established cause for bowel symptoms other than IBS (i.e. medication use)</w:t>
      </w:r>
    </w:p>
    <w:p w14:paraId="13B12465"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The presence of suicidal ideation or self-harm</w:t>
      </w:r>
    </w:p>
    <w:p w14:paraId="0DCDEA05"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Significant psychiatric co-morbidity (such as schizophrenia or bipolar disorder)</w:t>
      </w:r>
    </w:p>
    <w:p w14:paraId="2F97858E" w14:textId="77777777" w:rsidR="00C354C4" w:rsidRPr="00586A09" w:rsidRDefault="00C354C4" w:rsidP="00C354C4">
      <w:pPr>
        <w:pStyle w:val="ListParagraph"/>
        <w:widowControl w:val="0"/>
        <w:numPr>
          <w:ilvl w:val="0"/>
          <w:numId w:val="10"/>
        </w:numPr>
        <w:tabs>
          <w:tab w:val="left" w:pos="0"/>
        </w:tabs>
        <w:suppressAutoHyphens/>
        <w:autoSpaceDN w:val="0"/>
        <w:spacing w:after="0" w:line="480" w:lineRule="auto"/>
        <w:textAlignment w:val="baseline"/>
        <w:rPr>
          <w:rFonts w:eastAsia="Times New Roman" w:cs="Times New Roman"/>
          <w:iCs/>
          <w:color w:val="000000" w:themeColor="text1"/>
          <w:kern w:val="3"/>
          <w:sz w:val="24"/>
          <w:szCs w:val="24"/>
          <w:lang w:eastAsia="en-GB"/>
        </w:rPr>
      </w:pPr>
      <w:r w:rsidRPr="00586A09">
        <w:rPr>
          <w:rFonts w:eastAsia="Times New Roman" w:cs="Times New Roman"/>
          <w:iCs/>
          <w:color w:val="000000" w:themeColor="text1"/>
          <w:kern w:val="3"/>
          <w:sz w:val="24"/>
          <w:szCs w:val="24"/>
          <w:lang w:eastAsia="en-GB"/>
        </w:rPr>
        <w:t>Currently taking part in other research studies</w:t>
      </w:r>
    </w:p>
    <w:p w14:paraId="62EB53DA" w14:textId="77777777" w:rsidR="00C354C4" w:rsidRPr="00586A09" w:rsidRDefault="00C354C4" w:rsidP="00586A09">
      <w:pPr>
        <w:suppressAutoHyphens/>
        <w:autoSpaceDN w:val="0"/>
        <w:spacing w:after="0" w:line="480" w:lineRule="auto"/>
        <w:textAlignment w:val="baseline"/>
        <w:rPr>
          <w:rFonts w:eastAsia="SimSun" w:cs="Calibri"/>
          <w:b/>
          <w:color w:val="000000" w:themeColor="text1"/>
          <w:kern w:val="3"/>
          <w:sz w:val="24"/>
          <w:szCs w:val="24"/>
          <w:lang w:eastAsia="en-GB"/>
        </w:rPr>
      </w:pPr>
    </w:p>
    <w:p w14:paraId="78FCC608" w14:textId="77777777" w:rsidR="00C354C4" w:rsidRPr="00586A09" w:rsidRDefault="00C354C4" w:rsidP="00586A09">
      <w:pPr>
        <w:pStyle w:val="Heading1"/>
        <w:spacing w:line="480" w:lineRule="auto"/>
        <w:rPr>
          <w:rFonts w:eastAsia="SimSun"/>
          <w:sz w:val="24"/>
          <w:szCs w:val="24"/>
          <w:lang w:eastAsia="en-GB"/>
        </w:rPr>
      </w:pPr>
      <w:bookmarkStart w:id="13" w:name="_Toc476381601"/>
      <w:r w:rsidRPr="00586A09">
        <w:rPr>
          <w:rFonts w:eastAsia="SimSun"/>
          <w:sz w:val="24"/>
          <w:szCs w:val="24"/>
          <w:lang w:eastAsia="en-GB"/>
        </w:rPr>
        <w:t>Intervention</w:t>
      </w:r>
      <w:bookmarkEnd w:id="13"/>
    </w:p>
    <w:p w14:paraId="14461A11" w14:textId="77777777" w:rsidR="00C354C4" w:rsidRPr="00586A09" w:rsidRDefault="00C354C4" w:rsidP="00586A09">
      <w:p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 xml:space="preserve">The researchers adapted the protocol and SH materials originally developed by Hunt and colleagues </w:t>
      </w:r>
      <w:r>
        <w:rPr>
          <w:rFonts w:eastAsia="SimSun" w:cs="Calibri"/>
          <w:noProof/>
          <w:color w:val="000000" w:themeColor="text1"/>
          <w:kern w:val="3"/>
          <w:sz w:val="24"/>
          <w:szCs w:val="24"/>
        </w:rPr>
        <w:t>(Hunt et al., 2009)</w:t>
      </w:r>
      <w:r w:rsidRPr="00586A09">
        <w:rPr>
          <w:rFonts w:eastAsia="SimSun" w:cs="Calibri"/>
          <w:color w:val="000000" w:themeColor="text1"/>
          <w:kern w:val="3"/>
          <w:sz w:val="24"/>
          <w:szCs w:val="24"/>
        </w:rPr>
        <w:t xml:space="preserve"> at the University of Pennsylvania USA so that treatment could be delivered within a face-to-face, LI format. The intervention comprised of an initial sixty-minute assessment session, with five further thirty-minute treatment sessions over a six-week treatment period working through the following modules with the nurse therapist.</w:t>
      </w:r>
    </w:p>
    <w:p w14:paraId="6062CD13" w14:textId="77777777" w:rsidR="00C354C4" w:rsidRPr="00586A09" w:rsidRDefault="00C354C4" w:rsidP="00586A09">
      <w:pPr>
        <w:suppressAutoHyphens/>
        <w:autoSpaceDN w:val="0"/>
        <w:spacing w:after="0" w:line="480" w:lineRule="auto"/>
        <w:textAlignment w:val="baseline"/>
        <w:rPr>
          <w:rFonts w:eastAsia="SimSun" w:cs="Calibri"/>
          <w:color w:val="000000" w:themeColor="text1"/>
          <w:kern w:val="3"/>
          <w:sz w:val="24"/>
          <w:szCs w:val="24"/>
          <w:highlight w:val="lightGray"/>
        </w:rPr>
      </w:pPr>
    </w:p>
    <w:p w14:paraId="49623602" w14:textId="77777777" w:rsidR="00C354C4" w:rsidRPr="00586A09" w:rsidRDefault="00C354C4" w:rsidP="00C354C4">
      <w:pPr>
        <w:pStyle w:val="ListParagraph"/>
        <w:widowControl w:val="0"/>
        <w:numPr>
          <w:ilvl w:val="0"/>
          <w:numId w:val="11"/>
        </w:num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An introduction to IBS</w:t>
      </w:r>
    </w:p>
    <w:p w14:paraId="57BEB7FA" w14:textId="77777777" w:rsidR="00C354C4" w:rsidRPr="00586A09" w:rsidRDefault="00C354C4" w:rsidP="00C354C4">
      <w:pPr>
        <w:pStyle w:val="ListParagraph"/>
        <w:widowControl w:val="0"/>
        <w:numPr>
          <w:ilvl w:val="0"/>
          <w:numId w:val="11"/>
        </w:num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Relaxation training</w:t>
      </w:r>
    </w:p>
    <w:p w14:paraId="4AA4D613" w14:textId="77777777" w:rsidR="00C354C4" w:rsidRPr="00586A09" w:rsidRDefault="00C354C4" w:rsidP="00C354C4">
      <w:pPr>
        <w:pStyle w:val="ListParagraph"/>
        <w:widowControl w:val="0"/>
        <w:numPr>
          <w:ilvl w:val="0"/>
          <w:numId w:val="11"/>
        </w:num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lastRenderedPageBreak/>
        <w:t>The cognitive model of stress management</w:t>
      </w:r>
    </w:p>
    <w:p w14:paraId="30B57217" w14:textId="77777777" w:rsidR="00C354C4" w:rsidRPr="00586A09" w:rsidRDefault="00C354C4" w:rsidP="00C354C4">
      <w:pPr>
        <w:pStyle w:val="ListParagraph"/>
        <w:widowControl w:val="0"/>
        <w:numPr>
          <w:ilvl w:val="0"/>
          <w:numId w:val="11"/>
        </w:num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The cognitive model of IBS and behavioural experiments</w:t>
      </w:r>
    </w:p>
    <w:p w14:paraId="3BE6B85E" w14:textId="77777777" w:rsidR="00C354C4" w:rsidRPr="00586A09" w:rsidRDefault="00C354C4" w:rsidP="00C354C4">
      <w:pPr>
        <w:pStyle w:val="ListParagraph"/>
        <w:widowControl w:val="0"/>
        <w:numPr>
          <w:ilvl w:val="0"/>
          <w:numId w:val="11"/>
        </w:num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Managing avoidance using exposure</w:t>
      </w:r>
    </w:p>
    <w:p w14:paraId="1D3BCA17" w14:textId="77777777" w:rsidR="00C354C4" w:rsidRPr="00586A09" w:rsidRDefault="00C354C4" w:rsidP="00C354C4">
      <w:pPr>
        <w:pStyle w:val="ListParagraph"/>
        <w:widowControl w:val="0"/>
        <w:numPr>
          <w:ilvl w:val="0"/>
          <w:numId w:val="11"/>
        </w:num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Diet and IBS</w:t>
      </w:r>
    </w:p>
    <w:p w14:paraId="19C482F7" w14:textId="77777777" w:rsidR="007F3C1E" w:rsidRPr="00586A09" w:rsidRDefault="007F3C1E" w:rsidP="00586A09">
      <w:pPr>
        <w:pStyle w:val="ListParagraph"/>
        <w:widowControl w:val="0"/>
        <w:suppressAutoHyphens/>
        <w:autoSpaceDN w:val="0"/>
        <w:spacing w:after="0" w:line="480" w:lineRule="auto"/>
        <w:textAlignment w:val="baseline"/>
        <w:rPr>
          <w:rFonts w:eastAsia="SimSun" w:cs="Calibri"/>
          <w:color w:val="000000" w:themeColor="text1"/>
          <w:kern w:val="3"/>
          <w:sz w:val="24"/>
          <w:szCs w:val="24"/>
        </w:rPr>
      </w:pPr>
    </w:p>
    <w:p w14:paraId="22E0F076" w14:textId="77777777" w:rsidR="00C354C4" w:rsidRPr="00586A09" w:rsidRDefault="00C354C4" w:rsidP="00586A09">
      <w:pPr>
        <w:pStyle w:val="Heading1"/>
        <w:spacing w:line="480" w:lineRule="auto"/>
        <w:rPr>
          <w:rFonts w:eastAsia="SimSun"/>
          <w:sz w:val="24"/>
          <w:szCs w:val="24"/>
          <w:lang w:eastAsia="en-GB"/>
        </w:rPr>
      </w:pPr>
      <w:bookmarkStart w:id="14" w:name="_Toc476381602"/>
      <w:r w:rsidRPr="00586A09">
        <w:rPr>
          <w:rFonts w:eastAsia="SimSun"/>
          <w:sz w:val="24"/>
          <w:szCs w:val="24"/>
          <w:lang w:eastAsia="en-GB"/>
        </w:rPr>
        <w:t>Comparators</w:t>
      </w:r>
      <w:bookmarkEnd w:id="14"/>
    </w:p>
    <w:p w14:paraId="2A759138" w14:textId="77777777" w:rsidR="00C354C4" w:rsidRDefault="00C354C4" w:rsidP="007F3C1E">
      <w:pPr>
        <w:widowControl w:val="0"/>
        <w:suppressAutoHyphens/>
        <w:autoSpaceDN w:val="0"/>
        <w:spacing w:after="0" w:line="480" w:lineRule="auto"/>
        <w:textAlignment w:val="baseline"/>
        <w:rPr>
          <w:rFonts w:eastAsia="Calibri" w:cs="Times New Roman"/>
          <w:color w:val="000000" w:themeColor="text1"/>
          <w:kern w:val="3"/>
          <w:sz w:val="24"/>
          <w:szCs w:val="24"/>
        </w:rPr>
      </w:pPr>
      <w:r w:rsidRPr="00586A09">
        <w:rPr>
          <w:rFonts w:eastAsia="Calibri" w:cs="Times New Roman"/>
          <w:color w:val="000000" w:themeColor="text1"/>
          <w:kern w:val="3"/>
          <w:sz w:val="24"/>
          <w:szCs w:val="24"/>
        </w:rPr>
        <w:t xml:space="preserve">The nursing intervention was compared to: a) a HI-CBT intervention over eleven treatment sessions, delivered by an HI therapist, b) a six module CBT based SH workbook as a stand-alone intervention without therapist support and c) a treatment as usual (TAU) control condition consisting of routine medical care based upon best practice guidelines. </w:t>
      </w:r>
    </w:p>
    <w:p w14:paraId="7B50ED94" w14:textId="77777777" w:rsidR="007F3C1E" w:rsidRPr="00586A09" w:rsidRDefault="007F3C1E" w:rsidP="007F3C1E">
      <w:pPr>
        <w:widowControl w:val="0"/>
        <w:suppressAutoHyphens/>
        <w:autoSpaceDN w:val="0"/>
        <w:spacing w:after="0" w:line="480" w:lineRule="auto"/>
        <w:textAlignment w:val="baseline"/>
        <w:rPr>
          <w:rFonts w:eastAsia="Calibri" w:cs="Times New Roman"/>
          <w:color w:val="000000" w:themeColor="text1"/>
          <w:kern w:val="3"/>
          <w:sz w:val="24"/>
          <w:szCs w:val="24"/>
        </w:rPr>
      </w:pPr>
    </w:p>
    <w:p w14:paraId="6AB7379B" w14:textId="77777777" w:rsidR="00C354C4" w:rsidRPr="00586A09" w:rsidRDefault="00C354C4" w:rsidP="00586A09">
      <w:pPr>
        <w:widowControl w:val="0"/>
        <w:suppressAutoHyphens/>
        <w:autoSpaceDN w:val="0"/>
        <w:spacing w:after="0" w:line="480" w:lineRule="auto"/>
        <w:textAlignment w:val="baseline"/>
        <w:rPr>
          <w:rFonts w:eastAsia="Calibri" w:cs="Times New Roman"/>
          <w:color w:val="000000" w:themeColor="text1"/>
          <w:kern w:val="3"/>
          <w:sz w:val="24"/>
          <w:szCs w:val="24"/>
        </w:rPr>
      </w:pPr>
      <w:r w:rsidRPr="00586A09">
        <w:rPr>
          <w:rFonts w:eastAsia="Calibri" w:cs="Times New Roman"/>
          <w:color w:val="000000" w:themeColor="text1"/>
          <w:kern w:val="3"/>
          <w:sz w:val="24"/>
          <w:szCs w:val="24"/>
        </w:rPr>
        <w:t xml:space="preserve">Within the HI intervention, the psychotherapist delivered treatment to participants based upon a treatment protocol developed from the work of Toner </w:t>
      </w:r>
      <w:r>
        <w:rPr>
          <w:rFonts w:eastAsia="Calibri" w:cs="Times New Roman"/>
          <w:noProof/>
          <w:color w:val="000000" w:themeColor="text1"/>
          <w:kern w:val="3"/>
          <w:sz w:val="24"/>
          <w:szCs w:val="24"/>
        </w:rPr>
        <w:t>(Toner et al., 2000)</w:t>
      </w:r>
      <w:r w:rsidRPr="00586A09">
        <w:rPr>
          <w:rFonts w:eastAsia="Calibri" w:cs="Times New Roman"/>
          <w:color w:val="000000" w:themeColor="text1"/>
          <w:kern w:val="3"/>
          <w:sz w:val="24"/>
          <w:szCs w:val="24"/>
        </w:rPr>
        <w:t xml:space="preserve">. Treatment consisted of eleven treatment sessions at weekly intervals. The first of these sessions was two hours in duration allowing for comprehensive assessment, with subsequent sessions lasting up to one hour. Within the SH intervention, participants were issued the same six module SH treatment workbooks as utilised within the LI nursing intervention. </w:t>
      </w:r>
      <w:r w:rsidRPr="00586A09">
        <w:rPr>
          <w:sz w:val="24"/>
          <w:szCs w:val="24"/>
        </w:rPr>
        <w:t xml:space="preserve">In order to identify if additional benefits arising could be attributed to the involvement of the nurse within LI-CBT, the SH workbooks were used as a stand-alone intervention in order to facilitate direct </w:t>
      </w:r>
      <w:r w:rsidRPr="00586A09">
        <w:rPr>
          <w:sz w:val="24"/>
          <w:szCs w:val="24"/>
        </w:rPr>
        <w:lastRenderedPageBreak/>
        <w:t xml:space="preserve">comparison between the two groups. </w:t>
      </w:r>
      <w:r w:rsidRPr="00586A09">
        <w:rPr>
          <w:rFonts w:eastAsia="Calibri" w:cs="Times New Roman"/>
          <w:color w:val="000000" w:themeColor="text1"/>
          <w:kern w:val="3"/>
          <w:sz w:val="24"/>
          <w:szCs w:val="24"/>
        </w:rPr>
        <w:t>There was therefore no involvement of the nurse therapist during participant’s exposure to the SH intervention.</w:t>
      </w:r>
    </w:p>
    <w:p w14:paraId="11DD246E" w14:textId="77777777" w:rsidR="00C354C4" w:rsidRPr="00586A09" w:rsidRDefault="00C354C4" w:rsidP="00586A09">
      <w:pPr>
        <w:widowControl w:val="0"/>
        <w:suppressAutoHyphens/>
        <w:autoSpaceDN w:val="0"/>
        <w:spacing w:after="0" w:line="480" w:lineRule="auto"/>
        <w:textAlignment w:val="baseline"/>
        <w:rPr>
          <w:rFonts w:eastAsia="Calibri" w:cs="Times New Roman"/>
          <w:color w:val="000000" w:themeColor="text1"/>
          <w:kern w:val="3"/>
          <w:sz w:val="24"/>
          <w:szCs w:val="24"/>
        </w:rPr>
      </w:pPr>
    </w:p>
    <w:p w14:paraId="6BCB51BF" w14:textId="77777777" w:rsidR="00C354C4" w:rsidRPr="00586A09" w:rsidRDefault="00C354C4" w:rsidP="00586A09">
      <w:pPr>
        <w:pStyle w:val="Heading1"/>
        <w:spacing w:after="240"/>
        <w:rPr>
          <w:rFonts w:eastAsia="Calibri"/>
          <w:sz w:val="24"/>
          <w:szCs w:val="24"/>
        </w:rPr>
      </w:pPr>
      <w:r w:rsidRPr="00586A09">
        <w:rPr>
          <w:rFonts w:eastAsia="Calibri"/>
          <w:sz w:val="24"/>
          <w:szCs w:val="24"/>
        </w:rPr>
        <w:t>Intervention fidelity</w:t>
      </w:r>
    </w:p>
    <w:p w14:paraId="720BF8A8" w14:textId="77777777" w:rsidR="00C354C4" w:rsidRPr="00B43821" w:rsidRDefault="00C354C4" w:rsidP="00B43821">
      <w:pPr>
        <w:spacing w:after="0" w:line="480" w:lineRule="auto"/>
        <w:rPr>
          <w:rFonts w:eastAsia="Calibri" w:cs="Times New Roman"/>
          <w:sz w:val="24"/>
          <w:szCs w:val="24"/>
        </w:rPr>
      </w:pPr>
      <w:r w:rsidRPr="00586A09">
        <w:rPr>
          <w:rFonts w:eastAsia="Calibri" w:cs="Times New Roman"/>
          <w:sz w:val="24"/>
          <w:szCs w:val="24"/>
        </w:rPr>
        <w:t>The interventions delivered within this study were audio recorded and 10% were monitored for compliance to study protocol. Therapists also completed a report form confirming interventions were delivered as intended. No breaches of study protocol were reported on case report forms returned by therapists during the conduct of the study. The monitoring data for the LI-CBT sessions confirms that treatment was d</w:t>
      </w:r>
      <w:r>
        <w:rPr>
          <w:rFonts w:eastAsia="Calibri" w:cs="Times New Roman"/>
          <w:sz w:val="24"/>
          <w:szCs w:val="24"/>
        </w:rPr>
        <w:t xml:space="preserve">elivered as intended, </w:t>
      </w:r>
      <w:r w:rsidRPr="007F3C1E">
        <w:rPr>
          <w:rFonts w:eastAsia="Calibri" w:cs="Times New Roman"/>
          <w:sz w:val="24"/>
          <w:szCs w:val="24"/>
        </w:rPr>
        <w:t>although</w:t>
      </w:r>
      <w:r>
        <w:rPr>
          <w:rFonts w:eastAsia="Calibri" w:cs="Times New Roman"/>
          <w:sz w:val="24"/>
          <w:szCs w:val="24"/>
        </w:rPr>
        <w:t xml:space="preserve"> </w:t>
      </w:r>
      <w:r w:rsidRPr="00586A09">
        <w:rPr>
          <w:rFonts w:eastAsia="Calibri" w:cs="Times New Roman"/>
          <w:sz w:val="24"/>
          <w:szCs w:val="24"/>
        </w:rPr>
        <w:t>within HI-CBT treatment, some inconsistencies with the follow up of homework activities was noted. There were no major deviations from protocol.</w:t>
      </w:r>
    </w:p>
    <w:p w14:paraId="504F3101" w14:textId="77777777" w:rsidR="00C354C4" w:rsidRPr="00586A09" w:rsidRDefault="00C354C4" w:rsidP="00586A09">
      <w:pPr>
        <w:pStyle w:val="Heading1"/>
        <w:spacing w:line="480" w:lineRule="auto"/>
        <w:rPr>
          <w:rFonts w:eastAsia="SimSun"/>
          <w:sz w:val="24"/>
          <w:szCs w:val="24"/>
          <w:lang w:eastAsia="en-GB"/>
        </w:rPr>
      </w:pPr>
      <w:bookmarkStart w:id="15" w:name="_Toc476381603"/>
      <w:r w:rsidRPr="00586A09">
        <w:rPr>
          <w:rFonts w:eastAsia="SimSun"/>
          <w:sz w:val="24"/>
          <w:szCs w:val="24"/>
          <w:lang w:eastAsia="en-GB"/>
        </w:rPr>
        <w:t>Outcomes</w:t>
      </w:r>
      <w:bookmarkEnd w:id="15"/>
    </w:p>
    <w:p w14:paraId="0917C377" w14:textId="77777777" w:rsidR="00C354C4" w:rsidRPr="00586A09" w:rsidRDefault="00C354C4" w:rsidP="00586A09">
      <w:pPr>
        <w:suppressAutoHyphens/>
        <w:autoSpaceDN w:val="0"/>
        <w:spacing w:line="480" w:lineRule="auto"/>
        <w:textAlignment w:val="baseline"/>
        <w:rPr>
          <w:rFonts w:eastAsia="Calibri" w:cs="Calibri"/>
          <w:color w:val="000000" w:themeColor="text1"/>
          <w:kern w:val="3"/>
          <w:sz w:val="24"/>
          <w:szCs w:val="24"/>
        </w:rPr>
      </w:pPr>
      <w:r w:rsidRPr="00586A09">
        <w:rPr>
          <w:rFonts w:eastAsia="Microsoft YaHei" w:cs="Calibri"/>
          <w:color w:val="000000" w:themeColor="text1"/>
          <w:kern w:val="3"/>
          <w:sz w:val="24"/>
          <w:szCs w:val="24"/>
          <w:lang w:eastAsia="zh-CN"/>
        </w:rPr>
        <w:t>The following q</w:t>
      </w:r>
      <w:r w:rsidRPr="00586A09">
        <w:rPr>
          <w:rFonts w:eastAsia="SimSun" w:cs="Calibri"/>
          <w:color w:val="000000" w:themeColor="text1"/>
          <w:kern w:val="3"/>
          <w:sz w:val="24"/>
          <w:szCs w:val="24"/>
          <w:lang w:eastAsia="en-GB"/>
        </w:rPr>
        <w:t xml:space="preserve">uantitative measures were completed by participants by mail at 12 weeks and 26 weeks’ post randomisation. </w:t>
      </w:r>
    </w:p>
    <w:p w14:paraId="6FB2665F" w14:textId="77777777" w:rsidR="00C354C4" w:rsidRPr="00586A09" w:rsidRDefault="00C354C4" w:rsidP="00586A09">
      <w:pPr>
        <w:spacing w:after="0" w:line="480" w:lineRule="auto"/>
        <w:rPr>
          <w:color w:val="4472C4" w:themeColor="accent1"/>
          <w:sz w:val="24"/>
          <w:szCs w:val="24"/>
        </w:rPr>
      </w:pPr>
      <w:r w:rsidRPr="00586A09">
        <w:rPr>
          <w:color w:val="4472C4" w:themeColor="accent1"/>
          <w:sz w:val="24"/>
          <w:szCs w:val="24"/>
        </w:rPr>
        <w:t>IBS Symptom Severity</w:t>
      </w:r>
    </w:p>
    <w:p w14:paraId="2A0E48EB" w14:textId="77777777" w:rsidR="00C354C4" w:rsidRPr="00586A09" w:rsidRDefault="00C354C4" w:rsidP="00586A09">
      <w:pPr>
        <w:widowControl w:val="0"/>
        <w:spacing w:line="480" w:lineRule="auto"/>
        <w:rPr>
          <w:color w:val="000000" w:themeColor="text1"/>
          <w:sz w:val="24"/>
          <w:szCs w:val="24"/>
        </w:rPr>
      </w:pPr>
      <w:r w:rsidRPr="00586A09">
        <w:rPr>
          <w:rFonts w:eastAsia="Calibri" w:cs="Times New Roman"/>
          <w:color w:val="000000" w:themeColor="text1"/>
          <w:kern w:val="3"/>
          <w:sz w:val="24"/>
          <w:szCs w:val="24"/>
        </w:rPr>
        <w:t>GSRS-IBS consists of 13 items with five symptom sub-domains including: abdominal pain, bloating, diarrhoea, constipation and satiety. Participants were asked to record the previous 7 days’ symptoms indicating responses on a 7-point Likert scale. Mean item scores (between 1 and 7) are calculated for each of the five sub domains.</w:t>
      </w:r>
      <w:r w:rsidRPr="00586A09">
        <w:rPr>
          <w:rFonts w:eastAsia="Calibri"/>
          <w:sz w:val="24"/>
          <w:szCs w:val="24"/>
        </w:rPr>
        <w:t xml:space="preserve"> </w:t>
      </w:r>
      <w:r w:rsidRPr="00586A09">
        <w:rPr>
          <w:color w:val="000000" w:themeColor="text1"/>
          <w:sz w:val="24"/>
          <w:szCs w:val="24"/>
        </w:rPr>
        <w:t xml:space="preserve">Two-hundred-and-thirty-four participants were </w:t>
      </w:r>
      <w:r w:rsidRPr="00586A09">
        <w:rPr>
          <w:color w:val="000000" w:themeColor="text1"/>
          <w:sz w:val="24"/>
          <w:szCs w:val="24"/>
        </w:rPr>
        <w:lastRenderedPageBreak/>
        <w:t xml:space="preserve">involved in Wiklund and colleagues psychometric evaluation of GSRS-IBS </w:t>
      </w:r>
      <w:r>
        <w:rPr>
          <w:noProof/>
          <w:color w:val="000000" w:themeColor="text1"/>
          <w:sz w:val="24"/>
          <w:szCs w:val="24"/>
        </w:rPr>
        <w:t>(Wiklund et al., 2003)</w:t>
      </w:r>
      <w:r w:rsidRPr="00586A09">
        <w:rPr>
          <w:color w:val="000000" w:themeColor="text1"/>
          <w:sz w:val="24"/>
          <w:szCs w:val="24"/>
        </w:rPr>
        <w:t xml:space="preserve">. The internal consistency reliability was high, ranging from 0.74 (pain) to 0.85 (satiety). The associations between similar constructs in the GSRS-IBS and the various HRQL scores supported the GSRS-IBS construct validity. </w:t>
      </w:r>
    </w:p>
    <w:p w14:paraId="01102356" w14:textId="77777777" w:rsidR="00C354C4" w:rsidRPr="00586A09" w:rsidRDefault="00C354C4" w:rsidP="00586A09">
      <w:pPr>
        <w:spacing w:after="0" w:line="480" w:lineRule="auto"/>
        <w:rPr>
          <w:color w:val="4472C4" w:themeColor="accent1"/>
          <w:sz w:val="24"/>
          <w:szCs w:val="24"/>
        </w:rPr>
      </w:pPr>
      <w:r w:rsidRPr="00586A09">
        <w:rPr>
          <w:color w:val="4472C4" w:themeColor="accent1"/>
          <w:sz w:val="24"/>
          <w:szCs w:val="24"/>
        </w:rPr>
        <w:t>Quality of Life</w:t>
      </w:r>
    </w:p>
    <w:p w14:paraId="6328440D" w14:textId="77777777" w:rsidR="00C354C4" w:rsidRPr="00586A09" w:rsidRDefault="00C354C4" w:rsidP="00586A09">
      <w:pPr>
        <w:suppressAutoHyphens/>
        <w:autoSpaceDN w:val="0"/>
        <w:spacing w:after="0"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IBS-QOL consists of 34 self-report Likert scales specific to IBS. IBS-QOL also makes possible the analysis of eight sub domains which include: dysphoria, interference with activity, body image, health worry, food avoidance, social reaction, sexual factors and relationships.</w:t>
      </w:r>
      <w:r w:rsidRPr="00586A09">
        <w:rPr>
          <w:rFonts w:eastAsia="Calibri" w:cs="Times New Roman"/>
          <w:sz w:val="24"/>
          <w:szCs w:val="24"/>
        </w:rPr>
        <w:t xml:space="preserve"> </w:t>
      </w:r>
      <w:r w:rsidRPr="00586A09">
        <w:rPr>
          <w:rFonts w:eastAsia="SimSun" w:cs="Calibri"/>
          <w:color w:val="000000" w:themeColor="text1"/>
          <w:kern w:val="3"/>
          <w:sz w:val="24"/>
          <w:szCs w:val="24"/>
        </w:rPr>
        <w:t>IBS-QOL has undergone two rigorous evaluations, the first demonstrating high reproducibility and internal consistency</w:t>
      </w:r>
      <w:r>
        <w:rPr>
          <w:rFonts w:eastAsia="SimSun" w:cs="Calibri"/>
          <w:color w:val="000000" w:themeColor="text1"/>
          <w:kern w:val="3"/>
          <w:sz w:val="24"/>
          <w:szCs w:val="24"/>
        </w:rPr>
        <w:t xml:space="preserve"> </w:t>
      </w:r>
      <w:r>
        <w:rPr>
          <w:rFonts w:eastAsia="SimSun" w:cs="Calibri"/>
          <w:noProof/>
          <w:color w:val="000000" w:themeColor="text1"/>
          <w:kern w:val="3"/>
          <w:sz w:val="24"/>
          <w:szCs w:val="24"/>
        </w:rPr>
        <w:t>(Patrick et al., 1998)</w:t>
      </w:r>
      <w:r w:rsidRPr="00586A09">
        <w:rPr>
          <w:rFonts w:eastAsia="SimSun" w:cs="Calibri"/>
          <w:color w:val="000000" w:themeColor="text1"/>
          <w:kern w:val="3"/>
          <w:sz w:val="24"/>
          <w:szCs w:val="24"/>
        </w:rPr>
        <w:t>, the second longitudinal construct validity</w:t>
      </w:r>
      <w:r>
        <w:rPr>
          <w:rFonts w:eastAsia="SimSun" w:cs="Calibri"/>
          <w:color w:val="000000" w:themeColor="text1"/>
          <w:kern w:val="3"/>
          <w:sz w:val="24"/>
          <w:szCs w:val="24"/>
        </w:rPr>
        <w:t xml:space="preserve"> </w:t>
      </w:r>
      <w:r>
        <w:rPr>
          <w:rFonts w:eastAsia="SimSun" w:cs="Calibri"/>
          <w:noProof/>
          <w:color w:val="000000" w:themeColor="text1"/>
          <w:kern w:val="3"/>
          <w:sz w:val="24"/>
          <w:szCs w:val="24"/>
        </w:rPr>
        <w:t>(Drossman et al., 2000)</w:t>
      </w:r>
      <w:r w:rsidRPr="00586A09">
        <w:rPr>
          <w:rFonts w:eastAsia="SimSun" w:cs="Calibri"/>
          <w:color w:val="000000" w:themeColor="text1"/>
          <w:kern w:val="3"/>
          <w:sz w:val="24"/>
          <w:szCs w:val="24"/>
        </w:rPr>
        <w:t xml:space="preserve">. </w:t>
      </w:r>
    </w:p>
    <w:p w14:paraId="1AC78E34" w14:textId="77777777" w:rsidR="00C354C4" w:rsidRPr="00586A09" w:rsidRDefault="00C354C4" w:rsidP="00586A09">
      <w:pPr>
        <w:suppressAutoHyphens/>
        <w:autoSpaceDN w:val="0"/>
        <w:spacing w:after="0" w:line="480" w:lineRule="auto"/>
        <w:textAlignment w:val="baseline"/>
        <w:rPr>
          <w:rFonts w:eastAsia="SimSun" w:cs="Calibri"/>
          <w:color w:val="000000" w:themeColor="text1"/>
          <w:kern w:val="3"/>
          <w:sz w:val="24"/>
          <w:szCs w:val="24"/>
        </w:rPr>
      </w:pPr>
    </w:p>
    <w:p w14:paraId="74A719E8" w14:textId="77777777" w:rsidR="00C354C4" w:rsidRPr="00586A09" w:rsidRDefault="00C354C4" w:rsidP="00586A09">
      <w:pPr>
        <w:spacing w:after="0" w:line="480" w:lineRule="auto"/>
        <w:rPr>
          <w:color w:val="4472C4" w:themeColor="accent1"/>
          <w:sz w:val="24"/>
          <w:szCs w:val="24"/>
        </w:rPr>
      </w:pPr>
      <w:r w:rsidRPr="00586A09">
        <w:rPr>
          <w:color w:val="4472C4" w:themeColor="accent1"/>
          <w:sz w:val="24"/>
          <w:szCs w:val="24"/>
        </w:rPr>
        <w:t>Anxiety and Depression</w:t>
      </w:r>
    </w:p>
    <w:p w14:paraId="4999E240" w14:textId="77777777" w:rsidR="00C354C4" w:rsidRPr="00586A09" w:rsidRDefault="00C354C4" w:rsidP="00586A09">
      <w:pPr>
        <w:widowControl w:val="0"/>
        <w:suppressAutoHyphens/>
        <w:autoSpaceDN w:val="0"/>
        <w:spacing w:after="0" w:line="480" w:lineRule="auto"/>
        <w:textAlignment w:val="baseline"/>
        <w:rPr>
          <w:rFonts w:eastAsia="Calibri" w:cs="Times New Roman"/>
          <w:kern w:val="3"/>
          <w:sz w:val="24"/>
          <w:szCs w:val="24"/>
        </w:rPr>
      </w:pPr>
      <w:r w:rsidRPr="00586A09">
        <w:rPr>
          <w:rFonts w:eastAsia="Calibri" w:cs="Calibri"/>
          <w:color w:val="000000" w:themeColor="text1"/>
          <w:kern w:val="3"/>
          <w:sz w:val="24"/>
          <w:szCs w:val="24"/>
        </w:rPr>
        <w:t>Levels of depression were measured with</w:t>
      </w:r>
      <w:r w:rsidRPr="00586A09">
        <w:rPr>
          <w:rFonts w:eastAsia="Calibri" w:cs="Times New Roman"/>
          <w:color w:val="000000" w:themeColor="text1"/>
          <w:kern w:val="3"/>
          <w:sz w:val="24"/>
          <w:szCs w:val="24"/>
        </w:rPr>
        <w:t xml:space="preserve"> PHQ-9 </w:t>
      </w:r>
      <w:r>
        <w:rPr>
          <w:rFonts w:eastAsia="Calibri" w:cs="Times New Roman"/>
          <w:noProof/>
          <w:color w:val="000000" w:themeColor="text1"/>
          <w:kern w:val="3"/>
          <w:sz w:val="24"/>
          <w:szCs w:val="24"/>
        </w:rPr>
        <w:t>(Kroenke et al., 2001)</w:t>
      </w:r>
      <w:r w:rsidRPr="00586A09">
        <w:rPr>
          <w:rFonts w:eastAsia="Calibri" w:cs="Times New Roman"/>
          <w:color w:val="000000" w:themeColor="text1"/>
          <w:kern w:val="3"/>
          <w:sz w:val="24"/>
          <w:szCs w:val="24"/>
        </w:rPr>
        <w:t xml:space="preserve">, and anxiety using GAD-7 </w:t>
      </w:r>
      <w:r>
        <w:rPr>
          <w:rFonts w:eastAsia="Calibri" w:cs="Times New Roman"/>
          <w:noProof/>
          <w:color w:val="000000" w:themeColor="text1"/>
          <w:kern w:val="3"/>
          <w:sz w:val="24"/>
          <w:szCs w:val="24"/>
        </w:rPr>
        <w:t>(Löwe et al., 2008)</w:t>
      </w:r>
      <w:r w:rsidRPr="00586A09">
        <w:rPr>
          <w:rFonts w:eastAsia="Calibri" w:cs="Times New Roman"/>
          <w:color w:val="000000" w:themeColor="text1"/>
          <w:kern w:val="3"/>
          <w:sz w:val="24"/>
          <w:szCs w:val="24"/>
        </w:rPr>
        <w:t xml:space="preserve">. Both measures consist of 9 and 7 item self-report Likert scales respectively indicating depression and anxiety severity scores. </w:t>
      </w:r>
      <w:r w:rsidRPr="00586A09">
        <w:rPr>
          <w:rFonts w:eastAsia="Calibri" w:cs="Times New Roman"/>
          <w:kern w:val="3"/>
          <w:sz w:val="24"/>
          <w:szCs w:val="24"/>
        </w:rPr>
        <w:t xml:space="preserve">PHQ-9 has a sensitivity of 88% and a specificity of 88% for major depression </w:t>
      </w:r>
      <w:r>
        <w:rPr>
          <w:rFonts w:eastAsia="Calibri" w:cs="Times New Roman"/>
          <w:noProof/>
          <w:kern w:val="3"/>
          <w:sz w:val="24"/>
          <w:szCs w:val="24"/>
        </w:rPr>
        <w:t>(Kroenke et al., 2001)</w:t>
      </w:r>
      <w:r w:rsidRPr="00586A09">
        <w:rPr>
          <w:rFonts w:eastAsia="Calibri" w:cs="Times New Roman"/>
          <w:kern w:val="3"/>
          <w:sz w:val="24"/>
          <w:szCs w:val="24"/>
        </w:rPr>
        <w:t xml:space="preserve">. PHQ-9 scores of 5, 10, 15, and 20 represent mild, moderate, moderately severe, and severe depression, respectively. PHQ-9 has been validated for the screening of depression in </w:t>
      </w:r>
      <w:r w:rsidRPr="00586A09">
        <w:rPr>
          <w:rFonts w:eastAsia="Calibri" w:cs="Times New Roman"/>
          <w:kern w:val="3"/>
          <w:sz w:val="24"/>
          <w:szCs w:val="24"/>
        </w:rPr>
        <w:lastRenderedPageBreak/>
        <w:t xml:space="preserve">community </w:t>
      </w:r>
      <w:r>
        <w:rPr>
          <w:rFonts w:eastAsia="Calibri" w:cs="Times New Roman"/>
          <w:noProof/>
          <w:kern w:val="3"/>
          <w:sz w:val="24"/>
          <w:szCs w:val="24"/>
        </w:rPr>
        <w:t>(Nease and Maloin, 2003)</w:t>
      </w:r>
      <w:r w:rsidRPr="00586A09">
        <w:rPr>
          <w:rFonts w:eastAsia="Calibri" w:cs="Times New Roman"/>
          <w:kern w:val="3"/>
          <w:sz w:val="24"/>
          <w:szCs w:val="24"/>
        </w:rPr>
        <w:t xml:space="preserve">, secondary outpatient </w:t>
      </w:r>
      <w:r>
        <w:rPr>
          <w:rFonts w:eastAsia="Calibri" w:cs="Times New Roman"/>
          <w:noProof/>
          <w:kern w:val="3"/>
          <w:sz w:val="24"/>
          <w:szCs w:val="24"/>
        </w:rPr>
        <w:t>(van Steenbergen-Weijenburg et al., 2010)</w:t>
      </w:r>
      <w:r w:rsidRPr="00586A09">
        <w:rPr>
          <w:rFonts w:eastAsia="Calibri" w:cs="Times New Roman"/>
          <w:kern w:val="3"/>
          <w:sz w:val="24"/>
          <w:szCs w:val="24"/>
        </w:rPr>
        <w:t xml:space="preserve"> and prenatal care settings </w:t>
      </w:r>
      <w:r>
        <w:rPr>
          <w:rFonts w:eastAsia="Calibri" w:cs="Times New Roman"/>
          <w:noProof/>
          <w:kern w:val="3"/>
          <w:sz w:val="24"/>
          <w:szCs w:val="24"/>
        </w:rPr>
        <w:t>(Sidebottom et al., 2012)</w:t>
      </w:r>
      <w:r w:rsidRPr="00586A09">
        <w:rPr>
          <w:rFonts w:eastAsia="Calibri" w:cs="Times New Roman"/>
          <w:kern w:val="3"/>
          <w:sz w:val="24"/>
          <w:szCs w:val="24"/>
        </w:rPr>
        <w:t xml:space="preserve">. With receiver operating curves of n = 127; 0.930, the PHQ-9 is a valid tool for establishing levels of depression among adults from a variety of medical populations </w:t>
      </w:r>
      <w:r>
        <w:rPr>
          <w:rFonts w:eastAsia="Calibri" w:cs="Times New Roman"/>
          <w:noProof/>
          <w:kern w:val="3"/>
          <w:sz w:val="24"/>
          <w:szCs w:val="24"/>
        </w:rPr>
        <w:t>(Rathore et al., 2014)</w:t>
      </w:r>
      <w:r w:rsidRPr="00586A09">
        <w:rPr>
          <w:rFonts w:eastAsia="Calibri" w:cs="Times New Roman"/>
          <w:kern w:val="3"/>
          <w:sz w:val="24"/>
          <w:szCs w:val="24"/>
        </w:rPr>
        <w:t xml:space="preserve">. GAD-7 is validated for measuring levels of general anxiety disorder among general populations </w:t>
      </w:r>
      <w:r>
        <w:rPr>
          <w:rFonts w:eastAsia="Calibri" w:cs="Times New Roman"/>
          <w:noProof/>
          <w:kern w:val="3"/>
          <w:sz w:val="24"/>
          <w:szCs w:val="24"/>
        </w:rPr>
        <w:t>(Löwe et al., 2008)</w:t>
      </w:r>
      <w:r w:rsidRPr="00586A09">
        <w:rPr>
          <w:rFonts w:eastAsia="Calibri" w:cs="Times New Roman"/>
          <w:kern w:val="3"/>
          <w:sz w:val="24"/>
          <w:szCs w:val="24"/>
        </w:rPr>
        <w:t>. With a threshold score of 10, GAD-7 has a sensitivity of 89% and specificity of 82% for generalized anxiety disorder</w:t>
      </w:r>
      <w:r>
        <w:rPr>
          <w:rFonts w:eastAsia="Calibri" w:cs="Times New Roman"/>
          <w:noProof/>
          <w:kern w:val="3"/>
          <w:sz w:val="24"/>
          <w:szCs w:val="24"/>
        </w:rPr>
        <w:t>(Williams, 2014)</w:t>
      </w:r>
      <w:r w:rsidRPr="00586A09">
        <w:rPr>
          <w:rFonts w:eastAsia="Calibri" w:cs="Times New Roman"/>
          <w:kern w:val="3"/>
          <w:sz w:val="24"/>
          <w:szCs w:val="24"/>
        </w:rPr>
        <w:t xml:space="preserve">. Like PHQ-9, GAD-7 has been validated in recent studies when utilised for screening within primary care </w:t>
      </w:r>
      <w:r>
        <w:rPr>
          <w:rFonts w:eastAsia="Calibri" w:cs="Times New Roman"/>
          <w:noProof/>
          <w:kern w:val="3"/>
          <w:sz w:val="24"/>
          <w:szCs w:val="24"/>
        </w:rPr>
        <w:t>(Mohd Sidik et al., 2012)</w:t>
      </w:r>
      <w:r w:rsidRPr="00586A09">
        <w:rPr>
          <w:rFonts w:eastAsia="Calibri" w:cs="Times New Roman"/>
          <w:kern w:val="3"/>
          <w:sz w:val="24"/>
          <w:szCs w:val="24"/>
        </w:rPr>
        <w:t xml:space="preserve">, perinatal care </w:t>
      </w:r>
      <w:r>
        <w:rPr>
          <w:rFonts w:eastAsia="Calibri" w:cs="Times New Roman"/>
          <w:noProof/>
          <w:kern w:val="3"/>
          <w:sz w:val="24"/>
          <w:szCs w:val="24"/>
        </w:rPr>
        <w:t>(Zhong et al., 2015)</w:t>
      </w:r>
      <w:r w:rsidRPr="00586A09">
        <w:rPr>
          <w:rFonts w:eastAsia="Calibri" w:cs="Times New Roman"/>
          <w:kern w:val="3"/>
          <w:sz w:val="24"/>
          <w:szCs w:val="24"/>
        </w:rPr>
        <w:t xml:space="preserve"> and applied to complex medical problems such as MS </w:t>
      </w:r>
      <w:r>
        <w:rPr>
          <w:rFonts w:eastAsia="Calibri" w:cs="Times New Roman"/>
          <w:noProof/>
          <w:kern w:val="3"/>
          <w:sz w:val="24"/>
          <w:szCs w:val="24"/>
        </w:rPr>
        <w:t>(Terrill et al., 2015)</w:t>
      </w:r>
      <w:r w:rsidRPr="00586A09">
        <w:rPr>
          <w:rFonts w:eastAsia="Calibri" w:cs="Times New Roman"/>
          <w:kern w:val="3"/>
          <w:sz w:val="24"/>
          <w:szCs w:val="24"/>
        </w:rPr>
        <w:t>. The GAD-7 produces a score between 0-21.  Scores of 5, 10 and 15 represent mild, moderate and severe anxiety respectively</w:t>
      </w:r>
      <w:r>
        <w:rPr>
          <w:rFonts w:eastAsia="Calibri" w:cs="Times New Roman"/>
          <w:kern w:val="3"/>
          <w:sz w:val="24"/>
          <w:szCs w:val="24"/>
        </w:rPr>
        <w:t xml:space="preserve"> </w:t>
      </w:r>
      <w:r>
        <w:rPr>
          <w:rFonts w:eastAsia="Calibri" w:cs="Times New Roman"/>
          <w:noProof/>
          <w:kern w:val="3"/>
          <w:sz w:val="24"/>
          <w:szCs w:val="24"/>
        </w:rPr>
        <w:t>(Spitzer et al., 2006)</w:t>
      </w:r>
      <w:r w:rsidRPr="00586A09">
        <w:rPr>
          <w:rFonts w:eastAsia="Calibri" w:cs="Times New Roman"/>
          <w:kern w:val="3"/>
          <w:sz w:val="24"/>
          <w:szCs w:val="24"/>
        </w:rPr>
        <w:t xml:space="preserve">. </w:t>
      </w:r>
    </w:p>
    <w:p w14:paraId="2F898C97" w14:textId="77777777" w:rsidR="00C354C4" w:rsidRPr="00586A09" w:rsidRDefault="00C354C4" w:rsidP="00586A09">
      <w:pPr>
        <w:widowControl w:val="0"/>
        <w:suppressAutoHyphens/>
        <w:autoSpaceDN w:val="0"/>
        <w:spacing w:after="0" w:line="480" w:lineRule="auto"/>
        <w:textAlignment w:val="baseline"/>
        <w:rPr>
          <w:rFonts w:eastAsia="Calibri" w:cs="Times New Roman"/>
          <w:kern w:val="3"/>
          <w:sz w:val="24"/>
          <w:szCs w:val="24"/>
        </w:rPr>
      </w:pPr>
    </w:p>
    <w:p w14:paraId="4AE34071" w14:textId="77777777" w:rsidR="00C354C4" w:rsidRPr="00586A09" w:rsidRDefault="00C354C4" w:rsidP="00586A09">
      <w:pPr>
        <w:pStyle w:val="Heading1"/>
        <w:spacing w:line="480" w:lineRule="auto"/>
        <w:rPr>
          <w:rFonts w:eastAsia="SimSun"/>
          <w:sz w:val="24"/>
          <w:szCs w:val="24"/>
        </w:rPr>
      </w:pPr>
      <w:bookmarkStart w:id="16" w:name="_Toc476381604"/>
      <w:r w:rsidRPr="00586A09">
        <w:rPr>
          <w:rFonts w:eastAsia="SimSun"/>
          <w:sz w:val="24"/>
          <w:szCs w:val="24"/>
          <w:lang w:eastAsia="en-GB"/>
        </w:rPr>
        <w:t>Recruitment and sample selection</w:t>
      </w:r>
      <w:bookmarkEnd w:id="16"/>
    </w:p>
    <w:p w14:paraId="0B2C02C0" w14:textId="77777777" w:rsidR="00C354C4" w:rsidRDefault="00C354C4" w:rsidP="00586A09">
      <w:pPr>
        <w:suppressAutoHyphens/>
        <w:autoSpaceDN w:val="0"/>
        <w:spacing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 xml:space="preserve">Potentially eligible clinic patients were identified by a member of their care team and were given participant information packs. Patients expressed interest in becoming study participants by the return of a reply slip. Posters were also deployed on clinic and hospital notice boards. Authors suggest that 12 participants per group should be sufficient for calculating the mean and variance which can be used to determine full scale trial sample sizes </w:t>
      </w:r>
      <w:r>
        <w:rPr>
          <w:rFonts w:eastAsia="SimSun" w:cs="Calibri"/>
          <w:noProof/>
          <w:color w:val="000000" w:themeColor="text1"/>
          <w:kern w:val="3"/>
          <w:sz w:val="24"/>
          <w:szCs w:val="24"/>
        </w:rPr>
        <w:lastRenderedPageBreak/>
        <w:t>(Julious, 2005)</w:t>
      </w:r>
      <w:r w:rsidRPr="00586A09">
        <w:rPr>
          <w:rFonts w:eastAsia="SimSun" w:cs="Calibri"/>
          <w:color w:val="000000" w:themeColor="text1"/>
          <w:kern w:val="3"/>
          <w:sz w:val="24"/>
          <w:szCs w:val="24"/>
        </w:rPr>
        <w:t xml:space="preserve">, although there is no consensus on the sample size which should be recruited to feasibility studies. A pragmatic decision was therefore made to randomise 60 participants across four treatment conditions. Participants from the three intervention conditions were invited to participate in post-intervention interviews. </w:t>
      </w:r>
      <w:r w:rsidRPr="007F3C1E">
        <w:rPr>
          <w:rFonts w:eastAsia="SimSun" w:cs="Calibri"/>
          <w:color w:val="000000" w:themeColor="text1"/>
          <w:kern w:val="3"/>
          <w:sz w:val="24"/>
          <w:szCs w:val="24"/>
        </w:rPr>
        <w:t xml:space="preserve">As recommended within the consolidated standards for the reporting of trials </w:t>
      </w:r>
      <w:r w:rsidRPr="007F3C1E">
        <w:rPr>
          <w:rFonts w:eastAsia="SimSun" w:cs="Calibri"/>
          <w:noProof/>
          <w:color w:val="000000" w:themeColor="text1"/>
          <w:kern w:val="3"/>
          <w:sz w:val="24"/>
          <w:szCs w:val="24"/>
        </w:rPr>
        <w:t>(CONSORT, 2012)</w:t>
      </w:r>
      <w:r w:rsidRPr="007F3C1E">
        <w:rPr>
          <w:rFonts w:eastAsia="SimSun" w:cs="Calibri"/>
          <w:color w:val="000000" w:themeColor="text1"/>
          <w:kern w:val="3"/>
          <w:sz w:val="24"/>
          <w:szCs w:val="24"/>
        </w:rPr>
        <w:t>,</w:t>
      </w:r>
      <w:r>
        <w:rPr>
          <w:rFonts w:eastAsia="SimSun" w:cs="Calibri"/>
          <w:color w:val="000000" w:themeColor="text1"/>
          <w:kern w:val="3"/>
          <w:sz w:val="24"/>
          <w:szCs w:val="24"/>
        </w:rPr>
        <w:t xml:space="preserve"> f</w:t>
      </w:r>
      <w:r w:rsidRPr="00586A09">
        <w:rPr>
          <w:rFonts w:eastAsia="SimSun" w:cs="Calibri"/>
          <w:color w:val="000000" w:themeColor="text1"/>
          <w:kern w:val="3"/>
          <w:sz w:val="24"/>
          <w:szCs w:val="24"/>
        </w:rPr>
        <w:t>igure 1 demonstrates the flow of participants throughout the study period.</w:t>
      </w:r>
    </w:p>
    <w:p w14:paraId="32722F1B" w14:textId="77777777" w:rsidR="007F3C1E" w:rsidRPr="00586A09" w:rsidRDefault="007F3C1E" w:rsidP="00586A09">
      <w:pPr>
        <w:suppressAutoHyphens/>
        <w:autoSpaceDN w:val="0"/>
        <w:spacing w:line="480" w:lineRule="auto"/>
        <w:textAlignment w:val="baseline"/>
        <w:rPr>
          <w:rFonts w:eastAsia="SimSun" w:cs="Calibri"/>
          <w:color w:val="000000" w:themeColor="text1"/>
          <w:kern w:val="3"/>
          <w:sz w:val="24"/>
          <w:szCs w:val="24"/>
        </w:rPr>
      </w:pPr>
      <w:r>
        <w:rPr>
          <w:rFonts w:eastAsia="SimSun" w:cs="Calibri"/>
          <w:noProof/>
          <w:color w:val="000000" w:themeColor="text1"/>
          <w:kern w:val="3"/>
          <w:sz w:val="24"/>
          <w:szCs w:val="24"/>
          <w:lang w:eastAsia="en-GB"/>
        </w:rPr>
        <w:lastRenderedPageBreak/>
        <w:drawing>
          <wp:inline distT="0" distB="0" distL="0" distR="0" wp14:anchorId="0FB0523F" wp14:editId="7A4FF122">
            <wp:extent cx="5906135" cy="8078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135" cy="8078470"/>
                    </a:xfrm>
                    <a:prstGeom prst="rect">
                      <a:avLst/>
                    </a:prstGeom>
                    <a:noFill/>
                  </pic:spPr>
                </pic:pic>
              </a:graphicData>
            </a:graphic>
          </wp:inline>
        </w:drawing>
      </w:r>
    </w:p>
    <w:p w14:paraId="6185F0DA" w14:textId="77777777" w:rsidR="00C354C4" w:rsidRPr="00586A09" w:rsidRDefault="00C354C4" w:rsidP="00586A09">
      <w:pPr>
        <w:pStyle w:val="Heading1"/>
        <w:spacing w:line="480" w:lineRule="auto"/>
        <w:rPr>
          <w:rFonts w:eastAsia="Calibri" w:cs="Times New Roman"/>
          <w:sz w:val="24"/>
          <w:szCs w:val="24"/>
        </w:rPr>
      </w:pPr>
      <w:bookmarkStart w:id="17" w:name="_Toc476381605"/>
      <w:r w:rsidRPr="00586A09">
        <w:rPr>
          <w:rFonts w:eastAsia="SimSun"/>
          <w:sz w:val="24"/>
          <w:szCs w:val="24"/>
          <w:lang w:eastAsia="en-GB"/>
        </w:rPr>
        <w:lastRenderedPageBreak/>
        <w:t>Randomisation and blinding</w:t>
      </w:r>
      <w:bookmarkEnd w:id="17"/>
    </w:p>
    <w:p w14:paraId="6A75D76D" w14:textId="77777777" w:rsidR="00C354C4" w:rsidRPr="00586A09" w:rsidRDefault="00C354C4" w:rsidP="00586A09">
      <w:pPr>
        <w:suppressAutoHyphens/>
        <w:autoSpaceDN w:val="0"/>
        <w:spacing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lang w:eastAsia="en-GB"/>
        </w:rPr>
        <w:t>The principle investigator (</w:t>
      </w:r>
      <w:r w:rsidRPr="00912CB2">
        <w:rPr>
          <w:rFonts w:eastAsia="SimSun" w:cs="Calibri"/>
          <w:kern w:val="3"/>
          <w:sz w:val="24"/>
          <w:szCs w:val="24"/>
          <w:lang w:eastAsia="en-GB"/>
        </w:rPr>
        <w:t>AD</w:t>
      </w:r>
      <w:r w:rsidRPr="00586A09">
        <w:rPr>
          <w:rFonts w:eastAsia="SimSun" w:cs="Calibri"/>
          <w:color w:val="000000" w:themeColor="text1"/>
          <w:kern w:val="3"/>
          <w:sz w:val="24"/>
          <w:szCs w:val="24"/>
          <w:lang w:eastAsia="en-GB"/>
        </w:rPr>
        <w:t xml:space="preserve">) screened all participants and randomised eligible participants using an online randomisation system (see </w:t>
      </w:r>
      <w:hyperlink r:id="rId8" w:history="1">
        <w:r w:rsidRPr="00586A09">
          <w:rPr>
            <w:rFonts w:eastAsia="SimSun" w:cs="Calibri"/>
            <w:color w:val="000000" w:themeColor="text1"/>
            <w:kern w:val="3"/>
            <w:sz w:val="24"/>
            <w:szCs w:val="24"/>
          </w:rPr>
          <w:t>www.sealedenvelope.com</w:t>
        </w:r>
      </w:hyperlink>
      <w:r w:rsidRPr="00586A09">
        <w:rPr>
          <w:rFonts w:eastAsia="SimSun" w:cs="Calibri"/>
          <w:color w:val="000000" w:themeColor="text1"/>
          <w:kern w:val="3"/>
          <w:sz w:val="24"/>
          <w:szCs w:val="24"/>
          <w:lang w:eastAsia="en-GB"/>
        </w:rPr>
        <w:t>).</w:t>
      </w:r>
      <w:r w:rsidRPr="00586A09">
        <w:rPr>
          <w:rFonts w:eastAsia="SimSun" w:cs="Calibri"/>
          <w:color w:val="000000" w:themeColor="text1"/>
          <w:kern w:val="3"/>
          <w:sz w:val="24"/>
          <w:szCs w:val="24"/>
        </w:rPr>
        <w:t xml:space="preserve"> Participants were randomised across the four treatment conditions using random permuted blocks.</w:t>
      </w:r>
      <w:r w:rsidRPr="00586A09">
        <w:rPr>
          <w:rFonts w:eastAsia="SimSun" w:cs="Calibri"/>
          <w:color w:val="000000" w:themeColor="text1"/>
          <w:kern w:val="3"/>
          <w:sz w:val="24"/>
          <w:szCs w:val="24"/>
          <w:lang w:eastAsia="en-GB"/>
        </w:rPr>
        <w:t xml:space="preserve"> All quantitative, post intervention outcome data were successfully collected by a research assistant blind to participant allocation.</w:t>
      </w:r>
    </w:p>
    <w:p w14:paraId="45D65095" w14:textId="77777777" w:rsidR="00C354C4" w:rsidRPr="00586A09" w:rsidRDefault="00C354C4" w:rsidP="00586A09">
      <w:pPr>
        <w:pStyle w:val="Heading1"/>
        <w:spacing w:line="480" w:lineRule="auto"/>
        <w:rPr>
          <w:rFonts w:eastAsia="Calibri"/>
          <w:sz w:val="24"/>
          <w:szCs w:val="24"/>
          <w:lang w:eastAsia="en-GB"/>
        </w:rPr>
      </w:pPr>
      <w:bookmarkStart w:id="18" w:name="_Toc476381606"/>
      <w:r w:rsidRPr="00586A09">
        <w:rPr>
          <w:rFonts w:eastAsia="Calibri"/>
          <w:sz w:val="24"/>
          <w:szCs w:val="24"/>
          <w:lang w:eastAsia="en-GB"/>
        </w:rPr>
        <w:t>Patient and public involvement</w:t>
      </w:r>
      <w:bookmarkEnd w:id="18"/>
    </w:p>
    <w:p w14:paraId="49DE31C1" w14:textId="77777777" w:rsidR="00C354C4" w:rsidRPr="00586A09" w:rsidRDefault="00C354C4" w:rsidP="00586A09">
      <w:pPr>
        <w:suppressAutoHyphens/>
        <w:autoSpaceDN w:val="0"/>
        <w:spacing w:line="480" w:lineRule="auto"/>
        <w:textAlignment w:val="baseline"/>
        <w:rPr>
          <w:rFonts w:eastAsia="SimSun" w:cs="Calibri"/>
          <w:color w:val="000000" w:themeColor="text1"/>
          <w:kern w:val="3"/>
          <w:sz w:val="24"/>
          <w:szCs w:val="24"/>
        </w:rPr>
      </w:pPr>
      <w:r w:rsidRPr="00586A09">
        <w:rPr>
          <w:rFonts w:eastAsia="SimSun" w:cs="Calibri"/>
          <w:color w:val="000000" w:themeColor="text1"/>
          <w:kern w:val="3"/>
          <w:sz w:val="24"/>
          <w:szCs w:val="24"/>
        </w:rPr>
        <w:t>A patient advisory group (PAG) was involved in the design of the study and review of study documents from the outset. The PAG highlighted potential barriers to the recruitment and selection of participants and helped shape the materials used within the nurse-delivered and SH interventions through peer review processes.</w:t>
      </w:r>
    </w:p>
    <w:p w14:paraId="6C2799D8" w14:textId="77777777" w:rsidR="00C354C4" w:rsidRPr="00586A09" w:rsidRDefault="00C354C4" w:rsidP="00586A09">
      <w:pPr>
        <w:pStyle w:val="Heading1"/>
        <w:spacing w:line="480" w:lineRule="auto"/>
        <w:rPr>
          <w:sz w:val="24"/>
          <w:szCs w:val="24"/>
          <w:lang w:eastAsia="en-GB"/>
        </w:rPr>
      </w:pPr>
      <w:bookmarkStart w:id="19" w:name="_Toc476381607"/>
      <w:r w:rsidRPr="00586A09">
        <w:rPr>
          <w:sz w:val="24"/>
          <w:szCs w:val="24"/>
          <w:lang w:eastAsia="en-GB"/>
        </w:rPr>
        <w:t>Ethical issues</w:t>
      </w:r>
      <w:bookmarkEnd w:id="19"/>
    </w:p>
    <w:p w14:paraId="4645E06A" w14:textId="77777777" w:rsidR="00C354C4" w:rsidRPr="00586A09" w:rsidRDefault="00C354C4" w:rsidP="00586A09">
      <w:pPr>
        <w:pStyle w:val="Standard"/>
        <w:spacing w:after="0" w:line="480" w:lineRule="auto"/>
        <w:rPr>
          <w:rFonts w:ascii="Verdana" w:hAnsi="Verdana"/>
          <w:color w:val="000000" w:themeColor="text1"/>
          <w:sz w:val="24"/>
          <w:szCs w:val="24"/>
        </w:rPr>
      </w:pPr>
      <w:bookmarkStart w:id="20" w:name="_Toc476381608"/>
      <w:r w:rsidRPr="00586A09">
        <w:rPr>
          <w:rFonts w:ascii="Verdana" w:hAnsi="Verdana"/>
          <w:color w:val="000000" w:themeColor="text1"/>
          <w:sz w:val="24"/>
          <w:szCs w:val="24"/>
        </w:rPr>
        <w:t xml:space="preserve">Participants were made aware of the potential identification of clinical anxiety and/or clinical depression during recruitment and selection. The participants’ hospital care team and general practitioner were notified where a moderate to severe level of anxiety or depression was detected. The study was granted a favourable ethical opinion by the Nottingham 2 Local Research Ethics Committee (REC ref: 13/EM/0428). Host organisation approval was sought from the host NHS Trust. All participants taking part in this study provided written informed consent. All participants identified as ineligible for </w:t>
      </w:r>
      <w:r w:rsidRPr="00586A09">
        <w:rPr>
          <w:rFonts w:ascii="Verdana" w:hAnsi="Verdana"/>
          <w:color w:val="000000" w:themeColor="text1"/>
          <w:sz w:val="24"/>
          <w:szCs w:val="24"/>
        </w:rPr>
        <w:lastRenderedPageBreak/>
        <w:t>randomisation during the screening process completed a baseline data set and this marked the end of their participation. All randomised participants could continue taking part until the completion of the 26 week follow up.</w:t>
      </w:r>
    </w:p>
    <w:p w14:paraId="01BF208C" w14:textId="77777777" w:rsidR="00C354C4" w:rsidRPr="00586A09" w:rsidRDefault="00C354C4" w:rsidP="00586A09">
      <w:pPr>
        <w:pStyle w:val="Standard"/>
        <w:spacing w:after="0" w:line="480" w:lineRule="auto"/>
        <w:rPr>
          <w:rFonts w:ascii="Verdana" w:hAnsi="Verdana"/>
          <w:color w:val="000000" w:themeColor="text1"/>
          <w:sz w:val="24"/>
          <w:szCs w:val="24"/>
        </w:rPr>
      </w:pPr>
    </w:p>
    <w:p w14:paraId="1C504CC4" w14:textId="77777777" w:rsidR="00C354C4" w:rsidRPr="00586A09" w:rsidRDefault="00C354C4" w:rsidP="00586A09">
      <w:pPr>
        <w:pStyle w:val="Heading1"/>
        <w:spacing w:line="480" w:lineRule="auto"/>
        <w:rPr>
          <w:rFonts w:eastAsia="SimSun"/>
          <w:sz w:val="24"/>
          <w:szCs w:val="24"/>
        </w:rPr>
      </w:pPr>
      <w:r w:rsidRPr="00586A09">
        <w:rPr>
          <w:rFonts w:eastAsia="SimSun"/>
          <w:sz w:val="24"/>
          <w:szCs w:val="24"/>
        </w:rPr>
        <w:t>Results</w:t>
      </w:r>
      <w:bookmarkEnd w:id="20"/>
    </w:p>
    <w:p w14:paraId="4F9DADA2" w14:textId="77777777" w:rsidR="00C354C4" w:rsidRPr="00586A09" w:rsidRDefault="00C354C4" w:rsidP="00586A09">
      <w:pPr>
        <w:pStyle w:val="Heading2"/>
        <w:spacing w:line="480" w:lineRule="auto"/>
        <w:rPr>
          <w:rFonts w:eastAsia="SimSun"/>
          <w:sz w:val="24"/>
          <w:szCs w:val="24"/>
          <w:lang w:eastAsia="en-GB"/>
        </w:rPr>
      </w:pPr>
      <w:r w:rsidRPr="00586A09">
        <w:rPr>
          <w:rFonts w:eastAsia="SimSun"/>
          <w:sz w:val="24"/>
          <w:szCs w:val="24"/>
          <w:lang w:eastAsia="en-GB"/>
        </w:rPr>
        <w:t>Analysis of quantitative data</w:t>
      </w:r>
    </w:p>
    <w:p w14:paraId="6F1AF3B2" w14:textId="77777777" w:rsidR="00C354C4" w:rsidRPr="00586A09" w:rsidRDefault="00C354C4" w:rsidP="00586A09">
      <w:pPr>
        <w:spacing w:line="480" w:lineRule="auto"/>
        <w:rPr>
          <w:sz w:val="24"/>
          <w:szCs w:val="24"/>
        </w:rPr>
      </w:pPr>
      <w:bookmarkStart w:id="21" w:name="_Toc476381615"/>
      <w:r w:rsidRPr="00586A09">
        <w:rPr>
          <w:sz w:val="24"/>
          <w:szCs w:val="24"/>
        </w:rPr>
        <w:t>Quantitative data were entered into SPSS version 22 for analysis. Only descriptive statistics were generated to describe the range of data collected. No attempts were made to produce inferential data which was beyond the remit of feasibility.</w:t>
      </w:r>
    </w:p>
    <w:p w14:paraId="7803D751" w14:textId="77777777" w:rsidR="00C354C4" w:rsidRPr="00586A09" w:rsidRDefault="00C354C4" w:rsidP="00586A09">
      <w:pPr>
        <w:pStyle w:val="Heading2"/>
        <w:spacing w:line="480" w:lineRule="auto"/>
        <w:rPr>
          <w:rFonts w:eastAsia="SimSun"/>
          <w:sz w:val="24"/>
          <w:szCs w:val="24"/>
          <w:lang w:eastAsia="en-GB"/>
        </w:rPr>
      </w:pPr>
      <w:r w:rsidRPr="00586A09">
        <w:rPr>
          <w:rFonts w:eastAsia="SimSun"/>
          <w:sz w:val="24"/>
          <w:szCs w:val="24"/>
          <w:lang w:eastAsia="en-GB"/>
        </w:rPr>
        <w:t>Qualitative data thematic analysis</w:t>
      </w:r>
      <w:bookmarkEnd w:id="21"/>
    </w:p>
    <w:p w14:paraId="46682EBE" w14:textId="77777777" w:rsidR="00C354C4" w:rsidRDefault="00C354C4" w:rsidP="002D22FC">
      <w:pPr>
        <w:spacing w:after="0" w:line="480" w:lineRule="auto"/>
        <w:rPr>
          <w:rFonts w:eastAsia="Calibri" w:cs="Times New Roman"/>
          <w:sz w:val="24"/>
          <w:szCs w:val="24"/>
        </w:rPr>
      </w:pPr>
      <w:r w:rsidRPr="00586A09">
        <w:rPr>
          <w:rFonts w:eastAsia="Calibri" w:cs="Times New Roman"/>
          <w:sz w:val="24"/>
          <w:szCs w:val="24"/>
        </w:rPr>
        <w:t xml:space="preserve">Ten participants took part in the post-intervention interviews; three from the HI treatment regimen, three from LI and four from the SH intervention. The average interview duration for each of the interview groups was 47 minutes for the HI treatment participants, 41 minutes for LI participants and 30 minutes for those from the </w:t>
      </w:r>
      <w:r>
        <w:rPr>
          <w:rFonts w:eastAsia="Calibri" w:cs="Times New Roman"/>
          <w:sz w:val="24"/>
          <w:szCs w:val="24"/>
        </w:rPr>
        <w:t>SH intervention.</w:t>
      </w:r>
    </w:p>
    <w:p w14:paraId="25D613A7" w14:textId="77777777" w:rsidR="00C354C4" w:rsidRDefault="00C354C4" w:rsidP="002D22FC">
      <w:pPr>
        <w:spacing w:after="0" w:line="480" w:lineRule="auto"/>
        <w:rPr>
          <w:rFonts w:eastAsia="Calibri" w:cs="Times New Roman"/>
          <w:sz w:val="24"/>
          <w:szCs w:val="24"/>
        </w:rPr>
      </w:pPr>
    </w:p>
    <w:p w14:paraId="20BCC556" w14:textId="77777777" w:rsidR="00C354C4" w:rsidRPr="007F3C1E" w:rsidRDefault="00C354C4" w:rsidP="002D22FC">
      <w:pPr>
        <w:spacing w:after="0" w:line="480" w:lineRule="auto"/>
        <w:rPr>
          <w:rFonts w:eastAsia="Calibri" w:cs="Times New Roman"/>
          <w:sz w:val="24"/>
          <w:szCs w:val="24"/>
        </w:rPr>
      </w:pPr>
      <w:r w:rsidRPr="007F3C1E">
        <w:rPr>
          <w:rFonts w:eastAsia="Calibri" w:cs="Times New Roman"/>
          <w:sz w:val="24"/>
          <w:szCs w:val="24"/>
        </w:rPr>
        <w:t xml:space="preserve">Knowledge claims which arise from the conduct of qualitative research should be powerful and convincing </w:t>
      </w:r>
      <w:r w:rsidRPr="007F3C1E">
        <w:rPr>
          <w:rFonts w:eastAsia="Calibri" w:cs="Times New Roman"/>
          <w:noProof/>
          <w:sz w:val="24"/>
          <w:szCs w:val="24"/>
        </w:rPr>
        <w:t>(Kvale, 1996)</w:t>
      </w:r>
      <w:r w:rsidRPr="007F3C1E">
        <w:rPr>
          <w:rFonts w:eastAsia="Calibri" w:cs="Times New Roman"/>
          <w:sz w:val="24"/>
          <w:szCs w:val="24"/>
        </w:rPr>
        <w:t xml:space="preserve">. The qualitative methods were therefore designed to be justifiable and sufficient to demonstrate substantial rigor and quality </w:t>
      </w:r>
      <w:r w:rsidRPr="007F3C1E">
        <w:rPr>
          <w:rFonts w:eastAsia="Calibri" w:cs="Times New Roman"/>
          <w:noProof/>
          <w:sz w:val="24"/>
          <w:szCs w:val="24"/>
        </w:rPr>
        <w:t>(Ballinger, 2006)</w:t>
      </w:r>
      <w:r w:rsidRPr="007F3C1E">
        <w:rPr>
          <w:rFonts w:eastAsia="Calibri" w:cs="Times New Roman"/>
          <w:sz w:val="24"/>
          <w:szCs w:val="24"/>
        </w:rPr>
        <w:t xml:space="preserve">. The consolidated criteria for </w:t>
      </w:r>
      <w:r w:rsidRPr="007F3C1E">
        <w:rPr>
          <w:rFonts w:eastAsia="Calibri" w:cs="Times New Roman"/>
          <w:sz w:val="24"/>
          <w:szCs w:val="24"/>
        </w:rPr>
        <w:lastRenderedPageBreak/>
        <w:t xml:space="preserve">reporting qualitative research (CORE-Q), is a 32-item checklist for ensuring quality and rigor when reporting empirical research using interviews and focus groups </w:t>
      </w:r>
      <w:r w:rsidRPr="007F3C1E">
        <w:rPr>
          <w:rFonts w:eastAsia="Calibri" w:cs="Times New Roman"/>
          <w:noProof/>
          <w:sz w:val="24"/>
          <w:szCs w:val="24"/>
        </w:rPr>
        <w:t>(Tong et al., 2007)</w:t>
      </w:r>
      <w:r w:rsidRPr="007F3C1E">
        <w:rPr>
          <w:rFonts w:eastAsia="Calibri" w:cs="Times New Roman"/>
          <w:sz w:val="24"/>
          <w:szCs w:val="24"/>
        </w:rPr>
        <w:t xml:space="preserve">. The proposed qualitative methods were therefore consistent with the standards listed within the CORE-Q checklist. </w:t>
      </w:r>
    </w:p>
    <w:p w14:paraId="04EB3BA7" w14:textId="77777777" w:rsidR="00C354C4" w:rsidRPr="007F3C1E" w:rsidRDefault="00C354C4" w:rsidP="002D22FC">
      <w:pPr>
        <w:spacing w:after="0" w:line="480" w:lineRule="auto"/>
        <w:rPr>
          <w:rFonts w:eastAsia="Calibri" w:cs="Times New Roman"/>
          <w:sz w:val="24"/>
          <w:szCs w:val="24"/>
        </w:rPr>
      </w:pPr>
    </w:p>
    <w:p w14:paraId="4F5C2D1D" w14:textId="77777777" w:rsidR="00C354C4" w:rsidRPr="007F3C1E" w:rsidRDefault="00C354C4" w:rsidP="00586A09">
      <w:pPr>
        <w:spacing w:after="0" w:line="480" w:lineRule="auto"/>
        <w:rPr>
          <w:rFonts w:eastAsia="Calibri" w:cs="Times New Roman"/>
          <w:sz w:val="24"/>
          <w:szCs w:val="24"/>
        </w:rPr>
      </w:pPr>
      <w:r w:rsidRPr="007F3C1E">
        <w:rPr>
          <w:rFonts w:eastAsia="Calibri" w:cs="Times New Roman"/>
          <w:sz w:val="24"/>
          <w:szCs w:val="24"/>
        </w:rPr>
        <w:t xml:space="preserve">The qualitative element of the study aimed to capture knowledge which was located in the minds and personal experiences of others </w:t>
      </w:r>
      <w:r w:rsidRPr="007F3C1E">
        <w:rPr>
          <w:rFonts w:eastAsia="Calibri" w:cs="Times New Roman"/>
          <w:noProof/>
          <w:sz w:val="24"/>
          <w:szCs w:val="24"/>
        </w:rPr>
        <w:t>(Nespor and Barylske, 1991)</w:t>
      </w:r>
      <w:r w:rsidRPr="007F3C1E">
        <w:rPr>
          <w:rFonts w:eastAsia="Calibri" w:cs="Times New Roman"/>
          <w:sz w:val="24"/>
          <w:szCs w:val="24"/>
        </w:rPr>
        <w:t xml:space="preserve">. Interview methods permitted the exploration of these experiences and the subsequent textual portrayal of the phenomena </w:t>
      </w:r>
      <w:r w:rsidRPr="007F3C1E">
        <w:rPr>
          <w:rFonts w:eastAsia="Calibri" w:cs="Times New Roman"/>
          <w:noProof/>
          <w:sz w:val="24"/>
          <w:szCs w:val="24"/>
        </w:rPr>
        <w:t>(Patterson and Williams, 2002)</w:t>
      </w:r>
      <w:r w:rsidRPr="007F3C1E">
        <w:rPr>
          <w:rFonts w:eastAsia="Calibri" w:cs="Times New Roman"/>
          <w:sz w:val="24"/>
          <w:szCs w:val="24"/>
        </w:rPr>
        <w:t xml:space="preserve">. Interview questions were used by the interviewer to seek clarification, illustration and further exploration regarding important issues </w:t>
      </w:r>
      <w:r w:rsidRPr="007F3C1E">
        <w:rPr>
          <w:rFonts w:eastAsia="Calibri" w:cs="Times New Roman"/>
          <w:noProof/>
          <w:sz w:val="24"/>
          <w:szCs w:val="24"/>
        </w:rPr>
        <w:t>(Parahoo, 2006)</w:t>
      </w:r>
      <w:r w:rsidRPr="007F3C1E">
        <w:rPr>
          <w:rFonts w:eastAsia="Calibri" w:cs="Times New Roman"/>
          <w:sz w:val="24"/>
          <w:szCs w:val="24"/>
        </w:rPr>
        <w:t>. The interview questions were structured around the need to identify barriers to the use of psychotherapy amongst patients with IBS and to explore experiences that participants might have when receiving the trial interventions. The interview schedule consisted of open ended questions which allowed participants to freely express their feelings and experiences.</w:t>
      </w:r>
    </w:p>
    <w:p w14:paraId="1E3B9B43" w14:textId="77777777" w:rsidR="00C354C4" w:rsidRDefault="00C354C4" w:rsidP="00586A09">
      <w:pPr>
        <w:spacing w:after="0" w:line="480" w:lineRule="auto"/>
        <w:rPr>
          <w:rFonts w:eastAsia="Calibri" w:cs="Times New Roman"/>
          <w:sz w:val="24"/>
          <w:szCs w:val="24"/>
        </w:rPr>
      </w:pPr>
    </w:p>
    <w:p w14:paraId="6FC01821" w14:textId="77777777" w:rsidR="00C354C4" w:rsidRPr="00586A09" w:rsidRDefault="00C354C4" w:rsidP="00586A09">
      <w:pPr>
        <w:spacing w:after="0" w:line="480" w:lineRule="auto"/>
        <w:rPr>
          <w:rFonts w:eastAsia="Calibri" w:cs="Times New Roman"/>
          <w:sz w:val="24"/>
          <w:szCs w:val="24"/>
        </w:rPr>
      </w:pPr>
      <w:r>
        <w:rPr>
          <w:rFonts w:eastAsia="Calibri" w:cs="Times New Roman"/>
          <w:sz w:val="24"/>
          <w:szCs w:val="24"/>
        </w:rPr>
        <w:t>I</w:t>
      </w:r>
      <w:r w:rsidRPr="00586A09">
        <w:rPr>
          <w:rFonts w:eastAsia="Calibri" w:cs="Times New Roman"/>
          <w:sz w:val="24"/>
          <w:szCs w:val="24"/>
        </w:rPr>
        <w:t xml:space="preserve">nterviews were conducted as per ethical approval by a co-investigator </w:t>
      </w:r>
      <w:r>
        <w:rPr>
          <w:rFonts w:eastAsia="Calibri" w:cs="Times New Roman"/>
          <w:sz w:val="24"/>
          <w:szCs w:val="24"/>
        </w:rPr>
        <w:t>(</w:t>
      </w:r>
      <w:r w:rsidRPr="00912CB2">
        <w:rPr>
          <w:rFonts w:eastAsia="Calibri" w:cs="Times New Roman"/>
          <w:sz w:val="24"/>
          <w:szCs w:val="24"/>
        </w:rPr>
        <w:t>EH</w:t>
      </w:r>
      <w:r w:rsidRPr="00586A09">
        <w:rPr>
          <w:rFonts w:eastAsia="Calibri" w:cs="Times New Roman"/>
          <w:sz w:val="24"/>
          <w:szCs w:val="24"/>
        </w:rPr>
        <w:t xml:space="preserve">) who was not connected to the delivery of interventions. Interviews took place within facilities located within a digestive diseases research centre. The interviewer had a background in the delivery of LI psychological </w:t>
      </w:r>
      <w:r w:rsidRPr="00586A09">
        <w:rPr>
          <w:rFonts w:eastAsia="Calibri" w:cs="Times New Roman"/>
          <w:sz w:val="24"/>
          <w:szCs w:val="24"/>
        </w:rPr>
        <w:lastRenderedPageBreak/>
        <w:t xml:space="preserve">interventions for common mental health problems. Interview recordings were transcribed verbatim by </w:t>
      </w:r>
      <w:r w:rsidRPr="00912CB2">
        <w:rPr>
          <w:rFonts w:eastAsia="Calibri" w:cs="Times New Roman"/>
          <w:sz w:val="24"/>
          <w:szCs w:val="24"/>
        </w:rPr>
        <w:t>AD</w:t>
      </w:r>
      <w:r w:rsidRPr="00586A09">
        <w:rPr>
          <w:rFonts w:eastAsia="Calibri" w:cs="Times New Roman"/>
          <w:sz w:val="24"/>
          <w:szCs w:val="24"/>
        </w:rPr>
        <w:t xml:space="preserve"> and analysed as per the thematic framework analysis described by </w:t>
      </w:r>
      <w:r w:rsidRPr="00586A09">
        <w:rPr>
          <w:rFonts w:eastAsia="Calibri" w:cs="Times New Roman"/>
          <w:noProof/>
          <w:sz w:val="24"/>
          <w:szCs w:val="24"/>
        </w:rPr>
        <w:t xml:space="preserve">Ritchie and Spencer </w:t>
      </w:r>
      <w:r>
        <w:rPr>
          <w:rFonts w:eastAsia="Calibri" w:cs="Times New Roman"/>
          <w:noProof/>
          <w:sz w:val="24"/>
          <w:szCs w:val="24"/>
        </w:rPr>
        <w:t>(Ritchie and Spencer, 1994)</w:t>
      </w:r>
      <w:r w:rsidRPr="00586A09">
        <w:rPr>
          <w:rFonts w:eastAsia="Calibri" w:cs="Times New Roman"/>
          <w:sz w:val="24"/>
          <w:szCs w:val="24"/>
        </w:rPr>
        <w:t xml:space="preserve">. In order to improve the rigour during the analysis and guard against investigator bias, a group analysis approach was used to analyse the interview data </w:t>
      </w:r>
      <w:r>
        <w:rPr>
          <w:rFonts w:eastAsia="Calibri" w:cs="Times New Roman"/>
          <w:noProof/>
          <w:sz w:val="24"/>
          <w:szCs w:val="24"/>
        </w:rPr>
        <w:t>(Gunaratnam, 2009)</w:t>
      </w:r>
      <w:r w:rsidRPr="00586A09">
        <w:rPr>
          <w:rFonts w:eastAsia="Calibri" w:cs="Times New Roman"/>
          <w:sz w:val="24"/>
          <w:szCs w:val="24"/>
        </w:rPr>
        <w:t>. Both the investigator (</w:t>
      </w:r>
      <w:r w:rsidRPr="00912CB2">
        <w:rPr>
          <w:rFonts w:eastAsia="Calibri" w:cs="Times New Roman"/>
          <w:sz w:val="24"/>
          <w:szCs w:val="24"/>
        </w:rPr>
        <w:t>AD</w:t>
      </w:r>
      <w:r w:rsidRPr="00586A09">
        <w:rPr>
          <w:rFonts w:eastAsia="Calibri" w:cs="Times New Roman"/>
          <w:sz w:val="24"/>
          <w:szCs w:val="24"/>
        </w:rPr>
        <w:t>) and the interviewer (</w:t>
      </w:r>
      <w:r w:rsidRPr="00912CB2">
        <w:rPr>
          <w:rFonts w:eastAsia="Calibri" w:cs="Times New Roman"/>
          <w:sz w:val="24"/>
          <w:szCs w:val="24"/>
        </w:rPr>
        <w:t>EH</w:t>
      </w:r>
      <w:r w:rsidRPr="00586A09">
        <w:rPr>
          <w:rFonts w:eastAsia="Calibri" w:cs="Times New Roman"/>
          <w:sz w:val="24"/>
          <w:szCs w:val="24"/>
        </w:rPr>
        <w:t>) analysed the interview transcripts under the supervision of an experie</w:t>
      </w:r>
      <w:r>
        <w:rPr>
          <w:rFonts w:eastAsia="Calibri" w:cs="Times New Roman"/>
          <w:sz w:val="24"/>
          <w:szCs w:val="24"/>
        </w:rPr>
        <w:t>nced qualitative researcher</w:t>
      </w:r>
      <w:r w:rsidRPr="00586A09">
        <w:rPr>
          <w:rFonts w:eastAsia="Calibri" w:cs="Times New Roman"/>
          <w:sz w:val="24"/>
          <w:szCs w:val="24"/>
        </w:rPr>
        <w:t xml:space="preserve">. </w:t>
      </w:r>
      <w:r w:rsidRPr="007F3C1E">
        <w:rPr>
          <w:rFonts w:eastAsia="Calibri" w:cs="Times New Roman"/>
          <w:sz w:val="24"/>
          <w:szCs w:val="24"/>
        </w:rPr>
        <w:t>The data were analysed and themes identified within the data as follows.</w:t>
      </w:r>
    </w:p>
    <w:p w14:paraId="376A8C12" w14:textId="77777777" w:rsidR="00C354C4" w:rsidRPr="00586A09" w:rsidRDefault="00C354C4" w:rsidP="00C354C4">
      <w:pPr>
        <w:pStyle w:val="ListParagraph"/>
        <w:numPr>
          <w:ilvl w:val="0"/>
          <w:numId w:val="25"/>
        </w:numPr>
        <w:spacing w:after="0" w:line="480" w:lineRule="auto"/>
        <w:rPr>
          <w:rFonts w:eastAsia="Calibri" w:cs="Times New Roman"/>
          <w:sz w:val="24"/>
          <w:szCs w:val="24"/>
        </w:rPr>
      </w:pPr>
      <w:r w:rsidRPr="00586A09">
        <w:rPr>
          <w:rFonts w:eastAsia="Calibri" w:cs="Times New Roman"/>
          <w:sz w:val="24"/>
          <w:szCs w:val="24"/>
        </w:rPr>
        <w:t xml:space="preserve">The researchers became immersed in the data by exploring the richness, depth and diversity. </w:t>
      </w:r>
      <w:r w:rsidRPr="00B43821">
        <w:rPr>
          <w:rFonts w:eastAsia="Calibri" w:cs="Times New Roman"/>
          <w:sz w:val="24"/>
          <w:szCs w:val="24"/>
        </w:rPr>
        <w:t>AD</w:t>
      </w:r>
      <w:r w:rsidRPr="00586A09">
        <w:rPr>
          <w:rFonts w:eastAsia="Calibri" w:cs="Times New Roman"/>
          <w:sz w:val="24"/>
          <w:szCs w:val="24"/>
        </w:rPr>
        <w:t xml:space="preserve"> transcribed audio data for analysis which were verified by the interviewer (</w:t>
      </w:r>
      <w:r w:rsidRPr="00B43821">
        <w:rPr>
          <w:rFonts w:eastAsia="Calibri" w:cs="Times New Roman"/>
          <w:sz w:val="24"/>
          <w:szCs w:val="24"/>
        </w:rPr>
        <w:t>EH</w:t>
      </w:r>
      <w:r w:rsidRPr="00586A09">
        <w:rPr>
          <w:rFonts w:eastAsia="Calibri" w:cs="Times New Roman"/>
          <w:sz w:val="24"/>
          <w:szCs w:val="24"/>
        </w:rPr>
        <w:t>).</w:t>
      </w:r>
    </w:p>
    <w:p w14:paraId="0D8C5F8A" w14:textId="77777777" w:rsidR="00C354C4" w:rsidRPr="00586A09" w:rsidRDefault="00C354C4" w:rsidP="00C354C4">
      <w:pPr>
        <w:pStyle w:val="ListParagraph"/>
        <w:numPr>
          <w:ilvl w:val="0"/>
          <w:numId w:val="25"/>
        </w:numPr>
        <w:spacing w:after="0" w:line="480" w:lineRule="auto"/>
        <w:rPr>
          <w:rFonts w:eastAsia="Calibri" w:cs="Times New Roman"/>
          <w:sz w:val="24"/>
          <w:szCs w:val="24"/>
        </w:rPr>
      </w:pPr>
      <w:r w:rsidRPr="00586A09">
        <w:rPr>
          <w:rFonts w:eastAsia="Calibri" w:cs="Times New Roman"/>
          <w:sz w:val="24"/>
          <w:szCs w:val="24"/>
        </w:rPr>
        <w:t>The analysts independently produced a draft thematic framework. This involved the identification and assembly of key issues, concepts and themes which could be used to reference the range of data. The two analysts then jointly agreed upon the thematic framework.</w:t>
      </w:r>
    </w:p>
    <w:p w14:paraId="5D39F22B" w14:textId="77777777" w:rsidR="00C354C4" w:rsidRPr="00586A09" w:rsidRDefault="00C354C4" w:rsidP="00C354C4">
      <w:pPr>
        <w:pStyle w:val="ListParagraph"/>
        <w:numPr>
          <w:ilvl w:val="0"/>
          <w:numId w:val="25"/>
        </w:numPr>
        <w:spacing w:after="0" w:line="480" w:lineRule="auto"/>
        <w:rPr>
          <w:rFonts w:eastAsia="Calibri" w:cs="Times New Roman"/>
          <w:sz w:val="24"/>
          <w:szCs w:val="24"/>
        </w:rPr>
      </w:pPr>
      <w:r w:rsidRPr="00586A09">
        <w:rPr>
          <w:rFonts w:eastAsia="Calibri" w:cs="Times New Roman"/>
          <w:sz w:val="24"/>
          <w:szCs w:val="24"/>
        </w:rPr>
        <w:t>The thematic framework was applied to the interview transcripts and charts were built to build a picture of the data.</w:t>
      </w:r>
    </w:p>
    <w:p w14:paraId="130C4EF0" w14:textId="77777777" w:rsidR="00C354C4" w:rsidRPr="00586A09" w:rsidRDefault="00C354C4" w:rsidP="00C354C4">
      <w:pPr>
        <w:pStyle w:val="ListParagraph"/>
        <w:numPr>
          <w:ilvl w:val="0"/>
          <w:numId w:val="25"/>
        </w:numPr>
        <w:spacing w:after="0" w:line="480" w:lineRule="auto"/>
        <w:rPr>
          <w:rFonts w:eastAsia="Calibri" w:cs="Times New Roman"/>
          <w:sz w:val="24"/>
          <w:szCs w:val="24"/>
        </w:rPr>
      </w:pPr>
      <w:r w:rsidRPr="00586A09">
        <w:rPr>
          <w:rFonts w:eastAsia="Calibri" w:cs="Times New Roman"/>
          <w:sz w:val="24"/>
          <w:szCs w:val="24"/>
        </w:rPr>
        <w:t>The analysts jointly compared the perceptions, accounts, and experiences within the data and identified the key themes.</w:t>
      </w:r>
    </w:p>
    <w:p w14:paraId="5A3D1591" w14:textId="77777777" w:rsidR="00C354C4" w:rsidRDefault="00C354C4" w:rsidP="00586A09">
      <w:pPr>
        <w:spacing w:after="0" w:line="480" w:lineRule="auto"/>
        <w:rPr>
          <w:rFonts w:eastAsia="Calibri" w:cs="Times New Roman"/>
          <w:sz w:val="24"/>
          <w:szCs w:val="24"/>
        </w:rPr>
      </w:pPr>
    </w:p>
    <w:p w14:paraId="74714758" w14:textId="77777777" w:rsidR="00C354C4" w:rsidRDefault="00C354C4" w:rsidP="00586A09">
      <w:pPr>
        <w:spacing w:after="0" w:line="480" w:lineRule="auto"/>
        <w:rPr>
          <w:rFonts w:eastAsia="Calibri" w:cs="Times New Roman"/>
          <w:sz w:val="24"/>
          <w:szCs w:val="24"/>
        </w:rPr>
      </w:pPr>
      <w:r w:rsidRPr="00586A09">
        <w:rPr>
          <w:rFonts w:eastAsia="Calibri" w:cs="Times New Roman"/>
          <w:sz w:val="24"/>
          <w:szCs w:val="24"/>
        </w:rPr>
        <w:lastRenderedPageBreak/>
        <w:t xml:space="preserve">The four main themes identified during framework analysis consisted of; the participant’s initial perceptions of treatment, the experience of executing therapeutic tasks, practical considerations for engagement and the participants perceived utility of treatment. </w:t>
      </w:r>
      <w:r>
        <w:rPr>
          <w:rFonts w:eastAsia="Calibri" w:cs="Times New Roman"/>
          <w:sz w:val="24"/>
          <w:szCs w:val="24"/>
        </w:rPr>
        <w:t>Further themes were identified which did not relate directly to the objectives of the study, these will be reported elsewhere.</w:t>
      </w:r>
    </w:p>
    <w:p w14:paraId="38CAFBD9" w14:textId="77777777" w:rsidR="00C354C4" w:rsidRDefault="00C354C4" w:rsidP="00586A09">
      <w:pPr>
        <w:spacing w:after="0" w:line="480" w:lineRule="auto"/>
        <w:rPr>
          <w:rFonts w:eastAsia="Calibri" w:cs="Times New Roman"/>
          <w:sz w:val="24"/>
          <w:szCs w:val="24"/>
        </w:rPr>
      </w:pPr>
    </w:p>
    <w:p w14:paraId="5E2C777E" w14:textId="77777777" w:rsidR="00C354C4" w:rsidRPr="00586A09" w:rsidRDefault="00C354C4" w:rsidP="00586A09">
      <w:pPr>
        <w:pStyle w:val="Heading2"/>
        <w:spacing w:line="480" w:lineRule="auto"/>
        <w:rPr>
          <w:rFonts w:eastAsia="SimSun"/>
          <w:sz w:val="24"/>
          <w:szCs w:val="24"/>
          <w:lang w:eastAsia="en-GB"/>
        </w:rPr>
      </w:pPr>
      <w:bookmarkStart w:id="22" w:name="_Toc476381610"/>
      <w:r w:rsidRPr="00586A09">
        <w:rPr>
          <w:rFonts w:eastAsia="SimSun"/>
          <w:sz w:val="24"/>
          <w:szCs w:val="24"/>
          <w:lang w:eastAsia="en-GB"/>
        </w:rPr>
        <w:t>Recruitment, retention and participant characteristics</w:t>
      </w:r>
      <w:bookmarkEnd w:id="22"/>
    </w:p>
    <w:p w14:paraId="6AF0F76F"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One hundred and four patients were approached with details regarding the study. Overall, 33 expressions of interest were received, which equates to a response rate of 34.4%. Ethical approval was therefore sought to ask participants who chose not to take part in the study their reasons for not doing so. The following table (table 1) lists the responses from a small sample (n=10) of participants who were contacted to discover the factors affecting their decision not to participate. As per ethical approval, participants were under no obligation to provide this information and identifiable data were not collected.</w:t>
      </w:r>
    </w:p>
    <w:p w14:paraId="39515549" w14:textId="77777777" w:rsidR="00C354C4" w:rsidRDefault="00C354C4" w:rsidP="00586A09">
      <w:pPr>
        <w:spacing w:after="0" w:line="480" w:lineRule="auto"/>
        <w:rPr>
          <w:rFonts w:eastAsia="Calibri" w:cs="Times New Roman"/>
          <w:sz w:val="24"/>
          <w:szCs w:val="24"/>
        </w:rPr>
      </w:pPr>
    </w:p>
    <w:p w14:paraId="0041A405" w14:textId="77777777" w:rsidR="007F3C1E" w:rsidRDefault="007F3C1E" w:rsidP="00586A09">
      <w:pPr>
        <w:spacing w:after="0" w:line="480" w:lineRule="auto"/>
        <w:rPr>
          <w:rFonts w:eastAsia="Calibri" w:cs="Times New Roman"/>
          <w:sz w:val="24"/>
          <w:szCs w:val="24"/>
        </w:rPr>
      </w:pPr>
    </w:p>
    <w:p w14:paraId="713E06C4" w14:textId="77777777" w:rsidR="007F3C1E" w:rsidRDefault="007F3C1E" w:rsidP="00586A09">
      <w:pPr>
        <w:spacing w:after="0" w:line="480" w:lineRule="auto"/>
        <w:rPr>
          <w:rFonts w:eastAsia="Calibri" w:cs="Times New Roman"/>
          <w:sz w:val="24"/>
          <w:szCs w:val="24"/>
        </w:rPr>
      </w:pPr>
    </w:p>
    <w:p w14:paraId="73967AD2" w14:textId="77777777" w:rsidR="007F3C1E" w:rsidRPr="00586A09" w:rsidRDefault="007F3C1E" w:rsidP="00586A09">
      <w:pPr>
        <w:spacing w:after="0" w:line="480" w:lineRule="auto"/>
        <w:rPr>
          <w:rFonts w:eastAsia="Calibri" w:cs="Times New Roman"/>
          <w:sz w:val="24"/>
          <w:szCs w:val="24"/>
        </w:rPr>
      </w:pP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229"/>
        <w:gridCol w:w="6961"/>
        <w:gridCol w:w="1080"/>
      </w:tblGrid>
      <w:tr w:rsidR="007F3C1E" w:rsidRPr="007F3C1E" w14:paraId="3123B611" w14:textId="77777777" w:rsidTr="00F30E67">
        <w:trPr>
          <w:jc w:val="center"/>
        </w:trPr>
        <w:tc>
          <w:tcPr>
            <w:tcW w:w="9270" w:type="dxa"/>
            <w:gridSpan w:val="3"/>
            <w:shd w:val="clear" w:color="auto" w:fill="F2F2F2" w:themeFill="background1" w:themeFillShade="F2"/>
          </w:tcPr>
          <w:p w14:paraId="6EF2CEFC" w14:textId="77777777" w:rsidR="007F3C1E" w:rsidRPr="007F3C1E" w:rsidRDefault="007F3C1E" w:rsidP="007F3C1E">
            <w:pPr>
              <w:spacing w:after="0" w:line="240" w:lineRule="auto"/>
              <w:rPr>
                <w:b/>
                <w:sz w:val="24"/>
                <w:szCs w:val="24"/>
                <w:lang w:eastAsia="en-US"/>
              </w:rPr>
            </w:pPr>
          </w:p>
          <w:p w14:paraId="73FB8DC2" w14:textId="77777777" w:rsidR="007F3C1E" w:rsidRDefault="007F3C1E" w:rsidP="007F3C1E">
            <w:pPr>
              <w:spacing w:after="0" w:line="240" w:lineRule="auto"/>
              <w:jc w:val="center"/>
              <w:rPr>
                <w:b/>
                <w:sz w:val="24"/>
                <w:szCs w:val="24"/>
                <w:lang w:eastAsia="en-US"/>
              </w:rPr>
            </w:pPr>
            <w:r w:rsidRPr="007F3C1E">
              <w:rPr>
                <w:b/>
                <w:sz w:val="24"/>
                <w:szCs w:val="24"/>
                <w:lang w:eastAsia="en-US"/>
              </w:rPr>
              <w:lastRenderedPageBreak/>
              <w:t>Table 1: Reasons for participants not wishing to express further interest in research upon invitation to the study</w:t>
            </w:r>
          </w:p>
          <w:p w14:paraId="147A4131" w14:textId="77777777" w:rsidR="007F3C1E" w:rsidRPr="007F3C1E" w:rsidRDefault="007F3C1E" w:rsidP="007F3C1E">
            <w:pPr>
              <w:spacing w:after="0" w:line="240" w:lineRule="auto"/>
              <w:jc w:val="center"/>
              <w:rPr>
                <w:b/>
                <w:sz w:val="24"/>
                <w:szCs w:val="24"/>
                <w:lang w:eastAsia="en-US"/>
              </w:rPr>
            </w:pPr>
          </w:p>
        </w:tc>
      </w:tr>
      <w:tr w:rsidR="007F3C1E" w:rsidRPr="007F3C1E" w14:paraId="2F200D8F" w14:textId="77777777" w:rsidTr="00F30E67">
        <w:trPr>
          <w:jc w:val="center"/>
        </w:trPr>
        <w:tc>
          <w:tcPr>
            <w:tcW w:w="1229" w:type="dxa"/>
            <w:shd w:val="clear" w:color="auto" w:fill="F2F2F2" w:themeFill="background1" w:themeFillShade="F2"/>
          </w:tcPr>
          <w:p w14:paraId="420C65AB" w14:textId="77777777" w:rsidR="007F3C1E" w:rsidRPr="007F3C1E" w:rsidRDefault="007F3C1E" w:rsidP="007F3C1E">
            <w:pPr>
              <w:spacing w:after="0" w:line="480" w:lineRule="auto"/>
              <w:rPr>
                <w:b/>
                <w:sz w:val="24"/>
                <w:szCs w:val="24"/>
                <w:lang w:eastAsia="en-US"/>
              </w:rPr>
            </w:pPr>
            <w:r w:rsidRPr="007F3C1E">
              <w:rPr>
                <w:b/>
                <w:sz w:val="24"/>
                <w:szCs w:val="24"/>
                <w:lang w:eastAsia="en-US"/>
              </w:rPr>
              <w:lastRenderedPageBreak/>
              <w:t>Patient</w:t>
            </w:r>
          </w:p>
        </w:tc>
        <w:tc>
          <w:tcPr>
            <w:tcW w:w="6961" w:type="dxa"/>
            <w:shd w:val="clear" w:color="auto" w:fill="F2F2F2" w:themeFill="background1" w:themeFillShade="F2"/>
          </w:tcPr>
          <w:p w14:paraId="70A53380" w14:textId="77777777" w:rsidR="007F3C1E" w:rsidRPr="007F3C1E" w:rsidRDefault="007F3C1E" w:rsidP="007F3C1E">
            <w:pPr>
              <w:spacing w:after="0" w:line="240" w:lineRule="auto"/>
              <w:rPr>
                <w:b/>
                <w:sz w:val="24"/>
                <w:szCs w:val="24"/>
                <w:lang w:eastAsia="en-US"/>
              </w:rPr>
            </w:pPr>
            <w:r w:rsidRPr="007F3C1E">
              <w:rPr>
                <w:b/>
                <w:sz w:val="24"/>
                <w:szCs w:val="24"/>
                <w:lang w:eastAsia="en-US"/>
              </w:rPr>
              <w:t>Reasons offered for not expressing further interest</w:t>
            </w:r>
          </w:p>
        </w:tc>
        <w:tc>
          <w:tcPr>
            <w:tcW w:w="1080" w:type="dxa"/>
            <w:shd w:val="clear" w:color="auto" w:fill="F2F2F2" w:themeFill="background1" w:themeFillShade="F2"/>
          </w:tcPr>
          <w:p w14:paraId="0CB5A24D" w14:textId="77777777" w:rsidR="007F3C1E" w:rsidRPr="007F3C1E" w:rsidRDefault="007F3C1E" w:rsidP="007F3C1E">
            <w:pPr>
              <w:spacing w:after="0" w:line="480" w:lineRule="auto"/>
              <w:rPr>
                <w:b/>
                <w:sz w:val="24"/>
                <w:szCs w:val="24"/>
                <w:u w:val="single"/>
                <w:lang w:eastAsia="en-US"/>
              </w:rPr>
            </w:pPr>
          </w:p>
        </w:tc>
      </w:tr>
      <w:tr w:rsidR="007F3C1E" w:rsidRPr="007F3C1E" w14:paraId="07EA8BC0" w14:textId="77777777" w:rsidTr="00F30E67">
        <w:trPr>
          <w:jc w:val="center"/>
        </w:trPr>
        <w:tc>
          <w:tcPr>
            <w:tcW w:w="1229" w:type="dxa"/>
            <w:shd w:val="clear" w:color="auto" w:fill="F2F2F2" w:themeFill="background1" w:themeFillShade="F2"/>
          </w:tcPr>
          <w:p w14:paraId="7BB4F984" w14:textId="77777777" w:rsidR="007F3C1E" w:rsidRPr="007F3C1E" w:rsidRDefault="007F3C1E" w:rsidP="007F3C1E">
            <w:pPr>
              <w:spacing w:after="0" w:line="240" w:lineRule="auto"/>
              <w:rPr>
                <w:sz w:val="24"/>
                <w:szCs w:val="24"/>
                <w:lang w:eastAsia="en-US"/>
              </w:rPr>
            </w:pPr>
            <w:r w:rsidRPr="007F3C1E">
              <w:rPr>
                <w:sz w:val="24"/>
                <w:szCs w:val="24"/>
                <w:lang w:eastAsia="en-US"/>
              </w:rPr>
              <w:t>1</w:t>
            </w:r>
          </w:p>
        </w:tc>
        <w:tc>
          <w:tcPr>
            <w:tcW w:w="6961" w:type="dxa"/>
            <w:shd w:val="clear" w:color="auto" w:fill="F2F2F2" w:themeFill="background1" w:themeFillShade="F2"/>
          </w:tcPr>
          <w:p w14:paraId="68D54399" w14:textId="77777777" w:rsidR="007F3C1E" w:rsidRPr="007F3C1E" w:rsidRDefault="007F3C1E" w:rsidP="007F3C1E">
            <w:pPr>
              <w:spacing w:after="0" w:line="240" w:lineRule="auto"/>
              <w:rPr>
                <w:sz w:val="24"/>
                <w:szCs w:val="24"/>
                <w:lang w:eastAsia="en-US"/>
              </w:rPr>
            </w:pPr>
            <w:r w:rsidRPr="007F3C1E">
              <w:rPr>
                <w:sz w:val="24"/>
                <w:szCs w:val="24"/>
                <w:lang w:eastAsia="en-US"/>
              </w:rPr>
              <w:t>Level of commitment too great</w:t>
            </w:r>
          </w:p>
        </w:tc>
        <w:tc>
          <w:tcPr>
            <w:tcW w:w="1080" w:type="dxa"/>
            <w:shd w:val="clear" w:color="auto" w:fill="F2F2F2" w:themeFill="background1" w:themeFillShade="F2"/>
          </w:tcPr>
          <w:p w14:paraId="588F2E28" w14:textId="77777777" w:rsidR="007F3C1E" w:rsidRPr="007F3C1E" w:rsidRDefault="007F3C1E" w:rsidP="007F3C1E">
            <w:pPr>
              <w:spacing w:after="0" w:line="480" w:lineRule="auto"/>
              <w:rPr>
                <w:sz w:val="24"/>
                <w:szCs w:val="24"/>
                <w:lang w:eastAsia="en-US"/>
              </w:rPr>
            </w:pPr>
          </w:p>
        </w:tc>
      </w:tr>
      <w:tr w:rsidR="007F3C1E" w:rsidRPr="007F3C1E" w14:paraId="717D5157" w14:textId="77777777" w:rsidTr="00F30E67">
        <w:trPr>
          <w:jc w:val="center"/>
        </w:trPr>
        <w:tc>
          <w:tcPr>
            <w:tcW w:w="1229" w:type="dxa"/>
            <w:shd w:val="clear" w:color="auto" w:fill="F2F2F2" w:themeFill="background1" w:themeFillShade="F2"/>
          </w:tcPr>
          <w:p w14:paraId="4C0008B6" w14:textId="77777777" w:rsidR="007F3C1E" w:rsidRPr="007F3C1E" w:rsidRDefault="007F3C1E" w:rsidP="007F3C1E">
            <w:pPr>
              <w:spacing w:after="0" w:line="240" w:lineRule="auto"/>
              <w:rPr>
                <w:sz w:val="24"/>
                <w:szCs w:val="24"/>
                <w:lang w:eastAsia="en-US"/>
              </w:rPr>
            </w:pPr>
            <w:r w:rsidRPr="007F3C1E">
              <w:rPr>
                <w:sz w:val="24"/>
                <w:szCs w:val="24"/>
                <w:lang w:eastAsia="en-US"/>
              </w:rPr>
              <w:t>2</w:t>
            </w:r>
          </w:p>
        </w:tc>
        <w:tc>
          <w:tcPr>
            <w:tcW w:w="6961" w:type="dxa"/>
            <w:shd w:val="clear" w:color="auto" w:fill="F2F2F2" w:themeFill="background1" w:themeFillShade="F2"/>
          </w:tcPr>
          <w:p w14:paraId="385AFE4B" w14:textId="77777777" w:rsidR="007F3C1E" w:rsidRPr="007F3C1E" w:rsidRDefault="007F3C1E" w:rsidP="007F3C1E">
            <w:pPr>
              <w:spacing w:after="0" w:line="240" w:lineRule="auto"/>
              <w:rPr>
                <w:sz w:val="24"/>
                <w:szCs w:val="24"/>
                <w:lang w:eastAsia="en-US"/>
              </w:rPr>
            </w:pPr>
            <w:r w:rsidRPr="007F3C1E">
              <w:rPr>
                <w:sz w:val="24"/>
                <w:szCs w:val="24"/>
                <w:lang w:eastAsia="en-US"/>
              </w:rPr>
              <w:t>Generally of no interest</w:t>
            </w:r>
          </w:p>
        </w:tc>
        <w:tc>
          <w:tcPr>
            <w:tcW w:w="1080" w:type="dxa"/>
            <w:shd w:val="clear" w:color="auto" w:fill="F2F2F2" w:themeFill="background1" w:themeFillShade="F2"/>
          </w:tcPr>
          <w:p w14:paraId="15DA445D" w14:textId="77777777" w:rsidR="007F3C1E" w:rsidRPr="007F3C1E" w:rsidRDefault="007F3C1E" w:rsidP="007F3C1E">
            <w:pPr>
              <w:spacing w:after="0" w:line="480" w:lineRule="auto"/>
              <w:rPr>
                <w:sz w:val="24"/>
                <w:szCs w:val="24"/>
                <w:lang w:eastAsia="en-US"/>
              </w:rPr>
            </w:pPr>
          </w:p>
        </w:tc>
      </w:tr>
      <w:tr w:rsidR="007F3C1E" w:rsidRPr="007F3C1E" w14:paraId="6A4B5501" w14:textId="77777777" w:rsidTr="00F30E67">
        <w:trPr>
          <w:jc w:val="center"/>
        </w:trPr>
        <w:tc>
          <w:tcPr>
            <w:tcW w:w="1229" w:type="dxa"/>
            <w:shd w:val="clear" w:color="auto" w:fill="F2F2F2" w:themeFill="background1" w:themeFillShade="F2"/>
          </w:tcPr>
          <w:p w14:paraId="6FA6613A" w14:textId="77777777" w:rsidR="007F3C1E" w:rsidRPr="007F3C1E" w:rsidRDefault="007F3C1E" w:rsidP="007F3C1E">
            <w:pPr>
              <w:spacing w:after="0" w:line="240" w:lineRule="auto"/>
              <w:rPr>
                <w:sz w:val="24"/>
                <w:szCs w:val="24"/>
                <w:lang w:eastAsia="en-US"/>
              </w:rPr>
            </w:pPr>
            <w:r w:rsidRPr="007F3C1E">
              <w:rPr>
                <w:sz w:val="24"/>
                <w:szCs w:val="24"/>
                <w:lang w:eastAsia="en-US"/>
              </w:rPr>
              <w:t>3</w:t>
            </w:r>
          </w:p>
        </w:tc>
        <w:tc>
          <w:tcPr>
            <w:tcW w:w="6961" w:type="dxa"/>
            <w:shd w:val="clear" w:color="auto" w:fill="F2F2F2" w:themeFill="background1" w:themeFillShade="F2"/>
          </w:tcPr>
          <w:p w14:paraId="5CECDA31" w14:textId="77777777" w:rsidR="007F3C1E" w:rsidRPr="007F3C1E" w:rsidRDefault="007F3C1E" w:rsidP="007F3C1E">
            <w:pPr>
              <w:spacing w:after="0" w:line="240" w:lineRule="auto"/>
              <w:rPr>
                <w:sz w:val="24"/>
                <w:szCs w:val="24"/>
                <w:lang w:eastAsia="en-US"/>
              </w:rPr>
            </w:pPr>
            <w:r w:rsidRPr="007F3C1E">
              <w:rPr>
                <w:sz w:val="24"/>
                <w:szCs w:val="24"/>
                <w:lang w:eastAsia="en-US"/>
              </w:rPr>
              <w:t>Does not have the time/symptoms resolved</w:t>
            </w:r>
          </w:p>
        </w:tc>
        <w:tc>
          <w:tcPr>
            <w:tcW w:w="1080" w:type="dxa"/>
            <w:shd w:val="clear" w:color="auto" w:fill="F2F2F2" w:themeFill="background1" w:themeFillShade="F2"/>
          </w:tcPr>
          <w:p w14:paraId="057B67D7" w14:textId="77777777" w:rsidR="007F3C1E" w:rsidRPr="007F3C1E" w:rsidRDefault="007F3C1E" w:rsidP="007F3C1E">
            <w:pPr>
              <w:spacing w:after="0" w:line="480" w:lineRule="auto"/>
              <w:rPr>
                <w:sz w:val="24"/>
                <w:szCs w:val="24"/>
                <w:lang w:eastAsia="en-US"/>
              </w:rPr>
            </w:pPr>
          </w:p>
        </w:tc>
      </w:tr>
      <w:tr w:rsidR="007F3C1E" w:rsidRPr="007F3C1E" w14:paraId="419A4698" w14:textId="77777777" w:rsidTr="00F30E67">
        <w:trPr>
          <w:jc w:val="center"/>
        </w:trPr>
        <w:tc>
          <w:tcPr>
            <w:tcW w:w="1229" w:type="dxa"/>
            <w:shd w:val="clear" w:color="auto" w:fill="F2F2F2" w:themeFill="background1" w:themeFillShade="F2"/>
          </w:tcPr>
          <w:p w14:paraId="67090684" w14:textId="77777777" w:rsidR="007F3C1E" w:rsidRPr="007F3C1E" w:rsidRDefault="007F3C1E" w:rsidP="007F3C1E">
            <w:pPr>
              <w:spacing w:after="0" w:line="240" w:lineRule="auto"/>
              <w:rPr>
                <w:sz w:val="24"/>
                <w:szCs w:val="24"/>
                <w:lang w:eastAsia="en-US"/>
              </w:rPr>
            </w:pPr>
            <w:r w:rsidRPr="007F3C1E">
              <w:rPr>
                <w:sz w:val="24"/>
                <w:szCs w:val="24"/>
                <w:lang w:eastAsia="en-US"/>
              </w:rPr>
              <w:t>4</w:t>
            </w:r>
          </w:p>
        </w:tc>
        <w:tc>
          <w:tcPr>
            <w:tcW w:w="6961" w:type="dxa"/>
            <w:shd w:val="clear" w:color="auto" w:fill="F2F2F2" w:themeFill="background1" w:themeFillShade="F2"/>
          </w:tcPr>
          <w:p w14:paraId="604BD928" w14:textId="77777777" w:rsidR="007F3C1E" w:rsidRPr="007F3C1E" w:rsidRDefault="007F3C1E" w:rsidP="007F3C1E">
            <w:pPr>
              <w:spacing w:after="0" w:line="240" w:lineRule="auto"/>
              <w:rPr>
                <w:sz w:val="24"/>
                <w:szCs w:val="24"/>
                <w:lang w:eastAsia="en-US"/>
              </w:rPr>
            </w:pPr>
            <w:r w:rsidRPr="007F3C1E">
              <w:rPr>
                <w:sz w:val="24"/>
                <w:szCs w:val="24"/>
                <w:lang w:eastAsia="en-US"/>
              </w:rPr>
              <w:t>Personal circumstances (immediate family unwell)</w:t>
            </w:r>
          </w:p>
        </w:tc>
        <w:tc>
          <w:tcPr>
            <w:tcW w:w="1080" w:type="dxa"/>
            <w:shd w:val="clear" w:color="auto" w:fill="F2F2F2" w:themeFill="background1" w:themeFillShade="F2"/>
          </w:tcPr>
          <w:p w14:paraId="58D6C040" w14:textId="77777777" w:rsidR="007F3C1E" w:rsidRPr="007F3C1E" w:rsidRDefault="007F3C1E" w:rsidP="007F3C1E">
            <w:pPr>
              <w:spacing w:after="0" w:line="480" w:lineRule="auto"/>
              <w:rPr>
                <w:sz w:val="24"/>
                <w:szCs w:val="24"/>
                <w:lang w:eastAsia="en-US"/>
              </w:rPr>
            </w:pPr>
          </w:p>
        </w:tc>
      </w:tr>
      <w:tr w:rsidR="007F3C1E" w:rsidRPr="007F3C1E" w14:paraId="7DA81660" w14:textId="77777777" w:rsidTr="00F30E67">
        <w:trPr>
          <w:jc w:val="center"/>
        </w:trPr>
        <w:tc>
          <w:tcPr>
            <w:tcW w:w="1229" w:type="dxa"/>
            <w:shd w:val="clear" w:color="auto" w:fill="F2F2F2" w:themeFill="background1" w:themeFillShade="F2"/>
          </w:tcPr>
          <w:p w14:paraId="56930BE9" w14:textId="77777777" w:rsidR="007F3C1E" w:rsidRPr="007F3C1E" w:rsidRDefault="007F3C1E" w:rsidP="007F3C1E">
            <w:pPr>
              <w:spacing w:after="0" w:line="240" w:lineRule="auto"/>
              <w:rPr>
                <w:sz w:val="24"/>
                <w:szCs w:val="24"/>
                <w:lang w:eastAsia="en-US"/>
              </w:rPr>
            </w:pPr>
            <w:r w:rsidRPr="007F3C1E">
              <w:rPr>
                <w:sz w:val="24"/>
                <w:szCs w:val="24"/>
                <w:lang w:eastAsia="en-US"/>
              </w:rPr>
              <w:t>5</w:t>
            </w:r>
          </w:p>
        </w:tc>
        <w:tc>
          <w:tcPr>
            <w:tcW w:w="6961" w:type="dxa"/>
            <w:shd w:val="clear" w:color="auto" w:fill="F2F2F2" w:themeFill="background1" w:themeFillShade="F2"/>
          </w:tcPr>
          <w:p w14:paraId="623CC98D" w14:textId="77777777" w:rsidR="007F3C1E" w:rsidRPr="007F3C1E" w:rsidRDefault="007F3C1E" w:rsidP="007F3C1E">
            <w:pPr>
              <w:spacing w:after="0" w:line="240" w:lineRule="auto"/>
              <w:rPr>
                <w:sz w:val="24"/>
                <w:szCs w:val="24"/>
                <w:lang w:eastAsia="en-US"/>
              </w:rPr>
            </w:pPr>
            <w:r w:rsidRPr="007F3C1E">
              <w:rPr>
                <w:sz w:val="24"/>
                <w:szCs w:val="24"/>
                <w:lang w:eastAsia="en-US"/>
              </w:rPr>
              <w:t>Too busy to take part</w:t>
            </w:r>
          </w:p>
        </w:tc>
        <w:tc>
          <w:tcPr>
            <w:tcW w:w="1080" w:type="dxa"/>
            <w:shd w:val="clear" w:color="auto" w:fill="F2F2F2" w:themeFill="background1" w:themeFillShade="F2"/>
          </w:tcPr>
          <w:p w14:paraId="510D133E" w14:textId="77777777" w:rsidR="007F3C1E" w:rsidRPr="007F3C1E" w:rsidRDefault="007F3C1E" w:rsidP="007F3C1E">
            <w:pPr>
              <w:spacing w:after="0" w:line="480" w:lineRule="auto"/>
              <w:rPr>
                <w:sz w:val="24"/>
                <w:szCs w:val="24"/>
                <w:lang w:eastAsia="en-US"/>
              </w:rPr>
            </w:pPr>
          </w:p>
        </w:tc>
      </w:tr>
      <w:tr w:rsidR="007F3C1E" w:rsidRPr="007F3C1E" w14:paraId="61DA15C1" w14:textId="77777777" w:rsidTr="00F30E67">
        <w:trPr>
          <w:jc w:val="center"/>
        </w:trPr>
        <w:tc>
          <w:tcPr>
            <w:tcW w:w="1229" w:type="dxa"/>
            <w:shd w:val="clear" w:color="auto" w:fill="F2F2F2" w:themeFill="background1" w:themeFillShade="F2"/>
          </w:tcPr>
          <w:p w14:paraId="346F4D72" w14:textId="77777777" w:rsidR="007F3C1E" w:rsidRPr="007F3C1E" w:rsidRDefault="007F3C1E" w:rsidP="007F3C1E">
            <w:pPr>
              <w:spacing w:after="0" w:line="240" w:lineRule="auto"/>
              <w:rPr>
                <w:sz w:val="24"/>
                <w:szCs w:val="24"/>
                <w:lang w:eastAsia="en-US"/>
              </w:rPr>
            </w:pPr>
            <w:r w:rsidRPr="007F3C1E">
              <w:rPr>
                <w:sz w:val="24"/>
                <w:szCs w:val="24"/>
                <w:lang w:eastAsia="en-US"/>
              </w:rPr>
              <w:t>6</w:t>
            </w:r>
          </w:p>
        </w:tc>
        <w:tc>
          <w:tcPr>
            <w:tcW w:w="6961" w:type="dxa"/>
            <w:shd w:val="clear" w:color="auto" w:fill="F2F2F2" w:themeFill="background1" w:themeFillShade="F2"/>
          </w:tcPr>
          <w:p w14:paraId="2CFAEFE6" w14:textId="77777777" w:rsidR="007F3C1E" w:rsidRPr="007F3C1E" w:rsidRDefault="007F3C1E" w:rsidP="007F3C1E">
            <w:pPr>
              <w:spacing w:after="0" w:line="240" w:lineRule="auto"/>
              <w:rPr>
                <w:sz w:val="24"/>
                <w:szCs w:val="24"/>
                <w:lang w:eastAsia="en-US"/>
              </w:rPr>
            </w:pPr>
            <w:r w:rsidRPr="007F3C1E">
              <w:rPr>
                <w:sz w:val="24"/>
                <w:szCs w:val="24"/>
                <w:lang w:eastAsia="en-US"/>
              </w:rPr>
              <w:t>Does not want to make stress levels worse</w:t>
            </w:r>
          </w:p>
        </w:tc>
        <w:tc>
          <w:tcPr>
            <w:tcW w:w="1080" w:type="dxa"/>
            <w:shd w:val="clear" w:color="auto" w:fill="F2F2F2" w:themeFill="background1" w:themeFillShade="F2"/>
          </w:tcPr>
          <w:p w14:paraId="31D20A18" w14:textId="77777777" w:rsidR="007F3C1E" w:rsidRPr="007F3C1E" w:rsidRDefault="007F3C1E" w:rsidP="007F3C1E">
            <w:pPr>
              <w:spacing w:after="0" w:line="480" w:lineRule="auto"/>
              <w:rPr>
                <w:sz w:val="24"/>
                <w:szCs w:val="24"/>
                <w:lang w:eastAsia="en-US"/>
              </w:rPr>
            </w:pPr>
          </w:p>
        </w:tc>
      </w:tr>
      <w:tr w:rsidR="007F3C1E" w:rsidRPr="007F3C1E" w14:paraId="6D121658" w14:textId="77777777" w:rsidTr="00F30E67">
        <w:trPr>
          <w:jc w:val="center"/>
        </w:trPr>
        <w:tc>
          <w:tcPr>
            <w:tcW w:w="1229" w:type="dxa"/>
            <w:shd w:val="clear" w:color="auto" w:fill="F2F2F2" w:themeFill="background1" w:themeFillShade="F2"/>
          </w:tcPr>
          <w:p w14:paraId="0681818E" w14:textId="77777777" w:rsidR="007F3C1E" w:rsidRPr="007F3C1E" w:rsidRDefault="007F3C1E" w:rsidP="007F3C1E">
            <w:pPr>
              <w:spacing w:after="0" w:line="240" w:lineRule="auto"/>
              <w:rPr>
                <w:sz w:val="24"/>
                <w:szCs w:val="24"/>
                <w:lang w:eastAsia="en-US"/>
              </w:rPr>
            </w:pPr>
            <w:r w:rsidRPr="007F3C1E">
              <w:rPr>
                <w:sz w:val="24"/>
                <w:szCs w:val="24"/>
                <w:lang w:eastAsia="en-US"/>
              </w:rPr>
              <w:t>7</w:t>
            </w:r>
          </w:p>
        </w:tc>
        <w:tc>
          <w:tcPr>
            <w:tcW w:w="6961" w:type="dxa"/>
            <w:shd w:val="clear" w:color="auto" w:fill="F2F2F2" w:themeFill="background1" w:themeFillShade="F2"/>
          </w:tcPr>
          <w:p w14:paraId="3153E267" w14:textId="77777777" w:rsidR="007F3C1E" w:rsidRPr="007F3C1E" w:rsidRDefault="007F3C1E" w:rsidP="007F3C1E">
            <w:pPr>
              <w:spacing w:after="0" w:line="240" w:lineRule="auto"/>
              <w:rPr>
                <w:sz w:val="24"/>
                <w:szCs w:val="24"/>
                <w:lang w:eastAsia="en-US"/>
              </w:rPr>
            </w:pPr>
            <w:r w:rsidRPr="007F3C1E">
              <w:rPr>
                <w:sz w:val="24"/>
                <w:szCs w:val="24"/>
                <w:lang w:eastAsia="en-US"/>
              </w:rPr>
              <w:t>Well controlled on new medicines</w:t>
            </w:r>
          </w:p>
        </w:tc>
        <w:tc>
          <w:tcPr>
            <w:tcW w:w="1080" w:type="dxa"/>
            <w:shd w:val="clear" w:color="auto" w:fill="F2F2F2" w:themeFill="background1" w:themeFillShade="F2"/>
          </w:tcPr>
          <w:p w14:paraId="7A215DA2" w14:textId="77777777" w:rsidR="007F3C1E" w:rsidRPr="007F3C1E" w:rsidRDefault="007F3C1E" w:rsidP="007F3C1E">
            <w:pPr>
              <w:spacing w:after="0" w:line="480" w:lineRule="auto"/>
              <w:rPr>
                <w:sz w:val="24"/>
                <w:szCs w:val="24"/>
                <w:lang w:eastAsia="en-US"/>
              </w:rPr>
            </w:pPr>
          </w:p>
        </w:tc>
      </w:tr>
      <w:tr w:rsidR="007F3C1E" w:rsidRPr="007F3C1E" w14:paraId="67A27137" w14:textId="77777777" w:rsidTr="00F30E67">
        <w:trPr>
          <w:jc w:val="center"/>
        </w:trPr>
        <w:tc>
          <w:tcPr>
            <w:tcW w:w="1229" w:type="dxa"/>
            <w:shd w:val="clear" w:color="auto" w:fill="F2F2F2" w:themeFill="background1" w:themeFillShade="F2"/>
          </w:tcPr>
          <w:p w14:paraId="69F02FF8" w14:textId="77777777" w:rsidR="007F3C1E" w:rsidRPr="007F3C1E" w:rsidRDefault="007F3C1E" w:rsidP="007F3C1E">
            <w:pPr>
              <w:spacing w:after="0" w:line="240" w:lineRule="auto"/>
              <w:rPr>
                <w:sz w:val="24"/>
                <w:szCs w:val="24"/>
                <w:lang w:eastAsia="en-US"/>
              </w:rPr>
            </w:pPr>
            <w:r w:rsidRPr="007F3C1E">
              <w:rPr>
                <w:sz w:val="24"/>
                <w:szCs w:val="24"/>
                <w:lang w:eastAsia="en-US"/>
              </w:rPr>
              <w:t>8</w:t>
            </w:r>
          </w:p>
        </w:tc>
        <w:tc>
          <w:tcPr>
            <w:tcW w:w="6961" w:type="dxa"/>
            <w:shd w:val="clear" w:color="auto" w:fill="F2F2F2" w:themeFill="background1" w:themeFillShade="F2"/>
          </w:tcPr>
          <w:p w14:paraId="3E6D1CA1" w14:textId="77777777" w:rsidR="007F3C1E" w:rsidRPr="007F3C1E" w:rsidRDefault="007F3C1E" w:rsidP="007F3C1E">
            <w:pPr>
              <w:spacing w:after="0" w:line="240" w:lineRule="auto"/>
              <w:rPr>
                <w:sz w:val="24"/>
                <w:szCs w:val="24"/>
                <w:lang w:eastAsia="en-US"/>
              </w:rPr>
            </w:pPr>
            <w:r w:rsidRPr="007F3C1E">
              <w:rPr>
                <w:sz w:val="24"/>
                <w:szCs w:val="24"/>
                <w:lang w:eastAsia="en-US"/>
              </w:rPr>
              <w:t>Too busy to take part</w:t>
            </w:r>
          </w:p>
        </w:tc>
        <w:tc>
          <w:tcPr>
            <w:tcW w:w="1080" w:type="dxa"/>
            <w:shd w:val="clear" w:color="auto" w:fill="F2F2F2" w:themeFill="background1" w:themeFillShade="F2"/>
          </w:tcPr>
          <w:p w14:paraId="7AF016AA" w14:textId="77777777" w:rsidR="007F3C1E" w:rsidRPr="007F3C1E" w:rsidRDefault="007F3C1E" w:rsidP="007F3C1E">
            <w:pPr>
              <w:spacing w:after="0" w:line="480" w:lineRule="auto"/>
              <w:rPr>
                <w:sz w:val="24"/>
                <w:szCs w:val="24"/>
                <w:lang w:eastAsia="en-US"/>
              </w:rPr>
            </w:pPr>
          </w:p>
        </w:tc>
      </w:tr>
      <w:tr w:rsidR="007F3C1E" w:rsidRPr="007F3C1E" w14:paraId="52BCD187" w14:textId="77777777" w:rsidTr="00F30E67">
        <w:trPr>
          <w:jc w:val="center"/>
        </w:trPr>
        <w:tc>
          <w:tcPr>
            <w:tcW w:w="1229" w:type="dxa"/>
            <w:shd w:val="clear" w:color="auto" w:fill="F2F2F2" w:themeFill="background1" w:themeFillShade="F2"/>
          </w:tcPr>
          <w:p w14:paraId="5DDE35C0" w14:textId="77777777" w:rsidR="007F3C1E" w:rsidRPr="007F3C1E" w:rsidRDefault="007F3C1E" w:rsidP="007F3C1E">
            <w:pPr>
              <w:spacing w:after="0" w:line="240" w:lineRule="auto"/>
              <w:rPr>
                <w:sz w:val="24"/>
                <w:szCs w:val="24"/>
                <w:lang w:eastAsia="en-US"/>
              </w:rPr>
            </w:pPr>
            <w:r w:rsidRPr="007F3C1E">
              <w:rPr>
                <w:sz w:val="24"/>
                <w:szCs w:val="24"/>
                <w:lang w:eastAsia="en-US"/>
              </w:rPr>
              <w:t>9</w:t>
            </w:r>
          </w:p>
        </w:tc>
        <w:tc>
          <w:tcPr>
            <w:tcW w:w="6961" w:type="dxa"/>
            <w:shd w:val="clear" w:color="auto" w:fill="F2F2F2" w:themeFill="background1" w:themeFillShade="F2"/>
          </w:tcPr>
          <w:p w14:paraId="30C100BC" w14:textId="77777777" w:rsidR="007F3C1E" w:rsidRPr="007F3C1E" w:rsidRDefault="007F3C1E" w:rsidP="007F3C1E">
            <w:pPr>
              <w:spacing w:after="0" w:line="240" w:lineRule="auto"/>
              <w:rPr>
                <w:sz w:val="24"/>
                <w:szCs w:val="24"/>
                <w:lang w:eastAsia="en-US"/>
              </w:rPr>
            </w:pPr>
            <w:r w:rsidRPr="007F3C1E">
              <w:rPr>
                <w:sz w:val="24"/>
                <w:szCs w:val="24"/>
                <w:lang w:eastAsia="en-US"/>
              </w:rPr>
              <w:t>Receiving therapy via community services</w:t>
            </w:r>
          </w:p>
        </w:tc>
        <w:tc>
          <w:tcPr>
            <w:tcW w:w="1080" w:type="dxa"/>
            <w:shd w:val="clear" w:color="auto" w:fill="F2F2F2" w:themeFill="background1" w:themeFillShade="F2"/>
          </w:tcPr>
          <w:p w14:paraId="7745FB0B" w14:textId="77777777" w:rsidR="007F3C1E" w:rsidRPr="007F3C1E" w:rsidRDefault="007F3C1E" w:rsidP="007F3C1E">
            <w:pPr>
              <w:spacing w:after="0" w:line="480" w:lineRule="auto"/>
              <w:rPr>
                <w:sz w:val="24"/>
                <w:szCs w:val="24"/>
                <w:lang w:eastAsia="en-US"/>
              </w:rPr>
            </w:pPr>
          </w:p>
        </w:tc>
      </w:tr>
      <w:tr w:rsidR="007F3C1E" w:rsidRPr="007F3C1E" w14:paraId="6FF549A8" w14:textId="77777777" w:rsidTr="00F30E67">
        <w:trPr>
          <w:jc w:val="center"/>
        </w:trPr>
        <w:tc>
          <w:tcPr>
            <w:tcW w:w="1229" w:type="dxa"/>
            <w:shd w:val="clear" w:color="auto" w:fill="F2F2F2" w:themeFill="background1" w:themeFillShade="F2"/>
          </w:tcPr>
          <w:p w14:paraId="30BEFDB0" w14:textId="77777777" w:rsidR="007F3C1E" w:rsidRPr="007F3C1E" w:rsidRDefault="007F3C1E" w:rsidP="007F3C1E">
            <w:pPr>
              <w:spacing w:after="0" w:line="240" w:lineRule="auto"/>
              <w:rPr>
                <w:sz w:val="24"/>
                <w:szCs w:val="24"/>
                <w:lang w:eastAsia="en-US"/>
              </w:rPr>
            </w:pPr>
            <w:r w:rsidRPr="007F3C1E">
              <w:rPr>
                <w:sz w:val="24"/>
                <w:szCs w:val="24"/>
                <w:lang w:eastAsia="en-US"/>
              </w:rPr>
              <w:t>10</w:t>
            </w:r>
          </w:p>
        </w:tc>
        <w:tc>
          <w:tcPr>
            <w:tcW w:w="6961" w:type="dxa"/>
            <w:shd w:val="clear" w:color="auto" w:fill="F2F2F2" w:themeFill="background1" w:themeFillShade="F2"/>
          </w:tcPr>
          <w:p w14:paraId="2A171404" w14:textId="77777777" w:rsidR="007F3C1E" w:rsidRPr="007F3C1E" w:rsidRDefault="007F3C1E" w:rsidP="007F3C1E">
            <w:pPr>
              <w:spacing w:after="0" w:line="240" w:lineRule="auto"/>
              <w:rPr>
                <w:sz w:val="24"/>
                <w:szCs w:val="24"/>
                <w:lang w:eastAsia="en-US"/>
              </w:rPr>
            </w:pPr>
            <w:r w:rsidRPr="007F3C1E">
              <w:rPr>
                <w:sz w:val="24"/>
                <w:szCs w:val="24"/>
                <w:lang w:eastAsia="en-US"/>
              </w:rPr>
              <w:t>Too busy to take part</w:t>
            </w:r>
          </w:p>
        </w:tc>
        <w:tc>
          <w:tcPr>
            <w:tcW w:w="1080" w:type="dxa"/>
            <w:shd w:val="clear" w:color="auto" w:fill="F2F2F2" w:themeFill="background1" w:themeFillShade="F2"/>
          </w:tcPr>
          <w:p w14:paraId="5267B771" w14:textId="77777777" w:rsidR="007F3C1E" w:rsidRPr="007F3C1E" w:rsidRDefault="007F3C1E" w:rsidP="007F3C1E">
            <w:pPr>
              <w:spacing w:after="0" w:line="480" w:lineRule="auto"/>
              <w:rPr>
                <w:sz w:val="24"/>
                <w:szCs w:val="24"/>
                <w:lang w:eastAsia="en-US"/>
              </w:rPr>
            </w:pPr>
          </w:p>
        </w:tc>
      </w:tr>
      <w:tr w:rsidR="007F3C1E" w:rsidRPr="007F3C1E" w14:paraId="744DAF14" w14:textId="77777777" w:rsidTr="00F30E67">
        <w:trPr>
          <w:trHeight w:val="630"/>
          <w:jc w:val="center"/>
        </w:trPr>
        <w:tc>
          <w:tcPr>
            <w:tcW w:w="1229" w:type="dxa"/>
            <w:shd w:val="clear" w:color="auto" w:fill="F2F2F2" w:themeFill="background1" w:themeFillShade="F2"/>
          </w:tcPr>
          <w:p w14:paraId="3017A98B" w14:textId="77777777" w:rsidR="007F3C1E" w:rsidRPr="007F3C1E" w:rsidRDefault="007F3C1E" w:rsidP="007F3C1E">
            <w:pPr>
              <w:spacing w:after="0" w:line="480" w:lineRule="auto"/>
              <w:rPr>
                <w:b/>
                <w:sz w:val="24"/>
                <w:szCs w:val="24"/>
                <w:lang w:eastAsia="en-US"/>
              </w:rPr>
            </w:pPr>
          </w:p>
          <w:p w14:paraId="16D0088C" w14:textId="77777777" w:rsidR="007F3C1E" w:rsidRPr="007F3C1E" w:rsidRDefault="007F3C1E" w:rsidP="007F3C1E">
            <w:pPr>
              <w:spacing w:after="0" w:line="480" w:lineRule="auto"/>
              <w:rPr>
                <w:b/>
                <w:sz w:val="24"/>
                <w:szCs w:val="24"/>
                <w:lang w:eastAsia="en-US"/>
              </w:rPr>
            </w:pPr>
          </w:p>
        </w:tc>
        <w:tc>
          <w:tcPr>
            <w:tcW w:w="6961" w:type="dxa"/>
            <w:shd w:val="clear" w:color="auto" w:fill="F2F2F2" w:themeFill="background1" w:themeFillShade="F2"/>
          </w:tcPr>
          <w:p w14:paraId="45E4AE89" w14:textId="77777777" w:rsidR="007F3C1E" w:rsidRPr="007F3C1E" w:rsidRDefault="007F3C1E" w:rsidP="007F3C1E">
            <w:pPr>
              <w:spacing w:after="0" w:line="480" w:lineRule="auto"/>
              <w:rPr>
                <w:sz w:val="24"/>
                <w:szCs w:val="24"/>
                <w:lang w:eastAsia="en-US"/>
              </w:rPr>
            </w:pPr>
          </w:p>
        </w:tc>
        <w:tc>
          <w:tcPr>
            <w:tcW w:w="1080" w:type="dxa"/>
            <w:shd w:val="clear" w:color="auto" w:fill="F2F2F2" w:themeFill="background1" w:themeFillShade="F2"/>
          </w:tcPr>
          <w:p w14:paraId="7108A924" w14:textId="77777777" w:rsidR="007F3C1E" w:rsidRPr="007F3C1E" w:rsidRDefault="007F3C1E" w:rsidP="007F3C1E">
            <w:pPr>
              <w:spacing w:after="0" w:line="480" w:lineRule="auto"/>
              <w:rPr>
                <w:sz w:val="24"/>
                <w:szCs w:val="24"/>
                <w:lang w:eastAsia="en-US"/>
              </w:rPr>
            </w:pPr>
          </w:p>
        </w:tc>
      </w:tr>
    </w:tbl>
    <w:p w14:paraId="63428CC6" w14:textId="77777777" w:rsidR="00C354C4" w:rsidRPr="00586A09" w:rsidRDefault="00C354C4" w:rsidP="00586A09">
      <w:pPr>
        <w:spacing w:after="0" w:line="480" w:lineRule="auto"/>
        <w:rPr>
          <w:rFonts w:eastAsia="Calibri" w:cs="Times New Roman"/>
          <w:sz w:val="24"/>
          <w:szCs w:val="24"/>
        </w:rPr>
      </w:pPr>
    </w:p>
    <w:p w14:paraId="0B1F612C"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Of the 33 participants who responded to the invitations, 22 attended screening for enrolment to the study. Table 2 shows the reasons why some patients who originally expressed an interest in participating in the study decided not to take part.</w:t>
      </w:r>
    </w:p>
    <w:p w14:paraId="4DDF9546" w14:textId="77777777" w:rsidR="00C354C4" w:rsidRDefault="00C354C4" w:rsidP="00586A09">
      <w:pPr>
        <w:spacing w:after="0" w:line="480" w:lineRule="auto"/>
        <w:rPr>
          <w:rFonts w:eastAsia="Calibri" w:cs="Times New Roman"/>
          <w:sz w:val="24"/>
          <w:szCs w:val="24"/>
        </w:rPr>
      </w:pPr>
    </w:p>
    <w:p w14:paraId="156E726D" w14:textId="77777777" w:rsidR="007F3C1E" w:rsidRPr="00586A09" w:rsidRDefault="007F3C1E" w:rsidP="00586A09">
      <w:pPr>
        <w:spacing w:after="0" w:line="480" w:lineRule="auto"/>
        <w:rPr>
          <w:rFonts w:eastAsia="Calibri" w:cs="Times New Roman"/>
          <w:sz w:val="24"/>
          <w:szCs w:val="24"/>
        </w:rPr>
      </w:pPr>
    </w:p>
    <w:tbl>
      <w:tblPr>
        <w:tblStyle w:val="TableGrid"/>
        <w:tblpPr w:leftFromText="180" w:rightFromText="180" w:vertAnchor="text" w:horzAnchor="margin" w:tblpXSpec="center" w:tblpY="196"/>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170"/>
        <w:gridCol w:w="6930"/>
        <w:gridCol w:w="450"/>
      </w:tblGrid>
      <w:tr w:rsidR="007F3C1E" w:rsidRPr="0046455D" w14:paraId="6AEA0D21" w14:textId="77777777" w:rsidTr="00F30E67">
        <w:tc>
          <w:tcPr>
            <w:tcW w:w="8550" w:type="dxa"/>
            <w:gridSpan w:val="3"/>
            <w:shd w:val="clear" w:color="auto" w:fill="F2F2F2" w:themeFill="background1" w:themeFillShade="F2"/>
          </w:tcPr>
          <w:p w14:paraId="49288AD3" w14:textId="77777777" w:rsidR="007F3C1E" w:rsidRPr="0046455D" w:rsidRDefault="007F3C1E" w:rsidP="00F30E67">
            <w:pPr>
              <w:spacing w:line="480" w:lineRule="auto"/>
              <w:rPr>
                <w:b/>
                <w:sz w:val="22"/>
                <w:szCs w:val="22"/>
              </w:rPr>
            </w:pPr>
          </w:p>
          <w:p w14:paraId="3362A894" w14:textId="77777777" w:rsidR="007F3C1E" w:rsidRPr="0046455D" w:rsidRDefault="007F3C1E" w:rsidP="00F30E67">
            <w:pPr>
              <w:jc w:val="center"/>
              <w:rPr>
                <w:b/>
                <w:sz w:val="22"/>
                <w:szCs w:val="22"/>
              </w:rPr>
            </w:pPr>
            <w:r w:rsidRPr="0046455D">
              <w:rPr>
                <w:b/>
                <w:sz w:val="22"/>
                <w:szCs w:val="22"/>
              </w:rPr>
              <w:t>Table 2: Reasons for participants who expressed further interest in research not taking part in the study</w:t>
            </w:r>
          </w:p>
        </w:tc>
      </w:tr>
      <w:tr w:rsidR="007F3C1E" w:rsidRPr="0046455D" w14:paraId="721D0FF4" w14:textId="77777777" w:rsidTr="00F30E67">
        <w:tc>
          <w:tcPr>
            <w:tcW w:w="1170" w:type="dxa"/>
            <w:shd w:val="clear" w:color="auto" w:fill="F2F2F2" w:themeFill="background1" w:themeFillShade="F2"/>
          </w:tcPr>
          <w:p w14:paraId="3006A340" w14:textId="77777777" w:rsidR="007F3C1E" w:rsidRPr="0046455D" w:rsidRDefault="007F3C1E" w:rsidP="00F30E67">
            <w:pPr>
              <w:spacing w:line="480" w:lineRule="auto"/>
              <w:rPr>
                <w:b/>
                <w:sz w:val="22"/>
                <w:szCs w:val="22"/>
                <w:u w:val="single"/>
              </w:rPr>
            </w:pPr>
            <w:r>
              <w:rPr>
                <w:b/>
                <w:sz w:val="22"/>
                <w:szCs w:val="22"/>
                <w:u w:val="single"/>
              </w:rPr>
              <w:t>Patien</w:t>
            </w:r>
            <w:r w:rsidRPr="0046455D">
              <w:rPr>
                <w:b/>
                <w:sz w:val="22"/>
                <w:szCs w:val="22"/>
                <w:u w:val="single"/>
              </w:rPr>
              <w:t>t</w:t>
            </w:r>
          </w:p>
        </w:tc>
        <w:tc>
          <w:tcPr>
            <w:tcW w:w="6930" w:type="dxa"/>
            <w:shd w:val="clear" w:color="auto" w:fill="F2F2F2" w:themeFill="background1" w:themeFillShade="F2"/>
          </w:tcPr>
          <w:p w14:paraId="09B19642" w14:textId="77777777" w:rsidR="007F3C1E" w:rsidRPr="0046455D" w:rsidRDefault="007F3C1E" w:rsidP="00F30E67">
            <w:pPr>
              <w:spacing w:line="480" w:lineRule="auto"/>
              <w:rPr>
                <w:b/>
                <w:sz w:val="22"/>
                <w:szCs w:val="22"/>
                <w:u w:val="single"/>
              </w:rPr>
            </w:pPr>
            <w:r w:rsidRPr="0046455D">
              <w:rPr>
                <w:b/>
                <w:sz w:val="22"/>
                <w:szCs w:val="22"/>
                <w:u w:val="single"/>
              </w:rPr>
              <w:t>Reasons for not taking part</w:t>
            </w:r>
          </w:p>
        </w:tc>
        <w:tc>
          <w:tcPr>
            <w:tcW w:w="450" w:type="dxa"/>
            <w:shd w:val="clear" w:color="auto" w:fill="F2F2F2" w:themeFill="background1" w:themeFillShade="F2"/>
          </w:tcPr>
          <w:p w14:paraId="7CDE2ACE" w14:textId="77777777" w:rsidR="007F3C1E" w:rsidRPr="0046455D" w:rsidRDefault="007F3C1E" w:rsidP="00F30E67">
            <w:pPr>
              <w:spacing w:line="480" w:lineRule="auto"/>
              <w:rPr>
                <w:b/>
                <w:sz w:val="22"/>
                <w:szCs w:val="22"/>
                <w:u w:val="single"/>
              </w:rPr>
            </w:pPr>
          </w:p>
        </w:tc>
      </w:tr>
      <w:tr w:rsidR="007F3C1E" w:rsidRPr="0046455D" w14:paraId="22FA37D4" w14:textId="77777777" w:rsidTr="00F30E67">
        <w:tc>
          <w:tcPr>
            <w:tcW w:w="1170" w:type="dxa"/>
            <w:shd w:val="clear" w:color="auto" w:fill="F2F2F2" w:themeFill="background1" w:themeFillShade="F2"/>
          </w:tcPr>
          <w:p w14:paraId="5FF9EBDD" w14:textId="77777777" w:rsidR="007F3C1E" w:rsidRPr="0046455D" w:rsidRDefault="007F3C1E" w:rsidP="007F3C1E">
            <w:pPr>
              <w:spacing w:after="0" w:line="240" w:lineRule="auto"/>
              <w:rPr>
                <w:sz w:val="22"/>
                <w:szCs w:val="22"/>
              </w:rPr>
            </w:pPr>
            <w:r w:rsidRPr="0046455D">
              <w:rPr>
                <w:sz w:val="22"/>
                <w:szCs w:val="22"/>
              </w:rPr>
              <w:t>1</w:t>
            </w:r>
          </w:p>
        </w:tc>
        <w:tc>
          <w:tcPr>
            <w:tcW w:w="6930" w:type="dxa"/>
            <w:shd w:val="clear" w:color="auto" w:fill="F2F2F2" w:themeFill="background1" w:themeFillShade="F2"/>
          </w:tcPr>
          <w:p w14:paraId="11DA709A" w14:textId="77777777" w:rsidR="007F3C1E" w:rsidRPr="0046455D" w:rsidRDefault="007F3C1E" w:rsidP="007F3C1E">
            <w:pPr>
              <w:spacing w:after="0" w:line="240" w:lineRule="auto"/>
              <w:rPr>
                <w:sz w:val="22"/>
                <w:szCs w:val="22"/>
              </w:rPr>
            </w:pPr>
            <w:r w:rsidRPr="0046455D">
              <w:rPr>
                <w:sz w:val="22"/>
                <w:szCs w:val="22"/>
              </w:rPr>
              <w:t>Does not want to take part due to holidays</w:t>
            </w:r>
          </w:p>
        </w:tc>
        <w:tc>
          <w:tcPr>
            <w:tcW w:w="450" w:type="dxa"/>
            <w:shd w:val="clear" w:color="auto" w:fill="F2F2F2" w:themeFill="background1" w:themeFillShade="F2"/>
          </w:tcPr>
          <w:p w14:paraId="041E8C54" w14:textId="77777777" w:rsidR="007F3C1E" w:rsidRPr="0046455D" w:rsidRDefault="007F3C1E" w:rsidP="007F3C1E">
            <w:pPr>
              <w:spacing w:after="0" w:line="480" w:lineRule="auto"/>
              <w:rPr>
                <w:sz w:val="22"/>
                <w:szCs w:val="22"/>
              </w:rPr>
            </w:pPr>
          </w:p>
        </w:tc>
      </w:tr>
      <w:tr w:rsidR="007F3C1E" w:rsidRPr="0046455D" w14:paraId="0C219EC3" w14:textId="77777777" w:rsidTr="00F30E67">
        <w:tc>
          <w:tcPr>
            <w:tcW w:w="1170" w:type="dxa"/>
            <w:shd w:val="clear" w:color="auto" w:fill="F2F2F2" w:themeFill="background1" w:themeFillShade="F2"/>
          </w:tcPr>
          <w:p w14:paraId="743C742A" w14:textId="77777777" w:rsidR="007F3C1E" w:rsidRPr="0046455D" w:rsidRDefault="007F3C1E" w:rsidP="007F3C1E">
            <w:pPr>
              <w:spacing w:after="0" w:line="240" w:lineRule="auto"/>
              <w:rPr>
                <w:sz w:val="22"/>
                <w:szCs w:val="22"/>
              </w:rPr>
            </w:pPr>
            <w:r w:rsidRPr="0046455D">
              <w:rPr>
                <w:sz w:val="22"/>
                <w:szCs w:val="22"/>
              </w:rPr>
              <w:t>2</w:t>
            </w:r>
          </w:p>
        </w:tc>
        <w:tc>
          <w:tcPr>
            <w:tcW w:w="6930" w:type="dxa"/>
            <w:shd w:val="clear" w:color="auto" w:fill="F2F2F2" w:themeFill="background1" w:themeFillShade="F2"/>
          </w:tcPr>
          <w:p w14:paraId="4E415948" w14:textId="77777777" w:rsidR="007F3C1E" w:rsidRPr="0046455D" w:rsidRDefault="007F3C1E" w:rsidP="007F3C1E">
            <w:pPr>
              <w:spacing w:after="0" w:line="240" w:lineRule="auto"/>
              <w:rPr>
                <w:sz w:val="22"/>
                <w:szCs w:val="22"/>
              </w:rPr>
            </w:pPr>
            <w:r w:rsidRPr="0046455D">
              <w:rPr>
                <w:sz w:val="22"/>
                <w:szCs w:val="22"/>
              </w:rPr>
              <w:t>Moved abroad</w:t>
            </w:r>
          </w:p>
        </w:tc>
        <w:tc>
          <w:tcPr>
            <w:tcW w:w="450" w:type="dxa"/>
            <w:shd w:val="clear" w:color="auto" w:fill="F2F2F2" w:themeFill="background1" w:themeFillShade="F2"/>
          </w:tcPr>
          <w:p w14:paraId="3C0AF9E5" w14:textId="77777777" w:rsidR="007F3C1E" w:rsidRPr="0046455D" w:rsidRDefault="007F3C1E" w:rsidP="007F3C1E">
            <w:pPr>
              <w:spacing w:after="0" w:line="480" w:lineRule="auto"/>
              <w:rPr>
                <w:sz w:val="22"/>
                <w:szCs w:val="22"/>
              </w:rPr>
            </w:pPr>
          </w:p>
        </w:tc>
      </w:tr>
      <w:tr w:rsidR="007F3C1E" w:rsidRPr="0046455D" w14:paraId="637CEB6B" w14:textId="77777777" w:rsidTr="00F30E67">
        <w:tc>
          <w:tcPr>
            <w:tcW w:w="1170" w:type="dxa"/>
            <w:shd w:val="clear" w:color="auto" w:fill="F2F2F2" w:themeFill="background1" w:themeFillShade="F2"/>
          </w:tcPr>
          <w:p w14:paraId="00D446C8" w14:textId="77777777" w:rsidR="007F3C1E" w:rsidRPr="0046455D" w:rsidRDefault="007F3C1E" w:rsidP="007F3C1E">
            <w:pPr>
              <w:spacing w:after="0" w:line="240" w:lineRule="auto"/>
              <w:rPr>
                <w:sz w:val="22"/>
                <w:szCs w:val="22"/>
              </w:rPr>
            </w:pPr>
            <w:r w:rsidRPr="0046455D">
              <w:rPr>
                <w:sz w:val="22"/>
                <w:szCs w:val="22"/>
              </w:rPr>
              <w:t>3</w:t>
            </w:r>
          </w:p>
        </w:tc>
        <w:tc>
          <w:tcPr>
            <w:tcW w:w="6930" w:type="dxa"/>
            <w:shd w:val="clear" w:color="auto" w:fill="F2F2F2" w:themeFill="background1" w:themeFillShade="F2"/>
          </w:tcPr>
          <w:p w14:paraId="6AAC1303" w14:textId="77777777" w:rsidR="007F3C1E" w:rsidRPr="0046455D" w:rsidRDefault="007F3C1E" w:rsidP="007F3C1E">
            <w:pPr>
              <w:spacing w:after="0" w:line="240" w:lineRule="auto"/>
              <w:rPr>
                <w:sz w:val="22"/>
                <w:szCs w:val="22"/>
              </w:rPr>
            </w:pPr>
            <w:r w:rsidRPr="0046455D">
              <w:rPr>
                <w:sz w:val="22"/>
                <w:szCs w:val="22"/>
              </w:rPr>
              <w:t>Proximity issues and difficulty travelling to trial centre</w:t>
            </w:r>
          </w:p>
        </w:tc>
        <w:tc>
          <w:tcPr>
            <w:tcW w:w="450" w:type="dxa"/>
            <w:shd w:val="clear" w:color="auto" w:fill="F2F2F2" w:themeFill="background1" w:themeFillShade="F2"/>
          </w:tcPr>
          <w:p w14:paraId="6662484F" w14:textId="77777777" w:rsidR="007F3C1E" w:rsidRPr="0046455D" w:rsidRDefault="007F3C1E" w:rsidP="007F3C1E">
            <w:pPr>
              <w:spacing w:after="0" w:line="480" w:lineRule="auto"/>
              <w:rPr>
                <w:sz w:val="22"/>
                <w:szCs w:val="22"/>
              </w:rPr>
            </w:pPr>
          </w:p>
        </w:tc>
      </w:tr>
      <w:tr w:rsidR="007F3C1E" w:rsidRPr="0046455D" w14:paraId="60F49E59" w14:textId="77777777" w:rsidTr="00F30E67">
        <w:tc>
          <w:tcPr>
            <w:tcW w:w="1170" w:type="dxa"/>
            <w:shd w:val="clear" w:color="auto" w:fill="F2F2F2" w:themeFill="background1" w:themeFillShade="F2"/>
          </w:tcPr>
          <w:p w14:paraId="4A605737" w14:textId="77777777" w:rsidR="007F3C1E" w:rsidRPr="0046455D" w:rsidRDefault="007F3C1E" w:rsidP="007F3C1E">
            <w:pPr>
              <w:spacing w:after="0" w:line="240" w:lineRule="auto"/>
              <w:rPr>
                <w:sz w:val="22"/>
                <w:szCs w:val="22"/>
              </w:rPr>
            </w:pPr>
            <w:r w:rsidRPr="0046455D">
              <w:rPr>
                <w:sz w:val="22"/>
                <w:szCs w:val="22"/>
              </w:rPr>
              <w:t>4</w:t>
            </w:r>
          </w:p>
        </w:tc>
        <w:tc>
          <w:tcPr>
            <w:tcW w:w="6930" w:type="dxa"/>
            <w:shd w:val="clear" w:color="auto" w:fill="F2F2F2" w:themeFill="background1" w:themeFillShade="F2"/>
          </w:tcPr>
          <w:p w14:paraId="6CFEAFAC" w14:textId="77777777" w:rsidR="007F3C1E" w:rsidRPr="0046455D" w:rsidRDefault="007F3C1E" w:rsidP="007F3C1E">
            <w:pPr>
              <w:spacing w:after="0" w:line="240" w:lineRule="auto"/>
              <w:rPr>
                <w:sz w:val="22"/>
                <w:szCs w:val="22"/>
              </w:rPr>
            </w:pPr>
            <w:r w:rsidRPr="0046455D">
              <w:rPr>
                <w:sz w:val="22"/>
                <w:szCs w:val="22"/>
              </w:rPr>
              <w:t>Too busy to take part</w:t>
            </w:r>
          </w:p>
        </w:tc>
        <w:tc>
          <w:tcPr>
            <w:tcW w:w="450" w:type="dxa"/>
            <w:shd w:val="clear" w:color="auto" w:fill="F2F2F2" w:themeFill="background1" w:themeFillShade="F2"/>
          </w:tcPr>
          <w:p w14:paraId="01A63966" w14:textId="77777777" w:rsidR="007F3C1E" w:rsidRPr="0046455D" w:rsidRDefault="007F3C1E" w:rsidP="007F3C1E">
            <w:pPr>
              <w:spacing w:after="0" w:line="480" w:lineRule="auto"/>
              <w:rPr>
                <w:sz w:val="22"/>
                <w:szCs w:val="22"/>
              </w:rPr>
            </w:pPr>
          </w:p>
        </w:tc>
      </w:tr>
      <w:tr w:rsidR="007F3C1E" w:rsidRPr="0046455D" w14:paraId="37C4E19D" w14:textId="77777777" w:rsidTr="00F30E67">
        <w:tc>
          <w:tcPr>
            <w:tcW w:w="1170" w:type="dxa"/>
            <w:shd w:val="clear" w:color="auto" w:fill="F2F2F2" w:themeFill="background1" w:themeFillShade="F2"/>
          </w:tcPr>
          <w:p w14:paraId="236BA130" w14:textId="77777777" w:rsidR="007F3C1E" w:rsidRPr="0046455D" w:rsidRDefault="007F3C1E" w:rsidP="007F3C1E">
            <w:pPr>
              <w:spacing w:after="0" w:line="240" w:lineRule="auto"/>
              <w:rPr>
                <w:sz w:val="22"/>
                <w:szCs w:val="22"/>
              </w:rPr>
            </w:pPr>
            <w:r w:rsidRPr="0046455D">
              <w:rPr>
                <w:sz w:val="22"/>
                <w:szCs w:val="22"/>
              </w:rPr>
              <w:t>5</w:t>
            </w:r>
          </w:p>
        </w:tc>
        <w:tc>
          <w:tcPr>
            <w:tcW w:w="6930" w:type="dxa"/>
            <w:shd w:val="clear" w:color="auto" w:fill="F2F2F2" w:themeFill="background1" w:themeFillShade="F2"/>
          </w:tcPr>
          <w:p w14:paraId="7313801B" w14:textId="77777777" w:rsidR="007F3C1E" w:rsidRPr="0046455D" w:rsidRDefault="007F3C1E" w:rsidP="007F3C1E">
            <w:pPr>
              <w:spacing w:after="0" w:line="240" w:lineRule="auto"/>
              <w:rPr>
                <w:sz w:val="22"/>
                <w:szCs w:val="22"/>
              </w:rPr>
            </w:pPr>
            <w:r w:rsidRPr="0046455D">
              <w:rPr>
                <w:sz w:val="22"/>
                <w:szCs w:val="22"/>
              </w:rPr>
              <w:t>Unable to make contact with respondent</w:t>
            </w:r>
          </w:p>
        </w:tc>
        <w:tc>
          <w:tcPr>
            <w:tcW w:w="450" w:type="dxa"/>
            <w:shd w:val="clear" w:color="auto" w:fill="F2F2F2" w:themeFill="background1" w:themeFillShade="F2"/>
          </w:tcPr>
          <w:p w14:paraId="4E268B90" w14:textId="77777777" w:rsidR="007F3C1E" w:rsidRPr="0046455D" w:rsidRDefault="007F3C1E" w:rsidP="007F3C1E">
            <w:pPr>
              <w:spacing w:after="0" w:line="480" w:lineRule="auto"/>
              <w:rPr>
                <w:sz w:val="22"/>
                <w:szCs w:val="22"/>
              </w:rPr>
            </w:pPr>
          </w:p>
        </w:tc>
      </w:tr>
      <w:tr w:rsidR="007F3C1E" w:rsidRPr="0046455D" w14:paraId="47230DB6" w14:textId="77777777" w:rsidTr="00F30E67">
        <w:tc>
          <w:tcPr>
            <w:tcW w:w="1170" w:type="dxa"/>
            <w:shd w:val="clear" w:color="auto" w:fill="F2F2F2" w:themeFill="background1" w:themeFillShade="F2"/>
          </w:tcPr>
          <w:p w14:paraId="171016C2" w14:textId="77777777" w:rsidR="007F3C1E" w:rsidRPr="0046455D" w:rsidRDefault="007F3C1E" w:rsidP="007F3C1E">
            <w:pPr>
              <w:spacing w:after="0" w:line="240" w:lineRule="auto"/>
              <w:rPr>
                <w:sz w:val="22"/>
                <w:szCs w:val="22"/>
              </w:rPr>
            </w:pPr>
            <w:r w:rsidRPr="0046455D">
              <w:rPr>
                <w:sz w:val="22"/>
                <w:szCs w:val="22"/>
              </w:rPr>
              <w:t>6</w:t>
            </w:r>
          </w:p>
        </w:tc>
        <w:tc>
          <w:tcPr>
            <w:tcW w:w="6930" w:type="dxa"/>
            <w:shd w:val="clear" w:color="auto" w:fill="F2F2F2" w:themeFill="background1" w:themeFillShade="F2"/>
          </w:tcPr>
          <w:p w14:paraId="5F45D855" w14:textId="77777777" w:rsidR="007F3C1E" w:rsidRPr="0046455D" w:rsidRDefault="007F3C1E" w:rsidP="007F3C1E">
            <w:pPr>
              <w:spacing w:after="0" w:line="240" w:lineRule="auto"/>
              <w:rPr>
                <w:sz w:val="22"/>
                <w:szCs w:val="22"/>
              </w:rPr>
            </w:pPr>
            <w:r w:rsidRPr="0046455D">
              <w:rPr>
                <w:sz w:val="22"/>
                <w:szCs w:val="22"/>
              </w:rPr>
              <w:t>Unable to make contact with respondent</w:t>
            </w:r>
          </w:p>
        </w:tc>
        <w:tc>
          <w:tcPr>
            <w:tcW w:w="450" w:type="dxa"/>
            <w:shd w:val="clear" w:color="auto" w:fill="F2F2F2" w:themeFill="background1" w:themeFillShade="F2"/>
          </w:tcPr>
          <w:p w14:paraId="15891624" w14:textId="77777777" w:rsidR="007F3C1E" w:rsidRPr="0046455D" w:rsidRDefault="007F3C1E" w:rsidP="007F3C1E">
            <w:pPr>
              <w:spacing w:after="0" w:line="480" w:lineRule="auto"/>
              <w:rPr>
                <w:sz w:val="22"/>
                <w:szCs w:val="22"/>
              </w:rPr>
            </w:pPr>
          </w:p>
        </w:tc>
      </w:tr>
      <w:tr w:rsidR="007F3C1E" w:rsidRPr="0046455D" w14:paraId="2CA99516" w14:textId="77777777" w:rsidTr="00F30E67">
        <w:tc>
          <w:tcPr>
            <w:tcW w:w="1170" w:type="dxa"/>
            <w:shd w:val="clear" w:color="auto" w:fill="F2F2F2" w:themeFill="background1" w:themeFillShade="F2"/>
          </w:tcPr>
          <w:p w14:paraId="26D1E685" w14:textId="77777777" w:rsidR="007F3C1E" w:rsidRPr="0046455D" w:rsidRDefault="007F3C1E" w:rsidP="007F3C1E">
            <w:pPr>
              <w:spacing w:after="0" w:line="240" w:lineRule="auto"/>
              <w:rPr>
                <w:sz w:val="22"/>
                <w:szCs w:val="22"/>
              </w:rPr>
            </w:pPr>
            <w:r w:rsidRPr="0046455D">
              <w:rPr>
                <w:sz w:val="22"/>
                <w:szCs w:val="22"/>
              </w:rPr>
              <w:t>7</w:t>
            </w:r>
          </w:p>
        </w:tc>
        <w:tc>
          <w:tcPr>
            <w:tcW w:w="6930" w:type="dxa"/>
            <w:shd w:val="clear" w:color="auto" w:fill="F2F2F2" w:themeFill="background1" w:themeFillShade="F2"/>
          </w:tcPr>
          <w:p w14:paraId="5D854944" w14:textId="77777777" w:rsidR="007F3C1E" w:rsidRPr="0046455D" w:rsidRDefault="007F3C1E" w:rsidP="007F3C1E">
            <w:pPr>
              <w:spacing w:after="0" w:line="240" w:lineRule="auto"/>
              <w:rPr>
                <w:sz w:val="22"/>
                <w:szCs w:val="22"/>
              </w:rPr>
            </w:pPr>
            <w:r w:rsidRPr="0046455D">
              <w:rPr>
                <w:sz w:val="22"/>
                <w:szCs w:val="22"/>
              </w:rPr>
              <w:t>Too busy to take part</w:t>
            </w:r>
          </w:p>
        </w:tc>
        <w:tc>
          <w:tcPr>
            <w:tcW w:w="450" w:type="dxa"/>
            <w:shd w:val="clear" w:color="auto" w:fill="F2F2F2" w:themeFill="background1" w:themeFillShade="F2"/>
          </w:tcPr>
          <w:p w14:paraId="5D58A472" w14:textId="77777777" w:rsidR="007F3C1E" w:rsidRPr="0046455D" w:rsidRDefault="007F3C1E" w:rsidP="007F3C1E">
            <w:pPr>
              <w:spacing w:after="0" w:line="480" w:lineRule="auto"/>
              <w:rPr>
                <w:sz w:val="22"/>
                <w:szCs w:val="22"/>
              </w:rPr>
            </w:pPr>
          </w:p>
        </w:tc>
      </w:tr>
      <w:tr w:rsidR="007F3C1E" w:rsidRPr="0046455D" w14:paraId="14AFE30D" w14:textId="77777777" w:rsidTr="00F30E67">
        <w:tc>
          <w:tcPr>
            <w:tcW w:w="1170" w:type="dxa"/>
            <w:shd w:val="clear" w:color="auto" w:fill="F2F2F2" w:themeFill="background1" w:themeFillShade="F2"/>
          </w:tcPr>
          <w:p w14:paraId="00C94782" w14:textId="77777777" w:rsidR="007F3C1E" w:rsidRPr="0046455D" w:rsidRDefault="007F3C1E" w:rsidP="007F3C1E">
            <w:pPr>
              <w:spacing w:after="0" w:line="240" w:lineRule="auto"/>
              <w:rPr>
                <w:sz w:val="22"/>
                <w:szCs w:val="22"/>
              </w:rPr>
            </w:pPr>
            <w:r w:rsidRPr="0046455D">
              <w:rPr>
                <w:sz w:val="22"/>
                <w:szCs w:val="22"/>
              </w:rPr>
              <w:t>8</w:t>
            </w:r>
          </w:p>
        </w:tc>
        <w:tc>
          <w:tcPr>
            <w:tcW w:w="6930" w:type="dxa"/>
            <w:shd w:val="clear" w:color="auto" w:fill="F2F2F2" w:themeFill="background1" w:themeFillShade="F2"/>
          </w:tcPr>
          <w:p w14:paraId="44C909E3" w14:textId="77777777" w:rsidR="007F3C1E" w:rsidRPr="0046455D" w:rsidRDefault="007F3C1E" w:rsidP="007F3C1E">
            <w:pPr>
              <w:spacing w:after="0" w:line="240" w:lineRule="auto"/>
              <w:rPr>
                <w:sz w:val="22"/>
                <w:szCs w:val="22"/>
              </w:rPr>
            </w:pPr>
            <w:r w:rsidRPr="0046455D">
              <w:rPr>
                <w:sz w:val="22"/>
                <w:szCs w:val="22"/>
              </w:rPr>
              <w:t>Too busy to take part due to university work</w:t>
            </w:r>
          </w:p>
        </w:tc>
        <w:tc>
          <w:tcPr>
            <w:tcW w:w="450" w:type="dxa"/>
            <w:shd w:val="clear" w:color="auto" w:fill="F2F2F2" w:themeFill="background1" w:themeFillShade="F2"/>
          </w:tcPr>
          <w:p w14:paraId="6F8D2420" w14:textId="77777777" w:rsidR="007F3C1E" w:rsidRPr="0046455D" w:rsidRDefault="007F3C1E" w:rsidP="007F3C1E">
            <w:pPr>
              <w:spacing w:after="0" w:line="480" w:lineRule="auto"/>
              <w:rPr>
                <w:sz w:val="22"/>
                <w:szCs w:val="22"/>
              </w:rPr>
            </w:pPr>
          </w:p>
        </w:tc>
      </w:tr>
      <w:tr w:rsidR="007F3C1E" w:rsidRPr="0046455D" w14:paraId="2F15240D" w14:textId="77777777" w:rsidTr="00F30E67">
        <w:tc>
          <w:tcPr>
            <w:tcW w:w="1170" w:type="dxa"/>
            <w:shd w:val="clear" w:color="auto" w:fill="F2F2F2" w:themeFill="background1" w:themeFillShade="F2"/>
          </w:tcPr>
          <w:p w14:paraId="3AA63447" w14:textId="77777777" w:rsidR="007F3C1E" w:rsidRPr="0046455D" w:rsidRDefault="007F3C1E" w:rsidP="007F3C1E">
            <w:pPr>
              <w:spacing w:after="0" w:line="240" w:lineRule="auto"/>
              <w:rPr>
                <w:sz w:val="22"/>
                <w:szCs w:val="22"/>
              </w:rPr>
            </w:pPr>
            <w:r w:rsidRPr="0046455D">
              <w:rPr>
                <w:sz w:val="22"/>
                <w:szCs w:val="22"/>
              </w:rPr>
              <w:t>9</w:t>
            </w:r>
          </w:p>
        </w:tc>
        <w:tc>
          <w:tcPr>
            <w:tcW w:w="6930" w:type="dxa"/>
            <w:shd w:val="clear" w:color="auto" w:fill="F2F2F2" w:themeFill="background1" w:themeFillShade="F2"/>
          </w:tcPr>
          <w:p w14:paraId="1530575F" w14:textId="77777777" w:rsidR="007F3C1E" w:rsidRPr="0046455D" w:rsidRDefault="007F3C1E" w:rsidP="007F3C1E">
            <w:pPr>
              <w:spacing w:after="0" w:line="240" w:lineRule="auto"/>
              <w:rPr>
                <w:sz w:val="22"/>
                <w:szCs w:val="22"/>
              </w:rPr>
            </w:pPr>
            <w:r w:rsidRPr="0046455D">
              <w:rPr>
                <w:sz w:val="22"/>
                <w:szCs w:val="22"/>
              </w:rPr>
              <w:t>Did not attend screening due to personal problems</w:t>
            </w:r>
          </w:p>
        </w:tc>
        <w:tc>
          <w:tcPr>
            <w:tcW w:w="450" w:type="dxa"/>
            <w:shd w:val="clear" w:color="auto" w:fill="F2F2F2" w:themeFill="background1" w:themeFillShade="F2"/>
          </w:tcPr>
          <w:p w14:paraId="7A94873D" w14:textId="77777777" w:rsidR="007F3C1E" w:rsidRPr="0046455D" w:rsidRDefault="007F3C1E" w:rsidP="007F3C1E">
            <w:pPr>
              <w:spacing w:after="0" w:line="480" w:lineRule="auto"/>
              <w:rPr>
                <w:sz w:val="22"/>
                <w:szCs w:val="22"/>
              </w:rPr>
            </w:pPr>
          </w:p>
        </w:tc>
      </w:tr>
      <w:tr w:rsidR="007F3C1E" w:rsidRPr="0046455D" w14:paraId="7FEF5BE7" w14:textId="77777777" w:rsidTr="00F30E67">
        <w:tc>
          <w:tcPr>
            <w:tcW w:w="1170" w:type="dxa"/>
            <w:shd w:val="clear" w:color="auto" w:fill="F2F2F2" w:themeFill="background1" w:themeFillShade="F2"/>
          </w:tcPr>
          <w:p w14:paraId="5914C7FC" w14:textId="77777777" w:rsidR="007F3C1E" w:rsidRPr="0046455D" w:rsidRDefault="007F3C1E" w:rsidP="007F3C1E">
            <w:pPr>
              <w:spacing w:after="0" w:line="240" w:lineRule="auto"/>
              <w:rPr>
                <w:sz w:val="22"/>
                <w:szCs w:val="22"/>
              </w:rPr>
            </w:pPr>
            <w:r w:rsidRPr="0046455D">
              <w:rPr>
                <w:sz w:val="22"/>
                <w:szCs w:val="22"/>
              </w:rPr>
              <w:t>10</w:t>
            </w:r>
          </w:p>
        </w:tc>
        <w:tc>
          <w:tcPr>
            <w:tcW w:w="6930" w:type="dxa"/>
            <w:shd w:val="clear" w:color="auto" w:fill="F2F2F2" w:themeFill="background1" w:themeFillShade="F2"/>
          </w:tcPr>
          <w:p w14:paraId="0D48F068" w14:textId="77777777" w:rsidR="007F3C1E" w:rsidRPr="0046455D" w:rsidRDefault="007F3C1E" w:rsidP="007F3C1E">
            <w:pPr>
              <w:spacing w:after="0" w:line="240" w:lineRule="auto"/>
              <w:rPr>
                <w:sz w:val="22"/>
                <w:szCs w:val="22"/>
              </w:rPr>
            </w:pPr>
            <w:r w:rsidRPr="0046455D">
              <w:rPr>
                <w:sz w:val="22"/>
                <w:szCs w:val="22"/>
              </w:rPr>
              <w:t>Unable to make contact with respondent</w:t>
            </w:r>
          </w:p>
        </w:tc>
        <w:tc>
          <w:tcPr>
            <w:tcW w:w="450" w:type="dxa"/>
            <w:shd w:val="clear" w:color="auto" w:fill="F2F2F2" w:themeFill="background1" w:themeFillShade="F2"/>
          </w:tcPr>
          <w:p w14:paraId="423B81CD" w14:textId="77777777" w:rsidR="007F3C1E" w:rsidRPr="0046455D" w:rsidRDefault="007F3C1E" w:rsidP="007F3C1E">
            <w:pPr>
              <w:spacing w:after="0" w:line="480" w:lineRule="auto"/>
              <w:rPr>
                <w:sz w:val="22"/>
                <w:szCs w:val="22"/>
              </w:rPr>
            </w:pPr>
          </w:p>
        </w:tc>
      </w:tr>
      <w:tr w:rsidR="007F3C1E" w:rsidRPr="0046455D" w14:paraId="3423E455" w14:textId="77777777" w:rsidTr="00F30E67">
        <w:tc>
          <w:tcPr>
            <w:tcW w:w="1170" w:type="dxa"/>
            <w:shd w:val="clear" w:color="auto" w:fill="F2F2F2" w:themeFill="background1" w:themeFillShade="F2"/>
          </w:tcPr>
          <w:p w14:paraId="1CA5A33B" w14:textId="77777777" w:rsidR="007F3C1E" w:rsidRPr="0046455D" w:rsidRDefault="007F3C1E" w:rsidP="007F3C1E">
            <w:pPr>
              <w:spacing w:after="0" w:line="240" w:lineRule="auto"/>
              <w:rPr>
                <w:sz w:val="22"/>
                <w:szCs w:val="22"/>
              </w:rPr>
            </w:pPr>
            <w:r w:rsidRPr="0046455D">
              <w:rPr>
                <w:sz w:val="22"/>
                <w:szCs w:val="22"/>
              </w:rPr>
              <w:t>11</w:t>
            </w:r>
          </w:p>
        </w:tc>
        <w:tc>
          <w:tcPr>
            <w:tcW w:w="6930" w:type="dxa"/>
            <w:shd w:val="clear" w:color="auto" w:fill="F2F2F2" w:themeFill="background1" w:themeFillShade="F2"/>
          </w:tcPr>
          <w:p w14:paraId="1973E115" w14:textId="77777777" w:rsidR="007F3C1E" w:rsidRPr="0046455D" w:rsidRDefault="007F3C1E" w:rsidP="007F3C1E">
            <w:pPr>
              <w:spacing w:after="0" w:line="240" w:lineRule="auto"/>
              <w:rPr>
                <w:sz w:val="22"/>
                <w:szCs w:val="22"/>
              </w:rPr>
            </w:pPr>
            <w:r w:rsidRPr="0046455D">
              <w:rPr>
                <w:sz w:val="22"/>
                <w:szCs w:val="22"/>
              </w:rPr>
              <w:t>Unable to read or write in English (excluded)</w:t>
            </w:r>
          </w:p>
        </w:tc>
        <w:tc>
          <w:tcPr>
            <w:tcW w:w="450" w:type="dxa"/>
            <w:shd w:val="clear" w:color="auto" w:fill="F2F2F2" w:themeFill="background1" w:themeFillShade="F2"/>
          </w:tcPr>
          <w:p w14:paraId="0D8EA385" w14:textId="77777777" w:rsidR="007F3C1E" w:rsidRPr="0046455D" w:rsidRDefault="007F3C1E" w:rsidP="007F3C1E">
            <w:pPr>
              <w:spacing w:after="0" w:line="480" w:lineRule="auto"/>
              <w:rPr>
                <w:sz w:val="22"/>
                <w:szCs w:val="22"/>
              </w:rPr>
            </w:pPr>
          </w:p>
        </w:tc>
      </w:tr>
      <w:tr w:rsidR="007F3C1E" w:rsidRPr="0046455D" w14:paraId="21738841" w14:textId="77777777" w:rsidTr="00F30E67">
        <w:tc>
          <w:tcPr>
            <w:tcW w:w="8100" w:type="dxa"/>
            <w:gridSpan w:val="2"/>
            <w:shd w:val="clear" w:color="auto" w:fill="F2F2F2" w:themeFill="background1" w:themeFillShade="F2"/>
          </w:tcPr>
          <w:p w14:paraId="5FFB6180" w14:textId="77777777" w:rsidR="007F3C1E" w:rsidRPr="0046455D" w:rsidRDefault="007F3C1E" w:rsidP="00F30E67">
            <w:pPr>
              <w:spacing w:line="480" w:lineRule="auto"/>
              <w:rPr>
                <w:b/>
                <w:sz w:val="22"/>
                <w:szCs w:val="22"/>
              </w:rPr>
            </w:pPr>
          </w:p>
          <w:p w14:paraId="49D8566C" w14:textId="77777777" w:rsidR="007F3C1E" w:rsidRPr="0046455D" w:rsidRDefault="007F3C1E" w:rsidP="00F30E67">
            <w:pPr>
              <w:spacing w:line="480" w:lineRule="auto"/>
              <w:rPr>
                <w:sz w:val="22"/>
                <w:szCs w:val="22"/>
              </w:rPr>
            </w:pPr>
          </w:p>
        </w:tc>
        <w:tc>
          <w:tcPr>
            <w:tcW w:w="450" w:type="dxa"/>
            <w:shd w:val="clear" w:color="auto" w:fill="F2F2F2" w:themeFill="background1" w:themeFillShade="F2"/>
          </w:tcPr>
          <w:p w14:paraId="0B784ECB" w14:textId="77777777" w:rsidR="007F3C1E" w:rsidRPr="0046455D" w:rsidRDefault="007F3C1E" w:rsidP="00F30E67">
            <w:pPr>
              <w:spacing w:line="480" w:lineRule="auto"/>
              <w:rPr>
                <w:sz w:val="22"/>
                <w:szCs w:val="22"/>
              </w:rPr>
            </w:pPr>
          </w:p>
        </w:tc>
      </w:tr>
    </w:tbl>
    <w:p w14:paraId="683EFC87" w14:textId="77777777" w:rsidR="00C354C4" w:rsidRPr="00586A09" w:rsidRDefault="00C354C4" w:rsidP="00586A09">
      <w:pPr>
        <w:spacing w:after="0" w:line="480" w:lineRule="auto"/>
        <w:rPr>
          <w:rFonts w:eastAsia="Calibri" w:cs="Times New Roman"/>
          <w:sz w:val="24"/>
          <w:szCs w:val="24"/>
        </w:rPr>
      </w:pPr>
    </w:p>
    <w:p w14:paraId="536ABBDB" w14:textId="77777777" w:rsidR="007F3C1E" w:rsidRDefault="00C354C4" w:rsidP="00586A09">
      <w:pPr>
        <w:spacing w:after="0" w:line="480" w:lineRule="auto"/>
        <w:rPr>
          <w:rFonts w:eastAsia="Calibri" w:cs="Times New Roman"/>
          <w:sz w:val="24"/>
          <w:szCs w:val="24"/>
        </w:rPr>
        <w:sectPr w:rsidR="007F3C1E" w:rsidSect="00045864">
          <w:footerReference w:type="default" r:id="rId9"/>
          <w:pgSz w:w="12240" w:h="15840"/>
          <w:pgMar w:top="1440" w:right="1440" w:bottom="1440" w:left="1440" w:header="720" w:footer="720" w:gutter="0"/>
          <w:cols w:space="720"/>
          <w:docGrid w:linePitch="360"/>
        </w:sectPr>
      </w:pPr>
      <w:r w:rsidRPr="00586A09">
        <w:rPr>
          <w:rFonts w:eastAsia="Calibri" w:cs="Times New Roman"/>
          <w:sz w:val="24"/>
          <w:szCs w:val="24"/>
        </w:rPr>
        <w:t xml:space="preserve">Table 3 presents the characteristics of the twenty participants who were screened and found to be eligible to participate in the study in accordance with the inclusion and exclusion criteria. </w:t>
      </w:r>
    </w:p>
    <w:tbl>
      <w:tblPr>
        <w:tblpPr w:leftFromText="180" w:rightFromText="180" w:vertAnchor="text" w:horzAnchor="margin" w:tblpXSpec="center" w:tblpY="18"/>
        <w:tblW w:w="13140" w:type="dxa"/>
        <w:shd w:val="clear" w:color="auto" w:fill="F2F2F2" w:themeFill="background1" w:themeFillShade="F2"/>
        <w:tblLayout w:type="fixed"/>
        <w:tblLook w:val="04A0" w:firstRow="1" w:lastRow="0" w:firstColumn="1" w:lastColumn="0" w:noHBand="0" w:noVBand="1"/>
      </w:tblPr>
      <w:tblGrid>
        <w:gridCol w:w="4113"/>
        <w:gridCol w:w="257"/>
        <w:gridCol w:w="135"/>
        <w:gridCol w:w="2332"/>
        <w:gridCol w:w="1224"/>
        <w:gridCol w:w="1222"/>
        <w:gridCol w:w="1157"/>
        <w:gridCol w:w="1080"/>
        <w:gridCol w:w="90"/>
        <w:gridCol w:w="1260"/>
        <w:gridCol w:w="270"/>
      </w:tblGrid>
      <w:tr w:rsidR="007F3C1E" w:rsidRPr="007F3C1E" w14:paraId="308B720C" w14:textId="77777777" w:rsidTr="00F30E67">
        <w:trPr>
          <w:trHeight w:val="810"/>
        </w:trPr>
        <w:tc>
          <w:tcPr>
            <w:tcW w:w="12870" w:type="dxa"/>
            <w:gridSpan w:val="10"/>
            <w:shd w:val="clear" w:color="auto" w:fill="F2F2F2" w:themeFill="background1" w:themeFillShade="F2"/>
            <w:vAlign w:val="center"/>
            <w:hideMark/>
          </w:tcPr>
          <w:p w14:paraId="40B5A137" w14:textId="77777777" w:rsidR="007F3C1E" w:rsidRPr="007F3C1E" w:rsidRDefault="007F3C1E" w:rsidP="007F3C1E">
            <w:pPr>
              <w:spacing w:after="0" w:line="480" w:lineRule="auto"/>
              <w:rPr>
                <w:rFonts w:eastAsia="Times New Roman" w:cs="Times New Roman"/>
                <w:b/>
                <w:bCs/>
                <w:color w:val="000000"/>
                <w:lang w:eastAsia="en-GB"/>
              </w:rPr>
            </w:pPr>
          </w:p>
          <w:p w14:paraId="12F6A0F6" w14:textId="77777777" w:rsidR="007F3C1E" w:rsidRPr="007F3C1E" w:rsidRDefault="007F3C1E" w:rsidP="007F3C1E">
            <w:pPr>
              <w:spacing w:after="0" w:line="480" w:lineRule="auto"/>
              <w:rPr>
                <w:rFonts w:eastAsia="Times New Roman" w:cs="Times New Roman"/>
                <w:b/>
                <w:bCs/>
                <w:color w:val="000000"/>
                <w:lang w:eastAsia="en-GB"/>
              </w:rPr>
            </w:pPr>
            <w:r w:rsidRPr="007F3C1E">
              <w:rPr>
                <w:rFonts w:eastAsia="Times New Roman" w:cs="Times New Roman"/>
                <w:b/>
                <w:bCs/>
                <w:color w:val="000000"/>
                <w:lang w:eastAsia="en-GB"/>
              </w:rPr>
              <w:t xml:space="preserve">  Table 3: Participant demographic data</w:t>
            </w:r>
          </w:p>
        </w:tc>
        <w:tc>
          <w:tcPr>
            <w:tcW w:w="270" w:type="dxa"/>
            <w:shd w:val="clear" w:color="auto" w:fill="F2F2F2" w:themeFill="background1" w:themeFillShade="F2"/>
          </w:tcPr>
          <w:p w14:paraId="1A89B903" w14:textId="77777777" w:rsidR="007F3C1E" w:rsidRPr="007F3C1E" w:rsidRDefault="007F3C1E" w:rsidP="007F3C1E">
            <w:pPr>
              <w:spacing w:after="0" w:line="480" w:lineRule="auto"/>
              <w:rPr>
                <w:rFonts w:eastAsia="Times New Roman" w:cs="Times New Roman"/>
                <w:b/>
                <w:bCs/>
                <w:color w:val="000000"/>
                <w:lang w:eastAsia="en-GB"/>
              </w:rPr>
            </w:pPr>
          </w:p>
        </w:tc>
      </w:tr>
      <w:tr w:rsidR="007F3C1E" w:rsidRPr="007F3C1E" w14:paraId="6B10A9A5" w14:textId="77777777" w:rsidTr="00F30E67">
        <w:trPr>
          <w:trHeight w:val="315"/>
        </w:trPr>
        <w:tc>
          <w:tcPr>
            <w:tcW w:w="6837" w:type="dxa"/>
            <w:gridSpan w:val="4"/>
            <w:vMerge w:val="restart"/>
            <w:shd w:val="clear" w:color="auto" w:fill="F2F2F2" w:themeFill="background1" w:themeFillShade="F2"/>
            <w:vAlign w:val="bottom"/>
            <w:hideMark/>
          </w:tcPr>
          <w:p w14:paraId="70A2F48C" w14:textId="77777777" w:rsidR="007F3C1E" w:rsidRPr="007F3C1E" w:rsidRDefault="007F3C1E" w:rsidP="007F3C1E">
            <w:pPr>
              <w:spacing w:after="0" w:line="480" w:lineRule="auto"/>
              <w:rPr>
                <w:rFonts w:eastAsia="Times New Roman" w:cs="Arial"/>
                <w:color w:val="000000"/>
                <w:lang w:eastAsia="en-GB"/>
              </w:rPr>
            </w:pPr>
            <w:r w:rsidRPr="007F3C1E">
              <w:rPr>
                <w:rFonts w:eastAsia="Times New Roman" w:cs="Arial"/>
                <w:color w:val="000000"/>
                <w:lang w:eastAsia="en-GB"/>
              </w:rPr>
              <w:t> </w:t>
            </w:r>
          </w:p>
        </w:tc>
        <w:tc>
          <w:tcPr>
            <w:tcW w:w="6033" w:type="dxa"/>
            <w:gridSpan w:val="6"/>
            <w:shd w:val="clear" w:color="auto" w:fill="F2F2F2" w:themeFill="background1" w:themeFillShade="F2"/>
            <w:vAlign w:val="bottom"/>
            <w:hideMark/>
          </w:tcPr>
          <w:p w14:paraId="368C95EC" w14:textId="77777777" w:rsidR="007F3C1E" w:rsidRPr="007F3C1E" w:rsidRDefault="007F3C1E" w:rsidP="007F3C1E">
            <w:pPr>
              <w:spacing w:after="0" w:line="480" w:lineRule="auto"/>
              <w:rPr>
                <w:rFonts w:eastAsia="Times New Roman" w:cs="Arial"/>
                <w:b/>
                <w:color w:val="000000"/>
                <w:u w:val="single"/>
                <w:lang w:eastAsia="en-GB"/>
              </w:rPr>
            </w:pPr>
            <w:r w:rsidRPr="007F3C1E">
              <w:rPr>
                <w:rFonts w:eastAsia="Times New Roman" w:cs="Arial"/>
                <w:b/>
                <w:color w:val="000000"/>
                <w:u w:val="single"/>
                <w:lang w:eastAsia="en-GB"/>
              </w:rPr>
              <w:t>Treatment condition</w:t>
            </w:r>
          </w:p>
        </w:tc>
        <w:tc>
          <w:tcPr>
            <w:tcW w:w="270" w:type="dxa"/>
            <w:shd w:val="clear" w:color="auto" w:fill="F2F2F2" w:themeFill="background1" w:themeFillShade="F2"/>
          </w:tcPr>
          <w:p w14:paraId="4A604A56"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46322B4E" w14:textId="77777777" w:rsidTr="00F30E67">
        <w:trPr>
          <w:trHeight w:val="297"/>
        </w:trPr>
        <w:tc>
          <w:tcPr>
            <w:tcW w:w="6837" w:type="dxa"/>
            <w:gridSpan w:val="4"/>
            <w:vMerge/>
            <w:shd w:val="clear" w:color="auto" w:fill="F2F2F2" w:themeFill="background1" w:themeFillShade="F2"/>
            <w:vAlign w:val="center"/>
            <w:hideMark/>
          </w:tcPr>
          <w:p w14:paraId="79490810" w14:textId="77777777" w:rsidR="007F3C1E" w:rsidRPr="007F3C1E" w:rsidRDefault="007F3C1E" w:rsidP="007F3C1E">
            <w:pPr>
              <w:spacing w:after="0" w:line="480" w:lineRule="auto"/>
              <w:rPr>
                <w:rFonts w:eastAsia="Times New Roman" w:cs="Arial"/>
                <w:color w:val="000000"/>
                <w:lang w:eastAsia="en-GB"/>
              </w:rPr>
            </w:pPr>
          </w:p>
        </w:tc>
        <w:tc>
          <w:tcPr>
            <w:tcW w:w="1224" w:type="dxa"/>
            <w:shd w:val="clear" w:color="auto" w:fill="F2F2F2" w:themeFill="background1" w:themeFillShade="F2"/>
            <w:vAlign w:val="bottom"/>
            <w:hideMark/>
          </w:tcPr>
          <w:p w14:paraId="01C74806" w14:textId="77777777" w:rsidR="007F3C1E" w:rsidRPr="007F3C1E" w:rsidRDefault="007F3C1E" w:rsidP="007F3C1E">
            <w:pPr>
              <w:spacing w:after="0" w:line="480" w:lineRule="auto"/>
              <w:rPr>
                <w:rFonts w:eastAsia="Times New Roman" w:cs="Arial"/>
                <w:b/>
                <w:color w:val="000000"/>
                <w:u w:val="single"/>
                <w:lang w:eastAsia="en-GB"/>
              </w:rPr>
            </w:pPr>
            <w:r w:rsidRPr="007F3C1E">
              <w:rPr>
                <w:rFonts w:eastAsia="Times New Roman" w:cs="Arial"/>
                <w:b/>
                <w:color w:val="000000"/>
                <w:u w:val="single"/>
                <w:lang w:eastAsia="en-GB"/>
              </w:rPr>
              <w:t>HI-CBT</w:t>
            </w:r>
          </w:p>
        </w:tc>
        <w:tc>
          <w:tcPr>
            <w:tcW w:w="1222" w:type="dxa"/>
            <w:shd w:val="clear" w:color="auto" w:fill="F2F2F2" w:themeFill="background1" w:themeFillShade="F2"/>
            <w:vAlign w:val="bottom"/>
            <w:hideMark/>
          </w:tcPr>
          <w:p w14:paraId="5522CB8C" w14:textId="77777777" w:rsidR="007F3C1E" w:rsidRPr="007F3C1E" w:rsidRDefault="007F3C1E" w:rsidP="007F3C1E">
            <w:pPr>
              <w:spacing w:after="0" w:line="480" w:lineRule="auto"/>
              <w:rPr>
                <w:rFonts w:eastAsia="Times New Roman" w:cs="Arial"/>
                <w:b/>
                <w:color w:val="000000"/>
                <w:u w:val="single"/>
                <w:lang w:eastAsia="en-GB"/>
              </w:rPr>
            </w:pPr>
            <w:r w:rsidRPr="007F3C1E">
              <w:rPr>
                <w:rFonts w:eastAsia="Times New Roman" w:cs="Arial"/>
                <w:b/>
                <w:color w:val="000000"/>
                <w:u w:val="single"/>
                <w:lang w:eastAsia="en-GB"/>
              </w:rPr>
              <w:t>LI-CBT</w:t>
            </w:r>
          </w:p>
        </w:tc>
        <w:tc>
          <w:tcPr>
            <w:tcW w:w="1157" w:type="dxa"/>
            <w:shd w:val="clear" w:color="auto" w:fill="F2F2F2" w:themeFill="background1" w:themeFillShade="F2"/>
            <w:vAlign w:val="bottom"/>
            <w:hideMark/>
          </w:tcPr>
          <w:p w14:paraId="32E78AA3" w14:textId="77777777" w:rsidR="007F3C1E" w:rsidRPr="007F3C1E" w:rsidRDefault="007F3C1E" w:rsidP="007F3C1E">
            <w:pPr>
              <w:spacing w:after="0" w:line="480" w:lineRule="auto"/>
              <w:rPr>
                <w:rFonts w:eastAsia="Times New Roman" w:cs="Arial"/>
                <w:b/>
                <w:color w:val="000000"/>
                <w:u w:val="single"/>
                <w:lang w:eastAsia="en-GB"/>
              </w:rPr>
            </w:pPr>
            <w:r w:rsidRPr="007F3C1E">
              <w:rPr>
                <w:rFonts w:eastAsia="Times New Roman" w:cs="Arial"/>
                <w:b/>
                <w:color w:val="000000"/>
                <w:u w:val="single"/>
                <w:lang w:eastAsia="en-GB"/>
              </w:rPr>
              <w:t>SH</w:t>
            </w:r>
          </w:p>
        </w:tc>
        <w:tc>
          <w:tcPr>
            <w:tcW w:w="1080" w:type="dxa"/>
            <w:shd w:val="clear" w:color="auto" w:fill="F2F2F2" w:themeFill="background1" w:themeFillShade="F2"/>
            <w:vAlign w:val="bottom"/>
            <w:hideMark/>
          </w:tcPr>
          <w:p w14:paraId="77BE5259" w14:textId="77777777" w:rsidR="007F3C1E" w:rsidRPr="007F3C1E" w:rsidRDefault="007F3C1E" w:rsidP="007F3C1E">
            <w:pPr>
              <w:spacing w:after="0" w:line="480" w:lineRule="auto"/>
              <w:rPr>
                <w:rFonts w:eastAsia="Times New Roman" w:cs="Arial"/>
                <w:b/>
                <w:color w:val="000000"/>
                <w:u w:val="single"/>
                <w:lang w:eastAsia="en-GB"/>
              </w:rPr>
            </w:pPr>
            <w:r w:rsidRPr="007F3C1E">
              <w:rPr>
                <w:rFonts w:eastAsia="Times New Roman" w:cs="Arial"/>
                <w:b/>
                <w:color w:val="000000"/>
                <w:u w:val="single"/>
                <w:lang w:eastAsia="en-GB"/>
              </w:rPr>
              <w:t>TAU</w:t>
            </w:r>
          </w:p>
        </w:tc>
        <w:tc>
          <w:tcPr>
            <w:tcW w:w="1350" w:type="dxa"/>
            <w:gridSpan w:val="2"/>
            <w:shd w:val="clear" w:color="auto" w:fill="F2F2F2" w:themeFill="background1" w:themeFillShade="F2"/>
            <w:vAlign w:val="bottom"/>
            <w:hideMark/>
          </w:tcPr>
          <w:p w14:paraId="5B6A16F1" w14:textId="77777777" w:rsidR="007F3C1E" w:rsidRPr="007F3C1E" w:rsidRDefault="007F3C1E" w:rsidP="007F3C1E">
            <w:pPr>
              <w:spacing w:after="0" w:line="480" w:lineRule="auto"/>
              <w:rPr>
                <w:rFonts w:eastAsia="Times New Roman" w:cs="Arial"/>
                <w:b/>
                <w:color w:val="000000"/>
                <w:u w:val="single"/>
                <w:lang w:eastAsia="en-GB"/>
              </w:rPr>
            </w:pPr>
            <w:r w:rsidRPr="007F3C1E">
              <w:rPr>
                <w:rFonts w:eastAsia="Times New Roman" w:cs="Arial"/>
                <w:b/>
                <w:color w:val="000000"/>
                <w:u w:val="single"/>
                <w:lang w:eastAsia="en-GB"/>
              </w:rPr>
              <w:t>Total</w:t>
            </w:r>
          </w:p>
        </w:tc>
        <w:tc>
          <w:tcPr>
            <w:tcW w:w="270" w:type="dxa"/>
            <w:shd w:val="clear" w:color="auto" w:fill="F2F2F2" w:themeFill="background1" w:themeFillShade="F2"/>
          </w:tcPr>
          <w:p w14:paraId="0FFF0A13"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6293F9CA" w14:textId="77777777" w:rsidTr="00F30E67">
        <w:trPr>
          <w:trHeight w:val="272"/>
        </w:trPr>
        <w:tc>
          <w:tcPr>
            <w:tcW w:w="6837" w:type="dxa"/>
            <w:gridSpan w:val="4"/>
            <w:shd w:val="clear" w:color="auto" w:fill="F2F2F2" w:themeFill="background1" w:themeFillShade="F2"/>
          </w:tcPr>
          <w:p w14:paraId="0DB43637" w14:textId="77777777" w:rsidR="007F3C1E" w:rsidRPr="007F3C1E" w:rsidRDefault="007F3C1E" w:rsidP="007F3C1E">
            <w:pPr>
              <w:spacing w:after="0" w:line="480" w:lineRule="auto"/>
              <w:rPr>
                <w:rFonts w:eastAsia="Times New Roman" w:cs="Arial"/>
                <w:color w:val="000000"/>
                <w:lang w:eastAsia="en-GB"/>
              </w:rPr>
            </w:pPr>
          </w:p>
        </w:tc>
        <w:tc>
          <w:tcPr>
            <w:tcW w:w="1224" w:type="dxa"/>
            <w:shd w:val="clear" w:color="auto" w:fill="F2F2F2" w:themeFill="background1" w:themeFillShade="F2"/>
            <w:noWrap/>
          </w:tcPr>
          <w:p w14:paraId="55909E84" w14:textId="77777777" w:rsidR="007F3C1E" w:rsidRPr="007F3C1E" w:rsidRDefault="007F3C1E" w:rsidP="007F3C1E">
            <w:pPr>
              <w:spacing w:line="480" w:lineRule="auto"/>
              <w:rPr>
                <w:rFonts w:eastAsia="Calibri" w:cs="Times New Roman"/>
                <w:color w:val="808080"/>
              </w:rPr>
            </w:pPr>
            <w:r w:rsidRPr="007F3C1E">
              <w:rPr>
                <w:rFonts w:eastAsia="Calibri" w:cs="Times New Roman"/>
                <w:color w:val="808080"/>
              </w:rPr>
              <w:t>(</w:t>
            </w:r>
            <w:r w:rsidRPr="007F3C1E">
              <w:rPr>
                <w:rFonts w:eastAsia="Calibri" w:cs="Times New Roman"/>
                <w:i/>
                <w:color w:val="808080"/>
              </w:rPr>
              <w:t>n</w:t>
            </w:r>
            <w:r w:rsidRPr="007F3C1E">
              <w:rPr>
                <w:rFonts w:eastAsia="Calibri" w:cs="Times New Roman"/>
                <w:color w:val="808080"/>
              </w:rPr>
              <w:t xml:space="preserve"> = 5)</w:t>
            </w:r>
          </w:p>
        </w:tc>
        <w:tc>
          <w:tcPr>
            <w:tcW w:w="1222" w:type="dxa"/>
            <w:shd w:val="clear" w:color="auto" w:fill="F2F2F2" w:themeFill="background1" w:themeFillShade="F2"/>
            <w:noWrap/>
          </w:tcPr>
          <w:p w14:paraId="281E132F" w14:textId="77777777" w:rsidR="007F3C1E" w:rsidRPr="007F3C1E" w:rsidRDefault="007F3C1E" w:rsidP="007F3C1E">
            <w:pPr>
              <w:spacing w:line="480" w:lineRule="auto"/>
              <w:rPr>
                <w:rFonts w:eastAsia="Calibri" w:cs="Times New Roman"/>
                <w:color w:val="808080"/>
              </w:rPr>
            </w:pPr>
            <w:r w:rsidRPr="007F3C1E">
              <w:rPr>
                <w:rFonts w:eastAsia="Calibri" w:cs="Times New Roman"/>
                <w:color w:val="808080"/>
              </w:rPr>
              <w:t>(</w:t>
            </w:r>
            <w:r w:rsidRPr="007F3C1E">
              <w:rPr>
                <w:rFonts w:eastAsia="Calibri" w:cs="Times New Roman"/>
                <w:i/>
                <w:color w:val="808080"/>
              </w:rPr>
              <w:t>n</w:t>
            </w:r>
            <w:r w:rsidRPr="007F3C1E">
              <w:rPr>
                <w:rFonts w:eastAsia="Calibri" w:cs="Times New Roman"/>
                <w:color w:val="808080"/>
              </w:rPr>
              <w:t xml:space="preserve"> = 5)</w:t>
            </w:r>
          </w:p>
        </w:tc>
        <w:tc>
          <w:tcPr>
            <w:tcW w:w="1157" w:type="dxa"/>
            <w:shd w:val="clear" w:color="auto" w:fill="F2F2F2" w:themeFill="background1" w:themeFillShade="F2"/>
            <w:noWrap/>
          </w:tcPr>
          <w:p w14:paraId="24D2B4C3" w14:textId="77777777" w:rsidR="007F3C1E" w:rsidRPr="007F3C1E" w:rsidRDefault="007F3C1E" w:rsidP="007F3C1E">
            <w:pPr>
              <w:spacing w:line="480" w:lineRule="auto"/>
              <w:rPr>
                <w:rFonts w:eastAsia="Calibri" w:cs="Times New Roman"/>
                <w:color w:val="808080"/>
              </w:rPr>
            </w:pPr>
            <w:r w:rsidRPr="007F3C1E">
              <w:rPr>
                <w:rFonts w:eastAsia="Calibri" w:cs="Times New Roman"/>
                <w:color w:val="808080"/>
              </w:rPr>
              <w:t>(</w:t>
            </w:r>
            <w:r w:rsidRPr="007F3C1E">
              <w:rPr>
                <w:rFonts w:eastAsia="Calibri" w:cs="Times New Roman"/>
                <w:i/>
                <w:color w:val="808080"/>
              </w:rPr>
              <w:t>n</w:t>
            </w:r>
            <w:r w:rsidRPr="007F3C1E">
              <w:rPr>
                <w:rFonts w:eastAsia="Calibri" w:cs="Times New Roman"/>
                <w:color w:val="808080"/>
              </w:rPr>
              <w:t xml:space="preserve"> = 5)</w:t>
            </w:r>
          </w:p>
        </w:tc>
        <w:tc>
          <w:tcPr>
            <w:tcW w:w="1080" w:type="dxa"/>
            <w:shd w:val="clear" w:color="auto" w:fill="F2F2F2" w:themeFill="background1" w:themeFillShade="F2"/>
            <w:noWrap/>
          </w:tcPr>
          <w:p w14:paraId="426D69A4" w14:textId="77777777" w:rsidR="007F3C1E" w:rsidRPr="007F3C1E" w:rsidRDefault="007F3C1E" w:rsidP="007F3C1E">
            <w:pPr>
              <w:spacing w:line="480" w:lineRule="auto"/>
              <w:rPr>
                <w:rFonts w:eastAsia="Calibri" w:cs="Times New Roman"/>
                <w:color w:val="808080"/>
              </w:rPr>
            </w:pPr>
            <w:r w:rsidRPr="007F3C1E">
              <w:rPr>
                <w:rFonts w:eastAsia="Calibri" w:cs="Times New Roman"/>
                <w:color w:val="808080"/>
              </w:rPr>
              <w:t>(</w:t>
            </w:r>
            <w:r w:rsidRPr="007F3C1E">
              <w:rPr>
                <w:rFonts w:eastAsia="Calibri" w:cs="Times New Roman"/>
                <w:i/>
                <w:color w:val="808080"/>
              </w:rPr>
              <w:t xml:space="preserve">n </w:t>
            </w:r>
            <w:r w:rsidRPr="007F3C1E">
              <w:rPr>
                <w:rFonts w:eastAsia="Calibri" w:cs="Times New Roman"/>
                <w:color w:val="808080"/>
              </w:rPr>
              <w:t>= 5)</w:t>
            </w:r>
          </w:p>
        </w:tc>
        <w:tc>
          <w:tcPr>
            <w:tcW w:w="1350" w:type="dxa"/>
            <w:gridSpan w:val="2"/>
            <w:shd w:val="clear" w:color="auto" w:fill="F2F2F2" w:themeFill="background1" w:themeFillShade="F2"/>
            <w:noWrap/>
          </w:tcPr>
          <w:p w14:paraId="7A7A9962" w14:textId="77777777" w:rsidR="007F3C1E" w:rsidRPr="007F3C1E" w:rsidRDefault="007F3C1E" w:rsidP="007F3C1E">
            <w:pPr>
              <w:spacing w:line="480" w:lineRule="auto"/>
              <w:rPr>
                <w:rFonts w:eastAsia="Calibri" w:cs="Times New Roman"/>
                <w:color w:val="808080"/>
              </w:rPr>
            </w:pPr>
            <w:r w:rsidRPr="007F3C1E">
              <w:rPr>
                <w:rFonts w:eastAsia="Calibri" w:cs="Times New Roman"/>
                <w:color w:val="808080"/>
              </w:rPr>
              <w:t>(</w:t>
            </w:r>
            <w:r w:rsidRPr="007F3C1E">
              <w:rPr>
                <w:rFonts w:eastAsia="Calibri" w:cs="Times New Roman"/>
                <w:i/>
                <w:color w:val="808080"/>
              </w:rPr>
              <w:t>n</w:t>
            </w:r>
            <w:r w:rsidRPr="007F3C1E">
              <w:rPr>
                <w:rFonts w:eastAsia="Calibri" w:cs="Times New Roman"/>
                <w:color w:val="808080"/>
              </w:rPr>
              <w:t xml:space="preserve"> = 20)</w:t>
            </w:r>
          </w:p>
        </w:tc>
        <w:tc>
          <w:tcPr>
            <w:tcW w:w="270" w:type="dxa"/>
            <w:shd w:val="clear" w:color="auto" w:fill="F2F2F2" w:themeFill="background1" w:themeFillShade="F2"/>
          </w:tcPr>
          <w:p w14:paraId="4C5B3884" w14:textId="77777777" w:rsidR="007F3C1E" w:rsidRPr="007F3C1E" w:rsidRDefault="007F3C1E" w:rsidP="007F3C1E">
            <w:pPr>
              <w:spacing w:line="480" w:lineRule="auto"/>
              <w:rPr>
                <w:rFonts w:eastAsia="Calibri" w:cs="Times New Roman"/>
                <w:color w:val="000000"/>
              </w:rPr>
            </w:pPr>
          </w:p>
        </w:tc>
      </w:tr>
      <w:tr w:rsidR="007F3C1E" w:rsidRPr="007F3C1E" w14:paraId="34712518" w14:textId="77777777" w:rsidTr="00F30E67">
        <w:trPr>
          <w:trHeight w:val="315"/>
        </w:trPr>
        <w:tc>
          <w:tcPr>
            <w:tcW w:w="6837" w:type="dxa"/>
            <w:gridSpan w:val="4"/>
            <w:shd w:val="clear" w:color="auto" w:fill="F2F2F2" w:themeFill="background1" w:themeFillShade="F2"/>
            <w:hideMark/>
          </w:tcPr>
          <w:p w14:paraId="61E2B26B"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Female,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1224" w:type="dxa"/>
            <w:shd w:val="clear" w:color="auto" w:fill="F2F2F2" w:themeFill="background1" w:themeFillShade="F2"/>
            <w:noWrap/>
            <w:vAlign w:val="center"/>
            <w:hideMark/>
          </w:tcPr>
          <w:p w14:paraId="50E38C4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5</w:t>
            </w:r>
            <w:r w:rsidRPr="007F3C1E">
              <w:rPr>
                <w:rFonts w:eastAsia="Times New Roman" w:cs="Arial"/>
                <w:color w:val="000000"/>
                <w:lang w:eastAsia="en-GB"/>
              </w:rPr>
              <w:t xml:space="preserve"> </w:t>
            </w:r>
            <w:r w:rsidRPr="007F3C1E">
              <w:rPr>
                <w:rFonts w:eastAsia="Times New Roman" w:cs="Arial"/>
                <w:i/>
                <w:color w:val="808080"/>
                <w:lang w:eastAsia="en-GB"/>
              </w:rPr>
              <w:t>(100)</w:t>
            </w:r>
          </w:p>
        </w:tc>
        <w:tc>
          <w:tcPr>
            <w:tcW w:w="1222" w:type="dxa"/>
            <w:shd w:val="clear" w:color="auto" w:fill="F2F2F2" w:themeFill="background1" w:themeFillShade="F2"/>
            <w:noWrap/>
            <w:vAlign w:val="center"/>
            <w:hideMark/>
          </w:tcPr>
          <w:p w14:paraId="4488B49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(80)</w:t>
            </w:r>
          </w:p>
        </w:tc>
        <w:tc>
          <w:tcPr>
            <w:tcW w:w="1157" w:type="dxa"/>
            <w:shd w:val="clear" w:color="auto" w:fill="F2F2F2" w:themeFill="background1" w:themeFillShade="F2"/>
            <w:noWrap/>
            <w:vAlign w:val="center"/>
            <w:hideMark/>
          </w:tcPr>
          <w:p w14:paraId="4B83EA6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(80)</w:t>
            </w:r>
          </w:p>
        </w:tc>
        <w:tc>
          <w:tcPr>
            <w:tcW w:w="1080" w:type="dxa"/>
            <w:shd w:val="clear" w:color="auto" w:fill="F2F2F2" w:themeFill="background1" w:themeFillShade="F2"/>
            <w:noWrap/>
            <w:vAlign w:val="center"/>
            <w:hideMark/>
          </w:tcPr>
          <w:p w14:paraId="1EC549F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(80)</w:t>
            </w:r>
          </w:p>
        </w:tc>
        <w:tc>
          <w:tcPr>
            <w:tcW w:w="1350" w:type="dxa"/>
            <w:gridSpan w:val="2"/>
            <w:shd w:val="clear" w:color="auto" w:fill="F2F2F2" w:themeFill="background1" w:themeFillShade="F2"/>
            <w:noWrap/>
            <w:vAlign w:val="center"/>
            <w:hideMark/>
          </w:tcPr>
          <w:p w14:paraId="11B25D13"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17 </w:t>
            </w:r>
            <w:r w:rsidRPr="007F3C1E">
              <w:rPr>
                <w:rFonts w:eastAsia="Times New Roman" w:cs="Arial"/>
                <w:i/>
                <w:color w:val="808080"/>
                <w:lang w:eastAsia="en-GB"/>
              </w:rPr>
              <w:t>(85)</w:t>
            </w:r>
          </w:p>
        </w:tc>
        <w:tc>
          <w:tcPr>
            <w:tcW w:w="270" w:type="dxa"/>
            <w:shd w:val="clear" w:color="auto" w:fill="F2F2F2" w:themeFill="background1" w:themeFillShade="F2"/>
          </w:tcPr>
          <w:p w14:paraId="02A95010"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7DCBAEDE" w14:textId="77777777" w:rsidTr="00F30E67">
        <w:trPr>
          <w:trHeight w:val="558"/>
        </w:trPr>
        <w:tc>
          <w:tcPr>
            <w:tcW w:w="6837" w:type="dxa"/>
            <w:gridSpan w:val="4"/>
            <w:shd w:val="clear" w:color="auto" w:fill="F2F2F2" w:themeFill="background1" w:themeFillShade="F2"/>
            <w:hideMark/>
          </w:tcPr>
          <w:p w14:paraId="73A8D4CC"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Age (years), Mean (S.D.)</w:t>
            </w:r>
          </w:p>
        </w:tc>
        <w:tc>
          <w:tcPr>
            <w:tcW w:w="1224" w:type="dxa"/>
            <w:shd w:val="clear" w:color="auto" w:fill="F2F2F2" w:themeFill="background1" w:themeFillShade="F2"/>
            <w:noWrap/>
            <w:vAlign w:val="center"/>
            <w:hideMark/>
          </w:tcPr>
          <w:p w14:paraId="2EF8871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 xml:space="preserve">56.6 </w:t>
            </w:r>
            <w:r w:rsidRPr="007F3C1E">
              <w:rPr>
                <w:rFonts w:eastAsia="Times New Roman" w:cs="Arial"/>
                <w:i/>
                <w:color w:val="808080"/>
                <w:lang w:eastAsia="en-GB"/>
              </w:rPr>
              <w:t>(14.4)</w:t>
            </w:r>
          </w:p>
        </w:tc>
        <w:tc>
          <w:tcPr>
            <w:tcW w:w="1222" w:type="dxa"/>
            <w:shd w:val="clear" w:color="auto" w:fill="F2F2F2" w:themeFill="background1" w:themeFillShade="F2"/>
            <w:noWrap/>
            <w:vAlign w:val="center"/>
            <w:hideMark/>
          </w:tcPr>
          <w:p w14:paraId="0F63C6F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 xml:space="preserve">40.0 </w:t>
            </w:r>
            <w:r w:rsidRPr="007F3C1E">
              <w:rPr>
                <w:rFonts w:eastAsia="Times New Roman" w:cs="Arial"/>
                <w:i/>
                <w:color w:val="808080"/>
                <w:lang w:eastAsia="en-GB"/>
              </w:rPr>
              <w:t>(18.9)</w:t>
            </w:r>
          </w:p>
        </w:tc>
        <w:tc>
          <w:tcPr>
            <w:tcW w:w="1157" w:type="dxa"/>
            <w:shd w:val="clear" w:color="auto" w:fill="F2F2F2" w:themeFill="background1" w:themeFillShade="F2"/>
            <w:noWrap/>
            <w:vAlign w:val="center"/>
            <w:hideMark/>
          </w:tcPr>
          <w:p w14:paraId="01D5A9E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 xml:space="preserve">37.2 </w:t>
            </w:r>
            <w:r w:rsidRPr="007F3C1E">
              <w:rPr>
                <w:rFonts w:eastAsia="Times New Roman" w:cs="Arial"/>
                <w:i/>
                <w:color w:val="808080"/>
                <w:lang w:eastAsia="en-GB"/>
              </w:rPr>
              <w:t>(18.5)</w:t>
            </w:r>
          </w:p>
        </w:tc>
        <w:tc>
          <w:tcPr>
            <w:tcW w:w="1080" w:type="dxa"/>
            <w:shd w:val="clear" w:color="auto" w:fill="F2F2F2" w:themeFill="background1" w:themeFillShade="F2"/>
            <w:noWrap/>
            <w:vAlign w:val="center"/>
            <w:hideMark/>
          </w:tcPr>
          <w:p w14:paraId="7CE311F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 xml:space="preserve">44.0 </w:t>
            </w:r>
            <w:r w:rsidRPr="007F3C1E">
              <w:rPr>
                <w:rFonts w:eastAsia="Times New Roman" w:cs="Arial"/>
                <w:i/>
                <w:color w:val="808080"/>
                <w:lang w:eastAsia="en-GB"/>
              </w:rPr>
              <w:t>(15.7)</w:t>
            </w:r>
          </w:p>
        </w:tc>
        <w:tc>
          <w:tcPr>
            <w:tcW w:w="1350" w:type="dxa"/>
            <w:gridSpan w:val="2"/>
            <w:shd w:val="clear" w:color="auto" w:fill="F2F2F2" w:themeFill="background1" w:themeFillShade="F2"/>
            <w:noWrap/>
            <w:vAlign w:val="center"/>
            <w:hideMark/>
          </w:tcPr>
          <w:p w14:paraId="2E366E1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 xml:space="preserve">44.5 </w:t>
            </w:r>
            <w:r w:rsidRPr="007F3C1E">
              <w:rPr>
                <w:rFonts w:eastAsia="Times New Roman" w:cs="Arial"/>
                <w:i/>
                <w:color w:val="808080"/>
                <w:lang w:eastAsia="en-GB"/>
              </w:rPr>
              <w:t>(17.4)</w:t>
            </w:r>
          </w:p>
        </w:tc>
        <w:tc>
          <w:tcPr>
            <w:tcW w:w="270" w:type="dxa"/>
            <w:shd w:val="clear" w:color="auto" w:fill="F2F2F2" w:themeFill="background1" w:themeFillShade="F2"/>
          </w:tcPr>
          <w:p w14:paraId="792AE62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1C394D71" w14:textId="77777777" w:rsidTr="00F30E67">
        <w:trPr>
          <w:trHeight w:val="300"/>
        </w:trPr>
        <w:tc>
          <w:tcPr>
            <w:tcW w:w="6837" w:type="dxa"/>
            <w:gridSpan w:val="4"/>
            <w:shd w:val="clear" w:color="auto" w:fill="F2F2F2" w:themeFill="background1" w:themeFillShade="F2"/>
            <w:hideMark/>
          </w:tcPr>
          <w:p w14:paraId="0A00790E"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Age diagnosed with IBS (years), Mean (S.D.)</w:t>
            </w:r>
          </w:p>
        </w:tc>
        <w:tc>
          <w:tcPr>
            <w:tcW w:w="1224" w:type="dxa"/>
            <w:shd w:val="clear" w:color="auto" w:fill="F2F2F2" w:themeFill="background1" w:themeFillShade="F2"/>
            <w:noWrap/>
            <w:vAlign w:val="center"/>
            <w:hideMark/>
          </w:tcPr>
          <w:p w14:paraId="4F30D20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47.8</w:t>
            </w:r>
            <w:r w:rsidRPr="007F3C1E">
              <w:rPr>
                <w:rFonts w:eastAsia="Times New Roman" w:cs="Arial"/>
                <w:color w:val="000000"/>
                <w:lang w:eastAsia="en-GB"/>
              </w:rPr>
              <w:t xml:space="preserve"> </w:t>
            </w:r>
            <w:r w:rsidRPr="007F3C1E">
              <w:rPr>
                <w:rFonts w:eastAsia="Times New Roman" w:cs="Arial"/>
                <w:i/>
                <w:color w:val="808080"/>
                <w:lang w:eastAsia="en-GB"/>
              </w:rPr>
              <w:t>(10.9)</w:t>
            </w:r>
          </w:p>
        </w:tc>
        <w:tc>
          <w:tcPr>
            <w:tcW w:w="1222" w:type="dxa"/>
            <w:shd w:val="clear" w:color="auto" w:fill="F2F2F2" w:themeFill="background1" w:themeFillShade="F2"/>
            <w:noWrap/>
            <w:vAlign w:val="center"/>
            <w:hideMark/>
          </w:tcPr>
          <w:p w14:paraId="1EF6E68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37.4</w:t>
            </w:r>
            <w:r w:rsidRPr="007F3C1E">
              <w:rPr>
                <w:rFonts w:eastAsia="Times New Roman" w:cs="Arial"/>
                <w:color w:val="000000"/>
                <w:lang w:eastAsia="en-GB"/>
              </w:rPr>
              <w:t xml:space="preserve"> </w:t>
            </w:r>
            <w:r w:rsidRPr="007F3C1E">
              <w:rPr>
                <w:rFonts w:eastAsia="Times New Roman" w:cs="Arial"/>
                <w:i/>
                <w:color w:val="808080"/>
                <w:lang w:eastAsia="en-GB"/>
              </w:rPr>
              <w:t>(18.6)</w:t>
            </w:r>
          </w:p>
        </w:tc>
        <w:tc>
          <w:tcPr>
            <w:tcW w:w="1157" w:type="dxa"/>
            <w:shd w:val="clear" w:color="auto" w:fill="F2F2F2" w:themeFill="background1" w:themeFillShade="F2"/>
            <w:noWrap/>
            <w:vAlign w:val="center"/>
            <w:hideMark/>
          </w:tcPr>
          <w:p w14:paraId="00F6D6E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31.4</w:t>
            </w:r>
            <w:r w:rsidRPr="007F3C1E">
              <w:rPr>
                <w:rFonts w:eastAsia="Times New Roman" w:cs="Arial"/>
                <w:color w:val="000000"/>
                <w:lang w:eastAsia="en-GB"/>
              </w:rPr>
              <w:t xml:space="preserve"> </w:t>
            </w:r>
            <w:r w:rsidRPr="007F3C1E">
              <w:rPr>
                <w:rFonts w:eastAsia="Times New Roman" w:cs="Arial"/>
                <w:i/>
                <w:color w:val="808080"/>
                <w:lang w:eastAsia="en-GB"/>
              </w:rPr>
              <w:t>(12.1)</w:t>
            </w:r>
          </w:p>
        </w:tc>
        <w:tc>
          <w:tcPr>
            <w:tcW w:w="1080" w:type="dxa"/>
            <w:shd w:val="clear" w:color="auto" w:fill="F2F2F2" w:themeFill="background1" w:themeFillShade="F2"/>
            <w:noWrap/>
            <w:vAlign w:val="center"/>
            <w:hideMark/>
          </w:tcPr>
          <w:p w14:paraId="189E700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32.8</w:t>
            </w:r>
            <w:r w:rsidRPr="007F3C1E">
              <w:rPr>
                <w:rFonts w:eastAsia="Times New Roman" w:cs="Arial"/>
                <w:color w:val="000000"/>
                <w:lang w:eastAsia="en-GB"/>
              </w:rPr>
              <w:t xml:space="preserve"> </w:t>
            </w:r>
            <w:r w:rsidRPr="007F3C1E">
              <w:rPr>
                <w:rFonts w:eastAsia="Times New Roman" w:cs="Arial"/>
                <w:i/>
                <w:color w:val="808080"/>
                <w:lang w:eastAsia="en-GB"/>
              </w:rPr>
              <w:t>(13.6)</w:t>
            </w:r>
          </w:p>
        </w:tc>
        <w:tc>
          <w:tcPr>
            <w:tcW w:w="1350" w:type="dxa"/>
            <w:gridSpan w:val="2"/>
            <w:shd w:val="clear" w:color="auto" w:fill="F2F2F2" w:themeFill="background1" w:themeFillShade="F2"/>
            <w:noWrap/>
            <w:vAlign w:val="center"/>
            <w:hideMark/>
          </w:tcPr>
          <w:p w14:paraId="113C5A7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37.4</w:t>
            </w:r>
            <w:r w:rsidRPr="007F3C1E">
              <w:rPr>
                <w:rFonts w:eastAsia="Times New Roman" w:cs="Arial"/>
                <w:color w:val="000000"/>
                <w:lang w:eastAsia="en-GB"/>
              </w:rPr>
              <w:t xml:space="preserve"> </w:t>
            </w:r>
            <w:r w:rsidRPr="007F3C1E">
              <w:rPr>
                <w:rFonts w:eastAsia="Times New Roman" w:cs="Arial"/>
                <w:i/>
                <w:color w:val="808080"/>
                <w:lang w:eastAsia="en-GB"/>
              </w:rPr>
              <w:t>(14.5)</w:t>
            </w:r>
          </w:p>
        </w:tc>
        <w:tc>
          <w:tcPr>
            <w:tcW w:w="270" w:type="dxa"/>
            <w:shd w:val="clear" w:color="auto" w:fill="F2F2F2" w:themeFill="background1" w:themeFillShade="F2"/>
          </w:tcPr>
          <w:p w14:paraId="5366723C"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2835E91E" w14:textId="77777777" w:rsidTr="00F30E67">
        <w:trPr>
          <w:trHeight w:val="300"/>
        </w:trPr>
        <w:tc>
          <w:tcPr>
            <w:tcW w:w="4505" w:type="dxa"/>
            <w:gridSpan w:val="3"/>
            <w:vMerge w:val="restart"/>
            <w:shd w:val="clear" w:color="auto" w:fill="F2F2F2" w:themeFill="background1" w:themeFillShade="F2"/>
            <w:hideMark/>
          </w:tcPr>
          <w:p w14:paraId="5D5C978E"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Rome criteria,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2332" w:type="dxa"/>
            <w:shd w:val="clear" w:color="auto" w:fill="F2F2F2" w:themeFill="background1" w:themeFillShade="F2"/>
            <w:hideMark/>
          </w:tcPr>
          <w:p w14:paraId="442F029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IBS-C</w:t>
            </w:r>
          </w:p>
        </w:tc>
        <w:tc>
          <w:tcPr>
            <w:tcW w:w="1224" w:type="dxa"/>
            <w:shd w:val="clear" w:color="auto" w:fill="F2F2F2" w:themeFill="background1" w:themeFillShade="F2"/>
            <w:noWrap/>
            <w:vAlign w:val="center"/>
            <w:hideMark/>
          </w:tcPr>
          <w:p w14:paraId="5A8268A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57F6227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1896025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4DE53AF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6E13203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6EC8CB8E"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61122ED8" w14:textId="77777777" w:rsidTr="00F30E67">
        <w:trPr>
          <w:trHeight w:val="300"/>
        </w:trPr>
        <w:tc>
          <w:tcPr>
            <w:tcW w:w="4505" w:type="dxa"/>
            <w:gridSpan w:val="3"/>
            <w:vMerge/>
            <w:shd w:val="clear" w:color="auto" w:fill="F2F2F2" w:themeFill="background1" w:themeFillShade="F2"/>
            <w:vAlign w:val="center"/>
            <w:hideMark/>
          </w:tcPr>
          <w:p w14:paraId="373CF858"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391016A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IBS-D</w:t>
            </w:r>
          </w:p>
        </w:tc>
        <w:tc>
          <w:tcPr>
            <w:tcW w:w="1224" w:type="dxa"/>
            <w:shd w:val="clear" w:color="auto" w:fill="F2F2F2" w:themeFill="background1" w:themeFillShade="F2"/>
            <w:noWrap/>
            <w:vAlign w:val="center"/>
            <w:hideMark/>
          </w:tcPr>
          <w:p w14:paraId="3941872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222" w:type="dxa"/>
            <w:shd w:val="clear" w:color="auto" w:fill="F2F2F2" w:themeFill="background1" w:themeFillShade="F2"/>
            <w:noWrap/>
            <w:vAlign w:val="center"/>
            <w:hideMark/>
          </w:tcPr>
          <w:p w14:paraId="21EA49B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157" w:type="dxa"/>
            <w:shd w:val="clear" w:color="auto" w:fill="F2F2F2" w:themeFill="background1" w:themeFillShade="F2"/>
            <w:noWrap/>
            <w:vAlign w:val="center"/>
            <w:hideMark/>
          </w:tcPr>
          <w:p w14:paraId="3419EE6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080" w:type="dxa"/>
            <w:shd w:val="clear" w:color="auto" w:fill="F2F2F2" w:themeFill="background1" w:themeFillShade="F2"/>
            <w:noWrap/>
            <w:vAlign w:val="center"/>
            <w:hideMark/>
          </w:tcPr>
          <w:p w14:paraId="61DCD7B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704C549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9</w:t>
            </w:r>
            <w:r w:rsidRPr="007F3C1E">
              <w:rPr>
                <w:rFonts w:eastAsia="Times New Roman" w:cs="Arial"/>
                <w:color w:val="000000"/>
                <w:lang w:eastAsia="en-GB"/>
              </w:rPr>
              <w:t xml:space="preserve"> </w:t>
            </w:r>
            <w:r w:rsidRPr="007F3C1E">
              <w:rPr>
                <w:rFonts w:eastAsia="Times New Roman" w:cs="Arial"/>
                <w:i/>
                <w:color w:val="808080"/>
                <w:lang w:eastAsia="en-GB"/>
              </w:rPr>
              <w:t>(45)</w:t>
            </w:r>
          </w:p>
        </w:tc>
        <w:tc>
          <w:tcPr>
            <w:tcW w:w="270" w:type="dxa"/>
            <w:shd w:val="clear" w:color="auto" w:fill="F2F2F2" w:themeFill="background1" w:themeFillShade="F2"/>
          </w:tcPr>
          <w:p w14:paraId="3B55AE7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4B8A5A57" w14:textId="77777777" w:rsidTr="00F30E67">
        <w:trPr>
          <w:trHeight w:val="300"/>
        </w:trPr>
        <w:tc>
          <w:tcPr>
            <w:tcW w:w="4505" w:type="dxa"/>
            <w:gridSpan w:val="3"/>
            <w:vMerge/>
            <w:shd w:val="clear" w:color="auto" w:fill="F2F2F2" w:themeFill="background1" w:themeFillShade="F2"/>
            <w:vAlign w:val="center"/>
            <w:hideMark/>
          </w:tcPr>
          <w:p w14:paraId="119BEFBC"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2648BBE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IBS-M</w:t>
            </w:r>
          </w:p>
        </w:tc>
        <w:tc>
          <w:tcPr>
            <w:tcW w:w="1224" w:type="dxa"/>
            <w:shd w:val="clear" w:color="auto" w:fill="F2F2F2" w:themeFill="background1" w:themeFillShade="F2"/>
            <w:noWrap/>
            <w:vAlign w:val="center"/>
            <w:hideMark/>
          </w:tcPr>
          <w:p w14:paraId="4F5DD7D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222" w:type="dxa"/>
            <w:shd w:val="clear" w:color="auto" w:fill="F2F2F2" w:themeFill="background1" w:themeFillShade="F2"/>
            <w:noWrap/>
            <w:vAlign w:val="center"/>
            <w:hideMark/>
          </w:tcPr>
          <w:p w14:paraId="5E2D8EF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157" w:type="dxa"/>
            <w:shd w:val="clear" w:color="auto" w:fill="F2F2F2" w:themeFill="background1" w:themeFillShade="F2"/>
            <w:noWrap/>
            <w:vAlign w:val="center"/>
            <w:hideMark/>
          </w:tcPr>
          <w:p w14:paraId="14D3A23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080" w:type="dxa"/>
            <w:shd w:val="clear" w:color="auto" w:fill="F2F2F2" w:themeFill="background1" w:themeFillShade="F2"/>
            <w:noWrap/>
            <w:vAlign w:val="center"/>
            <w:hideMark/>
          </w:tcPr>
          <w:p w14:paraId="16028F5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350" w:type="dxa"/>
            <w:gridSpan w:val="2"/>
            <w:shd w:val="clear" w:color="auto" w:fill="F2F2F2" w:themeFill="background1" w:themeFillShade="F2"/>
            <w:noWrap/>
            <w:vAlign w:val="center"/>
            <w:hideMark/>
          </w:tcPr>
          <w:p w14:paraId="7B42C0E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9</w:t>
            </w:r>
            <w:r w:rsidRPr="007F3C1E">
              <w:rPr>
                <w:rFonts w:eastAsia="Times New Roman" w:cs="Arial"/>
                <w:color w:val="000000"/>
                <w:lang w:eastAsia="en-GB"/>
              </w:rPr>
              <w:t xml:space="preserve"> </w:t>
            </w:r>
            <w:r w:rsidRPr="007F3C1E">
              <w:rPr>
                <w:rFonts w:eastAsia="Times New Roman" w:cs="Arial"/>
                <w:i/>
                <w:color w:val="808080"/>
                <w:lang w:eastAsia="en-GB"/>
              </w:rPr>
              <w:t>(45)</w:t>
            </w:r>
          </w:p>
        </w:tc>
        <w:tc>
          <w:tcPr>
            <w:tcW w:w="270" w:type="dxa"/>
            <w:shd w:val="clear" w:color="auto" w:fill="F2F2F2" w:themeFill="background1" w:themeFillShade="F2"/>
          </w:tcPr>
          <w:p w14:paraId="4AEEF06D"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792C4F8D" w14:textId="77777777" w:rsidTr="00F30E67">
        <w:trPr>
          <w:trHeight w:val="300"/>
        </w:trPr>
        <w:tc>
          <w:tcPr>
            <w:tcW w:w="6837" w:type="dxa"/>
            <w:gridSpan w:val="4"/>
            <w:shd w:val="clear" w:color="auto" w:fill="F2F2F2" w:themeFill="background1" w:themeFillShade="F2"/>
            <w:vAlign w:val="center"/>
            <w:hideMark/>
          </w:tcPr>
          <w:p w14:paraId="15B8A628"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IBS onset associated with infective episode,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1224" w:type="dxa"/>
            <w:shd w:val="clear" w:color="auto" w:fill="F2F2F2" w:themeFill="background1" w:themeFillShade="F2"/>
            <w:noWrap/>
            <w:vAlign w:val="center"/>
            <w:hideMark/>
          </w:tcPr>
          <w:p w14:paraId="67CB0B3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737B4AF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157" w:type="dxa"/>
            <w:shd w:val="clear" w:color="auto" w:fill="F2F2F2" w:themeFill="background1" w:themeFillShade="F2"/>
            <w:noWrap/>
            <w:vAlign w:val="center"/>
            <w:hideMark/>
          </w:tcPr>
          <w:p w14:paraId="5BF9140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7D82CA2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1D912F8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(15)</w:t>
            </w:r>
          </w:p>
        </w:tc>
        <w:tc>
          <w:tcPr>
            <w:tcW w:w="270" w:type="dxa"/>
            <w:shd w:val="clear" w:color="auto" w:fill="F2F2F2" w:themeFill="background1" w:themeFillShade="F2"/>
          </w:tcPr>
          <w:p w14:paraId="65DA0CDC"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55F8AB09" w14:textId="77777777" w:rsidTr="00F30E67">
        <w:trPr>
          <w:trHeight w:val="300"/>
        </w:trPr>
        <w:tc>
          <w:tcPr>
            <w:tcW w:w="6837" w:type="dxa"/>
            <w:gridSpan w:val="4"/>
            <w:shd w:val="clear" w:color="auto" w:fill="F2F2F2" w:themeFill="background1" w:themeFillShade="F2"/>
            <w:hideMark/>
          </w:tcPr>
          <w:p w14:paraId="33F4C930"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Previous received psychotherapy,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1224" w:type="dxa"/>
            <w:shd w:val="clear" w:color="auto" w:fill="F2F2F2" w:themeFill="background1" w:themeFillShade="F2"/>
            <w:noWrap/>
            <w:vAlign w:val="center"/>
            <w:hideMark/>
          </w:tcPr>
          <w:p w14:paraId="50D6FEB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62F7A3B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5150F53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29DBB58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6CD04D5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0E3302A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67D29E31" w14:textId="77777777" w:rsidTr="00F30E67">
        <w:trPr>
          <w:trHeight w:val="300"/>
        </w:trPr>
        <w:tc>
          <w:tcPr>
            <w:tcW w:w="6837" w:type="dxa"/>
            <w:gridSpan w:val="4"/>
            <w:shd w:val="clear" w:color="auto" w:fill="F2F2F2" w:themeFill="background1" w:themeFillShade="F2"/>
            <w:hideMark/>
          </w:tcPr>
          <w:p w14:paraId="3FC65C39"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Antidepressant use,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1224" w:type="dxa"/>
            <w:shd w:val="clear" w:color="auto" w:fill="F2F2F2" w:themeFill="background1" w:themeFillShade="F2"/>
            <w:noWrap/>
            <w:vAlign w:val="center"/>
            <w:hideMark/>
          </w:tcPr>
          <w:p w14:paraId="37CCDC6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222" w:type="dxa"/>
            <w:shd w:val="clear" w:color="auto" w:fill="F2F2F2" w:themeFill="background1" w:themeFillShade="F2"/>
            <w:noWrap/>
            <w:vAlign w:val="center"/>
            <w:hideMark/>
          </w:tcPr>
          <w:p w14:paraId="492F881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3F85018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080" w:type="dxa"/>
            <w:shd w:val="clear" w:color="auto" w:fill="F2F2F2" w:themeFill="background1" w:themeFillShade="F2"/>
            <w:noWrap/>
            <w:vAlign w:val="center"/>
            <w:hideMark/>
          </w:tcPr>
          <w:p w14:paraId="6C982E5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2537D14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6</w:t>
            </w:r>
            <w:r w:rsidRPr="007F3C1E">
              <w:rPr>
                <w:rFonts w:eastAsia="Times New Roman" w:cs="Arial"/>
                <w:color w:val="000000"/>
                <w:lang w:eastAsia="en-GB"/>
              </w:rPr>
              <w:t xml:space="preserve"> </w:t>
            </w:r>
            <w:r w:rsidRPr="007F3C1E">
              <w:rPr>
                <w:rFonts w:eastAsia="Times New Roman" w:cs="Arial"/>
                <w:i/>
                <w:color w:val="808080"/>
                <w:lang w:eastAsia="en-GB"/>
              </w:rPr>
              <w:t>(30)</w:t>
            </w:r>
          </w:p>
        </w:tc>
        <w:tc>
          <w:tcPr>
            <w:tcW w:w="270" w:type="dxa"/>
            <w:shd w:val="clear" w:color="auto" w:fill="F2F2F2" w:themeFill="background1" w:themeFillShade="F2"/>
          </w:tcPr>
          <w:p w14:paraId="696521E8"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12DA1A2E" w14:textId="77777777" w:rsidTr="00F30E67">
        <w:trPr>
          <w:trHeight w:val="300"/>
        </w:trPr>
        <w:tc>
          <w:tcPr>
            <w:tcW w:w="4370" w:type="dxa"/>
            <w:gridSpan w:val="2"/>
            <w:vMerge w:val="restart"/>
            <w:shd w:val="clear" w:color="auto" w:fill="F2F2F2" w:themeFill="background1" w:themeFillShade="F2"/>
            <w:hideMark/>
          </w:tcPr>
          <w:p w14:paraId="160BA0A2"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Ethnic origin,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2467" w:type="dxa"/>
            <w:gridSpan w:val="2"/>
            <w:shd w:val="clear" w:color="auto" w:fill="F2F2F2" w:themeFill="background1" w:themeFillShade="F2"/>
            <w:hideMark/>
          </w:tcPr>
          <w:p w14:paraId="571E30B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White British</w:t>
            </w:r>
          </w:p>
        </w:tc>
        <w:tc>
          <w:tcPr>
            <w:tcW w:w="1224" w:type="dxa"/>
            <w:shd w:val="clear" w:color="auto" w:fill="F2F2F2" w:themeFill="background1" w:themeFillShade="F2"/>
            <w:noWrap/>
            <w:vAlign w:val="center"/>
            <w:hideMark/>
          </w:tcPr>
          <w:p w14:paraId="3C40538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(80)</w:t>
            </w:r>
          </w:p>
        </w:tc>
        <w:tc>
          <w:tcPr>
            <w:tcW w:w="1222" w:type="dxa"/>
            <w:shd w:val="clear" w:color="auto" w:fill="F2F2F2" w:themeFill="background1" w:themeFillShade="F2"/>
            <w:noWrap/>
            <w:vAlign w:val="center"/>
            <w:hideMark/>
          </w:tcPr>
          <w:p w14:paraId="0AD0EA2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5</w:t>
            </w:r>
            <w:r w:rsidRPr="007F3C1E">
              <w:rPr>
                <w:rFonts w:eastAsia="Times New Roman" w:cs="Arial"/>
                <w:color w:val="000000"/>
                <w:lang w:eastAsia="en-GB"/>
              </w:rPr>
              <w:t xml:space="preserve"> </w:t>
            </w:r>
            <w:r w:rsidRPr="007F3C1E">
              <w:rPr>
                <w:rFonts w:eastAsia="Times New Roman" w:cs="Arial"/>
                <w:i/>
                <w:color w:val="808080"/>
                <w:lang w:eastAsia="en-GB"/>
              </w:rPr>
              <w:t>(100)</w:t>
            </w:r>
          </w:p>
        </w:tc>
        <w:tc>
          <w:tcPr>
            <w:tcW w:w="1157" w:type="dxa"/>
            <w:shd w:val="clear" w:color="auto" w:fill="F2F2F2" w:themeFill="background1" w:themeFillShade="F2"/>
            <w:noWrap/>
            <w:vAlign w:val="center"/>
            <w:hideMark/>
          </w:tcPr>
          <w:p w14:paraId="0BB30BD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5</w:t>
            </w:r>
            <w:r w:rsidRPr="007F3C1E">
              <w:rPr>
                <w:rFonts w:eastAsia="Times New Roman" w:cs="Arial"/>
                <w:color w:val="000000"/>
                <w:lang w:eastAsia="en-GB"/>
              </w:rPr>
              <w:t xml:space="preserve"> </w:t>
            </w:r>
            <w:r w:rsidRPr="007F3C1E">
              <w:rPr>
                <w:rFonts w:eastAsia="Times New Roman" w:cs="Arial"/>
                <w:i/>
                <w:color w:val="808080"/>
                <w:lang w:eastAsia="en-GB"/>
              </w:rPr>
              <w:t>(100)</w:t>
            </w:r>
          </w:p>
        </w:tc>
        <w:tc>
          <w:tcPr>
            <w:tcW w:w="1170" w:type="dxa"/>
            <w:gridSpan w:val="2"/>
            <w:shd w:val="clear" w:color="auto" w:fill="F2F2F2" w:themeFill="background1" w:themeFillShade="F2"/>
            <w:noWrap/>
            <w:vAlign w:val="center"/>
            <w:hideMark/>
          </w:tcPr>
          <w:p w14:paraId="6EDB249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5</w:t>
            </w:r>
            <w:r w:rsidRPr="007F3C1E">
              <w:rPr>
                <w:rFonts w:eastAsia="Times New Roman" w:cs="Arial"/>
                <w:color w:val="000000"/>
                <w:lang w:eastAsia="en-GB"/>
              </w:rPr>
              <w:t xml:space="preserve"> </w:t>
            </w:r>
            <w:r w:rsidRPr="007F3C1E">
              <w:rPr>
                <w:rFonts w:eastAsia="Times New Roman" w:cs="Arial"/>
                <w:i/>
                <w:color w:val="808080"/>
                <w:lang w:eastAsia="en-GB"/>
              </w:rPr>
              <w:t>(100)</w:t>
            </w:r>
          </w:p>
        </w:tc>
        <w:tc>
          <w:tcPr>
            <w:tcW w:w="1260" w:type="dxa"/>
            <w:shd w:val="clear" w:color="auto" w:fill="F2F2F2" w:themeFill="background1" w:themeFillShade="F2"/>
            <w:noWrap/>
            <w:vAlign w:val="center"/>
            <w:hideMark/>
          </w:tcPr>
          <w:p w14:paraId="681829C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19</w:t>
            </w:r>
            <w:r w:rsidRPr="007F3C1E">
              <w:rPr>
                <w:rFonts w:eastAsia="Times New Roman" w:cs="Arial"/>
                <w:color w:val="000000"/>
                <w:lang w:eastAsia="en-GB"/>
              </w:rPr>
              <w:t xml:space="preserve"> </w:t>
            </w:r>
            <w:r w:rsidRPr="007F3C1E">
              <w:rPr>
                <w:rFonts w:eastAsia="Times New Roman" w:cs="Arial"/>
                <w:i/>
                <w:color w:val="808080"/>
                <w:lang w:eastAsia="en-GB"/>
              </w:rPr>
              <w:t>(95)</w:t>
            </w:r>
          </w:p>
        </w:tc>
        <w:tc>
          <w:tcPr>
            <w:tcW w:w="270" w:type="dxa"/>
            <w:shd w:val="clear" w:color="auto" w:fill="F2F2F2" w:themeFill="background1" w:themeFillShade="F2"/>
          </w:tcPr>
          <w:p w14:paraId="020848B6"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07E7483A" w14:textId="77777777" w:rsidTr="00F30E67">
        <w:trPr>
          <w:trHeight w:val="300"/>
        </w:trPr>
        <w:tc>
          <w:tcPr>
            <w:tcW w:w="4370" w:type="dxa"/>
            <w:gridSpan w:val="2"/>
            <w:vMerge/>
            <w:shd w:val="clear" w:color="auto" w:fill="F2F2F2" w:themeFill="background1" w:themeFillShade="F2"/>
            <w:hideMark/>
          </w:tcPr>
          <w:p w14:paraId="542B02B2" w14:textId="77777777" w:rsidR="007F3C1E" w:rsidRPr="007F3C1E" w:rsidRDefault="007F3C1E" w:rsidP="007F3C1E">
            <w:pPr>
              <w:spacing w:after="0" w:line="360" w:lineRule="auto"/>
              <w:rPr>
                <w:rFonts w:eastAsia="Times New Roman" w:cs="Arial"/>
                <w:b/>
                <w:color w:val="000000"/>
                <w:lang w:eastAsia="en-GB"/>
              </w:rPr>
            </w:pPr>
          </w:p>
        </w:tc>
        <w:tc>
          <w:tcPr>
            <w:tcW w:w="2467" w:type="dxa"/>
            <w:gridSpan w:val="2"/>
            <w:shd w:val="clear" w:color="auto" w:fill="F2F2F2" w:themeFill="background1" w:themeFillShade="F2"/>
            <w:hideMark/>
          </w:tcPr>
          <w:p w14:paraId="1113490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White other</w:t>
            </w:r>
          </w:p>
        </w:tc>
        <w:tc>
          <w:tcPr>
            <w:tcW w:w="1224" w:type="dxa"/>
            <w:shd w:val="clear" w:color="auto" w:fill="F2F2F2" w:themeFill="background1" w:themeFillShade="F2"/>
            <w:noWrap/>
            <w:vAlign w:val="center"/>
            <w:hideMark/>
          </w:tcPr>
          <w:p w14:paraId="2BE617C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352B96B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6440FD3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2C3FC71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25C533C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(5)</w:t>
            </w:r>
          </w:p>
        </w:tc>
        <w:tc>
          <w:tcPr>
            <w:tcW w:w="270" w:type="dxa"/>
            <w:shd w:val="clear" w:color="auto" w:fill="F2F2F2" w:themeFill="background1" w:themeFillShade="F2"/>
          </w:tcPr>
          <w:p w14:paraId="195FB674"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446F0D55" w14:textId="77777777" w:rsidTr="00F30E67">
        <w:trPr>
          <w:trHeight w:val="300"/>
        </w:trPr>
        <w:tc>
          <w:tcPr>
            <w:tcW w:w="4505" w:type="dxa"/>
            <w:gridSpan w:val="3"/>
            <w:vMerge w:val="restart"/>
            <w:shd w:val="clear" w:color="auto" w:fill="F2F2F2" w:themeFill="background1" w:themeFillShade="F2"/>
            <w:hideMark/>
          </w:tcPr>
          <w:p w14:paraId="4ECA8281"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lastRenderedPageBreak/>
              <w:t xml:space="preserve">  Household income, </w:t>
            </w:r>
            <w:r w:rsidRPr="007F3C1E">
              <w:rPr>
                <w:rFonts w:eastAsia="Times New Roman" w:cs="Arial"/>
                <w:b/>
                <w:i/>
                <w:color w:val="000000"/>
                <w:lang w:eastAsia="en-GB"/>
              </w:rPr>
              <w:t>n</w:t>
            </w:r>
            <w:r w:rsidRPr="007F3C1E">
              <w:rPr>
                <w:rFonts w:eastAsia="Times New Roman" w:cs="Arial"/>
                <w:b/>
                <w:color w:val="000000"/>
                <w:lang w:eastAsia="en-GB"/>
              </w:rPr>
              <w:t xml:space="preserve"> (%)</w:t>
            </w:r>
          </w:p>
          <w:p w14:paraId="49FD79DC"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1C38D57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&lt; £15000</w:t>
            </w:r>
          </w:p>
        </w:tc>
        <w:tc>
          <w:tcPr>
            <w:tcW w:w="1224" w:type="dxa"/>
            <w:shd w:val="clear" w:color="auto" w:fill="F2F2F2" w:themeFill="background1" w:themeFillShade="F2"/>
            <w:noWrap/>
            <w:vAlign w:val="center"/>
            <w:hideMark/>
          </w:tcPr>
          <w:p w14:paraId="4B615F2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718CA58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3BB7DD2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17ABED3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39B8653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720EFF8F"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24D5A0C9" w14:textId="77777777" w:rsidTr="00F30E67">
        <w:trPr>
          <w:trHeight w:val="300"/>
        </w:trPr>
        <w:tc>
          <w:tcPr>
            <w:tcW w:w="4505" w:type="dxa"/>
            <w:gridSpan w:val="3"/>
            <w:vMerge/>
            <w:shd w:val="clear" w:color="auto" w:fill="F2F2F2" w:themeFill="background1" w:themeFillShade="F2"/>
            <w:vAlign w:val="center"/>
            <w:hideMark/>
          </w:tcPr>
          <w:p w14:paraId="735F3D6F"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27C4B71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£15000-£19999</w:t>
            </w:r>
          </w:p>
        </w:tc>
        <w:tc>
          <w:tcPr>
            <w:tcW w:w="1224" w:type="dxa"/>
            <w:shd w:val="clear" w:color="auto" w:fill="F2F2F2" w:themeFill="background1" w:themeFillShade="F2"/>
            <w:noWrap/>
            <w:vAlign w:val="center"/>
            <w:hideMark/>
          </w:tcPr>
          <w:p w14:paraId="40B00F2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3D42D87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157" w:type="dxa"/>
            <w:shd w:val="clear" w:color="auto" w:fill="F2F2F2" w:themeFill="background1" w:themeFillShade="F2"/>
            <w:noWrap/>
            <w:vAlign w:val="center"/>
            <w:hideMark/>
          </w:tcPr>
          <w:p w14:paraId="4876F9A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1754BD9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28F9DA4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14373414"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17A686E6" w14:textId="77777777" w:rsidTr="00F30E67">
        <w:trPr>
          <w:trHeight w:val="300"/>
        </w:trPr>
        <w:tc>
          <w:tcPr>
            <w:tcW w:w="4505" w:type="dxa"/>
            <w:gridSpan w:val="3"/>
            <w:vMerge/>
            <w:shd w:val="clear" w:color="auto" w:fill="F2F2F2" w:themeFill="background1" w:themeFillShade="F2"/>
            <w:vAlign w:val="center"/>
            <w:hideMark/>
          </w:tcPr>
          <w:p w14:paraId="3285F75E"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586F9B6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£20000-£29999</w:t>
            </w:r>
          </w:p>
        </w:tc>
        <w:tc>
          <w:tcPr>
            <w:tcW w:w="1224" w:type="dxa"/>
            <w:shd w:val="clear" w:color="auto" w:fill="F2F2F2" w:themeFill="background1" w:themeFillShade="F2"/>
            <w:noWrap/>
            <w:vAlign w:val="center"/>
            <w:hideMark/>
          </w:tcPr>
          <w:p w14:paraId="4CA9987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222" w:type="dxa"/>
            <w:shd w:val="clear" w:color="auto" w:fill="F2F2F2" w:themeFill="background1" w:themeFillShade="F2"/>
            <w:noWrap/>
            <w:vAlign w:val="center"/>
            <w:hideMark/>
          </w:tcPr>
          <w:p w14:paraId="214B8D4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6A77105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74BBB57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602EB0B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6</w:t>
            </w:r>
            <w:r w:rsidRPr="007F3C1E">
              <w:rPr>
                <w:rFonts w:eastAsia="Times New Roman" w:cs="Arial"/>
                <w:color w:val="000000"/>
                <w:lang w:eastAsia="en-GB"/>
              </w:rPr>
              <w:t xml:space="preserve"> </w:t>
            </w:r>
            <w:r w:rsidRPr="007F3C1E">
              <w:rPr>
                <w:rFonts w:eastAsia="Times New Roman" w:cs="Arial"/>
                <w:i/>
                <w:color w:val="808080"/>
                <w:lang w:eastAsia="en-GB"/>
              </w:rPr>
              <w:t>(30)</w:t>
            </w:r>
          </w:p>
        </w:tc>
        <w:tc>
          <w:tcPr>
            <w:tcW w:w="270" w:type="dxa"/>
            <w:shd w:val="clear" w:color="auto" w:fill="F2F2F2" w:themeFill="background1" w:themeFillShade="F2"/>
          </w:tcPr>
          <w:p w14:paraId="7A3D2AF9"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09DEF110" w14:textId="77777777" w:rsidTr="00F30E67">
        <w:trPr>
          <w:trHeight w:val="300"/>
        </w:trPr>
        <w:tc>
          <w:tcPr>
            <w:tcW w:w="4505" w:type="dxa"/>
            <w:gridSpan w:val="3"/>
            <w:vMerge/>
            <w:shd w:val="clear" w:color="auto" w:fill="F2F2F2" w:themeFill="background1" w:themeFillShade="F2"/>
            <w:vAlign w:val="center"/>
            <w:hideMark/>
          </w:tcPr>
          <w:p w14:paraId="6A91E385"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79D2477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£30000-£39999</w:t>
            </w:r>
          </w:p>
        </w:tc>
        <w:tc>
          <w:tcPr>
            <w:tcW w:w="1224" w:type="dxa"/>
            <w:shd w:val="clear" w:color="auto" w:fill="F2F2F2" w:themeFill="background1" w:themeFillShade="F2"/>
            <w:noWrap/>
            <w:vAlign w:val="center"/>
            <w:hideMark/>
          </w:tcPr>
          <w:p w14:paraId="130CC4D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222" w:type="dxa"/>
            <w:shd w:val="clear" w:color="auto" w:fill="F2F2F2" w:themeFill="background1" w:themeFillShade="F2"/>
            <w:noWrap/>
            <w:vAlign w:val="center"/>
            <w:hideMark/>
          </w:tcPr>
          <w:p w14:paraId="6BE8953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54B15DC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3366C23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08351FD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(15)</w:t>
            </w:r>
          </w:p>
        </w:tc>
        <w:tc>
          <w:tcPr>
            <w:tcW w:w="270" w:type="dxa"/>
            <w:shd w:val="clear" w:color="auto" w:fill="F2F2F2" w:themeFill="background1" w:themeFillShade="F2"/>
          </w:tcPr>
          <w:p w14:paraId="7913DBAA"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1F85F924" w14:textId="77777777" w:rsidTr="00F30E67">
        <w:trPr>
          <w:trHeight w:val="300"/>
        </w:trPr>
        <w:tc>
          <w:tcPr>
            <w:tcW w:w="4505" w:type="dxa"/>
            <w:gridSpan w:val="3"/>
            <w:vMerge/>
            <w:shd w:val="clear" w:color="auto" w:fill="F2F2F2" w:themeFill="background1" w:themeFillShade="F2"/>
            <w:vAlign w:val="center"/>
            <w:hideMark/>
          </w:tcPr>
          <w:p w14:paraId="48D2A04B"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535C40E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£40000-£49999</w:t>
            </w:r>
          </w:p>
        </w:tc>
        <w:tc>
          <w:tcPr>
            <w:tcW w:w="1224" w:type="dxa"/>
            <w:shd w:val="clear" w:color="auto" w:fill="F2F2F2" w:themeFill="background1" w:themeFillShade="F2"/>
            <w:noWrap/>
            <w:vAlign w:val="center"/>
            <w:hideMark/>
          </w:tcPr>
          <w:p w14:paraId="1532A7B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53593AD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2132899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2AD5570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350" w:type="dxa"/>
            <w:gridSpan w:val="2"/>
            <w:shd w:val="clear" w:color="auto" w:fill="F2F2F2" w:themeFill="background1" w:themeFillShade="F2"/>
            <w:noWrap/>
            <w:vAlign w:val="center"/>
            <w:hideMark/>
          </w:tcPr>
          <w:p w14:paraId="5577591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5EA29DA0"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6A76D40F" w14:textId="77777777" w:rsidTr="00F30E67">
        <w:trPr>
          <w:trHeight w:val="300"/>
        </w:trPr>
        <w:tc>
          <w:tcPr>
            <w:tcW w:w="4505" w:type="dxa"/>
            <w:gridSpan w:val="3"/>
            <w:vMerge/>
            <w:shd w:val="clear" w:color="auto" w:fill="F2F2F2" w:themeFill="background1" w:themeFillShade="F2"/>
            <w:vAlign w:val="center"/>
            <w:hideMark/>
          </w:tcPr>
          <w:p w14:paraId="71B390C6"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10C5ECB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£60000-£69999</w:t>
            </w:r>
          </w:p>
        </w:tc>
        <w:tc>
          <w:tcPr>
            <w:tcW w:w="1224" w:type="dxa"/>
            <w:shd w:val="clear" w:color="auto" w:fill="F2F2F2" w:themeFill="background1" w:themeFillShade="F2"/>
            <w:noWrap/>
            <w:vAlign w:val="center"/>
            <w:hideMark/>
          </w:tcPr>
          <w:p w14:paraId="141650B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372447F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05E9986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6D87D6A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0F42592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270" w:type="dxa"/>
            <w:shd w:val="clear" w:color="auto" w:fill="F2F2F2" w:themeFill="background1" w:themeFillShade="F2"/>
          </w:tcPr>
          <w:p w14:paraId="7F61EABA"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324477AA" w14:textId="77777777" w:rsidTr="00F30E67">
        <w:trPr>
          <w:trHeight w:val="300"/>
        </w:trPr>
        <w:tc>
          <w:tcPr>
            <w:tcW w:w="4505" w:type="dxa"/>
            <w:gridSpan w:val="3"/>
            <w:vMerge/>
            <w:shd w:val="clear" w:color="auto" w:fill="F2F2F2" w:themeFill="background1" w:themeFillShade="F2"/>
            <w:vAlign w:val="center"/>
            <w:hideMark/>
          </w:tcPr>
          <w:p w14:paraId="6BB23244" w14:textId="77777777" w:rsidR="007F3C1E" w:rsidRPr="007F3C1E" w:rsidRDefault="007F3C1E" w:rsidP="007F3C1E">
            <w:pPr>
              <w:spacing w:after="0" w:line="360" w:lineRule="auto"/>
              <w:rPr>
                <w:rFonts w:eastAsia="Times New Roman" w:cs="Arial"/>
                <w:b/>
                <w:color w:val="000000"/>
                <w:lang w:eastAsia="en-GB"/>
              </w:rPr>
            </w:pPr>
          </w:p>
        </w:tc>
        <w:tc>
          <w:tcPr>
            <w:tcW w:w="2332" w:type="dxa"/>
            <w:shd w:val="clear" w:color="auto" w:fill="F2F2F2" w:themeFill="background1" w:themeFillShade="F2"/>
            <w:hideMark/>
          </w:tcPr>
          <w:p w14:paraId="2E3F4D5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£70000-£99999</w:t>
            </w:r>
          </w:p>
        </w:tc>
        <w:tc>
          <w:tcPr>
            <w:tcW w:w="1224" w:type="dxa"/>
            <w:shd w:val="clear" w:color="auto" w:fill="F2F2F2" w:themeFill="background1" w:themeFillShade="F2"/>
            <w:noWrap/>
            <w:vAlign w:val="center"/>
            <w:hideMark/>
          </w:tcPr>
          <w:p w14:paraId="4D86FF8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4F05169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113F613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478138B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4369DE7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(5)</w:t>
            </w:r>
          </w:p>
        </w:tc>
        <w:tc>
          <w:tcPr>
            <w:tcW w:w="270" w:type="dxa"/>
            <w:shd w:val="clear" w:color="auto" w:fill="F2F2F2" w:themeFill="background1" w:themeFillShade="F2"/>
          </w:tcPr>
          <w:p w14:paraId="4F8812C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51481899" w14:textId="77777777" w:rsidTr="00F30E67">
        <w:trPr>
          <w:trHeight w:val="300"/>
        </w:trPr>
        <w:tc>
          <w:tcPr>
            <w:tcW w:w="4113" w:type="dxa"/>
            <w:vMerge w:val="restart"/>
            <w:shd w:val="clear" w:color="auto" w:fill="F2F2F2" w:themeFill="background1" w:themeFillShade="F2"/>
            <w:hideMark/>
          </w:tcPr>
          <w:p w14:paraId="07AF90C6"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Marital status,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2724" w:type="dxa"/>
            <w:gridSpan w:val="3"/>
            <w:shd w:val="clear" w:color="auto" w:fill="F2F2F2" w:themeFill="background1" w:themeFillShade="F2"/>
            <w:hideMark/>
          </w:tcPr>
          <w:p w14:paraId="7551B18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Divorced or separated</w:t>
            </w:r>
          </w:p>
        </w:tc>
        <w:tc>
          <w:tcPr>
            <w:tcW w:w="1224" w:type="dxa"/>
            <w:shd w:val="clear" w:color="auto" w:fill="F2F2F2" w:themeFill="background1" w:themeFillShade="F2"/>
            <w:noWrap/>
            <w:vAlign w:val="center"/>
            <w:hideMark/>
          </w:tcPr>
          <w:p w14:paraId="5A1376D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37C2A29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40E56E0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3CBBBCB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350" w:type="dxa"/>
            <w:gridSpan w:val="2"/>
            <w:shd w:val="clear" w:color="auto" w:fill="F2F2F2" w:themeFill="background1" w:themeFillShade="F2"/>
            <w:noWrap/>
            <w:vAlign w:val="center"/>
            <w:hideMark/>
          </w:tcPr>
          <w:p w14:paraId="0943AA1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03E05C78"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15988F84" w14:textId="77777777" w:rsidTr="00F30E67">
        <w:trPr>
          <w:trHeight w:val="300"/>
        </w:trPr>
        <w:tc>
          <w:tcPr>
            <w:tcW w:w="4113" w:type="dxa"/>
            <w:vMerge/>
            <w:shd w:val="clear" w:color="auto" w:fill="F2F2F2" w:themeFill="background1" w:themeFillShade="F2"/>
            <w:vAlign w:val="center"/>
            <w:hideMark/>
          </w:tcPr>
          <w:p w14:paraId="55E4777A"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38C8719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Living as married</w:t>
            </w:r>
          </w:p>
        </w:tc>
        <w:tc>
          <w:tcPr>
            <w:tcW w:w="1224" w:type="dxa"/>
            <w:shd w:val="clear" w:color="auto" w:fill="F2F2F2" w:themeFill="background1" w:themeFillShade="F2"/>
            <w:noWrap/>
            <w:vAlign w:val="center"/>
            <w:hideMark/>
          </w:tcPr>
          <w:p w14:paraId="7CBB7C4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3F9AE33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340B9CE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3C8F47A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5FBC7D33"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(5)</w:t>
            </w:r>
          </w:p>
        </w:tc>
        <w:tc>
          <w:tcPr>
            <w:tcW w:w="270" w:type="dxa"/>
            <w:shd w:val="clear" w:color="auto" w:fill="F2F2F2" w:themeFill="background1" w:themeFillShade="F2"/>
          </w:tcPr>
          <w:p w14:paraId="5D1BFBD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69455511" w14:textId="77777777" w:rsidTr="00F30E67">
        <w:trPr>
          <w:trHeight w:val="300"/>
        </w:trPr>
        <w:tc>
          <w:tcPr>
            <w:tcW w:w="4113" w:type="dxa"/>
            <w:vMerge/>
            <w:shd w:val="clear" w:color="auto" w:fill="F2F2F2" w:themeFill="background1" w:themeFillShade="F2"/>
            <w:vAlign w:val="center"/>
            <w:hideMark/>
          </w:tcPr>
          <w:p w14:paraId="18C687D5"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1355B7C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Married</w:t>
            </w:r>
          </w:p>
        </w:tc>
        <w:tc>
          <w:tcPr>
            <w:tcW w:w="1224" w:type="dxa"/>
            <w:shd w:val="clear" w:color="auto" w:fill="F2F2F2" w:themeFill="background1" w:themeFillShade="F2"/>
            <w:noWrap/>
            <w:vAlign w:val="center"/>
            <w:hideMark/>
          </w:tcPr>
          <w:p w14:paraId="5A78B02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222" w:type="dxa"/>
            <w:shd w:val="clear" w:color="auto" w:fill="F2F2F2" w:themeFill="background1" w:themeFillShade="F2"/>
            <w:noWrap/>
            <w:vAlign w:val="center"/>
            <w:hideMark/>
          </w:tcPr>
          <w:p w14:paraId="630B887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4C7FEA9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6257921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350" w:type="dxa"/>
            <w:gridSpan w:val="2"/>
            <w:shd w:val="clear" w:color="auto" w:fill="F2F2F2" w:themeFill="background1" w:themeFillShade="F2"/>
            <w:noWrap/>
            <w:vAlign w:val="center"/>
            <w:hideMark/>
          </w:tcPr>
          <w:p w14:paraId="548DA55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8</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270" w:type="dxa"/>
            <w:shd w:val="clear" w:color="auto" w:fill="F2F2F2" w:themeFill="background1" w:themeFillShade="F2"/>
          </w:tcPr>
          <w:p w14:paraId="590D2B5C"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21F10CFF" w14:textId="77777777" w:rsidTr="00F30E67">
        <w:trPr>
          <w:trHeight w:val="300"/>
        </w:trPr>
        <w:tc>
          <w:tcPr>
            <w:tcW w:w="4113" w:type="dxa"/>
            <w:vMerge/>
            <w:shd w:val="clear" w:color="auto" w:fill="F2F2F2" w:themeFill="background1" w:themeFillShade="F2"/>
            <w:vAlign w:val="center"/>
            <w:hideMark/>
          </w:tcPr>
          <w:p w14:paraId="23DD558E"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7D27DD0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Single</w:t>
            </w:r>
          </w:p>
        </w:tc>
        <w:tc>
          <w:tcPr>
            <w:tcW w:w="1224" w:type="dxa"/>
            <w:shd w:val="clear" w:color="auto" w:fill="F2F2F2" w:themeFill="background1" w:themeFillShade="F2"/>
            <w:noWrap/>
            <w:vAlign w:val="center"/>
            <w:hideMark/>
          </w:tcPr>
          <w:p w14:paraId="7D5781C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211B861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157" w:type="dxa"/>
            <w:shd w:val="clear" w:color="auto" w:fill="F2F2F2" w:themeFill="background1" w:themeFillShade="F2"/>
            <w:noWrap/>
            <w:vAlign w:val="center"/>
            <w:hideMark/>
          </w:tcPr>
          <w:p w14:paraId="37F3FA7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(80)</w:t>
            </w:r>
          </w:p>
        </w:tc>
        <w:tc>
          <w:tcPr>
            <w:tcW w:w="1080" w:type="dxa"/>
            <w:shd w:val="clear" w:color="auto" w:fill="F2F2F2" w:themeFill="background1" w:themeFillShade="F2"/>
            <w:noWrap/>
            <w:vAlign w:val="center"/>
            <w:hideMark/>
          </w:tcPr>
          <w:p w14:paraId="25DDA15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350" w:type="dxa"/>
            <w:gridSpan w:val="2"/>
            <w:shd w:val="clear" w:color="auto" w:fill="F2F2F2" w:themeFill="background1" w:themeFillShade="F2"/>
            <w:noWrap/>
            <w:vAlign w:val="center"/>
            <w:hideMark/>
          </w:tcPr>
          <w:p w14:paraId="42828FB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8</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270" w:type="dxa"/>
            <w:shd w:val="clear" w:color="auto" w:fill="F2F2F2" w:themeFill="background1" w:themeFillShade="F2"/>
          </w:tcPr>
          <w:p w14:paraId="25CF6F64"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7319D22A" w14:textId="77777777" w:rsidTr="00F30E67">
        <w:trPr>
          <w:trHeight w:val="300"/>
        </w:trPr>
        <w:tc>
          <w:tcPr>
            <w:tcW w:w="4113" w:type="dxa"/>
            <w:vMerge/>
            <w:shd w:val="clear" w:color="auto" w:fill="F2F2F2" w:themeFill="background1" w:themeFillShade="F2"/>
            <w:vAlign w:val="center"/>
            <w:hideMark/>
          </w:tcPr>
          <w:p w14:paraId="378C58EC"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1E3C17C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Widowed</w:t>
            </w:r>
          </w:p>
        </w:tc>
        <w:tc>
          <w:tcPr>
            <w:tcW w:w="1224" w:type="dxa"/>
            <w:shd w:val="clear" w:color="auto" w:fill="F2F2F2" w:themeFill="background1" w:themeFillShade="F2"/>
            <w:noWrap/>
            <w:vAlign w:val="center"/>
            <w:hideMark/>
          </w:tcPr>
          <w:p w14:paraId="0267D53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646AE50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73E260F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4EAFDA5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4B59502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(5)</w:t>
            </w:r>
          </w:p>
        </w:tc>
        <w:tc>
          <w:tcPr>
            <w:tcW w:w="270" w:type="dxa"/>
            <w:shd w:val="clear" w:color="auto" w:fill="F2F2F2" w:themeFill="background1" w:themeFillShade="F2"/>
          </w:tcPr>
          <w:p w14:paraId="3C6468EB"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53D25F6E" w14:textId="77777777" w:rsidTr="00F30E67">
        <w:trPr>
          <w:trHeight w:val="300"/>
        </w:trPr>
        <w:tc>
          <w:tcPr>
            <w:tcW w:w="4113" w:type="dxa"/>
            <w:vMerge w:val="restart"/>
            <w:shd w:val="clear" w:color="auto" w:fill="F2F2F2" w:themeFill="background1" w:themeFillShade="F2"/>
            <w:hideMark/>
          </w:tcPr>
          <w:p w14:paraId="40A08A72"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t xml:space="preserve">  Education,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2724" w:type="dxa"/>
            <w:gridSpan w:val="3"/>
            <w:shd w:val="clear" w:color="auto" w:fill="F2F2F2" w:themeFill="background1" w:themeFillShade="F2"/>
            <w:hideMark/>
          </w:tcPr>
          <w:p w14:paraId="69EC148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 xml:space="preserve">Grammar sch/college </w:t>
            </w:r>
          </w:p>
        </w:tc>
        <w:tc>
          <w:tcPr>
            <w:tcW w:w="1224" w:type="dxa"/>
            <w:shd w:val="clear" w:color="auto" w:fill="F2F2F2" w:themeFill="background1" w:themeFillShade="F2"/>
            <w:noWrap/>
            <w:vAlign w:val="center"/>
            <w:hideMark/>
          </w:tcPr>
          <w:p w14:paraId="20DD369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6184491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157" w:type="dxa"/>
            <w:shd w:val="clear" w:color="auto" w:fill="F2F2F2" w:themeFill="background1" w:themeFillShade="F2"/>
            <w:noWrap/>
            <w:vAlign w:val="center"/>
            <w:hideMark/>
          </w:tcPr>
          <w:p w14:paraId="2AF522C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r w:rsidRPr="007F3C1E">
              <w:rPr>
                <w:rFonts w:eastAsia="Times New Roman" w:cs="Arial"/>
                <w:color w:val="808080"/>
                <w:lang w:eastAsia="en-GB"/>
              </w:rPr>
              <w:t xml:space="preserve">                        </w:t>
            </w:r>
          </w:p>
        </w:tc>
        <w:tc>
          <w:tcPr>
            <w:tcW w:w="1080" w:type="dxa"/>
            <w:shd w:val="clear" w:color="auto" w:fill="F2F2F2" w:themeFill="background1" w:themeFillShade="F2"/>
            <w:noWrap/>
            <w:vAlign w:val="center"/>
            <w:hideMark/>
          </w:tcPr>
          <w:p w14:paraId="1944900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76552A1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8</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270" w:type="dxa"/>
            <w:shd w:val="clear" w:color="auto" w:fill="F2F2F2" w:themeFill="background1" w:themeFillShade="F2"/>
          </w:tcPr>
          <w:p w14:paraId="3C3B8E64"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1539E4DB" w14:textId="77777777" w:rsidTr="00F30E67">
        <w:trPr>
          <w:trHeight w:val="300"/>
        </w:trPr>
        <w:tc>
          <w:tcPr>
            <w:tcW w:w="4113" w:type="dxa"/>
            <w:vMerge/>
            <w:shd w:val="clear" w:color="auto" w:fill="F2F2F2" w:themeFill="background1" w:themeFillShade="F2"/>
            <w:vAlign w:val="center"/>
            <w:hideMark/>
          </w:tcPr>
          <w:p w14:paraId="48A3D547"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5039E83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Primary school</w:t>
            </w:r>
          </w:p>
        </w:tc>
        <w:tc>
          <w:tcPr>
            <w:tcW w:w="1224" w:type="dxa"/>
            <w:shd w:val="clear" w:color="auto" w:fill="F2F2F2" w:themeFill="background1" w:themeFillShade="F2"/>
            <w:noWrap/>
            <w:vAlign w:val="center"/>
            <w:hideMark/>
          </w:tcPr>
          <w:p w14:paraId="588EADF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 xml:space="preserve">0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74B4E61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5AEB3EB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0DD1EE3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49AB7D0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(5)</w:t>
            </w:r>
          </w:p>
        </w:tc>
        <w:tc>
          <w:tcPr>
            <w:tcW w:w="270" w:type="dxa"/>
            <w:shd w:val="clear" w:color="auto" w:fill="F2F2F2" w:themeFill="background1" w:themeFillShade="F2"/>
          </w:tcPr>
          <w:p w14:paraId="52E779D6"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27D0FC88" w14:textId="77777777" w:rsidTr="00F30E67">
        <w:trPr>
          <w:trHeight w:val="300"/>
        </w:trPr>
        <w:tc>
          <w:tcPr>
            <w:tcW w:w="4113" w:type="dxa"/>
            <w:vMerge/>
            <w:shd w:val="clear" w:color="auto" w:fill="F2F2F2" w:themeFill="background1" w:themeFillShade="F2"/>
            <w:vAlign w:val="center"/>
            <w:hideMark/>
          </w:tcPr>
          <w:p w14:paraId="690D5E6D"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40EC76A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Secondary school</w:t>
            </w:r>
          </w:p>
        </w:tc>
        <w:tc>
          <w:tcPr>
            <w:tcW w:w="1224" w:type="dxa"/>
            <w:shd w:val="clear" w:color="auto" w:fill="F2F2F2" w:themeFill="background1" w:themeFillShade="F2"/>
            <w:noWrap/>
            <w:vAlign w:val="center"/>
            <w:hideMark/>
          </w:tcPr>
          <w:p w14:paraId="4A8FE21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222" w:type="dxa"/>
            <w:shd w:val="clear" w:color="auto" w:fill="F2F2F2" w:themeFill="background1" w:themeFillShade="F2"/>
            <w:noWrap/>
            <w:vAlign w:val="center"/>
            <w:hideMark/>
          </w:tcPr>
          <w:p w14:paraId="0CE08F6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1DE9309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15FACF9A"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51FB153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270" w:type="dxa"/>
            <w:shd w:val="clear" w:color="auto" w:fill="F2F2F2" w:themeFill="background1" w:themeFillShade="F2"/>
          </w:tcPr>
          <w:p w14:paraId="286AE49C"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56FFE3F1" w14:textId="77777777" w:rsidTr="00F30E67">
        <w:trPr>
          <w:trHeight w:val="300"/>
        </w:trPr>
        <w:tc>
          <w:tcPr>
            <w:tcW w:w="4113" w:type="dxa"/>
            <w:vMerge/>
            <w:shd w:val="clear" w:color="auto" w:fill="F2F2F2" w:themeFill="background1" w:themeFillShade="F2"/>
            <w:vAlign w:val="center"/>
            <w:hideMark/>
          </w:tcPr>
          <w:p w14:paraId="1774A84D"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716962F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Technical/professional</w:t>
            </w:r>
          </w:p>
        </w:tc>
        <w:tc>
          <w:tcPr>
            <w:tcW w:w="1224" w:type="dxa"/>
            <w:shd w:val="clear" w:color="auto" w:fill="F2F2F2" w:themeFill="background1" w:themeFillShade="F2"/>
            <w:noWrap/>
            <w:vAlign w:val="center"/>
            <w:hideMark/>
          </w:tcPr>
          <w:p w14:paraId="7306AB7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61EDF41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00B9DED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75A59DD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350" w:type="dxa"/>
            <w:gridSpan w:val="2"/>
            <w:shd w:val="clear" w:color="auto" w:fill="F2F2F2" w:themeFill="background1" w:themeFillShade="F2"/>
            <w:noWrap/>
            <w:vAlign w:val="center"/>
            <w:hideMark/>
          </w:tcPr>
          <w:p w14:paraId="6DA5177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(10)</w:t>
            </w:r>
          </w:p>
        </w:tc>
        <w:tc>
          <w:tcPr>
            <w:tcW w:w="270" w:type="dxa"/>
            <w:shd w:val="clear" w:color="auto" w:fill="F2F2F2" w:themeFill="background1" w:themeFillShade="F2"/>
          </w:tcPr>
          <w:p w14:paraId="71835925"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386C07F5" w14:textId="77777777" w:rsidTr="00F30E67">
        <w:trPr>
          <w:trHeight w:val="300"/>
        </w:trPr>
        <w:tc>
          <w:tcPr>
            <w:tcW w:w="4113" w:type="dxa"/>
            <w:vMerge/>
            <w:shd w:val="clear" w:color="auto" w:fill="F2F2F2" w:themeFill="background1" w:themeFillShade="F2"/>
            <w:vAlign w:val="center"/>
            <w:hideMark/>
          </w:tcPr>
          <w:p w14:paraId="31D86600"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55CDD27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University degree</w:t>
            </w:r>
          </w:p>
        </w:tc>
        <w:tc>
          <w:tcPr>
            <w:tcW w:w="1224" w:type="dxa"/>
            <w:shd w:val="clear" w:color="auto" w:fill="F2F2F2" w:themeFill="background1" w:themeFillShade="F2"/>
            <w:noWrap/>
            <w:vAlign w:val="center"/>
            <w:hideMark/>
          </w:tcPr>
          <w:p w14:paraId="5410B9A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222" w:type="dxa"/>
            <w:shd w:val="clear" w:color="auto" w:fill="F2F2F2" w:themeFill="background1" w:themeFillShade="F2"/>
            <w:noWrap/>
            <w:vAlign w:val="center"/>
            <w:hideMark/>
          </w:tcPr>
          <w:p w14:paraId="20AE6CD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157" w:type="dxa"/>
            <w:shd w:val="clear" w:color="auto" w:fill="F2F2F2" w:themeFill="background1" w:themeFillShade="F2"/>
            <w:noWrap/>
            <w:vAlign w:val="center"/>
            <w:hideMark/>
          </w:tcPr>
          <w:p w14:paraId="5E92710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080" w:type="dxa"/>
            <w:shd w:val="clear" w:color="auto" w:fill="F2F2F2" w:themeFill="background1" w:themeFillShade="F2"/>
            <w:noWrap/>
            <w:vAlign w:val="center"/>
            <w:hideMark/>
          </w:tcPr>
          <w:p w14:paraId="33065210"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350" w:type="dxa"/>
            <w:gridSpan w:val="2"/>
            <w:shd w:val="clear" w:color="auto" w:fill="F2F2F2" w:themeFill="background1" w:themeFillShade="F2"/>
            <w:noWrap/>
            <w:vAlign w:val="center"/>
            <w:hideMark/>
          </w:tcPr>
          <w:p w14:paraId="1486FEB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5</w:t>
            </w:r>
            <w:r w:rsidRPr="007F3C1E">
              <w:rPr>
                <w:rFonts w:eastAsia="Times New Roman" w:cs="Arial"/>
                <w:color w:val="000000"/>
                <w:lang w:eastAsia="en-GB"/>
              </w:rPr>
              <w:t xml:space="preserve"> </w:t>
            </w:r>
            <w:r w:rsidRPr="007F3C1E">
              <w:rPr>
                <w:rFonts w:eastAsia="Times New Roman" w:cs="Arial"/>
                <w:i/>
                <w:color w:val="808080"/>
                <w:lang w:eastAsia="en-GB"/>
              </w:rPr>
              <w:t>(25)</w:t>
            </w:r>
          </w:p>
        </w:tc>
        <w:tc>
          <w:tcPr>
            <w:tcW w:w="270" w:type="dxa"/>
            <w:shd w:val="clear" w:color="auto" w:fill="F2F2F2" w:themeFill="background1" w:themeFillShade="F2"/>
          </w:tcPr>
          <w:p w14:paraId="19E67039"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442696ED" w14:textId="77777777" w:rsidTr="00F30E67">
        <w:trPr>
          <w:trHeight w:val="300"/>
        </w:trPr>
        <w:tc>
          <w:tcPr>
            <w:tcW w:w="4113" w:type="dxa"/>
            <w:vMerge w:val="restart"/>
            <w:shd w:val="clear" w:color="auto" w:fill="F2F2F2" w:themeFill="background1" w:themeFillShade="F2"/>
            <w:hideMark/>
          </w:tcPr>
          <w:p w14:paraId="237A2643" w14:textId="77777777" w:rsidR="007F3C1E" w:rsidRPr="007F3C1E" w:rsidRDefault="007F3C1E" w:rsidP="007F3C1E">
            <w:pPr>
              <w:spacing w:after="0" w:line="360" w:lineRule="auto"/>
              <w:rPr>
                <w:rFonts w:eastAsia="Times New Roman" w:cs="Arial"/>
                <w:b/>
                <w:color w:val="000000"/>
                <w:lang w:eastAsia="en-GB"/>
              </w:rPr>
            </w:pPr>
            <w:r w:rsidRPr="007F3C1E">
              <w:rPr>
                <w:rFonts w:eastAsia="Times New Roman" w:cs="Arial"/>
                <w:b/>
                <w:color w:val="000000"/>
                <w:lang w:eastAsia="en-GB"/>
              </w:rPr>
              <w:lastRenderedPageBreak/>
              <w:t xml:space="preserve">  Smoking status, </w:t>
            </w:r>
            <w:r w:rsidRPr="007F3C1E">
              <w:rPr>
                <w:rFonts w:eastAsia="Times New Roman" w:cs="Arial"/>
                <w:b/>
                <w:i/>
                <w:color w:val="000000"/>
                <w:lang w:eastAsia="en-GB"/>
              </w:rPr>
              <w:t>n</w:t>
            </w:r>
            <w:r w:rsidRPr="007F3C1E">
              <w:rPr>
                <w:rFonts w:eastAsia="Times New Roman" w:cs="Arial"/>
                <w:b/>
                <w:color w:val="000000"/>
                <w:lang w:eastAsia="en-GB"/>
              </w:rPr>
              <w:t xml:space="preserve"> (%)</w:t>
            </w:r>
          </w:p>
        </w:tc>
        <w:tc>
          <w:tcPr>
            <w:tcW w:w="2724" w:type="dxa"/>
            <w:gridSpan w:val="3"/>
            <w:shd w:val="clear" w:color="auto" w:fill="F2F2F2" w:themeFill="background1" w:themeFillShade="F2"/>
            <w:hideMark/>
          </w:tcPr>
          <w:p w14:paraId="201A8D2B"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Currently smoking</w:t>
            </w:r>
          </w:p>
        </w:tc>
        <w:tc>
          <w:tcPr>
            <w:tcW w:w="1224" w:type="dxa"/>
            <w:shd w:val="clear" w:color="auto" w:fill="F2F2F2" w:themeFill="background1" w:themeFillShade="F2"/>
            <w:noWrap/>
            <w:vAlign w:val="center"/>
            <w:hideMark/>
          </w:tcPr>
          <w:p w14:paraId="35A6604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4AC8130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157" w:type="dxa"/>
            <w:shd w:val="clear" w:color="auto" w:fill="F2F2F2" w:themeFill="background1" w:themeFillShade="F2"/>
            <w:noWrap/>
            <w:vAlign w:val="center"/>
            <w:hideMark/>
          </w:tcPr>
          <w:p w14:paraId="788DE25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080" w:type="dxa"/>
            <w:shd w:val="clear" w:color="auto" w:fill="F2F2F2" w:themeFill="background1" w:themeFillShade="F2"/>
            <w:noWrap/>
            <w:vAlign w:val="center"/>
            <w:hideMark/>
          </w:tcPr>
          <w:p w14:paraId="7630AFF7"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350" w:type="dxa"/>
            <w:gridSpan w:val="2"/>
            <w:shd w:val="clear" w:color="auto" w:fill="F2F2F2" w:themeFill="background1" w:themeFillShade="F2"/>
            <w:noWrap/>
            <w:vAlign w:val="center"/>
            <w:hideMark/>
          </w:tcPr>
          <w:p w14:paraId="44DB95E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(15)</w:t>
            </w:r>
          </w:p>
        </w:tc>
        <w:tc>
          <w:tcPr>
            <w:tcW w:w="270" w:type="dxa"/>
            <w:shd w:val="clear" w:color="auto" w:fill="F2F2F2" w:themeFill="background1" w:themeFillShade="F2"/>
          </w:tcPr>
          <w:p w14:paraId="3711E26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453FD775" w14:textId="77777777" w:rsidTr="00F30E67">
        <w:trPr>
          <w:trHeight w:val="300"/>
        </w:trPr>
        <w:tc>
          <w:tcPr>
            <w:tcW w:w="4113" w:type="dxa"/>
            <w:vMerge/>
            <w:shd w:val="clear" w:color="auto" w:fill="F2F2F2" w:themeFill="background1" w:themeFillShade="F2"/>
            <w:vAlign w:val="center"/>
            <w:hideMark/>
          </w:tcPr>
          <w:p w14:paraId="1778ED53"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153539D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Never smoked</w:t>
            </w:r>
          </w:p>
        </w:tc>
        <w:tc>
          <w:tcPr>
            <w:tcW w:w="1224" w:type="dxa"/>
            <w:shd w:val="clear" w:color="auto" w:fill="F2F2F2" w:themeFill="background1" w:themeFillShade="F2"/>
            <w:noWrap/>
            <w:vAlign w:val="center"/>
            <w:hideMark/>
          </w:tcPr>
          <w:p w14:paraId="35F962F2"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5</w:t>
            </w:r>
            <w:r w:rsidRPr="007F3C1E">
              <w:rPr>
                <w:rFonts w:eastAsia="Times New Roman" w:cs="Arial"/>
                <w:color w:val="000000"/>
                <w:lang w:eastAsia="en-GB"/>
              </w:rPr>
              <w:t xml:space="preserve"> </w:t>
            </w:r>
            <w:r w:rsidRPr="007F3C1E">
              <w:rPr>
                <w:rFonts w:eastAsia="Times New Roman" w:cs="Arial"/>
                <w:i/>
                <w:color w:val="808080"/>
                <w:lang w:eastAsia="en-GB"/>
              </w:rPr>
              <w:t>(100)</w:t>
            </w:r>
          </w:p>
        </w:tc>
        <w:tc>
          <w:tcPr>
            <w:tcW w:w="1222" w:type="dxa"/>
            <w:shd w:val="clear" w:color="auto" w:fill="F2F2F2" w:themeFill="background1" w:themeFillShade="F2"/>
            <w:noWrap/>
            <w:vAlign w:val="center"/>
            <w:hideMark/>
          </w:tcPr>
          <w:p w14:paraId="3B55B654"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4</w:t>
            </w:r>
            <w:r w:rsidRPr="007F3C1E">
              <w:rPr>
                <w:rFonts w:eastAsia="Times New Roman" w:cs="Arial"/>
                <w:color w:val="000000"/>
                <w:lang w:eastAsia="en-GB"/>
              </w:rPr>
              <w:t xml:space="preserve"> </w:t>
            </w:r>
            <w:r w:rsidRPr="007F3C1E">
              <w:rPr>
                <w:rFonts w:eastAsia="Times New Roman" w:cs="Arial"/>
                <w:i/>
                <w:color w:val="808080"/>
                <w:lang w:eastAsia="en-GB"/>
              </w:rPr>
              <w:t>(80)</w:t>
            </w:r>
          </w:p>
        </w:tc>
        <w:tc>
          <w:tcPr>
            <w:tcW w:w="1157" w:type="dxa"/>
            <w:shd w:val="clear" w:color="auto" w:fill="F2F2F2" w:themeFill="background1" w:themeFillShade="F2"/>
            <w:noWrap/>
            <w:vAlign w:val="center"/>
            <w:hideMark/>
          </w:tcPr>
          <w:p w14:paraId="62409B3E"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(60)</w:t>
            </w:r>
          </w:p>
        </w:tc>
        <w:tc>
          <w:tcPr>
            <w:tcW w:w="1080" w:type="dxa"/>
            <w:shd w:val="clear" w:color="auto" w:fill="F2F2F2" w:themeFill="background1" w:themeFillShade="F2"/>
            <w:noWrap/>
            <w:vAlign w:val="center"/>
            <w:hideMark/>
          </w:tcPr>
          <w:p w14:paraId="6390747C"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37D1A685"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14</w:t>
            </w:r>
            <w:r w:rsidRPr="007F3C1E">
              <w:rPr>
                <w:rFonts w:eastAsia="Times New Roman" w:cs="Arial"/>
                <w:color w:val="000000"/>
                <w:lang w:eastAsia="en-GB"/>
              </w:rPr>
              <w:t xml:space="preserve"> </w:t>
            </w:r>
            <w:r w:rsidRPr="007F3C1E">
              <w:rPr>
                <w:rFonts w:eastAsia="Times New Roman" w:cs="Arial"/>
                <w:i/>
                <w:color w:val="808080"/>
                <w:lang w:eastAsia="en-GB"/>
              </w:rPr>
              <w:t>(70)</w:t>
            </w:r>
          </w:p>
        </w:tc>
        <w:tc>
          <w:tcPr>
            <w:tcW w:w="270" w:type="dxa"/>
            <w:shd w:val="clear" w:color="auto" w:fill="F2F2F2" w:themeFill="background1" w:themeFillShade="F2"/>
          </w:tcPr>
          <w:p w14:paraId="00EDFE42"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03C119BA" w14:textId="77777777" w:rsidTr="00F30E67">
        <w:trPr>
          <w:trHeight w:val="300"/>
        </w:trPr>
        <w:tc>
          <w:tcPr>
            <w:tcW w:w="4113" w:type="dxa"/>
            <w:vMerge/>
            <w:shd w:val="clear" w:color="auto" w:fill="F2F2F2" w:themeFill="background1" w:themeFillShade="F2"/>
            <w:vAlign w:val="center"/>
            <w:hideMark/>
          </w:tcPr>
          <w:p w14:paraId="3D398729" w14:textId="77777777" w:rsidR="007F3C1E" w:rsidRPr="007F3C1E" w:rsidRDefault="007F3C1E" w:rsidP="007F3C1E">
            <w:pPr>
              <w:spacing w:after="0" w:line="360" w:lineRule="auto"/>
              <w:rPr>
                <w:rFonts w:eastAsia="Times New Roman" w:cs="Arial"/>
                <w:b/>
                <w:color w:val="000000"/>
                <w:lang w:eastAsia="en-GB"/>
              </w:rPr>
            </w:pPr>
          </w:p>
        </w:tc>
        <w:tc>
          <w:tcPr>
            <w:tcW w:w="2724" w:type="dxa"/>
            <w:gridSpan w:val="3"/>
            <w:shd w:val="clear" w:color="auto" w:fill="F2F2F2" w:themeFill="background1" w:themeFillShade="F2"/>
            <w:hideMark/>
          </w:tcPr>
          <w:p w14:paraId="63030529"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color w:val="000000"/>
                <w:lang w:eastAsia="en-GB"/>
              </w:rPr>
              <w:t>Previously smoked</w:t>
            </w:r>
          </w:p>
        </w:tc>
        <w:tc>
          <w:tcPr>
            <w:tcW w:w="1224" w:type="dxa"/>
            <w:shd w:val="clear" w:color="auto" w:fill="F2F2F2" w:themeFill="background1" w:themeFillShade="F2"/>
            <w:noWrap/>
            <w:vAlign w:val="center"/>
            <w:hideMark/>
          </w:tcPr>
          <w:p w14:paraId="05E9EADD"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222" w:type="dxa"/>
            <w:shd w:val="clear" w:color="auto" w:fill="F2F2F2" w:themeFill="background1" w:themeFillShade="F2"/>
            <w:noWrap/>
            <w:vAlign w:val="center"/>
            <w:hideMark/>
          </w:tcPr>
          <w:p w14:paraId="79E3C226"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1</w:t>
            </w:r>
            <w:r w:rsidRPr="007F3C1E">
              <w:rPr>
                <w:rFonts w:eastAsia="Times New Roman" w:cs="Arial"/>
                <w:color w:val="000000"/>
                <w:lang w:eastAsia="en-GB"/>
              </w:rPr>
              <w:t xml:space="preserve"> </w:t>
            </w:r>
            <w:r w:rsidRPr="007F3C1E">
              <w:rPr>
                <w:rFonts w:eastAsia="Times New Roman" w:cs="Arial"/>
                <w:i/>
                <w:color w:val="808080"/>
                <w:lang w:eastAsia="en-GB"/>
              </w:rPr>
              <w:t>(20)</w:t>
            </w:r>
          </w:p>
        </w:tc>
        <w:tc>
          <w:tcPr>
            <w:tcW w:w="1157" w:type="dxa"/>
            <w:shd w:val="clear" w:color="auto" w:fill="F2F2F2" w:themeFill="background1" w:themeFillShade="F2"/>
            <w:noWrap/>
            <w:vAlign w:val="center"/>
            <w:hideMark/>
          </w:tcPr>
          <w:p w14:paraId="319C2FE8"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0</w:t>
            </w:r>
            <w:r w:rsidRPr="007F3C1E">
              <w:rPr>
                <w:rFonts w:eastAsia="Times New Roman" w:cs="Arial"/>
                <w:color w:val="000000"/>
                <w:lang w:eastAsia="en-GB"/>
              </w:rPr>
              <w:t xml:space="preserve"> </w:t>
            </w:r>
            <w:r w:rsidRPr="007F3C1E">
              <w:rPr>
                <w:rFonts w:eastAsia="Times New Roman" w:cs="Arial"/>
                <w:i/>
                <w:color w:val="808080"/>
                <w:lang w:eastAsia="en-GB"/>
              </w:rPr>
              <w:t>(0)</w:t>
            </w:r>
          </w:p>
        </w:tc>
        <w:tc>
          <w:tcPr>
            <w:tcW w:w="1080" w:type="dxa"/>
            <w:shd w:val="clear" w:color="auto" w:fill="F2F2F2" w:themeFill="background1" w:themeFillShade="F2"/>
            <w:noWrap/>
            <w:vAlign w:val="center"/>
            <w:hideMark/>
          </w:tcPr>
          <w:p w14:paraId="4FE693BF"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2</w:t>
            </w:r>
            <w:r w:rsidRPr="007F3C1E">
              <w:rPr>
                <w:rFonts w:eastAsia="Times New Roman" w:cs="Arial"/>
                <w:color w:val="000000"/>
                <w:lang w:eastAsia="en-GB"/>
              </w:rPr>
              <w:t xml:space="preserve"> </w:t>
            </w:r>
            <w:r w:rsidRPr="007F3C1E">
              <w:rPr>
                <w:rFonts w:eastAsia="Times New Roman" w:cs="Arial"/>
                <w:i/>
                <w:color w:val="808080"/>
                <w:lang w:eastAsia="en-GB"/>
              </w:rPr>
              <w:t>(40)</w:t>
            </w:r>
          </w:p>
        </w:tc>
        <w:tc>
          <w:tcPr>
            <w:tcW w:w="1350" w:type="dxa"/>
            <w:gridSpan w:val="2"/>
            <w:shd w:val="clear" w:color="auto" w:fill="F2F2F2" w:themeFill="background1" w:themeFillShade="F2"/>
            <w:noWrap/>
            <w:vAlign w:val="center"/>
            <w:hideMark/>
          </w:tcPr>
          <w:p w14:paraId="5BBEF6A1" w14:textId="77777777" w:rsidR="007F3C1E" w:rsidRPr="007F3C1E" w:rsidRDefault="007F3C1E" w:rsidP="007F3C1E">
            <w:pPr>
              <w:spacing w:after="0" w:line="360" w:lineRule="auto"/>
              <w:rPr>
                <w:rFonts w:eastAsia="Times New Roman" w:cs="Arial"/>
                <w:color w:val="000000"/>
                <w:lang w:eastAsia="en-GB"/>
              </w:rPr>
            </w:pPr>
            <w:r w:rsidRPr="007F3C1E">
              <w:rPr>
                <w:rFonts w:eastAsia="Times New Roman" w:cs="Arial"/>
                <w:b/>
                <w:color w:val="000000"/>
                <w:lang w:eastAsia="en-GB"/>
              </w:rPr>
              <w:t>3</w:t>
            </w:r>
            <w:r w:rsidRPr="007F3C1E">
              <w:rPr>
                <w:rFonts w:eastAsia="Times New Roman" w:cs="Arial"/>
                <w:color w:val="000000"/>
                <w:lang w:eastAsia="en-GB"/>
              </w:rPr>
              <w:t xml:space="preserve"> </w:t>
            </w:r>
            <w:r w:rsidRPr="007F3C1E">
              <w:rPr>
                <w:rFonts w:eastAsia="Times New Roman" w:cs="Arial"/>
                <w:i/>
                <w:color w:val="808080"/>
                <w:lang w:eastAsia="en-GB"/>
              </w:rPr>
              <w:t>(15)</w:t>
            </w:r>
          </w:p>
        </w:tc>
        <w:tc>
          <w:tcPr>
            <w:tcW w:w="270" w:type="dxa"/>
            <w:shd w:val="clear" w:color="auto" w:fill="F2F2F2" w:themeFill="background1" w:themeFillShade="F2"/>
          </w:tcPr>
          <w:p w14:paraId="48085C13" w14:textId="77777777" w:rsidR="007F3C1E" w:rsidRPr="007F3C1E" w:rsidRDefault="007F3C1E" w:rsidP="007F3C1E">
            <w:pPr>
              <w:spacing w:after="0" w:line="480" w:lineRule="auto"/>
              <w:rPr>
                <w:rFonts w:eastAsia="Times New Roman" w:cs="Arial"/>
                <w:b/>
                <w:color w:val="000000"/>
                <w:lang w:eastAsia="en-GB"/>
              </w:rPr>
            </w:pPr>
          </w:p>
        </w:tc>
      </w:tr>
      <w:tr w:rsidR="007F3C1E" w:rsidRPr="007F3C1E" w14:paraId="5B507675" w14:textId="77777777" w:rsidTr="00F30E67">
        <w:trPr>
          <w:trHeight w:val="261"/>
        </w:trPr>
        <w:tc>
          <w:tcPr>
            <w:tcW w:w="6837" w:type="dxa"/>
            <w:gridSpan w:val="4"/>
            <w:shd w:val="clear" w:color="auto" w:fill="F2F2F2" w:themeFill="background1" w:themeFillShade="F2"/>
            <w:hideMark/>
          </w:tcPr>
          <w:p w14:paraId="2204995D" w14:textId="77777777" w:rsidR="007F3C1E" w:rsidRPr="007F3C1E" w:rsidRDefault="007F3C1E" w:rsidP="007F3C1E">
            <w:pPr>
              <w:spacing w:after="0" w:line="240" w:lineRule="auto"/>
              <w:rPr>
                <w:rFonts w:eastAsia="Times New Roman" w:cs="Arial"/>
                <w:b/>
                <w:color w:val="000000"/>
                <w:lang w:eastAsia="en-GB"/>
              </w:rPr>
            </w:pPr>
          </w:p>
          <w:p w14:paraId="257C3F62" w14:textId="77777777" w:rsidR="007F3C1E" w:rsidRPr="007F3C1E" w:rsidRDefault="007F3C1E" w:rsidP="007F3C1E">
            <w:pPr>
              <w:spacing w:after="0" w:line="240" w:lineRule="auto"/>
              <w:rPr>
                <w:rFonts w:eastAsia="Times New Roman" w:cs="Arial"/>
                <w:b/>
                <w:color w:val="000000"/>
                <w:lang w:eastAsia="en-GB"/>
              </w:rPr>
            </w:pPr>
            <w:r w:rsidRPr="007F3C1E">
              <w:rPr>
                <w:rFonts w:eastAsia="Times New Roman" w:cs="Arial"/>
                <w:b/>
                <w:color w:val="000000"/>
                <w:lang w:eastAsia="en-GB"/>
              </w:rPr>
              <w:t xml:space="preserve">  Alcohol consumption U/week, mean (S.D.)</w:t>
            </w:r>
          </w:p>
          <w:p w14:paraId="2A9847BA" w14:textId="77777777" w:rsidR="007F3C1E" w:rsidRPr="007F3C1E" w:rsidRDefault="007F3C1E" w:rsidP="007F3C1E">
            <w:pPr>
              <w:spacing w:after="0" w:line="240" w:lineRule="auto"/>
              <w:rPr>
                <w:rFonts w:eastAsia="Times New Roman" w:cs="Arial"/>
                <w:color w:val="000000"/>
                <w:lang w:eastAsia="en-GB"/>
              </w:rPr>
            </w:pPr>
          </w:p>
        </w:tc>
        <w:tc>
          <w:tcPr>
            <w:tcW w:w="1224" w:type="dxa"/>
            <w:shd w:val="clear" w:color="auto" w:fill="F2F2F2" w:themeFill="background1" w:themeFillShade="F2"/>
            <w:noWrap/>
            <w:vAlign w:val="center"/>
            <w:hideMark/>
          </w:tcPr>
          <w:p w14:paraId="2F047C18" w14:textId="77777777" w:rsidR="007F3C1E" w:rsidRPr="007F3C1E" w:rsidRDefault="007F3C1E" w:rsidP="007F3C1E">
            <w:pPr>
              <w:spacing w:after="0" w:line="240" w:lineRule="auto"/>
              <w:rPr>
                <w:rFonts w:eastAsia="Times New Roman" w:cs="Arial"/>
                <w:b/>
                <w:color w:val="000000"/>
                <w:lang w:eastAsia="en-GB"/>
              </w:rPr>
            </w:pPr>
          </w:p>
          <w:p w14:paraId="5A19702C" w14:textId="77777777" w:rsidR="007F3C1E" w:rsidRPr="007F3C1E" w:rsidRDefault="007F3C1E" w:rsidP="007F3C1E">
            <w:pPr>
              <w:spacing w:after="0" w:line="240" w:lineRule="auto"/>
              <w:rPr>
                <w:rFonts w:eastAsia="Times New Roman" w:cs="Arial"/>
                <w:i/>
                <w:color w:val="808080"/>
                <w:lang w:eastAsia="en-GB"/>
              </w:rPr>
            </w:pPr>
            <w:r w:rsidRPr="007F3C1E">
              <w:rPr>
                <w:rFonts w:eastAsia="Times New Roman" w:cs="Arial"/>
                <w:b/>
                <w:color w:val="000000"/>
                <w:lang w:eastAsia="en-GB"/>
              </w:rPr>
              <w:t>2.0</w:t>
            </w:r>
            <w:r w:rsidRPr="007F3C1E">
              <w:rPr>
                <w:rFonts w:eastAsia="Times New Roman" w:cs="Arial"/>
                <w:color w:val="000000"/>
                <w:lang w:eastAsia="en-GB"/>
              </w:rPr>
              <w:t xml:space="preserve"> </w:t>
            </w:r>
            <w:r w:rsidRPr="007F3C1E">
              <w:rPr>
                <w:rFonts w:eastAsia="Times New Roman" w:cs="Arial"/>
                <w:i/>
                <w:color w:val="808080"/>
                <w:lang w:eastAsia="en-GB"/>
              </w:rPr>
              <w:t>(2.9)</w:t>
            </w:r>
          </w:p>
          <w:p w14:paraId="1CF11E74" w14:textId="77777777" w:rsidR="007F3C1E" w:rsidRPr="007F3C1E" w:rsidRDefault="007F3C1E" w:rsidP="007F3C1E">
            <w:pPr>
              <w:spacing w:after="0" w:line="240" w:lineRule="auto"/>
              <w:rPr>
                <w:rFonts w:eastAsia="Times New Roman" w:cs="Arial"/>
                <w:color w:val="000000"/>
                <w:lang w:eastAsia="en-GB"/>
              </w:rPr>
            </w:pPr>
          </w:p>
          <w:p w14:paraId="692A1324" w14:textId="77777777" w:rsidR="007F3C1E" w:rsidRPr="007F3C1E" w:rsidRDefault="007F3C1E" w:rsidP="007F3C1E">
            <w:pPr>
              <w:spacing w:after="0" w:line="240" w:lineRule="auto"/>
              <w:rPr>
                <w:rFonts w:eastAsia="Times New Roman" w:cs="Arial"/>
                <w:color w:val="000000"/>
                <w:lang w:eastAsia="en-GB"/>
              </w:rPr>
            </w:pPr>
          </w:p>
        </w:tc>
        <w:tc>
          <w:tcPr>
            <w:tcW w:w="1222" w:type="dxa"/>
            <w:shd w:val="clear" w:color="auto" w:fill="F2F2F2" w:themeFill="background1" w:themeFillShade="F2"/>
            <w:noWrap/>
            <w:vAlign w:val="center"/>
            <w:hideMark/>
          </w:tcPr>
          <w:p w14:paraId="0E2D4577" w14:textId="77777777" w:rsidR="007F3C1E" w:rsidRPr="007F3C1E" w:rsidRDefault="007F3C1E" w:rsidP="007F3C1E">
            <w:pPr>
              <w:spacing w:after="0" w:line="240" w:lineRule="auto"/>
              <w:rPr>
                <w:rFonts w:eastAsia="Times New Roman" w:cs="Arial"/>
                <w:color w:val="000000"/>
                <w:lang w:eastAsia="en-GB"/>
              </w:rPr>
            </w:pPr>
            <w:r w:rsidRPr="007F3C1E">
              <w:rPr>
                <w:rFonts w:eastAsia="Times New Roman" w:cs="Arial"/>
                <w:b/>
                <w:color w:val="000000"/>
                <w:lang w:eastAsia="en-GB"/>
              </w:rPr>
              <w:t>9.3</w:t>
            </w:r>
            <w:r w:rsidRPr="007F3C1E">
              <w:rPr>
                <w:rFonts w:eastAsia="Times New Roman" w:cs="Arial"/>
                <w:color w:val="000000"/>
                <w:lang w:eastAsia="en-GB"/>
              </w:rPr>
              <w:t xml:space="preserve"> </w:t>
            </w:r>
            <w:r w:rsidRPr="007F3C1E">
              <w:rPr>
                <w:rFonts w:eastAsia="Times New Roman" w:cs="Arial"/>
                <w:i/>
                <w:color w:val="808080"/>
                <w:lang w:eastAsia="en-GB"/>
              </w:rPr>
              <w:t>(13.6)</w:t>
            </w:r>
          </w:p>
          <w:p w14:paraId="79CEA398" w14:textId="77777777" w:rsidR="007F3C1E" w:rsidRPr="007F3C1E" w:rsidRDefault="007F3C1E" w:rsidP="007F3C1E">
            <w:pPr>
              <w:spacing w:after="0" w:line="240" w:lineRule="auto"/>
              <w:rPr>
                <w:rFonts w:eastAsia="Times New Roman" w:cs="Arial"/>
                <w:color w:val="000000"/>
                <w:lang w:eastAsia="en-GB"/>
              </w:rPr>
            </w:pPr>
          </w:p>
        </w:tc>
        <w:tc>
          <w:tcPr>
            <w:tcW w:w="1157" w:type="dxa"/>
            <w:shd w:val="clear" w:color="auto" w:fill="F2F2F2" w:themeFill="background1" w:themeFillShade="F2"/>
            <w:noWrap/>
            <w:vAlign w:val="center"/>
            <w:hideMark/>
          </w:tcPr>
          <w:p w14:paraId="0766F55C" w14:textId="77777777" w:rsidR="007F3C1E" w:rsidRPr="007F3C1E" w:rsidRDefault="007F3C1E" w:rsidP="007F3C1E">
            <w:pPr>
              <w:spacing w:after="0" w:line="240" w:lineRule="auto"/>
              <w:rPr>
                <w:rFonts w:eastAsia="Times New Roman" w:cs="Arial"/>
                <w:b/>
                <w:color w:val="000000"/>
                <w:lang w:eastAsia="en-GB"/>
              </w:rPr>
            </w:pPr>
            <w:r w:rsidRPr="007F3C1E">
              <w:rPr>
                <w:rFonts w:eastAsia="Times New Roman" w:cs="Arial"/>
                <w:b/>
                <w:color w:val="000000"/>
                <w:lang w:eastAsia="en-GB"/>
              </w:rPr>
              <w:t>0</w:t>
            </w:r>
          </w:p>
          <w:p w14:paraId="13DF76B5" w14:textId="77777777" w:rsidR="007F3C1E" w:rsidRPr="007F3C1E" w:rsidRDefault="007F3C1E" w:rsidP="007F3C1E">
            <w:pPr>
              <w:spacing w:after="0" w:line="240" w:lineRule="auto"/>
              <w:rPr>
                <w:rFonts w:eastAsia="Times New Roman" w:cs="Arial"/>
                <w:i/>
                <w:color w:val="808080"/>
                <w:lang w:eastAsia="en-GB"/>
              </w:rPr>
            </w:pPr>
            <w:r w:rsidRPr="007F3C1E">
              <w:rPr>
                <w:rFonts w:eastAsia="Times New Roman" w:cs="Arial"/>
                <w:i/>
                <w:color w:val="808080"/>
                <w:lang w:eastAsia="en-GB"/>
              </w:rPr>
              <w:t>(0)</w:t>
            </w:r>
          </w:p>
          <w:p w14:paraId="7ED9BEA3" w14:textId="77777777" w:rsidR="007F3C1E" w:rsidRPr="007F3C1E" w:rsidRDefault="007F3C1E" w:rsidP="007F3C1E">
            <w:pPr>
              <w:spacing w:after="0" w:line="240" w:lineRule="auto"/>
              <w:rPr>
                <w:rFonts w:eastAsia="Times New Roman" w:cs="Arial"/>
                <w:color w:val="000000"/>
                <w:lang w:eastAsia="en-GB"/>
              </w:rPr>
            </w:pPr>
          </w:p>
        </w:tc>
        <w:tc>
          <w:tcPr>
            <w:tcW w:w="1080" w:type="dxa"/>
            <w:shd w:val="clear" w:color="auto" w:fill="F2F2F2" w:themeFill="background1" w:themeFillShade="F2"/>
            <w:noWrap/>
            <w:vAlign w:val="center"/>
            <w:hideMark/>
          </w:tcPr>
          <w:p w14:paraId="02737EF6" w14:textId="77777777" w:rsidR="007F3C1E" w:rsidRPr="007F3C1E" w:rsidRDefault="007F3C1E" w:rsidP="007F3C1E">
            <w:pPr>
              <w:spacing w:after="0" w:line="240" w:lineRule="auto"/>
              <w:rPr>
                <w:rFonts w:eastAsia="Times New Roman" w:cs="Arial"/>
                <w:color w:val="000000"/>
                <w:lang w:eastAsia="en-GB"/>
              </w:rPr>
            </w:pPr>
            <w:r w:rsidRPr="007F3C1E">
              <w:rPr>
                <w:rFonts w:eastAsia="Times New Roman" w:cs="Arial"/>
                <w:b/>
                <w:color w:val="000000"/>
                <w:lang w:eastAsia="en-GB"/>
              </w:rPr>
              <w:t>5.7</w:t>
            </w:r>
            <w:r w:rsidRPr="007F3C1E">
              <w:rPr>
                <w:rFonts w:eastAsia="Times New Roman" w:cs="Arial"/>
                <w:color w:val="000000"/>
                <w:lang w:eastAsia="en-GB"/>
              </w:rPr>
              <w:t xml:space="preserve"> </w:t>
            </w:r>
            <w:r w:rsidRPr="007F3C1E">
              <w:rPr>
                <w:rFonts w:eastAsia="Times New Roman" w:cs="Arial"/>
                <w:i/>
                <w:color w:val="808080"/>
                <w:lang w:eastAsia="en-GB"/>
              </w:rPr>
              <w:t>(6.1)</w:t>
            </w:r>
          </w:p>
          <w:p w14:paraId="23DA4DB4" w14:textId="77777777" w:rsidR="007F3C1E" w:rsidRPr="007F3C1E" w:rsidRDefault="007F3C1E" w:rsidP="007F3C1E">
            <w:pPr>
              <w:spacing w:after="0" w:line="240" w:lineRule="auto"/>
              <w:rPr>
                <w:rFonts w:eastAsia="Times New Roman" w:cs="Arial"/>
                <w:color w:val="000000"/>
                <w:lang w:eastAsia="en-GB"/>
              </w:rPr>
            </w:pPr>
          </w:p>
        </w:tc>
        <w:tc>
          <w:tcPr>
            <w:tcW w:w="1350" w:type="dxa"/>
            <w:gridSpan w:val="2"/>
            <w:shd w:val="clear" w:color="auto" w:fill="F2F2F2" w:themeFill="background1" w:themeFillShade="F2"/>
            <w:noWrap/>
            <w:vAlign w:val="center"/>
            <w:hideMark/>
          </w:tcPr>
          <w:p w14:paraId="08E3BDED" w14:textId="77777777" w:rsidR="007F3C1E" w:rsidRPr="007F3C1E" w:rsidRDefault="007F3C1E" w:rsidP="007F3C1E">
            <w:pPr>
              <w:spacing w:after="0" w:line="240" w:lineRule="auto"/>
              <w:rPr>
                <w:rFonts w:eastAsia="Times New Roman" w:cs="Arial"/>
                <w:i/>
                <w:color w:val="808080"/>
                <w:lang w:eastAsia="en-GB"/>
              </w:rPr>
            </w:pPr>
            <w:r w:rsidRPr="007F3C1E">
              <w:rPr>
                <w:rFonts w:eastAsia="Times New Roman" w:cs="Arial"/>
                <w:b/>
                <w:color w:val="000000"/>
                <w:lang w:eastAsia="en-GB"/>
              </w:rPr>
              <w:t>4.3</w:t>
            </w:r>
            <w:r w:rsidRPr="007F3C1E">
              <w:rPr>
                <w:rFonts w:eastAsia="Times New Roman" w:cs="Arial"/>
                <w:color w:val="000000"/>
                <w:lang w:eastAsia="en-GB"/>
              </w:rPr>
              <w:t xml:space="preserve"> </w:t>
            </w:r>
            <w:r w:rsidRPr="007F3C1E">
              <w:rPr>
                <w:rFonts w:eastAsia="Times New Roman" w:cs="Arial"/>
                <w:i/>
                <w:color w:val="808080"/>
                <w:lang w:eastAsia="en-GB"/>
              </w:rPr>
              <w:t>(7.9)</w:t>
            </w:r>
          </w:p>
          <w:p w14:paraId="23F9D4D0" w14:textId="77777777" w:rsidR="007F3C1E" w:rsidRPr="007F3C1E" w:rsidRDefault="007F3C1E" w:rsidP="007F3C1E">
            <w:pPr>
              <w:spacing w:after="0" w:line="240" w:lineRule="auto"/>
              <w:rPr>
                <w:rFonts w:eastAsia="Times New Roman" w:cs="Arial"/>
                <w:color w:val="000000"/>
                <w:lang w:eastAsia="en-GB"/>
              </w:rPr>
            </w:pPr>
          </w:p>
        </w:tc>
        <w:tc>
          <w:tcPr>
            <w:tcW w:w="270" w:type="dxa"/>
            <w:shd w:val="clear" w:color="auto" w:fill="F2F2F2" w:themeFill="background1" w:themeFillShade="F2"/>
          </w:tcPr>
          <w:p w14:paraId="4265ED61" w14:textId="77777777" w:rsidR="007F3C1E" w:rsidRPr="007F3C1E" w:rsidRDefault="007F3C1E" w:rsidP="007F3C1E">
            <w:pPr>
              <w:spacing w:after="0" w:line="480" w:lineRule="auto"/>
              <w:rPr>
                <w:rFonts w:eastAsia="Times New Roman" w:cs="Arial"/>
                <w:b/>
                <w:color w:val="000000"/>
                <w:lang w:eastAsia="en-GB"/>
              </w:rPr>
            </w:pPr>
          </w:p>
        </w:tc>
      </w:tr>
    </w:tbl>
    <w:p w14:paraId="38DD46A3" w14:textId="77777777" w:rsidR="00C354C4" w:rsidRDefault="00C354C4" w:rsidP="00586A09">
      <w:pPr>
        <w:spacing w:after="0" w:line="480" w:lineRule="auto"/>
        <w:rPr>
          <w:rFonts w:eastAsia="Calibri" w:cs="Times New Roman"/>
          <w:sz w:val="24"/>
          <w:szCs w:val="24"/>
        </w:rPr>
      </w:pPr>
    </w:p>
    <w:p w14:paraId="1BEBB6C8" w14:textId="77777777" w:rsidR="007F3C1E" w:rsidRDefault="007F3C1E" w:rsidP="00586A09">
      <w:pPr>
        <w:spacing w:after="0" w:line="480" w:lineRule="auto"/>
        <w:rPr>
          <w:rFonts w:eastAsia="Calibri" w:cs="Times New Roman"/>
          <w:sz w:val="24"/>
          <w:szCs w:val="24"/>
        </w:rPr>
      </w:pPr>
    </w:p>
    <w:p w14:paraId="3CCFC8C9" w14:textId="77777777" w:rsidR="007F3C1E" w:rsidRDefault="007F3C1E" w:rsidP="00586A09">
      <w:pPr>
        <w:spacing w:after="0" w:line="480" w:lineRule="auto"/>
        <w:rPr>
          <w:rFonts w:eastAsia="Calibri" w:cs="Times New Roman"/>
          <w:sz w:val="24"/>
          <w:szCs w:val="24"/>
        </w:rPr>
      </w:pPr>
    </w:p>
    <w:p w14:paraId="0A568E5B" w14:textId="77777777" w:rsidR="007F3C1E" w:rsidRDefault="007F3C1E" w:rsidP="00586A09">
      <w:pPr>
        <w:spacing w:after="0" w:line="480" w:lineRule="auto"/>
        <w:rPr>
          <w:rFonts w:eastAsia="Calibri" w:cs="Times New Roman"/>
          <w:sz w:val="24"/>
          <w:szCs w:val="24"/>
        </w:rPr>
      </w:pPr>
    </w:p>
    <w:p w14:paraId="359FE98A" w14:textId="77777777" w:rsidR="007F3C1E" w:rsidRDefault="007F3C1E" w:rsidP="00586A09">
      <w:pPr>
        <w:spacing w:after="0" w:line="480" w:lineRule="auto"/>
        <w:rPr>
          <w:rFonts w:eastAsia="Calibri" w:cs="Times New Roman"/>
          <w:sz w:val="24"/>
          <w:szCs w:val="24"/>
        </w:rPr>
      </w:pPr>
    </w:p>
    <w:p w14:paraId="52CF1A9D" w14:textId="77777777" w:rsidR="007F3C1E" w:rsidRDefault="007F3C1E" w:rsidP="00586A09">
      <w:pPr>
        <w:spacing w:after="0" w:line="480" w:lineRule="auto"/>
        <w:rPr>
          <w:rFonts w:eastAsia="Calibri" w:cs="Times New Roman"/>
          <w:sz w:val="24"/>
          <w:szCs w:val="24"/>
        </w:rPr>
      </w:pPr>
    </w:p>
    <w:p w14:paraId="6E3CDDD0" w14:textId="77777777" w:rsidR="007F3C1E" w:rsidRDefault="007F3C1E" w:rsidP="00586A09">
      <w:pPr>
        <w:spacing w:after="0" w:line="480" w:lineRule="auto"/>
        <w:rPr>
          <w:rFonts w:eastAsia="Calibri" w:cs="Times New Roman"/>
          <w:sz w:val="24"/>
          <w:szCs w:val="24"/>
        </w:rPr>
        <w:sectPr w:rsidR="007F3C1E" w:rsidSect="007F3C1E">
          <w:pgSz w:w="15840" w:h="12240" w:orient="landscape"/>
          <w:pgMar w:top="1440" w:right="1440" w:bottom="1440" w:left="1440" w:header="720" w:footer="720" w:gutter="0"/>
          <w:cols w:space="720"/>
          <w:docGrid w:linePitch="360"/>
        </w:sectPr>
      </w:pPr>
    </w:p>
    <w:p w14:paraId="30165A2B"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lastRenderedPageBreak/>
        <w:t xml:space="preserve">Eighty five percent of the participants randomised to the feasibility study were female; there were no males in the HI-CBT treatment condition. The mean age of participants was 44.5 years (S.D. = 17.4) which was similar within the LI-CBT, SH and TAU conditions. Participants in the HI-CBT intervention were slightly older with a mean age in years of 56.6 (S.D. = 14.4). The sample represents an equal mix of participants with IBS-D and IBS-M type IBS, and 10% were found to have IBS-C consistent with Rome III criteria. No participants were found to have IBS-U. The average age of participants diagnosed with IBS was 37.4 years (S.D. = 14.5), which was similar within the LI-CBT, SH and TAU conditions. Participants in the HI-CBT intervention were slightly older when diagnosed with IBS, with a mean age in years of 47.8 (S.D. = 10.9). Thirty percent of the sample was using anti-depressant medications at the time of baseline data collection, and 15% had previously been exposed to psychological interventions. </w:t>
      </w:r>
    </w:p>
    <w:p w14:paraId="648DE2C9" w14:textId="77777777" w:rsidR="00C354C4" w:rsidRPr="00586A09" w:rsidRDefault="00C354C4" w:rsidP="00586A09">
      <w:pPr>
        <w:spacing w:after="0" w:line="480" w:lineRule="auto"/>
        <w:rPr>
          <w:rFonts w:eastAsia="Calibri" w:cs="Times New Roman"/>
          <w:sz w:val="24"/>
          <w:szCs w:val="24"/>
        </w:rPr>
      </w:pPr>
    </w:p>
    <w:p w14:paraId="32421795"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Sixty percent of participants within the LI-CBT treatment condition associated the onset of IBS with an episode of infectious gastroenteritis. The mean level of alcohol consumption was 4.3 units per week (S.D. = 7.9). The SH sample did not report weekly alcohol consumption. The sample consisted mainly of white-British participants (95%) with only one participant from a white-other ethnic origin. The sample had a household income, ranging from £&lt;15’000 to £99’999, with 30% of the sample having a household income of </w:t>
      </w:r>
      <w:r w:rsidRPr="00586A09">
        <w:rPr>
          <w:rFonts w:eastAsia="Calibri" w:cs="Times New Roman"/>
          <w:sz w:val="24"/>
          <w:szCs w:val="24"/>
        </w:rPr>
        <w:lastRenderedPageBreak/>
        <w:t xml:space="preserve">£20’000 - £29’999. Eighty five percent of the sample did not report smoking on enrolment. </w:t>
      </w:r>
    </w:p>
    <w:p w14:paraId="2C8F6B73" w14:textId="77777777" w:rsidR="00C354C4" w:rsidRPr="00586A09" w:rsidRDefault="00C354C4" w:rsidP="00586A09">
      <w:pPr>
        <w:spacing w:line="480" w:lineRule="auto"/>
        <w:rPr>
          <w:sz w:val="24"/>
          <w:szCs w:val="24"/>
          <w:lang w:eastAsia="en-GB"/>
        </w:rPr>
      </w:pPr>
    </w:p>
    <w:p w14:paraId="1519D6B9" w14:textId="77777777" w:rsidR="00C354C4" w:rsidRDefault="00C354C4" w:rsidP="00586A09">
      <w:pPr>
        <w:spacing w:line="480" w:lineRule="auto"/>
        <w:rPr>
          <w:sz w:val="24"/>
          <w:szCs w:val="24"/>
          <w:lang w:eastAsia="en-GB"/>
        </w:rPr>
      </w:pPr>
      <w:r w:rsidRPr="00586A09">
        <w:rPr>
          <w:sz w:val="24"/>
          <w:szCs w:val="24"/>
          <w:lang w:eastAsia="en-GB"/>
        </w:rPr>
        <w:t xml:space="preserve">Figure 1 shows the flow of participants through the study. One participant was lost at twelve weeks follow up within the LI-CBT, SH and TAU treatment conditions, reasons for which were not volunteered by participants. The remaining participants continued to complete the twenty-six week follow up. Of the thirteen potential participants selected for post intervention interviews, three declined participation: two of whom did not provide further information, one was unable to participate as study closure and data analysis had already begun owing to time constraints. </w:t>
      </w:r>
    </w:p>
    <w:p w14:paraId="1B4F36AD" w14:textId="77777777" w:rsidR="007F3C1E" w:rsidRDefault="007F3C1E" w:rsidP="00586A09">
      <w:pPr>
        <w:spacing w:line="480" w:lineRule="auto"/>
        <w:rPr>
          <w:sz w:val="24"/>
          <w:szCs w:val="24"/>
          <w:lang w:eastAsia="en-GB"/>
        </w:rPr>
      </w:pPr>
    </w:p>
    <w:p w14:paraId="48F1388E" w14:textId="77777777" w:rsidR="007F3C1E" w:rsidRDefault="007F3C1E" w:rsidP="00586A09">
      <w:pPr>
        <w:spacing w:line="480" w:lineRule="auto"/>
        <w:rPr>
          <w:sz w:val="24"/>
          <w:szCs w:val="24"/>
          <w:lang w:eastAsia="en-GB"/>
        </w:rPr>
      </w:pPr>
    </w:p>
    <w:p w14:paraId="691371C8" w14:textId="77777777" w:rsidR="007F3C1E" w:rsidRDefault="007F3C1E" w:rsidP="00586A09">
      <w:pPr>
        <w:spacing w:line="480" w:lineRule="auto"/>
        <w:rPr>
          <w:sz w:val="24"/>
          <w:szCs w:val="24"/>
          <w:lang w:eastAsia="en-GB"/>
        </w:rPr>
      </w:pPr>
    </w:p>
    <w:p w14:paraId="2A00E976" w14:textId="77777777" w:rsidR="007F3C1E" w:rsidRDefault="007F3C1E" w:rsidP="00586A09">
      <w:pPr>
        <w:spacing w:line="480" w:lineRule="auto"/>
        <w:rPr>
          <w:sz w:val="24"/>
          <w:szCs w:val="24"/>
          <w:lang w:eastAsia="en-GB"/>
        </w:rPr>
      </w:pPr>
    </w:p>
    <w:p w14:paraId="00092B9D" w14:textId="77777777" w:rsidR="007F3C1E" w:rsidRDefault="007F3C1E" w:rsidP="00586A09">
      <w:pPr>
        <w:spacing w:line="480" w:lineRule="auto"/>
        <w:rPr>
          <w:sz w:val="24"/>
          <w:szCs w:val="24"/>
          <w:lang w:eastAsia="en-GB"/>
        </w:rPr>
      </w:pPr>
    </w:p>
    <w:p w14:paraId="7ADACE0B" w14:textId="77777777" w:rsidR="007F3C1E" w:rsidRPr="00586A09" w:rsidRDefault="007F3C1E" w:rsidP="00586A09">
      <w:pPr>
        <w:spacing w:line="480" w:lineRule="auto"/>
        <w:rPr>
          <w:sz w:val="24"/>
          <w:szCs w:val="24"/>
          <w:lang w:eastAsia="en-GB"/>
        </w:rPr>
      </w:pPr>
    </w:p>
    <w:p w14:paraId="371F7C0D" w14:textId="77777777" w:rsidR="00C354C4" w:rsidRPr="00586A09" w:rsidRDefault="00C354C4" w:rsidP="00586A09">
      <w:pPr>
        <w:pStyle w:val="Heading2"/>
        <w:spacing w:line="480" w:lineRule="auto"/>
        <w:rPr>
          <w:rFonts w:eastAsia="SimSun"/>
          <w:sz w:val="24"/>
          <w:szCs w:val="24"/>
          <w:lang w:eastAsia="en-GB"/>
        </w:rPr>
      </w:pPr>
      <w:bookmarkStart w:id="23" w:name="_Toc476381612"/>
      <w:r w:rsidRPr="00586A09">
        <w:rPr>
          <w:rFonts w:eastAsia="SimSun"/>
          <w:sz w:val="24"/>
          <w:szCs w:val="24"/>
          <w:lang w:eastAsia="en-GB"/>
        </w:rPr>
        <w:lastRenderedPageBreak/>
        <w:t>Gastrointestinal symptoms</w:t>
      </w:r>
      <w:bookmarkEnd w:id="23"/>
    </w:p>
    <w:p w14:paraId="4DE6D02B" w14:textId="77777777" w:rsidR="00C354C4"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Table 4 describes changes within the four treatment conditions in relation to overall symptom profiles as measured with GSRS-IBS. </w:t>
      </w:r>
    </w:p>
    <w:p w14:paraId="2ACCEC78" w14:textId="77777777" w:rsidR="007F3C1E" w:rsidRPr="00586A09" w:rsidRDefault="007F3C1E" w:rsidP="00586A09">
      <w:pPr>
        <w:spacing w:after="0" w:line="480" w:lineRule="auto"/>
        <w:rPr>
          <w:rFonts w:eastAsia="Calibri" w:cs="Times New Roman"/>
          <w:sz w:val="24"/>
          <w:szCs w:val="24"/>
        </w:rPr>
      </w:pPr>
    </w:p>
    <w:tbl>
      <w:tblPr>
        <w:tblW w:w="8431" w:type="dxa"/>
        <w:jc w:val="center"/>
        <w:shd w:val="clear" w:color="auto" w:fill="F2F2F2" w:themeFill="background1" w:themeFillShade="F2"/>
        <w:tblLayout w:type="fixed"/>
        <w:tblCellMar>
          <w:left w:w="0" w:type="dxa"/>
          <w:right w:w="0" w:type="dxa"/>
        </w:tblCellMar>
        <w:tblLook w:val="0000" w:firstRow="0" w:lastRow="0" w:firstColumn="0" w:lastColumn="0" w:noHBand="0" w:noVBand="0"/>
      </w:tblPr>
      <w:tblGrid>
        <w:gridCol w:w="3150"/>
        <w:gridCol w:w="1080"/>
        <w:gridCol w:w="1170"/>
        <w:gridCol w:w="1080"/>
        <w:gridCol w:w="1028"/>
        <w:gridCol w:w="923"/>
      </w:tblGrid>
      <w:tr w:rsidR="007F3C1E" w:rsidRPr="007F3C1E" w14:paraId="183EECCD" w14:textId="77777777" w:rsidTr="00F30E67">
        <w:trPr>
          <w:cantSplit/>
          <w:trHeight w:val="713"/>
          <w:jc w:val="center"/>
        </w:trPr>
        <w:tc>
          <w:tcPr>
            <w:tcW w:w="8431" w:type="dxa"/>
            <w:gridSpan w:val="6"/>
            <w:shd w:val="clear" w:color="auto" w:fill="F2F2F2" w:themeFill="background1" w:themeFillShade="F2"/>
            <w:vAlign w:val="bottom"/>
          </w:tcPr>
          <w:p w14:paraId="1298922F" w14:textId="77777777" w:rsidR="007F3C1E" w:rsidRPr="007F3C1E" w:rsidRDefault="007F3C1E" w:rsidP="007F3C1E">
            <w:pPr>
              <w:autoSpaceDE w:val="0"/>
              <w:autoSpaceDN w:val="0"/>
              <w:adjustRightInd w:val="0"/>
              <w:spacing w:after="0" w:line="480" w:lineRule="auto"/>
              <w:ind w:left="60" w:right="60"/>
              <w:jc w:val="center"/>
              <w:rPr>
                <w:rFonts w:eastAsia="Calibri" w:cs="Arial"/>
                <w:b/>
                <w:color w:val="000000"/>
                <w:u w:val="single"/>
              </w:rPr>
            </w:pPr>
          </w:p>
          <w:p w14:paraId="022CDFB5" w14:textId="77777777" w:rsidR="007F3C1E" w:rsidRPr="007F3C1E" w:rsidRDefault="007F3C1E" w:rsidP="007F3C1E">
            <w:pPr>
              <w:autoSpaceDE w:val="0"/>
              <w:autoSpaceDN w:val="0"/>
              <w:adjustRightInd w:val="0"/>
              <w:spacing w:after="0"/>
              <w:ind w:left="60" w:right="60"/>
              <w:jc w:val="center"/>
              <w:rPr>
                <w:rFonts w:eastAsia="Calibri" w:cs="Arial"/>
                <w:b/>
                <w:color w:val="000000"/>
              </w:rPr>
            </w:pPr>
            <w:r w:rsidRPr="007F3C1E">
              <w:rPr>
                <w:rFonts w:eastAsia="Calibri" w:cs="Arial"/>
                <w:b/>
                <w:color w:val="000000"/>
              </w:rPr>
              <w:t>Table 4: Participant GSRS-IBS overall scores</w:t>
            </w:r>
          </w:p>
          <w:p w14:paraId="0E8ED2F0" w14:textId="77777777" w:rsidR="007F3C1E" w:rsidRPr="007F3C1E" w:rsidRDefault="007F3C1E" w:rsidP="007F3C1E">
            <w:pPr>
              <w:autoSpaceDE w:val="0"/>
              <w:autoSpaceDN w:val="0"/>
              <w:adjustRightInd w:val="0"/>
              <w:spacing w:after="0"/>
              <w:ind w:left="60" w:right="60"/>
              <w:jc w:val="center"/>
              <w:rPr>
                <w:rFonts w:eastAsia="Calibri" w:cs="Arial"/>
                <w:b/>
                <w:color w:val="000000"/>
                <w:u w:val="single"/>
              </w:rPr>
            </w:pPr>
            <w:r w:rsidRPr="007F3C1E">
              <w:rPr>
                <w:rFonts w:eastAsia="Calibri" w:cs="Arial"/>
                <w:b/>
                <w:color w:val="000000"/>
              </w:rPr>
              <w:t>and change from baseline to 26 week follow up</w:t>
            </w:r>
          </w:p>
        </w:tc>
      </w:tr>
      <w:tr w:rsidR="007F3C1E" w:rsidRPr="007F3C1E" w14:paraId="56F64C24" w14:textId="77777777" w:rsidTr="00F30E67">
        <w:trPr>
          <w:cantSplit/>
          <w:trHeight w:val="702"/>
          <w:jc w:val="center"/>
        </w:trPr>
        <w:tc>
          <w:tcPr>
            <w:tcW w:w="4230" w:type="dxa"/>
            <w:gridSpan w:val="2"/>
            <w:vMerge w:val="restart"/>
            <w:shd w:val="clear" w:color="auto" w:fill="F2F2F2" w:themeFill="background1" w:themeFillShade="F2"/>
            <w:vAlign w:val="bottom"/>
          </w:tcPr>
          <w:p w14:paraId="410F3403" w14:textId="77777777" w:rsidR="007F3C1E" w:rsidRPr="007F3C1E" w:rsidRDefault="007F3C1E" w:rsidP="007F3C1E">
            <w:pPr>
              <w:autoSpaceDE w:val="0"/>
              <w:autoSpaceDN w:val="0"/>
              <w:adjustRightInd w:val="0"/>
              <w:spacing w:after="0" w:line="480" w:lineRule="auto"/>
              <w:rPr>
                <w:rFonts w:eastAsia="Calibri" w:cs="Times New Roman"/>
                <w:b/>
              </w:rPr>
            </w:pPr>
            <w:r w:rsidRPr="007F3C1E">
              <w:rPr>
                <w:rFonts w:eastAsia="Calibri" w:cs="Times New Roman"/>
                <w:b/>
              </w:rPr>
              <w:t xml:space="preserve">   Table 4</w:t>
            </w:r>
          </w:p>
        </w:tc>
        <w:tc>
          <w:tcPr>
            <w:tcW w:w="4201" w:type="dxa"/>
            <w:gridSpan w:val="4"/>
            <w:shd w:val="clear" w:color="auto" w:fill="F2F2F2" w:themeFill="background1" w:themeFillShade="F2"/>
          </w:tcPr>
          <w:p w14:paraId="7F4B3220" w14:textId="77777777" w:rsidR="007F3C1E" w:rsidRPr="007F3C1E" w:rsidRDefault="007F3C1E" w:rsidP="007F3C1E">
            <w:pPr>
              <w:autoSpaceDE w:val="0"/>
              <w:autoSpaceDN w:val="0"/>
              <w:adjustRightInd w:val="0"/>
              <w:spacing w:after="0" w:line="480" w:lineRule="auto"/>
              <w:ind w:left="60" w:right="60"/>
              <w:rPr>
                <w:rFonts w:eastAsia="Calibri" w:cs="Arial"/>
                <w:b/>
                <w:color w:val="000000"/>
                <w:u w:val="single"/>
              </w:rPr>
            </w:pPr>
          </w:p>
          <w:p w14:paraId="02CEEA11" w14:textId="77777777" w:rsidR="007F3C1E" w:rsidRPr="007F3C1E" w:rsidRDefault="007F3C1E" w:rsidP="007F3C1E">
            <w:pPr>
              <w:autoSpaceDE w:val="0"/>
              <w:autoSpaceDN w:val="0"/>
              <w:adjustRightInd w:val="0"/>
              <w:spacing w:after="0" w:line="480" w:lineRule="auto"/>
              <w:ind w:left="60" w:right="60"/>
              <w:jc w:val="center"/>
              <w:rPr>
                <w:rFonts w:eastAsia="Calibri" w:cs="Arial"/>
                <w:b/>
                <w:color w:val="000000"/>
              </w:rPr>
            </w:pPr>
            <w:r w:rsidRPr="007F3C1E">
              <w:rPr>
                <w:rFonts w:eastAsia="Calibri" w:cs="Arial"/>
                <w:b/>
                <w:color w:val="000000"/>
              </w:rPr>
              <w:t>Treatment condition</w:t>
            </w:r>
          </w:p>
        </w:tc>
      </w:tr>
      <w:tr w:rsidR="007F3C1E" w:rsidRPr="007F3C1E" w14:paraId="46B19E27" w14:textId="77777777" w:rsidTr="00F30E67">
        <w:trPr>
          <w:cantSplit/>
          <w:trHeight w:val="170"/>
          <w:jc w:val="center"/>
        </w:trPr>
        <w:tc>
          <w:tcPr>
            <w:tcW w:w="4230" w:type="dxa"/>
            <w:gridSpan w:val="2"/>
            <w:vMerge/>
            <w:shd w:val="clear" w:color="auto" w:fill="F2F2F2" w:themeFill="background1" w:themeFillShade="F2"/>
            <w:vAlign w:val="bottom"/>
          </w:tcPr>
          <w:p w14:paraId="41D3E33D" w14:textId="77777777" w:rsidR="007F3C1E" w:rsidRPr="007F3C1E" w:rsidRDefault="007F3C1E" w:rsidP="007F3C1E">
            <w:pPr>
              <w:autoSpaceDE w:val="0"/>
              <w:autoSpaceDN w:val="0"/>
              <w:adjustRightInd w:val="0"/>
              <w:spacing w:after="0" w:line="480" w:lineRule="auto"/>
              <w:rPr>
                <w:rFonts w:eastAsia="Calibri" w:cs="Arial"/>
                <w:color w:val="000000"/>
              </w:rPr>
            </w:pPr>
          </w:p>
        </w:tc>
        <w:tc>
          <w:tcPr>
            <w:tcW w:w="1170" w:type="dxa"/>
            <w:shd w:val="clear" w:color="auto" w:fill="F2F2F2" w:themeFill="background1" w:themeFillShade="F2"/>
            <w:vAlign w:val="bottom"/>
          </w:tcPr>
          <w:p w14:paraId="78C163B0"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HI-CBT</w:t>
            </w:r>
          </w:p>
          <w:p w14:paraId="2E1A508C" w14:textId="77777777" w:rsidR="007F3C1E" w:rsidRPr="007F3C1E" w:rsidRDefault="007F3C1E" w:rsidP="007F3C1E">
            <w:pPr>
              <w:autoSpaceDE w:val="0"/>
              <w:autoSpaceDN w:val="0"/>
              <w:adjustRightInd w:val="0"/>
              <w:spacing w:after="0" w:line="48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080" w:type="dxa"/>
            <w:shd w:val="clear" w:color="auto" w:fill="F2F2F2" w:themeFill="background1" w:themeFillShade="F2"/>
            <w:vAlign w:val="bottom"/>
          </w:tcPr>
          <w:p w14:paraId="4290DD35"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LI-CBT</w:t>
            </w:r>
          </w:p>
          <w:p w14:paraId="4A8305A2" w14:textId="77777777" w:rsidR="007F3C1E" w:rsidRPr="007F3C1E" w:rsidRDefault="007F3C1E" w:rsidP="007F3C1E">
            <w:pPr>
              <w:autoSpaceDE w:val="0"/>
              <w:autoSpaceDN w:val="0"/>
              <w:adjustRightInd w:val="0"/>
              <w:spacing w:after="0" w:line="48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028" w:type="dxa"/>
            <w:shd w:val="clear" w:color="auto" w:fill="F2F2F2" w:themeFill="background1" w:themeFillShade="F2"/>
            <w:vAlign w:val="bottom"/>
          </w:tcPr>
          <w:p w14:paraId="1F7BE75A"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SH</w:t>
            </w:r>
          </w:p>
          <w:p w14:paraId="6F6736D1" w14:textId="77777777" w:rsidR="007F3C1E" w:rsidRPr="007F3C1E" w:rsidRDefault="007F3C1E" w:rsidP="007F3C1E">
            <w:pPr>
              <w:autoSpaceDE w:val="0"/>
              <w:autoSpaceDN w:val="0"/>
              <w:adjustRightInd w:val="0"/>
              <w:spacing w:after="0" w:line="48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923" w:type="dxa"/>
            <w:shd w:val="clear" w:color="auto" w:fill="F2F2F2" w:themeFill="background1" w:themeFillShade="F2"/>
            <w:vAlign w:val="bottom"/>
          </w:tcPr>
          <w:p w14:paraId="65AEE8EF" w14:textId="77777777" w:rsidR="007F3C1E" w:rsidRPr="007F3C1E" w:rsidRDefault="007F3C1E" w:rsidP="007F3C1E">
            <w:pPr>
              <w:autoSpaceDE w:val="0"/>
              <w:autoSpaceDN w:val="0"/>
              <w:adjustRightInd w:val="0"/>
              <w:spacing w:after="0" w:line="480" w:lineRule="auto"/>
              <w:ind w:right="60"/>
              <w:rPr>
                <w:rFonts w:eastAsia="Calibri" w:cs="Arial"/>
                <w:b/>
                <w:color w:val="000000"/>
              </w:rPr>
            </w:pPr>
            <w:r w:rsidRPr="007F3C1E">
              <w:rPr>
                <w:rFonts w:eastAsia="Calibri" w:cs="Arial"/>
                <w:b/>
                <w:color w:val="000000"/>
              </w:rPr>
              <w:t>TAU</w:t>
            </w:r>
          </w:p>
          <w:p w14:paraId="022B0028" w14:textId="77777777" w:rsidR="007F3C1E" w:rsidRPr="007F3C1E" w:rsidRDefault="007F3C1E" w:rsidP="007F3C1E">
            <w:pPr>
              <w:autoSpaceDE w:val="0"/>
              <w:autoSpaceDN w:val="0"/>
              <w:adjustRightInd w:val="0"/>
              <w:spacing w:after="0" w:line="480" w:lineRule="auto"/>
              <w:ind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r>
      <w:tr w:rsidR="007F3C1E" w:rsidRPr="007F3C1E" w14:paraId="5D210B1D" w14:textId="77777777" w:rsidTr="00F30E67">
        <w:trPr>
          <w:cantSplit/>
          <w:trHeight w:val="535"/>
          <w:jc w:val="center"/>
        </w:trPr>
        <w:tc>
          <w:tcPr>
            <w:tcW w:w="3150" w:type="dxa"/>
            <w:vMerge w:val="restart"/>
            <w:shd w:val="clear" w:color="auto" w:fill="F2F2F2" w:themeFill="background1" w:themeFillShade="F2"/>
          </w:tcPr>
          <w:p w14:paraId="270D0AAD" w14:textId="77777777" w:rsidR="007F3C1E" w:rsidRPr="007F3C1E" w:rsidRDefault="007F3C1E" w:rsidP="007F3C1E">
            <w:pPr>
              <w:autoSpaceDE w:val="0"/>
              <w:autoSpaceDN w:val="0"/>
              <w:adjustRightInd w:val="0"/>
              <w:spacing w:before="240" w:after="0" w:line="480" w:lineRule="auto"/>
              <w:ind w:left="60" w:right="60"/>
              <w:rPr>
                <w:rFonts w:eastAsia="Calibri" w:cs="Arial"/>
                <w:b/>
                <w:color w:val="000000"/>
              </w:rPr>
            </w:pPr>
            <w:r w:rsidRPr="007F3C1E">
              <w:rPr>
                <w:rFonts w:eastAsia="Calibri" w:cs="Arial"/>
                <w:b/>
                <w:color w:val="000000"/>
              </w:rPr>
              <w:t xml:space="preserve">    Baseline </w:t>
            </w:r>
          </w:p>
        </w:tc>
        <w:tc>
          <w:tcPr>
            <w:tcW w:w="1080" w:type="dxa"/>
            <w:shd w:val="clear" w:color="auto" w:fill="F2F2F2" w:themeFill="background1" w:themeFillShade="F2"/>
          </w:tcPr>
          <w:p w14:paraId="3A5F446C" w14:textId="77777777" w:rsidR="007F3C1E" w:rsidRPr="007F3C1E" w:rsidRDefault="007F3C1E" w:rsidP="007F3C1E">
            <w:pPr>
              <w:autoSpaceDE w:val="0"/>
              <w:autoSpaceDN w:val="0"/>
              <w:adjustRightInd w:val="0"/>
              <w:spacing w:before="240" w:after="0" w:line="480" w:lineRule="auto"/>
              <w:ind w:left="60" w:right="60"/>
              <w:rPr>
                <w:rFonts w:eastAsia="Calibri" w:cs="Arial"/>
                <w:color w:val="000000"/>
              </w:rPr>
            </w:pPr>
            <w:r w:rsidRPr="007F3C1E">
              <w:rPr>
                <w:rFonts w:eastAsia="Calibri" w:cs="Arial"/>
                <w:color w:val="000000"/>
              </w:rPr>
              <w:t>Mean</w:t>
            </w:r>
          </w:p>
        </w:tc>
        <w:tc>
          <w:tcPr>
            <w:tcW w:w="1170" w:type="dxa"/>
            <w:shd w:val="clear" w:color="auto" w:fill="F2F2F2" w:themeFill="background1" w:themeFillShade="F2"/>
            <w:vAlign w:val="center"/>
          </w:tcPr>
          <w:p w14:paraId="73D0B833" w14:textId="77777777" w:rsidR="007F3C1E" w:rsidRPr="007F3C1E" w:rsidRDefault="007F3C1E" w:rsidP="007F3C1E">
            <w:pPr>
              <w:autoSpaceDE w:val="0"/>
              <w:autoSpaceDN w:val="0"/>
              <w:adjustRightInd w:val="0"/>
              <w:spacing w:before="240" w:after="0" w:line="480" w:lineRule="auto"/>
              <w:ind w:left="60" w:right="60"/>
              <w:rPr>
                <w:rFonts w:eastAsia="Calibri" w:cs="Arial"/>
                <w:color w:val="000000"/>
              </w:rPr>
            </w:pPr>
            <w:r w:rsidRPr="007F3C1E">
              <w:rPr>
                <w:rFonts w:eastAsia="Calibri" w:cs="Arial"/>
                <w:color w:val="000000"/>
              </w:rPr>
              <w:t>50.4</w:t>
            </w:r>
          </w:p>
        </w:tc>
        <w:tc>
          <w:tcPr>
            <w:tcW w:w="1080" w:type="dxa"/>
            <w:shd w:val="clear" w:color="auto" w:fill="F2F2F2" w:themeFill="background1" w:themeFillShade="F2"/>
            <w:vAlign w:val="center"/>
          </w:tcPr>
          <w:p w14:paraId="29377BFB" w14:textId="77777777" w:rsidR="007F3C1E" w:rsidRPr="007F3C1E" w:rsidRDefault="007F3C1E" w:rsidP="007F3C1E">
            <w:pPr>
              <w:autoSpaceDE w:val="0"/>
              <w:autoSpaceDN w:val="0"/>
              <w:adjustRightInd w:val="0"/>
              <w:spacing w:before="240" w:after="0" w:line="480" w:lineRule="auto"/>
              <w:ind w:left="60" w:right="60"/>
              <w:rPr>
                <w:rFonts w:eastAsia="Calibri" w:cs="Arial"/>
                <w:color w:val="000000"/>
              </w:rPr>
            </w:pPr>
            <w:r w:rsidRPr="007F3C1E">
              <w:rPr>
                <w:rFonts w:eastAsia="Calibri" w:cs="Arial"/>
                <w:color w:val="000000"/>
              </w:rPr>
              <w:t>51.2</w:t>
            </w:r>
          </w:p>
        </w:tc>
        <w:tc>
          <w:tcPr>
            <w:tcW w:w="1028" w:type="dxa"/>
            <w:shd w:val="clear" w:color="auto" w:fill="F2F2F2" w:themeFill="background1" w:themeFillShade="F2"/>
            <w:vAlign w:val="center"/>
          </w:tcPr>
          <w:p w14:paraId="509C24F9" w14:textId="77777777" w:rsidR="007F3C1E" w:rsidRPr="007F3C1E" w:rsidRDefault="007F3C1E" w:rsidP="007F3C1E">
            <w:pPr>
              <w:autoSpaceDE w:val="0"/>
              <w:autoSpaceDN w:val="0"/>
              <w:adjustRightInd w:val="0"/>
              <w:spacing w:before="240" w:after="0" w:line="480" w:lineRule="auto"/>
              <w:ind w:left="60" w:right="60"/>
              <w:rPr>
                <w:rFonts w:eastAsia="Calibri" w:cs="Arial"/>
                <w:color w:val="000000"/>
              </w:rPr>
            </w:pPr>
            <w:r w:rsidRPr="007F3C1E">
              <w:rPr>
                <w:rFonts w:eastAsia="Calibri" w:cs="Arial"/>
                <w:color w:val="000000"/>
              </w:rPr>
              <w:t>49.2</w:t>
            </w:r>
          </w:p>
        </w:tc>
        <w:tc>
          <w:tcPr>
            <w:tcW w:w="923" w:type="dxa"/>
            <w:shd w:val="clear" w:color="auto" w:fill="F2F2F2" w:themeFill="background1" w:themeFillShade="F2"/>
            <w:vAlign w:val="center"/>
          </w:tcPr>
          <w:p w14:paraId="114347AA" w14:textId="77777777" w:rsidR="007F3C1E" w:rsidRPr="007F3C1E" w:rsidRDefault="007F3C1E" w:rsidP="007F3C1E">
            <w:pPr>
              <w:autoSpaceDE w:val="0"/>
              <w:autoSpaceDN w:val="0"/>
              <w:adjustRightInd w:val="0"/>
              <w:spacing w:before="240" w:after="0" w:line="480" w:lineRule="auto"/>
              <w:ind w:left="60" w:right="60"/>
              <w:rPr>
                <w:rFonts w:eastAsia="Calibri" w:cs="Arial"/>
                <w:color w:val="000000"/>
              </w:rPr>
            </w:pPr>
            <w:r w:rsidRPr="007F3C1E">
              <w:rPr>
                <w:rFonts w:eastAsia="Calibri" w:cs="Arial"/>
                <w:color w:val="000000"/>
              </w:rPr>
              <w:t>38.6</w:t>
            </w:r>
          </w:p>
        </w:tc>
      </w:tr>
      <w:tr w:rsidR="007F3C1E" w:rsidRPr="007F3C1E" w14:paraId="47AD46F3" w14:textId="77777777" w:rsidTr="00F30E67">
        <w:trPr>
          <w:cantSplit/>
          <w:trHeight w:val="144"/>
          <w:jc w:val="center"/>
        </w:trPr>
        <w:tc>
          <w:tcPr>
            <w:tcW w:w="3150" w:type="dxa"/>
            <w:vMerge/>
            <w:shd w:val="clear" w:color="auto" w:fill="F2F2F2" w:themeFill="background1" w:themeFillShade="F2"/>
          </w:tcPr>
          <w:p w14:paraId="57B446E1" w14:textId="77777777" w:rsidR="007F3C1E" w:rsidRPr="007F3C1E" w:rsidRDefault="007F3C1E" w:rsidP="007F3C1E">
            <w:pPr>
              <w:autoSpaceDE w:val="0"/>
              <w:autoSpaceDN w:val="0"/>
              <w:adjustRightInd w:val="0"/>
              <w:spacing w:after="0" w:line="480" w:lineRule="auto"/>
              <w:rPr>
                <w:rFonts w:eastAsia="Calibri" w:cs="Arial"/>
                <w:b/>
                <w:color w:val="000000"/>
              </w:rPr>
            </w:pPr>
          </w:p>
        </w:tc>
        <w:tc>
          <w:tcPr>
            <w:tcW w:w="1080" w:type="dxa"/>
            <w:shd w:val="clear" w:color="auto" w:fill="F2F2F2" w:themeFill="background1" w:themeFillShade="F2"/>
          </w:tcPr>
          <w:p w14:paraId="3A0FFC6E"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 xml:space="preserve">  S.D.</w:t>
            </w:r>
          </w:p>
        </w:tc>
        <w:tc>
          <w:tcPr>
            <w:tcW w:w="1170" w:type="dxa"/>
            <w:shd w:val="clear" w:color="auto" w:fill="F2F2F2" w:themeFill="background1" w:themeFillShade="F2"/>
            <w:vAlign w:val="center"/>
          </w:tcPr>
          <w:p w14:paraId="1253E7DF"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14.7</w:t>
            </w:r>
          </w:p>
        </w:tc>
        <w:tc>
          <w:tcPr>
            <w:tcW w:w="1080" w:type="dxa"/>
            <w:shd w:val="clear" w:color="auto" w:fill="F2F2F2" w:themeFill="background1" w:themeFillShade="F2"/>
            <w:vAlign w:val="center"/>
          </w:tcPr>
          <w:p w14:paraId="37F31CAB"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11.8</w:t>
            </w:r>
          </w:p>
        </w:tc>
        <w:tc>
          <w:tcPr>
            <w:tcW w:w="1028" w:type="dxa"/>
            <w:shd w:val="clear" w:color="auto" w:fill="F2F2F2" w:themeFill="background1" w:themeFillShade="F2"/>
            <w:vAlign w:val="center"/>
          </w:tcPr>
          <w:p w14:paraId="049FB0FB"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11.2</w:t>
            </w:r>
          </w:p>
        </w:tc>
        <w:tc>
          <w:tcPr>
            <w:tcW w:w="923" w:type="dxa"/>
            <w:shd w:val="clear" w:color="auto" w:fill="F2F2F2" w:themeFill="background1" w:themeFillShade="F2"/>
            <w:vAlign w:val="center"/>
          </w:tcPr>
          <w:p w14:paraId="7D552D06"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10.8</w:t>
            </w:r>
          </w:p>
        </w:tc>
      </w:tr>
      <w:tr w:rsidR="007F3C1E" w:rsidRPr="007F3C1E" w14:paraId="31E4D7D4" w14:textId="77777777" w:rsidTr="00F30E67">
        <w:trPr>
          <w:cantSplit/>
          <w:trHeight w:val="300"/>
          <w:jc w:val="center"/>
        </w:trPr>
        <w:tc>
          <w:tcPr>
            <w:tcW w:w="3150" w:type="dxa"/>
            <w:vMerge w:val="restart"/>
            <w:shd w:val="clear" w:color="auto" w:fill="F2F2F2" w:themeFill="background1" w:themeFillShade="F2"/>
          </w:tcPr>
          <w:p w14:paraId="5D87B736"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 xml:space="preserve">    12 weeks</w:t>
            </w:r>
          </w:p>
        </w:tc>
        <w:tc>
          <w:tcPr>
            <w:tcW w:w="1080" w:type="dxa"/>
            <w:shd w:val="clear" w:color="auto" w:fill="F2F2F2" w:themeFill="background1" w:themeFillShade="F2"/>
          </w:tcPr>
          <w:p w14:paraId="3A8C71C7"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Mean</w:t>
            </w:r>
          </w:p>
        </w:tc>
        <w:tc>
          <w:tcPr>
            <w:tcW w:w="1170" w:type="dxa"/>
            <w:shd w:val="clear" w:color="auto" w:fill="F2F2F2" w:themeFill="background1" w:themeFillShade="F2"/>
            <w:vAlign w:val="center"/>
          </w:tcPr>
          <w:p w14:paraId="38F5ACFF"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34.2</w:t>
            </w:r>
          </w:p>
        </w:tc>
        <w:tc>
          <w:tcPr>
            <w:tcW w:w="1080" w:type="dxa"/>
            <w:shd w:val="clear" w:color="auto" w:fill="F2F2F2" w:themeFill="background1" w:themeFillShade="F2"/>
            <w:vAlign w:val="center"/>
          </w:tcPr>
          <w:p w14:paraId="43FA73F9"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39.0</w:t>
            </w:r>
          </w:p>
        </w:tc>
        <w:tc>
          <w:tcPr>
            <w:tcW w:w="1028" w:type="dxa"/>
            <w:shd w:val="clear" w:color="auto" w:fill="F2F2F2" w:themeFill="background1" w:themeFillShade="F2"/>
            <w:vAlign w:val="center"/>
          </w:tcPr>
          <w:p w14:paraId="7A400047"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45.2</w:t>
            </w:r>
          </w:p>
        </w:tc>
        <w:tc>
          <w:tcPr>
            <w:tcW w:w="923" w:type="dxa"/>
            <w:shd w:val="clear" w:color="auto" w:fill="F2F2F2" w:themeFill="background1" w:themeFillShade="F2"/>
            <w:vAlign w:val="center"/>
          </w:tcPr>
          <w:p w14:paraId="0457A86C"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45.4</w:t>
            </w:r>
          </w:p>
        </w:tc>
      </w:tr>
      <w:tr w:rsidR="007F3C1E" w:rsidRPr="007F3C1E" w14:paraId="33B75FB7" w14:textId="77777777" w:rsidTr="00F30E67">
        <w:trPr>
          <w:cantSplit/>
          <w:trHeight w:val="144"/>
          <w:jc w:val="center"/>
        </w:trPr>
        <w:tc>
          <w:tcPr>
            <w:tcW w:w="3150" w:type="dxa"/>
            <w:vMerge/>
            <w:shd w:val="clear" w:color="auto" w:fill="F2F2F2" w:themeFill="background1" w:themeFillShade="F2"/>
          </w:tcPr>
          <w:p w14:paraId="3338BA61" w14:textId="77777777" w:rsidR="007F3C1E" w:rsidRPr="007F3C1E" w:rsidRDefault="007F3C1E" w:rsidP="007F3C1E">
            <w:pPr>
              <w:autoSpaceDE w:val="0"/>
              <w:autoSpaceDN w:val="0"/>
              <w:adjustRightInd w:val="0"/>
              <w:spacing w:after="0" w:line="480" w:lineRule="auto"/>
              <w:rPr>
                <w:rFonts w:eastAsia="Calibri" w:cs="Arial"/>
                <w:b/>
                <w:color w:val="000000"/>
              </w:rPr>
            </w:pPr>
          </w:p>
        </w:tc>
        <w:tc>
          <w:tcPr>
            <w:tcW w:w="1080" w:type="dxa"/>
            <w:shd w:val="clear" w:color="auto" w:fill="F2F2F2" w:themeFill="background1" w:themeFillShade="F2"/>
          </w:tcPr>
          <w:p w14:paraId="2252F754"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 xml:space="preserve">  S.D.</w:t>
            </w:r>
          </w:p>
        </w:tc>
        <w:tc>
          <w:tcPr>
            <w:tcW w:w="1170" w:type="dxa"/>
            <w:shd w:val="clear" w:color="auto" w:fill="F2F2F2" w:themeFill="background1" w:themeFillShade="F2"/>
            <w:vAlign w:val="center"/>
          </w:tcPr>
          <w:p w14:paraId="63E70E0E"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12.2</w:t>
            </w:r>
          </w:p>
        </w:tc>
        <w:tc>
          <w:tcPr>
            <w:tcW w:w="1080" w:type="dxa"/>
            <w:shd w:val="clear" w:color="auto" w:fill="F2F2F2" w:themeFill="background1" w:themeFillShade="F2"/>
            <w:vAlign w:val="center"/>
          </w:tcPr>
          <w:p w14:paraId="3213264C"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11.47</w:t>
            </w:r>
          </w:p>
        </w:tc>
        <w:tc>
          <w:tcPr>
            <w:tcW w:w="1028" w:type="dxa"/>
            <w:shd w:val="clear" w:color="auto" w:fill="F2F2F2" w:themeFill="background1" w:themeFillShade="F2"/>
            <w:vAlign w:val="center"/>
          </w:tcPr>
          <w:p w14:paraId="23B10B13"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19.2</w:t>
            </w:r>
          </w:p>
        </w:tc>
        <w:tc>
          <w:tcPr>
            <w:tcW w:w="923" w:type="dxa"/>
            <w:shd w:val="clear" w:color="auto" w:fill="F2F2F2" w:themeFill="background1" w:themeFillShade="F2"/>
            <w:vAlign w:val="center"/>
          </w:tcPr>
          <w:p w14:paraId="5A02AD18"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14.0</w:t>
            </w:r>
          </w:p>
        </w:tc>
      </w:tr>
      <w:tr w:rsidR="007F3C1E" w:rsidRPr="007F3C1E" w14:paraId="36433574" w14:textId="77777777" w:rsidTr="00F30E67">
        <w:trPr>
          <w:cantSplit/>
          <w:trHeight w:val="300"/>
          <w:jc w:val="center"/>
        </w:trPr>
        <w:tc>
          <w:tcPr>
            <w:tcW w:w="3150" w:type="dxa"/>
            <w:vMerge w:val="restart"/>
            <w:shd w:val="clear" w:color="auto" w:fill="F2F2F2" w:themeFill="background1" w:themeFillShade="F2"/>
          </w:tcPr>
          <w:p w14:paraId="1CDFBBD6"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 xml:space="preserve">    26 weeks</w:t>
            </w:r>
          </w:p>
        </w:tc>
        <w:tc>
          <w:tcPr>
            <w:tcW w:w="1080" w:type="dxa"/>
            <w:shd w:val="clear" w:color="auto" w:fill="F2F2F2" w:themeFill="background1" w:themeFillShade="F2"/>
          </w:tcPr>
          <w:p w14:paraId="4E35B7BD"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Mean</w:t>
            </w:r>
          </w:p>
        </w:tc>
        <w:tc>
          <w:tcPr>
            <w:tcW w:w="1170" w:type="dxa"/>
            <w:shd w:val="clear" w:color="auto" w:fill="F2F2F2" w:themeFill="background1" w:themeFillShade="F2"/>
            <w:vAlign w:val="center"/>
          </w:tcPr>
          <w:p w14:paraId="7DD6B3EF"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33.2</w:t>
            </w:r>
          </w:p>
        </w:tc>
        <w:tc>
          <w:tcPr>
            <w:tcW w:w="1080" w:type="dxa"/>
            <w:shd w:val="clear" w:color="auto" w:fill="F2F2F2" w:themeFill="background1" w:themeFillShade="F2"/>
            <w:vAlign w:val="center"/>
          </w:tcPr>
          <w:p w14:paraId="30C1D5B4"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37.8</w:t>
            </w:r>
          </w:p>
        </w:tc>
        <w:tc>
          <w:tcPr>
            <w:tcW w:w="1028" w:type="dxa"/>
            <w:shd w:val="clear" w:color="auto" w:fill="F2F2F2" w:themeFill="background1" w:themeFillShade="F2"/>
            <w:vAlign w:val="center"/>
          </w:tcPr>
          <w:p w14:paraId="17303A3A"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42.0</w:t>
            </w:r>
          </w:p>
        </w:tc>
        <w:tc>
          <w:tcPr>
            <w:tcW w:w="923" w:type="dxa"/>
            <w:shd w:val="clear" w:color="auto" w:fill="F2F2F2" w:themeFill="background1" w:themeFillShade="F2"/>
            <w:vAlign w:val="center"/>
          </w:tcPr>
          <w:p w14:paraId="303682C3"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47.4</w:t>
            </w:r>
          </w:p>
        </w:tc>
      </w:tr>
      <w:tr w:rsidR="007F3C1E" w:rsidRPr="007F3C1E" w14:paraId="6223C384" w14:textId="77777777" w:rsidTr="00F30E67">
        <w:trPr>
          <w:cantSplit/>
          <w:trHeight w:val="387"/>
          <w:jc w:val="center"/>
        </w:trPr>
        <w:tc>
          <w:tcPr>
            <w:tcW w:w="3150" w:type="dxa"/>
            <w:vMerge/>
            <w:shd w:val="clear" w:color="auto" w:fill="F2F2F2" w:themeFill="background1" w:themeFillShade="F2"/>
          </w:tcPr>
          <w:p w14:paraId="4B6668F9" w14:textId="77777777" w:rsidR="007F3C1E" w:rsidRPr="007F3C1E" w:rsidRDefault="007F3C1E" w:rsidP="007F3C1E">
            <w:pPr>
              <w:autoSpaceDE w:val="0"/>
              <w:autoSpaceDN w:val="0"/>
              <w:adjustRightInd w:val="0"/>
              <w:spacing w:after="0" w:line="480" w:lineRule="auto"/>
              <w:rPr>
                <w:rFonts w:eastAsia="Calibri" w:cs="Arial"/>
                <w:color w:val="000000"/>
              </w:rPr>
            </w:pPr>
          </w:p>
        </w:tc>
        <w:tc>
          <w:tcPr>
            <w:tcW w:w="1080" w:type="dxa"/>
            <w:shd w:val="clear" w:color="auto" w:fill="F2F2F2" w:themeFill="background1" w:themeFillShade="F2"/>
          </w:tcPr>
          <w:p w14:paraId="32D5FD63"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 xml:space="preserve">  S.D.</w:t>
            </w:r>
          </w:p>
        </w:tc>
        <w:tc>
          <w:tcPr>
            <w:tcW w:w="1170" w:type="dxa"/>
            <w:shd w:val="clear" w:color="auto" w:fill="F2F2F2" w:themeFill="background1" w:themeFillShade="F2"/>
          </w:tcPr>
          <w:p w14:paraId="56668C24"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11.4</w:t>
            </w:r>
          </w:p>
        </w:tc>
        <w:tc>
          <w:tcPr>
            <w:tcW w:w="1080" w:type="dxa"/>
            <w:shd w:val="clear" w:color="auto" w:fill="F2F2F2" w:themeFill="background1" w:themeFillShade="F2"/>
          </w:tcPr>
          <w:p w14:paraId="371B1E5D"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9.6</w:t>
            </w:r>
          </w:p>
        </w:tc>
        <w:tc>
          <w:tcPr>
            <w:tcW w:w="1028" w:type="dxa"/>
            <w:shd w:val="clear" w:color="auto" w:fill="F2F2F2" w:themeFill="background1" w:themeFillShade="F2"/>
          </w:tcPr>
          <w:p w14:paraId="2668B519"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15.1</w:t>
            </w:r>
          </w:p>
        </w:tc>
        <w:tc>
          <w:tcPr>
            <w:tcW w:w="923" w:type="dxa"/>
            <w:shd w:val="clear" w:color="auto" w:fill="F2F2F2" w:themeFill="background1" w:themeFillShade="F2"/>
          </w:tcPr>
          <w:p w14:paraId="19F8355C"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19.5</w:t>
            </w:r>
          </w:p>
        </w:tc>
      </w:tr>
      <w:tr w:rsidR="007F3C1E" w:rsidRPr="007F3C1E" w14:paraId="310C0A4F" w14:textId="77777777" w:rsidTr="00F30E67">
        <w:trPr>
          <w:cantSplit/>
          <w:trHeight w:val="872"/>
          <w:jc w:val="center"/>
        </w:trPr>
        <w:tc>
          <w:tcPr>
            <w:tcW w:w="3150" w:type="dxa"/>
            <w:shd w:val="clear" w:color="auto" w:fill="F2F2F2" w:themeFill="background1" w:themeFillShade="F2"/>
          </w:tcPr>
          <w:p w14:paraId="11108888"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 xml:space="preserve">    Change </w:t>
            </w:r>
          </w:p>
          <w:p w14:paraId="42527A42"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color w:val="000000"/>
              </w:rPr>
              <w:t xml:space="preserve">    (baseline to 26 weeks)</w:t>
            </w:r>
          </w:p>
        </w:tc>
        <w:tc>
          <w:tcPr>
            <w:tcW w:w="1080" w:type="dxa"/>
            <w:shd w:val="clear" w:color="auto" w:fill="F2F2F2" w:themeFill="background1" w:themeFillShade="F2"/>
          </w:tcPr>
          <w:p w14:paraId="7129204C" w14:textId="77777777" w:rsidR="007F3C1E" w:rsidRPr="007F3C1E" w:rsidRDefault="007F3C1E" w:rsidP="007F3C1E">
            <w:pPr>
              <w:autoSpaceDE w:val="0"/>
              <w:autoSpaceDN w:val="0"/>
              <w:adjustRightInd w:val="0"/>
              <w:spacing w:after="0" w:line="480" w:lineRule="auto"/>
              <w:ind w:left="60" w:right="60"/>
              <w:rPr>
                <w:rFonts w:eastAsia="Calibri" w:cs="Arial"/>
                <w:color w:val="000000"/>
              </w:rPr>
            </w:pPr>
            <w:r w:rsidRPr="007F3C1E">
              <w:rPr>
                <w:rFonts w:eastAsia="Calibri" w:cs="Arial"/>
                <w:color w:val="000000"/>
              </w:rPr>
              <w:t>Mean</w:t>
            </w:r>
          </w:p>
          <w:p w14:paraId="51C8FA25" w14:textId="77777777" w:rsidR="007F3C1E" w:rsidRPr="007F3C1E" w:rsidRDefault="007F3C1E" w:rsidP="007F3C1E">
            <w:pPr>
              <w:autoSpaceDE w:val="0"/>
              <w:autoSpaceDN w:val="0"/>
              <w:adjustRightInd w:val="0"/>
              <w:spacing w:after="0" w:line="480" w:lineRule="auto"/>
              <w:ind w:left="60" w:right="60"/>
              <w:rPr>
                <w:rFonts w:eastAsia="Calibri" w:cs="Arial"/>
                <w:color w:val="7F7F7F" w:themeColor="text1" w:themeTint="80"/>
              </w:rPr>
            </w:pPr>
            <w:r w:rsidRPr="007F3C1E">
              <w:rPr>
                <w:rFonts w:eastAsia="Calibri" w:cs="Arial"/>
                <w:color w:val="7F7F7F" w:themeColor="text1" w:themeTint="80"/>
              </w:rPr>
              <w:t xml:space="preserve">  S.D.</w:t>
            </w:r>
          </w:p>
          <w:p w14:paraId="26314512" w14:textId="77777777" w:rsidR="007F3C1E" w:rsidRPr="007F3C1E" w:rsidRDefault="007F3C1E" w:rsidP="007F3C1E">
            <w:pPr>
              <w:autoSpaceDE w:val="0"/>
              <w:autoSpaceDN w:val="0"/>
              <w:adjustRightInd w:val="0"/>
              <w:spacing w:after="0" w:line="480" w:lineRule="auto"/>
              <w:ind w:right="60"/>
              <w:rPr>
                <w:rFonts w:eastAsia="Calibri" w:cs="Arial"/>
                <w:color w:val="000000"/>
              </w:rPr>
            </w:pPr>
          </w:p>
        </w:tc>
        <w:tc>
          <w:tcPr>
            <w:tcW w:w="1170" w:type="dxa"/>
            <w:shd w:val="clear" w:color="auto" w:fill="F2F2F2" w:themeFill="background1" w:themeFillShade="F2"/>
          </w:tcPr>
          <w:p w14:paraId="4B337F08"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b/>
              </w:rPr>
              <w:t>-17.2</w:t>
            </w:r>
          </w:p>
          <w:p w14:paraId="119D384A"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color w:val="7F7F7F" w:themeColor="text1" w:themeTint="80"/>
              </w:rPr>
              <w:t>9.2</w:t>
            </w:r>
          </w:p>
        </w:tc>
        <w:tc>
          <w:tcPr>
            <w:tcW w:w="1080" w:type="dxa"/>
            <w:shd w:val="clear" w:color="auto" w:fill="F2F2F2" w:themeFill="background1" w:themeFillShade="F2"/>
          </w:tcPr>
          <w:p w14:paraId="57853550"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b/>
              </w:rPr>
              <w:t>-13.4</w:t>
            </w:r>
          </w:p>
          <w:p w14:paraId="2C5B3460"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color w:val="7F7F7F" w:themeColor="text1" w:themeTint="80"/>
              </w:rPr>
              <w:t>11.5</w:t>
            </w:r>
          </w:p>
        </w:tc>
        <w:tc>
          <w:tcPr>
            <w:tcW w:w="1028" w:type="dxa"/>
            <w:shd w:val="clear" w:color="auto" w:fill="F2F2F2" w:themeFill="background1" w:themeFillShade="F2"/>
          </w:tcPr>
          <w:p w14:paraId="41F51972"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b/>
              </w:rPr>
              <w:t>-7.2</w:t>
            </w:r>
          </w:p>
          <w:p w14:paraId="72DE0AB2"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color w:val="7F7F7F" w:themeColor="text1" w:themeTint="80"/>
              </w:rPr>
              <w:t>10.5</w:t>
            </w:r>
          </w:p>
        </w:tc>
        <w:tc>
          <w:tcPr>
            <w:tcW w:w="923" w:type="dxa"/>
            <w:shd w:val="clear" w:color="auto" w:fill="F2F2F2" w:themeFill="background1" w:themeFillShade="F2"/>
          </w:tcPr>
          <w:p w14:paraId="4B4D382A"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b/>
              </w:rPr>
              <w:t>8.8</w:t>
            </w:r>
          </w:p>
          <w:p w14:paraId="6C707381" w14:textId="77777777" w:rsidR="007F3C1E" w:rsidRPr="007F3C1E" w:rsidRDefault="007F3C1E" w:rsidP="007F3C1E">
            <w:pPr>
              <w:autoSpaceDE w:val="0"/>
              <w:autoSpaceDN w:val="0"/>
              <w:adjustRightInd w:val="0"/>
              <w:spacing w:after="0" w:line="480" w:lineRule="auto"/>
              <w:ind w:left="60" w:right="60"/>
              <w:rPr>
                <w:rFonts w:eastAsia="Calibri" w:cs="Arial"/>
                <w:b/>
              </w:rPr>
            </w:pPr>
            <w:r w:rsidRPr="007F3C1E">
              <w:rPr>
                <w:rFonts w:eastAsia="Calibri" w:cs="Arial"/>
                <w:color w:val="7F7F7F" w:themeColor="text1" w:themeTint="80"/>
              </w:rPr>
              <w:t>10.6</w:t>
            </w:r>
          </w:p>
        </w:tc>
      </w:tr>
    </w:tbl>
    <w:p w14:paraId="35F448A6" w14:textId="77777777" w:rsidR="00C354C4" w:rsidRPr="00586A09" w:rsidRDefault="00C354C4" w:rsidP="00586A09">
      <w:pPr>
        <w:spacing w:after="0" w:line="480" w:lineRule="auto"/>
        <w:rPr>
          <w:rFonts w:eastAsia="Calibri" w:cs="Times New Roman"/>
          <w:sz w:val="24"/>
          <w:szCs w:val="24"/>
        </w:rPr>
      </w:pPr>
    </w:p>
    <w:p w14:paraId="7793DADF" w14:textId="77777777" w:rsidR="00C354C4" w:rsidRDefault="00C354C4" w:rsidP="00586A09">
      <w:pPr>
        <w:spacing w:after="0" w:line="480" w:lineRule="auto"/>
        <w:rPr>
          <w:rFonts w:eastAsia="Calibri" w:cs="Times New Roman"/>
          <w:sz w:val="24"/>
          <w:szCs w:val="24"/>
        </w:rPr>
      </w:pPr>
    </w:p>
    <w:p w14:paraId="7E40A3A8" w14:textId="77777777" w:rsidR="007F3C1E" w:rsidRPr="00586A09" w:rsidRDefault="007F3C1E" w:rsidP="00586A09">
      <w:pPr>
        <w:spacing w:after="0" w:line="480" w:lineRule="auto"/>
        <w:rPr>
          <w:rFonts w:eastAsia="Calibri" w:cs="Times New Roman"/>
          <w:sz w:val="24"/>
          <w:szCs w:val="24"/>
        </w:rPr>
      </w:pPr>
    </w:p>
    <w:p w14:paraId="10D34D9C" w14:textId="77777777" w:rsidR="00C354C4" w:rsidRDefault="00C354C4" w:rsidP="00586A09">
      <w:pPr>
        <w:spacing w:after="0" w:line="480" w:lineRule="auto"/>
        <w:rPr>
          <w:rFonts w:eastAsia="Calibri" w:cs="Times New Roman"/>
          <w:sz w:val="24"/>
          <w:szCs w:val="24"/>
        </w:rPr>
      </w:pPr>
      <w:r w:rsidRPr="00586A09">
        <w:rPr>
          <w:rFonts w:eastAsia="Calibri" w:cs="Times New Roman"/>
          <w:sz w:val="24"/>
          <w:szCs w:val="24"/>
        </w:rPr>
        <w:lastRenderedPageBreak/>
        <w:t xml:space="preserve">Participants within the HI-CBT and LI-CBT treatment conditions experienced a mean overall reduction in total symptom scores by -17.2 (S.D. = 9.2) and -14.4 (S.D. = 11.5) respectively between baseline and 26 weeks. The SH treatment condition resulted in a mean reduction of symptom scores by -7.2 points (S.D. = 10.5). Participants with the TAU condition experience a mean increase in symptom scores of 8.8 (S.D. = 10.6). </w:t>
      </w:r>
    </w:p>
    <w:p w14:paraId="15550A9A" w14:textId="77777777" w:rsidR="007F3C1E" w:rsidRDefault="007F3C1E" w:rsidP="00586A09">
      <w:pPr>
        <w:spacing w:after="0" w:line="480" w:lineRule="auto"/>
        <w:rPr>
          <w:rFonts w:eastAsia="Calibri" w:cs="Times New Roman"/>
          <w:sz w:val="24"/>
          <w:szCs w:val="24"/>
        </w:rPr>
      </w:pPr>
    </w:p>
    <w:p w14:paraId="7A8480DF" w14:textId="77777777" w:rsidR="007F3C1E" w:rsidRDefault="007F3C1E" w:rsidP="00586A09">
      <w:pPr>
        <w:spacing w:after="0" w:line="480" w:lineRule="auto"/>
        <w:rPr>
          <w:rFonts w:eastAsia="Calibri" w:cs="Times New Roman"/>
          <w:sz w:val="24"/>
          <w:szCs w:val="24"/>
        </w:rPr>
      </w:pPr>
    </w:p>
    <w:p w14:paraId="4850DD6D" w14:textId="77777777" w:rsidR="007F3C1E" w:rsidRDefault="007F3C1E" w:rsidP="00586A09">
      <w:pPr>
        <w:spacing w:after="0" w:line="480" w:lineRule="auto"/>
        <w:rPr>
          <w:rFonts w:eastAsia="Calibri" w:cs="Times New Roman"/>
          <w:sz w:val="24"/>
          <w:szCs w:val="24"/>
        </w:rPr>
      </w:pPr>
    </w:p>
    <w:p w14:paraId="614B8686" w14:textId="77777777" w:rsidR="007F3C1E" w:rsidRDefault="007F3C1E" w:rsidP="00586A09">
      <w:pPr>
        <w:spacing w:after="0" w:line="480" w:lineRule="auto"/>
        <w:rPr>
          <w:rFonts w:eastAsia="Calibri" w:cs="Times New Roman"/>
          <w:sz w:val="24"/>
          <w:szCs w:val="24"/>
        </w:rPr>
      </w:pPr>
    </w:p>
    <w:p w14:paraId="29749A0C" w14:textId="77777777" w:rsidR="007F3C1E" w:rsidRDefault="007F3C1E" w:rsidP="00586A09">
      <w:pPr>
        <w:spacing w:after="0" w:line="480" w:lineRule="auto"/>
        <w:rPr>
          <w:rFonts w:eastAsia="Calibri" w:cs="Times New Roman"/>
          <w:sz w:val="24"/>
          <w:szCs w:val="24"/>
        </w:rPr>
      </w:pPr>
    </w:p>
    <w:p w14:paraId="79469041" w14:textId="77777777" w:rsidR="007F3C1E" w:rsidRDefault="007F3C1E" w:rsidP="00586A09">
      <w:pPr>
        <w:spacing w:after="0" w:line="480" w:lineRule="auto"/>
        <w:rPr>
          <w:rFonts w:eastAsia="Calibri" w:cs="Times New Roman"/>
          <w:sz w:val="24"/>
          <w:szCs w:val="24"/>
        </w:rPr>
      </w:pPr>
    </w:p>
    <w:p w14:paraId="2318FBE9" w14:textId="77777777" w:rsidR="007F3C1E" w:rsidRDefault="007F3C1E" w:rsidP="00586A09">
      <w:pPr>
        <w:spacing w:after="0" w:line="480" w:lineRule="auto"/>
        <w:rPr>
          <w:rFonts w:eastAsia="Calibri" w:cs="Times New Roman"/>
          <w:sz w:val="24"/>
          <w:szCs w:val="24"/>
        </w:rPr>
      </w:pPr>
    </w:p>
    <w:p w14:paraId="1084DB82" w14:textId="77777777" w:rsidR="007F3C1E" w:rsidRDefault="007F3C1E" w:rsidP="00586A09">
      <w:pPr>
        <w:spacing w:after="0" w:line="480" w:lineRule="auto"/>
        <w:rPr>
          <w:rFonts w:eastAsia="Calibri" w:cs="Times New Roman"/>
          <w:sz w:val="24"/>
          <w:szCs w:val="24"/>
        </w:rPr>
      </w:pPr>
    </w:p>
    <w:p w14:paraId="53E5D71A" w14:textId="77777777" w:rsidR="007F3C1E" w:rsidRDefault="007F3C1E" w:rsidP="00586A09">
      <w:pPr>
        <w:spacing w:after="0" w:line="480" w:lineRule="auto"/>
        <w:rPr>
          <w:rFonts w:eastAsia="Calibri" w:cs="Times New Roman"/>
          <w:sz w:val="24"/>
          <w:szCs w:val="24"/>
        </w:rPr>
      </w:pPr>
    </w:p>
    <w:p w14:paraId="3379E839" w14:textId="77777777" w:rsidR="007F3C1E" w:rsidRDefault="007F3C1E" w:rsidP="00586A09">
      <w:pPr>
        <w:spacing w:after="0" w:line="480" w:lineRule="auto"/>
        <w:rPr>
          <w:rFonts w:eastAsia="Calibri" w:cs="Times New Roman"/>
          <w:sz w:val="24"/>
          <w:szCs w:val="24"/>
        </w:rPr>
      </w:pPr>
    </w:p>
    <w:p w14:paraId="66CE9C22" w14:textId="77777777" w:rsidR="007F3C1E" w:rsidRDefault="007F3C1E" w:rsidP="00586A09">
      <w:pPr>
        <w:spacing w:after="0" w:line="480" w:lineRule="auto"/>
        <w:rPr>
          <w:rFonts w:eastAsia="Calibri" w:cs="Times New Roman"/>
          <w:sz w:val="24"/>
          <w:szCs w:val="24"/>
        </w:rPr>
      </w:pPr>
    </w:p>
    <w:p w14:paraId="1F48C4DB" w14:textId="77777777" w:rsidR="007F3C1E" w:rsidRDefault="007F3C1E" w:rsidP="00586A09">
      <w:pPr>
        <w:spacing w:after="0" w:line="480" w:lineRule="auto"/>
        <w:rPr>
          <w:rFonts w:eastAsia="Calibri" w:cs="Times New Roman"/>
          <w:sz w:val="24"/>
          <w:szCs w:val="24"/>
        </w:rPr>
      </w:pPr>
    </w:p>
    <w:p w14:paraId="45B4CCBE" w14:textId="77777777" w:rsidR="007F3C1E" w:rsidRDefault="007F3C1E" w:rsidP="00586A09">
      <w:pPr>
        <w:spacing w:after="0" w:line="480" w:lineRule="auto"/>
        <w:rPr>
          <w:rFonts w:eastAsia="Calibri" w:cs="Times New Roman"/>
          <w:sz w:val="24"/>
          <w:szCs w:val="24"/>
        </w:rPr>
      </w:pPr>
    </w:p>
    <w:p w14:paraId="441F5DEE" w14:textId="77777777" w:rsidR="007F3C1E" w:rsidRPr="00586A09" w:rsidRDefault="007F3C1E" w:rsidP="00586A09">
      <w:pPr>
        <w:spacing w:after="0" w:line="480" w:lineRule="auto"/>
        <w:rPr>
          <w:rFonts w:eastAsia="Calibri" w:cs="Times New Roman"/>
          <w:sz w:val="24"/>
          <w:szCs w:val="24"/>
        </w:rPr>
      </w:pPr>
    </w:p>
    <w:p w14:paraId="02634330" w14:textId="77777777" w:rsidR="00C354C4" w:rsidRPr="00586A09" w:rsidRDefault="00C354C4" w:rsidP="00586A09">
      <w:pPr>
        <w:pStyle w:val="Heading2"/>
        <w:spacing w:line="480" w:lineRule="auto"/>
        <w:rPr>
          <w:rFonts w:eastAsia="Calibri"/>
          <w:sz w:val="24"/>
          <w:szCs w:val="24"/>
        </w:rPr>
      </w:pPr>
      <w:bookmarkStart w:id="24" w:name="_Toc476381613"/>
      <w:r w:rsidRPr="00586A09">
        <w:rPr>
          <w:rFonts w:eastAsia="Calibri"/>
          <w:sz w:val="24"/>
          <w:szCs w:val="24"/>
        </w:rPr>
        <w:lastRenderedPageBreak/>
        <w:t>Anxiety and depression</w:t>
      </w:r>
      <w:bookmarkEnd w:id="24"/>
    </w:p>
    <w:p w14:paraId="3515461B"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Tables 5 and 6 show that participants within the HI-CBT condition experienced improvements in both anxiety and depression. </w:t>
      </w:r>
    </w:p>
    <w:p w14:paraId="0C2F4019" w14:textId="77777777" w:rsidR="00C354C4" w:rsidRPr="00586A09" w:rsidRDefault="00C354C4" w:rsidP="00586A09">
      <w:pPr>
        <w:spacing w:after="0" w:line="480" w:lineRule="auto"/>
        <w:rPr>
          <w:rFonts w:eastAsia="Calibri" w:cs="Times New Roman"/>
          <w:sz w:val="24"/>
          <w:szCs w:val="24"/>
        </w:rPr>
      </w:pPr>
    </w:p>
    <w:tbl>
      <w:tblPr>
        <w:tblpPr w:leftFromText="180" w:rightFromText="180" w:vertAnchor="text" w:horzAnchor="margin" w:tblpXSpec="center" w:tblpY="-224"/>
        <w:tblW w:w="8135"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2222"/>
        <w:gridCol w:w="1478"/>
        <w:gridCol w:w="1478"/>
        <w:gridCol w:w="1478"/>
        <w:gridCol w:w="1479"/>
      </w:tblGrid>
      <w:tr w:rsidR="007F3C1E" w:rsidRPr="007F3C1E" w14:paraId="27E8C55B" w14:textId="77777777" w:rsidTr="00F30E67">
        <w:trPr>
          <w:cantSplit/>
          <w:trHeight w:val="376"/>
        </w:trPr>
        <w:tc>
          <w:tcPr>
            <w:tcW w:w="8134" w:type="dxa"/>
            <w:gridSpan w:val="5"/>
            <w:shd w:val="clear" w:color="auto" w:fill="F2F2F2" w:themeFill="background1" w:themeFillShade="F2"/>
          </w:tcPr>
          <w:p w14:paraId="0BBAB1BD" w14:textId="77777777" w:rsidR="007F3C1E" w:rsidRPr="007F3C1E" w:rsidRDefault="007F3C1E" w:rsidP="007F3C1E">
            <w:pPr>
              <w:autoSpaceDE w:val="0"/>
              <w:autoSpaceDN w:val="0"/>
              <w:adjustRightInd w:val="0"/>
              <w:spacing w:after="0" w:line="480" w:lineRule="auto"/>
              <w:ind w:left="60" w:right="60"/>
              <w:rPr>
                <w:rFonts w:eastAsia="Calibri" w:cs="Arial"/>
                <w:b/>
                <w:color w:val="000000"/>
              </w:rPr>
            </w:pPr>
            <w:r w:rsidRPr="007F3C1E">
              <w:rPr>
                <w:rFonts w:eastAsia="Calibri" w:cs="Arial"/>
                <w:b/>
                <w:color w:val="000000"/>
              </w:rPr>
              <w:t xml:space="preserve">     </w:t>
            </w:r>
          </w:p>
          <w:p w14:paraId="14414B0C" w14:textId="77777777" w:rsidR="007F3C1E" w:rsidRPr="007F3C1E" w:rsidRDefault="007F3C1E" w:rsidP="007F3C1E">
            <w:pPr>
              <w:autoSpaceDE w:val="0"/>
              <w:autoSpaceDN w:val="0"/>
              <w:adjustRightInd w:val="0"/>
              <w:spacing w:after="0" w:line="480" w:lineRule="auto"/>
              <w:ind w:left="60" w:right="60"/>
              <w:jc w:val="center"/>
              <w:rPr>
                <w:rFonts w:eastAsia="Calibri" w:cs="Arial"/>
                <w:b/>
                <w:color w:val="000000"/>
              </w:rPr>
            </w:pPr>
            <w:r w:rsidRPr="007F3C1E">
              <w:rPr>
                <w:rFonts w:eastAsia="Calibri" w:cs="Times New Roman"/>
                <w:b/>
                <w:bCs/>
              </w:rPr>
              <w:t>Table 5: Degree of change in GAD-7 mean scores</w:t>
            </w:r>
          </w:p>
        </w:tc>
      </w:tr>
      <w:tr w:rsidR="007F3C1E" w:rsidRPr="007F3C1E" w14:paraId="70896682" w14:textId="77777777" w:rsidTr="00F30E67">
        <w:trPr>
          <w:cantSplit/>
          <w:trHeight w:val="355"/>
        </w:trPr>
        <w:tc>
          <w:tcPr>
            <w:tcW w:w="2222" w:type="dxa"/>
            <w:vMerge w:val="restart"/>
            <w:shd w:val="clear" w:color="auto" w:fill="F2F2F2" w:themeFill="background1" w:themeFillShade="F2"/>
          </w:tcPr>
          <w:p w14:paraId="27E7FE2A" w14:textId="77777777" w:rsidR="007F3C1E" w:rsidRPr="007F3C1E" w:rsidRDefault="007F3C1E" w:rsidP="007F3C1E">
            <w:pPr>
              <w:autoSpaceDE w:val="0"/>
              <w:autoSpaceDN w:val="0"/>
              <w:adjustRightInd w:val="0"/>
              <w:spacing w:after="0" w:line="240" w:lineRule="auto"/>
              <w:rPr>
                <w:rFonts w:eastAsia="Calibri" w:cs="Times New Roman"/>
              </w:rPr>
            </w:pPr>
          </w:p>
          <w:p w14:paraId="0A0E5D63" w14:textId="77777777" w:rsidR="007F3C1E" w:rsidRPr="007F3C1E" w:rsidRDefault="007F3C1E" w:rsidP="007F3C1E">
            <w:pPr>
              <w:autoSpaceDE w:val="0"/>
              <w:autoSpaceDN w:val="0"/>
              <w:adjustRightInd w:val="0"/>
              <w:spacing w:after="0" w:line="240" w:lineRule="auto"/>
              <w:rPr>
                <w:rFonts w:eastAsia="Calibri" w:cs="Times New Roman"/>
                <w:b/>
              </w:rPr>
            </w:pPr>
            <w:r w:rsidRPr="007F3C1E">
              <w:rPr>
                <w:rFonts w:eastAsia="Calibri" w:cs="Times New Roman"/>
                <w:b/>
              </w:rPr>
              <w:t xml:space="preserve">     </w:t>
            </w:r>
          </w:p>
        </w:tc>
        <w:tc>
          <w:tcPr>
            <w:tcW w:w="5913" w:type="dxa"/>
            <w:gridSpan w:val="4"/>
            <w:shd w:val="clear" w:color="auto" w:fill="F2F2F2" w:themeFill="background1" w:themeFillShade="F2"/>
          </w:tcPr>
          <w:p w14:paraId="6421676B" w14:textId="77777777" w:rsidR="007F3C1E" w:rsidRPr="007F3C1E" w:rsidRDefault="007F3C1E" w:rsidP="007F3C1E">
            <w:pPr>
              <w:autoSpaceDE w:val="0"/>
              <w:autoSpaceDN w:val="0"/>
              <w:adjustRightInd w:val="0"/>
              <w:spacing w:after="0" w:line="240" w:lineRule="auto"/>
              <w:ind w:left="60" w:right="60"/>
              <w:jc w:val="center"/>
              <w:rPr>
                <w:rFonts w:eastAsia="Calibri" w:cs="Arial"/>
                <w:b/>
                <w:color w:val="000000"/>
              </w:rPr>
            </w:pPr>
            <w:r w:rsidRPr="007F3C1E">
              <w:rPr>
                <w:rFonts w:eastAsia="Calibri" w:cs="Arial"/>
                <w:b/>
                <w:color w:val="000000"/>
              </w:rPr>
              <w:t>Treatment condition</w:t>
            </w:r>
          </w:p>
        </w:tc>
      </w:tr>
      <w:tr w:rsidR="007F3C1E" w:rsidRPr="007F3C1E" w14:paraId="5F88E750" w14:textId="77777777" w:rsidTr="00F30E67">
        <w:trPr>
          <w:cantSplit/>
          <w:trHeight w:val="161"/>
        </w:trPr>
        <w:tc>
          <w:tcPr>
            <w:tcW w:w="2222" w:type="dxa"/>
            <w:vMerge/>
            <w:shd w:val="clear" w:color="auto" w:fill="F2F2F2" w:themeFill="background1" w:themeFillShade="F2"/>
          </w:tcPr>
          <w:p w14:paraId="622E85FB" w14:textId="77777777" w:rsidR="007F3C1E" w:rsidRPr="007F3C1E" w:rsidRDefault="007F3C1E" w:rsidP="007F3C1E">
            <w:pPr>
              <w:autoSpaceDE w:val="0"/>
              <w:autoSpaceDN w:val="0"/>
              <w:adjustRightInd w:val="0"/>
              <w:spacing w:after="0" w:line="240" w:lineRule="auto"/>
              <w:rPr>
                <w:rFonts w:eastAsia="Calibri" w:cs="Arial"/>
                <w:color w:val="000000"/>
              </w:rPr>
            </w:pPr>
          </w:p>
        </w:tc>
        <w:tc>
          <w:tcPr>
            <w:tcW w:w="1478" w:type="dxa"/>
            <w:shd w:val="clear" w:color="auto" w:fill="F2F2F2" w:themeFill="background1" w:themeFillShade="F2"/>
          </w:tcPr>
          <w:p w14:paraId="2DD6D8A8"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HI-CBT</w:t>
            </w:r>
          </w:p>
          <w:p w14:paraId="26428325"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478" w:type="dxa"/>
            <w:shd w:val="clear" w:color="auto" w:fill="F2F2F2" w:themeFill="background1" w:themeFillShade="F2"/>
          </w:tcPr>
          <w:p w14:paraId="60ADDB4F"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LI-CBT</w:t>
            </w:r>
          </w:p>
          <w:p w14:paraId="08C360BC"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478" w:type="dxa"/>
            <w:shd w:val="clear" w:color="auto" w:fill="F2F2F2" w:themeFill="background1" w:themeFillShade="F2"/>
          </w:tcPr>
          <w:p w14:paraId="4A62C983"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SH</w:t>
            </w:r>
          </w:p>
          <w:p w14:paraId="4AD98FCA"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478" w:type="dxa"/>
            <w:shd w:val="clear" w:color="auto" w:fill="F2F2F2" w:themeFill="background1" w:themeFillShade="F2"/>
          </w:tcPr>
          <w:p w14:paraId="176E1320"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TAU</w:t>
            </w:r>
          </w:p>
          <w:p w14:paraId="74E064D3"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r>
      <w:tr w:rsidR="007F3C1E" w:rsidRPr="007F3C1E" w14:paraId="4744685E" w14:textId="77777777" w:rsidTr="00F30E67">
        <w:trPr>
          <w:cantSplit/>
          <w:trHeight w:val="376"/>
        </w:trPr>
        <w:tc>
          <w:tcPr>
            <w:tcW w:w="2222" w:type="dxa"/>
            <w:vMerge w:val="restart"/>
            <w:shd w:val="clear" w:color="auto" w:fill="F2F2F2" w:themeFill="background1" w:themeFillShade="F2"/>
          </w:tcPr>
          <w:p w14:paraId="221EE139" w14:textId="77777777" w:rsidR="007F3C1E" w:rsidRPr="007F3C1E" w:rsidRDefault="007F3C1E" w:rsidP="007F3C1E">
            <w:pPr>
              <w:autoSpaceDE w:val="0"/>
              <w:autoSpaceDN w:val="0"/>
              <w:adjustRightInd w:val="0"/>
              <w:spacing w:after="0" w:line="240" w:lineRule="auto"/>
              <w:ind w:right="60"/>
              <w:rPr>
                <w:rFonts w:eastAsia="Calibri" w:cs="Arial"/>
                <w:color w:val="000000" w:themeColor="text1"/>
              </w:rPr>
            </w:pPr>
            <w:r w:rsidRPr="007F3C1E">
              <w:rPr>
                <w:rFonts w:eastAsia="Calibri" w:cs="Arial"/>
                <w:color w:val="000000" w:themeColor="text1"/>
              </w:rPr>
              <w:t xml:space="preserve">           Baseline</w:t>
            </w:r>
          </w:p>
          <w:p w14:paraId="15B31689" w14:textId="77777777" w:rsidR="007F3C1E" w:rsidRPr="007F3C1E" w:rsidRDefault="007F3C1E" w:rsidP="007F3C1E">
            <w:pPr>
              <w:autoSpaceDE w:val="0"/>
              <w:autoSpaceDN w:val="0"/>
              <w:adjustRightInd w:val="0"/>
              <w:spacing w:after="0" w:line="240" w:lineRule="auto"/>
              <w:ind w:right="60"/>
              <w:rPr>
                <w:rFonts w:eastAsia="Calibri" w:cs="Arial"/>
                <w:color w:val="000000" w:themeColor="text1"/>
              </w:rPr>
            </w:pPr>
            <w:r w:rsidRPr="007F3C1E">
              <w:rPr>
                <w:rFonts w:eastAsia="Calibri" w:cs="Arial"/>
                <w:color w:val="000000" w:themeColor="text1"/>
              </w:rPr>
              <w:t xml:space="preserve">                   </w:t>
            </w:r>
            <w:r w:rsidRPr="007F3C1E">
              <w:rPr>
                <w:rFonts w:eastAsia="Calibri" w:cs="Arial"/>
                <w:color w:val="7F7F7F" w:themeColor="text1" w:themeTint="80"/>
              </w:rPr>
              <w:t>S.D.</w:t>
            </w:r>
          </w:p>
        </w:tc>
        <w:tc>
          <w:tcPr>
            <w:tcW w:w="1478" w:type="dxa"/>
            <w:shd w:val="clear" w:color="auto" w:fill="F2F2F2" w:themeFill="background1" w:themeFillShade="F2"/>
          </w:tcPr>
          <w:p w14:paraId="12743C8C"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7.8</w:t>
            </w:r>
          </w:p>
        </w:tc>
        <w:tc>
          <w:tcPr>
            <w:tcW w:w="1478" w:type="dxa"/>
            <w:shd w:val="clear" w:color="auto" w:fill="F2F2F2" w:themeFill="background1" w:themeFillShade="F2"/>
          </w:tcPr>
          <w:p w14:paraId="104371DF"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6.8</w:t>
            </w:r>
          </w:p>
        </w:tc>
        <w:tc>
          <w:tcPr>
            <w:tcW w:w="1478" w:type="dxa"/>
            <w:shd w:val="clear" w:color="auto" w:fill="F2F2F2" w:themeFill="background1" w:themeFillShade="F2"/>
          </w:tcPr>
          <w:p w14:paraId="06743588"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9.8</w:t>
            </w:r>
          </w:p>
        </w:tc>
        <w:tc>
          <w:tcPr>
            <w:tcW w:w="1478" w:type="dxa"/>
            <w:shd w:val="clear" w:color="auto" w:fill="F2F2F2" w:themeFill="background1" w:themeFillShade="F2"/>
          </w:tcPr>
          <w:p w14:paraId="33365AC1"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9.2</w:t>
            </w:r>
          </w:p>
        </w:tc>
      </w:tr>
      <w:tr w:rsidR="007F3C1E" w:rsidRPr="007F3C1E" w14:paraId="0598AB2A" w14:textId="77777777" w:rsidTr="00F30E67">
        <w:trPr>
          <w:cantSplit/>
          <w:trHeight w:val="161"/>
        </w:trPr>
        <w:tc>
          <w:tcPr>
            <w:tcW w:w="2222" w:type="dxa"/>
            <w:vMerge/>
            <w:shd w:val="clear" w:color="auto" w:fill="F2F2F2" w:themeFill="background1" w:themeFillShade="F2"/>
          </w:tcPr>
          <w:p w14:paraId="2664B837"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p>
        </w:tc>
        <w:tc>
          <w:tcPr>
            <w:tcW w:w="1478" w:type="dxa"/>
            <w:shd w:val="clear" w:color="auto" w:fill="F2F2F2" w:themeFill="background1" w:themeFillShade="F2"/>
          </w:tcPr>
          <w:p w14:paraId="00FBD633"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3.1</w:t>
            </w:r>
          </w:p>
        </w:tc>
        <w:tc>
          <w:tcPr>
            <w:tcW w:w="1478" w:type="dxa"/>
            <w:shd w:val="clear" w:color="auto" w:fill="F2F2F2" w:themeFill="background1" w:themeFillShade="F2"/>
          </w:tcPr>
          <w:p w14:paraId="58550930"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5.3</w:t>
            </w:r>
          </w:p>
        </w:tc>
        <w:tc>
          <w:tcPr>
            <w:tcW w:w="1478" w:type="dxa"/>
            <w:shd w:val="clear" w:color="auto" w:fill="F2F2F2" w:themeFill="background1" w:themeFillShade="F2"/>
          </w:tcPr>
          <w:p w14:paraId="514E6C26"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5.6</w:t>
            </w:r>
          </w:p>
        </w:tc>
        <w:tc>
          <w:tcPr>
            <w:tcW w:w="1478" w:type="dxa"/>
            <w:shd w:val="clear" w:color="auto" w:fill="F2F2F2" w:themeFill="background1" w:themeFillShade="F2"/>
          </w:tcPr>
          <w:p w14:paraId="4897E0D2"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4.8</w:t>
            </w:r>
          </w:p>
        </w:tc>
      </w:tr>
      <w:tr w:rsidR="007F3C1E" w:rsidRPr="007F3C1E" w14:paraId="06897779" w14:textId="77777777" w:rsidTr="00F30E67">
        <w:trPr>
          <w:cantSplit/>
          <w:trHeight w:val="355"/>
        </w:trPr>
        <w:tc>
          <w:tcPr>
            <w:tcW w:w="2222" w:type="dxa"/>
            <w:vMerge w:val="restart"/>
            <w:shd w:val="clear" w:color="auto" w:fill="F2F2F2" w:themeFill="background1" w:themeFillShade="F2"/>
          </w:tcPr>
          <w:p w14:paraId="4CEB19B0" w14:textId="77777777" w:rsidR="007F3C1E" w:rsidRPr="007F3C1E" w:rsidRDefault="007F3C1E" w:rsidP="007F3C1E">
            <w:pPr>
              <w:autoSpaceDE w:val="0"/>
              <w:autoSpaceDN w:val="0"/>
              <w:adjustRightInd w:val="0"/>
              <w:spacing w:after="0" w:line="240" w:lineRule="auto"/>
              <w:ind w:right="60"/>
              <w:rPr>
                <w:rFonts w:eastAsia="Calibri" w:cs="Arial"/>
                <w:color w:val="000000" w:themeColor="text1"/>
              </w:rPr>
            </w:pPr>
            <w:r w:rsidRPr="007F3C1E">
              <w:rPr>
                <w:rFonts w:eastAsia="Calibri" w:cs="Arial"/>
                <w:color w:val="000000" w:themeColor="text1"/>
              </w:rPr>
              <w:t xml:space="preserve">           26 weeks</w:t>
            </w:r>
          </w:p>
          <w:p w14:paraId="72454DF3" w14:textId="77777777" w:rsidR="007F3C1E" w:rsidRPr="007F3C1E" w:rsidRDefault="007F3C1E" w:rsidP="007F3C1E">
            <w:pPr>
              <w:autoSpaceDE w:val="0"/>
              <w:autoSpaceDN w:val="0"/>
              <w:adjustRightInd w:val="0"/>
              <w:spacing w:after="0" w:line="240" w:lineRule="auto"/>
              <w:ind w:right="60"/>
              <w:rPr>
                <w:rFonts w:eastAsia="Calibri" w:cs="Arial"/>
                <w:color w:val="000000" w:themeColor="text1"/>
              </w:rPr>
            </w:pPr>
            <w:r w:rsidRPr="007F3C1E">
              <w:rPr>
                <w:rFonts w:eastAsia="Calibri" w:cs="Arial"/>
                <w:color w:val="7F7F7F" w:themeColor="text1" w:themeTint="80"/>
              </w:rPr>
              <w:t xml:space="preserve">                   S.D.</w:t>
            </w:r>
          </w:p>
        </w:tc>
        <w:tc>
          <w:tcPr>
            <w:tcW w:w="1478" w:type="dxa"/>
            <w:shd w:val="clear" w:color="auto" w:fill="F2F2F2" w:themeFill="background1" w:themeFillShade="F2"/>
          </w:tcPr>
          <w:p w14:paraId="67CC5B63"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4.8</w:t>
            </w:r>
          </w:p>
        </w:tc>
        <w:tc>
          <w:tcPr>
            <w:tcW w:w="1478" w:type="dxa"/>
            <w:shd w:val="clear" w:color="auto" w:fill="F2F2F2" w:themeFill="background1" w:themeFillShade="F2"/>
          </w:tcPr>
          <w:p w14:paraId="25DAC566"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5.0</w:t>
            </w:r>
          </w:p>
        </w:tc>
        <w:tc>
          <w:tcPr>
            <w:tcW w:w="1478" w:type="dxa"/>
            <w:shd w:val="clear" w:color="auto" w:fill="F2F2F2" w:themeFill="background1" w:themeFillShade="F2"/>
          </w:tcPr>
          <w:p w14:paraId="54D3AB20"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7.4</w:t>
            </w:r>
          </w:p>
        </w:tc>
        <w:tc>
          <w:tcPr>
            <w:tcW w:w="1478" w:type="dxa"/>
            <w:shd w:val="clear" w:color="auto" w:fill="F2F2F2" w:themeFill="background1" w:themeFillShade="F2"/>
          </w:tcPr>
          <w:p w14:paraId="5758D8FE"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7.8</w:t>
            </w:r>
          </w:p>
        </w:tc>
      </w:tr>
      <w:tr w:rsidR="007F3C1E" w:rsidRPr="007F3C1E" w14:paraId="786682FC" w14:textId="77777777" w:rsidTr="00F30E67">
        <w:trPr>
          <w:cantSplit/>
          <w:trHeight w:val="161"/>
        </w:trPr>
        <w:tc>
          <w:tcPr>
            <w:tcW w:w="2222" w:type="dxa"/>
            <w:vMerge/>
            <w:shd w:val="clear" w:color="auto" w:fill="F2F2F2" w:themeFill="background1" w:themeFillShade="F2"/>
          </w:tcPr>
          <w:p w14:paraId="62B8FF59" w14:textId="77777777" w:rsidR="007F3C1E" w:rsidRPr="007F3C1E" w:rsidRDefault="007F3C1E" w:rsidP="007F3C1E">
            <w:pPr>
              <w:autoSpaceDE w:val="0"/>
              <w:autoSpaceDN w:val="0"/>
              <w:adjustRightInd w:val="0"/>
              <w:spacing w:after="0" w:line="240" w:lineRule="auto"/>
              <w:ind w:right="60"/>
              <w:rPr>
                <w:rFonts w:eastAsia="Calibri" w:cs="Arial"/>
                <w:color w:val="000000" w:themeColor="text1"/>
              </w:rPr>
            </w:pPr>
          </w:p>
        </w:tc>
        <w:tc>
          <w:tcPr>
            <w:tcW w:w="1478" w:type="dxa"/>
            <w:shd w:val="clear" w:color="auto" w:fill="F2F2F2" w:themeFill="background1" w:themeFillShade="F2"/>
          </w:tcPr>
          <w:p w14:paraId="6E28E17B"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5.9</w:t>
            </w:r>
          </w:p>
        </w:tc>
        <w:tc>
          <w:tcPr>
            <w:tcW w:w="1478" w:type="dxa"/>
            <w:shd w:val="clear" w:color="auto" w:fill="F2F2F2" w:themeFill="background1" w:themeFillShade="F2"/>
          </w:tcPr>
          <w:p w14:paraId="315F17F5"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4.9</w:t>
            </w:r>
          </w:p>
        </w:tc>
        <w:tc>
          <w:tcPr>
            <w:tcW w:w="1478" w:type="dxa"/>
            <w:shd w:val="clear" w:color="auto" w:fill="F2F2F2" w:themeFill="background1" w:themeFillShade="F2"/>
          </w:tcPr>
          <w:p w14:paraId="2826D79D"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6.9</w:t>
            </w:r>
          </w:p>
        </w:tc>
        <w:tc>
          <w:tcPr>
            <w:tcW w:w="1478" w:type="dxa"/>
            <w:shd w:val="clear" w:color="auto" w:fill="F2F2F2" w:themeFill="background1" w:themeFillShade="F2"/>
          </w:tcPr>
          <w:p w14:paraId="752A720E"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5.5</w:t>
            </w:r>
          </w:p>
        </w:tc>
      </w:tr>
      <w:tr w:rsidR="007F3C1E" w:rsidRPr="007F3C1E" w14:paraId="73192638" w14:textId="77777777" w:rsidTr="00F30E67">
        <w:trPr>
          <w:cantSplit/>
          <w:trHeight w:val="376"/>
        </w:trPr>
        <w:tc>
          <w:tcPr>
            <w:tcW w:w="2222" w:type="dxa"/>
            <w:vMerge w:val="restart"/>
            <w:shd w:val="clear" w:color="auto" w:fill="F2F2F2" w:themeFill="background1" w:themeFillShade="F2"/>
          </w:tcPr>
          <w:p w14:paraId="0FBC0026"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Change</w:t>
            </w:r>
          </w:p>
          <w:p w14:paraId="3A5E7C5C" w14:textId="77777777" w:rsidR="007F3C1E" w:rsidRPr="007F3C1E" w:rsidRDefault="007F3C1E" w:rsidP="007F3C1E">
            <w:pPr>
              <w:autoSpaceDE w:val="0"/>
              <w:autoSpaceDN w:val="0"/>
              <w:adjustRightInd w:val="0"/>
              <w:spacing w:after="0" w:line="240" w:lineRule="auto"/>
              <w:ind w:left="60" w:right="60"/>
              <w:rPr>
                <w:rFonts w:eastAsia="Calibri" w:cs="Arial"/>
                <w:color w:val="7F7F7F" w:themeColor="text1" w:themeTint="80"/>
              </w:rPr>
            </w:pPr>
            <w:r w:rsidRPr="007F3C1E">
              <w:rPr>
                <w:rFonts w:eastAsia="Calibri" w:cs="Arial"/>
                <w:color w:val="000000" w:themeColor="text1"/>
              </w:rPr>
              <w:t xml:space="preserve">                  </w:t>
            </w:r>
            <w:r w:rsidRPr="007F3C1E">
              <w:rPr>
                <w:rFonts w:eastAsia="Calibri" w:cs="Arial"/>
                <w:color w:val="7F7F7F" w:themeColor="text1" w:themeTint="80"/>
              </w:rPr>
              <w:t>S.D.</w:t>
            </w:r>
          </w:p>
        </w:tc>
        <w:tc>
          <w:tcPr>
            <w:tcW w:w="1478" w:type="dxa"/>
            <w:shd w:val="clear" w:color="auto" w:fill="F2F2F2" w:themeFill="background1" w:themeFillShade="F2"/>
          </w:tcPr>
          <w:p w14:paraId="55D5A4FF"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-3.0</w:t>
            </w:r>
          </w:p>
        </w:tc>
        <w:tc>
          <w:tcPr>
            <w:tcW w:w="1478" w:type="dxa"/>
            <w:shd w:val="clear" w:color="auto" w:fill="F2F2F2" w:themeFill="background1" w:themeFillShade="F2"/>
          </w:tcPr>
          <w:p w14:paraId="0027A0BC"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-1.8</w:t>
            </w:r>
          </w:p>
        </w:tc>
        <w:tc>
          <w:tcPr>
            <w:tcW w:w="1478" w:type="dxa"/>
            <w:shd w:val="clear" w:color="auto" w:fill="F2F2F2" w:themeFill="background1" w:themeFillShade="F2"/>
          </w:tcPr>
          <w:p w14:paraId="0B4DF476"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-2.4</w:t>
            </w:r>
          </w:p>
        </w:tc>
        <w:tc>
          <w:tcPr>
            <w:tcW w:w="1478" w:type="dxa"/>
            <w:shd w:val="clear" w:color="auto" w:fill="F2F2F2" w:themeFill="background1" w:themeFillShade="F2"/>
          </w:tcPr>
          <w:p w14:paraId="48A81422"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-1.4</w:t>
            </w:r>
          </w:p>
        </w:tc>
      </w:tr>
      <w:tr w:rsidR="007F3C1E" w:rsidRPr="007F3C1E" w14:paraId="6C9A2864" w14:textId="77777777" w:rsidTr="00F30E67">
        <w:trPr>
          <w:cantSplit/>
          <w:trHeight w:val="684"/>
        </w:trPr>
        <w:tc>
          <w:tcPr>
            <w:tcW w:w="2222" w:type="dxa"/>
            <w:vMerge/>
            <w:shd w:val="clear" w:color="auto" w:fill="F2F2F2" w:themeFill="background1" w:themeFillShade="F2"/>
            <w:vAlign w:val="center"/>
          </w:tcPr>
          <w:p w14:paraId="26DC2702"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p>
        </w:tc>
        <w:tc>
          <w:tcPr>
            <w:tcW w:w="1478" w:type="dxa"/>
            <w:shd w:val="clear" w:color="auto" w:fill="F2F2F2" w:themeFill="background1" w:themeFillShade="F2"/>
          </w:tcPr>
          <w:p w14:paraId="66D14A85"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3.4</w:t>
            </w:r>
          </w:p>
        </w:tc>
        <w:tc>
          <w:tcPr>
            <w:tcW w:w="1478" w:type="dxa"/>
            <w:shd w:val="clear" w:color="auto" w:fill="F2F2F2" w:themeFill="background1" w:themeFillShade="F2"/>
          </w:tcPr>
          <w:p w14:paraId="0624C582"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3.5</w:t>
            </w:r>
          </w:p>
        </w:tc>
        <w:tc>
          <w:tcPr>
            <w:tcW w:w="1478" w:type="dxa"/>
            <w:shd w:val="clear" w:color="auto" w:fill="F2F2F2" w:themeFill="background1" w:themeFillShade="F2"/>
          </w:tcPr>
          <w:p w14:paraId="4BB9C300"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3.9</w:t>
            </w:r>
          </w:p>
        </w:tc>
        <w:tc>
          <w:tcPr>
            <w:tcW w:w="1478" w:type="dxa"/>
            <w:shd w:val="clear" w:color="auto" w:fill="F2F2F2" w:themeFill="background1" w:themeFillShade="F2"/>
          </w:tcPr>
          <w:p w14:paraId="307AA860"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1.9</w:t>
            </w:r>
          </w:p>
        </w:tc>
      </w:tr>
    </w:tbl>
    <w:p w14:paraId="710C6309" w14:textId="77777777" w:rsidR="00C354C4" w:rsidRPr="00586A09" w:rsidRDefault="00C354C4" w:rsidP="00586A09">
      <w:pPr>
        <w:spacing w:after="0" w:line="480" w:lineRule="auto"/>
        <w:rPr>
          <w:rFonts w:eastAsia="Calibri" w:cs="Times New Roman"/>
          <w:sz w:val="24"/>
          <w:szCs w:val="24"/>
        </w:rPr>
      </w:pPr>
    </w:p>
    <w:p w14:paraId="034040E4" w14:textId="77777777" w:rsidR="007F3C1E" w:rsidRDefault="007F3C1E" w:rsidP="00586A09">
      <w:pPr>
        <w:spacing w:after="0" w:line="480" w:lineRule="auto"/>
        <w:rPr>
          <w:rFonts w:eastAsia="Calibri" w:cs="Times New Roman"/>
          <w:sz w:val="24"/>
          <w:szCs w:val="24"/>
        </w:rPr>
      </w:pPr>
    </w:p>
    <w:p w14:paraId="53061E9A" w14:textId="77777777" w:rsidR="007F3C1E" w:rsidRDefault="007F3C1E" w:rsidP="00586A09">
      <w:pPr>
        <w:spacing w:after="0" w:line="480" w:lineRule="auto"/>
        <w:rPr>
          <w:rFonts w:eastAsia="Calibri" w:cs="Times New Roman"/>
          <w:sz w:val="24"/>
          <w:szCs w:val="24"/>
        </w:rPr>
      </w:pPr>
    </w:p>
    <w:p w14:paraId="2CD0E77F" w14:textId="77777777" w:rsidR="007F3C1E" w:rsidRDefault="007F3C1E" w:rsidP="00586A09">
      <w:pPr>
        <w:spacing w:after="0" w:line="480" w:lineRule="auto"/>
        <w:rPr>
          <w:rFonts w:eastAsia="Calibri" w:cs="Times New Roman"/>
          <w:sz w:val="24"/>
          <w:szCs w:val="24"/>
        </w:rPr>
      </w:pPr>
    </w:p>
    <w:p w14:paraId="654DACAE" w14:textId="77777777" w:rsidR="007F3C1E" w:rsidRDefault="007F3C1E" w:rsidP="00586A09">
      <w:pPr>
        <w:spacing w:after="0" w:line="480" w:lineRule="auto"/>
        <w:rPr>
          <w:rFonts w:eastAsia="Calibri" w:cs="Times New Roman"/>
          <w:sz w:val="24"/>
          <w:szCs w:val="24"/>
        </w:rPr>
      </w:pPr>
    </w:p>
    <w:p w14:paraId="6FE67C3B" w14:textId="77777777" w:rsidR="007F3C1E" w:rsidRDefault="007F3C1E" w:rsidP="00586A09">
      <w:pPr>
        <w:spacing w:after="0" w:line="480" w:lineRule="auto"/>
        <w:rPr>
          <w:rFonts w:eastAsia="Calibri" w:cs="Times New Roman"/>
          <w:sz w:val="24"/>
          <w:szCs w:val="24"/>
        </w:rPr>
      </w:pPr>
    </w:p>
    <w:p w14:paraId="7838C849" w14:textId="77777777" w:rsidR="007F3C1E" w:rsidRDefault="007F3C1E" w:rsidP="00586A09">
      <w:pPr>
        <w:spacing w:after="0" w:line="480" w:lineRule="auto"/>
        <w:rPr>
          <w:rFonts w:eastAsia="Calibri" w:cs="Times New Roman"/>
          <w:sz w:val="24"/>
          <w:szCs w:val="24"/>
        </w:rPr>
      </w:pPr>
    </w:p>
    <w:tbl>
      <w:tblPr>
        <w:tblpPr w:leftFromText="180" w:rightFromText="180" w:vertAnchor="text" w:horzAnchor="margin" w:tblpXSpec="center" w:tblpY="541"/>
        <w:tblW w:w="8185"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2233"/>
        <w:gridCol w:w="1433"/>
        <w:gridCol w:w="1543"/>
        <w:gridCol w:w="1433"/>
        <w:gridCol w:w="1543"/>
      </w:tblGrid>
      <w:tr w:rsidR="007F3C1E" w:rsidRPr="007F3C1E" w14:paraId="0D3B5F6E" w14:textId="77777777" w:rsidTr="00F30E67">
        <w:trPr>
          <w:cantSplit/>
          <w:trHeight w:val="362"/>
        </w:trPr>
        <w:tc>
          <w:tcPr>
            <w:tcW w:w="8185" w:type="dxa"/>
            <w:gridSpan w:val="5"/>
            <w:shd w:val="clear" w:color="auto" w:fill="F2F2F2" w:themeFill="background1" w:themeFillShade="F2"/>
          </w:tcPr>
          <w:p w14:paraId="3568853E" w14:textId="77777777" w:rsidR="007F3C1E" w:rsidRPr="007F3C1E" w:rsidRDefault="007F3C1E" w:rsidP="007F3C1E">
            <w:pPr>
              <w:autoSpaceDE w:val="0"/>
              <w:autoSpaceDN w:val="0"/>
              <w:adjustRightInd w:val="0"/>
              <w:spacing w:after="0" w:line="240" w:lineRule="auto"/>
              <w:ind w:right="60"/>
              <w:rPr>
                <w:rFonts w:eastAsia="Calibri" w:cs="Arial"/>
                <w:b/>
                <w:color w:val="000000"/>
              </w:rPr>
            </w:pPr>
          </w:p>
          <w:p w14:paraId="05CC6495" w14:textId="77777777" w:rsidR="007F3C1E" w:rsidRPr="007F3C1E" w:rsidRDefault="007F3C1E" w:rsidP="007F3C1E">
            <w:pPr>
              <w:autoSpaceDE w:val="0"/>
              <w:autoSpaceDN w:val="0"/>
              <w:adjustRightInd w:val="0"/>
              <w:spacing w:after="0" w:line="240" w:lineRule="auto"/>
              <w:ind w:right="60"/>
              <w:jc w:val="center"/>
              <w:rPr>
                <w:rFonts w:eastAsia="Calibri" w:cs="Arial"/>
                <w:b/>
                <w:color w:val="000000"/>
              </w:rPr>
            </w:pPr>
            <w:r w:rsidRPr="007F3C1E">
              <w:rPr>
                <w:rFonts w:eastAsia="Calibri" w:cs="Arial"/>
                <w:b/>
                <w:color w:val="000000"/>
              </w:rPr>
              <w:t>Table 6: Degree of change in PHQ-9 mean scores</w:t>
            </w:r>
          </w:p>
        </w:tc>
      </w:tr>
      <w:tr w:rsidR="007F3C1E" w:rsidRPr="007F3C1E" w14:paraId="6A905D0F" w14:textId="77777777" w:rsidTr="00F30E67">
        <w:trPr>
          <w:cantSplit/>
          <w:trHeight w:val="341"/>
        </w:trPr>
        <w:tc>
          <w:tcPr>
            <w:tcW w:w="2233" w:type="dxa"/>
            <w:vMerge w:val="restart"/>
            <w:shd w:val="clear" w:color="auto" w:fill="F2F2F2" w:themeFill="background1" w:themeFillShade="F2"/>
          </w:tcPr>
          <w:p w14:paraId="39C8B463" w14:textId="77777777" w:rsidR="007F3C1E" w:rsidRPr="007F3C1E" w:rsidRDefault="007F3C1E" w:rsidP="007F3C1E">
            <w:pPr>
              <w:autoSpaceDE w:val="0"/>
              <w:autoSpaceDN w:val="0"/>
              <w:adjustRightInd w:val="0"/>
              <w:spacing w:after="0" w:line="240" w:lineRule="auto"/>
              <w:rPr>
                <w:rFonts w:eastAsia="Calibri" w:cs="Times New Roman"/>
              </w:rPr>
            </w:pPr>
          </w:p>
          <w:p w14:paraId="63BD00FF" w14:textId="77777777" w:rsidR="007F3C1E" w:rsidRPr="007F3C1E" w:rsidRDefault="007F3C1E" w:rsidP="007F3C1E">
            <w:pPr>
              <w:autoSpaceDE w:val="0"/>
              <w:autoSpaceDN w:val="0"/>
              <w:adjustRightInd w:val="0"/>
              <w:spacing w:after="0" w:line="240" w:lineRule="auto"/>
              <w:rPr>
                <w:rFonts w:eastAsia="Calibri" w:cs="Times New Roman"/>
                <w:b/>
              </w:rPr>
            </w:pPr>
            <w:r w:rsidRPr="007F3C1E">
              <w:rPr>
                <w:rFonts w:eastAsia="Calibri" w:cs="Times New Roman"/>
              </w:rPr>
              <w:t xml:space="preserve">     </w:t>
            </w:r>
          </w:p>
        </w:tc>
        <w:tc>
          <w:tcPr>
            <w:tcW w:w="5952" w:type="dxa"/>
            <w:gridSpan w:val="4"/>
            <w:shd w:val="clear" w:color="auto" w:fill="F2F2F2" w:themeFill="background1" w:themeFillShade="F2"/>
          </w:tcPr>
          <w:p w14:paraId="64DC17F7" w14:textId="77777777" w:rsidR="007F3C1E" w:rsidRPr="007F3C1E" w:rsidRDefault="007F3C1E" w:rsidP="007F3C1E">
            <w:pPr>
              <w:autoSpaceDE w:val="0"/>
              <w:autoSpaceDN w:val="0"/>
              <w:adjustRightInd w:val="0"/>
              <w:spacing w:after="0" w:line="240" w:lineRule="auto"/>
              <w:ind w:left="60" w:right="60"/>
              <w:jc w:val="center"/>
              <w:rPr>
                <w:rFonts w:eastAsia="Calibri" w:cs="Arial"/>
                <w:b/>
                <w:color w:val="000000"/>
              </w:rPr>
            </w:pPr>
            <w:r w:rsidRPr="007F3C1E">
              <w:rPr>
                <w:rFonts w:eastAsia="Calibri" w:cs="Arial"/>
                <w:b/>
                <w:color w:val="000000"/>
              </w:rPr>
              <w:t>Treatment condition</w:t>
            </w:r>
          </w:p>
        </w:tc>
      </w:tr>
      <w:tr w:rsidR="007F3C1E" w:rsidRPr="007F3C1E" w14:paraId="7EDB66B5" w14:textId="77777777" w:rsidTr="00F30E67">
        <w:trPr>
          <w:cantSplit/>
          <w:trHeight w:val="155"/>
        </w:trPr>
        <w:tc>
          <w:tcPr>
            <w:tcW w:w="2233" w:type="dxa"/>
            <w:vMerge/>
            <w:shd w:val="clear" w:color="auto" w:fill="F2F2F2" w:themeFill="background1" w:themeFillShade="F2"/>
          </w:tcPr>
          <w:p w14:paraId="3F4EEBBB" w14:textId="77777777" w:rsidR="007F3C1E" w:rsidRPr="007F3C1E" w:rsidRDefault="007F3C1E" w:rsidP="007F3C1E">
            <w:pPr>
              <w:autoSpaceDE w:val="0"/>
              <w:autoSpaceDN w:val="0"/>
              <w:adjustRightInd w:val="0"/>
              <w:spacing w:after="0" w:line="240" w:lineRule="auto"/>
              <w:rPr>
                <w:rFonts w:eastAsia="Calibri" w:cs="Arial"/>
                <w:color w:val="000000"/>
              </w:rPr>
            </w:pPr>
          </w:p>
        </w:tc>
        <w:tc>
          <w:tcPr>
            <w:tcW w:w="1433" w:type="dxa"/>
            <w:shd w:val="clear" w:color="auto" w:fill="F2F2F2" w:themeFill="background1" w:themeFillShade="F2"/>
          </w:tcPr>
          <w:p w14:paraId="51B63242"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HI-CBT</w:t>
            </w:r>
          </w:p>
          <w:p w14:paraId="55B2F933"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543" w:type="dxa"/>
            <w:shd w:val="clear" w:color="auto" w:fill="F2F2F2" w:themeFill="background1" w:themeFillShade="F2"/>
          </w:tcPr>
          <w:p w14:paraId="4E0EF098"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LI-CBT</w:t>
            </w:r>
          </w:p>
          <w:p w14:paraId="2E30D39B"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433" w:type="dxa"/>
            <w:shd w:val="clear" w:color="auto" w:fill="F2F2F2" w:themeFill="background1" w:themeFillShade="F2"/>
          </w:tcPr>
          <w:p w14:paraId="2232B9BA"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SH</w:t>
            </w:r>
          </w:p>
          <w:p w14:paraId="0F0BD4F0"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c>
          <w:tcPr>
            <w:tcW w:w="1543" w:type="dxa"/>
            <w:shd w:val="clear" w:color="auto" w:fill="F2F2F2" w:themeFill="background1" w:themeFillShade="F2"/>
          </w:tcPr>
          <w:p w14:paraId="53F4AFC9"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TAU</w:t>
            </w:r>
          </w:p>
          <w:p w14:paraId="6D089F7D" w14:textId="77777777" w:rsidR="007F3C1E" w:rsidRPr="007F3C1E" w:rsidRDefault="007F3C1E" w:rsidP="007F3C1E">
            <w:pPr>
              <w:autoSpaceDE w:val="0"/>
              <w:autoSpaceDN w:val="0"/>
              <w:adjustRightInd w:val="0"/>
              <w:spacing w:after="0" w:line="240" w:lineRule="auto"/>
              <w:ind w:left="60" w:right="60"/>
              <w:rPr>
                <w:rFonts w:eastAsia="Calibri" w:cs="Arial"/>
                <w:color w:val="000000"/>
                <w:u w:val="single"/>
              </w:rPr>
            </w:pPr>
            <w:r w:rsidRPr="007F3C1E">
              <w:rPr>
                <w:rFonts w:eastAsia="Calibri" w:cs="Times New Roman"/>
                <w:color w:val="808080" w:themeColor="background1" w:themeShade="80"/>
              </w:rPr>
              <w:t>(</w:t>
            </w:r>
            <w:r w:rsidRPr="007F3C1E">
              <w:rPr>
                <w:rFonts w:eastAsia="Calibri" w:cs="Times New Roman"/>
                <w:i/>
                <w:color w:val="808080" w:themeColor="background1" w:themeShade="80"/>
              </w:rPr>
              <w:t>n</w:t>
            </w:r>
            <w:r w:rsidRPr="007F3C1E">
              <w:rPr>
                <w:rFonts w:eastAsia="Calibri" w:cs="Times New Roman"/>
                <w:color w:val="808080" w:themeColor="background1" w:themeShade="80"/>
              </w:rPr>
              <w:t xml:space="preserve"> = 5)</w:t>
            </w:r>
          </w:p>
        </w:tc>
      </w:tr>
      <w:tr w:rsidR="007F3C1E" w:rsidRPr="007F3C1E" w14:paraId="3161CBB9" w14:textId="77777777" w:rsidTr="00F30E67">
        <w:trPr>
          <w:cantSplit/>
          <w:trHeight w:val="362"/>
        </w:trPr>
        <w:tc>
          <w:tcPr>
            <w:tcW w:w="2233" w:type="dxa"/>
            <w:vMerge w:val="restart"/>
            <w:shd w:val="clear" w:color="auto" w:fill="F2F2F2" w:themeFill="background1" w:themeFillShade="F2"/>
          </w:tcPr>
          <w:p w14:paraId="420027F6"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Baseline</w:t>
            </w:r>
          </w:p>
          <w:p w14:paraId="1B09EC19"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S.D.</w:t>
            </w:r>
          </w:p>
        </w:tc>
        <w:tc>
          <w:tcPr>
            <w:tcW w:w="1433" w:type="dxa"/>
            <w:shd w:val="clear" w:color="auto" w:fill="F2F2F2" w:themeFill="background1" w:themeFillShade="F2"/>
          </w:tcPr>
          <w:p w14:paraId="66B34BDA"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10.2</w:t>
            </w:r>
          </w:p>
        </w:tc>
        <w:tc>
          <w:tcPr>
            <w:tcW w:w="1543" w:type="dxa"/>
            <w:shd w:val="clear" w:color="auto" w:fill="F2F2F2" w:themeFill="background1" w:themeFillShade="F2"/>
          </w:tcPr>
          <w:p w14:paraId="0771E30F"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8.4</w:t>
            </w:r>
          </w:p>
        </w:tc>
        <w:tc>
          <w:tcPr>
            <w:tcW w:w="1433" w:type="dxa"/>
            <w:shd w:val="clear" w:color="auto" w:fill="F2F2F2" w:themeFill="background1" w:themeFillShade="F2"/>
          </w:tcPr>
          <w:p w14:paraId="37206967"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11.2</w:t>
            </w:r>
          </w:p>
        </w:tc>
        <w:tc>
          <w:tcPr>
            <w:tcW w:w="1543" w:type="dxa"/>
            <w:shd w:val="clear" w:color="auto" w:fill="F2F2F2" w:themeFill="background1" w:themeFillShade="F2"/>
          </w:tcPr>
          <w:p w14:paraId="71785BAC"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13.0</w:t>
            </w:r>
          </w:p>
        </w:tc>
      </w:tr>
      <w:tr w:rsidR="007F3C1E" w:rsidRPr="007F3C1E" w14:paraId="5F7497C7" w14:textId="77777777" w:rsidTr="00F30E67">
        <w:trPr>
          <w:cantSplit/>
          <w:trHeight w:val="155"/>
        </w:trPr>
        <w:tc>
          <w:tcPr>
            <w:tcW w:w="2233" w:type="dxa"/>
            <w:vMerge/>
            <w:shd w:val="clear" w:color="auto" w:fill="F2F2F2" w:themeFill="background1" w:themeFillShade="F2"/>
          </w:tcPr>
          <w:p w14:paraId="0FD143F6"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p>
        </w:tc>
        <w:tc>
          <w:tcPr>
            <w:tcW w:w="1433" w:type="dxa"/>
            <w:shd w:val="clear" w:color="auto" w:fill="F2F2F2" w:themeFill="background1" w:themeFillShade="F2"/>
          </w:tcPr>
          <w:p w14:paraId="6A290058"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5.5</w:t>
            </w:r>
          </w:p>
        </w:tc>
        <w:tc>
          <w:tcPr>
            <w:tcW w:w="1543" w:type="dxa"/>
            <w:shd w:val="clear" w:color="auto" w:fill="F2F2F2" w:themeFill="background1" w:themeFillShade="F2"/>
          </w:tcPr>
          <w:p w14:paraId="41FF10DA"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6.6</w:t>
            </w:r>
          </w:p>
        </w:tc>
        <w:tc>
          <w:tcPr>
            <w:tcW w:w="1433" w:type="dxa"/>
            <w:shd w:val="clear" w:color="auto" w:fill="F2F2F2" w:themeFill="background1" w:themeFillShade="F2"/>
          </w:tcPr>
          <w:p w14:paraId="71364FB6"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6.3</w:t>
            </w:r>
          </w:p>
        </w:tc>
        <w:tc>
          <w:tcPr>
            <w:tcW w:w="1543" w:type="dxa"/>
            <w:shd w:val="clear" w:color="auto" w:fill="F2F2F2" w:themeFill="background1" w:themeFillShade="F2"/>
          </w:tcPr>
          <w:p w14:paraId="4B9CF520"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6.6</w:t>
            </w:r>
          </w:p>
        </w:tc>
      </w:tr>
      <w:tr w:rsidR="007F3C1E" w:rsidRPr="007F3C1E" w14:paraId="0060293E" w14:textId="77777777" w:rsidTr="00F30E67">
        <w:trPr>
          <w:cantSplit/>
          <w:trHeight w:val="341"/>
        </w:trPr>
        <w:tc>
          <w:tcPr>
            <w:tcW w:w="2233" w:type="dxa"/>
            <w:vMerge w:val="restart"/>
            <w:shd w:val="clear" w:color="auto" w:fill="F2F2F2" w:themeFill="background1" w:themeFillShade="F2"/>
          </w:tcPr>
          <w:p w14:paraId="16EF8E41"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26 weeks</w:t>
            </w:r>
          </w:p>
          <w:p w14:paraId="7F3108BC"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S.D.</w:t>
            </w:r>
          </w:p>
        </w:tc>
        <w:tc>
          <w:tcPr>
            <w:tcW w:w="1433" w:type="dxa"/>
            <w:shd w:val="clear" w:color="auto" w:fill="F2F2F2" w:themeFill="background1" w:themeFillShade="F2"/>
          </w:tcPr>
          <w:p w14:paraId="17290C2F"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6.8</w:t>
            </w:r>
          </w:p>
        </w:tc>
        <w:tc>
          <w:tcPr>
            <w:tcW w:w="1543" w:type="dxa"/>
            <w:shd w:val="clear" w:color="auto" w:fill="F2F2F2" w:themeFill="background1" w:themeFillShade="F2"/>
          </w:tcPr>
          <w:p w14:paraId="1CC53288"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6.8</w:t>
            </w:r>
          </w:p>
        </w:tc>
        <w:tc>
          <w:tcPr>
            <w:tcW w:w="1433" w:type="dxa"/>
            <w:shd w:val="clear" w:color="auto" w:fill="F2F2F2" w:themeFill="background1" w:themeFillShade="F2"/>
          </w:tcPr>
          <w:p w14:paraId="54303B82"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9.2</w:t>
            </w:r>
          </w:p>
        </w:tc>
        <w:tc>
          <w:tcPr>
            <w:tcW w:w="1543" w:type="dxa"/>
            <w:shd w:val="clear" w:color="auto" w:fill="F2F2F2" w:themeFill="background1" w:themeFillShade="F2"/>
          </w:tcPr>
          <w:p w14:paraId="5967DB98"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r w:rsidRPr="007F3C1E">
              <w:rPr>
                <w:rFonts w:eastAsia="Calibri" w:cs="Arial"/>
                <w:color w:val="000000"/>
              </w:rPr>
              <w:t>11.6</w:t>
            </w:r>
          </w:p>
        </w:tc>
      </w:tr>
      <w:tr w:rsidR="007F3C1E" w:rsidRPr="007F3C1E" w14:paraId="41680CE4" w14:textId="77777777" w:rsidTr="00F30E67">
        <w:trPr>
          <w:cantSplit/>
          <w:trHeight w:val="155"/>
        </w:trPr>
        <w:tc>
          <w:tcPr>
            <w:tcW w:w="2233" w:type="dxa"/>
            <w:vMerge/>
            <w:shd w:val="clear" w:color="auto" w:fill="F2F2F2" w:themeFill="background1" w:themeFillShade="F2"/>
          </w:tcPr>
          <w:p w14:paraId="041AECE5"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p>
        </w:tc>
        <w:tc>
          <w:tcPr>
            <w:tcW w:w="1433" w:type="dxa"/>
            <w:shd w:val="clear" w:color="auto" w:fill="F2F2F2" w:themeFill="background1" w:themeFillShade="F2"/>
          </w:tcPr>
          <w:p w14:paraId="17FEB79B"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7.4</w:t>
            </w:r>
          </w:p>
        </w:tc>
        <w:tc>
          <w:tcPr>
            <w:tcW w:w="1543" w:type="dxa"/>
            <w:shd w:val="clear" w:color="auto" w:fill="F2F2F2" w:themeFill="background1" w:themeFillShade="F2"/>
          </w:tcPr>
          <w:p w14:paraId="21D66FD1"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7.5</w:t>
            </w:r>
          </w:p>
        </w:tc>
        <w:tc>
          <w:tcPr>
            <w:tcW w:w="1433" w:type="dxa"/>
            <w:shd w:val="clear" w:color="auto" w:fill="F2F2F2" w:themeFill="background1" w:themeFillShade="F2"/>
          </w:tcPr>
          <w:p w14:paraId="3A8C628E"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6.9</w:t>
            </w:r>
          </w:p>
        </w:tc>
        <w:tc>
          <w:tcPr>
            <w:tcW w:w="1543" w:type="dxa"/>
            <w:shd w:val="clear" w:color="auto" w:fill="F2F2F2" w:themeFill="background1" w:themeFillShade="F2"/>
          </w:tcPr>
          <w:p w14:paraId="36ADB791"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5.8</w:t>
            </w:r>
          </w:p>
        </w:tc>
      </w:tr>
      <w:tr w:rsidR="007F3C1E" w:rsidRPr="007F3C1E" w14:paraId="771E8B12" w14:textId="77777777" w:rsidTr="00F30E67">
        <w:trPr>
          <w:cantSplit/>
          <w:trHeight w:val="362"/>
        </w:trPr>
        <w:tc>
          <w:tcPr>
            <w:tcW w:w="2233" w:type="dxa"/>
            <w:vMerge w:val="restart"/>
            <w:shd w:val="clear" w:color="auto" w:fill="F2F2F2" w:themeFill="background1" w:themeFillShade="F2"/>
          </w:tcPr>
          <w:p w14:paraId="4FC37127"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Change</w:t>
            </w:r>
          </w:p>
          <w:p w14:paraId="17D8B558" w14:textId="77777777" w:rsidR="007F3C1E" w:rsidRPr="007F3C1E" w:rsidRDefault="007F3C1E" w:rsidP="007F3C1E">
            <w:pPr>
              <w:autoSpaceDE w:val="0"/>
              <w:autoSpaceDN w:val="0"/>
              <w:adjustRightInd w:val="0"/>
              <w:spacing w:after="0" w:line="240" w:lineRule="auto"/>
              <w:ind w:left="60" w:right="60"/>
              <w:rPr>
                <w:rFonts w:eastAsia="Calibri" w:cs="Arial"/>
                <w:color w:val="000000" w:themeColor="text1"/>
              </w:rPr>
            </w:pPr>
            <w:r w:rsidRPr="007F3C1E">
              <w:rPr>
                <w:rFonts w:eastAsia="Calibri" w:cs="Arial"/>
                <w:color w:val="000000" w:themeColor="text1"/>
              </w:rPr>
              <w:t xml:space="preserve">                   S.D.</w:t>
            </w:r>
          </w:p>
        </w:tc>
        <w:tc>
          <w:tcPr>
            <w:tcW w:w="1433" w:type="dxa"/>
            <w:shd w:val="clear" w:color="auto" w:fill="F2F2F2" w:themeFill="background1" w:themeFillShade="F2"/>
          </w:tcPr>
          <w:p w14:paraId="6FB1B214"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-3.4</w:t>
            </w:r>
          </w:p>
        </w:tc>
        <w:tc>
          <w:tcPr>
            <w:tcW w:w="1543" w:type="dxa"/>
            <w:shd w:val="clear" w:color="auto" w:fill="F2F2F2" w:themeFill="background1" w:themeFillShade="F2"/>
          </w:tcPr>
          <w:p w14:paraId="0F09A38D"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-1.6</w:t>
            </w:r>
          </w:p>
        </w:tc>
        <w:tc>
          <w:tcPr>
            <w:tcW w:w="1433" w:type="dxa"/>
            <w:shd w:val="clear" w:color="auto" w:fill="F2F2F2" w:themeFill="background1" w:themeFillShade="F2"/>
          </w:tcPr>
          <w:p w14:paraId="7FD41C7B"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-2.0</w:t>
            </w:r>
          </w:p>
        </w:tc>
        <w:tc>
          <w:tcPr>
            <w:tcW w:w="1543" w:type="dxa"/>
            <w:shd w:val="clear" w:color="auto" w:fill="F2F2F2" w:themeFill="background1" w:themeFillShade="F2"/>
          </w:tcPr>
          <w:p w14:paraId="075586BC" w14:textId="77777777" w:rsidR="007F3C1E" w:rsidRPr="007F3C1E" w:rsidRDefault="007F3C1E" w:rsidP="007F3C1E">
            <w:pPr>
              <w:autoSpaceDE w:val="0"/>
              <w:autoSpaceDN w:val="0"/>
              <w:adjustRightInd w:val="0"/>
              <w:spacing w:after="0" w:line="240" w:lineRule="auto"/>
              <w:ind w:left="60" w:right="60"/>
              <w:rPr>
                <w:rFonts w:eastAsia="Calibri" w:cs="Arial"/>
                <w:b/>
                <w:color w:val="000000"/>
              </w:rPr>
            </w:pPr>
            <w:r w:rsidRPr="007F3C1E">
              <w:rPr>
                <w:rFonts w:eastAsia="Calibri" w:cs="Arial"/>
                <w:b/>
                <w:color w:val="000000"/>
              </w:rPr>
              <w:t>-1.4</w:t>
            </w:r>
          </w:p>
        </w:tc>
      </w:tr>
      <w:tr w:rsidR="007F3C1E" w:rsidRPr="007F3C1E" w14:paraId="4F3469C2" w14:textId="77777777" w:rsidTr="00F30E67">
        <w:trPr>
          <w:cantSplit/>
          <w:trHeight w:val="155"/>
        </w:trPr>
        <w:tc>
          <w:tcPr>
            <w:tcW w:w="2233" w:type="dxa"/>
            <w:vMerge/>
            <w:shd w:val="clear" w:color="auto" w:fill="F2F2F2" w:themeFill="background1" w:themeFillShade="F2"/>
            <w:vAlign w:val="center"/>
          </w:tcPr>
          <w:p w14:paraId="69CA3B41" w14:textId="77777777" w:rsidR="007F3C1E" w:rsidRPr="007F3C1E" w:rsidRDefault="007F3C1E" w:rsidP="007F3C1E">
            <w:pPr>
              <w:autoSpaceDE w:val="0"/>
              <w:autoSpaceDN w:val="0"/>
              <w:adjustRightInd w:val="0"/>
              <w:spacing w:after="0" w:line="240" w:lineRule="auto"/>
              <w:ind w:left="60" w:right="60"/>
              <w:rPr>
                <w:rFonts w:eastAsia="Calibri" w:cs="Arial"/>
                <w:color w:val="000000"/>
              </w:rPr>
            </w:pPr>
          </w:p>
        </w:tc>
        <w:tc>
          <w:tcPr>
            <w:tcW w:w="1433" w:type="dxa"/>
            <w:shd w:val="clear" w:color="auto" w:fill="F2F2F2" w:themeFill="background1" w:themeFillShade="F2"/>
          </w:tcPr>
          <w:p w14:paraId="0E50276D"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2.1</w:t>
            </w:r>
          </w:p>
        </w:tc>
        <w:tc>
          <w:tcPr>
            <w:tcW w:w="1543" w:type="dxa"/>
            <w:shd w:val="clear" w:color="auto" w:fill="F2F2F2" w:themeFill="background1" w:themeFillShade="F2"/>
          </w:tcPr>
          <w:p w14:paraId="340528E9"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4.0</w:t>
            </w:r>
          </w:p>
        </w:tc>
        <w:tc>
          <w:tcPr>
            <w:tcW w:w="1433" w:type="dxa"/>
            <w:shd w:val="clear" w:color="auto" w:fill="F2F2F2" w:themeFill="background1" w:themeFillShade="F2"/>
          </w:tcPr>
          <w:p w14:paraId="44FF41D8"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3.4</w:t>
            </w:r>
          </w:p>
        </w:tc>
        <w:tc>
          <w:tcPr>
            <w:tcW w:w="1543" w:type="dxa"/>
            <w:shd w:val="clear" w:color="auto" w:fill="F2F2F2" w:themeFill="background1" w:themeFillShade="F2"/>
          </w:tcPr>
          <w:p w14:paraId="0F8DD516" w14:textId="77777777" w:rsidR="007F3C1E" w:rsidRPr="007F3C1E" w:rsidRDefault="007F3C1E" w:rsidP="007F3C1E">
            <w:pPr>
              <w:autoSpaceDE w:val="0"/>
              <w:autoSpaceDN w:val="0"/>
              <w:adjustRightInd w:val="0"/>
              <w:spacing w:after="0" w:line="240" w:lineRule="auto"/>
              <w:ind w:left="60" w:right="60"/>
              <w:rPr>
                <w:rFonts w:eastAsia="Calibri" w:cs="Arial"/>
                <w:color w:val="595959" w:themeColor="text1" w:themeTint="A6"/>
              </w:rPr>
            </w:pPr>
            <w:r w:rsidRPr="007F3C1E">
              <w:rPr>
                <w:rFonts w:eastAsia="Calibri" w:cs="Arial"/>
                <w:color w:val="595959" w:themeColor="text1" w:themeTint="A6"/>
              </w:rPr>
              <w:t>3.4</w:t>
            </w:r>
          </w:p>
        </w:tc>
      </w:tr>
    </w:tbl>
    <w:p w14:paraId="28CA1D3B" w14:textId="77777777" w:rsidR="007F3C1E" w:rsidRDefault="007F3C1E" w:rsidP="00586A09">
      <w:pPr>
        <w:spacing w:after="0" w:line="480" w:lineRule="auto"/>
        <w:rPr>
          <w:rFonts w:eastAsia="Calibri" w:cs="Times New Roman"/>
          <w:sz w:val="24"/>
          <w:szCs w:val="24"/>
        </w:rPr>
      </w:pPr>
    </w:p>
    <w:p w14:paraId="6CD02D88" w14:textId="77777777" w:rsidR="007F3C1E" w:rsidRDefault="007F3C1E" w:rsidP="00586A09">
      <w:pPr>
        <w:spacing w:after="0" w:line="480" w:lineRule="auto"/>
        <w:rPr>
          <w:rFonts w:eastAsia="Calibri" w:cs="Times New Roman"/>
          <w:sz w:val="24"/>
          <w:szCs w:val="24"/>
        </w:rPr>
      </w:pPr>
    </w:p>
    <w:p w14:paraId="096FB717" w14:textId="77777777" w:rsidR="007F3C1E" w:rsidRDefault="007F3C1E" w:rsidP="00586A09">
      <w:pPr>
        <w:spacing w:after="0" w:line="480" w:lineRule="auto"/>
        <w:rPr>
          <w:rFonts w:eastAsia="Calibri" w:cs="Times New Roman"/>
          <w:sz w:val="24"/>
          <w:szCs w:val="24"/>
        </w:rPr>
      </w:pPr>
    </w:p>
    <w:p w14:paraId="1DCFAA6D" w14:textId="77777777" w:rsidR="007F3C1E" w:rsidRDefault="007F3C1E" w:rsidP="00586A09">
      <w:pPr>
        <w:spacing w:after="0" w:line="480" w:lineRule="auto"/>
        <w:rPr>
          <w:rFonts w:eastAsia="Calibri" w:cs="Times New Roman"/>
          <w:sz w:val="24"/>
          <w:szCs w:val="24"/>
        </w:rPr>
      </w:pPr>
    </w:p>
    <w:p w14:paraId="42C9CC7F" w14:textId="77777777" w:rsidR="007F3C1E" w:rsidRDefault="007F3C1E" w:rsidP="00586A09">
      <w:pPr>
        <w:spacing w:after="0" w:line="480" w:lineRule="auto"/>
        <w:rPr>
          <w:rFonts w:eastAsia="Calibri" w:cs="Times New Roman"/>
          <w:sz w:val="24"/>
          <w:szCs w:val="24"/>
        </w:rPr>
      </w:pPr>
    </w:p>
    <w:p w14:paraId="52B7071E" w14:textId="77777777" w:rsidR="007F3C1E" w:rsidRDefault="007F3C1E" w:rsidP="00586A09">
      <w:pPr>
        <w:spacing w:after="0" w:line="480" w:lineRule="auto"/>
        <w:rPr>
          <w:rFonts w:eastAsia="Calibri" w:cs="Times New Roman"/>
          <w:sz w:val="24"/>
          <w:szCs w:val="24"/>
        </w:rPr>
      </w:pPr>
    </w:p>
    <w:p w14:paraId="5298E1B7" w14:textId="77777777" w:rsidR="007F3C1E" w:rsidRDefault="007F3C1E" w:rsidP="00586A09">
      <w:pPr>
        <w:spacing w:after="0" w:line="480" w:lineRule="auto"/>
        <w:rPr>
          <w:rFonts w:eastAsia="Calibri" w:cs="Times New Roman"/>
          <w:sz w:val="24"/>
          <w:szCs w:val="24"/>
        </w:rPr>
      </w:pPr>
    </w:p>
    <w:p w14:paraId="4E17FED3" w14:textId="77777777" w:rsidR="007F3C1E" w:rsidRDefault="007F3C1E" w:rsidP="00586A09">
      <w:pPr>
        <w:spacing w:after="0" w:line="480" w:lineRule="auto"/>
        <w:rPr>
          <w:rFonts w:eastAsia="Calibri" w:cs="Times New Roman"/>
          <w:sz w:val="24"/>
          <w:szCs w:val="24"/>
        </w:rPr>
      </w:pPr>
    </w:p>
    <w:p w14:paraId="0997BA39" w14:textId="77777777" w:rsidR="007F3C1E" w:rsidRDefault="007F3C1E" w:rsidP="00586A09">
      <w:pPr>
        <w:spacing w:after="0" w:line="480" w:lineRule="auto"/>
        <w:rPr>
          <w:rFonts w:eastAsia="Calibri" w:cs="Times New Roman"/>
          <w:sz w:val="24"/>
          <w:szCs w:val="24"/>
        </w:rPr>
      </w:pPr>
    </w:p>
    <w:p w14:paraId="1CCFE0D2" w14:textId="77777777" w:rsidR="007F3C1E" w:rsidRDefault="007F3C1E" w:rsidP="00586A09">
      <w:pPr>
        <w:spacing w:after="0" w:line="480" w:lineRule="auto"/>
        <w:rPr>
          <w:rFonts w:eastAsia="Calibri" w:cs="Times New Roman"/>
          <w:sz w:val="24"/>
          <w:szCs w:val="24"/>
        </w:rPr>
      </w:pPr>
    </w:p>
    <w:p w14:paraId="6DF09009"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lastRenderedPageBreak/>
        <w:t xml:space="preserve">Participants within the HI-CBT condition experienced a mean change in depression of -3.4 points (S.D. = 2.1) compared to -1.6 (S.D. = 4.0) within LI-CBT, -2.0 (S.D. = 3.4) within SH and -1.4 (S.D. = 3.4) within TAU. These data demonstrate that all participants experienced some reduction in GAD-7 and PHQ-9 scores at 26 weeks, with the greatest reductions noted within the HI-CBT treatment condition. </w:t>
      </w:r>
    </w:p>
    <w:p w14:paraId="40D28881" w14:textId="77777777" w:rsidR="00C354C4" w:rsidRPr="00586A09" w:rsidRDefault="00C354C4" w:rsidP="00586A09">
      <w:pPr>
        <w:pStyle w:val="Heading2"/>
        <w:spacing w:line="480" w:lineRule="auto"/>
        <w:rPr>
          <w:rFonts w:eastAsia="Calibri"/>
          <w:sz w:val="24"/>
          <w:szCs w:val="24"/>
        </w:rPr>
      </w:pPr>
      <w:bookmarkStart w:id="25" w:name="_Toc476381614"/>
      <w:r w:rsidRPr="00586A09">
        <w:rPr>
          <w:rFonts w:eastAsia="Calibri"/>
          <w:sz w:val="24"/>
          <w:szCs w:val="24"/>
        </w:rPr>
        <w:t>Quality of life</w:t>
      </w:r>
      <w:bookmarkEnd w:id="25"/>
    </w:p>
    <w:p w14:paraId="67CB919B" w14:textId="77777777" w:rsidR="007F3C1E" w:rsidRDefault="00C354C4" w:rsidP="00586A09">
      <w:pPr>
        <w:spacing w:after="0" w:line="480" w:lineRule="auto"/>
        <w:rPr>
          <w:rFonts w:eastAsia="Calibri" w:cs="Times New Roman"/>
          <w:sz w:val="24"/>
          <w:szCs w:val="24"/>
        </w:rPr>
      </w:pPr>
      <w:r w:rsidRPr="00586A09">
        <w:rPr>
          <w:rFonts w:eastAsia="Calibri" w:cs="Times New Roman"/>
          <w:sz w:val="24"/>
          <w:szCs w:val="24"/>
        </w:rPr>
        <w:t>IBS-QOL scores improved by a mean of 23.1 (S.D. = 17.2) points for HI-CBT, 24.1 (S.D. = 23.5) for LI-CBT and by 9.9 (S.D. = 19.1) for the SH condition at 26 week follow up. Participants within the TAU condition experienced a deterioration in quality of life with a mean score reduction of -3.8 points (S.D. = 9.1).</w:t>
      </w:r>
    </w:p>
    <w:p w14:paraId="079DD1DC" w14:textId="77777777" w:rsidR="007F3C1E" w:rsidRDefault="007F3C1E" w:rsidP="00586A09">
      <w:pPr>
        <w:spacing w:after="0" w:line="480" w:lineRule="auto"/>
        <w:rPr>
          <w:rFonts w:eastAsia="Calibri" w:cs="Times New Roman"/>
          <w:sz w:val="24"/>
          <w:szCs w:val="24"/>
        </w:rPr>
      </w:pPr>
    </w:p>
    <w:p w14:paraId="4C88A3A3" w14:textId="77777777" w:rsidR="007F3C1E" w:rsidRDefault="007F3C1E" w:rsidP="00586A09">
      <w:pPr>
        <w:spacing w:after="0" w:line="480" w:lineRule="auto"/>
        <w:rPr>
          <w:rFonts w:eastAsia="Calibri" w:cs="Times New Roman"/>
          <w:sz w:val="24"/>
          <w:szCs w:val="24"/>
        </w:rPr>
      </w:pPr>
      <w:r w:rsidRPr="007F3C1E">
        <w:rPr>
          <w:noProof/>
          <w:lang w:eastAsia="en-GB"/>
        </w:rPr>
        <w:drawing>
          <wp:inline distT="0" distB="0" distL="0" distR="0" wp14:anchorId="67E292AB" wp14:editId="7A21AAEB">
            <wp:extent cx="5943600"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p>
    <w:p w14:paraId="30FA7F54" w14:textId="77777777" w:rsidR="007F3C1E" w:rsidRPr="00586A09" w:rsidRDefault="007F3C1E" w:rsidP="00586A09">
      <w:pPr>
        <w:spacing w:after="0" w:line="480" w:lineRule="auto"/>
        <w:rPr>
          <w:rFonts w:eastAsia="Calibri" w:cs="Times New Roman"/>
          <w:sz w:val="24"/>
          <w:szCs w:val="24"/>
        </w:rPr>
      </w:pPr>
    </w:p>
    <w:p w14:paraId="14F38E90" w14:textId="77777777" w:rsidR="00C354C4" w:rsidRPr="00586A09" w:rsidRDefault="00C354C4" w:rsidP="00586A09">
      <w:pPr>
        <w:pStyle w:val="Heading2"/>
        <w:spacing w:line="480" w:lineRule="auto"/>
        <w:rPr>
          <w:rFonts w:eastAsia="Calibri"/>
          <w:sz w:val="24"/>
          <w:szCs w:val="24"/>
        </w:rPr>
      </w:pPr>
      <w:bookmarkStart w:id="26" w:name="_Toc476381616"/>
      <w:r w:rsidRPr="00586A09">
        <w:rPr>
          <w:rFonts w:eastAsia="Calibri"/>
          <w:sz w:val="24"/>
          <w:szCs w:val="24"/>
        </w:rPr>
        <w:lastRenderedPageBreak/>
        <w:t>Initial perceptions of treatment</w:t>
      </w:r>
      <w:bookmarkEnd w:id="26"/>
    </w:p>
    <w:p w14:paraId="5EB0E401" w14:textId="77777777" w:rsidR="00C354C4" w:rsidRPr="00586A09" w:rsidRDefault="00C354C4" w:rsidP="00586A09">
      <w:pPr>
        <w:spacing w:after="0" w:line="480" w:lineRule="auto"/>
        <w:rPr>
          <w:rFonts w:eastAsia="Calibri" w:cs="Times New Roman"/>
          <w:color w:val="000000" w:themeColor="text1"/>
          <w:sz w:val="24"/>
          <w:szCs w:val="24"/>
        </w:rPr>
      </w:pPr>
      <w:r w:rsidRPr="00586A09">
        <w:rPr>
          <w:rFonts w:eastAsia="Calibri" w:cs="Times New Roman"/>
          <w:color w:val="000000" w:themeColor="text1"/>
          <w:sz w:val="24"/>
          <w:szCs w:val="24"/>
        </w:rPr>
        <w:t xml:space="preserve">SH participants were mostly disappointed with the treatment arm they had been allocated, some of whom clearly stated that they would have preferred a therapist-led course of treatment. These views were reinforced by some participants receiving HI-CBT who also felt that they would have been disappointed with the TAU or SH treatment conditions. There was also doubt regarding the likely benefits of treatment among the SH group prior to intervention delivery. Amongst the three intervention conditions, participants described how their motivation to participate in CBT treatments was driven by the failure of conventional medical therapy or because CBT was perceived as a </w:t>
      </w:r>
      <w:r w:rsidRPr="00586A09">
        <w:rPr>
          <w:rFonts w:eastAsia="Calibri" w:cs="Times New Roman"/>
          <w:i/>
          <w:color w:val="000000" w:themeColor="text1"/>
          <w:sz w:val="24"/>
          <w:szCs w:val="24"/>
        </w:rPr>
        <w:t>‘last resort’</w:t>
      </w:r>
      <w:r w:rsidRPr="00586A09">
        <w:rPr>
          <w:rFonts w:eastAsia="Calibri" w:cs="Times New Roman"/>
          <w:color w:val="000000" w:themeColor="text1"/>
          <w:sz w:val="24"/>
          <w:szCs w:val="24"/>
        </w:rPr>
        <w:t>. There was also some evidence that contradictory advice received from medical professionals had some bearing on the initial perceptions of treatment. This was particularly evident when participants detected ambiguity amongst professionals regarding the cause of IBS.</w:t>
      </w:r>
    </w:p>
    <w:p w14:paraId="4327F552" w14:textId="77777777" w:rsidR="00C354C4" w:rsidRPr="00586A09" w:rsidRDefault="00C354C4" w:rsidP="00586A09">
      <w:pPr>
        <w:pStyle w:val="Heading2"/>
        <w:spacing w:line="480" w:lineRule="auto"/>
        <w:rPr>
          <w:rFonts w:eastAsia="Calibri"/>
          <w:sz w:val="24"/>
          <w:szCs w:val="24"/>
        </w:rPr>
      </w:pPr>
      <w:bookmarkStart w:id="27" w:name="_Toc476381617"/>
      <w:r w:rsidRPr="00586A09">
        <w:rPr>
          <w:rFonts w:eastAsia="Calibri"/>
          <w:sz w:val="24"/>
          <w:szCs w:val="24"/>
        </w:rPr>
        <w:t>Experience of therapeutic task execution</w:t>
      </w:r>
      <w:bookmarkEnd w:id="27"/>
    </w:p>
    <w:p w14:paraId="6EFB2766" w14:textId="77777777" w:rsidR="00C354C4" w:rsidRPr="00586A09" w:rsidRDefault="00C354C4" w:rsidP="00586A09">
      <w:pPr>
        <w:spacing w:after="0" w:line="480" w:lineRule="auto"/>
        <w:rPr>
          <w:rFonts w:eastAsia="Calibri" w:cs="Times New Roman"/>
          <w:color w:val="000000" w:themeColor="text1"/>
          <w:sz w:val="24"/>
          <w:szCs w:val="24"/>
        </w:rPr>
      </w:pPr>
      <w:r w:rsidRPr="00586A09">
        <w:rPr>
          <w:rFonts w:eastAsia="Calibri" w:cs="Times New Roman"/>
          <w:color w:val="000000" w:themeColor="text1"/>
          <w:sz w:val="24"/>
          <w:szCs w:val="24"/>
        </w:rPr>
        <w:t xml:space="preserve">Participants described relaxation techniques as useful in the day-to-day management of their IBS. Some participants struggled with their ability to implement relaxation techniques which appeared to relate to the mode of treatment. Participants receiving SH found the interventions much more difficult to implement than those within delivered therapies. Therapist-facilitated relaxation within HI-CBT (the therapist physically doing the </w:t>
      </w:r>
      <w:r w:rsidRPr="00586A09">
        <w:rPr>
          <w:rFonts w:eastAsia="Calibri" w:cs="Times New Roman"/>
          <w:color w:val="000000" w:themeColor="text1"/>
          <w:sz w:val="24"/>
          <w:szCs w:val="24"/>
        </w:rPr>
        <w:lastRenderedPageBreak/>
        <w:t xml:space="preserve">relaxation activities alongside participants) was highly valued by participants. Furthermore, constructive feedback from therapists increased confidence in some participant’s ability to correctly execute relaxation techniques. </w:t>
      </w:r>
    </w:p>
    <w:p w14:paraId="34236160" w14:textId="77777777" w:rsidR="00C354C4" w:rsidRPr="00586A09" w:rsidRDefault="00C354C4" w:rsidP="00586A09">
      <w:pPr>
        <w:spacing w:after="0" w:line="480" w:lineRule="auto"/>
        <w:rPr>
          <w:rFonts w:eastAsia="Calibri" w:cs="Times New Roman"/>
          <w:color w:val="000000" w:themeColor="text1"/>
          <w:sz w:val="24"/>
          <w:szCs w:val="24"/>
        </w:rPr>
      </w:pPr>
    </w:p>
    <w:p w14:paraId="4C5B7A50" w14:textId="77777777" w:rsidR="00C354C4" w:rsidRPr="00586A09" w:rsidRDefault="00C354C4" w:rsidP="00586A09">
      <w:pPr>
        <w:spacing w:after="0" w:line="480" w:lineRule="auto"/>
        <w:rPr>
          <w:rFonts w:eastAsia="Calibri" w:cs="Times New Roman"/>
          <w:color w:val="000000" w:themeColor="text1"/>
          <w:sz w:val="24"/>
          <w:szCs w:val="24"/>
        </w:rPr>
      </w:pPr>
      <w:bookmarkStart w:id="28" w:name="_Toc476381618"/>
      <w:r w:rsidRPr="00586A09">
        <w:rPr>
          <w:rFonts w:eastAsia="Calibri" w:cs="Times New Roman"/>
          <w:color w:val="000000" w:themeColor="text1"/>
          <w:sz w:val="24"/>
          <w:szCs w:val="24"/>
        </w:rPr>
        <w:t xml:space="preserve">The intensity of HI-CBT treatments and the depth and breadth of treatment could be problematic and preparation for therapy was recommended by participants. These issues were not a feature of the SH or LI-CBT approaches, although some lower intensity treatment approaches were considered by participants as </w:t>
      </w:r>
      <w:r w:rsidRPr="00586A09">
        <w:rPr>
          <w:rFonts w:eastAsia="Calibri" w:cs="Times New Roman"/>
          <w:i/>
          <w:color w:val="000000" w:themeColor="text1"/>
          <w:sz w:val="24"/>
          <w:szCs w:val="24"/>
        </w:rPr>
        <w:t>‘too superficial’</w:t>
      </w:r>
      <w:r w:rsidRPr="00586A09">
        <w:rPr>
          <w:rFonts w:eastAsia="Calibri" w:cs="Times New Roman"/>
          <w:color w:val="000000" w:themeColor="text1"/>
          <w:sz w:val="24"/>
          <w:szCs w:val="24"/>
        </w:rPr>
        <w:t xml:space="preserve"> or not of sufficient intensity for addressing complex problems. Many of the participants valued the prospect of face to face therapy which may in turn impact initial perceptions of treatment and participants’ ability to correctly execute tasks. Executing therapeutic tasks such as relaxation exercises was difficult for participants experiencing dyslexia, although such issues were overcome with therapist intervention or family support. </w:t>
      </w:r>
    </w:p>
    <w:p w14:paraId="6C70321E" w14:textId="77777777" w:rsidR="00C354C4" w:rsidRPr="00586A09" w:rsidRDefault="00C354C4" w:rsidP="00586A09">
      <w:pPr>
        <w:pStyle w:val="Heading2"/>
        <w:spacing w:line="480" w:lineRule="auto"/>
        <w:rPr>
          <w:rFonts w:eastAsia="Calibri"/>
          <w:sz w:val="24"/>
          <w:szCs w:val="24"/>
        </w:rPr>
      </w:pPr>
      <w:r w:rsidRPr="00586A09">
        <w:rPr>
          <w:rFonts w:eastAsia="Calibri"/>
          <w:sz w:val="24"/>
          <w:szCs w:val="24"/>
        </w:rPr>
        <w:t>Practical considerations for engagement</w:t>
      </w:r>
      <w:bookmarkEnd w:id="28"/>
    </w:p>
    <w:p w14:paraId="273F87AF" w14:textId="77777777" w:rsidR="00C354C4" w:rsidRPr="00586A09" w:rsidRDefault="00C354C4" w:rsidP="00586A09">
      <w:pPr>
        <w:spacing w:after="0" w:line="480" w:lineRule="auto"/>
        <w:rPr>
          <w:rFonts w:eastAsia="Calibri" w:cs="Times New Roman"/>
          <w:color w:val="000000" w:themeColor="text1"/>
          <w:sz w:val="24"/>
          <w:szCs w:val="24"/>
        </w:rPr>
      </w:pPr>
      <w:r w:rsidRPr="00586A09">
        <w:rPr>
          <w:rFonts w:eastAsia="Calibri" w:cs="Times New Roman"/>
          <w:color w:val="000000" w:themeColor="text1"/>
          <w:sz w:val="24"/>
          <w:szCs w:val="24"/>
        </w:rPr>
        <w:t xml:space="preserve">Lack of therapist input was particularly problematic for SH participants and was considered essential by participants within the LI-CBT and HI-CBT forms of treatment. Participants specifically suggested that face to face contact with therapists was highly valuable.  Social support or interaction was useful for some participants when implementing treatment related activities, whilst </w:t>
      </w:r>
      <w:r w:rsidRPr="00586A09">
        <w:rPr>
          <w:rFonts w:eastAsia="Calibri" w:cs="Times New Roman"/>
          <w:color w:val="000000" w:themeColor="text1"/>
          <w:sz w:val="24"/>
          <w:szCs w:val="24"/>
        </w:rPr>
        <w:lastRenderedPageBreak/>
        <w:t>others chose to remain autonomous and carry out their activities alone describing a reluctance to “burden” friends or family with IBS related issues. Where participants received treatment from a therapist, the personality of the therapist had the potential to influence the execution of therapeutic tasks for some participants, and a ‘</w:t>
      </w:r>
      <w:r w:rsidRPr="00586A09">
        <w:rPr>
          <w:rFonts w:eastAsia="Calibri" w:cs="Times New Roman"/>
          <w:i/>
          <w:color w:val="000000" w:themeColor="text1"/>
          <w:sz w:val="24"/>
          <w:szCs w:val="24"/>
        </w:rPr>
        <w:t>good personality’</w:t>
      </w:r>
      <w:r w:rsidRPr="00586A09">
        <w:rPr>
          <w:rFonts w:eastAsia="Calibri" w:cs="Times New Roman"/>
          <w:color w:val="000000" w:themeColor="text1"/>
          <w:sz w:val="24"/>
          <w:szCs w:val="24"/>
        </w:rPr>
        <w:t xml:space="preserve"> was seen as a facilitator to building an effective therapeutic relationship. An additional benefit for participants receiving lower-intensity treatment was the self-help materials, which they considered were a valuable resource. There was some concern that the materials could be difficult to tailor to individual circumstances, although the</w:t>
      </w:r>
      <w:r>
        <w:rPr>
          <w:rFonts w:eastAsia="Calibri" w:cs="Times New Roman"/>
          <w:color w:val="000000" w:themeColor="text1"/>
          <w:sz w:val="24"/>
          <w:szCs w:val="24"/>
        </w:rPr>
        <w:t xml:space="preserve"> presence of narratives or real-</w:t>
      </w:r>
      <w:r w:rsidRPr="00586A09">
        <w:rPr>
          <w:rFonts w:eastAsia="Calibri" w:cs="Times New Roman"/>
          <w:color w:val="000000" w:themeColor="text1"/>
          <w:sz w:val="24"/>
          <w:szCs w:val="24"/>
        </w:rPr>
        <w:t xml:space="preserve">life scenarios within the material improved the applicability of the material as described by some participants. </w:t>
      </w:r>
    </w:p>
    <w:p w14:paraId="4B4515DF" w14:textId="77777777" w:rsidR="00C354C4" w:rsidRPr="00586A09" w:rsidRDefault="00C354C4" w:rsidP="00586A09">
      <w:pPr>
        <w:spacing w:after="0" w:line="480" w:lineRule="auto"/>
        <w:rPr>
          <w:rFonts w:eastAsia="Calibri" w:cs="Times New Roman"/>
          <w:color w:val="000000" w:themeColor="text1"/>
          <w:sz w:val="24"/>
          <w:szCs w:val="24"/>
        </w:rPr>
      </w:pPr>
    </w:p>
    <w:p w14:paraId="3464E8ED" w14:textId="77777777" w:rsidR="00C354C4" w:rsidRPr="00586A09" w:rsidRDefault="00C354C4" w:rsidP="00586A09">
      <w:pPr>
        <w:spacing w:after="0" w:line="480" w:lineRule="auto"/>
        <w:rPr>
          <w:rFonts w:eastAsia="Calibri" w:cs="Times New Roman"/>
          <w:color w:val="000000" w:themeColor="text1"/>
          <w:sz w:val="24"/>
          <w:szCs w:val="24"/>
        </w:rPr>
      </w:pPr>
      <w:r w:rsidRPr="00586A09">
        <w:rPr>
          <w:rFonts w:eastAsia="Calibri" w:cs="Times New Roman"/>
          <w:color w:val="000000" w:themeColor="text1"/>
          <w:sz w:val="24"/>
          <w:szCs w:val="24"/>
        </w:rPr>
        <w:t xml:space="preserve">There was a strong emphasis on the need for therapist delivered treatment to be sufficiently flexible to fit around working patterns and other activities. These issues were particularly important for participants in employment. HI-CBT participants suggested documentation within the HI-CBT intervention could have been improved. Participants suggested that the number of sessions and session duration should be tailored to meet individual needs and remain flexible rather than rigidly applied in accordance to treatment protocols. </w:t>
      </w:r>
    </w:p>
    <w:p w14:paraId="1E488891" w14:textId="77777777" w:rsidR="00C354C4" w:rsidRPr="00586A09" w:rsidRDefault="00C354C4" w:rsidP="00586A09">
      <w:pPr>
        <w:spacing w:after="0" w:line="480" w:lineRule="auto"/>
        <w:rPr>
          <w:rFonts w:eastAsia="Calibri" w:cs="Times New Roman"/>
          <w:color w:val="000000" w:themeColor="text1"/>
          <w:sz w:val="24"/>
          <w:szCs w:val="24"/>
        </w:rPr>
      </w:pPr>
    </w:p>
    <w:p w14:paraId="5FABEC8E" w14:textId="77777777" w:rsidR="00C354C4" w:rsidRPr="00586A09" w:rsidRDefault="00C354C4" w:rsidP="00586A09">
      <w:pPr>
        <w:pStyle w:val="Heading2"/>
        <w:spacing w:line="480" w:lineRule="auto"/>
        <w:rPr>
          <w:rFonts w:eastAsia="Calibri"/>
          <w:sz w:val="24"/>
          <w:szCs w:val="24"/>
        </w:rPr>
      </w:pPr>
      <w:bookmarkStart w:id="29" w:name="_Toc476381619"/>
      <w:r w:rsidRPr="00586A09">
        <w:rPr>
          <w:rFonts w:eastAsia="Calibri"/>
          <w:sz w:val="24"/>
          <w:szCs w:val="24"/>
        </w:rPr>
        <w:lastRenderedPageBreak/>
        <w:t>Perceived utility of treatment</w:t>
      </w:r>
      <w:bookmarkEnd w:id="29"/>
    </w:p>
    <w:p w14:paraId="619EE12B" w14:textId="77777777" w:rsidR="00C354C4" w:rsidRPr="00586A09" w:rsidRDefault="00C354C4" w:rsidP="00586A09">
      <w:pPr>
        <w:spacing w:after="0" w:line="480" w:lineRule="auto"/>
        <w:rPr>
          <w:rFonts w:eastAsia="Calibri" w:cs="Times New Roman"/>
          <w:color w:val="000000" w:themeColor="text1"/>
          <w:sz w:val="24"/>
          <w:szCs w:val="24"/>
        </w:rPr>
      </w:pPr>
      <w:bookmarkStart w:id="30" w:name="_Toc476381620"/>
      <w:r w:rsidRPr="00586A09">
        <w:rPr>
          <w:rFonts w:eastAsia="Calibri" w:cs="Times New Roman"/>
          <w:color w:val="000000" w:themeColor="text1"/>
          <w:sz w:val="24"/>
          <w:szCs w:val="24"/>
        </w:rPr>
        <w:t xml:space="preserve">A number of participants felt that their knowledge relating to IBS improved over the course of the study. Generally, participants developed confidence in the notion that IBS may be related to stress or heightened states of arousal. Where participants perceived treatment to be useful, the interventions enabled some participants to accept and recognise the role of stress relating to IBS symptoms and reduce doubt they had about the accuracy of IBS diagnoses. </w:t>
      </w:r>
      <w:r w:rsidRPr="00586A09">
        <w:rPr>
          <w:sz w:val="24"/>
          <w:szCs w:val="24"/>
        </w:rPr>
        <w:t>Relaxation was eventually considered a particularly useful intervention component for some participants who originally reported difficulty executing relaxation tasks once their therapist had addressed these difficulties. However, there were other participants who did not report experiencing symptom reduction from utilising relaxation techniques</w:t>
      </w:r>
      <w:r w:rsidRPr="00586A09">
        <w:rPr>
          <w:rFonts w:eastAsia="Calibri" w:cs="Times New Roman"/>
          <w:color w:val="000000" w:themeColor="text1"/>
          <w:sz w:val="24"/>
          <w:szCs w:val="24"/>
        </w:rPr>
        <w:t xml:space="preserve">. </w:t>
      </w:r>
      <w:r w:rsidRPr="00586A09">
        <w:rPr>
          <w:sz w:val="24"/>
          <w:szCs w:val="24"/>
        </w:rPr>
        <w:t>Whilst some participants described symptom improvement, others described treatment benefits associated with improved coping mechanism and the wider application of interventions to other aspects of life</w:t>
      </w:r>
      <w:r w:rsidRPr="00586A09">
        <w:rPr>
          <w:rFonts w:eastAsia="Calibri" w:cs="Times New Roman"/>
          <w:color w:val="000000" w:themeColor="text1"/>
          <w:sz w:val="24"/>
          <w:szCs w:val="24"/>
        </w:rPr>
        <w:t>.</w:t>
      </w:r>
    </w:p>
    <w:p w14:paraId="273129CE" w14:textId="77777777" w:rsidR="00C354C4" w:rsidRPr="00586A09" w:rsidRDefault="00C354C4" w:rsidP="00586A09">
      <w:pPr>
        <w:pStyle w:val="Heading2"/>
        <w:spacing w:line="480" w:lineRule="auto"/>
        <w:rPr>
          <w:rFonts w:eastAsia="Calibri"/>
          <w:sz w:val="24"/>
          <w:szCs w:val="24"/>
        </w:rPr>
      </w:pPr>
      <w:r w:rsidRPr="00586A09">
        <w:rPr>
          <w:rFonts w:eastAsia="Calibri"/>
          <w:sz w:val="24"/>
          <w:szCs w:val="24"/>
        </w:rPr>
        <w:t>Discussion</w:t>
      </w:r>
      <w:bookmarkEnd w:id="30"/>
    </w:p>
    <w:p w14:paraId="241D8EFE" w14:textId="77777777" w:rsidR="00C354C4" w:rsidRPr="00586A09" w:rsidRDefault="00C354C4" w:rsidP="00586A09">
      <w:pPr>
        <w:suppressAutoHyphens/>
        <w:autoSpaceDN w:val="0"/>
        <w:spacing w:after="0" w:line="480" w:lineRule="auto"/>
        <w:textAlignment w:val="baseline"/>
        <w:rPr>
          <w:rFonts w:eastAsia="Times New Roman" w:cs="Arial"/>
          <w:color w:val="000000" w:themeColor="text1"/>
          <w:kern w:val="3"/>
          <w:sz w:val="24"/>
          <w:szCs w:val="24"/>
          <w:lang w:eastAsia="en-GB"/>
        </w:rPr>
      </w:pPr>
      <w:bookmarkStart w:id="31" w:name="_Toc476381621"/>
      <w:r w:rsidRPr="00586A09">
        <w:rPr>
          <w:rFonts w:eastAsia="Times New Roman" w:cs="Arial"/>
          <w:color w:val="000000" w:themeColor="text1"/>
          <w:kern w:val="3"/>
          <w:sz w:val="24"/>
          <w:szCs w:val="24"/>
          <w:lang w:eastAsia="en-GB"/>
        </w:rPr>
        <w:t xml:space="preserve">This study aimed to investigate the feasibility and acceptability of nurse-delivered LI-CBT for IBS. A tailored nurse-delivered CBT treatment protocol was developed and the number of participants needed to screen in relation to the numbers successfully randomised were examined. The qualitative data was collected to explore the experience of participants undergoing </w:t>
      </w:r>
      <w:r w:rsidRPr="00586A09">
        <w:rPr>
          <w:rFonts w:eastAsia="Times New Roman" w:cs="Arial"/>
          <w:color w:val="000000" w:themeColor="text1"/>
          <w:kern w:val="3"/>
          <w:sz w:val="24"/>
          <w:szCs w:val="24"/>
          <w:lang w:eastAsia="en-GB"/>
        </w:rPr>
        <w:lastRenderedPageBreak/>
        <w:t xml:space="preserve">treatment conditions and to identify barriers and facilitators to the implementation of the trial interventions. </w:t>
      </w:r>
    </w:p>
    <w:p w14:paraId="1D0360DF" w14:textId="77777777" w:rsidR="00C354C4" w:rsidRPr="00586A09" w:rsidRDefault="00C354C4" w:rsidP="00586A09">
      <w:pPr>
        <w:suppressAutoHyphens/>
        <w:autoSpaceDN w:val="0"/>
        <w:spacing w:after="0" w:line="480" w:lineRule="auto"/>
        <w:textAlignment w:val="baseline"/>
        <w:rPr>
          <w:rFonts w:eastAsia="Times New Roman" w:cs="Arial"/>
          <w:color w:val="000000" w:themeColor="text1"/>
          <w:kern w:val="3"/>
          <w:sz w:val="24"/>
          <w:szCs w:val="24"/>
          <w:lang w:eastAsia="en-GB"/>
        </w:rPr>
      </w:pPr>
    </w:p>
    <w:p w14:paraId="25A80023"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The participants within this study were successfully recruited directly from secondary care gastrointestinal outpatient clinics within a large university teaching hospital. The conversion rate to response was approximately 34% when methods were used to invite participants to take part via postal return. A total of 104 participants were required to be approached to achieve 22 screening visits and 20 randomisations. The conversion rate from participants approached to randomisation was 20.8%. Future recruitment programs utilising the same methods should therefore consider that around 100 patients will need to be approached to achieve </w:t>
      </w:r>
      <w:r w:rsidRPr="00586A09">
        <w:rPr>
          <w:rFonts w:eastAsia="Calibri" w:cs="Times New Roman"/>
          <w:i/>
          <w:sz w:val="24"/>
          <w:szCs w:val="24"/>
        </w:rPr>
        <w:t>n</w:t>
      </w:r>
      <w:r w:rsidRPr="00586A09">
        <w:rPr>
          <w:rFonts w:eastAsia="Calibri" w:cs="Times New Roman"/>
          <w:sz w:val="24"/>
          <w:szCs w:val="24"/>
        </w:rPr>
        <w:t xml:space="preserve"> = 20 within the clinical setting where the feasibility study took place. Explanations for participants not taking part were explored although it is not clear whether the clinical research element (i.e. completion of questionnaires) or the required commitment to therapy (12 hours if randomised to HI-CBT) deterred potential participants, or whether some other unforeseen phenomena was responsible.</w:t>
      </w:r>
    </w:p>
    <w:p w14:paraId="391A103D" w14:textId="77777777" w:rsidR="00C354C4" w:rsidRPr="00586A09" w:rsidRDefault="00C354C4" w:rsidP="00586A09">
      <w:pPr>
        <w:spacing w:after="0" w:line="480" w:lineRule="auto"/>
        <w:rPr>
          <w:rFonts w:eastAsia="Calibri" w:cs="Times New Roman"/>
          <w:sz w:val="24"/>
          <w:szCs w:val="24"/>
        </w:rPr>
      </w:pPr>
    </w:p>
    <w:p w14:paraId="37EDBF9D"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Contacting participants to identify issues relating to taking part was much more difficult than anticipated. For example, it was not possible to contact participants with whom the investigator had no direct contact, and it is likely </w:t>
      </w:r>
      <w:r w:rsidRPr="00586A09">
        <w:rPr>
          <w:rFonts w:eastAsia="Calibri" w:cs="Times New Roman"/>
          <w:sz w:val="24"/>
          <w:szCs w:val="24"/>
        </w:rPr>
        <w:lastRenderedPageBreak/>
        <w:t>that some intent-to-please bias may have influenced the responses obtained from participants by the investigator. It is for these reasons that few data were collected relating to reasons for not taking part. It is possible to infer that higher recruitment into this feasibility study may have changed the data observed, although there is little in the way of guidance for researchers conducting feasibility studies regarding sample size.</w:t>
      </w:r>
    </w:p>
    <w:p w14:paraId="36DCC081" w14:textId="77777777" w:rsidR="00C354C4" w:rsidRPr="00586A09" w:rsidRDefault="00C354C4" w:rsidP="00586A09">
      <w:pPr>
        <w:spacing w:after="0" w:line="480" w:lineRule="auto"/>
        <w:rPr>
          <w:rFonts w:eastAsia="Calibri" w:cs="Times New Roman"/>
          <w:sz w:val="24"/>
          <w:szCs w:val="24"/>
        </w:rPr>
      </w:pPr>
    </w:p>
    <w:p w14:paraId="4DD1DFDE" w14:textId="77777777" w:rsidR="00C354C4" w:rsidRDefault="00C354C4" w:rsidP="00912CB2">
      <w:pPr>
        <w:spacing w:after="0" w:line="480" w:lineRule="auto"/>
        <w:rPr>
          <w:rFonts w:eastAsia="Calibri" w:cs="Times New Roman"/>
          <w:sz w:val="24"/>
          <w:szCs w:val="24"/>
          <w:lang w:val="en-US"/>
        </w:rPr>
      </w:pPr>
      <w:r w:rsidRPr="00586A09">
        <w:rPr>
          <w:rFonts w:eastAsia="Calibri" w:cs="Times New Roman"/>
          <w:sz w:val="24"/>
          <w:szCs w:val="24"/>
        </w:rPr>
        <w:t xml:space="preserve">Within the SH intervention, some of the participants who were interviewed in the post-treatment phase reported disappointment regarding the lack of therapist interaction and felt that some therapeutic tasks contained within the SH materials were difficult to execute due to a lack of therapist guidance. They also had preconceptions about the utility of treatment relating to doubt that the SH intervention would help their IBS. It is therefore not surprising to observe that both HI-CBT and LI-CBT interventions may have had a greater impact on QOL and symptom severity than SH. </w:t>
      </w:r>
      <w:r w:rsidRPr="007F3C1E">
        <w:rPr>
          <w:rFonts w:eastAsia="Calibri" w:cs="Times New Roman"/>
          <w:sz w:val="24"/>
          <w:szCs w:val="24"/>
          <w:lang w:val="en-US"/>
        </w:rPr>
        <w:t xml:space="preserve">However, the SH modules utilized in the study were not originally developed to serve as a stand-alone intervention and were used alongside therapist feedback and interaction via the internet </w:t>
      </w:r>
      <w:r w:rsidRPr="007F3C1E">
        <w:rPr>
          <w:rFonts w:eastAsia="Calibri" w:cs="Times New Roman"/>
          <w:noProof/>
          <w:sz w:val="24"/>
          <w:szCs w:val="24"/>
          <w:lang w:val="en-US"/>
        </w:rPr>
        <w:t>(Hunt et al., 2009)</w:t>
      </w:r>
      <w:r w:rsidRPr="007F3C1E">
        <w:rPr>
          <w:rFonts w:eastAsia="Calibri" w:cs="Times New Roman"/>
          <w:sz w:val="24"/>
          <w:szCs w:val="24"/>
          <w:lang w:val="en-US"/>
        </w:rPr>
        <w:t>.  The LI-CBT intervention is therefore more closely related to the original intervention developed by Hunt and colleagues and in the original format appeared to have a positive effect on symptom severity and health-related QOL.</w:t>
      </w:r>
      <w:r w:rsidRPr="00586A09">
        <w:rPr>
          <w:rFonts w:eastAsia="Calibri" w:cs="Times New Roman"/>
          <w:sz w:val="24"/>
          <w:szCs w:val="24"/>
          <w:lang w:val="en-US"/>
        </w:rPr>
        <w:t xml:space="preserve"> </w:t>
      </w:r>
    </w:p>
    <w:p w14:paraId="07861AAC" w14:textId="77777777" w:rsidR="00C354C4" w:rsidRDefault="00C354C4" w:rsidP="00912CB2">
      <w:pPr>
        <w:spacing w:after="0" w:line="480" w:lineRule="auto"/>
        <w:rPr>
          <w:rFonts w:eastAsia="Calibri" w:cs="Times New Roman"/>
          <w:sz w:val="24"/>
          <w:szCs w:val="24"/>
          <w:lang w:val="en-US"/>
        </w:rPr>
      </w:pPr>
    </w:p>
    <w:p w14:paraId="3EB9F5DA" w14:textId="77777777" w:rsidR="00C354C4" w:rsidRDefault="00C354C4" w:rsidP="00586A09">
      <w:pPr>
        <w:spacing w:after="0" w:line="480" w:lineRule="auto"/>
        <w:rPr>
          <w:rFonts w:eastAsia="Calibri" w:cs="Times New Roman"/>
          <w:sz w:val="24"/>
          <w:szCs w:val="24"/>
        </w:rPr>
      </w:pPr>
      <w:r w:rsidRPr="00586A09">
        <w:rPr>
          <w:rFonts w:eastAsia="Calibri" w:cs="Times New Roman"/>
          <w:sz w:val="24"/>
          <w:szCs w:val="24"/>
          <w:lang w:val="en-US"/>
        </w:rPr>
        <w:t xml:space="preserve">Furthermore, since the original evaluation and development of this intervention, the format has now been expanded upon to form a stand-alone self-help treatment aimed at </w:t>
      </w:r>
      <w:r>
        <w:rPr>
          <w:rFonts w:eastAsia="Calibri" w:cs="Times New Roman"/>
          <w:sz w:val="24"/>
          <w:szCs w:val="24"/>
          <w:lang w:val="en-US"/>
        </w:rPr>
        <w:t>improving s</w:t>
      </w:r>
      <w:r w:rsidRPr="00586A09">
        <w:rPr>
          <w:rFonts w:eastAsia="Calibri" w:cs="Times New Roman"/>
          <w:sz w:val="24"/>
          <w:szCs w:val="24"/>
          <w:lang w:val="en-US"/>
        </w:rPr>
        <w:t>ymptom Severity, HRQ</w:t>
      </w:r>
      <w:r>
        <w:rPr>
          <w:rFonts w:eastAsia="Calibri" w:cs="Times New Roman"/>
          <w:sz w:val="24"/>
          <w:szCs w:val="24"/>
          <w:lang w:val="en-US"/>
        </w:rPr>
        <w:t>O</w:t>
      </w:r>
      <w:r w:rsidRPr="00586A09">
        <w:rPr>
          <w:rFonts w:eastAsia="Calibri" w:cs="Times New Roman"/>
          <w:sz w:val="24"/>
          <w:szCs w:val="24"/>
          <w:lang w:val="en-US"/>
        </w:rPr>
        <w:t xml:space="preserve">L, and Depressive symptoms </w:t>
      </w:r>
      <w:r>
        <w:rPr>
          <w:rFonts w:eastAsia="Calibri" w:cs="Times New Roman"/>
          <w:noProof/>
          <w:sz w:val="24"/>
          <w:szCs w:val="24"/>
          <w:lang w:val="en-US"/>
        </w:rPr>
        <w:t>(Hunt et al., 2014)</w:t>
      </w:r>
      <w:r>
        <w:rPr>
          <w:rFonts w:eastAsia="Calibri" w:cs="Times New Roman"/>
          <w:sz w:val="24"/>
          <w:szCs w:val="24"/>
          <w:lang w:val="en-US"/>
        </w:rPr>
        <w:t xml:space="preserve">. </w:t>
      </w:r>
      <w:r w:rsidRPr="00586A09">
        <w:rPr>
          <w:rFonts w:eastAsia="Calibri" w:cs="Times New Roman"/>
          <w:sz w:val="24"/>
          <w:szCs w:val="24"/>
          <w:lang w:val="en-US"/>
        </w:rPr>
        <w:t xml:space="preserve">The SH book has also since been published </w:t>
      </w:r>
      <w:r>
        <w:rPr>
          <w:rFonts w:eastAsia="Calibri" w:cs="Times New Roman"/>
          <w:noProof/>
          <w:sz w:val="24"/>
          <w:szCs w:val="24"/>
          <w:lang w:val="en-US"/>
        </w:rPr>
        <w:t>(Hunt, 2016)</w:t>
      </w:r>
      <w:r>
        <w:rPr>
          <w:rFonts w:eastAsia="Calibri" w:cs="Times New Roman"/>
          <w:sz w:val="24"/>
          <w:szCs w:val="24"/>
          <w:lang w:val="en-US"/>
        </w:rPr>
        <w:t>.</w:t>
      </w:r>
      <w:r w:rsidRPr="00586A09">
        <w:rPr>
          <w:rFonts w:eastAsia="Calibri" w:cs="Times New Roman"/>
          <w:sz w:val="24"/>
          <w:szCs w:val="24"/>
          <w:lang w:val="en-US"/>
        </w:rPr>
        <w:t xml:space="preserve"> In relation to the findings within the qualitative data here, some of the major additions and expansions to the SH book included clinical vignettes and examples intended to personalize the text and help patients apply it to their own lives. The Improving Access to Psychological Therapies (IAPT) </w:t>
      </w:r>
      <w:r>
        <w:rPr>
          <w:rFonts w:eastAsia="Calibri" w:cs="Times New Roman"/>
          <w:sz w:val="24"/>
          <w:szCs w:val="24"/>
          <w:lang w:val="en-US"/>
        </w:rPr>
        <w:t>service</w:t>
      </w:r>
      <w:r w:rsidRPr="00586A09">
        <w:rPr>
          <w:rFonts w:eastAsia="Calibri" w:cs="Times New Roman"/>
          <w:sz w:val="24"/>
          <w:szCs w:val="24"/>
          <w:lang w:val="en-US"/>
        </w:rPr>
        <w:t xml:space="preserve"> now lists the book among their recommended manuals for the managem</w:t>
      </w:r>
      <w:r>
        <w:rPr>
          <w:rFonts w:eastAsia="Calibri" w:cs="Times New Roman"/>
          <w:sz w:val="24"/>
          <w:szCs w:val="24"/>
          <w:lang w:val="en-US"/>
        </w:rPr>
        <w:t>ent of IBS</w:t>
      </w:r>
      <w:r w:rsidRPr="00586A09">
        <w:rPr>
          <w:rFonts w:eastAsia="Calibri" w:cs="Times New Roman"/>
          <w:sz w:val="24"/>
          <w:szCs w:val="24"/>
          <w:lang w:val="en-US"/>
        </w:rPr>
        <w:t xml:space="preserve"> </w:t>
      </w:r>
      <w:r>
        <w:rPr>
          <w:rFonts w:eastAsia="Calibri" w:cs="Times New Roman"/>
          <w:noProof/>
          <w:sz w:val="24"/>
          <w:szCs w:val="24"/>
          <w:lang w:val="en-US"/>
        </w:rPr>
        <w:t>(IAPT, 2017)</w:t>
      </w:r>
      <w:r>
        <w:rPr>
          <w:rFonts w:eastAsia="Calibri" w:cs="Times New Roman"/>
          <w:sz w:val="24"/>
          <w:szCs w:val="24"/>
          <w:lang w:val="en-US"/>
        </w:rPr>
        <w:t>.</w:t>
      </w:r>
    </w:p>
    <w:p w14:paraId="7F197CF7" w14:textId="77777777" w:rsidR="00C354C4" w:rsidRDefault="00C354C4" w:rsidP="00586A09">
      <w:pPr>
        <w:spacing w:after="0" w:line="480" w:lineRule="auto"/>
        <w:rPr>
          <w:rFonts w:eastAsia="Calibri" w:cs="Times New Roman"/>
          <w:sz w:val="24"/>
          <w:szCs w:val="24"/>
        </w:rPr>
      </w:pPr>
    </w:p>
    <w:p w14:paraId="0FDC0898" w14:textId="77777777" w:rsidR="00C354C4" w:rsidRPr="00912CB2"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Participants within the SH condition reported marginally greater improvements in depression (PHQ-9) and anxiety (GAD-7) scores than those receiving therapist delivered LI-CBT, which seems counterintuitive considering the SH participants’ disappointment regarding the lack of face-to-face interaction. </w:t>
      </w:r>
    </w:p>
    <w:p w14:paraId="07426240" w14:textId="77777777" w:rsidR="00C354C4" w:rsidRPr="00586A09" w:rsidRDefault="00C354C4" w:rsidP="00586A09">
      <w:pPr>
        <w:spacing w:after="0" w:line="480" w:lineRule="auto"/>
        <w:rPr>
          <w:rFonts w:eastAsia="Calibri" w:cs="Times New Roman"/>
          <w:sz w:val="24"/>
          <w:szCs w:val="24"/>
        </w:rPr>
      </w:pPr>
    </w:p>
    <w:p w14:paraId="18BFD91D" w14:textId="77777777" w:rsidR="00C354C4" w:rsidRPr="00586A09" w:rsidRDefault="00C354C4" w:rsidP="00586A09">
      <w:pPr>
        <w:spacing w:after="0" w:line="480" w:lineRule="auto"/>
        <w:rPr>
          <w:sz w:val="24"/>
          <w:szCs w:val="24"/>
        </w:rPr>
      </w:pPr>
      <w:r w:rsidRPr="00586A09">
        <w:rPr>
          <w:rFonts w:eastAsia="Times New Roman" w:cs="Times New Roman"/>
          <w:sz w:val="24"/>
          <w:szCs w:val="24"/>
          <w:lang w:eastAsia="en-GB"/>
        </w:rPr>
        <w:t>The findings which suggest participants valued face-to-face contact with a therapist are of interest, since these issues are currently debated within the literature. For example, the</w:t>
      </w:r>
      <w:r w:rsidRPr="00586A09">
        <w:rPr>
          <w:sz w:val="24"/>
          <w:szCs w:val="24"/>
        </w:rPr>
        <w:t xml:space="preserve"> results of a recent study suggest that therapists rate face-to-face therapy as a more therapeutic experience than other types </w:t>
      </w:r>
      <w:r w:rsidRPr="00586A09">
        <w:rPr>
          <w:sz w:val="24"/>
          <w:szCs w:val="24"/>
        </w:rPr>
        <w:lastRenderedPageBreak/>
        <w:t xml:space="preserve">of treatment such as internet based therapy where such contact is absent </w:t>
      </w:r>
      <w:r>
        <w:rPr>
          <w:noProof/>
          <w:sz w:val="24"/>
          <w:szCs w:val="24"/>
        </w:rPr>
        <w:t>(Bengtsson et al., 2015)</w:t>
      </w:r>
      <w:r w:rsidRPr="00586A09">
        <w:rPr>
          <w:sz w:val="24"/>
          <w:szCs w:val="24"/>
        </w:rPr>
        <w:t xml:space="preserve">. Authors also suggest that psychological interventions delivered on the telephone present a variety of challenges, including a lack of control over environments, potential breaches of confidentiality and difficulty developing therapeutic alliance without face-to-face support </w:t>
      </w:r>
      <w:r>
        <w:rPr>
          <w:noProof/>
          <w:sz w:val="24"/>
          <w:szCs w:val="24"/>
        </w:rPr>
        <w:t>(Brenes et al., 2011)</w:t>
      </w:r>
      <w:r w:rsidRPr="00586A09">
        <w:rPr>
          <w:sz w:val="24"/>
          <w:szCs w:val="24"/>
        </w:rPr>
        <w:t>. Researchers have also found that therapists achieved successful working alliances faster and more readily during face-to-face therapy</w:t>
      </w:r>
      <w:r w:rsidRPr="00586A09">
        <w:rPr>
          <w:rFonts w:eastAsia="Times New Roman" w:cs="Times New Roman"/>
          <w:sz w:val="24"/>
          <w:szCs w:val="24"/>
          <w:lang w:eastAsia="en-GB"/>
        </w:rPr>
        <w:t xml:space="preserve"> </w:t>
      </w:r>
      <w:r>
        <w:rPr>
          <w:rFonts w:eastAsia="Times New Roman" w:cs="Times New Roman"/>
          <w:noProof/>
          <w:sz w:val="24"/>
          <w:szCs w:val="24"/>
          <w:lang w:eastAsia="en-GB"/>
        </w:rPr>
        <w:t>(Bengtsson et al., 2015)</w:t>
      </w:r>
      <w:r w:rsidRPr="00586A09">
        <w:rPr>
          <w:rFonts w:eastAsia="Times New Roman" w:cs="Times New Roman"/>
          <w:sz w:val="24"/>
          <w:szCs w:val="24"/>
          <w:lang w:eastAsia="en-GB"/>
        </w:rPr>
        <w:t xml:space="preserve">. Nonetheless, interventions underpinned by technology such as internet and telephone may increase access to evidence based interventions </w:t>
      </w:r>
      <w:r>
        <w:rPr>
          <w:rFonts w:eastAsia="Times New Roman" w:cs="Times New Roman"/>
          <w:noProof/>
          <w:sz w:val="24"/>
          <w:szCs w:val="24"/>
          <w:lang w:eastAsia="en-GB"/>
        </w:rPr>
        <w:t>(Mohr et al., 2012)</w:t>
      </w:r>
      <w:r w:rsidRPr="00586A09">
        <w:rPr>
          <w:rFonts w:eastAsia="Times New Roman" w:cs="Times New Roman"/>
          <w:sz w:val="24"/>
          <w:szCs w:val="24"/>
          <w:lang w:eastAsia="en-GB"/>
        </w:rPr>
        <w:t xml:space="preserve">. </w:t>
      </w:r>
      <w:r w:rsidRPr="00586A09">
        <w:rPr>
          <w:rFonts w:eastAsia="Times New Roman" w:cs="Arial"/>
          <w:sz w:val="24"/>
          <w:szCs w:val="24"/>
          <w:lang w:eastAsia="en-GB"/>
        </w:rPr>
        <w:t>Despite this, internet therapy has been described as impersonal, non-genuine and inhibitory</w:t>
      </w:r>
      <w:r w:rsidRPr="00586A09">
        <w:rPr>
          <w:rFonts w:asciiTheme="minorHAnsi" w:hAnsiTheme="minorHAnsi"/>
          <w:sz w:val="24"/>
          <w:szCs w:val="24"/>
        </w:rPr>
        <w:t xml:space="preserve"> </w:t>
      </w:r>
      <w:r>
        <w:rPr>
          <w:rFonts w:eastAsia="Times New Roman" w:cs="Arial"/>
          <w:noProof/>
          <w:sz w:val="24"/>
          <w:szCs w:val="24"/>
          <w:lang w:eastAsia="en-GB"/>
        </w:rPr>
        <w:t>(Bendelin et al., 2011)</w:t>
      </w:r>
      <w:r w:rsidRPr="00586A09">
        <w:rPr>
          <w:rFonts w:eastAsia="Times New Roman" w:cs="Arial"/>
          <w:sz w:val="24"/>
          <w:szCs w:val="24"/>
          <w:lang w:eastAsia="en-GB"/>
        </w:rPr>
        <w:t>.</w:t>
      </w:r>
    </w:p>
    <w:p w14:paraId="12F8F94A" w14:textId="77777777" w:rsidR="00C354C4" w:rsidRPr="00586A09" w:rsidRDefault="00C354C4" w:rsidP="00586A09">
      <w:pPr>
        <w:spacing w:after="0" w:line="480" w:lineRule="auto"/>
        <w:rPr>
          <w:rFonts w:eastAsia="Calibri" w:cs="Arial"/>
          <w:sz w:val="24"/>
          <w:szCs w:val="24"/>
        </w:rPr>
      </w:pPr>
    </w:p>
    <w:p w14:paraId="748057DB" w14:textId="77777777" w:rsidR="00C354C4" w:rsidRPr="00586A09" w:rsidRDefault="00C354C4" w:rsidP="00586A09">
      <w:pPr>
        <w:spacing w:after="0" w:line="480" w:lineRule="auto"/>
        <w:rPr>
          <w:rFonts w:eastAsia="Calibri" w:cs="Times New Roman"/>
          <w:sz w:val="24"/>
          <w:szCs w:val="24"/>
        </w:rPr>
      </w:pPr>
      <w:r w:rsidRPr="00586A09">
        <w:rPr>
          <w:rFonts w:eastAsia="Calibri" w:cs="Arial"/>
          <w:sz w:val="24"/>
          <w:szCs w:val="24"/>
        </w:rPr>
        <w:t xml:space="preserve">Some participants described the benefits of relaxation techniques which, when implemented successfully, helped participants to manage symptoms during daily life events and activities. Relaxation was evaluated particularly positively when facilitated by the therapist. The aim of including relaxation techniques within the multi-component interventions trialled within this study was to reduce sympathetic nervous system arousal which may be responsible for the exacerbation of IBS symptoms and maintenance of underlying psychopathology such as anxiety and higher states of arousal. In this context, relaxation utilised in conjunction with other psychological </w:t>
      </w:r>
      <w:r w:rsidRPr="00586A09">
        <w:rPr>
          <w:rFonts w:eastAsia="Calibri" w:cs="Arial"/>
          <w:sz w:val="24"/>
          <w:szCs w:val="24"/>
        </w:rPr>
        <w:lastRenderedPageBreak/>
        <w:t xml:space="preserve">therapy components was predicted to reduce levels of psychological distress by promoting a physiological state in opposition to how the body reacts under stressful situations </w:t>
      </w:r>
      <w:r>
        <w:rPr>
          <w:rFonts w:eastAsia="Calibri" w:cs="Arial"/>
          <w:noProof/>
          <w:sz w:val="24"/>
          <w:szCs w:val="24"/>
        </w:rPr>
        <w:t>(Brent et al., 2009)</w:t>
      </w:r>
      <w:r w:rsidRPr="00586A09">
        <w:rPr>
          <w:rFonts w:eastAsia="Calibri" w:cs="Arial"/>
          <w:sz w:val="24"/>
          <w:szCs w:val="24"/>
        </w:rPr>
        <w:t xml:space="preserve">. These observations are also in keeping with the biopsychosocial models of IBS. Perhaps </w:t>
      </w:r>
      <w:r w:rsidRPr="00586A09">
        <w:rPr>
          <w:rFonts w:eastAsia="Calibri" w:cs="Times New Roman"/>
          <w:sz w:val="24"/>
          <w:szCs w:val="24"/>
        </w:rPr>
        <w:t xml:space="preserve">the most relevant findings in relation to the qualitative data were those themes which elucidate the potential barriers and facilitators to the implementation of the trialled interventions. </w:t>
      </w:r>
    </w:p>
    <w:p w14:paraId="7AB773CD" w14:textId="77777777" w:rsidR="00C354C4" w:rsidRPr="00586A09" w:rsidRDefault="00C354C4" w:rsidP="00586A09">
      <w:pPr>
        <w:spacing w:after="0" w:line="480" w:lineRule="auto"/>
        <w:rPr>
          <w:rFonts w:eastAsia="Calibri" w:cs="Times New Roman"/>
          <w:sz w:val="24"/>
          <w:szCs w:val="24"/>
        </w:rPr>
      </w:pPr>
    </w:p>
    <w:p w14:paraId="6AE27A6D"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The aim of this research was to explore factors relating to the feasibility of nurse delivered, LI-CBT interventions for the treatment of IBS. The quantitative data collected during this study suggests that LI-CBT may benefit patients with IBS in terms of the outcome measures captured during the feasibility study. However, the data gathered also potentially indicates that the changes brought about by the three interventions may relate to treatment intensity and dose, although there is insufficient data from this study on which to firmly base these assumptions. </w:t>
      </w:r>
    </w:p>
    <w:p w14:paraId="0D7FAAA7" w14:textId="77777777" w:rsidR="00C354C4" w:rsidRPr="00586A09" w:rsidRDefault="00C354C4" w:rsidP="00586A09">
      <w:pPr>
        <w:spacing w:after="0" w:line="480" w:lineRule="auto"/>
        <w:rPr>
          <w:rFonts w:eastAsia="Calibri" w:cs="Times New Roman"/>
          <w:sz w:val="24"/>
          <w:szCs w:val="24"/>
        </w:rPr>
      </w:pPr>
    </w:p>
    <w:p w14:paraId="75C2704D" w14:textId="77777777" w:rsidR="00C354C4"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Overall, the qualitative data suggests that LI-CBT was accepted by participants as a useful form of treatment for IBS within secondary care gastrointestinal clinics. This is perhaps further supported by the QOL deterioration of participants within the TAU condition of the study. The qualitative data has helped to provide a novel and valuable insight into the </w:t>
      </w:r>
      <w:r w:rsidRPr="00586A09">
        <w:rPr>
          <w:rFonts w:eastAsia="Calibri" w:cs="Times New Roman"/>
          <w:sz w:val="24"/>
          <w:szCs w:val="24"/>
        </w:rPr>
        <w:lastRenderedPageBreak/>
        <w:t xml:space="preserve">use of these various CBT interventions within gastrointestinal </w:t>
      </w:r>
      <w:r w:rsidRPr="007F3C1E">
        <w:rPr>
          <w:rFonts w:eastAsia="Calibri" w:cs="Times New Roman"/>
          <w:sz w:val="24"/>
          <w:szCs w:val="24"/>
        </w:rPr>
        <w:t>nursing</w:t>
      </w:r>
      <w:r>
        <w:rPr>
          <w:rFonts w:eastAsia="Calibri" w:cs="Times New Roman"/>
          <w:sz w:val="24"/>
          <w:szCs w:val="24"/>
        </w:rPr>
        <w:t xml:space="preserve"> </w:t>
      </w:r>
      <w:r w:rsidRPr="00586A09">
        <w:rPr>
          <w:rFonts w:eastAsia="Calibri" w:cs="Times New Roman"/>
          <w:sz w:val="24"/>
          <w:szCs w:val="24"/>
        </w:rPr>
        <w:t>practice. The findings of the qualitative data may therefore improve the acceptability and suitability of the LI-CBT intervention if the identified facilitators and barriers to treatment are considered during future intervention development and testing.</w:t>
      </w:r>
    </w:p>
    <w:p w14:paraId="3F5B3D8C" w14:textId="77777777" w:rsidR="00C354C4" w:rsidRDefault="00C354C4" w:rsidP="00586A09">
      <w:pPr>
        <w:spacing w:after="0" w:line="480" w:lineRule="auto"/>
        <w:rPr>
          <w:rFonts w:eastAsia="Calibri" w:cs="Times New Roman"/>
          <w:sz w:val="24"/>
          <w:szCs w:val="24"/>
        </w:rPr>
      </w:pPr>
    </w:p>
    <w:p w14:paraId="2A54FC34" w14:textId="77777777" w:rsidR="00C354C4" w:rsidRPr="00586A09" w:rsidRDefault="00C354C4" w:rsidP="00586A09">
      <w:pPr>
        <w:spacing w:after="0" w:line="480" w:lineRule="auto"/>
        <w:rPr>
          <w:rFonts w:eastAsia="Calibri" w:cs="Times New Roman"/>
          <w:sz w:val="24"/>
          <w:szCs w:val="24"/>
        </w:rPr>
      </w:pPr>
      <w:r w:rsidRPr="007F3C1E">
        <w:rPr>
          <w:rFonts w:eastAsia="Calibri" w:cs="Times New Roman"/>
          <w:sz w:val="24"/>
          <w:szCs w:val="24"/>
        </w:rPr>
        <w:t>Despite the inability of the study to draw conclusions about the efficacy of the trialled interventions, the study does have some implications for gastrointestinal nursing practice. Nurses working within gastroenterology should consider the access that patients have to psychological interventions within their specialities, particularly considering the recommendations afforded by NICE for patients with chronic, treatment-refractory symptoms. Most importantly, this paper further highlights the importance of psychosocial aspects of presentations which should be carefully considered during nursing assessment and the evaluation of care for patients, particularly those with functional gastrointestinal problems such as IBS.</w:t>
      </w:r>
    </w:p>
    <w:p w14:paraId="195C104A" w14:textId="77777777" w:rsidR="00C354C4" w:rsidRPr="00586A09" w:rsidRDefault="00C354C4" w:rsidP="00586A09">
      <w:pPr>
        <w:spacing w:after="0" w:line="480" w:lineRule="auto"/>
        <w:rPr>
          <w:rFonts w:eastAsia="Calibri" w:cs="Times New Roman"/>
          <w:sz w:val="24"/>
          <w:szCs w:val="24"/>
        </w:rPr>
      </w:pPr>
    </w:p>
    <w:p w14:paraId="7BE99F9A" w14:textId="77777777" w:rsidR="00C354C4" w:rsidRPr="00586A09" w:rsidRDefault="00C354C4" w:rsidP="00586A09">
      <w:pPr>
        <w:pStyle w:val="Heading2"/>
        <w:spacing w:line="480" w:lineRule="auto"/>
        <w:rPr>
          <w:rFonts w:eastAsia="Calibri"/>
          <w:sz w:val="24"/>
          <w:szCs w:val="24"/>
        </w:rPr>
      </w:pPr>
      <w:r w:rsidRPr="00586A09">
        <w:rPr>
          <w:rFonts w:eastAsia="Calibri"/>
          <w:sz w:val="24"/>
          <w:szCs w:val="24"/>
        </w:rPr>
        <w:t>Strengths and limitations</w:t>
      </w:r>
      <w:bookmarkEnd w:id="31"/>
    </w:p>
    <w:p w14:paraId="4C9CC40A" w14:textId="77777777" w:rsidR="00C354C4" w:rsidRPr="00586A09" w:rsidRDefault="00C354C4" w:rsidP="00586A09">
      <w:pPr>
        <w:spacing w:after="0" w:line="480" w:lineRule="auto"/>
        <w:rPr>
          <w:rFonts w:eastAsia="Calibri" w:cs="Arial"/>
          <w:sz w:val="24"/>
          <w:szCs w:val="24"/>
        </w:rPr>
      </w:pPr>
      <w:r w:rsidRPr="00586A09">
        <w:rPr>
          <w:rFonts w:eastAsia="Calibri" w:cs="Arial"/>
          <w:sz w:val="24"/>
          <w:szCs w:val="24"/>
        </w:rPr>
        <w:t xml:space="preserve">This study provides an insight into the use of LI-CBT interventions when implemented during a feasibility study within gastrointestinal clinics. The recruitment difficulties identified during the conduct of this feasibility study highlight some of the challenges faced by researchers when conducting </w:t>
      </w:r>
      <w:r w:rsidRPr="00586A09">
        <w:rPr>
          <w:rFonts w:eastAsia="Calibri" w:cs="Arial"/>
          <w:sz w:val="24"/>
          <w:szCs w:val="24"/>
        </w:rPr>
        <w:lastRenderedPageBreak/>
        <w:t>complex studies within clinical settings. Nonetheless, for future research studies to be successful, these recruitment issues need to be further explored and addressed. Despite attempts to gather reasons for non-participation, it is still possible that the lack of recruitment to the study may be indicative of a lack of acceptability of the modes of treatment.</w:t>
      </w:r>
    </w:p>
    <w:p w14:paraId="35199F75" w14:textId="77777777" w:rsidR="00C354C4" w:rsidRPr="00586A09" w:rsidRDefault="00C354C4" w:rsidP="00586A09">
      <w:pPr>
        <w:spacing w:after="0" w:line="480" w:lineRule="auto"/>
        <w:rPr>
          <w:rFonts w:eastAsia="Calibri" w:cs="Arial"/>
          <w:sz w:val="24"/>
          <w:szCs w:val="24"/>
        </w:rPr>
      </w:pPr>
      <w:r w:rsidRPr="00586A09">
        <w:rPr>
          <w:rFonts w:eastAsia="Calibri" w:cs="Arial"/>
          <w:sz w:val="24"/>
          <w:szCs w:val="24"/>
        </w:rPr>
        <w:t>The shortfall of participants recruited into this study may have implications for the data collected, namely the small sample size. A novel, nurse-delivered intervention has been trialled within gastrointestinal clinical practice which has been developed in close collaboration with service users. The qualitative data collected suggests further improvements to the LI-CBT intervention may be required to enhance the quality of nurse-delivered LI-CBT. The methods utilised within this feasibility are robust and have been scrutinised through extensive peer review. In particular, the mixed-method study design has generated data which makes a novel contribution to our understanding of how CBT interventions may be perceived by trial participants. Such methods are likely to be worthwhile within future research studies.</w:t>
      </w:r>
    </w:p>
    <w:p w14:paraId="33070D97" w14:textId="77777777" w:rsidR="00C354C4" w:rsidRPr="00586A09" w:rsidRDefault="00C354C4" w:rsidP="00586A09">
      <w:pPr>
        <w:pStyle w:val="Heading2"/>
        <w:spacing w:line="480" w:lineRule="auto"/>
        <w:rPr>
          <w:rFonts w:eastAsia="Calibri"/>
          <w:sz w:val="24"/>
          <w:szCs w:val="24"/>
        </w:rPr>
      </w:pPr>
      <w:bookmarkStart w:id="32" w:name="_Toc476381622"/>
      <w:r w:rsidRPr="00586A09">
        <w:rPr>
          <w:rFonts w:eastAsia="Calibri"/>
          <w:sz w:val="24"/>
          <w:szCs w:val="24"/>
        </w:rPr>
        <w:t>Conclusion</w:t>
      </w:r>
      <w:bookmarkEnd w:id="32"/>
    </w:p>
    <w:p w14:paraId="30A13BA3"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The data generated during this study would suggest that nurse delivered, LI-CBT may be a feasible mechanism for CBT intervention delivery within secondary care outpatient gastroenterology. Significant difficulties in recruitment were experienced throughout the duration of this study which </w:t>
      </w:r>
      <w:r w:rsidRPr="00586A09">
        <w:rPr>
          <w:rFonts w:eastAsia="Calibri" w:cs="Times New Roman"/>
          <w:sz w:val="24"/>
          <w:szCs w:val="24"/>
        </w:rPr>
        <w:lastRenderedPageBreak/>
        <w:t xml:space="preserve">may render further investigations unfeasible if problems with recruitment are not addressed. Themes generated from the qualitative data have highlighted a variety of barriers and facilitators to the implementation of CBT treatment approaches as implemented during the conduct of a clinical trial. Participants struggled with the autonomy required to complete SH interventions, with most participants valuing face-to-face interaction with a therapist. Facilitators to the implementation of the interventions included the successful implementation of relaxation techniques and the explicit use of narratives within SH materials to enable participants to self-identify with the text. Participants also felt that preparation may improve engagement with therapy and improve the acceptability of CBT interventions for IBS. </w:t>
      </w:r>
    </w:p>
    <w:p w14:paraId="3479B7A1" w14:textId="77777777" w:rsidR="00C354C4" w:rsidRPr="00586A09" w:rsidRDefault="00C354C4" w:rsidP="00586A09">
      <w:pPr>
        <w:spacing w:after="0" w:line="480" w:lineRule="auto"/>
        <w:rPr>
          <w:rFonts w:eastAsia="Calibri" w:cs="Times New Roman"/>
          <w:sz w:val="24"/>
          <w:szCs w:val="24"/>
        </w:rPr>
      </w:pPr>
    </w:p>
    <w:p w14:paraId="3C86660B" w14:textId="77777777" w:rsidR="00C354C4" w:rsidRPr="00586A09" w:rsidRDefault="00C354C4" w:rsidP="00586A09">
      <w:pPr>
        <w:spacing w:after="0" w:line="480" w:lineRule="auto"/>
        <w:rPr>
          <w:rFonts w:eastAsia="Calibri" w:cs="Times New Roman"/>
          <w:sz w:val="24"/>
          <w:szCs w:val="24"/>
        </w:rPr>
      </w:pPr>
      <w:r w:rsidRPr="00586A09">
        <w:rPr>
          <w:rFonts w:eastAsia="Calibri" w:cs="Times New Roman"/>
          <w:sz w:val="24"/>
          <w:szCs w:val="24"/>
        </w:rPr>
        <w:t xml:space="preserve">This study was situated within the feasibility and pilot remit of the Medical Research Council’s guidelines for the evaluation of complex interventions </w:t>
      </w:r>
      <w:r>
        <w:rPr>
          <w:rFonts w:eastAsia="Calibri" w:cs="Times New Roman"/>
          <w:noProof/>
          <w:sz w:val="24"/>
          <w:szCs w:val="24"/>
        </w:rPr>
        <w:t>(MRC, 2008)</w:t>
      </w:r>
      <w:r w:rsidRPr="00586A09">
        <w:rPr>
          <w:rFonts w:eastAsia="Calibri" w:cs="Times New Roman"/>
          <w:sz w:val="24"/>
          <w:szCs w:val="24"/>
        </w:rPr>
        <w:t xml:space="preserve">. Although this study adds knowledge in relation to the potential barriers and facilitators to the successful implementation of the trialled interventions, the significant difficulties in recruiting participants to the feasibility trial suggest that further feasibility and piloting work is required to overcome these barriers if a large scale RCT is to be feasible at a single study centre. </w:t>
      </w:r>
      <w:r w:rsidRPr="00586A09">
        <w:rPr>
          <w:rFonts w:eastAsia="Calibri" w:cs="Calibri"/>
          <w:color w:val="000000" w:themeColor="text1"/>
          <w:sz w:val="24"/>
          <w:szCs w:val="24"/>
        </w:rPr>
        <w:t>Further development of these lower-intensity interventions in collaboration with service users is required and may improve the acceptability and relevance of the interventions within future studies.</w:t>
      </w:r>
    </w:p>
    <w:p w14:paraId="0B058393" w14:textId="77777777" w:rsidR="00C354C4" w:rsidRPr="00586A09" w:rsidRDefault="00C354C4" w:rsidP="00A86447">
      <w:pPr>
        <w:spacing w:after="0" w:line="480" w:lineRule="auto"/>
        <w:rPr>
          <w:bCs/>
          <w:sz w:val="24"/>
          <w:szCs w:val="24"/>
        </w:rPr>
      </w:pPr>
    </w:p>
    <w:p w14:paraId="6D954E21" w14:textId="77777777" w:rsidR="00C354C4" w:rsidRPr="00586A09" w:rsidRDefault="00C354C4" w:rsidP="00A86447">
      <w:pPr>
        <w:suppressAutoHyphens/>
        <w:autoSpaceDN w:val="0"/>
        <w:spacing w:line="480" w:lineRule="auto"/>
        <w:textAlignment w:val="baseline"/>
        <w:rPr>
          <w:rFonts w:eastAsia="SimSun" w:cs="Calibri"/>
          <w:color w:val="000000" w:themeColor="text1"/>
          <w:kern w:val="3"/>
          <w:sz w:val="24"/>
          <w:szCs w:val="24"/>
          <w:lang w:eastAsia="en-GB"/>
        </w:rPr>
      </w:pPr>
      <w:r w:rsidRPr="00586A09">
        <w:rPr>
          <w:rFonts w:eastAsia="SimSun" w:cs="Calibri"/>
          <w:b/>
          <w:color w:val="000000" w:themeColor="text1"/>
          <w:kern w:val="3"/>
          <w:sz w:val="24"/>
          <w:szCs w:val="24"/>
          <w:lang w:eastAsia="en-GB"/>
        </w:rPr>
        <w:t xml:space="preserve">Ethics and dissemination: </w:t>
      </w:r>
      <w:r w:rsidRPr="00586A09">
        <w:rPr>
          <w:rFonts w:eastAsia="SimSun" w:cs="Calibri"/>
          <w:color w:val="000000" w:themeColor="text1"/>
          <w:kern w:val="3"/>
          <w:sz w:val="24"/>
          <w:szCs w:val="24"/>
          <w:lang w:eastAsia="en-GB"/>
        </w:rPr>
        <w:t xml:space="preserve">A favourable opinion for this research was granted by the Nottingham 2 Research Ethics Committee. </w:t>
      </w:r>
    </w:p>
    <w:p w14:paraId="13E33CE1" w14:textId="77777777" w:rsidR="00C354C4" w:rsidRPr="00A80986" w:rsidRDefault="00C354C4" w:rsidP="00A86447">
      <w:pPr>
        <w:spacing w:line="480" w:lineRule="auto"/>
        <w:rPr>
          <w:rFonts w:eastAsia="SimSun" w:cs="Calibri"/>
          <w:color w:val="000000" w:themeColor="text1"/>
          <w:kern w:val="3"/>
          <w:sz w:val="24"/>
          <w:szCs w:val="24"/>
          <w:lang w:eastAsia="en-GB"/>
        </w:rPr>
      </w:pPr>
      <w:r w:rsidRPr="00586A09">
        <w:rPr>
          <w:rFonts w:eastAsia="SimSun" w:cs="Calibri"/>
          <w:b/>
          <w:color w:val="000000" w:themeColor="text1"/>
          <w:kern w:val="3"/>
          <w:sz w:val="24"/>
          <w:szCs w:val="24"/>
          <w:lang w:eastAsia="en-GB"/>
        </w:rPr>
        <w:t>Registration details</w:t>
      </w:r>
      <w:r w:rsidRPr="00586A09">
        <w:rPr>
          <w:rFonts w:eastAsia="SimSun" w:cs="Calibri"/>
          <w:color w:val="000000" w:themeColor="text1"/>
          <w:kern w:val="3"/>
          <w:sz w:val="24"/>
          <w:szCs w:val="24"/>
          <w:lang w:eastAsia="en-GB"/>
        </w:rPr>
        <w:t>: ISRCTN: 83683687 (</w:t>
      </w:r>
      <w:hyperlink r:id="rId11" w:history="1">
        <w:r w:rsidRPr="00586A09">
          <w:rPr>
            <w:rFonts w:eastAsia="SimSun" w:cs="Calibri"/>
            <w:color w:val="000000" w:themeColor="text1"/>
            <w:kern w:val="3"/>
            <w:sz w:val="24"/>
            <w:szCs w:val="24"/>
          </w:rPr>
          <w:t>http://www.controlled-trials.com/ISRCTN83683687</w:t>
        </w:r>
      </w:hyperlink>
      <w:r w:rsidRPr="00586A09">
        <w:rPr>
          <w:rFonts w:eastAsia="SimSun" w:cs="Calibri"/>
          <w:color w:val="000000" w:themeColor="text1"/>
          <w:kern w:val="3"/>
          <w:sz w:val="24"/>
          <w:szCs w:val="24"/>
          <w:lang w:eastAsia="en-GB"/>
        </w:rPr>
        <w:t>)</w:t>
      </w:r>
    </w:p>
    <w:p w14:paraId="0FA34501" w14:textId="77777777" w:rsidR="00C354C4" w:rsidRPr="007F3C1E" w:rsidRDefault="007F3C1E" w:rsidP="007F3C1E">
      <w:pPr>
        <w:spacing w:line="480" w:lineRule="auto"/>
        <w:rPr>
          <w:sz w:val="24"/>
          <w:szCs w:val="24"/>
        </w:rPr>
      </w:pPr>
      <w:r w:rsidRPr="007F3C1E">
        <w:rPr>
          <w:b/>
          <w:bCs/>
          <w:iCs/>
          <w:sz w:val="24"/>
          <w:szCs w:val="24"/>
          <w:lang w:val="en-US"/>
        </w:rPr>
        <w:t>Permissions</w:t>
      </w:r>
      <w:r w:rsidRPr="007F3C1E">
        <w:rPr>
          <w:i/>
          <w:iCs/>
          <w:sz w:val="24"/>
          <w:szCs w:val="24"/>
          <w:lang w:val="en-US"/>
        </w:rPr>
        <w:t xml:space="preserve"> An adapted version of the Irritable Bowel Syndrome self-help intervention originally developed by Melissa Hunt at the University of Pennsylvania was used during this study, as permitted under a research license issued by the University of Pennsylvania, Philadelphia, USA</w:t>
      </w:r>
      <w:bookmarkStart w:id="33" w:name="_Toc476381628"/>
    </w:p>
    <w:p w14:paraId="059AF2DC" w14:textId="77777777" w:rsidR="00C354C4" w:rsidRPr="00586A09" w:rsidRDefault="00C354C4" w:rsidP="00586A09">
      <w:pPr>
        <w:pStyle w:val="Heading1"/>
        <w:spacing w:line="480" w:lineRule="auto"/>
        <w:rPr>
          <w:sz w:val="24"/>
          <w:szCs w:val="24"/>
        </w:rPr>
      </w:pPr>
      <w:r w:rsidRPr="00586A09">
        <w:rPr>
          <w:sz w:val="24"/>
          <w:szCs w:val="24"/>
        </w:rPr>
        <w:t>References</w:t>
      </w:r>
      <w:bookmarkEnd w:id="33"/>
    </w:p>
    <w:p w14:paraId="24639DF1" w14:textId="77777777" w:rsidR="00C354C4" w:rsidRPr="00721A88" w:rsidRDefault="00C354C4" w:rsidP="00721A88">
      <w:pPr>
        <w:spacing w:after="240" w:line="240" w:lineRule="auto"/>
        <w:rPr>
          <w:noProof/>
          <w:szCs w:val="24"/>
        </w:rPr>
      </w:pPr>
      <w:bookmarkStart w:id="34" w:name="_ENREF_1"/>
      <w:r w:rsidRPr="00721A88">
        <w:rPr>
          <w:noProof/>
          <w:szCs w:val="24"/>
        </w:rPr>
        <w:t xml:space="preserve">Anaf, S. and Sheppard, L. (2007) Mixing research methods in health professional degrees: Thoughts for undergraduate students and supervisors. </w:t>
      </w:r>
      <w:r w:rsidRPr="00721A88">
        <w:rPr>
          <w:b/>
          <w:noProof/>
          <w:szCs w:val="24"/>
        </w:rPr>
        <w:t>The Qualitative Report</w:t>
      </w:r>
      <w:r w:rsidRPr="00721A88">
        <w:rPr>
          <w:noProof/>
          <w:szCs w:val="24"/>
        </w:rPr>
        <w:t xml:space="preserve"> 12(2): pp. 184-192.</w:t>
      </w:r>
      <w:bookmarkEnd w:id="34"/>
    </w:p>
    <w:p w14:paraId="1CAEECFC" w14:textId="77777777" w:rsidR="00C354C4" w:rsidRPr="00721A88" w:rsidRDefault="00C354C4" w:rsidP="00721A88">
      <w:pPr>
        <w:spacing w:after="240" w:line="240" w:lineRule="auto"/>
        <w:rPr>
          <w:noProof/>
          <w:szCs w:val="24"/>
        </w:rPr>
      </w:pPr>
      <w:bookmarkStart w:id="35" w:name="_ENREF_2"/>
      <w:r w:rsidRPr="00721A88">
        <w:rPr>
          <w:noProof/>
          <w:szCs w:val="24"/>
        </w:rPr>
        <w:t xml:space="preserve">Ballinger, C. (2006) Demonstrating rigour and quality. In: Finlay, L. and Ballinger, C. (Eds.) </w:t>
      </w:r>
      <w:r w:rsidRPr="00721A88">
        <w:rPr>
          <w:b/>
          <w:noProof/>
          <w:szCs w:val="24"/>
        </w:rPr>
        <w:t>Qualitative research for allied health professionals: challenging choices.</w:t>
      </w:r>
      <w:r w:rsidRPr="00721A88">
        <w:rPr>
          <w:b/>
          <w:i/>
          <w:noProof/>
          <w:szCs w:val="24"/>
        </w:rPr>
        <w:t xml:space="preserve"> </w:t>
      </w:r>
      <w:r w:rsidRPr="00721A88">
        <w:rPr>
          <w:noProof/>
          <w:szCs w:val="24"/>
        </w:rPr>
        <w:t>Chichester: John Wiley.</w:t>
      </w:r>
      <w:bookmarkEnd w:id="35"/>
    </w:p>
    <w:p w14:paraId="7DC64F7E" w14:textId="77777777" w:rsidR="00C354C4" w:rsidRPr="00721A88" w:rsidRDefault="00C354C4" w:rsidP="00721A88">
      <w:pPr>
        <w:spacing w:after="240" w:line="240" w:lineRule="auto"/>
        <w:rPr>
          <w:noProof/>
          <w:szCs w:val="24"/>
        </w:rPr>
      </w:pPr>
      <w:bookmarkStart w:id="36" w:name="_ENREF_3"/>
      <w:r w:rsidRPr="00721A88">
        <w:rPr>
          <w:noProof/>
          <w:szCs w:val="24"/>
        </w:rPr>
        <w:t xml:space="preserve">Bendelin, N., Hesser, H., Dahl, J., Carlbring, P., Nelson, K. and Andersson, G. (2011) Experiences of guided Internet-based cognitive-behavioural treatment for depression: a qualitative study. </w:t>
      </w:r>
      <w:r w:rsidRPr="00721A88">
        <w:rPr>
          <w:b/>
          <w:noProof/>
          <w:szCs w:val="24"/>
        </w:rPr>
        <w:t>BMC Psychiatry</w:t>
      </w:r>
      <w:r w:rsidRPr="00721A88">
        <w:rPr>
          <w:noProof/>
          <w:szCs w:val="24"/>
        </w:rPr>
        <w:t xml:space="preserve"> 11(107): pp. 1-10.</w:t>
      </w:r>
      <w:bookmarkEnd w:id="36"/>
    </w:p>
    <w:p w14:paraId="3BE48DB5" w14:textId="77777777" w:rsidR="00C354C4" w:rsidRPr="00721A88" w:rsidRDefault="00C354C4" w:rsidP="00721A88">
      <w:pPr>
        <w:spacing w:after="240" w:line="240" w:lineRule="auto"/>
        <w:rPr>
          <w:noProof/>
          <w:szCs w:val="24"/>
        </w:rPr>
      </w:pPr>
      <w:bookmarkStart w:id="37" w:name="_ENREF_4"/>
      <w:r w:rsidRPr="00721A88">
        <w:rPr>
          <w:noProof/>
          <w:szCs w:val="24"/>
        </w:rPr>
        <w:t xml:space="preserve">Bengtsson, J., Nordin, S. and Carlbring, P. (2015) Therapists' Experiences of Conducting Cognitive Behavioural Therapy Online vis-à-vis Face-to-Face. </w:t>
      </w:r>
      <w:r w:rsidRPr="00721A88">
        <w:rPr>
          <w:b/>
          <w:noProof/>
          <w:szCs w:val="24"/>
        </w:rPr>
        <w:t>Cognitive Behaviour Therapy</w:t>
      </w:r>
      <w:r w:rsidRPr="00721A88">
        <w:rPr>
          <w:noProof/>
          <w:szCs w:val="24"/>
        </w:rPr>
        <w:t xml:space="preserve"> 44(6): pp. 470-479.</w:t>
      </w:r>
      <w:bookmarkEnd w:id="37"/>
    </w:p>
    <w:p w14:paraId="4A1D3930" w14:textId="77777777" w:rsidR="00C354C4" w:rsidRPr="00721A88" w:rsidRDefault="00C354C4" w:rsidP="00721A88">
      <w:pPr>
        <w:spacing w:after="240" w:line="240" w:lineRule="auto"/>
        <w:rPr>
          <w:noProof/>
          <w:szCs w:val="24"/>
        </w:rPr>
      </w:pPr>
      <w:bookmarkStart w:id="38" w:name="_ENREF_5"/>
      <w:r w:rsidRPr="00721A88">
        <w:rPr>
          <w:noProof/>
          <w:szCs w:val="24"/>
        </w:rPr>
        <w:t xml:space="preserve">Brenes, G., Ingram, C. and Danhauer, S. (2011) Benefits and Challenges of Conducting Psychotherapy by Telephone. </w:t>
      </w:r>
      <w:r w:rsidRPr="00721A88">
        <w:rPr>
          <w:b/>
          <w:noProof/>
          <w:szCs w:val="24"/>
        </w:rPr>
        <w:t>Professional Psychology: Research and Practice</w:t>
      </w:r>
      <w:r w:rsidRPr="00721A88">
        <w:rPr>
          <w:noProof/>
          <w:szCs w:val="24"/>
        </w:rPr>
        <w:t xml:space="preserve"> 42(6): pp. 543-549.</w:t>
      </w:r>
      <w:bookmarkEnd w:id="38"/>
    </w:p>
    <w:p w14:paraId="5E27B782" w14:textId="77777777" w:rsidR="00C354C4" w:rsidRPr="00721A88" w:rsidRDefault="00C354C4" w:rsidP="00721A88">
      <w:pPr>
        <w:spacing w:after="240" w:line="240" w:lineRule="auto"/>
        <w:rPr>
          <w:noProof/>
          <w:szCs w:val="24"/>
        </w:rPr>
      </w:pPr>
      <w:bookmarkStart w:id="39" w:name="_ENREF_6"/>
      <w:r w:rsidRPr="00721A88">
        <w:rPr>
          <w:noProof/>
          <w:szCs w:val="24"/>
        </w:rPr>
        <w:t xml:space="preserve">Brent, M., Lobato, D. and LeLeiko, N. (2009) Psychological treatments for pediatric functional gastrointestinal disorders. </w:t>
      </w:r>
      <w:r w:rsidRPr="00721A88">
        <w:rPr>
          <w:b/>
          <w:noProof/>
          <w:szCs w:val="24"/>
        </w:rPr>
        <w:t>Journal of Paediatric Gastroenterology Nutrition</w:t>
      </w:r>
      <w:r w:rsidRPr="00721A88">
        <w:rPr>
          <w:noProof/>
          <w:szCs w:val="24"/>
        </w:rPr>
        <w:t xml:space="preserve"> 48(1): pp. 13-21.</w:t>
      </w:r>
      <w:bookmarkEnd w:id="39"/>
    </w:p>
    <w:p w14:paraId="34B7E499" w14:textId="77777777" w:rsidR="00C354C4" w:rsidRPr="00721A88" w:rsidRDefault="00C354C4" w:rsidP="00721A88">
      <w:pPr>
        <w:spacing w:after="240" w:line="240" w:lineRule="auto"/>
        <w:rPr>
          <w:noProof/>
          <w:szCs w:val="24"/>
        </w:rPr>
      </w:pPr>
      <w:bookmarkStart w:id="40" w:name="_ENREF_7"/>
      <w:r w:rsidRPr="00721A88">
        <w:rPr>
          <w:noProof/>
          <w:szCs w:val="24"/>
        </w:rPr>
        <w:lastRenderedPageBreak/>
        <w:t xml:space="preserve">Canavan, C., West, J. and Card, T. (2014) The epidemiology of irritable bowel syndrome. </w:t>
      </w:r>
      <w:r w:rsidRPr="00721A88">
        <w:rPr>
          <w:b/>
          <w:noProof/>
          <w:szCs w:val="24"/>
        </w:rPr>
        <w:t>Clinical Epidemiology</w:t>
      </w:r>
      <w:r w:rsidRPr="00721A88">
        <w:rPr>
          <w:noProof/>
          <w:szCs w:val="24"/>
        </w:rPr>
        <w:t xml:space="preserve"> 4(6): pp. 67-80.</w:t>
      </w:r>
      <w:bookmarkEnd w:id="40"/>
    </w:p>
    <w:p w14:paraId="0DC98A6A" w14:textId="77777777" w:rsidR="00C354C4" w:rsidRPr="00721A88" w:rsidRDefault="00C354C4" w:rsidP="00721A88">
      <w:pPr>
        <w:spacing w:after="240" w:line="240" w:lineRule="auto"/>
        <w:rPr>
          <w:noProof/>
          <w:szCs w:val="24"/>
        </w:rPr>
      </w:pPr>
      <w:bookmarkStart w:id="41" w:name="_ENREF_8"/>
      <w:r w:rsidRPr="00721A88">
        <w:rPr>
          <w:noProof/>
          <w:szCs w:val="24"/>
        </w:rPr>
        <w:t xml:space="preserve">CONSORT. (2012) </w:t>
      </w:r>
      <w:r w:rsidRPr="00721A88">
        <w:rPr>
          <w:b/>
          <w:noProof/>
          <w:szCs w:val="24"/>
        </w:rPr>
        <w:t>Consolidated standards of reporting trials.</w:t>
      </w:r>
      <w:r w:rsidRPr="00721A88">
        <w:rPr>
          <w:noProof/>
          <w:szCs w:val="24"/>
        </w:rPr>
        <w:t xml:space="preserve"> Available at: </w:t>
      </w:r>
      <w:r w:rsidRPr="00C354C4">
        <w:rPr>
          <w:noProof/>
          <w:szCs w:val="24"/>
        </w:rPr>
        <w:t>http://www.consort-statement.org/</w:t>
      </w:r>
      <w:r w:rsidRPr="00721A88">
        <w:rPr>
          <w:noProof/>
          <w:szCs w:val="24"/>
        </w:rPr>
        <w:t xml:space="preserve"> [Accessed 31 August 2017].</w:t>
      </w:r>
      <w:bookmarkEnd w:id="41"/>
    </w:p>
    <w:p w14:paraId="07CFCD44" w14:textId="77777777" w:rsidR="00C354C4" w:rsidRPr="00721A88" w:rsidRDefault="00C354C4" w:rsidP="00721A88">
      <w:pPr>
        <w:spacing w:after="240" w:line="240" w:lineRule="auto"/>
        <w:rPr>
          <w:noProof/>
          <w:szCs w:val="24"/>
        </w:rPr>
      </w:pPr>
      <w:bookmarkStart w:id="42" w:name="_ENREF_9"/>
      <w:r w:rsidRPr="00721A88">
        <w:rPr>
          <w:noProof/>
          <w:szCs w:val="24"/>
        </w:rPr>
        <w:t xml:space="preserve">Craske, M., Wolitzky-Taylor, K., Labus, J., Wu, S., Frese, M., Mayer, E. and Naliboff, B. (2011) A cognitive-behavioral treatment for irritable bowel syndrome using interoceptive exposure to visceral sensations. </w:t>
      </w:r>
      <w:r w:rsidRPr="00721A88">
        <w:rPr>
          <w:b/>
          <w:noProof/>
          <w:szCs w:val="24"/>
        </w:rPr>
        <w:t>Behaviour Research and Therapy</w:t>
      </w:r>
      <w:r w:rsidRPr="00721A88">
        <w:rPr>
          <w:noProof/>
          <w:szCs w:val="24"/>
        </w:rPr>
        <w:t xml:space="preserve"> 49(6): pp. 413-421.</w:t>
      </w:r>
      <w:bookmarkEnd w:id="42"/>
    </w:p>
    <w:p w14:paraId="4A026B7D" w14:textId="77777777" w:rsidR="00C354C4" w:rsidRPr="00721A88" w:rsidRDefault="00C354C4" w:rsidP="00721A88">
      <w:pPr>
        <w:spacing w:after="240" w:line="240" w:lineRule="auto"/>
        <w:rPr>
          <w:noProof/>
          <w:szCs w:val="24"/>
        </w:rPr>
      </w:pPr>
      <w:bookmarkStart w:id="43" w:name="_ENREF_10"/>
      <w:r w:rsidRPr="00721A88">
        <w:rPr>
          <w:noProof/>
          <w:szCs w:val="24"/>
        </w:rPr>
        <w:t xml:space="preserve">Creswell, J. and Plano Clark, V. (2007) </w:t>
      </w:r>
      <w:r w:rsidRPr="00721A88">
        <w:rPr>
          <w:b/>
          <w:noProof/>
          <w:szCs w:val="24"/>
        </w:rPr>
        <w:t xml:space="preserve">Designing and conducting mixed methods research. </w:t>
      </w:r>
      <w:r w:rsidRPr="00721A88">
        <w:rPr>
          <w:noProof/>
          <w:szCs w:val="24"/>
        </w:rPr>
        <w:t>Thousand Oaks, CA: Sage.</w:t>
      </w:r>
      <w:bookmarkEnd w:id="43"/>
    </w:p>
    <w:p w14:paraId="59E286AE" w14:textId="77777777" w:rsidR="00C354C4" w:rsidRPr="00721A88" w:rsidRDefault="00C354C4" w:rsidP="00721A88">
      <w:pPr>
        <w:spacing w:after="240" w:line="240" w:lineRule="auto"/>
        <w:rPr>
          <w:noProof/>
          <w:szCs w:val="24"/>
        </w:rPr>
      </w:pPr>
      <w:bookmarkStart w:id="44" w:name="_ENREF_11"/>
      <w:r w:rsidRPr="00721A88">
        <w:rPr>
          <w:noProof/>
          <w:szCs w:val="24"/>
        </w:rPr>
        <w:t xml:space="preserve">Denzin, N. and Lincoln, Y. (2000) The discipline and practice of qualitative research. In: Denzin, N. and Lincoln, Y. (Eds.) </w:t>
      </w:r>
      <w:r w:rsidRPr="00721A88">
        <w:rPr>
          <w:b/>
          <w:noProof/>
          <w:szCs w:val="24"/>
        </w:rPr>
        <w:t>Handbook of qualitative research.</w:t>
      </w:r>
      <w:r w:rsidRPr="00721A88">
        <w:rPr>
          <w:b/>
          <w:i/>
          <w:noProof/>
          <w:szCs w:val="24"/>
        </w:rPr>
        <w:t xml:space="preserve"> </w:t>
      </w:r>
      <w:r w:rsidRPr="00721A88">
        <w:rPr>
          <w:noProof/>
          <w:szCs w:val="24"/>
        </w:rPr>
        <w:t>Thousand Oaks, CA: Sage.</w:t>
      </w:r>
      <w:bookmarkEnd w:id="44"/>
    </w:p>
    <w:p w14:paraId="6255AD1B" w14:textId="77777777" w:rsidR="00C354C4" w:rsidRPr="00721A88" w:rsidRDefault="00C354C4" w:rsidP="00721A88">
      <w:pPr>
        <w:spacing w:after="240" w:line="240" w:lineRule="auto"/>
        <w:rPr>
          <w:noProof/>
          <w:szCs w:val="24"/>
        </w:rPr>
      </w:pPr>
      <w:bookmarkStart w:id="45" w:name="_ENREF_12"/>
      <w:r w:rsidRPr="00721A88">
        <w:rPr>
          <w:noProof/>
          <w:szCs w:val="24"/>
        </w:rPr>
        <w:t xml:space="preserve">Drossman, D., Patrick, D., Whitehead, W., Toner, B., Diamant, N., Hu, Y., Jia, H. and Bangdiwala, S. (2000) Further validation of the IBS-QOL: A disease-specific quality-of-life questionnaire. </w:t>
      </w:r>
      <w:r w:rsidRPr="00721A88">
        <w:rPr>
          <w:b/>
          <w:noProof/>
          <w:szCs w:val="24"/>
        </w:rPr>
        <w:t>American Journal of Gastroenterology</w:t>
      </w:r>
      <w:r w:rsidRPr="00721A88">
        <w:rPr>
          <w:noProof/>
          <w:szCs w:val="24"/>
        </w:rPr>
        <w:t xml:space="preserve"> 95(4): pp. 999-1007.</w:t>
      </w:r>
      <w:bookmarkEnd w:id="45"/>
    </w:p>
    <w:p w14:paraId="0BDED43B" w14:textId="77777777" w:rsidR="00C354C4" w:rsidRPr="00721A88" w:rsidRDefault="00C354C4" w:rsidP="00721A88">
      <w:pPr>
        <w:spacing w:after="240" w:line="240" w:lineRule="auto"/>
        <w:rPr>
          <w:noProof/>
          <w:szCs w:val="24"/>
        </w:rPr>
      </w:pPr>
      <w:bookmarkStart w:id="46" w:name="_ENREF_13"/>
      <w:r w:rsidRPr="00721A88">
        <w:rPr>
          <w:noProof/>
          <w:szCs w:val="24"/>
        </w:rPr>
        <w:t xml:space="preserve">Drossman, D., Toner, B., Whitehead, W., Diamant, N., Dalton, C., Duncan, S., Emmott, S., Proffitt, V., Akman, D., Frusciante, K., et al. (2003) Cognitive-behavioral therapy versus education and desipramine versus placebo for moderate to severe functional bowel disorders. </w:t>
      </w:r>
      <w:r w:rsidRPr="00721A88">
        <w:rPr>
          <w:b/>
          <w:noProof/>
          <w:szCs w:val="24"/>
        </w:rPr>
        <w:t>Gastroenterology</w:t>
      </w:r>
      <w:r w:rsidRPr="00721A88">
        <w:rPr>
          <w:noProof/>
          <w:szCs w:val="24"/>
        </w:rPr>
        <w:t xml:space="preserve"> 125(1): pp. 19-31.</w:t>
      </w:r>
      <w:bookmarkEnd w:id="46"/>
    </w:p>
    <w:p w14:paraId="7E8092BA" w14:textId="77777777" w:rsidR="00C354C4" w:rsidRPr="00721A88" w:rsidRDefault="00C354C4" w:rsidP="00721A88">
      <w:pPr>
        <w:spacing w:after="240" w:line="240" w:lineRule="auto"/>
        <w:rPr>
          <w:noProof/>
          <w:szCs w:val="24"/>
        </w:rPr>
      </w:pPr>
      <w:bookmarkStart w:id="47" w:name="_ENREF_14"/>
      <w:r w:rsidRPr="00721A88">
        <w:rPr>
          <w:noProof/>
          <w:szCs w:val="24"/>
        </w:rPr>
        <w:t xml:space="preserve">Gunaratnam, Y. (2009) </w:t>
      </w:r>
      <w:r w:rsidRPr="00721A88">
        <w:rPr>
          <w:b/>
          <w:noProof/>
          <w:szCs w:val="24"/>
        </w:rPr>
        <w:t>Narrative and stories in health care.</w:t>
      </w:r>
      <w:r w:rsidRPr="00721A88">
        <w:rPr>
          <w:noProof/>
          <w:szCs w:val="24"/>
        </w:rPr>
        <w:t xml:space="preserve"> Available at: </w:t>
      </w:r>
      <w:r w:rsidRPr="00C354C4">
        <w:rPr>
          <w:noProof/>
          <w:szCs w:val="24"/>
        </w:rPr>
        <w:t>http://goldsmiths.academia.edu/YasminGunaratnam/Papers/386158/Narrative_Interviews_and_Research</w:t>
      </w:r>
      <w:r w:rsidRPr="00721A88">
        <w:rPr>
          <w:noProof/>
          <w:szCs w:val="24"/>
        </w:rPr>
        <w:t xml:space="preserve"> [Accessed 28 July 2017].</w:t>
      </w:r>
      <w:bookmarkEnd w:id="47"/>
    </w:p>
    <w:p w14:paraId="2589EBB9" w14:textId="77777777" w:rsidR="00C354C4" w:rsidRPr="00721A88" w:rsidRDefault="00C354C4" w:rsidP="00721A88">
      <w:pPr>
        <w:spacing w:after="240" w:line="240" w:lineRule="auto"/>
        <w:rPr>
          <w:noProof/>
          <w:szCs w:val="24"/>
        </w:rPr>
      </w:pPr>
      <w:bookmarkStart w:id="48" w:name="_ENREF_15"/>
      <w:r w:rsidRPr="00721A88">
        <w:rPr>
          <w:noProof/>
          <w:szCs w:val="24"/>
        </w:rPr>
        <w:t xml:space="preserve">Gwee, K., Graham, J., McKendrick, M., Collins, S., Marshall, J., Walters, S. and Read, N. (1996) Psychometric scores and persistence of irritable bowel after infectious diarrhoea. </w:t>
      </w:r>
      <w:r w:rsidRPr="00721A88">
        <w:rPr>
          <w:b/>
          <w:noProof/>
          <w:szCs w:val="24"/>
        </w:rPr>
        <w:t>Lancet</w:t>
      </w:r>
      <w:r w:rsidRPr="00721A88">
        <w:rPr>
          <w:noProof/>
          <w:szCs w:val="24"/>
        </w:rPr>
        <w:t xml:space="preserve"> 347(8995): pp. 150-153.</w:t>
      </w:r>
      <w:bookmarkEnd w:id="48"/>
    </w:p>
    <w:p w14:paraId="3724DF51" w14:textId="77777777" w:rsidR="00C354C4" w:rsidRPr="00721A88" w:rsidRDefault="00C354C4" w:rsidP="00721A88">
      <w:pPr>
        <w:spacing w:after="240" w:line="240" w:lineRule="auto"/>
        <w:rPr>
          <w:noProof/>
          <w:szCs w:val="24"/>
        </w:rPr>
      </w:pPr>
      <w:bookmarkStart w:id="49" w:name="_ENREF_16"/>
      <w:r w:rsidRPr="00721A88">
        <w:rPr>
          <w:noProof/>
          <w:szCs w:val="24"/>
        </w:rPr>
        <w:t xml:space="preserve">Halder, S., Fett, S., Locke, G., Melton, L., Talley, N. and Zinsmeister, A. (2004) Impact of functional gastrointestinal disorders on health-related quality of life: a population-based case-control study. </w:t>
      </w:r>
      <w:r w:rsidRPr="00721A88">
        <w:rPr>
          <w:b/>
          <w:noProof/>
          <w:szCs w:val="24"/>
        </w:rPr>
        <w:t>Alimentary Pharmacology Therapeutics</w:t>
      </w:r>
      <w:r w:rsidRPr="00721A88">
        <w:rPr>
          <w:noProof/>
          <w:szCs w:val="24"/>
        </w:rPr>
        <w:t xml:space="preserve"> 19(2): pp. 233-242.</w:t>
      </w:r>
      <w:bookmarkEnd w:id="49"/>
    </w:p>
    <w:p w14:paraId="1C97E85D" w14:textId="77777777" w:rsidR="00C354C4" w:rsidRPr="00721A88" w:rsidRDefault="00C354C4" w:rsidP="00721A88">
      <w:pPr>
        <w:spacing w:after="240" w:line="240" w:lineRule="auto"/>
        <w:rPr>
          <w:noProof/>
          <w:szCs w:val="24"/>
        </w:rPr>
      </w:pPr>
      <w:bookmarkStart w:id="50" w:name="_ENREF_17"/>
      <w:r w:rsidRPr="00721A88">
        <w:rPr>
          <w:noProof/>
          <w:szCs w:val="24"/>
        </w:rPr>
        <w:t xml:space="preserve">Hunt, M. (2016) </w:t>
      </w:r>
      <w:r w:rsidRPr="00721A88">
        <w:rPr>
          <w:b/>
          <w:noProof/>
          <w:szCs w:val="24"/>
        </w:rPr>
        <w:t xml:space="preserve">Reclaim Your Life from IBS. </w:t>
      </w:r>
      <w:r w:rsidRPr="00721A88">
        <w:rPr>
          <w:noProof/>
          <w:szCs w:val="24"/>
        </w:rPr>
        <w:t>NY: Sterling Publishing.</w:t>
      </w:r>
      <w:bookmarkEnd w:id="50"/>
    </w:p>
    <w:p w14:paraId="0ABA0BA2" w14:textId="77777777" w:rsidR="00C354C4" w:rsidRPr="00721A88" w:rsidRDefault="00C354C4" w:rsidP="00721A88">
      <w:pPr>
        <w:spacing w:after="240" w:line="240" w:lineRule="auto"/>
        <w:rPr>
          <w:noProof/>
          <w:szCs w:val="24"/>
        </w:rPr>
      </w:pPr>
      <w:bookmarkStart w:id="51" w:name="_ENREF_18"/>
      <w:r w:rsidRPr="00721A88">
        <w:rPr>
          <w:noProof/>
          <w:szCs w:val="24"/>
        </w:rPr>
        <w:t xml:space="preserve">Hunt, M., Ertel, E., Coello, J. and Rodriguez, L. (2014) Empirical Support for a Self-Help Treatment for IBS </w:t>
      </w:r>
      <w:r w:rsidRPr="00721A88">
        <w:rPr>
          <w:b/>
          <w:noProof/>
          <w:szCs w:val="24"/>
        </w:rPr>
        <w:t>Cognitive Therapy and Research</w:t>
      </w:r>
      <w:r w:rsidRPr="00721A88">
        <w:rPr>
          <w:noProof/>
          <w:szCs w:val="24"/>
        </w:rPr>
        <w:t xml:space="preserve"> 39(2): pp. 215-227.</w:t>
      </w:r>
      <w:bookmarkEnd w:id="51"/>
    </w:p>
    <w:p w14:paraId="1E5D0325" w14:textId="77777777" w:rsidR="00C354C4" w:rsidRPr="00721A88" w:rsidRDefault="00C354C4" w:rsidP="00721A88">
      <w:pPr>
        <w:spacing w:after="240" w:line="240" w:lineRule="auto"/>
        <w:rPr>
          <w:noProof/>
          <w:szCs w:val="24"/>
        </w:rPr>
      </w:pPr>
      <w:bookmarkStart w:id="52" w:name="_ENREF_19"/>
      <w:r w:rsidRPr="00721A88">
        <w:rPr>
          <w:noProof/>
          <w:szCs w:val="24"/>
        </w:rPr>
        <w:t xml:space="preserve">Hunt, M., Moshier, S. and Milonova, M. (2009) Brief cognitive-behavioral internet therapy for irritable bowel syndrome. </w:t>
      </w:r>
      <w:r w:rsidRPr="00721A88">
        <w:rPr>
          <w:b/>
          <w:noProof/>
          <w:szCs w:val="24"/>
        </w:rPr>
        <w:t>Behaviour Research and Therapy</w:t>
      </w:r>
      <w:r w:rsidRPr="00721A88">
        <w:rPr>
          <w:noProof/>
          <w:szCs w:val="24"/>
        </w:rPr>
        <w:t xml:space="preserve"> 47(9): pp. 797-802.</w:t>
      </w:r>
      <w:bookmarkEnd w:id="52"/>
    </w:p>
    <w:p w14:paraId="714E6C3E" w14:textId="77777777" w:rsidR="00C354C4" w:rsidRPr="00721A88" w:rsidRDefault="00C354C4" w:rsidP="00721A88">
      <w:pPr>
        <w:spacing w:after="240" w:line="240" w:lineRule="auto"/>
        <w:rPr>
          <w:noProof/>
          <w:szCs w:val="24"/>
        </w:rPr>
      </w:pPr>
      <w:bookmarkStart w:id="53" w:name="_ENREF_20"/>
      <w:r w:rsidRPr="00721A88">
        <w:rPr>
          <w:noProof/>
          <w:szCs w:val="24"/>
        </w:rPr>
        <w:lastRenderedPageBreak/>
        <w:t xml:space="preserve">IAPT. (2017) </w:t>
      </w:r>
      <w:r w:rsidRPr="00721A88">
        <w:rPr>
          <w:b/>
          <w:noProof/>
          <w:szCs w:val="24"/>
        </w:rPr>
        <w:t>High intensity long term conditions / medically unexplained conditions training resources.</w:t>
      </w:r>
      <w:r w:rsidRPr="00721A88">
        <w:rPr>
          <w:noProof/>
          <w:szCs w:val="24"/>
        </w:rPr>
        <w:t xml:space="preserve"> Available at: https://hee.nhs.uk/our-work/person-centred-care/mental-health/improving-access-psychological-therapies-iapt/high-intensity-long-term-conditions-medically-unexplained [Accessed 28 July 2017].</w:t>
      </w:r>
      <w:bookmarkEnd w:id="53"/>
    </w:p>
    <w:p w14:paraId="689B8380" w14:textId="77777777" w:rsidR="00C354C4" w:rsidRPr="00721A88" w:rsidRDefault="00C354C4" w:rsidP="00721A88">
      <w:pPr>
        <w:spacing w:after="240" w:line="240" w:lineRule="auto"/>
        <w:rPr>
          <w:noProof/>
          <w:szCs w:val="24"/>
        </w:rPr>
      </w:pPr>
      <w:bookmarkStart w:id="54" w:name="_ENREF_21"/>
      <w:r w:rsidRPr="00721A88">
        <w:rPr>
          <w:noProof/>
          <w:szCs w:val="24"/>
        </w:rPr>
        <w:t xml:space="preserve">Johnson, B. and Onwuegbuzie, A. (2004) Mixed methods research: A research paradigm whose time has come. </w:t>
      </w:r>
      <w:r w:rsidRPr="00721A88">
        <w:rPr>
          <w:b/>
          <w:noProof/>
          <w:szCs w:val="24"/>
        </w:rPr>
        <w:t>Educational Researcher</w:t>
      </w:r>
      <w:r w:rsidRPr="00721A88">
        <w:rPr>
          <w:noProof/>
          <w:szCs w:val="24"/>
        </w:rPr>
        <w:t xml:space="preserve"> 33(7): pp. 14-26.</w:t>
      </w:r>
      <w:bookmarkEnd w:id="54"/>
    </w:p>
    <w:p w14:paraId="3110C4CE" w14:textId="77777777" w:rsidR="00C354C4" w:rsidRPr="00721A88" w:rsidRDefault="00C354C4" w:rsidP="00721A88">
      <w:pPr>
        <w:spacing w:after="240" w:line="240" w:lineRule="auto"/>
        <w:rPr>
          <w:noProof/>
          <w:szCs w:val="24"/>
        </w:rPr>
      </w:pPr>
      <w:bookmarkStart w:id="55" w:name="_ENREF_22"/>
      <w:r w:rsidRPr="00721A88">
        <w:rPr>
          <w:noProof/>
          <w:szCs w:val="24"/>
        </w:rPr>
        <w:t xml:space="preserve">Julious, S. (2005) Sample size of 12 per group rule of thumb for a pilot study. </w:t>
      </w:r>
      <w:r w:rsidRPr="00721A88">
        <w:rPr>
          <w:b/>
          <w:noProof/>
          <w:szCs w:val="24"/>
        </w:rPr>
        <w:t>Pharmaceutical Statistics</w:t>
      </w:r>
      <w:r w:rsidRPr="00721A88">
        <w:rPr>
          <w:noProof/>
          <w:szCs w:val="24"/>
        </w:rPr>
        <w:t xml:space="preserve"> 4(4): pp. 287-291.</w:t>
      </w:r>
      <w:bookmarkEnd w:id="55"/>
    </w:p>
    <w:p w14:paraId="6B5ADD9D" w14:textId="77777777" w:rsidR="00C354C4" w:rsidRPr="00721A88" w:rsidRDefault="00C354C4" w:rsidP="00721A88">
      <w:pPr>
        <w:spacing w:after="240" w:line="240" w:lineRule="auto"/>
        <w:rPr>
          <w:noProof/>
          <w:szCs w:val="24"/>
        </w:rPr>
      </w:pPr>
      <w:bookmarkStart w:id="56" w:name="_ENREF_23"/>
      <w:r w:rsidRPr="00721A88">
        <w:rPr>
          <w:noProof/>
          <w:szCs w:val="24"/>
        </w:rPr>
        <w:t xml:space="preserve">Kennedy, T., Jones, R., Darnley, S., Seed, P., Wessely, S. and Chalder, T. (2005) Cognitive behaviour therapy in addition to antispasmodic treatment for irritable bowel syndrome in primary care: Randomised controlled trial. </w:t>
      </w:r>
      <w:r w:rsidRPr="00721A88">
        <w:rPr>
          <w:b/>
          <w:noProof/>
          <w:szCs w:val="24"/>
        </w:rPr>
        <w:t>British Medical Journal</w:t>
      </w:r>
      <w:r w:rsidRPr="00721A88">
        <w:rPr>
          <w:noProof/>
          <w:szCs w:val="24"/>
        </w:rPr>
        <w:t xml:space="preserve"> 331(7514): pp. 435-437.</w:t>
      </w:r>
      <w:bookmarkEnd w:id="56"/>
    </w:p>
    <w:p w14:paraId="17F4B484" w14:textId="77777777" w:rsidR="00C354C4" w:rsidRPr="00721A88" w:rsidRDefault="00C354C4" w:rsidP="00721A88">
      <w:pPr>
        <w:spacing w:after="240" w:line="240" w:lineRule="auto"/>
        <w:rPr>
          <w:noProof/>
          <w:szCs w:val="24"/>
        </w:rPr>
      </w:pPr>
      <w:bookmarkStart w:id="57" w:name="_ENREF_24"/>
      <w:r w:rsidRPr="00721A88">
        <w:rPr>
          <w:noProof/>
          <w:szCs w:val="24"/>
        </w:rPr>
        <w:t xml:space="preserve">Kroenke, K., Spitzer, R. and Williams, J. (2001) The PHQ-9: validity of a brief depression severity measure. </w:t>
      </w:r>
      <w:r w:rsidRPr="00721A88">
        <w:rPr>
          <w:b/>
          <w:noProof/>
          <w:szCs w:val="24"/>
        </w:rPr>
        <w:t>Journal of General Internal Medicine</w:t>
      </w:r>
      <w:r w:rsidRPr="00721A88">
        <w:rPr>
          <w:noProof/>
          <w:szCs w:val="24"/>
        </w:rPr>
        <w:t xml:space="preserve"> 16(9): pp. 606-613.</w:t>
      </w:r>
      <w:bookmarkEnd w:id="57"/>
    </w:p>
    <w:p w14:paraId="21BDF5C2" w14:textId="77777777" w:rsidR="00C354C4" w:rsidRPr="00721A88" w:rsidRDefault="00C354C4" w:rsidP="00721A88">
      <w:pPr>
        <w:spacing w:after="240" w:line="240" w:lineRule="auto"/>
        <w:rPr>
          <w:noProof/>
          <w:szCs w:val="24"/>
        </w:rPr>
      </w:pPr>
      <w:bookmarkStart w:id="58" w:name="_ENREF_25"/>
      <w:r w:rsidRPr="00721A88">
        <w:rPr>
          <w:noProof/>
          <w:szCs w:val="24"/>
        </w:rPr>
        <w:t xml:space="preserve">Kvale, S. (1996) </w:t>
      </w:r>
      <w:r w:rsidRPr="00721A88">
        <w:rPr>
          <w:b/>
          <w:noProof/>
          <w:szCs w:val="24"/>
        </w:rPr>
        <w:t xml:space="preserve">Interviews: An introduction to qualitative research interviewing. </w:t>
      </w:r>
      <w:r w:rsidRPr="00721A88">
        <w:rPr>
          <w:noProof/>
          <w:szCs w:val="24"/>
        </w:rPr>
        <w:t>Thousand Oaks, CA: Sage.</w:t>
      </w:r>
      <w:bookmarkEnd w:id="58"/>
    </w:p>
    <w:p w14:paraId="0F89EA19" w14:textId="77777777" w:rsidR="00C354C4" w:rsidRPr="00721A88" w:rsidRDefault="00C354C4" w:rsidP="00721A88">
      <w:pPr>
        <w:spacing w:after="240" w:line="240" w:lineRule="auto"/>
        <w:rPr>
          <w:noProof/>
          <w:szCs w:val="24"/>
        </w:rPr>
      </w:pPr>
      <w:bookmarkStart w:id="59" w:name="_ENREF_26"/>
      <w:r w:rsidRPr="00721A88">
        <w:rPr>
          <w:noProof/>
          <w:szCs w:val="24"/>
        </w:rPr>
        <w:t xml:space="preserve">Lackner, J., Jaccard, J., Krasner, S., Katz, L., Gudleski, G. and Holroyd, K. (2008) Self-administered cognitive behavior therapy for moderate to severe irritable bowel syndrome: Clinical efficacy, tolerability, feasibility. </w:t>
      </w:r>
      <w:r w:rsidRPr="00721A88">
        <w:rPr>
          <w:b/>
          <w:noProof/>
          <w:szCs w:val="24"/>
        </w:rPr>
        <w:t>Clinical Gastroenterology and Hepatology</w:t>
      </w:r>
      <w:r w:rsidRPr="00721A88">
        <w:rPr>
          <w:noProof/>
          <w:szCs w:val="24"/>
        </w:rPr>
        <w:t xml:space="preserve"> 6(8): pp. 899-906.</w:t>
      </w:r>
      <w:bookmarkEnd w:id="59"/>
    </w:p>
    <w:p w14:paraId="38E673A9" w14:textId="77777777" w:rsidR="00C354C4" w:rsidRPr="00721A88" w:rsidRDefault="00C354C4" w:rsidP="00721A88">
      <w:pPr>
        <w:spacing w:after="240" w:line="240" w:lineRule="auto"/>
        <w:rPr>
          <w:noProof/>
          <w:szCs w:val="24"/>
        </w:rPr>
      </w:pPr>
      <w:bookmarkStart w:id="60" w:name="_ENREF_27"/>
      <w:r w:rsidRPr="00721A88">
        <w:rPr>
          <w:noProof/>
          <w:szCs w:val="24"/>
        </w:rPr>
        <w:t xml:space="preserve">Lacy, B., Mearin, F., Chang, L., Chey, W., Lembo, A., Simren, M. and Spiller, R. (2016) Bowel Disorders. </w:t>
      </w:r>
      <w:r w:rsidRPr="00721A88">
        <w:rPr>
          <w:b/>
          <w:noProof/>
          <w:szCs w:val="24"/>
        </w:rPr>
        <w:t>Gastroenterology</w:t>
      </w:r>
      <w:r w:rsidRPr="00721A88">
        <w:rPr>
          <w:noProof/>
          <w:szCs w:val="24"/>
        </w:rPr>
        <w:t xml:space="preserve"> 150(6): pp. 1393-1407.</w:t>
      </w:r>
      <w:bookmarkEnd w:id="60"/>
    </w:p>
    <w:p w14:paraId="7BEFE52B" w14:textId="77777777" w:rsidR="00C354C4" w:rsidRPr="00721A88" w:rsidRDefault="00C354C4" w:rsidP="00721A88">
      <w:pPr>
        <w:spacing w:after="240" w:line="240" w:lineRule="auto"/>
        <w:rPr>
          <w:noProof/>
          <w:szCs w:val="24"/>
        </w:rPr>
      </w:pPr>
      <w:bookmarkStart w:id="61" w:name="_ENREF_28"/>
      <w:r w:rsidRPr="00721A88">
        <w:rPr>
          <w:noProof/>
          <w:szCs w:val="24"/>
        </w:rPr>
        <w:t xml:space="preserve">Longstreth, G., Wilson, A., Knight, K., Wong, J., Chiou, C., Barghout, V., Frech, F. and Ofman, J. (2003) Irritable bowel syndrome, health care use, and costs: a U.S. managed care perspective. </w:t>
      </w:r>
      <w:r w:rsidRPr="00721A88">
        <w:rPr>
          <w:b/>
          <w:noProof/>
          <w:szCs w:val="24"/>
        </w:rPr>
        <w:t>American Journal of Gastroenterology</w:t>
      </w:r>
      <w:r w:rsidRPr="00721A88">
        <w:rPr>
          <w:noProof/>
          <w:szCs w:val="24"/>
        </w:rPr>
        <w:t xml:space="preserve"> 98(3): pp. 600-607.</w:t>
      </w:r>
      <w:bookmarkEnd w:id="61"/>
    </w:p>
    <w:p w14:paraId="3D37AD77" w14:textId="77777777" w:rsidR="00C354C4" w:rsidRPr="00721A88" w:rsidRDefault="00C354C4" w:rsidP="00721A88">
      <w:pPr>
        <w:spacing w:after="240" w:line="240" w:lineRule="auto"/>
        <w:rPr>
          <w:noProof/>
          <w:szCs w:val="24"/>
        </w:rPr>
      </w:pPr>
      <w:bookmarkStart w:id="62" w:name="_ENREF_29"/>
      <w:r w:rsidRPr="00721A88">
        <w:rPr>
          <w:noProof/>
          <w:szCs w:val="24"/>
        </w:rPr>
        <w:t xml:space="preserve">Löwe, B., Decker, O., Müller, S., Brähler, E., Schellberg, D., Herzog, W. and Herzberg, P. (2008) Validation and standardization of the Generalized Anxiety Disorder screener (GAD-7) in the general population. </w:t>
      </w:r>
      <w:r w:rsidRPr="00721A88">
        <w:rPr>
          <w:b/>
          <w:noProof/>
          <w:szCs w:val="24"/>
        </w:rPr>
        <w:t>Medical Care</w:t>
      </w:r>
      <w:r w:rsidRPr="00721A88">
        <w:rPr>
          <w:noProof/>
          <w:szCs w:val="24"/>
        </w:rPr>
        <w:t xml:space="preserve"> 46(3): pp. 266-274.</w:t>
      </w:r>
      <w:bookmarkEnd w:id="62"/>
    </w:p>
    <w:p w14:paraId="1C06780A" w14:textId="77777777" w:rsidR="00C354C4" w:rsidRPr="00721A88" w:rsidRDefault="00C354C4" w:rsidP="00721A88">
      <w:pPr>
        <w:spacing w:after="240" w:line="240" w:lineRule="auto"/>
        <w:rPr>
          <w:noProof/>
          <w:szCs w:val="24"/>
        </w:rPr>
      </w:pPr>
      <w:bookmarkStart w:id="63" w:name="_ENREF_30"/>
      <w:r w:rsidRPr="00721A88">
        <w:rPr>
          <w:noProof/>
          <w:szCs w:val="24"/>
        </w:rPr>
        <w:t xml:space="preserve">Mohd Sidik, S., Arroll, B. and Goodyear-Smith, F. (2012) Validation of the GAD-7 (Malay version) among women attending a primary care clinic in Malaysia. </w:t>
      </w:r>
      <w:r w:rsidRPr="00721A88">
        <w:rPr>
          <w:b/>
          <w:noProof/>
          <w:szCs w:val="24"/>
        </w:rPr>
        <w:t>Journal of Primary Health Care</w:t>
      </w:r>
      <w:r w:rsidRPr="00721A88">
        <w:rPr>
          <w:noProof/>
          <w:szCs w:val="24"/>
        </w:rPr>
        <w:t xml:space="preserve"> 4(1): pp. 5-11.</w:t>
      </w:r>
      <w:bookmarkEnd w:id="63"/>
    </w:p>
    <w:p w14:paraId="3F37C7E3" w14:textId="77777777" w:rsidR="00C354C4" w:rsidRPr="00721A88" w:rsidRDefault="00C354C4" w:rsidP="00721A88">
      <w:pPr>
        <w:spacing w:after="240" w:line="240" w:lineRule="auto"/>
        <w:rPr>
          <w:noProof/>
          <w:szCs w:val="24"/>
        </w:rPr>
      </w:pPr>
      <w:bookmarkStart w:id="64" w:name="_ENREF_31"/>
      <w:r w:rsidRPr="00721A88">
        <w:rPr>
          <w:noProof/>
          <w:szCs w:val="24"/>
        </w:rPr>
        <w:t xml:space="preserve">Mohr, D., Ho, J., Duffecy, J., Reifler, D., Sokol, L., Burns, M., Jin, L. and Siddique, J. (2012) Effect of telephone-administered vs face-to-face cognitive behavioral therapy on adherence to therapy and depression outcomes among primary care </w:t>
      </w:r>
      <w:r w:rsidRPr="00721A88">
        <w:rPr>
          <w:noProof/>
          <w:szCs w:val="24"/>
        </w:rPr>
        <w:lastRenderedPageBreak/>
        <w:t xml:space="preserve">patients: a randomized trial. </w:t>
      </w:r>
      <w:r w:rsidRPr="00721A88">
        <w:rPr>
          <w:b/>
          <w:noProof/>
          <w:szCs w:val="24"/>
        </w:rPr>
        <w:t>Journal of the American Medical Association</w:t>
      </w:r>
      <w:r w:rsidRPr="00721A88">
        <w:rPr>
          <w:noProof/>
          <w:szCs w:val="24"/>
        </w:rPr>
        <w:t xml:space="preserve"> 307(21): pp. 2278-2285.</w:t>
      </w:r>
      <w:bookmarkEnd w:id="64"/>
    </w:p>
    <w:p w14:paraId="59FC2867" w14:textId="77777777" w:rsidR="00C354C4" w:rsidRPr="00721A88" w:rsidRDefault="00C354C4" w:rsidP="00721A88">
      <w:pPr>
        <w:spacing w:after="240" w:line="240" w:lineRule="auto"/>
        <w:rPr>
          <w:noProof/>
          <w:szCs w:val="24"/>
        </w:rPr>
      </w:pPr>
      <w:bookmarkStart w:id="65" w:name="_ENREF_32"/>
      <w:r w:rsidRPr="00721A88">
        <w:rPr>
          <w:noProof/>
          <w:szCs w:val="24"/>
        </w:rPr>
        <w:t xml:space="preserve">MRC. (2008) </w:t>
      </w:r>
      <w:r w:rsidRPr="00721A88">
        <w:rPr>
          <w:b/>
          <w:noProof/>
          <w:szCs w:val="24"/>
        </w:rPr>
        <w:t>Complex interventions guidance.</w:t>
      </w:r>
      <w:r w:rsidRPr="00721A88">
        <w:rPr>
          <w:noProof/>
          <w:szCs w:val="24"/>
        </w:rPr>
        <w:t xml:space="preserve"> Available at: https://</w:t>
      </w:r>
      <w:r w:rsidRPr="00C354C4">
        <w:rPr>
          <w:noProof/>
          <w:szCs w:val="24"/>
        </w:rPr>
        <w:t>www.mrc.ac.uk/documents/pdf/complex-interventions-guidance/</w:t>
      </w:r>
      <w:r w:rsidRPr="00721A88">
        <w:rPr>
          <w:noProof/>
          <w:szCs w:val="24"/>
        </w:rPr>
        <w:t xml:space="preserve"> [Accessed 28 July 2017].</w:t>
      </w:r>
      <w:bookmarkEnd w:id="65"/>
    </w:p>
    <w:p w14:paraId="39A6E88F" w14:textId="77777777" w:rsidR="00C354C4" w:rsidRPr="00721A88" w:rsidRDefault="00C354C4" w:rsidP="00721A88">
      <w:pPr>
        <w:spacing w:after="240" w:line="240" w:lineRule="auto"/>
        <w:rPr>
          <w:noProof/>
          <w:szCs w:val="24"/>
        </w:rPr>
      </w:pPr>
      <w:bookmarkStart w:id="66" w:name="_ENREF_33"/>
      <w:r w:rsidRPr="00721A88">
        <w:rPr>
          <w:noProof/>
          <w:szCs w:val="24"/>
        </w:rPr>
        <w:t xml:space="preserve">Nease, D. and Maloin, J. (2003) Depression screening: a practical strategy. </w:t>
      </w:r>
      <w:r w:rsidRPr="00721A88">
        <w:rPr>
          <w:b/>
          <w:noProof/>
          <w:szCs w:val="24"/>
        </w:rPr>
        <w:t>Journal of Family Practice</w:t>
      </w:r>
      <w:r w:rsidRPr="00721A88">
        <w:rPr>
          <w:noProof/>
          <w:szCs w:val="24"/>
        </w:rPr>
        <w:t xml:space="preserve"> 52(2): pp. 118-124.</w:t>
      </w:r>
      <w:bookmarkEnd w:id="66"/>
    </w:p>
    <w:p w14:paraId="53349A6D" w14:textId="77777777" w:rsidR="00C354C4" w:rsidRPr="00721A88" w:rsidRDefault="00C354C4" w:rsidP="00721A88">
      <w:pPr>
        <w:spacing w:after="240" w:line="240" w:lineRule="auto"/>
        <w:rPr>
          <w:noProof/>
          <w:szCs w:val="24"/>
        </w:rPr>
      </w:pPr>
      <w:bookmarkStart w:id="67" w:name="_ENREF_34"/>
      <w:r w:rsidRPr="00721A88">
        <w:rPr>
          <w:noProof/>
          <w:szCs w:val="24"/>
        </w:rPr>
        <w:t xml:space="preserve">Nespor, J. and Barylske, J. (1991) Narrarive discourse and teacher knowledge. </w:t>
      </w:r>
      <w:r w:rsidRPr="00721A88">
        <w:rPr>
          <w:b/>
          <w:noProof/>
          <w:szCs w:val="24"/>
        </w:rPr>
        <w:t>Americal Educational Journal</w:t>
      </w:r>
      <w:r w:rsidRPr="00721A88">
        <w:rPr>
          <w:noProof/>
          <w:szCs w:val="24"/>
        </w:rPr>
        <w:t xml:space="preserve"> 28(4): pp. 805-823.</w:t>
      </w:r>
      <w:bookmarkEnd w:id="67"/>
    </w:p>
    <w:p w14:paraId="241537B1" w14:textId="77777777" w:rsidR="00C354C4" w:rsidRPr="00721A88" w:rsidRDefault="00C354C4" w:rsidP="00721A88">
      <w:pPr>
        <w:spacing w:after="240" w:line="240" w:lineRule="auto"/>
        <w:rPr>
          <w:noProof/>
          <w:szCs w:val="24"/>
        </w:rPr>
      </w:pPr>
      <w:bookmarkStart w:id="68" w:name="_ENREF_35"/>
      <w:r w:rsidRPr="00721A88">
        <w:rPr>
          <w:noProof/>
          <w:szCs w:val="24"/>
        </w:rPr>
        <w:t xml:space="preserve">NICE. (2017) </w:t>
      </w:r>
      <w:r w:rsidRPr="00721A88">
        <w:rPr>
          <w:b/>
          <w:noProof/>
          <w:szCs w:val="24"/>
        </w:rPr>
        <w:t xml:space="preserve">Irritable bowel syndrome in adults: diagnosis and management. </w:t>
      </w:r>
      <w:r w:rsidRPr="00721A88">
        <w:rPr>
          <w:noProof/>
          <w:szCs w:val="24"/>
        </w:rPr>
        <w:t>London: NICE.</w:t>
      </w:r>
      <w:bookmarkEnd w:id="68"/>
    </w:p>
    <w:p w14:paraId="5D0650F3" w14:textId="77777777" w:rsidR="00C354C4" w:rsidRPr="00721A88" w:rsidRDefault="00C354C4" w:rsidP="00721A88">
      <w:pPr>
        <w:spacing w:after="240" w:line="240" w:lineRule="auto"/>
        <w:rPr>
          <w:noProof/>
          <w:szCs w:val="24"/>
        </w:rPr>
      </w:pPr>
      <w:bookmarkStart w:id="69" w:name="_ENREF_36"/>
      <w:r w:rsidRPr="00721A88">
        <w:rPr>
          <w:noProof/>
          <w:szCs w:val="24"/>
        </w:rPr>
        <w:t xml:space="preserve">North, C., Hong, B. and Alpers, D. (2007) Relationship of functional gastrointestinal disorders and psychiatric disorders: implications for treatment. </w:t>
      </w:r>
      <w:r w:rsidRPr="00721A88">
        <w:rPr>
          <w:b/>
          <w:noProof/>
          <w:szCs w:val="24"/>
        </w:rPr>
        <w:t>World Journal of Gastroenterology</w:t>
      </w:r>
      <w:r w:rsidRPr="00721A88">
        <w:rPr>
          <w:noProof/>
          <w:szCs w:val="24"/>
        </w:rPr>
        <w:t xml:space="preserve"> 13(14): pp. 2020-2027.</w:t>
      </w:r>
      <w:bookmarkEnd w:id="69"/>
    </w:p>
    <w:p w14:paraId="565C5756" w14:textId="77777777" w:rsidR="00C354C4" w:rsidRPr="00721A88" w:rsidRDefault="00C354C4" w:rsidP="00721A88">
      <w:pPr>
        <w:spacing w:after="240" w:line="240" w:lineRule="auto"/>
        <w:rPr>
          <w:noProof/>
          <w:szCs w:val="24"/>
        </w:rPr>
      </w:pPr>
      <w:bookmarkStart w:id="70" w:name="_ENREF_37"/>
      <w:r w:rsidRPr="00721A88">
        <w:rPr>
          <w:noProof/>
          <w:szCs w:val="24"/>
        </w:rPr>
        <w:t xml:space="preserve">Parahoo, K. (2006) </w:t>
      </w:r>
      <w:r w:rsidRPr="00721A88">
        <w:rPr>
          <w:b/>
          <w:noProof/>
          <w:szCs w:val="24"/>
        </w:rPr>
        <w:t xml:space="preserve">Nursing research: principles, process and issues. </w:t>
      </w:r>
      <w:r w:rsidRPr="00721A88">
        <w:rPr>
          <w:noProof/>
          <w:szCs w:val="24"/>
        </w:rPr>
        <w:t>Hampshire: Palgrave Macmillan.</w:t>
      </w:r>
      <w:bookmarkEnd w:id="70"/>
    </w:p>
    <w:p w14:paraId="2F8F6F03" w14:textId="77777777" w:rsidR="00C354C4" w:rsidRPr="00721A88" w:rsidRDefault="00C354C4" w:rsidP="00721A88">
      <w:pPr>
        <w:spacing w:after="240" w:line="240" w:lineRule="auto"/>
        <w:rPr>
          <w:noProof/>
          <w:szCs w:val="24"/>
        </w:rPr>
      </w:pPr>
      <w:bookmarkStart w:id="71" w:name="_ENREF_38"/>
      <w:r w:rsidRPr="00721A88">
        <w:rPr>
          <w:noProof/>
          <w:szCs w:val="24"/>
        </w:rPr>
        <w:t xml:space="preserve">Patrick, D., Drossman, D., Frederick, I., Dicesare, J. and Puder, K. (1998) Quality of life in persons with Irritable bowel syndrome: development and validation of a new measure. </w:t>
      </w:r>
      <w:r w:rsidRPr="00721A88">
        <w:rPr>
          <w:b/>
          <w:noProof/>
          <w:szCs w:val="24"/>
        </w:rPr>
        <w:t>Digestive Disease Science</w:t>
      </w:r>
      <w:r w:rsidRPr="00721A88">
        <w:rPr>
          <w:noProof/>
          <w:szCs w:val="24"/>
        </w:rPr>
        <w:t xml:space="preserve"> 43(2): pp. 400-411.</w:t>
      </w:r>
      <w:bookmarkEnd w:id="71"/>
    </w:p>
    <w:p w14:paraId="2CA287BB" w14:textId="77777777" w:rsidR="00C354C4" w:rsidRPr="00721A88" w:rsidRDefault="00C354C4" w:rsidP="00721A88">
      <w:pPr>
        <w:spacing w:after="240" w:line="240" w:lineRule="auto"/>
        <w:rPr>
          <w:noProof/>
          <w:szCs w:val="24"/>
        </w:rPr>
      </w:pPr>
      <w:bookmarkStart w:id="72" w:name="_ENREF_39"/>
      <w:r w:rsidRPr="00721A88">
        <w:rPr>
          <w:noProof/>
          <w:szCs w:val="24"/>
        </w:rPr>
        <w:t xml:space="preserve">Patterson, M. and Williams, D. (2002) </w:t>
      </w:r>
      <w:r w:rsidRPr="00721A88">
        <w:rPr>
          <w:b/>
          <w:noProof/>
          <w:szCs w:val="24"/>
        </w:rPr>
        <w:t xml:space="preserve">Collecting and analysing qualitative data: Hermeneutic principles, methods and case examples. </w:t>
      </w:r>
      <w:r w:rsidRPr="00721A88">
        <w:rPr>
          <w:noProof/>
          <w:szCs w:val="24"/>
        </w:rPr>
        <w:t>Champaign, USA: Sagamore.</w:t>
      </w:r>
      <w:bookmarkEnd w:id="72"/>
    </w:p>
    <w:p w14:paraId="723DC8E7" w14:textId="77777777" w:rsidR="00C354C4" w:rsidRPr="00721A88" w:rsidRDefault="00C354C4" w:rsidP="00721A88">
      <w:pPr>
        <w:spacing w:after="240" w:line="240" w:lineRule="auto"/>
        <w:rPr>
          <w:noProof/>
          <w:szCs w:val="24"/>
        </w:rPr>
      </w:pPr>
      <w:bookmarkStart w:id="73" w:name="_ENREF_40"/>
      <w:r w:rsidRPr="00721A88">
        <w:rPr>
          <w:noProof/>
          <w:szCs w:val="24"/>
        </w:rPr>
        <w:t xml:space="preserve">Rathore, J., Jehi, L., Fan, Y., Patel, S., Foldvary-Schaefer, N. and Ramirez, M. (2014) Validation of the Patient Health Questionnaire-9 (PHQ-9) for depression screening in adults with epilepsy. </w:t>
      </w:r>
      <w:r w:rsidRPr="00721A88">
        <w:rPr>
          <w:b/>
          <w:noProof/>
          <w:szCs w:val="24"/>
        </w:rPr>
        <w:t>Epilepsy &amp; Behavior</w:t>
      </w:r>
      <w:r w:rsidRPr="00721A88">
        <w:rPr>
          <w:noProof/>
          <w:szCs w:val="24"/>
        </w:rPr>
        <w:t xml:space="preserve"> 37pp. 215-220.</w:t>
      </w:r>
      <w:bookmarkEnd w:id="73"/>
    </w:p>
    <w:p w14:paraId="47513A0F" w14:textId="77777777" w:rsidR="00C354C4" w:rsidRPr="00721A88" w:rsidRDefault="00C354C4" w:rsidP="00721A88">
      <w:pPr>
        <w:spacing w:after="240" w:line="240" w:lineRule="auto"/>
        <w:rPr>
          <w:noProof/>
          <w:szCs w:val="24"/>
        </w:rPr>
      </w:pPr>
      <w:bookmarkStart w:id="74" w:name="_ENREF_41"/>
      <w:r w:rsidRPr="00721A88">
        <w:rPr>
          <w:noProof/>
          <w:szCs w:val="24"/>
        </w:rPr>
        <w:t xml:space="preserve">Ritchie, J. and Spencer, L. (1994) Qualitative data analysis for applied policy research. In: Bryman, A. and Burgess, R. (Eds.) </w:t>
      </w:r>
      <w:r w:rsidRPr="00721A88">
        <w:rPr>
          <w:b/>
          <w:noProof/>
          <w:szCs w:val="24"/>
        </w:rPr>
        <w:t>Analysing Qualitative Data.</w:t>
      </w:r>
      <w:r w:rsidRPr="00721A88">
        <w:rPr>
          <w:b/>
          <w:i/>
          <w:noProof/>
          <w:szCs w:val="24"/>
        </w:rPr>
        <w:t xml:space="preserve"> </w:t>
      </w:r>
      <w:r w:rsidRPr="00721A88">
        <w:rPr>
          <w:noProof/>
          <w:szCs w:val="24"/>
        </w:rPr>
        <w:t>London: Routledge.</w:t>
      </w:r>
      <w:bookmarkEnd w:id="74"/>
    </w:p>
    <w:p w14:paraId="122D19E8" w14:textId="77777777" w:rsidR="00C354C4" w:rsidRPr="00721A88" w:rsidRDefault="00C354C4" w:rsidP="00721A88">
      <w:pPr>
        <w:spacing w:after="240" w:line="240" w:lineRule="auto"/>
        <w:rPr>
          <w:noProof/>
          <w:szCs w:val="24"/>
        </w:rPr>
      </w:pPr>
      <w:bookmarkStart w:id="75" w:name="_ENREF_42"/>
      <w:r w:rsidRPr="00721A88">
        <w:rPr>
          <w:noProof/>
          <w:szCs w:val="24"/>
        </w:rPr>
        <w:t xml:space="preserve">Sidebottom, A., Harrison, P., Godecker, A. and Kim, H. (2012) Validation of the Patient Health Questionnaire (PHQ)-9 for prenatal depression screening. </w:t>
      </w:r>
      <w:r w:rsidRPr="00721A88">
        <w:rPr>
          <w:b/>
          <w:noProof/>
          <w:szCs w:val="24"/>
        </w:rPr>
        <w:t>Archives of Women's Mental Health</w:t>
      </w:r>
      <w:r w:rsidRPr="00721A88">
        <w:rPr>
          <w:noProof/>
          <w:szCs w:val="24"/>
        </w:rPr>
        <w:t xml:space="preserve"> 15(5): pp. 367-374.</w:t>
      </w:r>
      <w:bookmarkEnd w:id="75"/>
    </w:p>
    <w:p w14:paraId="6747A58E" w14:textId="77777777" w:rsidR="00C354C4" w:rsidRPr="00721A88" w:rsidRDefault="00C354C4" w:rsidP="00721A88">
      <w:pPr>
        <w:spacing w:after="240" w:line="240" w:lineRule="auto"/>
        <w:rPr>
          <w:noProof/>
          <w:szCs w:val="24"/>
        </w:rPr>
      </w:pPr>
      <w:bookmarkStart w:id="76" w:name="_ENREF_43"/>
      <w:r w:rsidRPr="00721A88">
        <w:rPr>
          <w:noProof/>
          <w:szCs w:val="24"/>
        </w:rPr>
        <w:t xml:space="preserve">Spitzer, R., Kroenke, K., Williams, J. and Löwe, B. (2006) A brief measure for assessing generalized anxiety disorder: the GAD-7. </w:t>
      </w:r>
      <w:r w:rsidRPr="00721A88">
        <w:rPr>
          <w:b/>
          <w:noProof/>
          <w:szCs w:val="24"/>
        </w:rPr>
        <w:t>Archives of Internal Medicine</w:t>
      </w:r>
      <w:r w:rsidRPr="00721A88">
        <w:rPr>
          <w:noProof/>
          <w:szCs w:val="24"/>
        </w:rPr>
        <w:t xml:space="preserve"> 166(10): pp. 1092-1097.</w:t>
      </w:r>
      <w:bookmarkEnd w:id="76"/>
    </w:p>
    <w:p w14:paraId="42A73557" w14:textId="77777777" w:rsidR="00C354C4" w:rsidRPr="00721A88" w:rsidRDefault="00C354C4" w:rsidP="00721A88">
      <w:pPr>
        <w:spacing w:after="240" w:line="240" w:lineRule="auto"/>
        <w:rPr>
          <w:noProof/>
          <w:szCs w:val="24"/>
        </w:rPr>
      </w:pPr>
      <w:bookmarkStart w:id="77" w:name="_ENREF_44"/>
      <w:r w:rsidRPr="00721A88">
        <w:rPr>
          <w:noProof/>
          <w:szCs w:val="24"/>
        </w:rPr>
        <w:lastRenderedPageBreak/>
        <w:t xml:space="preserve">Tarquinio, C., Kivits, J., Minary, L., Coste, J. and Alla, F. (2015) Evaluating complex interventions: perspectives and issues for health behaviour change interventions. </w:t>
      </w:r>
      <w:r w:rsidRPr="00721A88">
        <w:rPr>
          <w:b/>
          <w:noProof/>
          <w:szCs w:val="24"/>
        </w:rPr>
        <w:t>Psychological Health</w:t>
      </w:r>
      <w:r w:rsidRPr="00721A88">
        <w:rPr>
          <w:noProof/>
          <w:szCs w:val="24"/>
        </w:rPr>
        <w:t xml:space="preserve"> 30(1): pp. 35-51.</w:t>
      </w:r>
      <w:bookmarkEnd w:id="77"/>
    </w:p>
    <w:p w14:paraId="23B63501" w14:textId="77777777" w:rsidR="00C354C4" w:rsidRPr="00721A88" w:rsidRDefault="00C354C4" w:rsidP="00721A88">
      <w:pPr>
        <w:spacing w:after="240" w:line="240" w:lineRule="auto"/>
        <w:rPr>
          <w:noProof/>
          <w:szCs w:val="24"/>
        </w:rPr>
      </w:pPr>
      <w:bookmarkStart w:id="78" w:name="_ENREF_45"/>
      <w:r w:rsidRPr="00721A88">
        <w:rPr>
          <w:noProof/>
          <w:szCs w:val="24"/>
        </w:rPr>
        <w:t xml:space="preserve">Terrill, A., Hartoonian, N., Beier, M., Salem, R. and Alschuler, K. (2015) The 7-Item Generalized Anxiety Disorder Scale as a Tool for Measuring Generalized Anxiety in Multiple Sclerosis. </w:t>
      </w:r>
      <w:r w:rsidRPr="00721A88">
        <w:rPr>
          <w:b/>
          <w:noProof/>
          <w:szCs w:val="24"/>
        </w:rPr>
        <w:t>International Journal of MS Care</w:t>
      </w:r>
      <w:r w:rsidRPr="00721A88">
        <w:rPr>
          <w:noProof/>
          <w:szCs w:val="24"/>
        </w:rPr>
        <w:t xml:space="preserve"> 17(2): pp. 49-56.</w:t>
      </w:r>
      <w:bookmarkEnd w:id="78"/>
    </w:p>
    <w:p w14:paraId="201C3E82" w14:textId="77777777" w:rsidR="00C354C4" w:rsidRPr="00721A88" w:rsidRDefault="00C354C4" w:rsidP="00721A88">
      <w:pPr>
        <w:spacing w:after="240" w:line="240" w:lineRule="auto"/>
        <w:rPr>
          <w:noProof/>
          <w:szCs w:val="24"/>
        </w:rPr>
      </w:pPr>
      <w:bookmarkStart w:id="79" w:name="_ENREF_46"/>
      <w:r w:rsidRPr="00721A88">
        <w:rPr>
          <w:noProof/>
          <w:szCs w:val="24"/>
        </w:rPr>
        <w:t xml:space="preserve">The Rome Foundation. (2017) </w:t>
      </w:r>
      <w:r w:rsidRPr="00721A88">
        <w:rPr>
          <w:b/>
          <w:noProof/>
          <w:szCs w:val="24"/>
        </w:rPr>
        <w:t>To Improve the lives of people with functional GI disorders.</w:t>
      </w:r>
      <w:r w:rsidRPr="00721A88">
        <w:rPr>
          <w:noProof/>
          <w:szCs w:val="24"/>
        </w:rPr>
        <w:t xml:space="preserve"> Available at: </w:t>
      </w:r>
      <w:r w:rsidRPr="00C354C4">
        <w:rPr>
          <w:noProof/>
          <w:szCs w:val="24"/>
        </w:rPr>
        <w:t>http://www.romecriteria.org/</w:t>
      </w:r>
      <w:r w:rsidRPr="00721A88">
        <w:rPr>
          <w:noProof/>
          <w:szCs w:val="24"/>
        </w:rPr>
        <w:t xml:space="preserve"> [Accessed 28 July 2017].</w:t>
      </w:r>
      <w:bookmarkEnd w:id="79"/>
    </w:p>
    <w:p w14:paraId="7696BE37" w14:textId="77777777" w:rsidR="00C354C4" w:rsidRPr="00721A88" w:rsidRDefault="00C354C4" w:rsidP="00721A88">
      <w:pPr>
        <w:spacing w:after="240" w:line="240" w:lineRule="auto"/>
        <w:rPr>
          <w:noProof/>
          <w:szCs w:val="24"/>
        </w:rPr>
      </w:pPr>
      <w:bookmarkStart w:id="80" w:name="_ENREF_47"/>
      <w:r w:rsidRPr="00721A88">
        <w:rPr>
          <w:noProof/>
          <w:szCs w:val="24"/>
        </w:rPr>
        <w:t xml:space="preserve">Toner, B., Segal, Z., Emmott, S. and Myran, D. (2000) </w:t>
      </w:r>
      <w:r w:rsidRPr="00721A88">
        <w:rPr>
          <w:b/>
          <w:noProof/>
          <w:szCs w:val="24"/>
        </w:rPr>
        <w:t xml:space="preserve">Cognitive-behavioral treatment of irritable bowel syndrome: The brain-gut connection. </w:t>
      </w:r>
      <w:r w:rsidRPr="00721A88">
        <w:rPr>
          <w:noProof/>
          <w:szCs w:val="24"/>
        </w:rPr>
        <w:t>New York: Guilford Press.</w:t>
      </w:r>
      <w:bookmarkEnd w:id="80"/>
    </w:p>
    <w:p w14:paraId="100C3EA4" w14:textId="77777777" w:rsidR="00C354C4" w:rsidRPr="00721A88" w:rsidRDefault="00C354C4" w:rsidP="00721A88">
      <w:pPr>
        <w:spacing w:after="240" w:line="240" w:lineRule="auto"/>
        <w:rPr>
          <w:noProof/>
          <w:szCs w:val="24"/>
        </w:rPr>
      </w:pPr>
      <w:bookmarkStart w:id="81" w:name="_ENREF_48"/>
      <w:r w:rsidRPr="00721A88">
        <w:rPr>
          <w:noProof/>
          <w:szCs w:val="24"/>
        </w:rPr>
        <w:t xml:space="preserve">Tong, A., Sainsbury, P. and Craig, J. (2007) Consolidated criteria for reporting qualitative research (COREQ): a 32-item checklist for interviews and focus groups. </w:t>
      </w:r>
      <w:r w:rsidRPr="00721A88">
        <w:rPr>
          <w:b/>
          <w:noProof/>
          <w:szCs w:val="24"/>
        </w:rPr>
        <w:t>International Journal of Qualitative Healthcare</w:t>
      </w:r>
      <w:r w:rsidRPr="00721A88">
        <w:rPr>
          <w:noProof/>
          <w:szCs w:val="24"/>
        </w:rPr>
        <w:t xml:space="preserve"> 19(6): pp. 349-357.</w:t>
      </w:r>
      <w:bookmarkEnd w:id="81"/>
    </w:p>
    <w:p w14:paraId="40CBDA64" w14:textId="77777777" w:rsidR="00C354C4" w:rsidRPr="00721A88" w:rsidRDefault="00C354C4" w:rsidP="00721A88">
      <w:pPr>
        <w:spacing w:after="240" w:line="240" w:lineRule="auto"/>
        <w:rPr>
          <w:noProof/>
          <w:szCs w:val="24"/>
        </w:rPr>
      </w:pPr>
      <w:bookmarkStart w:id="82" w:name="_ENREF_49"/>
      <w:r w:rsidRPr="00721A88">
        <w:rPr>
          <w:noProof/>
          <w:szCs w:val="24"/>
        </w:rPr>
        <w:t xml:space="preserve">van Steenbergen-Weijenburg, K., de Vroege, L., Ploeger, R., Brals, J., Vloedbeld, M., Veneman, T., Hakkaart-van Roijen, L., Rutten, F., Beekman, A. and van der Feltz-Cornelis, C. (2010) Validation of the PHQ-9 as a screening instrument for depression in diabetes patients in specialized outpatient clinics. </w:t>
      </w:r>
      <w:r w:rsidRPr="00721A88">
        <w:rPr>
          <w:b/>
          <w:noProof/>
          <w:szCs w:val="24"/>
        </w:rPr>
        <w:t>BMC Health Services Research</w:t>
      </w:r>
      <w:r w:rsidRPr="00721A88">
        <w:rPr>
          <w:noProof/>
          <w:szCs w:val="24"/>
        </w:rPr>
        <w:t xml:space="preserve"> 10(1): p. 235.</w:t>
      </w:r>
      <w:bookmarkEnd w:id="82"/>
    </w:p>
    <w:p w14:paraId="67860CBC" w14:textId="77777777" w:rsidR="00C354C4" w:rsidRPr="00721A88" w:rsidRDefault="00C354C4" w:rsidP="00721A88">
      <w:pPr>
        <w:spacing w:after="240" w:line="240" w:lineRule="auto"/>
        <w:rPr>
          <w:noProof/>
          <w:szCs w:val="24"/>
        </w:rPr>
      </w:pPr>
      <w:bookmarkStart w:id="83" w:name="_ENREF_50"/>
      <w:r w:rsidRPr="00721A88">
        <w:rPr>
          <w:noProof/>
          <w:szCs w:val="24"/>
        </w:rPr>
        <w:t xml:space="preserve">Wiklund, I., Fullerton, S., Hawkey, C., Jones, R., Longstreth, G., Mayer, E., Peacock, R., Wilson, I. and Naesdal, J. (2003) An irritable bowel syndrome specific symptom questionnaire: development and validation. </w:t>
      </w:r>
      <w:r w:rsidRPr="00721A88">
        <w:rPr>
          <w:b/>
          <w:noProof/>
          <w:szCs w:val="24"/>
        </w:rPr>
        <w:t>Scandinavian Journal of Gastroenterology</w:t>
      </w:r>
      <w:r w:rsidRPr="00721A88">
        <w:rPr>
          <w:noProof/>
          <w:szCs w:val="24"/>
        </w:rPr>
        <w:t xml:space="preserve"> 38(9): pp. 947-954.</w:t>
      </w:r>
      <w:bookmarkEnd w:id="83"/>
    </w:p>
    <w:p w14:paraId="1CA38368" w14:textId="77777777" w:rsidR="00C354C4" w:rsidRPr="00721A88" w:rsidRDefault="00C354C4" w:rsidP="00721A88">
      <w:pPr>
        <w:spacing w:after="240" w:line="240" w:lineRule="auto"/>
        <w:rPr>
          <w:noProof/>
          <w:szCs w:val="24"/>
        </w:rPr>
      </w:pPr>
      <w:bookmarkStart w:id="84" w:name="_ENREF_51"/>
      <w:r w:rsidRPr="00721A88">
        <w:rPr>
          <w:noProof/>
          <w:szCs w:val="24"/>
        </w:rPr>
        <w:t xml:space="preserve">Williams, N. (2014) The GAD-7 questionnaire. </w:t>
      </w:r>
      <w:r w:rsidRPr="00721A88">
        <w:rPr>
          <w:b/>
          <w:noProof/>
          <w:szCs w:val="24"/>
        </w:rPr>
        <w:t>Occupational Medicine</w:t>
      </w:r>
      <w:r w:rsidRPr="00721A88">
        <w:rPr>
          <w:noProof/>
          <w:szCs w:val="24"/>
        </w:rPr>
        <w:t xml:space="preserve"> 64(3): pp. 224-226.</w:t>
      </w:r>
      <w:bookmarkEnd w:id="84"/>
    </w:p>
    <w:p w14:paraId="47F4F0F7" w14:textId="77777777" w:rsidR="00C354C4" w:rsidRPr="00721A88" w:rsidRDefault="00C354C4" w:rsidP="00721A88">
      <w:pPr>
        <w:spacing w:after="240" w:line="240" w:lineRule="auto"/>
        <w:rPr>
          <w:noProof/>
          <w:szCs w:val="24"/>
        </w:rPr>
      </w:pPr>
      <w:bookmarkStart w:id="85" w:name="_ENREF_52"/>
      <w:r w:rsidRPr="00721A88">
        <w:rPr>
          <w:noProof/>
          <w:szCs w:val="24"/>
        </w:rPr>
        <w:t xml:space="preserve">Zhong, Q., Gelaye, B., Zaslavsky, A., Fann, J., Rondon, M., Sánchez, S. and Williams, M. (2015) Diagnostic validity of the generalized anxiety disorder- 7 (GAD-7) among pregnant women. </w:t>
      </w:r>
      <w:r w:rsidRPr="00721A88">
        <w:rPr>
          <w:b/>
          <w:noProof/>
          <w:szCs w:val="24"/>
        </w:rPr>
        <w:t>PLoS ONE</w:t>
      </w:r>
      <w:r w:rsidRPr="00721A88">
        <w:rPr>
          <w:noProof/>
          <w:szCs w:val="24"/>
        </w:rPr>
        <w:t xml:space="preserve"> 10(4): pp. 1-28.</w:t>
      </w:r>
      <w:bookmarkEnd w:id="85"/>
    </w:p>
    <w:p w14:paraId="1ACD18D0" w14:textId="77777777" w:rsidR="00C354C4" w:rsidRPr="00721A88" w:rsidRDefault="00C354C4" w:rsidP="00721A88">
      <w:pPr>
        <w:spacing w:line="240" w:lineRule="auto"/>
        <w:rPr>
          <w:noProof/>
          <w:szCs w:val="24"/>
        </w:rPr>
      </w:pPr>
      <w:bookmarkStart w:id="86" w:name="_ENREF_53"/>
      <w:r w:rsidRPr="00721A88">
        <w:rPr>
          <w:noProof/>
          <w:szCs w:val="24"/>
        </w:rPr>
        <w:t xml:space="preserve">Zijdenbos, I., De Wit, N., Van der Heijden, G., Rubin, G. and Quartero, A. (2009) </w:t>
      </w:r>
      <w:r w:rsidRPr="00721A88">
        <w:rPr>
          <w:b/>
          <w:noProof/>
          <w:szCs w:val="24"/>
        </w:rPr>
        <w:t xml:space="preserve">Cochrane Review: Psychological treatments for the management of irritable bowel syndrome. </w:t>
      </w:r>
      <w:r w:rsidRPr="00721A88">
        <w:rPr>
          <w:noProof/>
          <w:szCs w:val="24"/>
        </w:rPr>
        <w:t>Chichester, UK: John Wiley &amp; Sons.</w:t>
      </w:r>
      <w:bookmarkEnd w:id="86"/>
    </w:p>
    <w:p w14:paraId="493D9850" w14:textId="77777777" w:rsidR="00C354C4" w:rsidRDefault="00C354C4" w:rsidP="00721A88">
      <w:pPr>
        <w:spacing w:line="240" w:lineRule="auto"/>
        <w:rPr>
          <w:noProof/>
          <w:szCs w:val="24"/>
        </w:rPr>
      </w:pPr>
    </w:p>
    <w:p w14:paraId="5B090A1B" w14:textId="77777777" w:rsidR="00C354C4" w:rsidRPr="00586A09" w:rsidRDefault="00C354C4" w:rsidP="00A86447">
      <w:pPr>
        <w:rPr>
          <w:sz w:val="24"/>
          <w:szCs w:val="24"/>
        </w:rPr>
      </w:pPr>
    </w:p>
    <w:p w14:paraId="04D58DDF" w14:textId="77777777" w:rsidR="004B5D22" w:rsidRDefault="004B5D22"/>
    <w:sectPr w:rsidR="004B5D22" w:rsidSect="000458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00BEA" w14:textId="77777777" w:rsidR="007F7F7F" w:rsidRDefault="007F7F7F">
      <w:pPr>
        <w:spacing w:after="0" w:line="240" w:lineRule="auto"/>
      </w:pPr>
      <w:r>
        <w:separator/>
      </w:r>
    </w:p>
  </w:endnote>
  <w:endnote w:type="continuationSeparator" w:id="0">
    <w:p w14:paraId="782F0609" w14:textId="77777777" w:rsidR="007F7F7F" w:rsidRDefault="007F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078859"/>
      <w:docPartObj>
        <w:docPartGallery w:val="Page Numbers (Bottom of Page)"/>
        <w:docPartUnique/>
      </w:docPartObj>
    </w:sdtPr>
    <w:sdtEndPr>
      <w:rPr>
        <w:noProof/>
      </w:rPr>
    </w:sdtEndPr>
    <w:sdtContent>
      <w:p w14:paraId="089624E2" w14:textId="77777777" w:rsidR="00B43821" w:rsidRDefault="00C354C4" w:rsidP="00216F08">
        <w:pPr>
          <w:pStyle w:val="Footer"/>
          <w:jc w:val="right"/>
        </w:pPr>
        <w:r>
          <w:fldChar w:fldCharType="begin"/>
        </w:r>
        <w:r>
          <w:instrText xml:space="preserve"> PAGE   \* MERGEFORMAT </w:instrText>
        </w:r>
        <w:r>
          <w:fldChar w:fldCharType="separate"/>
        </w:r>
        <w:r w:rsidR="00174C00">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20005" w14:textId="77777777" w:rsidR="007F7F7F" w:rsidRDefault="007F7F7F">
      <w:pPr>
        <w:spacing w:after="0" w:line="240" w:lineRule="auto"/>
      </w:pPr>
      <w:r>
        <w:separator/>
      </w:r>
    </w:p>
  </w:footnote>
  <w:footnote w:type="continuationSeparator" w:id="0">
    <w:p w14:paraId="3B05AF86" w14:textId="77777777" w:rsidR="007F7F7F" w:rsidRDefault="007F7F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7F15"/>
    <w:multiLevelType w:val="hybridMultilevel"/>
    <w:tmpl w:val="205C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D7B63"/>
    <w:multiLevelType w:val="hybridMultilevel"/>
    <w:tmpl w:val="BD90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91010"/>
    <w:multiLevelType w:val="hybridMultilevel"/>
    <w:tmpl w:val="F73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E73EAC"/>
    <w:multiLevelType w:val="hybridMultilevel"/>
    <w:tmpl w:val="2D9032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390FD0"/>
    <w:multiLevelType w:val="hybridMultilevel"/>
    <w:tmpl w:val="5A2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25356"/>
    <w:multiLevelType w:val="hybridMultilevel"/>
    <w:tmpl w:val="C7DA6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4F7CEB"/>
    <w:multiLevelType w:val="hybridMultilevel"/>
    <w:tmpl w:val="14A41B1A"/>
    <w:lvl w:ilvl="0" w:tplc="E262498E">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D2E50"/>
    <w:multiLevelType w:val="hybridMultilevel"/>
    <w:tmpl w:val="00C87A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880900"/>
    <w:multiLevelType w:val="hybridMultilevel"/>
    <w:tmpl w:val="033C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39557E"/>
    <w:multiLevelType w:val="hybridMultilevel"/>
    <w:tmpl w:val="1128A3FC"/>
    <w:lvl w:ilvl="0" w:tplc="02ACFE26">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2652F0"/>
    <w:multiLevelType w:val="hybridMultilevel"/>
    <w:tmpl w:val="222414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61378"/>
    <w:multiLevelType w:val="multilevel"/>
    <w:tmpl w:val="456C98C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6355BC1"/>
    <w:multiLevelType w:val="multilevel"/>
    <w:tmpl w:val="834C598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41837A89"/>
    <w:multiLevelType w:val="hybridMultilevel"/>
    <w:tmpl w:val="66E2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5666FA"/>
    <w:multiLevelType w:val="hybridMultilevel"/>
    <w:tmpl w:val="94A4C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E60BC"/>
    <w:multiLevelType w:val="multilevel"/>
    <w:tmpl w:val="981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FE2B12"/>
    <w:multiLevelType w:val="hybridMultilevel"/>
    <w:tmpl w:val="FB8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3F30C9"/>
    <w:multiLevelType w:val="hybridMultilevel"/>
    <w:tmpl w:val="426A27CA"/>
    <w:lvl w:ilvl="0" w:tplc="EAF8DE42">
      <w:start w:val="1"/>
      <w:numFmt w:val="decimal"/>
      <w:lvlText w:val="%1."/>
      <w:lvlJc w:val="left"/>
      <w:pPr>
        <w:tabs>
          <w:tab w:val="num" w:pos="720"/>
        </w:tabs>
        <w:ind w:left="720" w:hanging="360"/>
      </w:pPr>
    </w:lvl>
    <w:lvl w:ilvl="1" w:tplc="B666034E">
      <w:start w:val="1"/>
      <w:numFmt w:val="decimal"/>
      <w:lvlText w:val="%2."/>
      <w:lvlJc w:val="left"/>
      <w:pPr>
        <w:tabs>
          <w:tab w:val="num" w:pos="1440"/>
        </w:tabs>
        <w:ind w:left="1440" w:hanging="360"/>
      </w:pPr>
      <w:rPr>
        <w:color w:val="808080" w:themeColor="background1" w:themeShade="80"/>
      </w:rPr>
    </w:lvl>
    <w:lvl w:ilvl="2" w:tplc="8BF0E9F8" w:tentative="1">
      <w:start w:val="1"/>
      <w:numFmt w:val="decimal"/>
      <w:lvlText w:val="%3."/>
      <w:lvlJc w:val="left"/>
      <w:pPr>
        <w:tabs>
          <w:tab w:val="num" w:pos="2160"/>
        </w:tabs>
        <w:ind w:left="2160" w:hanging="360"/>
      </w:pPr>
    </w:lvl>
    <w:lvl w:ilvl="3" w:tplc="92BCA1C6" w:tentative="1">
      <w:start w:val="1"/>
      <w:numFmt w:val="decimal"/>
      <w:lvlText w:val="%4."/>
      <w:lvlJc w:val="left"/>
      <w:pPr>
        <w:tabs>
          <w:tab w:val="num" w:pos="2880"/>
        </w:tabs>
        <w:ind w:left="2880" w:hanging="360"/>
      </w:pPr>
    </w:lvl>
    <w:lvl w:ilvl="4" w:tplc="B98CCBBA" w:tentative="1">
      <w:start w:val="1"/>
      <w:numFmt w:val="decimal"/>
      <w:lvlText w:val="%5."/>
      <w:lvlJc w:val="left"/>
      <w:pPr>
        <w:tabs>
          <w:tab w:val="num" w:pos="3600"/>
        </w:tabs>
        <w:ind w:left="3600" w:hanging="360"/>
      </w:pPr>
    </w:lvl>
    <w:lvl w:ilvl="5" w:tplc="39B099B4" w:tentative="1">
      <w:start w:val="1"/>
      <w:numFmt w:val="decimal"/>
      <w:lvlText w:val="%6."/>
      <w:lvlJc w:val="left"/>
      <w:pPr>
        <w:tabs>
          <w:tab w:val="num" w:pos="4320"/>
        </w:tabs>
        <w:ind w:left="4320" w:hanging="360"/>
      </w:pPr>
    </w:lvl>
    <w:lvl w:ilvl="6" w:tplc="059C82B6" w:tentative="1">
      <w:start w:val="1"/>
      <w:numFmt w:val="decimal"/>
      <w:lvlText w:val="%7."/>
      <w:lvlJc w:val="left"/>
      <w:pPr>
        <w:tabs>
          <w:tab w:val="num" w:pos="5040"/>
        </w:tabs>
        <w:ind w:left="5040" w:hanging="360"/>
      </w:pPr>
    </w:lvl>
    <w:lvl w:ilvl="7" w:tplc="ECC01066" w:tentative="1">
      <w:start w:val="1"/>
      <w:numFmt w:val="decimal"/>
      <w:lvlText w:val="%8."/>
      <w:lvlJc w:val="left"/>
      <w:pPr>
        <w:tabs>
          <w:tab w:val="num" w:pos="5760"/>
        </w:tabs>
        <w:ind w:left="5760" w:hanging="360"/>
      </w:pPr>
    </w:lvl>
    <w:lvl w:ilvl="8" w:tplc="9350E8B0" w:tentative="1">
      <w:start w:val="1"/>
      <w:numFmt w:val="decimal"/>
      <w:lvlText w:val="%9."/>
      <w:lvlJc w:val="left"/>
      <w:pPr>
        <w:tabs>
          <w:tab w:val="num" w:pos="6480"/>
        </w:tabs>
        <w:ind w:left="6480" w:hanging="360"/>
      </w:pPr>
    </w:lvl>
  </w:abstractNum>
  <w:abstractNum w:abstractNumId="18">
    <w:nsid w:val="540A41D4"/>
    <w:multiLevelType w:val="hybridMultilevel"/>
    <w:tmpl w:val="BFBE5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710EF1"/>
    <w:multiLevelType w:val="hybridMultilevel"/>
    <w:tmpl w:val="AA8077AA"/>
    <w:lvl w:ilvl="0" w:tplc="02ACFE26">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3A2E7C"/>
    <w:multiLevelType w:val="hybridMultilevel"/>
    <w:tmpl w:val="F1283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D8776D"/>
    <w:multiLevelType w:val="hybridMultilevel"/>
    <w:tmpl w:val="A0B2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36731B"/>
    <w:multiLevelType w:val="multilevel"/>
    <w:tmpl w:val="666222E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9382870"/>
    <w:multiLevelType w:val="multilevel"/>
    <w:tmpl w:val="203C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866499"/>
    <w:multiLevelType w:val="hybridMultilevel"/>
    <w:tmpl w:val="21F4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1D68AE"/>
    <w:multiLevelType w:val="multilevel"/>
    <w:tmpl w:val="54E66B9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3"/>
  </w:num>
  <w:num w:numId="2">
    <w:abstractNumId w:val="15"/>
  </w:num>
  <w:num w:numId="3">
    <w:abstractNumId w:val="18"/>
  </w:num>
  <w:num w:numId="4">
    <w:abstractNumId w:val="12"/>
  </w:num>
  <w:num w:numId="5">
    <w:abstractNumId w:val="2"/>
  </w:num>
  <w:num w:numId="6">
    <w:abstractNumId w:val="25"/>
  </w:num>
  <w:num w:numId="7">
    <w:abstractNumId w:val="22"/>
  </w:num>
  <w:num w:numId="8">
    <w:abstractNumId w:val="11"/>
  </w:num>
  <w:num w:numId="9">
    <w:abstractNumId w:val="21"/>
  </w:num>
  <w:num w:numId="10">
    <w:abstractNumId w:val="1"/>
  </w:num>
  <w:num w:numId="11">
    <w:abstractNumId w:val="0"/>
  </w:num>
  <w:num w:numId="12">
    <w:abstractNumId w:val="8"/>
  </w:num>
  <w:num w:numId="13">
    <w:abstractNumId w:val="16"/>
  </w:num>
  <w:num w:numId="14">
    <w:abstractNumId w:val="20"/>
  </w:num>
  <w:num w:numId="15">
    <w:abstractNumId w:val="13"/>
  </w:num>
  <w:num w:numId="16">
    <w:abstractNumId w:val="19"/>
  </w:num>
  <w:num w:numId="17">
    <w:abstractNumId w:val="6"/>
  </w:num>
  <w:num w:numId="18">
    <w:abstractNumId w:val="9"/>
  </w:num>
  <w:num w:numId="19">
    <w:abstractNumId w:val="3"/>
  </w:num>
  <w:num w:numId="20">
    <w:abstractNumId w:val="10"/>
  </w:num>
  <w:num w:numId="21">
    <w:abstractNumId w:val="7"/>
  </w:num>
  <w:num w:numId="22">
    <w:abstractNumId w:val="17"/>
  </w:num>
  <w:num w:numId="23">
    <w:abstractNumId w:val="5"/>
  </w:num>
  <w:num w:numId="24">
    <w:abstractNumId w:val="24"/>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354C4"/>
    <w:rsid w:val="00174C00"/>
    <w:rsid w:val="004B5D22"/>
    <w:rsid w:val="006F6984"/>
    <w:rsid w:val="007F3C1E"/>
    <w:rsid w:val="007F7F7F"/>
    <w:rsid w:val="00A05751"/>
    <w:rsid w:val="00C3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3015"/>
  <w15:chartTrackingRefBased/>
  <w15:docId w15:val="{D2F1E22C-7EC8-49D5-A482-5672B761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4C4"/>
    <w:pPr>
      <w:spacing w:after="200" w:line="276" w:lineRule="auto"/>
    </w:pPr>
    <w:rPr>
      <w:rFonts w:ascii="Verdana" w:hAnsi="Verdana"/>
      <w:lang w:val="en-GB"/>
    </w:rPr>
  </w:style>
  <w:style w:type="paragraph" w:styleId="Heading1">
    <w:name w:val="heading 1"/>
    <w:basedOn w:val="Normal"/>
    <w:next w:val="Normal"/>
    <w:link w:val="Heading1Char"/>
    <w:uiPriority w:val="9"/>
    <w:qFormat/>
    <w:rsid w:val="00C354C4"/>
    <w:pPr>
      <w:keepNext/>
      <w:keepLines/>
      <w:spacing w:after="0"/>
      <w:outlineLvl w:val="0"/>
    </w:pPr>
    <w:rPr>
      <w:rFonts w:eastAsiaTheme="majorEastAsia" w:cstheme="majorBidi"/>
      <w:b/>
      <w:bCs/>
      <w:color w:val="8496B0" w:themeColor="text2" w:themeTint="99"/>
      <w:sz w:val="28"/>
      <w:szCs w:val="28"/>
    </w:rPr>
  </w:style>
  <w:style w:type="paragraph" w:styleId="Heading2">
    <w:name w:val="heading 2"/>
    <w:basedOn w:val="Normal"/>
    <w:next w:val="Normal"/>
    <w:link w:val="Heading2Char"/>
    <w:uiPriority w:val="9"/>
    <w:unhideWhenUsed/>
    <w:qFormat/>
    <w:rsid w:val="00C354C4"/>
    <w:pPr>
      <w:keepNext/>
      <w:keepLines/>
      <w:spacing w:before="200" w:after="120"/>
      <w:outlineLvl w:val="1"/>
    </w:pPr>
    <w:rPr>
      <w:rFonts w:eastAsiaTheme="majorEastAsia" w:cstheme="majorBidi"/>
      <w:b/>
      <w:bCs/>
      <w:color w:val="8496B0" w:themeColor="text2" w:themeTint="99"/>
      <w:szCs w:val="26"/>
    </w:rPr>
  </w:style>
  <w:style w:type="paragraph" w:styleId="Heading3">
    <w:name w:val="heading 3"/>
    <w:basedOn w:val="Normal"/>
    <w:next w:val="Normal"/>
    <w:link w:val="Heading3Char"/>
    <w:uiPriority w:val="9"/>
    <w:unhideWhenUsed/>
    <w:qFormat/>
    <w:rsid w:val="00C354C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C4"/>
    <w:rPr>
      <w:rFonts w:ascii="Verdana" w:eastAsiaTheme="majorEastAsia" w:hAnsi="Verdana" w:cstheme="majorBidi"/>
      <w:b/>
      <w:bCs/>
      <w:color w:val="8496B0" w:themeColor="text2" w:themeTint="99"/>
      <w:sz w:val="28"/>
      <w:szCs w:val="28"/>
      <w:lang w:val="en-GB"/>
    </w:rPr>
  </w:style>
  <w:style w:type="character" w:customStyle="1" w:styleId="Heading2Char">
    <w:name w:val="Heading 2 Char"/>
    <w:basedOn w:val="DefaultParagraphFont"/>
    <w:link w:val="Heading2"/>
    <w:uiPriority w:val="9"/>
    <w:rsid w:val="00C354C4"/>
    <w:rPr>
      <w:rFonts w:ascii="Verdana" w:eastAsiaTheme="majorEastAsia" w:hAnsi="Verdana" w:cstheme="majorBidi"/>
      <w:b/>
      <w:bCs/>
      <w:color w:val="8496B0" w:themeColor="text2" w:themeTint="99"/>
      <w:szCs w:val="26"/>
      <w:lang w:val="en-GB"/>
    </w:rPr>
  </w:style>
  <w:style w:type="character" w:customStyle="1" w:styleId="Heading3Char">
    <w:name w:val="Heading 3 Char"/>
    <w:basedOn w:val="DefaultParagraphFont"/>
    <w:link w:val="Heading3"/>
    <w:uiPriority w:val="9"/>
    <w:rsid w:val="00C354C4"/>
    <w:rPr>
      <w:rFonts w:asciiTheme="majorHAnsi" w:eastAsiaTheme="majorEastAsia" w:hAnsiTheme="majorHAnsi" w:cstheme="majorBidi"/>
      <w:b/>
      <w:bCs/>
      <w:color w:val="4472C4" w:themeColor="accent1"/>
      <w:lang w:val="en-GB"/>
    </w:rPr>
  </w:style>
  <w:style w:type="character" w:styleId="Hyperlink">
    <w:name w:val="Hyperlink"/>
    <w:basedOn w:val="DefaultParagraphFont"/>
    <w:uiPriority w:val="99"/>
    <w:unhideWhenUsed/>
    <w:rsid w:val="00C354C4"/>
    <w:rPr>
      <w:color w:val="0563C1" w:themeColor="hyperlink"/>
      <w:u w:val="single"/>
    </w:rPr>
  </w:style>
  <w:style w:type="paragraph" w:styleId="ListParagraph">
    <w:name w:val="List Paragraph"/>
    <w:basedOn w:val="Normal"/>
    <w:uiPriority w:val="34"/>
    <w:qFormat/>
    <w:rsid w:val="00C354C4"/>
    <w:pPr>
      <w:ind w:left="720"/>
      <w:contextualSpacing/>
    </w:pPr>
  </w:style>
  <w:style w:type="paragraph" w:styleId="PlainText">
    <w:name w:val="Plain Text"/>
    <w:basedOn w:val="Normal"/>
    <w:link w:val="PlainTextChar"/>
    <w:uiPriority w:val="99"/>
    <w:semiHidden/>
    <w:unhideWhenUsed/>
    <w:rsid w:val="00C354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354C4"/>
    <w:rPr>
      <w:rFonts w:ascii="Calibri" w:hAnsi="Calibri"/>
      <w:szCs w:val="21"/>
      <w:lang w:val="en-GB"/>
    </w:rPr>
  </w:style>
  <w:style w:type="paragraph" w:customStyle="1" w:styleId="Standard">
    <w:name w:val="Standard"/>
    <w:rsid w:val="00C354C4"/>
    <w:pPr>
      <w:suppressAutoHyphens/>
      <w:autoSpaceDN w:val="0"/>
      <w:spacing w:after="200" w:line="276" w:lineRule="auto"/>
      <w:textAlignment w:val="baseline"/>
    </w:pPr>
    <w:rPr>
      <w:rFonts w:ascii="Calibri" w:eastAsia="SimSun" w:hAnsi="Calibri" w:cs="Calibri"/>
      <w:kern w:val="3"/>
      <w:lang w:val="en-GB"/>
    </w:rPr>
  </w:style>
  <w:style w:type="paragraph" w:styleId="NoSpacing">
    <w:name w:val="No Spacing"/>
    <w:rsid w:val="00C354C4"/>
    <w:pPr>
      <w:suppressAutoHyphens/>
      <w:autoSpaceDN w:val="0"/>
      <w:spacing w:after="0" w:line="240" w:lineRule="auto"/>
      <w:textAlignment w:val="baseline"/>
    </w:pPr>
    <w:rPr>
      <w:rFonts w:ascii="Calibri" w:eastAsia="Calibri" w:hAnsi="Calibri" w:cs="Times New Roman"/>
      <w:kern w:val="3"/>
      <w:lang w:val="en-GB"/>
    </w:rPr>
  </w:style>
  <w:style w:type="numbering" w:customStyle="1" w:styleId="WWNum3">
    <w:name w:val="WWNum3"/>
    <w:basedOn w:val="NoList"/>
    <w:rsid w:val="00C354C4"/>
    <w:pPr>
      <w:numPr>
        <w:numId w:val="4"/>
      </w:numPr>
    </w:pPr>
  </w:style>
  <w:style w:type="numbering" w:customStyle="1" w:styleId="WWNum4">
    <w:name w:val="WWNum4"/>
    <w:basedOn w:val="NoList"/>
    <w:rsid w:val="00C354C4"/>
    <w:pPr>
      <w:numPr>
        <w:numId w:val="6"/>
      </w:numPr>
    </w:pPr>
  </w:style>
  <w:style w:type="numbering" w:customStyle="1" w:styleId="WWNum5">
    <w:name w:val="WWNum5"/>
    <w:basedOn w:val="NoList"/>
    <w:rsid w:val="00C354C4"/>
    <w:pPr>
      <w:numPr>
        <w:numId w:val="7"/>
      </w:numPr>
    </w:pPr>
  </w:style>
  <w:style w:type="numbering" w:customStyle="1" w:styleId="WWNum6">
    <w:name w:val="WWNum6"/>
    <w:basedOn w:val="NoList"/>
    <w:rsid w:val="00C354C4"/>
    <w:pPr>
      <w:numPr>
        <w:numId w:val="8"/>
      </w:numPr>
    </w:pPr>
  </w:style>
  <w:style w:type="paragraph" w:styleId="NormalWeb">
    <w:name w:val="Normal (Web)"/>
    <w:basedOn w:val="Normal"/>
    <w:uiPriority w:val="99"/>
    <w:rsid w:val="00C354C4"/>
    <w:pPr>
      <w:spacing w:before="100" w:beforeAutospacing="1" w:after="100" w:afterAutospacing="1" w:line="240" w:lineRule="auto"/>
    </w:pPr>
    <w:rPr>
      <w:rFonts w:ascii="Times New Roman" w:eastAsia="SimSun" w:hAnsi="Times New Roman" w:cs="Times New Roman"/>
      <w:sz w:val="24"/>
      <w:szCs w:val="24"/>
      <w:lang w:eastAsia="en-GB"/>
    </w:rPr>
  </w:style>
  <w:style w:type="character" w:styleId="FollowedHyperlink">
    <w:name w:val="FollowedHyperlink"/>
    <w:basedOn w:val="DefaultParagraphFont"/>
    <w:uiPriority w:val="99"/>
    <w:semiHidden/>
    <w:unhideWhenUsed/>
    <w:rsid w:val="00C354C4"/>
    <w:rPr>
      <w:color w:val="954F72" w:themeColor="followedHyperlink"/>
      <w:u w:val="single"/>
    </w:rPr>
  </w:style>
  <w:style w:type="paragraph" w:styleId="BalloonText">
    <w:name w:val="Balloon Text"/>
    <w:basedOn w:val="Normal"/>
    <w:link w:val="BalloonTextChar"/>
    <w:uiPriority w:val="99"/>
    <w:semiHidden/>
    <w:unhideWhenUsed/>
    <w:rsid w:val="00C35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4C4"/>
    <w:rPr>
      <w:rFonts w:ascii="Tahoma" w:hAnsi="Tahoma" w:cs="Tahoma"/>
      <w:sz w:val="16"/>
      <w:szCs w:val="16"/>
      <w:lang w:val="en-GB"/>
    </w:rPr>
  </w:style>
  <w:style w:type="character" w:styleId="CommentReference">
    <w:name w:val="annotation reference"/>
    <w:basedOn w:val="DefaultParagraphFont"/>
    <w:uiPriority w:val="99"/>
    <w:semiHidden/>
    <w:unhideWhenUsed/>
    <w:rsid w:val="00C354C4"/>
    <w:rPr>
      <w:sz w:val="16"/>
      <w:szCs w:val="16"/>
    </w:rPr>
  </w:style>
  <w:style w:type="paragraph" w:styleId="CommentText">
    <w:name w:val="annotation text"/>
    <w:basedOn w:val="Normal"/>
    <w:link w:val="CommentTextChar"/>
    <w:uiPriority w:val="99"/>
    <w:semiHidden/>
    <w:unhideWhenUsed/>
    <w:rsid w:val="00C354C4"/>
    <w:pPr>
      <w:spacing w:line="240" w:lineRule="auto"/>
    </w:pPr>
    <w:rPr>
      <w:sz w:val="20"/>
      <w:szCs w:val="20"/>
    </w:rPr>
  </w:style>
  <w:style w:type="character" w:customStyle="1" w:styleId="CommentTextChar">
    <w:name w:val="Comment Text Char"/>
    <w:basedOn w:val="DefaultParagraphFont"/>
    <w:link w:val="CommentText"/>
    <w:uiPriority w:val="99"/>
    <w:semiHidden/>
    <w:rsid w:val="00C354C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C354C4"/>
    <w:rPr>
      <w:b/>
      <w:bCs/>
    </w:rPr>
  </w:style>
  <w:style w:type="character" w:customStyle="1" w:styleId="CommentSubjectChar">
    <w:name w:val="Comment Subject Char"/>
    <w:basedOn w:val="CommentTextChar"/>
    <w:link w:val="CommentSubject"/>
    <w:uiPriority w:val="99"/>
    <w:semiHidden/>
    <w:rsid w:val="00C354C4"/>
    <w:rPr>
      <w:rFonts w:ascii="Verdana" w:hAnsi="Verdana"/>
      <w:b/>
      <w:bCs/>
      <w:sz w:val="20"/>
      <w:szCs w:val="20"/>
      <w:lang w:val="en-GB"/>
    </w:rPr>
  </w:style>
  <w:style w:type="paragraph" w:styleId="Revision">
    <w:name w:val="Revision"/>
    <w:hidden/>
    <w:uiPriority w:val="99"/>
    <w:semiHidden/>
    <w:rsid w:val="00C354C4"/>
    <w:pPr>
      <w:spacing w:after="0" w:line="240" w:lineRule="auto"/>
    </w:pPr>
    <w:rPr>
      <w:lang w:val="en-GB"/>
    </w:rPr>
  </w:style>
  <w:style w:type="paragraph" w:styleId="TOC2">
    <w:name w:val="toc 2"/>
    <w:basedOn w:val="Normal"/>
    <w:next w:val="Normal"/>
    <w:autoRedefine/>
    <w:uiPriority w:val="39"/>
    <w:unhideWhenUsed/>
    <w:rsid w:val="00C354C4"/>
    <w:pPr>
      <w:spacing w:after="100"/>
      <w:ind w:left="220"/>
    </w:pPr>
  </w:style>
  <w:style w:type="paragraph" w:styleId="TOC3">
    <w:name w:val="toc 3"/>
    <w:basedOn w:val="Normal"/>
    <w:next w:val="Normal"/>
    <w:autoRedefine/>
    <w:uiPriority w:val="39"/>
    <w:unhideWhenUsed/>
    <w:rsid w:val="00C354C4"/>
    <w:pPr>
      <w:spacing w:after="100"/>
      <w:ind w:left="440"/>
    </w:pPr>
  </w:style>
  <w:style w:type="paragraph" w:styleId="TOC1">
    <w:name w:val="toc 1"/>
    <w:basedOn w:val="Normal"/>
    <w:next w:val="Normal"/>
    <w:autoRedefine/>
    <w:uiPriority w:val="39"/>
    <w:unhideWhenUsed/>
    <w:rsid w:val="00C354C4"/>
    <w:pPr>
      <w:spacing w:after="100"/>
    </w:pPr>
  </w:style>
  <w:style w:type="paragraph" w:styleId="Header">
    <w:name w:val="header"/>
    <w:basedOn w:val="Normal"/>
    <w:link w:val="HeaderChar"/>
    <w:uiPriority w:val="99"/>
    <w:unhideWhenUsed/>
    <w:rsid w:val="00C35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4C4"/>
    <w:rPr>
      <w:rFonts w:ascii="Verdana" w:hAnsi="Verdana"/>
      <w:lang w:val="en-GB"/>
    </w:rPr>
  </w:style>
  <w:style w:type="paragraph" w:styleId="Footer">
    <w:name w:val="footer"/>
    <w:basedOn w:val="Normal"/>
    <w:link w:val="FooterChar"/>
    <w:uiPriority w:val="99"/>
    <w:unhideWhenUsed/>
    <w:rsid w:val="00C35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4C4"/>
    <w:rPr>
      <w:rFonts w:ascii="Verdana" w:hAnsi="Verdana"/>
      <w:lang w:val="en-GB"/>
    </w:rPr>
  </w:style>
  <w:style w:type="table" w:styleId="TableGrid">
    <w:name w:val="Table Grid"/>
    <w:basedOn w:val="TableNormal"/>
    <w:uiPriority w:val="59"/>
    <w:rsid w:val="00C354C4"/>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basedOn w:val="DefaultParagraphFont"/>
    <w:uiPriority w:val="99"/>
    <w:semiHidden/>
    <w:unhideWhenUsed/>
    <w:rsid w:val="00C354C4"/>
    <w:rPr>
      <w:color w:val="2B579A"/>
      <w:shd w:val="clear" w:color="auto" w:fill="E6E6E6"/>
    </w:rPr>
  </w:style>
  <w:style w:type="character" w:customStyle="1" w:styleId="Mention2">
    <w:name w:val="Mention2"/>
    <w:basedOn w:val="DefaultParagraphFont"/>
    <w:uiPriority w:val="99"/>
    <w:semiHidden/>
    <w:unhideWhenUsed/>
    <w:rsid w:val="00C354C4"/>
    <w:rPr>
      <w:color w:val="2B579A"/>
      <w:shd w:val="clear" w:color="auto" w:fill="E6E6E6"/>
    </w:rPr>
  </w:style>
  <w:style w:type="paragraph" w:customStyle="1" w:styleId="Standard1">
    <w:name w:val="Standard1"/>
    <w:rsid w:val="00C354C4"/>
    <w:pPr>
      <w:suppressAutoHyphens/>
      <w:autoSpaceDN w:val="0"/>
      <w:spacing w:after="200" w:line="276" w:lineRule="auto"/>
      <w:textAlignment w:val="baseline"/>
    </w:pPr>
    <w:rPr>
      <w:rFonts w:ascii="Calibri" w:eastAsia="SimSun" w:hAnsi="Calibri" w:cs="Calibri"/>
      <w:kern w:val="3"/>
      <w:lang w:val="en-GB"/>
    </w:rPr>
  </w:style>
  <w:style w:type="paragraph" w:customStyle="1" w:styleId="p1">
    <w:name w:val="p1"/>
    <w:basedOn w:val="Normal"/>
    <w:rsid w:val="00C354C4"/>
    <w:pPr>
      <w:spacing w:after="0" w:line="240" w:lineRule="auto"/>
    </w:pPr>
    <w:rPr>
      <w:rFonts w:ascii="Helvetica" w:hAnsi="Helvetica" w:cs="Times New Roman"/>
      <w:sz w:val="18"/>
      <w:szCs w:val="18"/>
      <w:lang w:val="de-DE" w:eastAsia="de-DE"/>
    </w:rPr>
  </w:style>
  <w:style w:type="character" w:customStyle="1" w:styleId="s1">
    <w:name w:val="s1"/>
    <w:basedOn w:val="DefaultParagraphFont"/>
    <w:rsid w:val="00C354C4"/>
    <w:rPr>
      <w:u w:val="single"/>
    </w:rPr>
  </w:style>
  <w:style w:type="character" w:customStyle="1" w:styleId="Mention3">
    <w:name w:val="Mention3"/>
    <w:basedOn w:val="DefaultParagraphFont"/>
    <w:uiPriority w:val="99"/>
    <w:semiHidden/>
    <w:unhideWhenUsed/>
    <w:rsid w:val="00C354C4"/>
    <w:rPr>
      <w:color w:val="2B579A"/>
      <w:shd w:val="clear" w:color="auto" w:fill="E6E6E6"/>
    </w:rPr>
  </w:style>
  <w:style w:type="character" w:customStyle="1" w:styleId="UnresolvedMention">
    <w:name w:val="Unresolved Mention"/>
    <w:basedOn w:val="DefaultParagraphFont"/>
    <w:uiPriority w:val="99"/>
    <w:semiHidden/>
    <w:unhideWhenUsed/>
    <w:rsid w:val="00C354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ntrolled-trials.com/ISRCTN8368368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ealedenvelope.com/" TargetMode="External"/><Relationship Id="rId9" Type="http://schemas.openxmlformats.org/officeDocument/2006/relationships/footer" Target="footer1.xml"/><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8310</Words>
  <Characters>47371</Characters>
  <Application>Microsoft Macintosh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Callaghan, Patrick 3</cp:lastModifiedBy>
  <cp:revision>2</cp:revision>
  <dcterms:created xsi:type="dcterms:W3CDTF">2019-09-04T08:42:00Z</dcterms:created>
  <dcterms:modified xsi:type="dcterms:W3CDTF">2019-09-04T08:42:00Z</dcterms:modified>
</cp:coreProperties>
</file>