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35E0D" w14:textId="77777777" w:rsidR="00036874" w:rsidRPr="00C53EA3" w:rsidRDefault="00C50743" w:rsidP="00036874">
      <w:pPr>
        <w:jc w:val="center"/>
        <w:rPr>
          <w:rFonts w:eastAsia="PMingLiU"/>
          <w:lang w:eastAsia="zh-TW"/>
        </w:rPr>
      </w:pPr>
      <w:r w:rsidRPr="00C53EA3">
        <w:rPr>
          <w:b/>
          <w:bCs/>
          <w:sz w:val="32"/>
          <w:szCs w:val="32"/>
        </w:rPr>
        <w:t>Modelling online gaming metacognitions: The role of time spent gaming in predicting problematic Internet use</w:t>
      </w:r>
    </w:p>
    <w:p w14:paraId="039BF197" w14:textId="77777777" w:rsidR="00036874" w:rsidRPr="00C53EA3" w:rsidRDefault="00036874" w:rsidP="00036874">
      <w:pPr>
        <w:jc w:val="center"/>
        <w:rPr>
          <w:rFonts w:eastAsia="PMingLiU"/>
          <w:lang w:eastAsia="zh-TW"/>
        </w:rPr>
      </w:pPr>
    </w:p>
    <w:p w14:paraId="108FF1AB" w14:textId="52DA8B4C" w:rsidR="00036874" w:rsidRPr="00C53EA3" w:rsidRDefault="00036874" w:rsidP="00036874">
      <w:pPr>
        <w:jc w:val="center"/>
        <w:rPr>
          <w:sz w:val="22"/>
          <w:szCs w:val="22"/>
        </w:rPr>
      </w:pPr>
      <w:r w:rsidRPr="00C53EA3">
        <w:rPr>
          <w:sz w:val="22"/>
          <w:szCs w:val="22"/>
        </w:rPr>
        <w:t xml:space="preserve">Word count (all sections included): </w:t>
      </w:r>
      <w:r w:rsidR="003B7A91" w:rsidRPr="00C53EA3">
        <w:rPr>
          <w:sz w:val="22"/>
          <w:szCs w:val="22"/>
        </w:rPr>
        <w:t>4</w:t>
      </w:r>
      <w:r w:rsidR="00046ABD" w:rsidRPr="00C53EA3">
        <w:rPr>
          <w:sz w:val="22"/>
          <w:szCs w:val="22"/>
        </w:rPr>
        <w:t>,</w:t>
      </w:r>
      <w:r w:rsidR="00634450" w:rsidRPr="00C53EA3">
        <w:rPr>
          <w:sz w:val="22"/>
          <w:szCs w:val="22"/>
        </w:rPr>
        <w:t>512</w:t>
      </w:r>
    </w:p>
    <w:p w14:paraId="7D36EF5B" w14:textId="77777777" w:rsidR="00036874" w:rsidRPr="00C53EA3" w:rsidRDefault="00036874" w:rsidP="00036874">
      <w:pPr>
        <w:jc w:val="center"/>
        <w:rPr>
          <w:sz w:val="22"/>
          <w:szCs w:val="22"/>
        </w:rPr>
      </w:pPr>
      <w:r w:rsidRPr="00C53EA3">
        <w:rPr>
          <w:sz w:val="22"/>
          <w:szCs w:val="22"/>
        </w:rPr>
        <w:t>Date of 1</w:t>
      </w:r>
      <w:r w:rsidRPr="00C53EA3">
        <w:rPr>
          <w:sz w:val="22"/>
          <w:szCs w:val="22"/>
          <w:vertAlign w:val="superscript"/>
        </w:rPr>
        <w:t>st</w:t>
      </w:r>
      <w:r w:rsidRPr="00C53EA3">
        <w:rPr>
          <w:sz w:val="22"/>
          <w:szCs w:val="22"/>
        </w:rPr>
        <w:t xml:space="preserve"> submission: </w:t>
      </w:r>
      <w:r w:rsidR="00337ED4" w:rsidRPr="00C53EA3">
        <w:rPr>
          <w:sz w:val="22"/>
          <w:szCs w:val="22"/>
        </w:rPr>
        <w:t>2</w:t>
      </w:r>
      <w:r w:rsidR="007C6C39" w:rsidRPr="00C53EA3">
        <w:rPr>
          <w:sz w:val="22"/>
          <w:szCs w:val="22"/>
        </w:rPr>
        <w:t>1</w:t>
      </w:r>
      <w:r w:rsidR="00046ABD" w:rsidRPr="00C53EA3">
        <w:rPr>
          <w:sz w:val="22"/>
          <w:szCs w:val="22"/>
        </w:rPr>
        <w:t>/</w:t>
      </w:r>
      <w:r w:rsidR="00337ED4" w:rsidRPr="00C53EA3">
        <w:rPr>
          <w:sz w:val="22"/>
          <w:szCs w:val="22"/>
        </w:rPr>
        <w:t>09</w:t>
      </w:r>
      <w:r w:rsidR="00046ABD" w:rsidRPr="00C53EA3">
        <w:rPr>
          <w:sz w:val="22"/>
          <w:szCs w:val="22"/>
        </w:rPr>
        <w:t>/</w:t>
      </w:r>
      <w:r w:rsidR="00337ED4" w:rsidRPr="00C53EA3">
        <w:rPr>
          <w:sz w:val="22"/>
          <w:szCs w:val="22"/>
        </w:rPr>
        <w:t>2019</w:t>
      </w:r>
    </w:p>
    <w:p w14:paraId="42861087" w14:textId="4AC0CA04" w:rsidR="00634450" w:rsidRPr="00C53EA3" w:rsidRDefault="00634450" w:rsidP="00634450">
      <w:pPr>
        <w:jc w:val="center"/>
        <w:rPr>
          <w:sz w:val="22"/>
          <w:szCs w:val="22"/>
        </w:rPr>
      </w:pPr>
      <w:r w:rsidRPr="00C53EA3">
        <w:rPr>
          <w:sz w:val="22"/>
          <w:szCs w:val="22"/>
        </w:rPr>
        <w:t>Date of 2</w:t>
      </w:r>
      <w:r w:rsidRPr="00C53EA3">
        <w:rPr>
          <w:sz w:val="22"/>
          <w:szCs w:val="22"/>
          <w:vertAlign w:val="superscript"/>
        </w:rPr>
        <w:t>nd</w:t>
      </w:r>
      <w:r w:rsidRPr="00C53EA3">
        <w:rPr>
          <w:sz w:val="22"/>
          <w:szCs w:val="22"/>
        </w:rPr>
        <w:t xml:space="preserve"> submission: 05/05/2020</w:t>
      </w:r>
    </w:p>
    <w:p w14:paraId="3F8965C7" w14:textId="77777777" w:rsidR="00036874" w:rsidRPr="00C53EA3" w:rsidRDefault="00036874" w:rsidP="00C50743">
      <w:pPr>
        <w:jc w:val="center"/>
        <w:rPr>
          <w:lang w:val="it-IT"/>
        </w:rPr>
      </w:pPr>
    </w:p>
    <w:p w14:paraId="1512568B" w14:textId="77777777" w:rsidR="00036874" w:rsidRPr="00C53EA3" w:rsidRDefault="00036874" w:rsidP="00036874">
      <w:pPr>
        <w:pStyle w:val="Default"/>
        <w:jc w:val="center"/>
        <w:rPr>
          <w:rFonts w:ascii="Times New Roman" w:hAnsi="Times New Roman" w:cs="Times New Roman"/>
          <w:shd w:val="clear" w:color="auto" w:fill="FFFFFF"/>
          <w:lang w:val="it-IT"/>
        </w:rPr>
      </w:pPr>
    </w:p>
    <w:p w14:paraId="7B8EBE67" w14:textId="77777777" w:rsidR="00036874" w:rsidRPr="00C53EA3" w:rsidRDefault="00046ABD" w:rsidP="00B13021">
      <w:pPr>
        <w:jc w:val="center"/>
        <w:rPr>
          <w:lang w:val="it-IT"/>
        </w:rPr>
      </w:pPr>
      <w:r w:rsidRPr="00C53EA3">
        <w:rPr>
          <w:shd w:val="clear" w:color="auto" w:fill="FFFFFF"/>
          <w:lang w:val="it-IT"/>
        </w:rPr>
        <w:t>Gabriele Caselli</w:t>
      </w:r>
      <w:r w:rsidRPr="00C53EA3">
        <w:rPr>
          <w:shd w:val="clear" w:color="auto" w:fill="FFFFFF"/>
          <w:vertAlign w:val="superscript"/>
          <w:lang w:val="it-IT"/>
        </w:rPr>
        <w:t xml:space="preserve"> a,b,c</w:t>
      </w:r>
      <w:r w:rsidRPr="00C53EA3">
        <w:rPr>
          <w:shd w:val="clear" w:color="auto" w:fill="FFFFFF"/>
          <w:lang w:val="it-IT"/>
        </w:rPr>
        <w:t>, Claudia Marino</w:t>
      </w:r>
      <w:r w:rsidR="008E6C04" w:rsidRPr="00C53EA3">
        <w:rPr>
          <w:shd w:val="clear" w:color="auto" w:fill="FFFFFF"/>
          <w:vertAlign w:val="superscript"/>
          <w:lang w:val="it-IT"/>
        </w:rPr>
        <w:t>a,d</w:t>
      </w:r>
      <w:r w:rsidRPr="00C53EA3">
        <w:rPr>
          <w:shd w:val="clear" w:color="auto" w:fill="FFFFFF"/>
          <w:lang w:val="it-IT"/>
        </w:rPr>
        <w:t xml:space="preserve"> and </w:t>
      </w:r>
      <w:r w:rsidR="00253ACE" w:rsidRPr="00C53EA3">
        <w:rPr>
          <w:shd w:val="clear" w:color="auto" w:fill="FFFFFF"/>
          <w:lang w:val="it-IT"/>
        </w:rPr>
        <w:t>Marcantonio M. Spada</w:t>
      </w:r>
      <w:r w:rsidR="00253ACE" w:rsidRPr="00C53EA3">
        <w:rPr>
          <w:shd w:val="clear" w:color="auto" w:fill="FFFFFF"/>
          <w:vertAlign w:val="superscript"/>
          <w:lang w:val="it-IT"/>
        </w:rPr>
        <w:t xml:space="preserve">  a,*</w:t>
      </w:r>
      <w:r w:rsidR="00B13021" w:rsidRPr="00C53EA3">
        <w:rPr>
          <w:lang w:val="it-IT"/>
        </w:rPr>
        <w:t xml:space="preserve"> </w:t>
      </w:r>
    </w:p>
    <w:p w14:paraId="2E2B6031" w14:textId="77777777" w:rsidR="00036874" w:rsidRPr="00C53EA3" w:rsidRDefault="00036874" w:rsidP="00036874">
      <w:pPr>
        <w:jc w:val="center"/>
        <w:rPr>
          <w:lang w:val="it-IT"/>
        </w:rPr>
      </w:pPr>
    </w:p>
    <w:p w14:paraId="51160B7F" w14:textId="77777777" w:rsidR="00036874" w:rsidRPr="00C53EA3" w:rsidRDefault="00036874" w:rsidP="00036874">
      <w:pPr>
        <w:pStyle w:val="Default"/>
        <w:jc w:val="center"/>
        <w:rPr>
          <w:rFonts w:ascii="Times New Roman" w:hAnsi="Times New Roman" w:cs="Times New Roman"/>
          <w:shd w:val="clear" w:color="auto" w:fill="FFFFFF"/>
          <w:lang w:val="it-IT"/>
        </w:rPr>
      </w:pPr>
    </w:p>
    <w:p w14:paraId="55C3DCDB" w14:textId="77777777" w:rsidR="00253ACE" w:rsidRPr="00C53EA3" w:rsidRDefault="00253ACE" w:rsidP="00253ACE">
      <w:pPr>
        <w:pStyle w:val="Default"/>
        <w:rPr>
          <w:rFonts w:ascii="Times New Roman" w:hAnsi="Times New Roman" w:cs="Times New Roman"/>
          <w:color w:val="auto"/>
          <w:sz w:val="22"/>
          <w:szCs w:val="22"/>
          <w:lang w:val="en-GB"/>
        </w:rPr>
      </w:pPr>
      <w:r w:rsidRPr="00C53EA3">
        <w:rPr>
          <w:rFonts w:ascii="Times New Roman" w:hAnsi="Times New Roman" w:cs="Times New Roman"/>
          <w:sz w:val="22"/>
          <w:szCs w:val="22"/>
          <w:shd w:val="clear" w:color="auto" w:fill="FFFFFF"/>
          <w:vertAlign w:val="superscript"/>
        </w:rPr>
        <w:t>a</w:t>
      </w:r>
      <w:r w:rsidRPr="00C53EA3">
        <w:rPr>
          <w:rFonts w:ascii="Times New Roman" w:hAnsi="Times New Roman" w:cs="Times New Roman"/>
          <w:color w:val="auto"/>
          <w:sz w:val="22"/>
          <w:szCs w:val="22"/>
          <w:lang w:val="en-GB"/>
        </w:rPr>
        <w:t xml:space="preserve"> Division of Psychology, School of Applied Sciences, London South Bank University, London, UK</w:t>
      </w:r>
    </w:p>
    <w:p w14:paraId="55FC8F9B" w14:textId="77777777" w:rsidR="00631476" w:rsidRPr="00C53EA3" w:rsidRDefault="00631476" w:rsidP="00B13021">
      <w:pPr>
        <w:pStyle w:val="Default"/>
        <w:rPr>
          <w:rFonts w:ascii="Times New Roman" w:hAnsi="Times New Roman" w:cs="Times New Roman"/>
          <w:sz w:val="22"/>
          <w:szCs w:val="22"/>
          <w:shd w:val="clear" w:color="auto" w:fill="FFFFFF"/>
          <w:vertAlign w:val="superscript"/>
        </w:rPr>
      </w:pPr>
    </w:p>
    <w:p w14:paraId="551E032D" w14:textId="77777777" w:rsidR="00036874" w:rsidRPr="00C53EA3" w:rsidRDefault="00B13021" w:rsidP="00036874">
      <w:pPr>
        <w:pStyle w:val="Default"/>
        <w:rPr>
          <w:rFonts w:ascii="Times New Roman" w:hAnsi="Times New Roman" w:cs="Times New Roman"/>
          <w:color w:val="auto"/>
          <w:sz w:val="22"/>
          <w:szCs w:val="22"/>
          <w:lang w:val="en-GB"/>
        </w:rPr>
      </w:pPr>
      <w:r w:rsidRPr="00C53EA3">
        <w:rPr>
          <w:rFonts w:ascii="Times New Roman" w:hAnsi="Times New Roman" w:cs="Times New Roman"/>
          <w:sz w:val="22"/>
          <w:szCs w:val="22"/>
          <w:shd w:val="clear" w:color="auto" w:fill="FFFFFF"/>
          <w:vertAlign w:val="superscript"/>
        </w:rPr>
        <w:t>b</w:t>
      </w:r>
      <w:r w:rsidR="00036874" w:rsidRPr="00C53EA3">
        <w:rPr>
          <w:rFonts w:ascii="Times New Roman" w:hAnsi="Times New Roman" w:cs="Times New Roman"/>
          <w:color w:val="auto"/>
          <w:sz w:val="22"/>
          <w:szCs w:val="22"/>
          <w:lang w:val="en-GB"/>
        </w:rPr>
        <w:t xml:space="preserve"> </w:t>
      </w:r>
      <w:proofErr w:type="spellStart"/>
      <w:r w:rsidR="00036874" w:rsidRPr="00C53EA3">
        <w:rPr>
          <w:rFonts w:ascii="Times New Roman" w:hAnsi="Times New Roman" w:cs="Times New Roman"/>
          <w:color w:val="auto"/>
          <w:sz w:val="22"/>
          <w:szCs w:val="22"/>
          <w:lang w:val="en-GB"/>
        </w:rPr>
        <w:t>Studi</w:t>
      </w:r>
      <w:proofErr w:type="spellEnd"/>
      <w:r w:rsidR="00036874" w:rsidRPr="00C53EA3">
        <w:rPr>
          <w:rFonts w:ascii="Times New Roman" w:hAnsi="Times New Roman" w:cs="Times New Roman"/>
          <w:color w:val="auto"/>
          <w:sz w:val="22"/>
          <w:szCs w:val="22"/>
          <w:lang w:val="en-GB"/>
        </w:rPr>
        <w:t xml:space="preserve"> </w:t>
      </w:r>
      <w:proofErr w:type="spellStart"/>
      <w:r w:rsidR="00036874" w:rsidRPr="00C53EA3">
        <w:rPr>
          <w:rFonts w:ascii="Times New Roman" w:hAnsi="Times New Roman" w:cs="Times New Roman"/>
          <w:color w:val="auto"/>
          <w:sz w:val="22"/>
          <w:szCs w:val="22"/>
          <w:lang w:val="en-GB"/>
        </w:rPr>
        <w:t>Cognitivi</w:t>
      </w:r>
      <w:proofErr w:type="spellEnd"/>
      <w:r w:rsidR="00036874" w:rsidRPr="00C53EA3">
        <w:rPr>
          <w:rFonts w:ascii="Times New Roman" w:hAnsi="Times New Roman" w:cs="Times New Roman"/>
          <w:color w:val="auto"/>
          <w:sz w:val="22"/>
          <w:szCs w:val="22"/>
          <w:lang w:val="en-GB"/>
        </w:rPr>
        <w:t xml:space="preserve">, </w:t>
      </w:r>
      <w:r w:rsidR="00D05611" w:rsidRPr="00C53EA3">
        <w:rPr>
          <w:rFonts w:ascii="Times New Roman" w:hAnsi="Times New Roman" w:cs="Times New Roman"/>
          <w:color w:val="auto"/>
          <w:sz w:val="22"/>
          <w:szCs w:val="22"/>
          <w:lang w:val="en-GB"/>
        </w:rPr>
        <w:t>Milan</w:t>
      </w:r>
      <w:r w:rsidR="00036874" w:rsidRPr="00C53EA3">
        <w:rPr>
          <w:rFonts w:ascii="Times New Roman" w:hAnsi="Times New Roman" w:cs="Times New Roman"/>
          <w:color w:val="auto"/>
          <w:sz w:val="22"/>
          <w:szCs w:val="22"/>
          <w:lang w:val="en-GB"/>
        </w:rPr>
        <w:t>, Italy</w:t>
      </w:r>
    </w:p>
    <w:p w14:paraId="7B6CB554" w14:textId="77777777" w:rsidR="00631476" w:rsidRPr="00C53EA3" w:rsidRDefault="00631476" w:rsidP="00036874">
      <w:pPr>
        <w:pStyle w:val="Default"/>
        <w:rPr>
          <w:shd w:val="clear" w:color="auto" w:fill="FFFFFF"/>
          <w:vertAlign w:val="superscript"/>
          <w:lang w:val="en-GB"/>
        </w:rPr>
      </w:pPr>
    </w:p>
    <w:p w14:paraId="14754B82" w14:textId="77777777" w:rsidR="00EC0B26" w:rsidRPr="00C53EA3" w:rsidRDefault="00631476" w:rsidP="00036874">
      <w:pPr>
        <w:pStyle w:val="Default"/>
        <w:rPr>
          <w:rFonts w:ascii="Times New Roman" w:hAnsi="Times New Roman" w:cs="Times New Roman"/>
          <w:color w:val="auto"/>
          <w:sz w:val="22"/>
          <w:szCs w:val="22"/>
          <w:lang w:val="en-GB"/>
        </w:rPr>
      </w:pPr>
      <w:r w:rsidRPr="00C53EA3">
        <w:rPr>
          <w:rFonts w:ascii="Times New Roman" w:hAnsi="Times New Roman" w:cs="Times New Roman"/>
          <w:sz w:val="22"/>
          <w:szCs w:val="22"/>
          <w:shd w:val="clear" w:color="auto" w:fill="FFFFFF"/>
          <w:vertAlign w:val="superscript"/>
        </w:rPr>
        <w:t>c</w:t>
      </w:r>
      <w:r w:rsidR="00EC0B26" w:rsidRPr="00C53EA3">
        <w:rPr>
          <w:rFonts w:ascii="Times New Roman" w:hAnsi="Times New Roman" w:cs="Times New Roman"/>
          <w:color w:val="auto"/>
          <w:sz w:val="22"/>
          <w:szCs w:val="22"/>
          <w:lang w:val="en-GB"/>
        </w:rPr>
        <w:t xml:space="preserve"> Sigmund Freud University, Milan, Italy</w:t>
      </w:r>
    </w:p>
    <w:p w14:paraId="72DE7498" w14:textId="77777777" w:rsidR="008E6C04" w:rsidRPr="00C53EA3" w:rsidRDefault="008E6C04" w:rsidP="00036874">
      <w:pPr>
        <w:pStyle w:val="Default"/>
        <w:rPr>
          <w:rFonts w:ascii="Times New Roman" w:hAnsi="Times New Roman" w:cs="Times New Roman"/>
          <w:color w:val="auto"/>
          <w:sz w:val="22"/>
          <w:szCs w:val="22"/>
          <w:lang w:val="en-GB"/>
        </w:rPr>
      </w:pPr>
    </w:p>
    <w:p w14:paraId="5B2BD82A" w14:textId="77777777" w:rsidR="008E6C04" w:rsidRPr="00C53EA3" w:rsidRDefault="008E6C04" w:rsidP="00036874">
      <w:pPr>
        <w:pStyle w:val="Default"/>
        <w:rPr>
          <w:rFonts w:ascii="Times New Roman" w:hAnsi="Times New Roman" w:cs="Times New Roman"/>
          <w:color w:val="auto"/>
          <w:sz w:val="22"/>
          <w:szCs w:val="22"/>
          <w:lang w:val="en-GB"/>
        </w:rPr>
      </w:pPr>
      <w:r w:rsidRPr="00C53EA3">
        <w:rPr>
          <w:rFonts w:ascii="Times New Roman" w:hAnsi="Times New Roman" w:cs="Times New Roman"/>
          <w:color w:val="auto"/>
          <w:sz w:val="22"/>
          <w:szCs w:val="22"/>
          <w:vertAlign w:val="superscript"/>
          <w:lang w:val="en-GB"/>
        </w:rPr>
        <w:t xml:space="preserve">d </w:t>
      </w:r>
      <w:r w:rsidRPr="00C53EA3">
        <w:rPr>
          <w:rFonts w:ascii="Times New Roman" w:hAnsi="Times New Roman" w:cs="Times New Roman"/>
          <w:color w:val="auto"/>
          <w:sz w:val="22"/>
          <w:szCs w:val="22"/>
          <w:lang w:val="en-GB"/>
        </w:rPr>
        <w:t>Department of Developmental and Social Psychology, University of Padova, Padova, Italy</w:t>
      </w:r>
    </w:p>
    <w:p w14:paraId="3C10A14B" w14:textId="77777777" w:rsidR="00036874" w:rsidRPr="00C53EA3" w:rsidRDefault="00036874" w:rsidP="00036874">
      <w:pPr>
        <w:pStyle w:val="Default"/>
        <w:rPr>
          <w:rFonts w:ascii="Times New Roman" w:hAnsi="Times New Roman" w:cs="Times New Roman"/>
          <w:color w:val="auto"/>
          <w:sz w:val="22"/>
          <w:szCs w:val="22"/>
          <w:lang w:val="en-GB"/>
        </w:rPr>
      </w:pPr>
    </w:p>
    <w:p w14:paraId="65089282" w14:textId="336203F0" w:rsidR="00036874" w:rsidRPr="00C53EA3" w:rsidRDefault="00036874" w:rsidP="00036874">
      <w:pPr>
        <w:pStyle w:val="Default"/>
        <w:jc w:val="both"/>
        <w:rPr>
          <w:rFonts w:ascii="Times New Roman" w:hAnsi="Times New Roman" w:cs="Times New Roman"/>
          <w:color w:val="auto"/>
          <w:sz w:val="22"/>
          <w:szCs w:val="22"/>
          <w:lang w:val="en-GB"/>
        </w:rPr>
      </w:pPr>
      <w:r w:rsidRPr="00C53EA3">
        <w:rPr>
          <w:rFonts w:ascii="Times New Roman" w:hAnsi="Times New Roman" w:cs="Times New Roman"/>
          <w:sz w:val="22"/>
          <w:szCs w:val="22"/>
          <w:shd w:val="clear" w:color="auto" w:fill="FFFFFF"/>
          <w:vertAlign w:val="superscript"/>
        </w:rPr>
        <w:t xml:space="preserve">* </w:t>
      </w:r>
      <w:r w:rsidRPr="00C53EA3">
        <w:rPr>
          <w:rFonts w:ascii="Times New Roman" w:hAnsi="Times New Roman" w:cs="Times New Roman"/>
          <w:color w:val="auto"/>
          <w:sz w:val="22"/>
          <w:szCs w:val="22"/>
          <w:lang w:val="en-GB"/>
        </w:rPr>
        <w:t xml:space="preserve">Correspondence to: </w:t>
      </w:r>
      <w:r w:rsidR="00253ACE" w:rsidRPr="00C53EA3">
        <w:rPr>
          <w:rFonts w:ascii="Times New Roman" w:hAnsi="Times New Roman" w:cs="Times New Roman"/>
          <w:color w:val="auto"/>
          <w:sz w:val="22"/>
          <w:szCs w:val="22"/>
          <w:lang w:val="en-GB"/>
        </w:rPr>
        <w:t>Division of Psychology</w:t>
      </w:r>
      <w:r w:rsidR="0034573D" w:rsidRPr="00C53EA3">
        <w:rPr>
          <w:rFonts w:ascii="Times New Roman" w:hAnsi="Times New Roman" w:cs="Times New Roman"/>
          <w:color w:val="auto"/>
          <w:sz w:val="22"/>
          <w:szCs w:val="22"/>
          <w:lang w:val="en-GB"/>
        </w:rPr>
        <w:t xml:space="preserve">, </w:t>
      </w:r>
      <w:r w:rsidR="00253ACE" w:rsidRPr="00C53EA3">
        <w:rPr>
          <w:rFonts w:ascii="Times New Roman" w:hAnsi="Times New Roman" w:cs="Times New Roman"/>
          <w:color w:val="auto"/>
          <w:sz w:val="22"/>
          <w:szCs w:val="22"/>
          <w:lang w:val="en-GB"/>
        </w:rPr>
        <w:t>School of Applied Sciences</w:t>
      </w:r>
      <w:r w:rsidR="0034573D" w:rsidRPr="00C53EA3">
        <w:rPr>
          <w:rFonts w:ascii="Times New Roman" w:hAnsi="Times New Roman" w:cs="Times New Roman"/>
          <w:color w:val="auto"/>
          <w:sz w:val="22"/>
          <w:szCs w:val="22"/>
          <w:lang w:val="en-GB"/>
        </w:rPr>
        <w:t>,</w:t>
      </w:r>
      <w:r w:rsidR="00253ACE" w:rsidRPr="00C53EA3">
        <w:rPr>
          <w:rFonts w:ascii="Times New Roman" w:hAnsi="Times New Roman" w:cs="Times New Roman"/>
          <w:color w:val="auto"/>
          <w:sz w:val="22"/>
          <w:szCs w:val="22"/>
          <w:lang w:val="en-GB"/>
        </w:rPr>
        <w:t xml:space="preserve"> London South Bank University,</w:t>
      </w:r>
      <w:r w:rsidRPr="00C53EA3">
        <w:rPr>
          <w:rFonts w:ascii="Times New Roman" w:hAnsi="Times New Roman" w:cs="Times New Roman"/>
          <w:color w:val="auto"/>
          <w:sz w:val="22"/>
          <w:szCs w:val="22"/>
          <w:lang w:val="en-GB"/>
        </w:rPr>
        <w:t xml:space="preserve"> United Kingdom. Tel. +44 (0)20 </w:t>
      </w:r>
      <w:r w:rsidR="00253ACE" w:rsidRPr="00C53EA3">
        <w:rPr>
          <w:rFonts w:ascii="Times New Roman" w:hAnsi="Times New Roman" w:cs="Times New Roman"/>
          <w:color w:val="auto"/>
          <w:sz w:val="22"/>
          <w:szCs w:val="22"/>
          <w:lang w:val="en-GB"/>
        </w:rPr>
        <w:t>7815 5760</w:t>
      </w:r>
      <w:r w:rsidRPr="00C53EA3">
        <w:rPr>
          <w:rFonts w:ascii="Times New Roman" w:hAnsi="Times New Roman" w:cs="Times New Roman"/>
          <w:color w:val="auto"/>
          <w:sz w:val="22"/>
          <w:szCs w:val="22"/>
          <w:lang w:val="en-GB"/>
        </w:rPr>
        <w:t xml:space="preserve">, e-mail </w:t>
      </w:r>
      <w:hyperlink r:id="rId8" w:history="1">
        <w:r w:rsidR="00253ACE" w:rsidRPr="00C53EA3">
          <w:rPr>
            <w:rStyle w:val="Hyperlink"/>
            <w:rFonts w:ascii="Times New Roman" w:hAnsi="Times New Roman" w:cs="Times New Roman"/>
            <w:sz w:val="22"/>
            <w:szCs w:val="22"/>
            <w:lang w:val="en-GB"/>
          </w:rPr>
          <w:t>spadam@lsbu.ac.uk</w:t>
        </w:r>
      </w:hyperlink>
      <w:r w:rsidRPr="00C53EA3">
        <w:rPr>
          <w:rFonts w:ascii="Times New Roman" w:hAnsi="Times New Roman" w:cs="Times New Roman"/>
          <w:color w:val="auto"/>
          <w:sz w:val="22"/>
          <w:szCs w:val="22"/>
          <w:lang w:val="en-GB"/>
        </w:rPr>
        <w:t xml:space="preserve">. </w:t>
      </w:r>
    </w:p>
    <w:p w14:paraId="523DDFB5" w14:textId="7256753A" w:rsidR="00C53EA3" w:rsidRPr="00C53EA3" w:rsidRDefault="00C53EA3" w:rsidP="00036874">
      <w:pPr>
        <w:pStyle w:val="Default"/>
        <w:jc w:val="both"/>
        <w:rPr>
          <w:rFonts w:ascii="Times New Roman" w:hAnsi="Times New Roman" w:cs="Times New Roman"/>
          <w:color w:val="auto"/>
          <w:sz w:val="22"/>
          <w:szCs w:val="22"/>
          <w:lang w:val="en-GB"/>
        </w:rPr>
      </w:pPr>
    </w:p>
    <w:p w14:paraId="79DC2B73" w14:textId="0E7BE4E0" w:rsidR="00C53EA3" w:rsidRPr="00C53EA3" w:rsidRDefault="00C53EA3" w:rsidP="00036874">
      <w:pPr>
        <w:pStyle w:val="Default"/>
        <w:jc w:val="both"/>
        <w:rPr>
          <w:rFonts w:ascii="Times New Roman" w:hAnsi="Times New Roman" w:cs="Times New Roman"/>
          <w:color w:val="auto"/>
          <w:sz w:val="22"/>
          <w:szCs w:val="22"/>
          <w:lang w:val="en-GB"/>
        </w:rPr>
      </w:pPr>
    </w:p>
    <w:p w14:paraId="42080FDC" w14:textId="4A554463" w:rsidR="00C53EA3" w:rsidRPr="00C53EA3" w:rsidRDefault="00C53EA3" w:rsidP="00036874">
      <w:pPr>
        <w:pStyle w:val="Default"/>
        <w:jc w:val="both"/>
        <w:rPr>
          <w:rFonts w:ascii="Times New Roman" w:hAnsi="Times New Roman" w:cs="Times New Roman"/>
          <w:color w:val="auto"/>
          <w:sz w:val="22"/>
          <w:szCs w:val="22"/>
          <w:lang w:val="en-GB"/>
        </w:rPr>
      </w:pPr>
    </w:p>
    <w:p w14:paraId="442D5F29" w14:textId="1BA86F87" w:rsidR="00C53EA3" w:rsidRPr="00C53EA3" w:rsidRDefault="00C53EA3" w:rsidP="00036874">
      <w:pPr>
        <w:pStyle w:val="Default"/>
        <w:jc w:val="both"/>
        <w:rPr>
          <w:rFonts w:ascii="Times New Roman" w:hAnsi="Times New Roman" w:cs="Times New Roman"/>
          <w:color w:val="auto"/>
          <w:sz w:val="22"/>
          <w:szCs w:val="22"/>
          <w:lang w:val="en-GB"/>
        </w:rPr>
      </w:pPr>
    </w:p>
    <w:p w14:paraId="1F5C6F70" w14:textId="0C1594A1" w:rsidR="00C53EA3" w:rsidRPr="00C53EA3" w:rsidRDefault="00C53EA3" w:rsidP="00C53EA3">
      <w:pPr>
        <w:pStyle w:val="Default"/>
        <w:rPr>
          <w:rFonts w:ascii="Times New Roman" w:hAnsi="Times New Roman" w:cs="Times New Roman"/>
          <w:color w:val="auto"/>
          <w:sz w:val="22"/>
          <w:szCs w:val="22"/>
          <w:lang w:val="en-GB"/>
        </w:rPr>
      </w:pPr>
    </w:p>
    <w:p w14:paraId="32F3A933" w14:textId="48AED2A8" w:rsidR="00C53EA3" w:rsidRPr="00C53EA3" w:rsidRDefault="00C53EA3" w:rsidP="00C53EA3">
      <w:pPr>
        <w:pStyle w:val="Default"/>
        <w:rPr>
          <w:rFonts w:ascii="Times New Roman" w:hAnsi="Times New Roman" w:cs="Times New Roman"/>
          <w:color w:val="auto"/>
          <w:sz w:val="22"/>
          <w:szCs w:val="22"/>
          <w:lang w:val="en-GB"/>
        </w:rPr>
      </w:pPr>
    </w:p>
    <w:p w14:paraId="75D45BA8" w14:textId="6ECD3A0F" w:rsidR="00C53EA3" w:rsidRPr="00C53EA3" w:rsidRDefault="00C53EA3" w:rsidP="00C53EA3">
      <w:pPr>
        <w:pStyle w:val="Default"/>
        <w:rPr>
          <w:rFonts w:ascii="Times New Roman" w:hAnsi="Times New Roman" w:cs="Times New Roman"/>
          <w:color w:val="auto"/>
          <w:sz w:val="22"/>
          <w:szCs w:val="22"/>
          <w:lang w:val="en-GB"/>
        </w:rPr>
      </w:pPr>
    </w:p>
    <w:p w14:paraId="52393F5E" w14:textId="7940E4F8" w:rsidR="00C53EA3" w:rsidRPr="00C53EA3" w:rsidRDefault="00C53EA3" w:rsidP="00C53EA3">
      <w:pPr>
        <w:pStyle w:val="Default"/>
        <w:rPr>
          <w:rFonts w:ascii="Times New Roman" w:hAnsi="Times New Roman" w:cs="Times New Roman"/>
          <w:color w:val="auto"/>
          <w:sz w:val="22"/>
          <w:szCs w:val="22"/>
          <w:lang w:val="en-GB"/>
        </w:rPr>
      </w:pPr>
    </w:p>
    <w:p w14:paraId="499CE68B" w14:textId="2345446E" w:rsidR="00C53EA3" w:rsidRPr="00C53EA3" w:rsidRDefault="00C53EA3" w:rsidP="00C53EA3">
      <w:pPr>
        <w:pStyle w:val="Default"/>
        <w:rPr>
          <w:rFonts w:ascii="Times New Roman" w:hAnsi="Times New Roman" w:cs="Times New Roman"/>
          <w:color w:val="auto"/>
          <w:sz w:val="22"/>
          <w:szCs w:val="22"/>
          <w:lang w:val="en-GB"/>
        </w:rPr>
      </w:pPr>
    </w:p>
    <w:p w14:paraId="335EF2F3" w14:textId="77777777" w:rsidR="00C53EA3" w:rsidRPr="00C53EA3" w:rsidRDefault="00C53EA3" w:rsidP="00C53EA3">
      <w:pPr>
        <w:pStyle w:val="Default"/>
        <w:rPr>
          <w:rFonts w:ascii="Times New Roman" w:hAnsi="Times New Roman" w:cs="Times New Roman"/>
          <w:color w:val="auto"/>
          <w:sz w:val="22"/>
          <w:szCs w:val="22"/>
          <w:lang w:val="en-GB"/>
        </w:rPr>
      </w:pPr>
    </w:p>
    <w:p w14:paraId="382BE6FE" w14:textId="77777777" w:rsidR="00C53EA3" w:rsidRPr="00C53EA3" w:rsidRDefault="00C53EA3" w:rsidP="00C53EA3">
      <w:pPr>
        <w:pStyle w:val="Default"/>
        <w:rPr>
          <w:rFonts w:ascii="Times New Roman" w:hAnsi="Times New Roman" w:cs="Times New Roman"/>
          <w:color w:val="auto"/>
          <w:sz w:val="22"/>
          <w:szCs w:val="22"/>
          <w:lang w:val="en-GB"/>
        </w:rPr>
      </w:pPr>
    </w:p>
    <w:p w14:paraId="074966CF" w14:textId="77777777" w:rsidR="00C53EA3" w:rsidRPr="00C53EA3" w:rsidRDefault="00C53EA3" w:rsidP="00C53EA3">
      <w:pPr>
        <w:pStyle w:val="Default"/>
        <w:rPr>
          <w:rFonts w:ascii="Times New Roman" w:hAnsi="Times New Roman" w:cs="Times New Roman"/>
          <w:color w:val="auto"/>
          <w:sz w:val="22"/>
          <w:szCs w:val="22"/>
          <w:lang w:val="en-GB"/>
        </w:rPr>
      </w:pPr>
    </w:p>
    <w:p w14:paraId="25F9C015" w14:textId="77777777" w:rsidR="00C53EA3" w:rsidRPr="00C53EA3" w:rsidRDefault="00C53EA3" w:rsidP="00C53EA3">
      <w:pPr>
        <w:pStyle w:val="Default"/>
        <w:rPr>
          <w:rFonts w:ascii="Times New Roman" w:hAnsi="Times New Roman" w:cs="Times New Roman"/>
          <w:color w:val="auto"/>
          <w:sz w:val="22"/>
          <w:szCs w:val="22"/>
          <w:lang w:val="en-GB"/>
        </w:rPr>
      </w:pPr>
    </w:p>
    <w:p w14:paraId="794AB7E6" w14:textId="77777777" w:rsidR="00C53EA3" w:rsidRPr="00C53EA3" w:rsidRDefault="00C53EA3" w:rsidP="00C53EA3">
      <w:pPr>
        <w:pStyle w:val="Default"/>
        <w:rPr>
          <w:rFonts w:ascii="Times New Roman" w:hAnsi="Times New Roman" w:cs="Times New Roman"/>
          <w:color w:val="auto"/>
          <w:sz w:val="22"/>
          <w:szCs w:val="22"/>
          <w:lang w:val="en-GB"/>
        </w:rPr>
      </w:pPr>
    </w:p>
    <w:p w14:paraId="427DDD54" w14:textId="77777777" w:rsidR="00C53EA3" w:rsidRPr="00C53EA3" w:rsidRDefault="00C53EA3" w:rsidP="00C53EA3">
      <w:pPr>
        <w:pStyle w:val="Default"/>
        <w:rPr>
          <w:rFonts w:ascii="Times New Roman" w:hAnsi="Times New Roman" w:cs="Times New Roman"/>
          <w:color w:val="auto"/>
          <w:sz w:val="22"/>
          <w:szCs w:val="22"/>
          <w:lang w:val="en-GB"/>
        </w:rPr>
      </w:pPr>
    </w:p>
    <w:p w14:paraId="71A0B335" w14:textId="77777777" w:rsidR="00C53EA3" w:rsidRPr="00C53EA3" w:rsidRDefault="00C53EA3" w:rsidP="00C53EA3">
      <w:pPr>
        <w:pStyle w:val="Default"/>
        <w:rPr>
          <w:rFonts w:ascii="Times New Roman" w:hAnsi="Times New Roman" w:cs="Times New Roman"/>
          <w:color w:val="auto"/>
          <w:sz w:val="22"/>
          <w:szCs w:val="22"/>
          <w:lang w:val="en-GB"/>
        </w:rPr>
      </w:pPr>
    </w:p>
    <w:p w14:paraId="3D07F456" w14:textId="77777777" w:rsidR="00C53EA3" w:rsidRPr="00C53EA3" w:rsidRDefault="00C53EA3" w:rsidP="00C53EA3">
      <w:pPr>
        <w:pStyle w:val="Default"/>
        <w:rPr>
          <w:rFonts w:ascii="Times New Roman" w:hAnsi="Times New Roman" w:cs="Times New Roman"/>
          <w:color w:val="auto"/>
          <w:sz w:val="22"/>
          <w:szCs w:val="22"/>
          <w:lang w:val="en-GB"/>
        </w:rPr>
      </w:pPr>
    </w:p>
    <w:p w14:paraId="75355949" w14:textId="77777777" w:rsidR="00C53EA3" w:rsidRPr="00C53EA3" w:rsidRDefault="00C53EA3" w:rsidP="00C53EA3">
      <w:pPr>
        <w:pStyle w:val="Default"/>
        <w:rPr>
          <w:rFonts w:ascii="Times New Roman" w:hAnsi="Times New Roman" w:cs="Times New Roman"/>
          <w:color w:val="auto"/>
          <w:sz w:val="22"/>
          <w:szCs w:val="22"/>
          <w:lang w:val="en-GB"/>
        </w:rPr>
      </w:pPr>
    </w:p>
    <w:p w14:paraId="1AAF41C1" w14:textId="77777777" w:rsidR="00C53EA3" w:rsidRPr="00C53EA3" w:rsidRDefault="00C53EA3" w:rsidP="00C53EA3">
      <w:pPr>
        <w:pStyle w:val="Default"/>
        <w:rPr>
          <w:rFonts w:ascii="Times New Roman" w:hAnsi="Times New Roman" w:cs="Times New Roman"/>
          <w:color w:val="auto"/>
          <w:sz w:val="22"/>
          <w:szCs w:val="22"/>
          <w:lang w:val="en-GB"/>
        </w:rPr>
      </w:pPr>
    </w:p>
    <w:p w14:paraId="507A42E2" w14:textId="77777777" w:rsidR="00C53EA3" w:rsidRPr="00C53EA3" w:rsidRDefault="00C53EA3" w:rsidP="00C53EA3">
      <w:pPr>
        <w:pStyle w:val="Default"/>
        <w:rPr>
          <w:rFonts w:ascii="Times New Roman" w:hAnsi="Times New Roman" w:cs="Times New Roman"/>
          <w:color w:val="auto"/>
          <w:sz w:val="22"/>
          <w:szCs w:val="22"/>
          <w:lang w:val="en-GB"/>
        </w:rPr>
      </w:pPr>
    </w:p>
    <w:p w14:paraId="7D64B3A9" w14:textId="77777777" w:rsidR="00C53EA3" w:rsidRPr="00C53EA3" w:rsidRDefault="00C53EA3" w:rsidP="00C53EA3">
      <w:pPr>
        <w:pStyle w:val="Default"/>
        <w:rPr>
          <w:rFonts w:ascii="Times New Roman" w:hAnsi="Times New Roman" w:cs="Times New Roman"/>
          <w:color w:val="auto"/>
          <w:sz w:val="22"/>
          <w:szCs w:val="22"/>
          <w:lang w:val="en-GB"/>
        </w:rPr>
      </w:pPr>
    </w:p>
    <w:p w14:paraId="1B4D5940" w14:textId="77777777" w:rsidR="00C53EA3" w:rsidRPr="00C53EA3" w:rsidRDefault="00C53EA3" w:rsidP="00C53EA3">
      <w:pPr>
        <w:pStyle w:val="Default"/>
        <w:rPr>
          <w:rFonts w:ascii="Times New Roman" w:hAnsi="Times New Roman" w:cs="Times New Roman"/>
          <w:color w:val="auto"/>
          <w:sz w:val="22"/>
          <w:szCs w:val="22"/>
          <w:lang w:val="en-GB"/>
        </w:rPr>
      </w:pPr>
    </w:p>
    <w:p w14:paraId="0165B3A9" w14:textId="77777777" w:rsidR="00C53EA3" w:rsidRPr="00C53EA3" w:rsidRDefault="00C53EA3" w:rsidP="00C53EA3">
      <w:pPr>
        <w:pStyle w:val="Default"/>
        <w:rPr>
          <w:rFonts w:ascii="Times New Roman" w:hAnsi="Times New Roman" w:cs="Times New Roman"/>
          <w:color w:val="auto"/>
          <w:sz w:val="22"/>
          <w:szCs w:val="22"/>
          <w:lang w:val="en-GB"/>
        </w:rPr>
      </w:pPr>
    </w:p>
    <w:p w14:paraId="35AA11D8" w14:textId="77777777" w:rsidR="00C53EA3" w:rsidRPr="00C53EA3" w:rsidRDefault="00C53EA3" w:rsidP="00C53EA3">
      <w:pPr>
        <w:pStyle w:val="Default"/>
        <w:rPr>
          <w:rFonts w:ascii="Times New Roman" w:hAnsi="Times New Roman" w:cs="Times New Roman"/>
          <w:color w:val="auto"/>
          <w:sz w:val="22"/>
          <w:szCs w:val="22"/>
          <w:lang w:val="en-GB"/>
        </w:rPr>
      </w:pPr>
    </w:p>
    <w:p w14:paraId="587B4ED4" w14:textId="77777777" w:rsidR="00C53EA3" w:rsidRPr="00C53EA3" w:rsidRDefault="00C53EA3" w:rsidP="00C53EA3">
      <w:pPr>
        <w:pStyle w:val="Default"/>
        <w:rPr>
          <w:rFonts w:ascii="Times New Roman" w:hAnsi="Times New Roman" w:cs="Times New Roman"/>
          <w:color w:val="auto"/>
          <w:sz w:val="22"/>
          <w:szCs w:val="22"/>
          <w:lang w:val="en-GB"/>
        </w:rPr>
      </w:pPr>
    </w:p>
    <w:p w14:paraId="0D8C0BA3" w14:textId="77777777" w:rsidR="00C53EA3" w:rsidRPr="00C53EA3" w:rsidRDefault="00C53EA3" w:rsidP="00C53EA3">
      <w:pPr>
        <w:pStyle w:val="Default"/>
        <w:rPr>
          <w:rFonts w:ascii="Times New Roman" w:hAnsi="Times New Roman" w:cs="Times New Roman"/>
          <w:color w:val="auto"/>
          <w:sz w:val="22"/>
          <w:szCs w:val="22"/>
          <w:lang w:val="en-GB"/>
        </w:rPr>
      </w:pPr>
    </w:p>
    <w:p w14:paraId="50A71FEA" w14:textId="77777777" w:rsidR="00C53EA3" w:rsidRPr="00C53EA3" w:rsidRDefault="00C53EA3" w:rsidP="00C53EA3">
      <w:pPr>
        <w:pStyle w:val="Default"/>
        <w:rPr>
          <w:rFonts w:ascii="Times New Roman" w:hAnsi="Times New Roman" w:cs="Times New Roman"/>
          <w:color w:val="auto"/>
          <w:sz w:val="22"/>
          <w:szCs w:val="22"/>
          <w:lang w:val="en-GB"/>
        </w:rPr>
      </w:pPr>
    </w:p>
    <w:p w14:paraId="36803A96" w14:textId="77777777" w:rsidR="00C53EA3" w:rsidRPr="00C53EA3" w:rsidRDefault="00C53EA3" w:rsidP="00C53EA3">
      <w:pPr>
        <w:pStyle w:val="Default"/>
        <w:rPr>
          <w:rFonts w:ascii="Times New Roman" w:hAnsi="Times New Roman" w:cs="Times New Roman"/>
          <w:color w:val="auto"/>
          <w:sz w:val="22"/>
          <w:szCs w:val="22"/>
          <w:lang w:val="en-GB"/>
        </w:rPr>
      </w:pPr>
    </w:p>
    <w:p w14:paraId="70545984" w14:textId="77777777" w:rsidR="00C53EA3" w:rsidRPr="00C53EA3" w:rsidRDefault="00C53EA3" w:rsidP="00C53EA3">
      <w:pPr>
        <w:pStyle w:val="Default"/>
        <w:rPr>
          <w:rFonts w:ascii="Times New Roman" w:hAnsi="Times New Roman" w:cs="Times New Roman"/>
          <w:color w:val="auto"/>
          <w:sz w:val="22"/>
          <w:szCs w:val="22"/>
          <w:lang w:val="en-GB"/>
        </w:rPr>
      </w:pPr>
    </w:p>
    <w:p w14:paraId="6EFB12AA" w14:textId="77777777" w:rsidR="00C53EA3" w:rsidRPr="00C53EA3" w:rsidRDefault="00C53EA3" w:rsidP="00C53EA3">
      <w:pPr>
        <w:pStyle w:val="Default"/>
        <w:rPr>
          <w:rFonts w:ascii="Times New Roman" w:hAnsi="Times New Roman" w:cs="Times New Roman"/>
          <w:color w:val="auto"/>
          <w:sz w:val="22"/>
          <w:szCs w:val="22"/>
          <w:lang w:val="en-GB"/>
        </w:rPr>
      </w:pPr>
    </w:p>
    <w:p w14:paraId="3107EB63" w14:textId="77777777" w:rsidR="00C53EA3" w:rsidRPr="00C53EA3" w:rsidRDefault="00C53EA3" w:rsidP="00C53EA3">
      <w:pPr>
        <w:pStyle w:val="Default"/>
        <w:rPr>
          <w:rFonts w:ascii="Times New Roman" w:hAnsi="Times New Roman" w:cs="Times New Roman"/>
          <w:color w:val="auto"/>
          <w:sz w:val="22"/>
          <w:szCs w:val="22"/>
          <w:lang w:val="en-GB"/>
        </w:rPr>
      </w:pPr>
    </w:p>
    <w:p w14:paraId="17DDF089" w14:textId="77777777" w:rsidR="00C53EA3" w:rsidRPr="00C53EA3" w:rsidRDefault="00C53EA3" w:rsidP="00C53EA3">
      <w:pPr>
        <w:pStyle w:val="Default"/>
        <w:rPr>
          <w:rFonts w:ascii="Times New Roman" w:hAnsi="Times New Roman" w:cs="Times New Roman"/>
          <w:color w:val="auto"/>
          <w:sz w:val="22"/>
          <w:szCs w:val="22"/>
          <w:lang w:val="en-GB"/>
        </w:rPr>
      </w:pPr>
    </w:p>
    <w:p w14:paraId="38617AC2" w14:textId="77777777" w:rsidR="00C53EA3" w:rsidRPr="00C53EA3" w:rsidRDefault="00C53EA3" w:rsidP="00C53EA3">
      <w:pPr>
        <w:pStyle w:val="Default"/>
        <w:rPr>
          <w:rFonts w:ascii="Times New Roman" w:hAnsi="Times New Roman" w:cs="Times New Roman"/>
          <w:color w:val="auto"/>
          <w:sz w:val="22"/>
          <w:szCs w:val="22"/>
          <w:lang w:val="en-GB"/>
        </w:rPr>
      </w:pPr>
    </w:p>
    <w:p w14:paraId="0EAF26CB" w14:textId="77777777" w:rsidR="00C53EA3" w:rsidRPr="00C53EA3" w:rsidRDefault="00C53EA3" w:rsidP="00C53EA3">
      <w:pPr>
        <w:pStyle w:val="BodyText"/>
        <w:spacing w:line="480" w:lineRule="auto"/>
        <w:jc w:val="both"/>
        <w:rPr>
          <w:b/>
          <w:sz w:val="24"/>
          <w:szCs w:val="24"/>
          <w:lang w:val="en-GB"/>
        </w:rPr>
      </w:pPr>
      <w:r w:rsidRPr="00C53EA3">
        <w:rPr>
          <w:b/>
          <w:sz w:val="24"/>
          <w:szCs w:val="24"/>
          <w:lang w:val="en-GB"/>
        </w:rPr>
        <w:lastRenderedPageBreak/>
        <w:t>Abstract</w:t>
      </w:r>
    </w:p>
    <w:p w14:paraId="706FE3B4" w14:textId="77777777" w:rsidR="00C53EA3" w:rsidRPr="00C53EA3" w:rsidRDefault="00C53EA3" w:rsidP="00C53EA3">
      <w:pPr>
        <w:spacing w:line="480" w:lineRule="auto"/>
        <w:jc w:val="both"/>
        <w:rPr>
          <w:lang w:val="en-US"/>
        </w:rPr>
      </w:pPr>
      <w:r w:rsidRPr="00C53EA3">
        <w:t>In recent years there have been growing concerns about problematic Internet use (PIU) as potential mental health problem</w:t>
      </w:r>
      <w:r w:rsidRPr="00C53EA3">
        <w:rPr>
          <w:lang w:val="en-US"/>
        </w:rPr>
        <w:t xml:space="preserve">. Among the many activities available on the Internet, the time spent gaming appears one of the most frequent risk factors in developing PIU. The aim of the current study was to model </w:t>
      </w:r>
      <w:r w:rsidRPr="00C53EA3">
        <w:t xml:space="preserve">the relationship between negative affect, metacognitions about online gaming, frequency of online gaming and PIU. A total of </w:t>
      </w:r>
      <w:r w:rsidRPr="00C53EA3">
        <w:rPr>
          <w:color w:val="000000"/>
          <w:lang w:val="en-US"/>
        </w:rPr>
        <w:t xml:space="preserve">326 Italian gamers (mean age = 27 years, </w:t>
      </w:r>
      <w:r w:rsidRPr="00C53EA3">
        <w:rPr>
          <w:i/>
          <w:color w:val="000000"/>
          <w:lang w:val="en-US"/>
        </w:rPr>
        <w:t>SD</w:t>
      </w:r>
      <w:r w:rsidRPr="00C53EA3">
        <w:rPr>
          <w:color w:val="000000"/>
          <w:lang w:val="en-US"/>
        </w:rPr>
        <w:t xml:space="preserve"> = 5.65 years; 93.3% males) participated in the study. </w:t>
      </w:r>
      <w:r w:rsidRPr="00C53EA3">
        <w:rPr>
          <w:lang w:val="en-US" w:eastAsia="it-IT"/>
        </w:rPr>
        <w:t xml:space="preserve">The pattern of relationships specified by the theoretical model was examined through path analysis. Results showed that </w:t>
      </w:r>
      <w:r w:rsidRPr="00C53EA3">
        <w:t>n</w:t>
      </w:r>
      <w:proofErr w:type="spellStart"/>
      <w:r w:rsidRPr="00C53EA3">
        <w:rPr>
          <w:lang w:val="en-US"/>
        </w:rPr>
        <w:t>egative</w:t>
      </w:r>
      <w:proofErr w:type="spellEnd"/>
      <w:r w:rsidRPr="00C53EA3">
        <w:rPr>
          <w:lang w:val="en-US"/>
        </w:rPr>
        <w:t xml:space="preserve"> affect was directly associated with all other variables. Specifically, positive, strong and direct associations were found between negative affect and both positive and negative metacognitions about online gaming. Moreover, negative metacognitions about online gaming were strongly linked to PIU. </w:t>
      </w:r>
      <w:r w:rsidRPr="00C53EA3">
        <w:t xml:space="preserve">Overall, the theoretical model was supported showing that metacognitions about online gaming may play a role in the association between time spent on online gaming to a broader pattern of PIU. Results are discussed within the context of the metacognitive model of psychopathology and clinical implications based on this model are outlined. </w:t>
      </w:r>
    </w:p>
    <w:p w14:paraId="0F7F65CE" w14:textId="77777777" w:rsidR="00C53EA3" w:rsidRPr="00C53EA3" w:rsidRDefault="00C53EA3" w:rsidP="00C53EA3">
      <w:pPr>
        <w:spacing w:line="480" w:lineRule="auto"/>
        <w:jc w:val="both"/>
        <w:rPr>
          <w:lang w:val="en-US"/>
        </w:rPr>
      </w:pPr>
    </w:p>
    <w:p w14:paraId="25715B97" w14:textId="77777777" w:rsidR="00C53EA3" w:rsidRPr="00C53EA3" w:rsidRDefault="00C53EA3" w:rsidP="00C53EA3">
      <w:pPr>
        <w:tabs>
          <w:tab w:val="left" w:pos="0"/>
        </w:tabs>
        <w:spacing w:line="480" w:lineRule="auto"/>
        <w:jc w:val="both"/>
      </w:pPr>
      <w:r w:rsidRPr="00C53EA3">
        <w:t>Key words: online gaming; metacognitions about online gaming; negative affect; problematic Internet use; weekly online gaming hours.</w:t>
      </w:r>
    </w:p>
    <w:p w14:paraId="08D37BD6" w14:textId="77777777" w:rsidR="00C53EA3" w:rsidRPr="00C53EA3" w:rsidRDefault="00C53EA3" w:rsidP="00C53EA3">
      <w:pPr>
        <w:spacing w:line="480" w:lineRule="auto"/>
        <w:jc w:val="both"/>
      </w:pPr>
    </w:p>
    <w:p w14:paraId="34427B43" w14:textId="77777777" w:rsidR="00C53EA3" w:rsidRPr="00C53EA3" w:rsidRDefault="00C53EA3" w:rsidP="00C53EA3">
      <w:pPr>
        <w:spacing w:line="480" w:lineRule="auto"/>
        <w:jc w:val="both"/>
      </w:pPr>
    </w:p>
    <w:p w14:paraId="757F8DDB" w14:textId="77777777" w:rsidR="00C53EA3" w:rsidRPr="00C53EA3" w:rsidRDefault="00C53EA3" w:rsidP="00C53EA3">
      <w:pPr>
        <w:spacing w:line="480" w:lineRule="auto"/>
        <w:jc w:val="both"/>
      </w:pPr>
    </w:p>
    <w:p w14:paraId="39720691" w14:textId="77777777" w:rsidR="00C53EA3" w:rsidRPr="00C53EA3" w:rsidRDefault="00C53EA3" w:rsidP="00C53EA3">
      <w:pPr>
        <w:spacing w:line="480" w:lineRule="auto"/>
        <w:jc w:val="both"/>
      </w:pPr>
    </w:p>
    <w:p w14:paraId="6672B3D4" w14:textId="77777777" w:rsidR="00C53EA3" w:rsidRPr="00C53EA3" w:rsidRDefault="00C53EA3" w:rsidP="00C53EA3">
      <w:pPr>
        <w:spacing w:line="480" w:lineRule="auto"/>
        <w:jc w:val="both"/>
      </w:pPr>
    </w:p>
    <w:p w14:paraId="5969ACF9" w14:textId="77777777" w:rsidR="00C53EA3" w:rsidRPr="00C53EA3" w:rsidRDefault="00C53EA3" w:rsidP="00C53EA3">
      <w:pPr>
        <w:spacing w:line="480" w:lineRule="auto"/>
        <w:jc w:val="both"/>
      </w:pPr>
    </w:p>
    <w:p w14:paraId="461DA7F2" w14:textId="77777777" w:rsidR="00C53EA3" w:rsidRPr="00C53EA3" w:rsidRDefault="00C53EA3" w:rsidP="00C53EA3">
      <w:pPr>
        <w:spacing w:line="480" w:lineRule="auto"/>
        <w:jc w:val="both"/>
      </w:pPr>
    </w:p>
    <w:p w14:paraId="7AC0C06F" w14:textId="77777777" w:rsidR="00C53EA3" w:rsidRPr="00C53EA3" w:rsidRDefault="00C53EA3" w:rsidP="00C53EA3">
      <w:pPr>
        <w:spacing w:line="480" w:lineRule="auto"/>
        <w:jc w:val="both"/>
      </w:pPr>
    </w:p>
    <w:p w14:paraId="4FA35424" w14:textId="77777777" w:rsidR="00C53EA3" w:rsidRPr="00C53EA3" w:rsidRDefault="00C53EA3" w:rsidP="00C53EA3">
      <w:pPr>
        <w:pStyle w:val="BodyText"/>
        <w:spacing w:line="480" w:lineRule="auto"/>
        <w:rPr>
          <w:b/>
          <w:sz w:val="24"/>
          <w:szCs w:val="24"/>
          <w:lang w:val="en-GB"/>
        </w:rPr>
      </w:pPr>
      <w:r w:rsidRPr="00C53EA3">
        <w:rPr>
          <w:b/>
          <w:sz w:val="24"/>
          <w:szCs w:val="24"/>
          <w:lang w:val="en-GB"/>
        </w:rPr>
        <w:lastRenderedPageBreak/>
        <w:t>1. Introduction</w:t>
      </w:r>
    </w:p>
    <w:p w14:paraId="47DFBF9F" w14:textId="77777777" w:rsidR="00C53EA3" w:rsidRPr="00C53EA3" w:rsidRDefault="00C53EA3" w:rsidP="00C53EA3">
      <w:pPr>
        <w:spacing w:line="480" w:lineRule="auto"/>
        <w:jc w:val="both"/>
      </w:pPr>
      <w:r w:rsidRPr="00C53EA3">
        <w:t xml:space="preserve">Problematic Internet use (PIU; e.g. Young, 1998a; Spada, 2014) has been defined as the unregulated use of the Internet which gives rise to psychological, social, school and/or work impairments in a users’ life (e.g. Beard &amp; Wolf, 2001; </w:t>
      </w:r>
      <w:r w:rsidRPr="00C53EA3">
        <w:rPr>
          <w:lang w:val="en-US"/>
        </w:rPr>
        <w:t>Moreno, Eickhoff, Zhao, Young, &amp; Cox, 2019</w:t>
      </w:r>
      <w:r w:rsidRPr="00C53EA3">
        <w:t xml:space="preserve">). PIU can be characterized by internet-related activities which: (1) last more than intended, leading to neglect relevant everyday tasks; (2) negatively impact on interpersonal relationships and work performance; and (3) lead to withdrawal symptoms once the access to the Internet is prevented (Ng &amp; </w:t>
      </w:r>
      <w:proofErr w:type="spellStart"/>
      <w:r w:rsidRPr="00C53EA3">
        <w:t>Wiemer</w:t>
      </w:r>
      <w:proofErr w:type="spellEnd"/>
      <w:r w:rsidRPr="00C53EA3">
        <w:t xml:space="preserve">-Hasting, 2005; Cole &amp; Griffiths, 2007; Peters &amp;  </w:t>
      </w:r>
      <w:proofErr w:type="spellStart"/>
      <w:r w:rsidRPr="00C53EA3">
        <w:t>Malesky</w:t>
      </w:r>
      <w:proofErr w:type="spellEnd"/>
      <w:r w:rsidRPr="00C53EA3">
        <w:t>, 2008). PIU features share similarities to those belonging to the behavioural addictions providing credence to the assumption that PIU may be conceptualised as a coping strategy to escape/regulate or relieve negative cognition and affect (</w:t>
      </w:r>
      <w:proofErr w:type="spellStart"/>
      <w:r w:rsidRPr="00C53EA3">
        <w:t>Billieux</w:t>
      </w:r>
      <w:proofErr w:type="spellEnd"/>
      <w:r w:rsidRPr="00C53EA3">
        <w:t xml:space="preserve"> et al. 2015; Spada, Langston, </w:t>
      </w:r>
      <w:proofErr w:type="spellStart"/>
      <w:r w:rsidRPr="00C53EA3">
        <w:t>Nikčević</w:t>
      </w:r>
      <w:proofErr w:type="spellEnd"/>
      <w:r w:rsidRPr="00C53EA3">
        <w:t xml:space="preserve"> &amp; Moneta, 2008).</w:t>
      </w:r>
    </w:p>
    <w:p w14:paraId="6DC708BB" w14:textId="77777777" w:rsidR="00C53EA3" w:rsidRPr="00C53EA3" w:rsidRDefault="00C53EA3" w:rsidP="00C53EA3">
      <w:pPr>
        <w:spacing w:line="480" w:lineRule="auto"/>
        <w:ind w:firstLine="720"/>
        <w:jc w:val="both"/>
      </w:pPr>
      <w:r w:rsidRPr="00C53EA3">
        <w:t>Research evidence suggests that PIU affects a large number of people with incidence rates ranging between 14% and 55% (</w:t>
      </w:r>
      <w:proofErr w:type="spellStart"/>
      <w:r w:rsidRPr="00C53EA3">
        <w:t>Laconi</w:t>
      </w:r>
      <w:proofErr w:type="spellEnd"/>
      <w:r w:rsidRPr="00C53EA3">
        <w:t xml:space="preserve"> et al., 2018). It has been showed that PIU is related to time spent online, leading to a series of more severe negative consequences which include an increase in negative emotions, higher levels of self-regulation failures, and loss of relationships, career and school opportunities (</w:t>
      </w:r>
      <w:proofErr w:type="spellStart"/>
      <w:r w:rsidRPr="00C53EA3">
        <w:t>Laconi</w:t>
      </w:r>
      <w:proofErr w:type="spellEnd"/>
      <w:r w:rsidRPr="00C53EA3">
        <w:t xml:space="preserve"> et al., 2018). </w:t>
      </w:r>
    </w:p>
    <w:p w14:paraId="07A6E333" w14:textId="77777777" w:rsidR="00C53EA3" w:rsidRPr="00C53EA3" w:rsidRDefault="00C53EA3" w:rsidP="00C53EA3">
      <w:pPr>
        <w:spacing w:line="480" w:lineRule="auto"/>
        <w:ind w:firstLine="720"/>
        <w:jc w:val="both"/>
      </w:pPr>
      <w:r w:rsidRPr="00C53EA3">
        <w:t xml:space="preserve">PIU can be the result of multiple online activities which are not pathological per se, including information seeking, social networking, online shopping, gambling, gaming and many others. The amount of time spent in a wide range of online activities is found to be associated with PIU with online gaming showing the strongest association (Van </w:t>
      </w:r>
      <w:proofErr w:type="spellStart"/>
      <w:r w:rsidRPr="00C53EA3">
        <w:t>Rooij</w:t>
      </w:r>
      <w:proofErr w:type="spellEnd"/>
      <w:r w:rsidRPr="00C53EA3">
        <w:t xml:space="preserve"> et al., 2010). Moreover, changes in online gaming were found to be most strongly associated with changes in compulsive Internet use over time (Van </w:t>
      </w:r>
      <w:proofErr w:type="spellStart"/>
      <w:r w:rsidRPr="00C53EA3">
        <w:t>Rooij</w:t>
      </w:r>
      <w:proofErr w:type="spellEnd"/>
      <w:r w:rsidRPr="00C53EA3">
        <w:t xml:space="preserve"> et al., 2010). Concerns regarding the emergence of Internet Gaming Disorder (IGD) has been growing to the extent that the fifth edition of the Diagnostic and Statistical Manual of Mental Disorders (DSM-5, APA, 2013) has presented IGD as a condition on which future research is encouraged. More recently, the World Health Organization (2018) included gaming disorder in the 11</w:t>
      </w:r>
      <w:r w:rsidRPr="00C53EA3">
        <w:rPr>
          <w:vertAlign w:val="superscript"/>
        </w:rPr>
        <w:t>th</w:t>
      </w:r>
      <w:r w:rsidRPr="00C53EA3">
        <w:t xml:space="preserve"> Revision of the International Classification of Diseases (ICD-11) as a disorder aligned to </w:t>
      </w:r>
      <w:r w:rsidRPr="00C53EA3">
        <w:lastRenderedPageBreak/>
        <w:t>addictive behaviours. The ICD-11 defined gaming disorder as a persistent and recurrent participation in digital- and video-gaming (both online and offline) which is characterized by: (1) impairment in controlling gaming behaviours, including time spent gaming and duration; (2) increasing salience of gaming to the extent to which it is preferred to other relevant activities; and (3) significant impairment in daily life (family, school, and work) and health as well as  continuation of gaming despite negative consequences. In order to establish a diagnosis, these symptoms should be present for at least 12 months. However, since only a small minority of gamers suffer with IGD, the WHO suggested that monitoring the amount of time gamers spend gaming is particularly important as the difficulties in regulating such time might result in developing a problematic pattern of (Internet-related) gaming behaviour.</w:t>
      </w:r>
    </w:p>
    <w:p w14:paraId="2866D958" w14:textId="77777777" w:rsidR="00C53EA3" w:rsidRPr="00C53EA3" w:rsidRDefault="00C53EA3" w:rsidP="00C53EA3">
      <w:pPr>
        <w:spacing w:line="480" w:lineRule="auto"/>
        <w:ind w:firstLine="720"/>
        <w:jc w:val="both"/>
      </w:pPr>
      <w:r w:rsidRPr="00C53EA3">
        <w:rPr>
          <w:rFonts w:eastAsia="Calibri"/>
          <w:color w:val="000000" w:themeColor="text1"/>
        </w:rPr>
        <w:t>In view of the above, a key question emerges: H</w:t>
      </w:r>
      <w:r w:rsidRPr="00C53EA3">
        <w:t>ow do online activities like gaming become so perseverative and poorly regulated as to turn Internet use into such a detrimental problem? A potential answer is provided by a metacognitive understanding of the motivational and self-regulation mechanisms involved in the frequency of online gaming and its relationship with PIU.</w:t>
      </w:r>
    </w:p>
    <w:p w14:paraId="0CACD931" w14:textId="77777777" w:rsidR="00C53EA3" w:rsidRPr="00C53EA3" w:rsidRDefault="00C53EA3" w:rsidP="00C53EA3">
      <w:pPr>
        <w:spacing w:line="480" w:lineRule="auto"/>
        <w:ind w:firstLine="720"/>
        <w:jc w:val="both"/>
      </w:pPr>
      <w:r w:rsidRPr="00C53EA3">
        <w:t xml:space="preserve">Metacognition can be defined as any stable knowledge about one’s own cognitive system and strategies that may have an impact on the regulation of cognitions, the awareness of the current state of cognitions, and the appraisal of the meaning of thoughts and memories (Wells &amp; Matthews, 1996). Knowledge about cognitions (or metacognitions) can drive both appraisals and responses to negative cognitions leading to the selection, activation or interruption of strategies aimed at regulating them (Wells &amp; Matthews, 1994). Certain metacognitions appear to be detrimental in that they may activate ineffective self-regulatory strategies or favour their persistency. There is a broad agreement in distinguishing between two sub-type of problematic metacognitions, termed positive and negative metacognitions, and they can be applied to problematic use of online games (Spada &amp; Caselli, 2017; Marino &amp; Spada, 2017). </w:t>
      </w:r>
    </w:p>
    <w:p w14:paraId="5E14E692" w14:textId="77777777" w:rsidR="00C53EA3" w:rsidRPr="00C53EA3" w:rsidRDefault="00C53EA3" w:rsidP="00C53EA3">
      <w:pPr>
        <w:tabs>
          <w:tab w:val="left" w:pos="900"/>
          <w:tab w:val="left" w:pos="1080"/>
        </w:tabs>
        <w:spacing w:line="480" w:lineRule="auto"/>
        <w:jc w:val="both"/>
      </w:pPr>
      <w:r w:rsidRPr="00C53EA3">
        <w:tab/>
        <w:t>Positive metacognitions refer to the benefits of engaging in online gaming as a means of cognitive and affective regulation such as “</w:t>
      </w:r>
      <w:r w:rsidRPr="00C53EA3">
        <w:rPr>
          <w:lang w:val="en-US"/>
        </w:rPr>
        <w:t>online gaming will stop my worry</w:t>
      </w:r>
      <w:r w:rsidRPr="00C53EA3">
        <w:t>” or “</w:t>
      </w:r>
      <w:r w:rsidRPr="00C53EA3">
        <w:rPr>
          <w:lang w:val="en-US"/>
        </w:rPr>
        <w:t xml:space="preserve">online gaming </w:t>
      </w:r>
      <w:r w:rsidRPr="00C53EA3">
        <w:rPr>
          <w:lang w:val="en-US"/>
        </w:rPr>
        <w:lastRenderedPageBreak/>
        <w:t xml:space="preserve">distracts my mind from my problems”. </w:t>
      </w:r>
      <w:r w:rsidRPr="00C53EA3">
        <w:t xml:space="preserve">Negative metacognitions concern the uncontrollability and dangers of thoughts about online gaming such as “once I start online gaming it is difficult to stop” or “thoughts about gaming interfere with my functioning”. Positive metacognitions could play a central role in motivating individuals to engage in online gaming whilst negative metacognitions are thought to play a crucial role in the perpetuation of online gaming by becoming activated during and following engagement. Negative metacognitions may prevent any effective effort to stop gaming and/or trigger negative emotional states that compel a person to remain engaged, which in turn can increase the risk of developing a full-fledged addictive behaviour (Marino &amp; Spada, 2017; Spada, Caselli, </w:t>
      </w:r>
      <w:proofErr w:type="spellStart"/>
      <w:r w:rsidRPr="00C53EA3">
        <w:t>Nikčević</w:t>
      </w:r>
      <w:proofErr w:type="spellEnd"/>
      <w:r w:rsidRPr="00C53EA3">
        <w:t xml:space="preserve"> &amp; Wells, 2015).</w:t>
      </w:r>
    </w:p>
    <w:p w14:paraId="62DE4A9A" w14:textId="77777777" w:rsidR="00C53EA3" w:rsidRPr="00C53EA3" w:rsidRDefault="00C53EA3" w:rsidP="00C53EA3">
      <w:pPr>
        <w:tabs>
          <w:tab w:val="left" w:pos="900"/>
          <w:tab w:val="left" w:pos="1080"/>
        </w:tabs>
        <w:spacing w:line="480" w:lineRule="auto"/>
        <w:jc w:val="both"/>
      </w:pPr>
      <w:r w:rsidRPr="00C53EA3">
        <w:tab/>
        <w:t>In support of this view, metacognitions have been found to be associated with a wide array of psychological and behavioural problems (for a review, see Wells, 2013), including the frequency and severity of a wide array of addictive behaviours (</w:t>
      </w:r>
      <w:r w:rsidRPr="00C53EA3">
        <w:rPr>
          <w:lang w:val="pl-PL"/>
        </w:rPr>
        <w:t>for a review see Spada, Caselli, Nikčević, &amp; Wells, 2015; Hamonniere &amp; Varescon, 2018</w:t>
      </w:r>
      <w:r w:rsidRPr="00C53EA3">
        <w:t xml:space="preserve">). These studies have led to the development and testing of specific metacognitive models of substance-related and addictive behaviours (Caselli et al., 2018; </w:t>
      </w:r>
      <w:proofErr w:type="spellStart"/>
      <w:r w:rsidRPr="00C53EA3">
        <w:t>Nikčević</w:t>
      </w:r>
      <w:proofErr w:type="spellEnd"/>
      <w:r w:rsidRPr="00C53EA3">
        <w:t xml:space="preserve"> et al., 2017; Spada, Caselli &amp; Wells, 2013; Spada &amp; Wells, 2008). Within the area of Internet use, metacognitions have been found to be associated to levels of PIU (Spada, Langston, </w:t>
      </w:r>
      <w:proofErr w:type="spellStart"/>
      <w:r w:rsidRPr="00C53EA3">
        <w:t>Nikčević</w:t>
      </w:r>
      <w:proofErr w:type="spellEnd"/>
      <w:r w:rsidRPr="00C53EA3">
        <w:t xml:space="preserve"> &amp; Moneta, 2008; Spada &amp; Marino, 2017). </w:t>
      </w:r>
    </w:p>
    <w:p w14:paraId="04E0CE71" w14:textId="77777777" w:rsidR="00C53EA3" w:rsidRPr="00C53EA3" w:rsidRDefault="00C53EA3" w:rsidP="00C53EA3">
      <w:pPr>
        <w:tabs>
          <w:tab w:val="left" w:pos="900"/>
          <w:tab w:val="left" w:pos="1080"/>
        </w:tabs>
        <w:spacing w:line="480" w:lineRule="auto"/>
        <w:jc w:val="both"/>
      </w:pPr>
      <w:r w:rsidRPr="00C53EA3">
        <w:tab/>
        <w:t>Spada and Caselli (2017) developed and validated the first self-report measure designed to assess metacognitions about online gaming and investigated the association between these metacognitions and both weekly online gaming hours and PIU controlling for negative affect (Spada &amp; Caselli, 2017). Findings from this preliminary study confirmed the distinction between positive and negative metacognitions about online gaming and revealed that metacognitions were significantly associated to both weekly online gaming hours and PIU over and above negative affect (Spada &amp; Caselli, 2017).</w:t>
      </w:r>
      <w:r w:rsidRPr="00C53EA3">
        <w:tab/>
      </w:r>
    </w:p>
    <w:p w14:paraId="3F5C6605" w14:textId="77777777" w:rsidR="00C53EA3" w:rsidRPr="00C53EA3" w:rsidRDefault="00C53EA3" w:rsidP="00C53EA3">
      <w:pPr>
        <w:pStyle w:val="BodyText"/>
        <w:spacing w:line="480" w:lineRule="auto"/>
        <w:ind w:firstLine="720"/>
        <w:jc w:val="both"/>
        <w:rPr>
          <w:sz w:val="24"/>
          <w:szCs w:val="24"/>
        </w:rPr>
      </w:pPr>
      <w:r w:rsidRPr="00C53EA3">
        <w:rPr>
          <w:sz w:val="24"/>
          <w:szCs w:val="24"/>
        </w:rPr>
        <w:t xml:space="preserve">These preliminary findings suggest that metacognitions may play a role in the association between the frequency of online gaming and a broader pattern of PIU. On this basis, we put forward </w:t>
      </w:r>
      <w:r w:rsidRPr="00C53EA3">
        <w:rPr>
          <w:sz w:val="24"/>
          <w:szCs w:val="24"/>
        </w:rPr>
        <w:lastRenderedPageBreak/>
        <w:t>a metacognitive model of the relationship between negative affect, metacognitions about online gaming, frequency of online gaming and PIU as operationalized in Figure 1. In this model, it is proposed that positive metacognitions about online gaming and negative affect lead to the engagement in online gaming as a means of negative affect regulation. Once gaming is initiated, it may bring to attentional absorption which is sustained by negative metacognitions about the uncontrollability of online gaming. These metacognitions prevent the activation of effective processes of monitoring and control online gaming activity thus favoring its continuation. Following a gaming episode, negative metacognitions about online gaming drive the appraisal of gaming activity and gaming-related thoughts as uncontrollable and dangerous that may lead to a further escalation of negative affect, which acts as a trigger of subsequent gaming episodes. The perseveration of online gaming through the flywheel of negative metacognitions may finally bring to PIU.</w:t>
      </w:r>
    </w:p>
    <w:p w14:paraId="56C2A4A8" w14:textId="77777777" w:rsidR="00C53EA3" w:rsidRPr="00C53EA3" w:rsidRDefault="00C53EA3" w:rsidP="00C53EA3">
      <w:pPr>
        <w:spacing w:line="480" w:lineRule="auto"/>
        <w:ind w:firstLine="720"/>
        <w:jc w:val="both"/>
        <w:rPr>
          <w:lang w:val="en-US"/>
        </w:rPr>
      </w:pPr>
      <w:r w:rsidRPr="00C53EA3">
        <w:rPr>
          <w:lang w:val="en-US"/>
        </w:rPr>
        <w:t xml:space="preserve">In this study we aimed to examine the relationships between negative affect, metacognitions about online gaming, weekly online gaming hours and PIU by testing the statistical fit of our metacognitive model in a community sample on online gamers. </w:t>
      </w:r>
      <w:r w:rsidRPr="00C53EA3">
        <w:t>The hypothesised</w:t>
      </w:r>
      <w:r w:rsidRPr="00C53EA3">
        <w:rPr>
          <w:lang w:val="en-US"/>
        </w:rPr>
        <w:t xml:space="preserve"> relationships among the variables were examined and the statistical fit of a path diagram was then tested (see Figure 1). </w:t>
      </w:r>
    </w:p>
    <w:p w14:paraId="0433AEE1" w14:textId="77777777" w:rsidR="00C53EA3" w:rsidRPr="00C53EA3" w:rsidRDefault="00C53EA3" w:rsidP="00C53EA3">
      <w:pPr>
        <w:spacing w:line="480" w:lineRule="auto"/>
        <w:jc w:val="both"/>
        <w:rPr>
          <w:b/>
          <w:lang w:val="en-US"/>
        </w:rPr>
      </w:pPr>
      <w:r w:rsidRPr="00C53EA3">
        <w:rPr>
          <w:b/>
          <w:lang w:val="en-US"/>
        </w:rPr>
        <w:t>2. Method</w:t>
      </w:r>
    </w:p>
    <w:p w14:paraId="4DC8AC27" w14:textId="77777777" w:rsidR="00C53EA3" w:rsidRPr="00C53EA3" w:rsidRDefault="00C53EA3" w:rsidP="00C53EA3">
      <w:pPr>
        <w:spacing w:line="480" w:lineRule="auto"/>
        <w:jc w:val="both"/>
        <w:rPr>
          <w:b/>
          <w:lang w:val="en-US"/>
        </w:rPr>
      </w:pPr>
      <w:r w:rsidRPr="00C53EA3">
        <w:rPr>
          <w:b/>
          <w:lang w:val="en-US"/>
        </w:rPr>
        <w:t>2.1. Participants and Procedure</w:t>
      </w:r>
    </w:p>
    <w:p w14:paraId="268139C6" w14:textId="77777777" w:rsidR="00C53EA3" w:rsidRPr="00C53EA3" w:rsidRDefault="00C53EA3" w:rsidP="00C53EA3">
      <w:pPr>
        <w:spacing w:line="480" w:lineRule="auto"/>
        <w:jc w:val="both"/>
        <w:rPr>
          <w:color w:val="000000"/>
          <w:lang w:val="en-US"/>
        </w:rPr>
      </w:pPr>
      <w:r w:rsidRPr="00C53EA3">
        <w:rPr>
          <w:lang w:val="en-US"/>
        </w:rPr>
        <w:t xml:space="preserve">Data was collected though an online questionnaire promoted by means of e-mail lists and advertisements (shared in social network groups and thematic forums). All participants were assured of the anonymity of their responses and they all agreed to give their consent to take part to the study. The Ethics Committee of </w:t>
      </w:r>
      <w:proofErr w:type="spellStart"/>
      <w:r w:rsidRPr="00C53EA3">
        <w:rPr>
          <w:lang w:val="en-US"/>
        </w:rPr>
        <w:t>Studi</w:t>
      </w:r>
      <w:proofErr w:type="spellEnd"/>
      <w:r w:rsidRPr="00C53EA3">
        <w:rPr>
          <w:lang w:val="en-US"/>
        </w:rPr>
        <w:t xml:space="preserve"> </w:t>
      </w:r>
      <w:proofErr w:type="spellStart"/>
      <w:r w:rsidRPr="00C53EA3">
        <w:rPr>
          <w:lang w:val="en-US"/>
        </w:rPr>
        <w:t>Cognitivi</w:t>
      </w:r>
      <w:proofErr w:type="spellEnd"/>
      <w:r w:rsidRPr="00C53EA3">
        <w:rPr>
          <w:lang w:val="en-US"/>
        </w:rPr>
        <w:t xml:space="preserve"> (Italy) gave formal approval for this research. </w:t>
      </w:r>
      <w:r w:rsidRPr="00C53EA3">
        <w:rPr>
          <w:color w:val="000000"/>
          <w:lang w:val="en-US"/>
        </w:rPr>
        <w:t xml:space="preserve">Participants were recruited using an on-line snowballing sampling technique. They were aged between 18 and 56 years (mean age = 27 years, </w:t>
      </w:r>
      <w:r w:rsidRPr="00C53EA3">
        <w:rPr>
          <w:i/>
          <w:color w:val="000000"/>
          <w:lang w:val="en-US"/>
        </w:rPr>
        <w:t>SD</w:t>
      </w:r>
      <w:r w:rsidRPr="00C53EA3">
        <w:rPr>
          <w:color w:val="000000"/>
          <w:lang w:val="en-US"/>
        </w:rPr>
        <w:t xml:space="preserve"> = 5.65 years; 93.3% males) with duration of online gaming use equal to 9.8 years (</w:t>
      </w:r>
      <w:r w:rsidRPr="00C53EA3">
        <w:rPr>
          <w:i/>
          <w:color w:val="000000"/>
          <w:lang w:val="en-US"/>
        </w:rPr>
        <w:t xml:space="preserve">SD </w:t>
      </w:r>
      <w:r w:rsidRPr="00C53EA3">
        <w:rPr>
          <w:color w:val="000000"/>
          <w:lang w:val="en-US"/>
        </w:rPr>
        <w:t>= 4.3).</w:t>
      </w:r>
      <w:r w:rsidRPr="00C53EA3">
        <w:rPr>
          <w:lang w:val="en-US"/>
        </w:rPr>
        <w:t xml:space="preserve"> Those reporting to game less than 1 hour per week (n = 2) and </w:t>
      </w:r>
      <w:r w:rsidRPr="00C53EA3">
        <w:rPr>
          <w:bCs/>
        </w:rPr>
        <w:t xml:space="preserve">questionnaires </w:t>
      </w:r>
      <w:r w:rsidRPr="00C53EA3">
        <w:rPr>
          <w:color w:val="000000"/>
          <w:lang w:eastAsia="it-IT"/>
        </w:rPr>
        <w:t xml:space="preserve">including more than 20% of missing data in relevant scales </w:t>
      </w:r>
      <w:r w:rsidRPr="00C53EA3">
        <w:rPr>
          <w:bCs/>
        </w:rPr>
        <w:t xml:space="preserve">(n = 59) </w:t>
      </w:r>
      <w:r w:rsidRPr="00C53EA3">
        <w:rPr>
          <w:color w:val="000000"/>
          <w:lang w:eastAsia="it-IT"/>
        </w:rPr>
        <w:t>were excluded</w:t>
      </w:r>
      <w:r w:rsidRPr="00C53EA3">
        <w:rPr>
          <w:bCs/>
        </w:rPr>
        <w:t xml:space="preserve">. </w:t>
      </w:r>
      <w:r w:rsidRPr="00C53EA3">
        <w:rPr>
          <w:color w:val="000000"/>
          <w:lang w:eastAsia="it-IT"/>
        </w:rPr>
        <w:t xml:space="preserve">The remaining </w:t>
      </w:r>
      <w:r w:rsidRPr="00C53EA3">
        <w:rPr>
          <w:color w:val="000000"/>
          <w:lang w:eastAsia="it-IT"/>
        </w:rPr>
        <w:lastRenderedPageBreak/>
        <w:t xml:space="preserve">missing values (n = 2 participants with 1 missing value) were imputed based on the participant’s mean score on the relative scale (e.g., Marino et al., 2019). </w:t>
      </w:r>
      <w:r w:rsidRPr="00C53EA3">
        <w:rPr>
          <w:color w:val="000000"/>
          <w:lang w:val="en-US"/>
        </w:rPr>
        <w:t xml:space="preserve">Therefore, the analyses were run on a final sample of 326 online gamers. They </w:t>
      </w:r>
      <w:r w:rsidRPr="00C53EA3">
        <w:rPr>
          <w:lang w:val="en-US"/>
        </w:rPr>
        <w:t>reported to play online for a mean of 18.50 hours per week (</w:t>
      </w:r>
      <w:r w:rsidRPr="00C53EA3">
        <w:rPr>
          <w:i/>
          <w:lang w:val="en-US"/>
        </w:rPr>
        <w:t>SD</w:t>
      </w:r>
      <w:r w:rsidRPr="00C53EA3">
        <w:rPr>
          <w:lang w:val="en-US"/>
        </w:rPr>
        <w:t xml:space="preserve"> = 19.52 hours), and the mean score on the Internet Addiction Test (IAT, Young, 1998) was 42.58 (</w:t>
      </w:r>
      <w:r w:rsidRPr="00C53EA3">
        <w:rPr>
          <w:i/>
          <w:lang w:val="en-US"/>
        </w:rPr>
        <w:t>SD</w:t>
      </w:r>
      <w:r w:rsidRPr="00C53EA3">
        <w:rPr>
          <w:lang w:val="en-US"/>
        </w:rPr>
        <w:t xml:space="preserve"> = 9.52; range = 20–80).</w:t>
      </w:r>
    </w:p>
    <w:p w14:paraId="46922018" w14:textId="77777777" w:rsidR="00C53EA3" w:rsidRPr="00C53EA3" w:rsidRDefault="00C53EA3" w:rsidP="00C53EA3">
      <w:pPr>
        <w:spacing w:line="480" w:lineRule="auto"/>
        <w:jc w:val="both"/>
        <w:rPr>
          <w:b/>
          <w:lang w:val="en-US"/>
        </w:rPr>
      </w:pPr>
      <w:r w:rsidRPr="00C53EA3">
        <w:rPr>
          <w:b/>
          <w:lang w:val="en-US"/>
        </w:rPr>
        <w:t>2.2. Measurement of Key Variables</w:t>
      </w:r>
    </w:p>
    <w:p w14:paraId="6EE61747" w14:textId="77777777" w:rsidR="00C53EA3" w:rsidRPr="00C53EA3" w:rsidRDefault="00C53EA3" w:rsidP="00C53EA3">
      <w:pPr>
        <w:spacing w:line="480" w:lineRule="auto"/>
        <w:jc w:val="both"/>
        <w:rPr>
          <w:lang w:val="en-US"/>
        </w:rPr>
      </w:pPr>
      <w:r w:rsidRPr="00C53EA3">
        <w:rPr>
          <w:b/>
          <w:lang w:val="en-US"/>
        </w:rPr>
        <w:t>Negative affect.</w:t>
      </w:r>
      <w:r w:rsidRPr="00C53EA3">
        <w:rPr>
          <w:lang w:val="en-US"/>
        </w:rPr>
        <w:t xml:space="preserve"> The Hospital Anxiety and Depression Scale (HADS; </w:t>
      </w:r>
      <w:proofErr w:type="spellStart"/>
      <w:r w:rsidRPr="00C53EA3">
        <w:rPr>
          <w:lang w:val="en-US"/>
        </w:rPr>
        <w:t>Zigmond</w:t>
      </w:r>
      <w:proofErr w:type="spellEnd"/>
      <w:r w:rsidRPr="00C53EA3">
        <w:rPr>
          <w:lang w:val="en-US"/>
        </w:rPr>
        <w:t xml:space="preserve"> &amp; Snaith, 1983) was used to assess negative affect. This scale consists of 14 items, 7 assessing anxiety (e.g., “I feel tense or ‘wound up”) and 7 assessing depression (e.g. “I feel as if I am slowed down”). Participants were asked to rate the extent to which they agreed with each item about of how they have been feeling over the past week on a 4-point scale (from (1) “not at all” to (4) “most of the time”). Items were summed to obtain a total score for negative affect. Higher scores represent higher levels of negative affect. The Italian version showed good psychometric properties (</w:t>
      </w:r>
      <w:proofErr w:type="spellStart"/>
      <w:r w:rsidRPr="00C53EA3">
        <w:rPr>
          <w:lang w:val="en-US"/>
        </w:rPr>
        <w:t>Costantini</w:t>
      </w:r>
      <w:proofErr w:type="spellEnd"/>
      <w:r w:rsidRPr="00C53EA3">
        <w:rPr>
          <w:lang w:val="en-US"/>
        </w:rPr>
        <w:t xml:space="preserve"> et al., 1999). The Cronbach's alpha for the scale in the present study was.85 (95% CI.82–.87).</w:t>
      </w:r>
    </w:p>
    <w:p w14:paraId="0C17E17A" w14:textId="77777777" w:rsidR="00C53EA3" w:rsidRPr="00C53EA3" w:rsidRDefault="00C53EA3" w:rsidP="00C53EA3">
      <w:pPr>
        <w:spacing w:line="480" w:lineRule="auto"/>
        <w:jc w:val="both"/>
        <w:rPr>
          <w:lang w:val="en-US"/>
        </w:rPr>
      </w:pPr>
      <w:r w:rsidRPr="00C53EA3">
        <w:rPr>
          <w:b/>
          <w:lang w:val="en-US"/>
        </w:rPr>
        <w:t>Metacognitions.</w:t>
      </w:r>
      <w:r w:rsidRPr="00C53EA3">
        <w:rPr>
          <w:lang w:val="en-US"/>
        </w:rPr>
        <w:t xml:space="preserve"> The Metacognitions about Online Gaming Scale (MOGS; Spada &amp; Caselli, 2017) was used to assess positive and negative metacognitions about online gaming. The scale has two factors, each of which is assessed by 6 items: “positive metacognitions about online gaming” (P-MOG) referring to the usefulness of online gaming as cognitive-affective self-regulatory strategy (e.g., “Online gaming helps me to control my negative thoughts”); and “negative metacognitions about online gaming” (N-MOG) referring to the uncontrollability and dangers of online gaming and online gaming related thoughts (e.g., “I have no control over how much time I play”). Participants were asked to rate the extent of their agreement to each item on a 4-point scale (from (1) “do not agree” to (4) “agree very much”). Items were summed to obtain a score for both positive and negative metacognitions. Higher scores represent higher levels of metacognitions. The Cronbach's alpha for the positive and negative subscales in the present study were .84 (95% CI.81–.87) and .86 (95% CI .83–.88), respectively.</w:t>
      </w:r>
    </w:p>
    <w:p w14:paraId="0B31C157" w14:textId="77777777" w:rsidR="00C53EA3" w:rsidRPr="00C53EA3" w:rsidRDefault="00C53EA3" w:rsidP="00C53EA3">
      <w:pPr>
        <w:spacing w:line="480" w:lineRule="auto"/>
        <w:jc w:val="both"/>
        <w:rPr>
          <w:lang w:val="en-US" w:eastAsia="it-IT"/>
        </w:rPr>
      </w:pPr>
      <w:r w:rsidRPr="00C53EA3">
        <w:rPr>
          <w:b/>
          <w:lang w:val="en-US"/>
        </w:rPr>
        <w:lastRenderedPageBreak/>
        <w:t>Weekly online gaming hours.</w:t>
      </w:r>
      <w:r w:rsidRPr="00C53EA3">
        <w:rPr>
          <w:lang w:val="en-US"/>
        </w:rPr>
        <w:t xml:space="preserve"> Participants were asked to indicate how many hours per week they usually spend gaming online.</w:t>
      </w:r>
    </w:p>
    <w:p w14:paraId="0ED2ED0B" w14:textId="77777777" w:rsidR="00C53EA3" w:rsidRPr="00C53EA3" w:rsidRDefault="00C53EA3" w:rsidP="00C53EA3">
      <w:pPr>
        <w:spacing w:line="480" w:lineRule="auto"/>
        <w:jc w:val="both"/>
        <w:rPr>
          <w:lang w:val="en-US"/>
        </w:rPr>
      </w:pPr>
      <w:r w:rsidRPr="00C53EA3">
        <w:rPr>
          <w:b/>
          <w:lang w:val="en-US"/>
        </w:rPr>
        <w:t xml:space="preserve">Problematic Internet Use. </w:t>
      </w:r>
      <w:r w:rsidRPr="00C53EA3">
        <w:rPr>
          <w:lang w:val="en-US"/>
        </w:rPr>
        <w:t>The Internet Addiction Test (IAT; Young, 1998) was used to assess the degree of problematic Internet use. The scale consists of 20 items (e.g., “How often do you choose to spend more time online over going out with others?”; “How often do you lose sleep due to late-night log-ins?”). Participants were asked to rate the frequency of each item on a 5-point scale (from (1) “never” to (5) “always”). Items were summed to obtain a total score for Internet addiction. Higher scores represent higher levels of PIU. The Italian version showed good psychometric properties (</w:t>
      </w:r>
      <w:proofErr w:type="spellStart"/>
      <w:r w:rsidRPr="00C53EA3">
        <w:rPr>
          <w:lang w:val="en-US"/>
        </w:rPr>
        <w:t>Faraci</w:t>
      </w:r>
      <w:proofErr w:type="spellEnd"/>
      <w:r w:rsidRPr="00C53EA3">
        <w:rPr>
          <w:lang w:val="en-US"/>
        </w:rPr>
        <w:t xml:space="preserve"> et al., 2013). The Cronbach's alpha for scale in the present study was .87 (95% CI .85–.89).</w:t>
      </w:r>
    </w:p>
    <w:p w14:paraId="4CDC6895" w14:textId="77777777" w:rsidR="00C53EA3" w:rsidRPr="00C53EA3" w:rsidRDefault="00C53EA3" w:rsidP="00C53EA3">
      <w:pPr>
        <w:spacing w:line="480" w:lineRule="auto"/>
        <w:jc w:val="both"/>
        <w:rPr>
          <w:b/>
          <w:lang w:val="en-US" w:eastAsia="it-IT"/>
        </w:rPr>
      </w:pPr>
      <w:r w:rsidRPr="00C53EA3">
        <w:rPr>
          <w:b/>
          <w:lang w:val="en-US" w:eastAsia="it-IT"/>
        </w:rPr>
        <w:t>2.3. Data Analyses</w:t>
      </w:r>
    </w:p>
    <w:p w14:paraId="3EA4EEB3" w14:textId="77777777" w:rsidR="00C53EA3" w:rsidRPr="00C53EA3" w:rsidRDefault="00C53EA3" w:rsidP="00C53EA3">
      <w:pPr>
        <w:spacing w:line="480" w:lineRule="auto"/>
        <w:jc w:val="both"/>
        <w:rPr>
          <w:lang w:val="en-US" w:eastAsia="it-IT"/>
        </w:rPr>
      </w:pPr>
      <w:r w:rsidRPr="00C53EA3">
        <w:rPr>
          <w:lang w:val="en-US" w:eastAsia="it-IT"/>
        </w:rPr>
        <w:t xml:space="preserve">Correlation analyses were conducted in order to test the associations between the variables of interest. The pattern of relationships specified by our theoretical model (Figure 1) was examined through path analysis, using the package </w:t>
      </w:r>
      <w:proofErr w:type="spellStart"/>
      <w:r w:rsidRPr="00C53EA3">
        <w:rPr>
          <w:lang w:val="en-US" w:eastAsia="it-IT"/>
        </w:rPr>
        <w:t>Lavaan</w:t>
      </w:r>
      <w:proofErr w:type="spellEnd"/>
      <w:r w:rsidRPr="00C53EA3">
        <w:rPr>
          <w:lang w:val="en-US" w:eastAsia="it-IT"/>
        </w:rPr>
        <w:t xml:space="preserve"> (</w:t>
      </w:r>
      <w:proofErr w:type="spellStart"/>
      <w:r w:rsidRPr="00C53EA3">
        <w:rPr>
          <w:lang w:val="en-US" w:eastAsia="it-IT"/>
        </w:rPr>
        <w:t>Rosseel</w:t>
      </w:r>
      <w:proofErr w:type="spellEnd"/>
      <w:r w:rsidRPr="00C53EA3">
        <w:rPr>
          <w:lang w:val="en-US" w:eastAsia="it-IT"/>
        </w:rPr>
        <w:t xml:space="preserve">, 2012) of the software R (R Development Core Team 2013) and utilizing a single observed score for each construct included in the model. Specifically, the covariance matrix of the observed variable was analyzed </w:t>
      </w:r>
      <w:r w:rsidRPr="00C53EA3">
        <w:rPr>
          <w:lang w:val="en-US"/>
        </w:rPr>
        <w:t xml:space="preserve">with Maximum Likelihood method </w:t>
      </w:r>
      <w:r w:rsidRPr="00C53EA3">
        <w:rPr>
          <w:lang w:val="en-US" w:eastAsia="it-IT"/>
        </w:rPr>
        <w:t>estimator and the Sobel test (also known as the product of coefficients approach; Baron &amp; Kenny, 1986; Hayes, 2009) was used to test for mediation. To evaluate the goodness of fit of the model we considered the R</w:t>
      </w:r>
      <w:r w:rsidRPr="00C53EA3">
        <w:rPr>
          <w:vertAlign w:val="superscript"/>
          <w:lang w:val="en-US" w:eastAsia="it-IT"/>
        </w:rPr>
        <w:t>2</w:t>
      </w:r>
      <w:r w:rsidRPr="00C53EA3">
        <w:rPr>
          <w:lang w:val="en-US" w:eastAsia="it-IT"/>
        </w:rPr>
        <w:t xml:space="preserve"> of each endogenous variable and the total coefficient of determination (TCD; </w:t>
      </w:r>
      <w:proofErr w:type="spellStart"/>
      <w:r w:rsidRPr="00C53EA3">
        <w:rPr>
          <w:lang w:val="en-US" w:eastAsia="it-IT"/>
        </w:rPr>
        <w:t>Bollen</w:t>
      </w:r>
      <w:proofErr w:type="spellEnd"/>
      <w:r w:rsidRPr="00C53EA3">
        <w:rPr>
          <w:lang w:val="en-US" w:eastAsia="it-IT"/>
        </w:rPr>
        <w:t xml:space="preserve">, 1989; </w:t>
      </w:r>
      <w:proofErr w:type="spellStart"/>
      <w:r w:rsidRPr="00C53EA3">
        <w:rPr>
          <w:lang w:val="en-US" w:eastAsia="it-IT"/>
        </w:rPr>
        <w:t>Jӧreskog</w:t>
      </w:r>
      <w:proofErr w:type="spellEnd"/>
      <w:r w:rsidRPr="00C53EA3">
        <w:rPr>
          <w:lang w:val="en-US" w:eastAsia="it-IT"/>
        </w:rPr>
        <w:t xml:space="preserve"> &amp; </w:t>
      </w:r>
      <w:proofErr w:type="spellStart"/>
      <w:r w:rsidRPr="00C53EA3">
        <w:rPr>
          <w:lang w:val="en-US" w:eastAsia="it-IT"/>
        </w:rPr>
        <w:t>Sӧrbom</w:t>
      </w:r>
      <w:proofErr w:type="spellEnd"/>
      <w:r w:rsidRPr="00C53EA3">
        <w:rPr>
          <w:lang w:val="en-US" w:eastAsia="it-IT"/>
        </w:rPr>
        <w:t>, 1996). In the tested model, PIU was the dependent variable, negative affect was the independent variable, and weekly online gaming hours and positive and negative metacognitions about online gaming were the mediators (Figure 1).</w:t>
      </w:r>
    </w:p>
    <w:p w14:paraId="0B0D65C7" w14:textId="77777777" w:rsidR="00C53EA3" w:rsidRPr="00C53EA3" w:rsidRDefault="00C53EA3" w:rsidP="00C53EA3">
      <w:pPr>
        <w:spacing w:line="480" w:lineRule="auto"/>
        <w:jc w:val="both"/>
        <w:rPr>
          <w:b/>
          <w:lang w:val="en-US" w:eastAsia="it-IT"/>
        </w:rPr>
      </w:pPr>
      <w:r w:rsidRPr="00C53EA3">
        <w:rPr>
          <w:b/>
          <w:lang w:val="en-US" w:eastAsia="it-IT"/>
        </w:rPr>
        <w:t>3. Results</w:t>
      </w:r>
    </w:p>
    <w:p w14:paraId="1C064B60" w14:textId="77777777" w:rsidR="00C53EA3" w:rsidRPr="00C53EA3" w:rsidRDefault="00C53EA3" w:rsidP="00C53EA3">
      <w:pPr>
        <w:spacing w:line="480" w:lineRule="auto"/>
        <w:jc w:val="both"/>
        <w:rPr>
          <w:lang w:val="en-US" w:eastAsia="it-IT"/>
        </w:rPr>
      </w:pPr>
      <w:r w:rsidRPr="00C53EA3">
        <w:rPr>
          <w:lang w:val="en-US" w:eastAsia="it-IT"/>
        </w:rPr>
        <w:t xml:space="preserve">Table 1 shows the means, standard deviations and bivariate correlations between the variables included in the study. As expected, all of the study variables were correlated with each other. In particular, a strong positive correlation was found between PIU and weekly online gaming hours spent gaming, and between negative affect and metacognitions about online gaming. </w:t>
      </w:r>
    </w:p>
    <w:p w14:paraId="388671AD" w14:textId="77777777" w:rsidR="00C53EA3" w:rsidRPr="00C53EA3" w:rsidRDefault="00C53EA3" w:rsidP="00C53EA3">
      <w:pPr>
        <w:spacing w:line="480" w:lineRule="auto"/>
        <w:ind w:firstLine="708"/>
        <w:jc w:val="both"/>
        <w:rPr>
          <w:lang w:val="en-US"/>
        </w:rPr>
      </w:pPr>
      <w:r w:rsidRPr="00C53EA3">
        <w:rPr>
          <w:lang w:val="en-US" w:eastAsia="it-IT"/>
        </w:rPr>
        <w:lastRenderedPageBreak/>
        <w:t>The theoretical model was tested including all the variables of interest. In this model, a</w:t>
      </w:r>
      <w:r w:rsidRPr="00C53EA3">
        <w:rPr>
          <w:lang w:val="en-US"/>
        </w:rPr>
        <w:t xml:space="preserve">ll path coefficients were significant at least at the </w:t>
      </w:r>
      <w:r w:rsidRPr="00C53EA3">
        <w:rPr>
          <w:i/>
          <w:lang w:val="en-US"/>
        </w:rPr>
        <w:t xml:space="preserve">p </w:t>
      </w:r>
      <w:r w:rsidRPr="00C53EA3">
        <w:rPr>
          <w:lang w:val="en-US"/>
        </w:rPr>
        <w:t xml:space="preserve">&lt;.01 level. As shown in the Figure 2, all the variables were interrelated with each other. Negative affect was directly associated with all other variables. Specifically, positive, strong and direct associations were found between negative affect and both positive and negative metacognitions about online gaming. Moreover, negative metacognitions about online gaming were strongly linked to PIU.  </w:t>
      </w:r>
    </w:p>
    <w:p w14:paraId="18C3BE7C" w14:textId="77777777" w:rsidR="00C53EA3" w:rsidRPr="00C53EA3" w:rsidRDefault="00C53EA3" w:rsidP="00C53EA3">
      <w:pPr>
        <w:spacing w:line="480" w:lineRule="auto"/>
        <w:ind w:firstLine="708"/>
        <w:jc w:val="both"/>
        <w:rPr>
          <w:lang w:val="en-US"/>
        </w:rPr>
      </w:pPr>
      <w:r w:rsidRPr="00C53EA3">
        <w:rPr>
          <w:lang w:val="en-US"/>
        </w:rPr>
        <w:t>Along with the direct paths, several indirect relationships were found significant at the 5% level. Results of the Sobel test supported the mediating role of positive metacognitions about online gaming, weekly online gaming hours, and negative metacognitions about online gaming in the link between negative affect and PIU (</w:t>
      </w:r>
      <w:r w:rsidRPr="00C53EA3">
        <w:rPr>
          <w:i/>
          <w:lang w:val="en-US"/>
        </w:rPr>
        <w:t>β</w:t>
      </w:r>
      <w:r w:rsidRPr="00C53EA3">
        <w:rPr>
          <w:lang w:val="en-US"/>
        </w:rPr>
        <w:t xml:space="preserve"> = .01, </w:t>
      </w:r>
      <w:r w:rsidRPr="00C53EA3">
        <w:rPr>
          <w:i/>
          <w:lang w:val="en-US"/>
        </w:rPr>
        <w:t>p</w:t>
      </w:r>
      <w:r w:rsidRPr="00C53EA3">
        <w:rPr>
          <w:lang w:val="en-US"/>
        </w:rPr>
        <w:t xml:space="preserve"> =.03). Specifically, negative affect has an indirect effect on weekly online gaming hours via positive metacognitions about online gaming (</w:t>
      </w:r>
      <w:r w:rsidRPr="00C53EA3">
        <w:rPr>
          <w:i/>
          <w:lang w:val="en-US"/>
        </w:rPr>
        <w:t>β</w:t>
      </w:r>
      <w:r w:rsidRPr="00C53EA3">
        <w:rPr>
          <w:lang w:val="en-US"/>
        </w:rPr>
        <w:t xml:space="preserve"> = .07, </w:t>
      </w:r>
      <w:r w:rsidRPr="00C53EA3">
        <w:rPr>
          <w:i/>
          <w:lang w:val="en-US"/>
        </w:rPr>
        <w:t>p</w:t>
      </w:r>
      <w:r w:rsidRPr="00C53EA3">
        <w:rPr>
          <w:lang w:val="en-US"/>
        </w:rPr>
        <w:t xml:space="preserve"> =.01), and on negative metacognitions about online gaming via positive metacognitions online gaming and weekly online gaming hours (</w:t>
      </w:r>
      <w:r w:rsidRPr="00C53EA3">
        <w:rPr>
          <w:i/>
          <w:lang w:val="en-US"/>
        </w:rPr>
        <w:t>β</w:t>
      </w:r>
      <w:r w:rsidRPr="00C53EA3">
        <w:rPr>
          <w:lang w:val="en-US"/>
        </w:rPr>
        <w:t xml:space="preserve"> = .02, </w:t>
      </w:r>
      <w:r w:rsidRPr="00C53EA3">
        <w:rPr>
          <w:i/>
          <w:lang w:val="en-US"/>
        </w:rPr>
        <w:t>p</w:t>
      </w:r>
      <w:r w:rsidRPr="00C53EA3">
        <w:rPr>
          <w:lang w:val="en-US"/>
        </w:rPr>
        <w:t xml:space="preserve"> =.02). Weekly online gaming hours also mediated the link between positive and negative metacognitions about online gaming (</w:t>
      </w:r>
      <w:r w:rsidRPr="00C53EA3">
        <w:rPr>
          <w:i/>
          <w:lang w:val="en-US"/>
        </w:rPr>
        <w:t>β</w:t>
      </w:r>
      <w:r w:rsidRPr="00C53EA3">
        <w:rPr>
          <w:lang w:val="en-US"/>
        </w:rPr>
        <w:t xml:space="preserve"> = .04, </w:t>
      </w:r>
      <w:r w:rsidRPr="00C53EA3">
        <w:rPr>
          <w:i/>
          <w:lang w:val="en-US"/>
        </w:rPr>
        <w:t>p</w:t>
      </w:r>
      <w:r w:rsidRPr="00C53EA3">
        <w:rPr>
          <w:lang w:val="en-US"/>
        </w:rPr>
        <w:t xml:space="preserve"> =.02). The strongest indirect link was found between weekly online gaming hours and PIU via negative metacognitions about online gaming (</w:t>
      </w:r>
      <w:r w:rsidRPr="00C53EA3">
        <w:rPr>
          <w:i/>
          <w:lang w:val="en-US"/>
        </w:rPr>
        <w:t>β</w:t>
      </w:r>
      <w:r w:rsidRPr="00C53EA3">
        <w:rPr>
          <w:lang w:val="en-US"/>
        </w:rPr>
        <w:t xml:space="preserve"> = .11, </w:t>
      </w:r>
      <w:r w:rsidRPr="00C53EA3">
        <w:rPr>
          <w:i/>
          <w:lang w:val="en-US"/>
        </w:rPr>
        <w:t xml:space="preserve">p </w:t>
      </w:r>
      <w:r w:rsidRPr="00C53EA3">
        <w:rPr>
          <w:lang w:val="en-US"/>
        </w:rPr>
        <w:t>&lt; .001).</w:t>
      </w:r>
    </w:p>
    <w:p w14:paraId="286F5D36" w14:textId="1F05E64B" w:rsidR="00C53EA3" w:rsidRDefault="00C53EA3" w:rsidP="00C53EA3">
      <w:pPr>
        <w:spacing w:line="480" w:lineRule="auto"/>
        <w:ind w:firstLine="708"/>
        <w:jc w:val="both"/>
        <w:rPr>
          <w:lang w:val="en-US"/>
        </w:rPr>
      </w:pPr>
      <w:r w:rsidRPr="00C53EA3">
        <w:rPr>
          <w:lang w:val="en-US"/>
        </w:rPr>
        <w:t xml:space="preserve">The squared multiple correlations for the endogenous variables indicate that the model accounted for 44% of the variance for the outcome variable (PIU), and 30% of the variance for one mediator (negative metacognitions about online gaming) variable. Lower variance was observed for the other mediators (i.e. 20% for positive metacognitions about online gaming and 9% for weekly online gaming hours). Finally, the total amount of variance explained by the model (Total Coefficient of Determination, TCD = .44) indicated a good fit to the observed data. In terms of effect size, a TCD of .44 corresponds to a correlation of </w:t>
      </w:r>
      <w:r w:rsidRPr="00C53EA3">
        <w:rPr>
          <w:i/>
          <w:lang w:val="en-US"/>
        </w:rPr>
        <w:t>r</w:t>
      </w:r>
      <w:r w:rsidRPr="00C53EA3">
        <w:rPr>
          <w:lang w:val="en-US"/>
        </w:rPr>
        <w:t xml:space="preserve"> = .66. According to the Cohen’s (1988) traditional criteria, this is a large effect size.</w:t>
      </w:r>
    </w:p>
    <w:p w14:paraId="40609B45" w14:textId="55317F9B" w:rsidR="005839D7" w:rsidRDefault="005839D7" w:rsidP="00C53EA3">
      <w:pPr>
        <w:spacing w:line="480" w:lineRule="auto"/>
        <w:ind w:firstLine="708"/>
        <w:jc w:val="both"/>
        <w:rPr>
          <w:lang w:val="en-US"/>
        </w:rPr>
      </w:pPr>
    </w:p>
    <w:p w14:paraId="66F93978" w14:textId="77777777" w:rsidR="005839D7" w:rsidRPr="00C53EA3" w:rsidRDefault="005839D7" w:rsidP="00C53EA3">
      <w:pPr>
        <w:spacing w:line="480" w:lineRule="auto"/>
        <w:ind w:firstLine="708"/>
        <w:jc w:val="both"/>
        <w:rPr>
          <w:lang w:val="en-US"/>
        </w:rPr>
      </w:pPr>
    </w:p>
    <w:p w14:paraId="5357A301" w14:textId="77777777" w:rsidR="00C53EA3" w:rsidRPr="00C53EA3" w:rsidRDefault="00C53EA3" w:rsidP="00C53EA3">
      <w:pPr>
        <w:tabs>
          <w:tab w:val="left" w:pos="900"/>
          <w:tab w:val="left" w:pos="1080"/>
        </w:tabs>
        <w:spacing w:line="480" w:lineRule="auto"/>
        <w:jc w:val="both"/>
        <w:rPr>
          <w:b/>
        </w:rPr>
      </w:pPr>
      <w:r w:rsidRPr="00C53EA3">
        <w:rPr>
          <w:b/>
        </w:rPr>
        <w:lastRenderedPageBreak/>
        <w:t>Discussion</w:t>
      </w:r>
    </w:p>
    <w:p w14:paraId="641534A7" w14:textId="77777777" w:rsidR="00C53EA3" w:rsidRPr="00C53EA3" w:rsidRDefault="00C53EA3" w:rsidP="00C53EA3">
      <w:pPr>
        <w:pStyle w:val="BodyText"/>
        <w:spacing w:line="480" w:lineRule="auto"/>
        <w:jc w:val="both"/>
        <w:rPr>
          <w:sz w:val="24"/>
          <w:szCs w:val="24"/>
        </w:rPr>
      </w:pPr>
      <w:r w:rsidRPr="00C53EA3">
        <w:rPr>
          <w:sz w:val="24"/>
          <w:szCs w:val="24"/>
        </w:rPr>
        <w:t xml:space="preserve">The aim of this study was to test the statistical fit of a metacognitive model of the interplay between negative affect, metacognitions about online gaming, weekly online gaming hours and PIU. Our metacognitive model was grounded in the metacognitive model of addictive </w:t>
      </w:r>
      <w:proofErr w:type="spellStart"/>
      <w:r w:rsidRPr="00C53EA3">
        <w:rPr>
          <w:sz w:val="24"/>
          <w:szCs w:val="24"/>
        </w:rPr>
        <w:t>behaviours</w:t>
      </w:r>
      <w:proofErr w:type="spellEnd"/>
      <w:r w:rsidRPr="00C53EA3">
        <w:rPr>
          <w:sz w:val="24"/>
          <w:szCs w:val="24"/>
        </w:rPr>
        <w:t xml:space="preserve"> (Spada, Caselli &amp; Wells, 2013; Spada, Caselli, </w:t>
      </w:r>
      <w:proofErr w:type="spellStart"/>
      <w:r w:rsidRPr="00C53EA3">
        <w:rPr>
          <w:sz w:val="24"/>
          <w:szCs w:val="24"/>
        </w:rPr>
        <w:t>Nikčević</w:t>
      </w:r>
      <w:proofErr w:type="spellEnd"/>
      <w:r w:rsidRPr="00C53EA3">
        <w:rPr>
          <w:sz w:val="24"/>
          <w:szCs w:val="24"/>
        </w:rPr>
        <w:t xml:space="preserve"> &amp; Wells, 2015). According to this formulation, addictive </w:t>
      </w:r>
      <w:proofErr w:type="spellStart"/>
      <w:r w:rsidRPr="00C53EA3">
        <w:rPr>
          <w:sz w:val="24"/>
          <w:szCs w:val="24"/>
        </w:rPr>
        <w:t>behaviours</w:t>
      </w:r>
      <w:proofErr w:type="spellEnd"/>
      <w:r w:rsidRPr="00C53EA3">
        <w:rPr>
          <w:sz w:val="24"/>
          <w:szCs w:val="24"/>
        </w:rPr>
        <w:t xml:space="preserve"> involve an inflexible perseveration of coping strategies that impair self-regulation and control because of the explicit or implicit impact of metacognitions. </w:t>
      </w:r>
    </w:p>
    <w:p w14:paraId="1C91DBF6" w14:textId="77777777" w:rsidR="00C53EA3" w:rsidRPr="00C53EA3" w:rsidRDefault="00C53EA3" w:rsidP="00C53EA3">
      <w:pPr>
        <w:pStyle w:val="BodyText"/>
        <w:spacing w:line="480" w:lineRule="auto"/>
        <w:ind w:firstLine="720"/>
        <w:jc w:val="both"/>
      </w:pPr>
      <w:r w:rsidRPr="00C53EA3">
        <w:rPr>
          <w:sz w:val="24"/>
          <w:szCs w:val="24"/>
        </w:rPr>
        <w:t>In the hypothesized metacognitive model we proposed that positive metacognitions about online gaming lead online gaming as a means of emotional and cognitive self-regulation (e.g. reduce anxiety, suppress worries). Once online gaming is initiated, it can perseverate on the basis of negative metacognitions about online gaming that can be activated during and following engagement in online gaming. Negative metacognitions about online gaming relating to uncontrollability may prevent any effective effort to stop gaming while negative metacognitions about online gaming relating to the dangers of online gaming thoughts can trigger negative affective states that may compel an individual to remain engaged or return to engagement in order to regulate these states. The interruption of online gaming is gradually brought about by tiredness or external obstacles/distractions. These extreme and maladaptive stop signals hinder disconfirmation of metacognitive knowledge about uncontrollability on online gaming and indirectly prevent the adoption of effective self-regulation strategies. The perseveration of this self-feeding cycle may increase levels of PIU</w:t>
      </w:r>
      <w:r w:rsidRPr="00C53EA3">
        <w:t xml:space="preserve"> </w:t>
      </w:r>
      <w:r w:rsidRPr="00C53EA3">
        <w:rPr>
          <w:sz w:val="24"/>
        </w:rPr>
        <w:t xml:space="preserve">(Spada, Caselli, </w:t>
      </w:r>
      <w:proofErr w:type="spellStart"/>
      <w:r w:rsidRPr="00C53EA3">
        <w:rPr>
          <w:sz w:val="24"/>
        </w:rPr>
        <w:t>Nikčević</w:t>
      </w:r>
      <w:proofErr w:type="spellEnd"/>
      <w:r w:rsidRPr="00C53EA3">
        <w:rPr>
          <w:sz w:val="24"/>
        </w:rPr>
        <w:t xml:space="preserve"> &amp; Wells, 2015).</w:t>
      </w:r>
    </w:p>
    <w:p w14:paraId="22B0386C" w14:textId="77777777" w:rsidR="00C53EA3" w:rsidRPr="00C53EA3" w:rsidRDefault="00C53EA3" w:rsidP="00C53EA3">
      <w:pPr>
        <w:pStyle w:val="BodyText"/>
        <w:spacing w:line="480" w:lineRule="auto"/>
        <w:ind w:firstLine="720"/>
        <w:jc w:val="both"/>
        <w:rPr>
          <w:sz w:val="24"/>
          <w:szCs w:val="24"/>
        </w:rPr>
      </w:pPr>
      <w:r w:rsidRPr="00C53EA3">
        <w:rPr>
          <w:sz w:val="24"/>
        </w:rPr>
        <w:t>Th</w:t>
      </w:r>
      <w:r w:rsidRPr="00C53EA3">
        <w:rPr>
          <w:sz w:val="24"/>
          <w:szCs w:val="24"/>
        </w:rPr>
        <w:t>ese findings have a number of possible implications for the assessment,</w:t>
      </w:r>
      <w:r w:rsidRPr="00C53EA3">
        <w:rPr>
          <w:sz w:val="24"/>
          <w:szCs w:val="24"/>
          <w:lang w:val="en-GB"/>
        </w:rPr>
        <w:t xml:space="preserve"> conceptualisation</w:t>
      </w:r>
      <w:r w:rsidRPr="00C53EA3">
        <w:rPr>
          <w:sz w:val="24"/>
          <w:szCs w:val="24"/>
        </w:rPr>
        <w:t xml:space="preserve">, and treatment of PIU. In terms of assessment, information could be gathered not only in relation to the gaming activity per se but also, and perhaps mainly, to metacognitions about online gaming. The metacognitive model could also be used to guide the development of idiosyncratic case conceptualizations as well as socialize patients to the role of metacognitions in maladaptive self-regulation strategies and their consequences for symptoms, well-being, and quality of life. The </w:t>
      </w:r>
      <w:r w:rsidRPr="00C53EA3">
        <w:rPr>
          <w:sz w:val="24"/>
          <w:szCs w:val="24"/>
        </w:rPr>
        <w:lastRenderedPageBreak/>
        <w:t xml:space="preserve">present model can be illustrated to demonstrate the consistency in factors associated with the onset and perpetuation of online gaming and its impact of a more generalized PIU. The therapeutic implications may provide a foundation for the development of a Metacognitive Therapy for PIU and its multiple facet (like IGD) and can define specific targets for treatment potentially independent from the kind of online activity (King &amp; </w:t>
      </w:r>
      <w:proofErr w:type="spellStart"/>
      <w:r w:rsidRPr="00C53EA3">
        <w:rPr>
          <w:sz w:val="24"/>
          <w:szCs w:val="24"/>
        </w:rPr>
        <w:t>Delfabbro</w:t>
      </w:r>
      <w:proofErr w:type="spellEnd"/>
      <w:r w:rsidRPr="00C53EA3">
        <w:rPr>
          <w:sz w:val="24"/>
          <w:szCs w:val="24"/>
        </w:rPr>
        <w:t xml:space="preserve">, 2018). These targets may refer to positive metacognitions about usefulness of online activity as a strategy for cognitive and affect self-regulation and negative metacognitions about uncontrollability of online activity. Such treatment should: (1) bring online activity (like gaming) under executive control; (2) modify positive and negative metacognitions; and (3) provide greater flexibility in mode of processing and self-regulation strategies that are not necessarily based on online activity. These goals may be achieved through the practice of attentional manipulation focused at improving adaptive goal-progress monitoring and the manipulation of stop signals. This should provide a means of amplifying self-attention thus increasing the flow of goal-progress information into processing (e.g. monitoring the ongoing impact of gaming on level of tension). Specific therapeutic strategies like metacognitive-delivered </w:t>
      </w:r>
      <w:proofErr w:type="spellStart"/>
      <w:r w:rsidRPr="00C53EA3">
        <w:rPr>
          <w:sz w:val="24"/>
          <w:szCs w:val="24"/>
        </w:rPr>
        <w:t>behavioural</w:t>
      </w:r>
      <w:proofErr w:type="spellEnd"/>
      <w:r w:rsidRPr="00C53EA3">
        <w:rPr>
          <w:sz w:val="24"/>
          <w:szCs w:val="24"/>
        </w:rPr>
        <w:t xml:space="preserve"> experiments and verbal reattribution techniques should aim to facilitate the abandonment of online gaming as a self-regulatory strategy and to modify positive and negative metacognitions about this process (Caselli, Gemelli, Spada &amp; Wells, 2016; Caselli, Martino, Spada &amp; Wells, 2018).</w:t>
      </w:r>
    </w:p>
    <w:p w14:paraId="5D7148B8" w14:textId="77777777" w:rsidR="00C53EA3" w:rsidRPr="00C53EA3" w:rsidRDefault="00C53EA3" w:rsidP="00C53EA3">
      <w:pPr>
        <w:pStyle w:val="BodyText"/>
        <w:spacing w:line="480" w:lineRule="auto"/>
        <w:ind w:firstLine="720"/>
        <w:jc w:val="both"/>
        <w:rPr>
          <w:sz w:val="24"/>
        </w:rPr>
      </w:pPr>
      <w:r w:rsidRPr="00C53EA3">
        <w:rPr>
          <w:sz w:val="24"/>
        </w:rPr>
        <w:t>The present results are preliminary in nature. T</w:t>
      </w:r>
      <w:r w:rsidRPr="00C53EA3">
        <w:rPr>
          <w:color w:val="000000"/>
          <w:sz w:val="24"/>
        </w:rPr>
        <w:t xml:space="preserve">he most important limitation is the absence of a longitudinal design that precludes causal test of the present model. Secondly, the community nature of the sample prevents conclusions at a clinical level. Thirdly, the use of snowballing recruitment techniques is subject to biased estimates. Fourthly, </w:t>
      </w:r>
      <w:r w:rsidRPr="00C53EA3">
        <w:rPr>
          <w:sz w:val="24"/>
        </w:rPr>
        <w:t xml:space="preserve">the presence of concurrent psychological disorder (which could account for the observed differences in outcome measures) was not assessed. However, controlling for anxiety and depression does provide a degree of confidence in the specificity of the results. Finally, online gaming specific measures (for example the Internet Gaming Disorder Scale; </w:t>
      </w:r>
      <w:proofErr w:type="spellStart"/>
      <w:r w:rsidRPr="00C53EA3">
        <w:rPr>
          <w:sz w:val="24"/>
        </w:rPr>
        <w:t>Monacis</w:t>
      </w:r>
      <w:proofErr w:type="spellEnd"/>
      <w:r w:rsidRPr="00C53EA3">
        <w:rPr>
          <w:sz w:val="24"/>
        </w:rPr>
        <w:t xml:space="preserve">, Palo, Griffiths, &amp; Sinatra, 2016) could have been administered to provide an additional outcome measure to compare and contrast with weekly online gaming hours. Future research will </w:t>
      </w:r>
      <w:r w:rsidRPr="00C53EA3">
        <w:rPr>
          <w:sz w:val="24"/>
        </w:rPr>
        <w:lastRenderedPageBreak/>
        <w:t>need to test the proposed model with problematic online gaming as an outcome, use of longitudinal designs, and include clinical populations.</w:t>
      </w:r>
    </w:p>
    <w:p w14:paraId="5DFFB19B" w14:textId="77777777" w:rsidR="00C53EA3" w:rsidRPr="00C53EA3" w:rsidRDefault="00C53EA3" w:rsidP="00C53EA3">
      <w:pPr>
        <w:pStyle w:val="BodyText"/>
        <w:spacing w:line="480" w:lineRule="auto"/>
        <w:ind w:firstLine="720"/>
        <w:jc w:val="both"/>
        <w:rPr>
          <w:sz w:val="24"/>
          <w:szCs w:val="24"/>
        </w:rPr>
      </w:pPr>
      <w:r w:rsidRPr="00C53EA3">
        <w:rPr>
          <w:sz w:val="24"/>
          <w:szCs w:val="24"/>
        </w:rPr>
        <w:t>Despite the above limitations, we believe the present findings might provide a step forward in a cognitive conceptualization of the maintenance of problematic online gaming that integrates metacognitive knowledge with self-regulation processes.</w:t>
      </w:r>
    </w:p>
    <w:p w14:paraId="354D5D54" w14:textId="77777777" w:rsidR="00C53EA3" w:rsidRPr="00C53EA3" w:rsidRDefault="00C53EA3" w:rsidP="00C53EA3">
      <w:pPr>
        <w:pStyle w:val="BodyText"/>
        <w:spacing w:line="480" w:lineRule="auto"/>
        <w:ind w:firstLine="720"/>
        <w:jc w:val="both"/>
        <w:rPr>
          <w:sz w:val="24"/>
          <w:szCs w:val="24"/>
        </w:rPr>
      </w:pPr>
    </w:p>
    <w:p w14:paraId="74022712" w14:textId="77777777" w:rsidR="00C53EA3" w:rsidRPr="00C53EA3" w:rsidRDefault="00C53EA3" w:rsidP="00C53EA3">
      <w:pPr>
        <w:pStyle w:val="BodyText"/>
        <w:spacing w:line="480" w:lineRule="auto"/>
        <w:ind w:firstLine="720"/>
        <w:jc w:val="both"/>
        <w:rPr>
          <w:sz w:val="24"/>
          <w:szCs w:val="24"/>
        </w:rPr>
      </w:pPr>
    </w:p>
    <w:p w14:paraId="11A1C94A" w14:textId="77777777" w:rsidR="00C53EA3" w:rsidRPr="00C53EA3" w:rsidRDefault="00C53EA3" w:rsidP="00C53EA3">
      <w:pPr>
        <w:pStyle w:val="BodyText"/>
        <w:spacing w:line="480" w:lineRule="auto"/>
        <w:ind w:firstLine="720"/>
        <w:jc w:val="both"/>
        <w:rPr>
          <w:sz w:val="24"/>
          <w:szCs w:val="24"/>
        </w:rPr>
      </w:pPr>
    </w:p>
    <w:p w14:paraId="06B3D728" w14:textId="77777777" w:rsidR="00C53EA3" w:rsidRPr="00C53EA3" w:rsidRDefault="00C53EA3" w:rsidP="00C53EA3">
      <w:pPr>
        <w:pStyle w:val="BodyText"/>
        <w:spacing w:line="480" w:lineRule="auto"/>
        <w:ind w:firstLine="720"/>
        <w:jc w:val="both"/>
        <w:rPr>
          <w:sz w:val="24"/>
          <w:szCs w:val="24"/>
        </w:rPr>
      </w:pPr>
    </w:p>
    <w:p w14:paraId="3C51C0A5" w14:textId="77777777" w:rsidR="00C53EA3" w:rsidRPr="00C53EA3" w:rsidRDefault="00C53EA3" w:rsidP="00C53EA3">
      <w:pPr>
        <w:pStyle w:val="BodyText"/>
        <w:spacing w:line="480" w:lineRule="auto"/>
        <w:ind w:firstLine="720"/>
        <w:jc w:val="both"/>
        <w:rPr>
          <w:sz w:val="24"/>
          <w:szCs w:val="24"/>
        </w:rPr>
      </w:pPr>
    </w:p>
    <w:p w14:paraId="27584CBD" w14:textId="77777777" w:rsidR="00C53EA3" w:rsidRPr="00C53EA3" w:rsidRDefault="00C53EA3" w:rsidP="00C53EA3">
      <w:pPr>
        <w:pStyle w:val="BodyText"/>
        <w:spacing w:line="480" w:lineRule="auto"/>
        <w:ind w:firstLine="720"/>
        <w:jc w:val="both"/>
        <w:rPr>
          <w:sz w:val="24"/>
          <w:szCs w:val="24"/>
        </w:rPr>
      </w:pPr>
    </w:p>
    <w:p w14:paraId="0184BD7D" w14:textId="77777777" w:rsidR="00C53EA3" w:rsidRPr="00C53EA3" w:rsidRDefault="00C53EA3" w:rsidP="00C53EA3">
      <w:pPr>
        <w:pStyle w:val="BodyText"/>
        <w:spacing w:line="480" w:lineRule="auto"/>
        <w:ind w:firstLine="720"/>
        <w:jc w:val="both"/>
        <w:rPr>
          <w:sz w:val="24"/>
          <w:szCs w:val="24"/>
        </w:rPr>
      </w:pPr>
    </w:p>
    <w:p w14:paraId="5C661B2E" w14:textId="77777777" w:rsidR="00C53EA3" w:rsidRPr="00C53EA3" w:rsidRDefault="00C53EA3" w:rsidP="00C53EA3">
      <w:pPr>
        <w:pStyle w:val="BodyText"/>
        <w:spacing w:line="480" w:lineRule="auto"/>
        <w:ind w:firstLine="720"/>
        <w:jc w:val="both"/>
        <w:rPr>
          <w:sz w:val="24"/>
          <w:szCs w:val="24"/>
        </w:rPr>
      </w:pPr>
    </w:p>
    <w:p w14:paraId="542DAB72" w14:textId="77777777" w:rsidR="00C53EA3" w:rsidRPr="00C53EA3" w:rsidRDefault="00C53EA3" w:rsidP="00C53EA3">
      <w:pPr>
        <w:pStyle w:val="BodyText"/>
        <w:spacing w:line="480" w:lineRule="auto"/>
        <w:ind w:firstLine="720"/>
        <w:jc w:val="both"/>
        <w:rPr>
          <w:sz w:val="24"/>
          <w:szCs w:val="24"/>
        </w:rPr>
      </w:pPr>
    </w:p>
    <w:p w14:paraId="771723C1" w14:textId="77777777" w:rsidR="00C53EA3" w:rsidRPr="00C53EA3" w:rsidRDefault="00C53EA3" w:rsidP="00C53EA3">
      <w:pPr>
        <w:pStyle w:val="BodyText"/>
        <w:spacing w:line="480" w:lineRule="auto"/>
        <w:ind w:firstLine="720"/>
        <w:jc w:val="both"/>
        <w:rPr>
          <w:sz w:val="24"/>
          <w:szCs w:val="24"/>
        </w:rPr>
      </w:pPr>
    </w:p>
    <w:p w14:paraId="4DC3A02B" w14:textId="77777777" w:rsidR="00C53EA3" w:rsidRPr="00C53EA3" w:rsidRDefault="00C53EA3" w:rsidP="00C53EA3">
      <w:pPr>
        <w:pStyle w:val="BodyText"/>
        <w:spacing w:line="480" w:lineRule="auto"/>
        <w:ind w:firstLine="720"/>
        <w:jc w:val="both"/>
        <w:rPr>
          <w:sz w:val="24"/>
          <w:szCs w:val="24"/>
        </w:rPr>
      </w:pPr>
    </w:p>
    <w:p w14:paraId="64E4719A" w14:textId="77777777" w:rsidR="00C53EA3" w:rsidRPr="00C53EA3" w:rsidRDefault="00C53EA3" w:rsidP="00C53EA3">
      <w:pPr>
        <w:pStyle w:val="BodyText"/>
        <w:spacing w:line="480" w:lineRule="auto"/>
        <w:ind w:firstLine="720"/>
        <w:jc w:val="both"/>
        <w:rPr>
          <w:sz w:val="24"/>
          <w:szCs w:val="24"/>
        </w:rPr>
      </w:pPr>
    </w:p>
    <w:p w14:paraId="2AE714F0" w14:textId="77777777" w:rsidR="00C53EA3" w:rsidRPr="00C53EA3" w:rsidRDefault="00C53EA3" w:rsidP="00C53EA3">
      <w:pPr>
        <w:pStyle w:val="BodyText"/>
        <w:spacing w:line="480" w:lineRule="auto"/>
        <w:ind w:firstLine="720"/>
        <w:jc w:val="both"/>
        <w:rPr>
          <w:sz w:val="24"/>
          <w:szCs w:val="24"/>
        </w:rPr>
      </w:pPr>
    </w:p>
    <w:p w14:paraId="7E1AF58E" w14:textId="77777777" w:rsidR="00C53EA3" w:rsidRPr="00C53EA3" w:rsidRDefault="00C53EA3" w:rsidP="00C53EA3">
      <w:pPr>
        <w:pStyle w:val="BodyText"/>
        <w:spacing w:line="480" w:lineRule="auto"/>
        <w:ind w:firstLine="720"/>
        <w:jc w:val="both"/>
        <w:rPr>
          <w:sz w:val="24"/>
          <w:szCs w:val="24"/>
        </w:rPr>
      </w:pPr>
    </w:p>
    <w:p w14:paraId="6B4B3588" w14:textId="77777777" w:rsidR="00C53EA3" w:rsidRPr="00C53EA3" w:rsidRDefault="00C53EA3" w:rsidP="00C53EA3">
      <w:pPr>
        <w:pStyle w:val="BodyText"/>
        <w:spacing w:line="480" w:lineRule="auto"/>
        <w:ind w:firstLine="720"/>
        <w:jc w:val="both"/>
        <w:rPr>
          <w:sz w:val="24"/>
          <w:szCs w:val="24"/>
        </w:rPr>
      </w:pPr>
    </w:p>
    <w:p w14:paraId="3F518071" w14:textId="77777777" w:rsidR="00C53EA3" w:rsidRPr="00C53EA3" w:rsidRDefault="00C53EA3" w:rsidP="00C53EA3">
      <w:pPr>
        <w:pStyle w:val="BodyText"/>
        <w:spacing w:line="480" w:lineRule="auto"/>
        <w:ind w:firstLine="720"/>
        <w:jc w:val="both"/>
        <w:rPr>
          <w:sz w:val="24"/>
          <w:szCs w:val="24"/>
        </w:rPr>
      </w:pPr>
    </w:p>
    <w:p w14:paraId="34B94764" w14:textId="021E9A79" w:rsidR="00C53EA3" w:rsidRDefault="00C53EA3" w:rsidP="00C53EA3">
      <w:pPr>
        <w:pStyle w:val="BodyText"/>
        <w:spacing w:line="480" w:lineRule="auto"/>
        <w:ind w:firstLine="720"/>
        <w:jc w:val="both"/>
        <w:rPr>
          <w:sz w:val="24"/>
          <w:szCs w:val="24"/>
        </w:rPr>
      </w:pPr>
    </w:p>
    <w:p w14:paraId="6B18BA51" w14:textId="2EB0B5A2" w:rsidR="005839D7" w:rsidRDefault="005839D7" w:rsidP="00C53EA3">
      <w:pPr>
        <w:pStyle w:val="BodyText"/>
        <w:spacing w:line="480" w:lineRule="auto"/>
        <w:ind w:firstLine="720"/>
        <w:jc w:val="both"/>
        <w:rPr>
          <w:sz w:val="24"/>
          <w:szCs w:val="24"/>
        </w:rPr>
      </w:pPr>
    </w:p>
    <w:p w14:paraId="4C34CA2A" w14:textId="203C7D95" w:rsidR="005839D7" w:rsidRDefault="005839D7" w:rsidP="00C53EA3">
      <w:pPr>
        <w:pStyle w:val="BodyText"/>
        <w:spacing w:line="480" w:lineRule="auto"/>
        <w:ind w:firstLine="720"/>
        <w:jc w:val="both"/>
        <w:rPr>
          <w:sz w:val="24"/>
          <w:szCs w:val="24"/>
        </w:rPr>
      </w:pPr>
    </w:p>
    <w:p w14:paraId="4BAA8C2E" w14:textId="68D08C63" w:rsidR="005839D7" w:rsidRDefault="005839D7" w:rsidP="00C53EA3">
      <w:pPr>
        <w:pStyle w:val="BodyText"/>
        <w:spacing w:line="480" w:lineRule="auto"/>
        <w:ind w:firstLine="720"/>
        <w:jc w:val="both"/>
        <w:rPr>
          <w:sz w:val="24"/>
          <w:szCs w:val="24"/>
        </w:rPr>
      </w:pPr>
    </w:p>
    <w:p w14:paraId="23A69D57" w14:textId="77777777" w:rsidR="005839D7" w:rsidRPr="00C53EA3" w:rsidRDefault="005839D7" w:rsidP="00C53EA3">
      <w:pPr>
        <w:pStyle w:val="BodyText"/>
        <w:spacing w:line="480" w:lineRule="auto"/>
        <w:ind w:firstLine="720"/>
        <w:jc w:val="both"/>
        <w:rPr>
          <w:sz w:val="24"/>
          <w:szCs w:val="24"/>
        </w:rPr>
      </w:pPr>
    </w:p>
    <w:p w14:paraId="42F4A716" w14:textId="77777777" w:rsidR="00C53EA3" w:rsidRPr="00C53EA3" w:rsidRDefault="00C53EA3" w:rsidP="00C53EA3">
      <w:pPr>
        <w:spacing w:line="480" w:lineRule="auto"/>
        <w:jc w:val="both"/>
        <w:rPr>
          <w:b/>
          <w:lang w:val="en-US"/>
        </w:rPr>
      </w:pPr>
      <w:r w:rsidRPr="00C53EA3">
        <w:rPr>
          <w:b/>
          <w:lang w:val="en-US"/>
        </w:rPr>
        <w:lastRenderedPageBreak/>
        <w:t>References</w:t>
      </w:r>
    </w:p>
    <w:p w14:paraId="3EBAD614" w14:textId="77777777" w:rsidR="00C53EA3" w:rsidRPr="00C53EA3" w:rsidRDefault="00C53EA3" w:rsidP="00C53EA3">
      <w:pPr>
        <w:autoSpaceDE w:val="0"/>
        <w:autoSpaceDN w:val="0"/>
        <w:adjustRightInd w:val="0"/>
        <w:spacing w:line="480" w:lineRule="auto"/>
        <w:ind w:left="284" w:hanging="284"/>
        <w:rPr>
          <w:lang w:val="en-US"/>
        </w:rPr>
      </w:pPr>
      <w:r w:rsidRPr="00C53EA3">
        <w:rPr>
          <w:lang w:val="en-US"/>
        </w:rPr>
        <w:t xml:space="preserve">American Psychiatric Association, 2013. </w:t>
      </w:r>
      <w:r w:rsidRPr="00C53EA3">
        <w:rPr>
          <w:i/>
          <w:lang w:val="en-US"/>
        </w:rPr>
        <w:t>Diagnostic and Statistical Manual of Mental Disorders, fifth ed</w:t>
      </w:r>
      <w:r w:rsidRPr="00C53EA3">
        <w:rPr>
          <w:lang w:val="en-US"/>
        </w:rPr>
        <w:t>. American Psychiatric Association.</w:t>
      </w:r>
    </w:p>
    <w:p w14:paraId="20B38400" w14:textId="77777777" w:rsidR="00C53EA3" w:rsidRPr="00C53EA3" w:rsidRDefault="00C53EA3" w:rsidP="00C53EA3">
      <w:pPr>
        <w:spacing w:line="480" w:lineRule="auto"/>
        <w:ind w:left="284" w:hanging="284"/>
        <w:jc w:val="both"/>
        <w:rPr>
          <w:lang w:val="en-US"/>
        </w:rPr>
      </w:pPr>
      <w:r w:rsidRPr="00C53EA3">
        <w:rPr>
          <w:lang w:val="en-US"/>
        </w:rPr>
        <w:t>Baron, R. M. &amp; Kenny, D. A. (1986). Moderator</w:t>
      </w:r>
      <w:r w:rsidRPr="00C53EA3">
        <w:rPr>
          <w:rFonts w:ascii="Cambria Math" w:hAnsi="Cambria Math" w:cs="Cambria Math"/>
          <w:lang w:val="en-US"/>
        </w:rPr>
        <w:t>‐</w:t>
      </w:r>
      <w:r w:rsidRPr="00C53EA3">
        <w:rPr>
          <w:lang w:val="en-US"/>
        </w:rPr>
        <w:t xml:space="preserve">mediator variables distinction in social psychological research: Conceptual, strategic, and statistical considerations. </w:t>
      </w:r>
      <w:r w:rsidRPr="00C53EA3">
        <w:rPr>
          <w:i/>
          <w:lang w:val="en-US"/>
        </w:rPr>
        <w:t>Journal of Personality and Social Psychology, 51</w:t>
      </w:r>
      <w:r w:rsidRPr="00C53EA3">
        <w:rPr>
          <w:lang w:val="en-US"/>
        </w:rPr>
        <w:t>, 1173–1182.</w:t>
      </w:r>
    </w:p>
    <w:p w14:paraId="21DBB976" w14:textId="77777777" w:rsidR="00C53EA3" w:rsidRPr="00C53EA3" w:rsidRDefault="00C53EA3" w:rsidP="00C53EA3">
      <w:pPr>
        <w:autoSpaceDE w:val="0"/>
        <w:autoSpaceDN w:val="0"/>
        <w:adjustRightInd w:val="0"/>
        <w:spacing w:line="480" w:lineRule="auto"/>
        <w:ind w:left="284" w:hanging="284"/>
        <w:jc w:val="both"/>
      </w:pPr>
      <w:r w:rsidRPr="00C53EA3">
        <w:t xml:space="preserve">Beard, K. W. &amp; Wolf, E. M. (2001). Modification in the proposed diagnostic criteria for Internet addiction. </w:t>
      </w:r>
      <w:proofErr w:type="spellStart"/>
      <w:r w:rsidRPr="00C53EA3">
        <w:rPr>
          <w:i/>
        </w:rPr>
        <w:t>CyberPsychology</w:t>
      </w:r>
      <w:proofErr w:type="spellEnd"/>
      <w:r w:rsidRPr="00C53EA3">
        <w:rPr>
          <w:i/>
        </w:rPr>
        <w:t xml:space="preserve"> &amp; </w:t>
      </w:r>
      <w:proofErr w:type="spellStart"/>
      <w:r w:rsidRPr="00C53EA3">
        <w:rPr>
          <w:i/>
        </w:rPr>
        <w:t>Behavior</w:t>
      </w:r>
      <w:proofErr w:type="spellEnd"/>
      <w:r w:rsidRPr="00C53EA3">
        <w:rPr>
          <w:i/>
        </w:rPr>
        <w:t>, 4</w:t>
      </w:r>
      <w:r w:rsidRPr="00C53EA3">
        <w:t>, 377-383.</w:t>
      </w:r>
    </w:p>
    <w:p w14:paraId="0566A5F5" w14:textId="77777777" w:rsidR="00C53EA3" w:rsidRPr="00C53EA3" w:rsidRDefault="00C53EA3" w:rsidP="00C53EA3">
      <w:pPr>
        <w:spacing w:line="480" w:lineRule="auto"/>
        <w:ind w:left="284" w:hanging="284"/>
        <w:jc w:val="both"/>
        <w:rPr>
          <w:lang w:val="en-US"/>
        </w:rPr>
      </w:pPr>
      <w:proofErr w:type="spellStart"/>
      <w:r w:rsidRPr="00C53EA3">
        <w:rPr>
          <w:lang w:val="en-US"/>
        </w:rPr>
        <w:t>Billieux</w:t>
      </w:r>
      <w:proofErr w:type="spellEnd"/>
      <w:r w:rsidRPr="00C53EA3">
        <w:rPr>
          <w:lang w:val="en-US"/>
        </w:rPr>
        <w:t xml:space="preserve">, J., </w:t>
      </w:r>
      <w:proofErr w:type="spellStart"/>
      <w:r w:rsidRPr="00C53EA3">
        <w:rPr>
          <w:lang w:val="en-US"/>
        </w:rPr>
        <w:t>Schimmenti</w:t>
      </w:r>
      <w:proofErr w:type="spellEnd"/>
      <w:r w:rsidRPr="00C53EA3">
        <w:rPr>
          <w:lang w:val="en-US"/>
        </w:rPr>
        <w:t xml:space="preserve">, A., </w:t>
      </w:r>
      <w:proofErr w:type="spellStart"/>
      <w:r w:rsidRPr="00C53EA3">
        <w:rPr>
          <w:lang w:val="en-US"/>
        </w:rPr>
        <w:t>Khazaal</w:t>
      </w:r>
      <w:proofErr w:type="spellEnd"/>
      <w:r w:rsidRPr="00C53EA3">
        <w:rPr>
          <w:lang w:val="en-US"/>
        </w:rPr>
        <w:t xml:space="preserve">, Y., </w:t>
      </w:r>
      <w:proofErr w:type="spellStart"/>
      <w:r w:rsidRPr="00C53EA3">
        <w:rPr>
          <w:lang w:val="en-US"/>
        </w:rPr>
        <w:t>Maurage</w:t>
      </w:r>
      <w:proofErr w:type="spellEnd"/>
      <w:r w:rsidRPr="00C53EA3">
        <w:rPr>
          <w:lang w:val="en-US"/>
        </w:rPr>
        <w:t xml:space="preserve">, P. &amp; </w:t>
      </w:r>
      <w:proofErr w:type="spellStart"/>
      <w:r w:rsidRPr="00C53EA3">
        <w:rPr>
          <w:lang w:val="en-US"/>
        </w:rPr>
        <w:t>Heeren</w:t>
      </w:r>
      <w:proofErr w:type="spellEnd"/>
      <w:r w:rsidRPr="00C53EA3">
        <w:rPr>
          <w:lang w:val="en-US"/>
        </w:rPr>
        <w:t xml:space="preserve">, A. (2015). Are we </w:t>
      </w:r>
      <w:proofErr w:type="spellStart"/>
      <w:r w:rsidRPr="00C53EA3">
        <w:rPr>
          <w:lang w:val="en-US"/>
        </w:rPr>
        <w:t>overpathologizing</w:t>
      </w:r>
      <w:proofErr w:type="spellEnd"/>
      <w:r w:rsidRPr="00C53EA3">
        <w:rPr>
          <w:lang w:val="en-US"/>
        </w:rPr>
        <w:t xml:space="preserve"> everyday life? A tenable blueprint for behavioral addiction research. </w:t>
      </w:r>
      <w:r w:rsidRPr="00C53EA3">
        <w:rPr>
          <w:i/>
          <w:lang w:val="en-US"/>
        </w:rPr>
        <w:t>Journal of Behavioral Addictions, 4</w:t>
      </w:r>
      <w:r w:rsidRPr="00C53EA3">
        <w:rPr>
          <w:lang w:val="en-US"/>
        </w:rPr>
        <w:t>, 119-123.</w:t>
      </w:r>
    </w:p>
    <w:p w14:paraId="4DF9636C" w14:textId="77777777" w:rsidR="00C53EA3" w:rsidRPr="00C53EA3" w:rsidRDefault="00C53EA3" w:rsidP="00C53EA3">
      <w:pPr>
        <w:spacing w:line="480" w:lineRule="auto"/>
        <w:ind w:left="284" w:hanging="284"/>
        <w:jc w:val="both"/>
        <w:rPr>
          <w:lang w:val="en-US"/>
        </w:rPr>
      </w:pPr>
      <w:proofErr w:type="spellStart"/>
      <w:r w:rsidRPr="00C53EA3">
        <w:rPr>
          <w:lang w:val="en-US"/>
        </w:rPr>
        <w:t>Bollen</w:t>
      </w:r>
      <w:proofErr w:type="spellEnd"/>
      <w:r w:rsidRPr="00C53EA3">
        <w:rPr>
          <w:lang w:val="en-US"/>
        </w:rPr>
        <w:t xml:space="preserve">, K. A. (1989). </w:t>
      </w:r>
      <w:r w:rsidRPr="00C53EA3">
        <w:rPr>
          <w:i/>
          <w:lang w:val="en-US"/>
        </w:rPr>
        <w:t>Structural Equations with Latent Variables</w:t>
      </w:r>
      <w:r w:rsidRPr="00C53EA3">
        <w:rPr>
          <w:lang w:val="en-US"/>
        </w:rPr>
        <w:t>. New York: Wiley.</w:t>
      </w:r>
    </w:p>
    <w:p w14:paraId="736801A5" w14:textId="77777777" w:rsidR="00C53EA3" w:rsidRPr="00C53EA3" w:rsidRDefault="00C53EA3" w:rsidP="00C53EA3">
      <w:pPr>
        <w:pStyle w:val="EndNoteBibliography"/>
        <w:ind w:left="284" w:hanging="284"/>
        <w:rPr>
          <w:color w:val="000000" w:themeColor="text1"/>
          <w:szCs w:val="24"/>
          <w:shd w:val="clear" w:color="auto" w:fill="FFFFFF"/>
        </w:rPr>
      </w:pPr>
      <w:r w:rsidRPr="00C53EA3">
        <w:rPr>
          <w:szCs w:val="24"/>
          <w:lang w:eastAsia="en-GB"/>
        </w:rPr>
        <w:t xml:space="preserve">Caselli, G., </w:t>
      </w:r>
      <w:proofErr w:type="spellStart"/>
      <w:r w:rsidRPr="00C53EA3">
        <w:rPr>
          <w:szCs w:val="24"/>
          <w:lang w:eastAsia="en-GB"/>
        </w:rPr>
        <w:t>Fernie</w:t>
      </w:r>
      <w:proofErr w:type="spellEnd"/>
      <w:r w:rsidRPr="00C53EA3">
        <w:rPr>
          <w:szCs w:val="24"/>
          <w:lang w:eastAsia="en-GB"/>
        </w:rPr>
        <w:t xml:space="preserve">, B., Canfora, F., </w:t>
      </w:r>
      <w:proofErr w:type="spellStart"/>
      <w:r w:rsidRPr="00C53EA3">
        <w:rPr>
          <w:szCs w:val="24"/>
          <w:lang w:eastAsia="en-GB"/>
        </w:rPr>
        <w:t>Mascolo</w:t>
      </w:r>
      <w:proofErr w:type="spellEnd"/>
      <w:r w:rsidRPr="00C53EA3">
        <w:rPr>
          <w:szCs w:val="24"/>
          <w:lang w:eastAsia="en-GB"/>
        </w:rPr>
        <w:t xml:space="preserve">, C., Ferrari, A., Antonioni, M., </w:t>
      </w:r>
      <w:proofErr w:type="spellStart"/>
      <w:r w:rsidRPr="00C53EA3">
        <w:rPr>
          <w:szCs w:val="24"/>
          <w:lang w:eastAsia="en-GB"/>
        </w:rPr>
        <w:t>Giustina</w:t>
      </w:r>
      <w:proofErr w:type="spellEnd"/>
      <w:r w:rsidRPr="00C53EA3">
        <w:rPr>
          <w:szCs w:val="24"/>
          <w:lang w:eastAsia="en-GB"/>
        </w:rPr>
        <w:t xml:space="preserve">, L., Donato, G., </w:t>
      </w:r>
      <w:proofErr w:type="spellStart"/>
      <w:r w:rsidRPr="00C53EA3">
        <w:rPr>
          <w:szCs w:val="24"/>
          <w:lang w:eastAsia="en-GB"/>
        </w:rPr>
        <w:t>Marcotriggiani</w:t>
      </w:r>
      <w:proofErr w:type="spellEnd"/>
      <w:r w:rsidRPr="00C53EA3">
        <w:rPr>
          <w:szCs w:val="24"/>
          <w:lang w:eastAsia="en-GB"/>
        </w:rPr>
        <w:t xml:space="preserve">, A., Bertani, A., Altieri, A., Pellegrini, E. &amp; Spada, M. M. (2018). The Metacognitions about Gambling Questionnaire: Development and psychometric properties. </w:t>
      </w:r>
      <w:r w:rsidRPr="00C53EA3">
        <w:rPr>
          <w:i/>
          <w:szCs w:val="24"/>
          <w:lang w:eastAsia="en-GB"/>
        </w:rPr>
        <w:t>Psychiatry Research, 261</w:t>
      </w:r>
      <w:r w:rsidRPr="00C53EA3">
        <w:rPr>
          <w:szCs w:val="24"/>
          <w:lang w:eastAsia="en-GB"/>
        </w:rPr>
        <w:t>, 367-374.</w:t>
      </w:r>
    </w:p>
    <w:p w14:paraId="781407DB" w14:textId="77777777" w:rsidR="00C53EA3" w:rsidRPr="00C53EA3" w:rsidRDefault="00C53EA3" w:rsidP="00C53EA3">
      <w:pPr>
        <w:pStyle w:val="EndNoteBibliography"/>
        <w:ind w:left="284" w:hanging="284"/>
        <w:rPr>
          <w:szCs w:val="24"/>
          <w:lang w:eastAsia="en-GB"/>
        </w:rPr>
      </w:pPr>
      <w:r w:rsidRPr="00C53EA3">
        <w:rPr>
          <w:szCs w:val="24"/>
          <w:lang w:eastAsia="en-GB"/>
        </w:rPr>
        <w:t xml:space="preserve">Caselli, G., Gemelli, A., Spada, M. M. &amp; Wells, A. (2016). Experimental modification of perspective on thoughts and metacognitive beliefs in alcohol use disorder. </w:t>
      </w:r>
      <w:r w:rsidRPr="00C53EA3">
        <w:rPr>
          <w:i/>
          <w:szCs w:val="24"/>
          <w:lang w:eastAsia="en-GB"/>
        </w:rPr>
        <w:t>Psychiatry Research, 244</w:t>
      </w:r>
      <w:r w:rsidRPr="00C53EA3">
        <w:rPr>
          <w:szCs w:val="24"/>
          <w:lang w:eastAsia="en-GB"/>
        </w:rPr>
        <w:t>, 57-61.</w:t>
      </w:r>
    </w:p>
    <w:p w14:paraId="337E5292" w14:textId="77777777" w:rsidR="00C53EA3" w:rsidRPr="00C53EA3" w:rsidRDefault="00C53EA3" w:rsidP="00C53EA3">
      <w:pPr>
        <w:spacing w:line="480" w:lineRule="auto"/>
        <w:ind w:left="284" w:hanging="284"/>
        <w:jc w:val="both"/>
        <w:rPr>
          <w:rFonts w:eastAsia="Arial Unicode MS"/>
          <w:color w:val="00000A"/>
          <w:kern w:val="2"/>
        </w:rPr>
      </w:pPr>
      <w:r w:rsidRPr="00C53EA3">
        <w:rPr>
          <w:rFonts w:eastAsia="Arial Unicode MS"/>
          <w:color w:val="00000A"/>
          <w:kern w:val="2"/>
        </w:rPr>
        <w:t xml:space="preserve">Caselli, G., Martino, F., Spada, M. M. &amp; Wells, A. (2018). Metacognitive Therapy for Alcohol Use Disorder: A systematic case series. </w:t>
      </w:r>
      <w:r w:rsidRPr="00C53EA3">
        <w:rPr>
          <w:rFonts w:eastAsia="Arial Unicode MS"/>
          <w:i/>
          <w:iCs/>
          <w:color w:val="00000A"/>
          <w:kern w:val="2"/>
        </w:rPr>
        <w:t>Frontiers in Psychology, 9</w:t>
      </w:r>
      <w:r w:rsidRPr="00C53EA3">
        <w:rPr>
          <w:rFonts w:eastAsia="Arial Unicode MS"/>
          <w:color w:val="00000A"/>
          <w:kern w:val="2"/>
        </w:rPr>
        <w:t>, 2619, 1-11.</w:t>
      </w:r>
    </w:p>
    <w:p w14:paraId="1032882E" w14:textId="77777777" w:rsidR="00C53EA3" w:rsidRPr="00C53EA3" w:rsidRDefault="00C53EA3" w:rsidP="00C53EA3">
      <w:pPr>
        <w:spacing w:line="480" w:lineRule="auto"/>
        <w:ind w:left="284" w:hanging="284"/>
        <w:jc w:val="both"/>
        <w:rPr>
          <w:lang w:val="en-US"/>
        </w:rPr>
      </w:pPr>
      <w:r w:rsidRPr="00C53EA3">
        <w:rPr>
          <w:lang w:val="en-US"/>
        </w:rPr>
        <w:t xml:space="preserve">Cohen, J. (1988). </w:t>
      </w:r>
      <w:r w:rsidRPr="00C53EA3">
        <w:rPr>
          <w:i/>
          <w:lang w:val="en-US"/>
        </w:rPr>
        <w:t>Statistical Power Analysis for Behavioral Science</w:t>
      </w:r>
      <w:r w:rsidRPr="00C53EA3">
        <w:rPr>
          <w:lang w:val="en-US"/>
        </w:rPr>
        <w:t xml:space="preserve"> (2nd ed). Hillsdale, N.J.: Erlbaum.</w:t>
      </w:r>
    </w:p>
    <w:p w14:paraId="7D9EF7B7" w14:textId="77777777" w:rsidR="00C53EA3" w:rsidRPr="00C53EA3" w:rsidRDefault="00C53EA3" w:rsidP="00C53EA3">
      <w:pPr>
        <w:tabs>
          <w:tab w:val="left" w:pos="120"/>
        </w:tabs>
        <w:spacing w:line="480" w:lineRule="auto"/>
        <w:ind w:left="284" w:hanging="284"/>
        <w:jc w:val="both"/>
      </w:pPr>
      <w:r w:rsidRPr="00C53EA3">
        <w:t>Cole, H. &amp; Griffiths, M. D. (2007). Social interactions in massively multiplayer online</w:t>
      </w:r>
    </w:p>
    <w:p w14:paraId="569231B9" w14:textId="77777777" w:rsidR="00C53EA3" w:rsidRPr="00C53EA3" w:rsidRDefault="00C53EA3" w:rsidP="00C53EA3">
      <w:pPr>
        <w:tabs>
          <w:tab w:val="left" w:pos="120"/>
        </w:tabs>
        <w:spacing w:line="480" w:lineRule="auto"/>
        <w:ind w:left="284" w:hanging="284"/>
        <w:jc w:val="both"/>
      </w:pPr>
      <w:r w:rsidRPr="00C53EA3">
        <w:tab/>
      </w:r>
      <w:r w:rsidRPr="00C53EA3">
        <w:tab/>
        <w:t xml:space="preserve">role-playing gamers. </w:t>
      </w:r>
      <w:r w:rsidRPr="00C53EA3">
        <w:rPr>
          <w:i/>
          <w:iCs/>
        </w:rPr>
        <w:t xml:space="preserve">Cyberpsychology &amp; </w:t>
      </w:r>
      <w:proofErr w:type="spellStart"/>
      <w:r w:rsidRPr="00C53EA3">
        <w:rPr>
          <w:i/>
          <w:iCs/>
        </w:rPr>
        <w:t>Behavior</w:t>
      </w:r>
      <w:proofErr w:type="spellEnd"/>
      <w:r w:rsidRPr="00C53EA3">
        <w:t xml:space="preserve">, </w:t>
      </w:r>
      <w:r w:rsidRPr="00C53EA3">
        <w:rPr>
          <w:i/>
          <w:iCs/>
        </w:rPr>
        <w:t>10</w:t>
      </w:r>
      <w:r w:rsidRPr="00C53EA3">
        <w:t>, 575-583.</w:t>
      </w:r>
    </w:p>
    <w:p w14:paraId="418A64FE" w14:textId="77777777" w:rsidR="00C53EA3" w:rsidRPr="00C53EA3" w:rsidRDefault="00C53EA3" w:rsidP="00C53EA3">
      <w:pPr>
        <w:tabs>
          <w:tab w:val="left" w:pos="120"/>
        </w:tabs>
        <w:spacing w:line="480" w:lineRule="auto"/>
        <w:ind w:left="284" w:hanging="284"/>
        <w:jc w:val="both"/>
      </w:pPr>
      <w:proofErr w:type="spellStart"/>
      <w:r w:rsidRPr="00C53EA3">
        <w:lastRenderedPageBreak/>
        <w:t>Costantini</w:t>
      </w:r>
      <w:proofErr w:type="spellEnd"/>
      <w:r w:rsidRPr="00C53EA3">
        <w:t xml:space="preserve">, M., </w:t>
      </w:r>
      <w:proofErr w:type="spellStart"/>
      <w:r w:rsidRPr="00C53EA3">
        <w:t>Musso</w:t>
      </w:r>
      <w:proofErr w:type="spellEnd"/>
      <w:r w:rsidRPr="00C53EA3">
        <w:t xml:space="preserve">, M., </w:t>
      </w:r>
      <w:proofErr w:type="spellStart"/>
      <w:r w:rsidRPr="00C53EA3">
        <w:t>Viterbori</w:t>
      </w:r>
      <w:proofErr w:type="spellEnd"/>
      <w:r w:rsidRPr="00C53EA3">
        <w:t xml:space="preserve">, P., </w:t>
      </w:r>
      <w:proofErr w:type="spellStart"/>
      <w:r w:rsidRPr="00C53EA3">
        <w:t>Bonci</w:t>
      </w:r>
      <w:proofErr w:type="spellEnd"/>
      <w:r w:rsidRPr="00C53EA3">
        <w:t xml:space="preserve">, F., Del </w:t>
      </w:r>
      <w:proofErr w:type="spellStart"/>
      <w:r w:rsidRPr="00C53EA3">
        <w:t>Mastro</w:t>
      </w:r>
      <w:proofErr w:type="spellEnd"/>
      <w:r w:rsidRPr="00C53EA3">
        <w:t xml:space="preserve">, L., </w:t>
      </w:r>
      <w:proofErr w:type="spellStart"/>
      <w:r w:rsidRPr="00C53EA3">
        <w:t>Garrone</w:t>
      </w:r>
      <w:proofErr w:type="spellEnd"/>
      <w:r w:rsidRPr="00C53EA3">
        <w:t xml:space="preserve">, O., </w:t>
      </w:r>
      <w:proofErr w:type="spellStart"/>
      <w:r w:rsidRPr="00C53EA3">
        <w:t>Venturini</w:t>
      </w:r>
      <w:proofErr w:type="spellEnd"/>
      <w:r w:rsidRPr="00C53EA3">
        <w:t xml:space="preserve">, M. &amp; </w:t>
      </w:r>
      <w:proofErr w:type="spellStart"/>
      <w:r w:rsidRPr="00C53EA3">
        <w:t>Morasso</w:t>
      </w:r>
      <w:proofErr w:type="spellEnd"/>
      <w:r w:rsidRPr="00C53EA3">
        <w:t xml:space="preserve">, G. (1999). Detecting psychological distress in cancer patients: validity of the Italian version of the Hospital Anxiety and Depression Scale. </w:t>
      </w:r>
      <w:r w:rsidRPr="00C53EA3">
        <w:rPr>
          <w:i/>
        </w:rPr>
        <w:t>Supportive Care in Cancer, 7</w:t>
      </w:r>
      <w:r w:rsidRPr="00C53EA3">
        <w:t>, 121-127.</w:t>
      </w:r>
    </w:p>
    <w:p w14:paraId="7551357E" w14:textId="77777777" w:rsidR="00C53EA3" w:rsidRPr="00C53EA3" w:rsidRDefault="00C53EA3" w:rsidP="00C53EA3">
      <w:pPr>
        <w:tabs>
          <w:tab w:val="left" w:pos="120"/>
        </w:tabs>
        <w:spacing w:line="480" w:lineRule="auto"/>
        <w:ind w:left="284" w:hanging="284"/>
        <w:jc w:val="both"/>
      </w:pPr>
      <w:proofErr w:type="spellStart"/>
      <w:r w:rsidRPr="00C53EA3">
        <w:t>Faraci</w:t>
      </w:r>
      <w:proofErr w:type="spellEnd"/>
      <w:r w:rsidRPr="00C53EA3">
        <w:t xml:space="preserve">, P., </w:t>
      </w:r>
      <w:proofErr w:type="spellStart"/>
      <w:r w:rsidRPr="00C53EA3">
        <w:t>Craparo</w:t>
      </w:r>
      <w:proofErr w:type="spellEnd"/>
      <w:r w:rsidRPr="00C53EA3">
        <w:t xml:space="preserve">, G., Messina, R., &amp; Severino, S. (2013). Internet Addiction Test (IAT): which is the best factorial solution? </w:t>
      </w:r>
      <w:r w:rsidRPr="00C53EA3">
        <w:rPr>
          <w:i/>
        </w:rPr>
        <w:t>Journal of Medical Internet Research, 15</w:t>
      </w:r>
      <w:r w:rsidRPr="00C53EA3">
        <w:t>, e225.</w:t>
      </w:r>
    </w:p>
    <w:p w14:paraId="477E1F14" w14:textId="77777777" w:rsidR="00C53EA3" w:rsidRPr="00C53EA3" w:rsidRDefault="00C53EA3" w:rsidP="00C53EA3">
      <w:pPr>
        <w:spacing w:line="480" w:lineRule="auto"/>
        <w:ind w:left="284" w:hanging="284"/>
        <w:jc w:val="both"/>
        <w:rPr>
          <w:lang w:val="en-US"/>
        </w:rPr>
      </w:pPr>
      <w:proofErr w:type="spellStart"/>
      <w:r w:rsidRPr="00C53EA3">
        <w:rPr>
          <w:lang w:val="en-US"/>
        </w:rPr>
        <w:t>Hamonniere</w:t>
      </w:r>
      <w:proofErr w:type="spellEnd"/>
      <w:r w:rsidRPr="00C53EA3">
        <w:rPr>
          <w:lang w:val="en-US"/>
        </w:rPr>
        <w:t xml:space="preserve">, T. &amp; </w:t>
      </w:r>
      <w:proofErr w:type="spellStart"/>
      <w:r w:rsidRPr="00C53EA3">
        <w:rPr>
          <w:lang w:val="en-US"/>
        </w:rPr>
        <w:t>Varescon</w:t>
      </w:r>
      <w:proofErr w:type="spellEnd"/>
      <w:r w:rsidRPr="00C53EA3">
        <w:rPr>
          <w:lang w:val="en-US"/>
        </w:rPr>
        <w:t xml:space="preserve">, I. (2018). Metacognitive beliefs in addictive </w:t>
      </w:r>
      <w:proofErr w:type="spellStart"/>
      <w:r w:rsidRPr="00C53EA3">
        <w:rPr>
          <w:lang w:val="en-US"/>
        </w:rPr>
        <w:t>behaviours</w:t>
      </w:r>
      <w:proofErr w:type="spellEnd"/>
      <w:r w:rsidRPr="00C53EA3">
        <w:rPr>
          <w:lang w:val="en-US"/>
        </w:rPr>
        <w:t xml:space="preserve">: A systematic review. </w:t>
      </w:r>
      <w:r w:rsidRPr="00C53EA3">
        <w:rPr>
          <w:i/>
          <w:iCs/>
          <w:lang w:val="en-US"/>
        </w:rPr>
        <w:t>Addictive Behaviors, 85</w:t>
      </w:r>
      <w:r w:rsidRPr="00C53EA3">
        <w:rPr>
          <w:lang w:val="en-US"/>
        </w:rPr>
        <w:t>, 51-63.</w:t>
      </w:r>
    </w:p>
    <w:p w14:paraId="4C7B294B" w14:textId="77777777" w:rsidR="00C53EA3" w:rsidRPr="00C53EA3" w:rsidRDefault="00C53EA3" w:rsidP="00C53EA3">
      <w:pPr>
        <w:spacing w:line="480" w:lineRule="auto"/>
        <w:ind w:left="284" w:hanging="284"/>
        <w:jc w:val="both"/>
        <w:rPr>
          <w:lang w:val="en-US"/>
        </w:rPr>
      </w:pPr>
      <w:r w:rsidRPr="00C53EA3">
        <w:rPr>
          <w:lang w:val="en-US"/>
        </w:rPr>
        <w:t xml:space="preserve">Hayes, A. F. (2009). Beyond Baron and Kenny: Statistical mediation analysis in the new millennium. </w:t>
      </w:r>
      <w:r w:rsidRPr="00C53EA3">
        <w:rPr>
          <w:i/>
          <w:lang w:val="en-US"/>
        </w:rPr>
        <w:t>Communication Monographs, 76</w:t>
      </w:r>
      <w:r w:rsidRPr="00C53EA3">
        <w:rPr>
          <w:lang w:val="en-US"/>
        </w:rPr>
        <w:t>, 408–420.</w:t>
      </w:r>
    </w:p>
    <w:p w14:paraId="2BEBF2B8" w14:textId="77777777" w:rsidR="00C53EA3" w:rsidRPr="00C53EA3" w:rsidRDefault="00C53EA3" w:rsidP="00C53EA3">
      <w:pPr>
        <w:spacing w:line="480" w:lineRule="auto"/>
        <w:ind w:left="284" w:hanging="284"/>
        <w:jc w:val="both"/>
        <w:rPr>
          <w:lang w:val="en-US"/>
        </w:rPr>
      </w:pPr>
      <w:r w:rsidRPr="00C53EA3">
        <w:rPr>
          <w:lang w:val="en-US"/>
        </w:rPr>
        <w:t xml:space="preserve">Hu, L. &amp; </w:t>
      </w:r>
      <w:proofErr w:type="spellStart"/>
      <w:r w:rsidRPr="00C53EA3">
        <w:rPr>
          <w:lang w:val="en-US"/>
        </w:rPr>
        <w:t>Bentler</w:t>
      </w:r>
      <w:proofErr w:type="spellEnd"/>
      <w:r w:rsidRPr="00C53EA3">
        <w:rPr>
          <w:lang w:val="en-US"/>
        </w:rPr>
        <w:t xml:space="preserve">, P. M. (1999). Cutoff criteria for fit indices in covariance structure analysis: Conventional versus new alternatives. </w:t>
      </w:r>
      <w:r w:rsidRPr="00C53EA3">
        <w:rPr>
          <w:i/>
          <w:iCs/>
          <w:lang w:val="en-US"/>
        </w:rPr>
        <w:t>Structural Equation Modeling, 6</w:t>
      </w:r>
      <w:r w:rsidRPr="00C53EA3">
        <w:rPr>
          <w:lang w:val="en-US"/>
        </w:rPr>
        <w:t>, 1–55.</w:t>
      </w:r>
    </w:p>
    <w:p w14:paraId="15CB59D5" w14:textId="77777777" w:rsidR="00C53EA3" w:rsidRPr="00C53EA3" w:rsidRDefault="00C53EA3" w:rsidP="00C53EA3">
      <w:pPr>
        <w:autoSpaceDE w:val="0"/>
        <w:autoSpaceDN w:val="0"/>
        <w:adjustRightInd w:val="0"/>
        <w:spacing w:line="480" w:lineRule="auto"/>
        <w:ind w:left="284" w:hanging="284"/>
        <w:jc w:val="both"/>
        <w:rPr>
          <w:lang w:val="en-US"/>
        </w:rPr>
      </w:pPr>
      <w:proofErr w:type="spellStart"/>
      <w:r w:rsidRPr="00C53EA3">
        <w:rPr>
          <w:lang w:val="en-US" w:eastAsia="it-IT"/>
        </w:rPr>
        <w:t>Jӧreskog</w:t>
      </w:r>
      <w:proofErr w:type="spellEnd"/>
      <w:r w:rsidRPr="00C53EA3">
        <w:rPr>
          <w:lang w:val="en-US" w:eastAsia="it-IT"/>
        </w:rPr>
        <w:t xml:space="preserve">, </w:t>
      </w:r>
      <w:r w:rsidRPr="00C53EA3">
        <w:rPr>
          <w:lang w:val="en-US"/>
        </w:rPr>
        <w:t xml:space="preserve">K. G. &amp; </w:t>
      </w:r>
      <w:proofErr w:type="spellStart"/>
      <w:r w:rsidRPr="00C53EA3">
        <w:rPr>
          <w:lang w:val="en-US" w:eastAsia="it-IT"/>
        </w:rPr>
        <w:t>Sӧrbom</w:t>
      </w:r>
      <w:proofErr w:type="spellEnd"/>
      <w:r w:rsidRPr="00C53EA3">
        <w:rPr>
          <w:lang w:val="en-US"/>
        </w:rPr>
        <w:t xml:space="preserve">, D. (1996). </w:t>
      </w:r>
      <w:r w:rsidRPr="00C53EA3">
        <w:rPr>
          <w:i/>
          <w:lang w:val="en-US"/>
        </w:rPr>
        <w:t>LISREL 8: User’s Reference Guide</w:t>
      </w:r>
      <w:r w:rsidRPr="00C53EA3">
        <w:rPr>
          <w:lang w:val="en-US"/>
        </w:rPr>
        <w:t>. Chicago: Scientific Software International.</w:t>
      </w:r>
    </w:p>
    <w:p w14:paraId="354203D1" w14:textId="77777777" w:rsidR="00C53EA3" w:rsidRPr="00C53EA3" w:rsidRDefault="00C53EA3" w:rsidP="00C53EA3">
      <w:pPr>
        <w:spacing w:line="480" w:lineRule="auto"/>
        <w:ind w:left="284" w:hanging="284"/>
        <w:jc w:val="both"/>
        <w:rPr>
          <w:lang w:val="en-US" w:eastAsia="it-IT"/>
        </w:rPr>
      </w:pPr>
      <w:r w:rsidRPr="00C53EA3">
        <w:rPr>
          <w:lang w:val="en-US" w:eastAsia="it-IT"/>
        </w:rPr>
        <w:t xml:space="preserve">King, D. &amp; </w:t>
      </w:r>
      <w:proofErr w:type="spellStart"/>
      <w:r w:rsidRPr="00C53EA3">
        <w:rPr>
          <w:lang w:val="en-US" w:eastAsia="it-IT"/>
        </w:rPr>
        <w:t>Delfabbro</w:t>
      </w:r>
      <w:proofErr w:type="spellEnd"/>
      <w:r w:rsidRPr="00C53EA3">
        <w:rPr>
          <w:lang w:val="en-US" w:eastAsia="it-IT"/>
        </w:rPr>
        <w:t xml:space="preserve">, P. (2018). </w:t>
      </w:r>
      <w:r w:rsidRPr="00C53EA3">
        <w:rPr>
          <w:i/>
          <w:iCs/>
          <w:lang w:val="en-US" w:eastAsia="it-IT"/>
        </w:rPr>
        <w:t>Internet Gaming Disorder: Theory, Assessment, Treatment, and Prevention</w:t>
      </w:r>
      <w:r w:rsidRPr="00C53EA3">
        <w:rPr>
          <w:lang w:val="en-US" w:eastAsia="it-IT"/>
        </w:rPr>
        <w:t>. Academic Press.</w:t>
      </w:r>
    </w:p>
    <w:p w14:paraId="40992EAF" w14:textId="77777777" w:rsidR="00C53EA3" w:rsidRPr="00C53EA3" w:rsidRDefault="00C53EA3" w:rsidP="00C53EA3">
      <w:pPr>
        <w:spacing w:line="480" w:lineRule="auto"/>
        <w:ind w:left="284" w:hanging="284"/>
        <w:jc w:val="both"/>
        <w:rPr>
          <w:lang w:val="en-US"/>
        </w:rPr>
      </w:pPr>
      <w:proofErr w:type="spellStart"/>
      <w:r w:rsidRPr="00C53EA3">
        <w:rPr>
          <w:lang w:val="en-US"/>
        </w:rPr>
        <w:t>Laconi</w:t>
      </w:r>
      <w:proofErr w:type="spellEnd"/>
      <w:r w:rsidRPr="00C53EA3">
        <w:rPr>
          <w:lang w:val="en-US"/>
        </w:rPr>
        <w:t xml:space="preserve">, S., </w:t>
      </w:r>
      <w:proofErr w:type="spellStart"/>
      <w:r w:rsidRPr="00C53EA3">
        <w:rPr>
          <w:lang w:val="en-US"/>
        </w:rPr>
        <w:t>Kaliszewska-Czeremska</w:t>
      </w:r>
      <w:proofErr w:type="spellEnd"/>
      <w:r w:rsidRPr="00C53EA3">
        <w:rPr>
          <w:lang w:val="en-US"/>
        </w:rPr>
        <w:t xml:space="preserve">, K., </w:t>
      </w:r>
      <w:proofErr w:type="spellStart"/>
      <w:r w:rsidRPr="00C53EA3">
        <w:rPr>
          <w:lang w:val="en-US"/>
        </w:rPr>
        <w:t>Gnisci</w:t>
      </w:r>
      <w:proofErr w:type="spellEnd"/>
      <w:r w:rsidRPr="00C53EA3">
        <w:rPr>
          <w:lang w:val="en-US"/>
        </w:rPr>
        <w:t xml:space="preserve">, A., </w:t>
      </w:r>
      <w:proofErr w:type="spellStart"/>
      <w:r w:rsidRPr="00C53EA3">
        <w:rPr>
          <w:lang w:val="en-US"/>
        </w:rPr>
        <w:t>Sergi</w:t>
      </w:r>
      <w:proofErr w:type="spellEnd"/>
      <w:r w:rsidRPr="00C53EA3">
        <w:rPr>
          <w:lang w:val="en-US"/>
        </w:rPr>
        <w:t xml:space="preserve">, I., </w:t>
      </w:r>
      <w:proofErr w:type="spellStart"/>
      <w:r w:rsidRPr="00C53EA3">
        <w:rPr>
          <w:lang w:val="en-US"/>
        </w:rPr>
        <w:t>Barke</w:t>
      </w:r>
      <w:proofErr w:type="spellEnd"/>
      <w:r w:rsidRPr="00C53EA3">
        <w:rPr>
          <w:lang w:val="en-US"/>
        </w:rPr>
        <w:t xml:space="preserve">, A., </w:t>
      </w:r>
      <w:proofErr w:type="spellStart"/>
      <w:r w:rsidRPr="00C53EA3">
        <w:rPr>
          <w:lang w:val="en-US"/>
        </w:rPr>
        <w:t>Jeromin</w:t>
      </w:r>
      <w:proofErr w:type="spellEnd"/>
      <w:r w:rsidRPr="00C53EA3">
        <w:rPr>
          <w:lang w:val="en-US"/>
        </w:rPr>
        <w:t xml:space="preserve">, F., ... &amp; </w:t>
      </w:r>
      <w:proofErr w:type="spellStart"/>
      <w:r w:rsidRPr="00C53EA3">
        <w:rPr>
          <w:lang w:val="en-US"/>
        </w:rPr>
        <w:t>Király</w:t>
      </w:r>
      <w:proofErr w:type="spellEnd"/>
      <w:r w:rsidRPr="00C53EA3">
        <w:rPr>
          <w:lang w:val="en-US"/>
        </w:rPr>
        <w:t xml:space="preserve">, O. (2018). Cross-cultural study of Problematic Internet Use in nine European countries. </w:t>
      </w:r>
      <w:r w:rsidRPr="00C53EA3">
        <w:rPr>
          <w:i/>
          <w:lang w:val="en-US"/>
        </w:rPr>
        <w:t>Computers in Human Behavior, 84</w:t>
      </w:r>
      <w:r w:rsidRPr="00C53EA3">
        <w:rPr>
          <w:lang w:val="en-US"/>
        </w:rPr>
        <w:t>, 430-440.</w:t>
      </w:r>
    </w:p>
    <w:p w14:paraId="4FA0CD89" w14:textId="77777777" w:rsidR="00C53EA3" w:rsidRPr="00C53EA3" w:rsidRDefault="00C53EA3" w:rsidP="00C53EA3">
      <w:pPr>
        <w:spacing w:line="480" w:lineRule="auto"/>
        <w:ind w:left="284" w:hanging="284"/>
        <w:jc w:val="both"/>
        <w:rPr>
          <w:lang w:val="en-US"/>
        </w:rPr>
      </w:pPr>
      <w:r w:rsidRPr="00C53EA3">
        <w:rPr>
          <w:lang w:val="en-US"/>
        </w:rPr>
        <w:t xml:space="preserve">Marino, C., Marci, T., Ferrante, L., </w:t>
      </w:r>
      <w:proofErr w:type="spellStart"/>
      <w:r w:rsidRPr="00C53EA3">
        <w:rPr>
          <w:lang w:val="en-US"/>
        </w:rPr>
        <w:t>Altoè</w:t>
      </w:r>
      <w:proofErr w:type="spellEnd"/>
      <w:r w:rsidRPr="00C53EA3">
        <w:rPr>
          <w:lang w:val="en-US"/>
        </w:rPr>
        <w:t xml:space="preserve">, G., </w:t>
      </w:r>
      <w:proofErr w:type="spellStart"/>
      <w:r w:rsidRPr="00C53EA3">
        <w:rPr>
          <w:lang w:val="en-US"/>
        </w:rPr>
        <w:t>Vieno</w:t>
      </w:r>
      <w:proofErr w:type="spellEnd"/>
      <w:r w:rsidRPr="00C53EA3">
        <w:rPr>
          <w:lang w:val="en-US"/>
        </w:rPr>
        <w:t xml:space="preserve">, A., Simonelli, A., Caselli, G. &amp; Spada, M. M. (2019). Attachment and problematic Facebook use in adolescents: The mediating role of metacognitions. </w:t>
      </w:r>
      <w:r w:rsidRPr="00C53EA3">
        <w:rPr>
          <w:i/>
          <w:lang w:val="en-US"/>
        </w:rPr>
        <w:t>Journal of Behavioral Addictions, 8</w:t>
      </w:r>
      <w:r w:rsidRPr="00C53EA3">
        <w:rPr>
          <w:lang w:val="en-US"/>
        </w:rPr>
        <w:t>, 63-78</w:t>
      </w:r>
    </w:p>
    <w:p w14:paraId="66F9D211" w14:textId="77777777" w:rsidR="00C53EA3" w:rsidRPr="00C53EA3" w:rsidRDefault="00C53EA3" w:rsidP="00C53EA3">
      <w:pPr>
        <w:spacing w:line="480" w:lineRule="auto"/>
        <w:ind w:left="284" w:hanging="284"/>
        <w:jc w:val="both"/>
        <w:rPr>
          <w:lang w:val="en-US"/>
        </w:rPr>
      </w:pPr>
      <w:r w:rsidRPr="00C53EA3">
        <w:rPr>
          <w:lang w:val="en-US"/>
        </w:rPr>
        <w:t xml:space="preserve">Marino, C. &amp; Spada, M. M. (2017). Dysfunctional Cognitions in Online Gaming and Internet Gaming Disorder: a Narrative Review and New Classification. </w:t>
      </w:r>
      <w:r w:rsidRPr="00C53EA3">
        <w:rPr>
          <w:i/>
          <w:lang w:val="en-US"/>
        </w:rPr>
        <w:t>Current Addiction Reports, 4</w:t>
      </w:r>
      <w:r w:rsidRPr="00C53EA3">
        <w:rPr>
          <w:lang w:val="en-US"/>
        </w:rPr>
        <w:t>, 308-316.</w:t>
      </w:r>
    </w:p>
    <w:p w14:paraId="18FCB317" w14:textId="77777777" w:rsidR="00C53EA3" w:rsidRPr="00C53EA3" w:rsidRDefault="00C53EA3" w:rsidP="00C53EA3">
      <w:pPr>
        <w:spacing w:line="480" w:lineRule="auto"/>
        <w:ind w:left="284" w:hanging="284"/>
        <w:jc w:val="both"/>
        <w:rPr>
          <w:lang w:val="en-US"/>
        </w:rPr>
      </w:pPr>
      <w:proofErr w:type="spellStart"/>
      <w:r w:rsidRPr="00C53EA3">
        <w:rPr>
          <w:lang w:val="en-US"/>
        </w:rPr>
        <w:t>Monacis</w:t>
      </w:r>
      <w:proofErr w:type="spellEnd"/>
      <w:r w:rsidRPr="00C53EA3">
        <w:rPr>
          <w:lang w:val="en-US"/>
        </w:rPr>
        <w:t xml:space="preserve">, L., Palo, V. D., Griffiths, M. D. &amp; Sinatra, M. (2016). Validation of the internet gaming disorder scale–short-form (IGDS9-SF) in an Italian-speaking sample. </w:t>
      </w:r>
      <w:r w:rsidRPr="00C53EA3">
        <w:rPr>
          <w:i/>
          <w:lang w:val="en-US"/>
        </w:rPr>
        <w:t>Journal of Behavioral Addictions, 5</w:t>
      </w:r>
      <w:r w:rsidRPr="00C53EA3">
        <w:rPr>
          <w:lang w:val="en-US"/>
        </w:rPr>
        <w:t>, 683-690.</w:t>
      </w:r>
    </w:p>
    <w:p w14:paraId="316F35D3" w14:textId="77777777" w:rsidR="00C53EA3" w:rsidRPr="00C53EA3" w:rsidRDefault="00C53EA3" w:rsidP="00C53EA3">
      <w:pPr>
        <w:spacing w:line="480" w:lineRule="auto"/>
        <w:ind w:left="284" w:hanging="284"/>
        <w:jc w:val="both"/>
        <w:rPr>
          <w:lang w:val="en-US"/>
        </w:rPr>
      </w:pPr>
      <w:r w:rsidRPr="00C53EA3">
        <w:rPr>
          <w:lang w:val="en-US"/>
        </w:rPr>
        <w:lastRenderedPageBreak/>
        <w:t xml:space="preserve">Moreno, M. A., Eickhoff, J., Zhao, Q., Young, H. N. &amp; Cox, E. D. (2019). Problematic Internet Use: A Longitudinal Study Evaluating Prevalence and Predictors. </w:t>
      </w:r>
      <w:r w:rsidRPr="00C53EA3">
        <w:rPr>
          <w:i/>
          <w:lang w:val="en-US"/>
        </w:rPr>
        <w:t>The Journal of Pediatrics</w:t>
      </w:r>
      <w:r w:rsidRPr="00C53EA3">
        <w:rPr>
          <w:lang w:val="en-US"/>
        </w:rPr>
        <w:t>: 1, 100006.</w:t>
      </w:r>
    </w:p>
    <w:p w14:paraId="1270A989" w14:textId="77777777" w:rsidR="00C53EA3" w:rsidRPr="00C53EA3" w:rsidRDefault="00C53EA3" w:rsidP="00C53EA3">
      <w:pPr>
        <w:spacing w:line="480" w:lineRule="auto"/>
        <w:ind w:left="284" w:hanging="284"/>
        <w:jc w:val="both"/>
        <w:rPr>
          <w:lang w:val="en-US"/>
        </w:rPr>
      </w:pPr>
      <w:proofErr w:type="spellStart"/>
      <w:r w:rsidRPr="00C53EA3">
        <w:t>Nikčević</w:t>
      </w:r>
      <w:proofErr w:type="spellEnd"/>
      <w:r w:rsidRPr="00C53EA3">
        <w:t xml:space="preserve">, A.V., Alma, L., Marino, C., Kolubinski, D., </w:t>
      </w:r>
      <w:proofErr w:type="spellStart"/>
      <w:r w:rsidRPr="00C53EA3">
        <w:t>Ylmaz-Samanci</w:t>
      </w:r>
      <w:proofErr w:type="spellEnd"/>
      <w:r w:rsidRPr="00C53EA3">
        <w:t xml:space="preserve">, A.E., Caselli, G. &amp; Spada, M. M. (2017). Modelling the contribution of negative affect, outcome expectancies and metacognitions to cigarette use and nicotine dependence. </w:t>
      </w:r>
      <w:r w:rsidRPr="00C53EA3">
        <w:rPr>
          <w:i/>
        </w:rPr>
        <w:t xml:space="preserve">Addictive </w:t>
      </w:r>
      <w:proofErr w:type="spellStart"/>
      <w:r w:rsidRPr="00C53EA3">
        <w:rPr>
          <w:i/>
        </w:rPr>
        <w:t>Behaviors</w:t>
      </w:r>
      <w:proofErr w:type="spellEnd"/>
      <w:r w:rsidRPr="00C53EA3">
        <w:rPr>
          <w:i/>
        </w:rPr>
        <w:t xml:space="preserve">, 74, </w:t>
      </w:r>
      <w:r w:rsidRPr="00C53EA3">
        <w:t>82-89.</w:t>
      </w:r>
    </w:p>
    <w:p w14:paraId="0724A3FF" w14:textId="77777777" w:rsidR="00C53EA3" w:rsidRPr="00C53EA3" w:rsidRDefault="00C53EA3" w:rsidP="00C53EA3">
      <w:pPr>
        <w:spacing w:line="480" w:lineRule="auto"/>
        <w:ind w:left="284" w:hanging="284"/>
        <w:jc w:val="both"/>
        <w:rPr>
          <w:lang w:val="en-US"/>
        </w:rPr>
      </w:pPr>
      <w:r w:rsidRPr="00C53EA3">
        <w:rPr>
          <w:lang w:val="en-US"/>
        </w:rPr>
        <w:t xml:space="preserve">Ng, B. D. &amp; </w:t>
      </w:r>
      <w:proofErr w:type="spellStart"/>
      <w:r w:rsidRPr="00C53EA3">
        <w:rPr>
          <w:lang w:val="en-US"/>
        </w:rPr>
        <w:t>Wiemer</w:t>
      </w:r>
      <w:proofErr w:type="spellEnd"/>
      <w:r w:rsidRPr="00C53EA3">
        <w:rPr>
          <w:lang w:val="en-US"/>
        </w:rPr>
        <w:t xml:space="preserve">-Hastings, P. (2005). Addiction to the Internet and online gaming. </w:t>
      </w:r>
      <w:r w:rsidRPr="00C53EA3">
        <w:rPr>
          <w:i/>
          <w:lang w:val="en-US"/>
        </w:rPr>
        <w:t>Cyberpsychology &amp; Behavior, 8</w:t>
      </w:r>
      <w:r w:rsidRPr="00C53EA3">
        <w:rPr>
          <w:lang w:val="en-US"/>
        </w:rPr>
        <w:t>, 110-113</w:t>
      </w:r>
    </w:p>
    <w:p w14:paraId="23B41C18" w14:textId="77777777" w:rsidR="00C53EA3" w:rsidRPr="00C53EA3" w:rsidRDefault="00C53EA3" w:rsidP="00C53EA3">
      <w:pPr>
        <w:spacing w:line="480" w:lineRule="auto"/>
        <w:ind w:left="284" w:hanging="284"/>
        <w:jc w:val="both"/>
      </w:pPr>
      <w:r w:rsidRPr="00C53EA3">
        <w:t xml:space="preserve">Peters, C. S. &amp; </w:t>
      </w:r>
      <w:proofErr w:type="spellStart"/>
      <w:r w:rsidRPr="00C53EA3">
        <w:t>Malesky</w:t>
      </w:r>
      <w:proofErr w:type="spellEnd"/>
      <w:r w:rsidRPr="00C53EA3">
        <w:t xml:space="preserve">, L. A. (2008). Problematic usage among highly-engaged players of massively multiplayer online role playing games. </w:t>
      </w:r>
      <w:r w:rsidRPr="00C53EA3">
        <w:rPr>
          <w:i/>
          <w:iCs/>
        </w:rPr>
        <w:t xml:space="preserve">Cyberpsychology &amp; </w:t>
      </w:r>
      <w:proofErr w:type="spellStart"/>
      <w:r w:rsidRPr="00C53EA3">
        <w:rPr>
          <w:i/>
          <w:iCs/>
        </w:rPr>
        <w:t>Behavior</w:t>
      </w:r>
      <w:proofErr w:type="spellEnd"/>
      <w:r w:rsidRPr="00C53EA3">
        <w:t xml:space="preserve">, </w:t>
      </w:r>
      <w:r w:rsidRPr="00C53EA3">
        <w:rPr>
          <w:i/>
          <w:iCs/>
        </w:rPr>
        <w:t>11</w:t>
      </w:r>
      <w:r w:rsidRPr="00C53EA3">
        <w:t>, 480-483.</w:t>
      </w:r>
    </w:p>
    <w:p w14:paraId="4FA68FDF" w14:textId="77777777" w:rsidR="00C53EA3" w:rsidRPr="00C53EA3" w:rsidRDefault="00C53EA3" w:rsidP="00C53EA3">
      <w:pPr>
        <w:spacing w:line="480" w:lineRule="auto"/>
        <w:ind w:left="284" w:hanging="284"/>
        <w:jc w:val="both"/>
        <w:rPr>
          <w:lang w:val="en-US"/>
        </w:rPr>
      </w:pPr>
      <w:r w:rsidRPr="00C53EA3">
        <w:rPr>
          <w:lang w:val="en-US"/>
        </w:rPr>
        <w:t xml:space="preserve">R Core Team (2013). R: A language and environment for statistical computing [Computer software manual]. Vienna, Austria Available from </w:t>
      </w:r>
      <w:hyperlink r:id="rId9" w:history="1">
        <w:r w:rsidRPr="00C53EA3">
          <w:rPr>
            <w:rStyle w:val="Hyperlink"/>
            <w:lang w:val="en-US"/>
          </w:rPr>
          <w:t>http://www.R-project.org/</w:t>
        </w:r>
      </w:hyperlink>
      <w:r w:rsidRPr="00C53EA3">
        <w:rPr>
          <w:lang w:val="en-US"/>
        </w:rPr>
        <w:t xml:space="preserve">. </w:t>
      </w:r>
    </w:p>
    <w:p w14:paraId="43EA3EF8" w14:textId="77777777" w:rsidR="00C53EA3" w:rsidRPr="00C53EA3" w:rsidRDefault="00C53EA3" w:rsidP="00C53EA3">
      <w:pPr>
        <w:spacing w:line="480" w:lineRule="auto"/>
        <w:ind w:left="284" w:hanging="284"/>
        <w:jc w:val="both"/>
        <w:rPr>
          <w:lang w:val="en-US"/>
        </w:rPr>
      </w:pPr>
      <w:proofErr w:type="spellStart"/>
      <w:r w:rsidRPr="00C53EA3">
        <w:rPr>
          <w:lang w:val="en-US"/>
        </w:rPr>
        <w:t>Rosseel</w:t>
      </w:r>
      <w:proofErr w:type="spellEnd"/>
      <w:r w:rsidRPr="00C53EA3">
        <w:rPr>
          <w:lang w:val="en-US"/>
        </w:rPr>
        <w:t xml:space="preserve">, Y. (2012). </w:t>
      </w:r>
      <w:proofErr w:type="spellStart"/>
      <w:r w:rsidRPr="00C53EA3">
        <w:rPr>
          <w:lang w:val="en-US"/>
        </w:rPr>
        <w:t>Lavaan</w:t>
      </w:r>
      <w:proofErr w:type="spellEnd"/>
      <w:r w:rsidRPr="00C53EA3">
        <w:rPr>
          <w:lang w:val="en-US"/>
        </w:rPr>
        <w:t xml:space="preserve">: An R package for structural equation modeling. </w:t>
      </w:r>
      <w:r w:rsidRPr="00C53EA3">
        <w:rPr>
          <w:i/>
          <w:lang w:val="en-US"/>
        </w:rPr>
        <w:t>Journal of Statistical Software</w:t>
      </w:r>
      <w:r w:rsidRPr="00C53EA3">
        <w:rPr>
          <w:lang w:val="en-US"/>
        </w:rPr>
        <w:t xml:space="preserve">, </w:t>
      </w:r>
      <w:r w:rsidRPr="00C53EA3">
        <w:rPr>
          <w:i/>
          <w:lang w:val="en-US"/>
        </w:rPr>
        <w:t>48</w:t>
      </w:r>
      <w:r w:rsidRPr="00C53EA3">
        <w:rPr>
          <w:lang w:val="en-US"/>
        </w:rPr>
        <w:t>, 1-36.</w:t>
      </w:r>
    </w:p>
    <w:p w14:paraId="0C7E8B96" w14:textId="77777777" w:rsidR="00C53EA3" w:rsidRPr="00C53EA3" w:rsidRDefault="00C53EA3" w:rsidP="00C53EA3">
      <w:pPr>
        <w:spacing w:line="480" w:lineRule="auto"/>
        <w:ind w:left="284" w:hanging="284"/>
        <w:jc w:val="both"/>
      </w:pPr>
      <w:r w:rsidRPr="00C53EA3">
        <w:t xml:space="preserve">Spada, M. M. (2014). An overview of problematic Internet use. </w:t>
      </w:r>
      <w:r w:rsidRPr="00C53EA3">
        <w:rPr>
          <w:i/>
        </w:rPr>
        <w:t xml:space="preserve">Addictive </w:t>
      </w:r>
      <w:proofErr w:type="spellStart"/>
      <w:r w:rsidRPr="00C53EA3">
        <w:rPr>
          <w:i/>
        </w:rPr>
        <w:t>Behaviors</w:t>
      </w:r>
      <w:proofErr w:type="spellEnd"/>
      <w:r w:rsidRPr="00C53EA3">
        <w:rPr>
          <w:i/>
        </w:rPr>
        <w:t xml:space="preserve">, 39, </w:t>
      </w:r>
      <w:r w:rsidRPr="00C53EA3">
        <w:t>3-6.</w:t>
      </w:r>
    </w:p>
    <w:p w14:paraId="6DBDA4A6" w14:textId="77777777" w:rsidR="00C53EA3" w:rsidRPr="00C53EA3" w:rsidRDefault="00C53EA3" w:rsidP="00C53EA3">
      <w:pPr>
        <w:spacing w:line="480" w:lineRule="auto"/>
        <w:ind w:left="284" w:hanging="284"/>
        <w:jc w:val="both"/>
        <w:rPr>
          <w:lang w:val="en-US"/>
        </w:rPr>
      </w:pPr>
      <w:r w:rsidRPr="00C53EA3">
        <w:rPr>
          <w:lang w:eastAsia="it-IT"/>
        </w:rPr>
        <w:t xml:space="preserve">Spada, M. M. &amp; Caselli, G. (2017). </w:t>
      </w:r>
      <w:r w:rsidRPr="00C53EA3">
        <w:rPr>
          <w:lang w:val="en-US" w:eastAsia="it-IT"/>
        </w:rPr>
        <w:t xml:space="preserve">The Metacognitions about Online Gaming Scale: Development and psychometric properties. </w:t>
      </w:r>
      <w:r w:rsidRPr="00C53EA3">
        <w:rPr>
          <w:i/>
          <w:lang w:val="en-US" w:eastAsia="it-IT"/>
        </w:rPr>
        <w:t>Addictive Behaviors, 64,</w:t>
      </w:r>
      <w:r w:rsidRPr="00C53EA3">
        <w:rPr>
          <w:lang w:val="en-US" w:eastAsia="it-IT"/>
        </w:rPr>
        <w:t xml:space="preserve"> 281-286.</w:t>
      </w:r>
    </w:p>
    <w:p w14:paraId="1F626620" w14:textId="77777777" w:rsidR="00C53EA3" w:rsidRPr="00C53EA3" w:rsidRDefault="00C53EA3" w:rsidP="00C53EA3">
      <w:pPr>
        <w:spacing w:line="480" w:lineRule="auto"/>
        <w:ind w:left="284" w:hanging="284"/>
        <w:jc w:val="both"/>
      </w:pPr>
      <w:r w:rsidRPr="00C53EA3">
        <w:t xml:space="preserve">Spada, M. M., Caselli, G., </w:t>
      </w:r>
      <w:proofErr w:type="spellStart"/>
      <w:r w:rsidRPr="00C53EA3">
        <w:t>Nikčević</w:t>
      </w:r>
      <w:proofErr w:type="spellEnd"/>
      <w:r w:rsidRPr="00C53EA3">
        <w:t xml:space="preserve">, A. V. &amp; Wells, A. (2015). Metacognition in addictive </w:t>
      </w:r>
      <w:proofErr w:type="spellStart"/>
      <w:r w:rsidRPr="00C53EA3">
        <w:t>behaviors</w:t>
      </w:r>
      <w:proofErr w:type="spellEnd"/>
      <w:r w:rsidRPr="00C53EA3">
        <w:t xml:space="preserve">. </w:t>
      </w:r>
      <w:r w:rsidRPr="00C53EA3">
        <w:rPr>
          <w:i/>
        </w:rPr>
        <w:t xml:space="preserve">Addictive </w:t>
      </w:r>
      <w:proofErr w:type="spellStart"/>
      <w:r w:rsidRPr="00C53EA3">
        <w:rPr>
          <w:i/>
        </w:rPr>
        <w:t>Behaviors</w:t>
      </w:r>
      <w:proofErr w:type="spellEnd"/>
      <w:r w:rsidRPr="00C53EA3">
        <w:rPr>
          <w:i/>
        </w:rPr>
        <w:t>, 44,</w:t>
      </w:r>
      <w:r w:rsidRPr="00C53EA3">
        <w:t xml:space="preserve"> 9-15.</w:t>
      </w:r>
    </w:p>
    <w:p w14:paraId="1CF489CE" w14:textId="77777777" w:rsidR="00C53EA3" w:rsidRPr="00C53EA3" w:rsidRDefault="00C53EA3" w:rsidP="00C53EA3">
      <w:pPr>
        <w:pStyle w:val="EndNoteBibliography"/>
        <w:ind w:left="284" w:hanging="284"/>
        <w:rPr>
          <w:color w:val="000000" w:themeColor="text1"/>
          <w:szCs w:val="24"/>
        </w:rPr>
      </w:pPr>
      <w:r w:rsidRPr="00C53EA3">
        <w:rPr>
          <w:color w:val="000000" w:themeColor="text1"/>
          <w:szCs w:val="24"/>
        </w:rPr>
        <w:t xml:space="preserve">Spada, M. M., Caselli, G. &amp; Wells, A. (2013). A triphasic metacognitive formulation of problem drinking. </w:t>
      </w:r>
      <w:r w:rsidRPr="00C53EA3">
        <w:rPr>
          <w:i/>
          <w:color w:val="000000" w:themeColor="text1"/>
          <w:szCs w:val="24"/>
        </w:rPr>
        <w:t>Clinical Psychology &amp; Psychotherapy,</w:t>
      </w:r>
      <w:r w:rsidRPr="00C53EA3">
        <w:rPr>
          <w:i/>
          <w:iCs/>
          <w:color w:val="000000" w:themeColor="text1"/>
          <w:szCs w:val="24"/>
        </w:rPr>
        <w:t xml:space="preserve"> 20</w:t>
      </w:r>
      <w:r w:rsidRPr="00C53EA3">
        <w:rPr>
          <w:color w:val="000000" w:themeColor="text1"/>
          <w:szCs w:val="24"/>
        </w:rPr>
        <w:t>, 494-500.</w:t>
      </w:r>
    </w:p>
    <w:p w14:paraId="6C5775CE" w14:textId="77777777" w:rsidR="00C53EA3" w:rsidRPr="00C53EA3" w:rsidRDefault="00C53EA3" w:rsidP="00C53EA3">
      <w:pPr>
        <w:spacing w:line="480" w:lineRule="auto"/>
        <w:ind w:left="284" w:hanging="284"/>
        <w:jc w:val="both"/>
      </w:pPr>
      <w:r w:rsidRPr="00C53EA3">
        <w:rPr>
          <w:lang w:val="it-IT"/>
        </w:rPr>
        <w:t xml:space="preserve">Spada, M. M., Langston, B., Nikčević, A. V. &amp; Moneta, G. B. (2008). </w:t>
      </w:r>
      <w:r w:rsidRPr="00C53EA3">
        <w:t xml:space="preserve">The role of metacognitions in problematic internet use. </w:t>
      </w:r>
      <w:r w:rsidRPr="00C53EA3">
        <w:rPr>
          <w:i/>
        </w:rPr>
        <w:t xml:space="preserve">Computers in Human </w:t>
      </w:r>
      <w:proofErr w:type="spellStart"/>
      <w:r w:rsidRPr="00C53EA3">
        <w:rPr>
          <w:i/>
        </w:rPr>
        <w:t>Behavior</w:t>
      </w:r>
      <w:proofErr w:type="spellEnd"/>
      <w:r w:rsidRPr="00C53EA3">
        <w:rPr>
          <w:i/>
        </w:rPr>
        <w:t xml:space="preserve">, 24, </w:t>
      </w:r>
      <w:r w:rsidRPr="00C53EA3">
        <w:t>2325-2335.</w:t>
      </w:r>
    </w:p>
    <w:p w14:paraId="68808442" w14:textId="77777777" w:rsidR="00C53EA3" w:rsidRPr="00C53EA3" w:rsidRDefault="00C53EA3" w:rsidP="00C53EA3">
      <w:pPr>
        <w:spacing w:line="480" w:lineRule="auto"/>
        <w:ind w:left="284" w:hanging="284"/>
        <w:jc w:val="both"/>
        <w:rPr>
          <w:rFonts w:eastAsiaTheme="minorHAnsi"/>
        </w:rPr>
      </w:pPr>
      <w:r w:rsidRPr="00C53EA3">
        <w:rPr>
          <w:lang w:val="en-US" w:eastAsia="it-IT"/>
        </w:rPr>
        <w:t>Spada, M. M. &amp;</w:t>
      </w:r>
      <w:r w:rsidRPr="00C53EA3">
        <w:rPr>
          <w:b/>
          <w:lang w:val="en-US" w:eastAsia="it-IT"/>
        </w:rPr>
        <w:t xml:space="preserve"> </w:t>
      </w:r>
      <w:r w:rsidRPr="00C53EA3">
        <w:rPr>
          <w:lang w:val="en-US" w:eastAsia="it-IT"/>
        </w:rPr>
        <w:t>Marino, C.</w:t>
      </w:r>
      <w:r w:rsidRPr="00C53EA3">
        <w:rPr>
          <w:b/>
          <w:lang w:val="en-US" w:eastAsia="it-IT"/>
        </w:rPr>
        <w:t xml:space="preserve"> </w:t>
      </w:r>
      <w:r w:rsidRPr="00C53EA3">
        <w:rPr>
          <w:lang w:val="en-US" w:eastAsia="it-IT"/>
        </w:rPr>
        <w:t>(2017).</w:t>
      </w:r>
      <w:r w:rsidRPr="00C53EA3">
        <w:rPr>
          <w:b/>
          <w:lang w:val="en-US" w:eastAsia="it-IT"/>
        </w:rPr>
        <w:t xml:space="preserve"> </w:t>
      </w:r>
      <w:r w:rsidRPr="00C53EA3">
        <w:rPr>
          <w:lang w:val="en-US" w:eastAsia="it-IT"/>
        </w:rPr>
        <w:t xml:space="preserve">Metacognitions and emotional regulation as predictors of problematic Internet use in adolescents. </w:t>
      </w:r>
      <w:r w:rsidRPr="00C53EA3">
        <w:rPr>
          <w:i/>
          <w:lang w:eastAsia="it-IT"/>
        </w:rPr>
        <w:t>Clinical Neuropsychiatry, 14</w:t>
      </w:r>
      <w:r w:rsidRPr="00C53EA3">
        <w:rPr>
          <w:lang w:eastAsia="it-IT"/>
        </w:rPr>
        <w:t>, 59-63</w:t>
      </w:r>
      <w:r w:rsidRPr="00C53EA3">
        <w:rPr>
          <w:rFonts w:eastAsiaTheme="minorHAnsi"/>
        </w:rPr>
        <w:t>.</w:t>
      </w:r>
    </w:p>
    <w:p w14:paraId="255ED2A3" w14:textId="77777777" w:rsidR="00C53EA3" w:rsidRPr="00C53EA3" w:rsidRDefault="00C53EA3" w:rsidP="00C53EA3">
      <w:pPr>
        <w:pStyle w:val="EndNoteBibliography"/>
        <w:ind w:left="284" w:hanging="284"/>
      </w:pPr>
      <w:r w:rsidRPr="00C53EA3">
        <w:rPr>
          <w:color w:val="000000" w:themeColor="text1"/>
          <w:szCs w:val="24"/>
          <w:shd w:val="clear" w:color="auto" w:fill="FFFFFF"/>
        </w:rPr>
        <w:t>Spada, M. M. &amp; Wells, A. (2008). Metacognitive beliefs about alcohol use: Development and validation of two self-report scales.  </w:t>
      </w:r>
      <w:r w:rsidRPr="00C53EA3">
        <w:rPr>
          <w:i/>
          <w:iCs/>
          <w:color w:val="000000" w:themeColor="text1"/>
          <w:szCs w:val="24"/>
          <w:shd w:val="clear" w:color="auto" w:fill="FFFFFF"/>
        </w:rPr>
        <w:t xml:space="preserve">Addictive </w:t>
      </w:r>
      <w:proofErr w:type="spellStart"/>
      <w:r w:rsidRPr="00C53EA3">
        <w:rPr>
          <w:i/>
          <w:iCs/>
          <w:color w:val="000000" w:themeColor="text1"/>
          <w:szCs w:val="24"/>
          <w:shd w:val="clear" w:color="auto" w:fill="FFFFFF"/>
        </w:rPr>
        <w:t>Behaviors</w:t>
      </w:r>
      <w:proofErr w:type="spellEnd"/>
      <w:r w:rsidRPr="00C53EA3">
        <w:rPr>
          <w:i/>
          <w:iCs/>
          <w:color w:val="000000" w:themeColor="text1"/>
          <w:szCs w:val="24"/>
          <w:shd w:val="clear" w:color="auto" w:fill="FFFFFF"/>
        </w:rPr>
        <w:t>, 33</w:t>
      </w:r>
      <w:r w:rsidRPr="00C53EA3">
        <w:rPr>
          <w:color w:val="000000" w:themeColor="text1"/>
          <w:szCs w:val="24"/>
          <w:shd w:val="clear" w:color="auto" w:fill="FFFFFF"/>
        </w:rPr>
        <w:t>, 515-527.</w:t>
      </w:r>
      <w:r w:rsidRPr="00C53EA3">
        <w:t xml:space="preserve"> </w:t>
      </w:r>
    </w:p>
    <w:p w14:paraId="41C377F4" w14:textId="20E22788" w:rsidR="00C53EA3" w:rsidRPr="00C53EA3" w:rsidRDefault="00C53EA3" w:rsidP="00C53EA3">
      <w:pPr>
        <w:pStyle w:val="EndNoteBibliography"/>
        <w:ind w:left="284" w:hanging="284"/>
      </w:pPr>
      <w:r w:rsidRPr="00C53EA3">
        <w:lastRenderedPageBreak/>
        <w:t xml:space="preserve">Van </w:t>
      </w:r>
      <w:proofErr w:type="spellStart"/>
      <w:r w:rsidRPr="00C53EA3">
        <w:t>Rooij</w:t>
      </w:r>
      <w:proofErr w:type="spellEnd"/>
      <w:r w:rsidRPr="00C53EA3">
        <w:t xml:space="preserve">, A. J., </w:t>
      </w:r>
      <w:proofErr w:type="spellStart"/>
      <w:r w:rsidRPr="00C53EA3">
        <w:t>Schoenmakers</w:t>
      </w:r>
      <w:proofErr w:type="spellEnd"/>
      <w:r w:rsidRPr="00C53EA3">
        <w:t xml:space="preserve">, T. M., Van de </w:t>
      </w:r>
      <w:proofErr w:type="spellStart"/>
      <w:r w:rsidRPr="00C53EA3">
        <w:t>Eijnden</w:t>
      </w:r>
      <w:proofErr w:type="spellEnd"/>
      <w:r w:rsidRPr="00C53EA3">
        <w:t xml:space="preserve">, R. J., &amp; Van de </w:t>
      </w:r>
      <w:proofErr w:type="spellStart"/>
      <w:r w:rsidRPr="00C53EA3">
        <w:t>Mheen</w:t>
      </w:r>
      <w:proofErr w:type="spellEnd"/>
      <w:r w:rsidRPr="00C53EA3">
        <w:t xml:space="preserve">, D. (2010). Compulsive internet use: the role of online gaming and other internet applications. </w:t>
      </w:r>
      <w:r w:rsidRPr="00C53EA3">
        <w:rPr>
          <w:i/>
        </w:rPr>
        <w:t>Journal of Adolescent Health, 47</w:t>
      </w:r>
      <w:r w:rsidRPr="00C53EA3">
        <w:t>, 51-57.</w:t>
      </w:r>
    </w:p>
    <w:p w14:paraId="02DDA316" w14:textId="77777777" w:rsidR="00C53EA3" w:rsidRPr="00C53EA3" w:rsidRDefault="00C53EA3" w:rsidP="00C53EA3">
      <w:pPr>
        <w:spacing w:line="480" w:lineRule="auto"/>
        <w:ind w:left="284" w:hanging="284"/>
        <w:jc w:val="both"/>
        <w:rPr>
          <w:i/>
          <w:iCs/>
          <w:lang w:val="en-US"/>
        </w:rPr>
      </w:pPr>
      <w:r w:rsidRPr="00C53EA3">
        <w:rPr>
          <w:lang w:val="en-US"/>
        </w:rPr>
        <w:t xml:space="preserve">Wells, A. (2013). Advances in Metacognitive Therapy. </w:t>
      </w:r>
      <w:r w:rsidRPr="00C53EA3">
        <w:rPr>
          <w:i/>
          <w:iCs/>
          <w:lang w:val="en-US"/>
        </w:rPr>
        <w:t>International Journal of Cognitive Therapy, 6</w:t>
      </w:r>
      <w:r w:rsidRPr="00C53EA3">
        <w:rPr>
          <w:lang w:val="en-US"/>
        </w:rPr>
        <w:t>, 186-201.</w:t>
      </w:r>
    </w:p>
    <w:p w14:paraId="0BC6357F" w14:textId="77777777" w:rsidR="00C53EA3" w:rsidRPr="00C53EA3" w:rsidRDefault="00C53EA3" w:rsidP="00C53EA3">
      <w:pPr>
        <w:spacing w:line="480" w:lineRule="auto"/>
        <w:ind w:left="284" w:hanging="284"/>
        <w:jc w:val="both"/>
        <w:rPr>
          <w:spacing w:val="-3"/>
        </w:rPr>
      </w:pPr>
      <w:r w:rsidRPr="00C53EA3">
        <w:rPr>
          <w:spacing w:val="-3"/>
        </w:rPr>
        <w:t xml:space="preserve">Wells, A. &amp; Matthews, G. (1994). </w:t>
      </w:r>
      <w:r w:rsidRPr="00C53EA3">
        <w:rPr>
          <w:i/>
          <w:spacing w:val="-3"/>
        </w:rPr>
        <w:t>Attention and Emotion: A Clinical Perspective</w:t>
      </w:r>
      <w:r w:rsidRPr="00C53EA3">
        <w:rPr>
          <w:spacing w:val="-3"/>
        </w:rPr>
        <w:t>. Hove, UK: Lawrence Erlbaum Associates.</w:t>
      </w:r>
    </w:p>
    <w:p w14:paraId="4DFF0CF3" w14:textId="77777777" w:rsidR="00C53EA3" w:rsidRPr="00C53EA3" w:rsidRDefault="00C53EA3" w:rsidP="00C53EA3">
      <w:pPr>
        <w:spacing w:line="480" w:lineRule="auto"/>
        <w:ind w:left="284" w:hanging="284"/>
        <w:jc w:val="both"/>
      </w:pPr>
      <w:r w:rsidRPr="00C53EA3">
        <w:t xml:space="preserve">Wells, A. &amp; Matthews, G. (1996). Modelling cognition in emotional disorder: The S-REF model. </w:t>
      </w:r>
      <w:r w:rsidRPr="00C53EA3">
        <w:rPr>
          <w:i/>
        </w:rPr>
        <w:t>Behaviour Research and Therapy</w:t>
      </w:r>
      <w:r w:rsidRPr="00C53EA3">
        <w:rPr>
          <w:i/>
          <w:iCs/>
        </w:rPr>
        <w:t>, 34,</w:t>
      </w:r>
      <w:r w:rsidRPr="00C53EA3">
        <w:t xml:space="preserve"> 881-888.</w:t>
      </w:r>
    </w:p>
    <w:p w14:paraId="4CA09F82" w14:textId="77777777" w:rsidR="00C53EA3" w:rsidRPr="00C53EA3" w:rsidRDefault="00C53EA3" w:rsidP="00C53EA3">
      <w:pPr>
        <w:spacing w:line="480" w:lineRule="auto"/>
        <w:ind w:left="284" w:hanging="284"/>
        <w:jc w:val="both"/>
        <w:rPr>
          <w:sz w:val="32"/>
        </w:rPr>
      </w:pPr>
      <w:r w:rsidRPr="00C53EA3">
        <w:rPr>
          <w:color w:val="333333"/>
          <w:szCs w:val="21"/>
          <w:shd w:val="clear" w:color="auto" w:fill="FFFFFF"/>
        </w:rPr>
        <w:t>World Health Organization. (2018). </w:t>
      </w:r>
      <w:r w:rsidRPr="00C53EA3">
        <w:rPr>
          <w:rStyle w:val="Emphasis"/>
          <w:color w:val="333333"/>
          <w:szCs w:val="21"/>
          <w:shd w:val="clear" w:color="auto" w:fill="FFFFFF"/>
        </w:rPr>
        <w:t>International classification of diseases for mortality and morbidity statistics </w:t>
      </w:r>
      <w:r w:rsidRPr="00C53EA3">
        <w:rPr>
          <w:color w:val="333333"/>
          <w:szCs w:val="21"/>
          <w:shd w:val="clear" w:color="auto" w:fill="FFFFFF"/>
        </w:rPr>
        <w:t>(11th Revision). Retrieved from </w:t>
      </w:r>
      <w:hyperlink r:id="rId10" w:history="1">
        <w:r w:rsidRPr="00C53EA3">
          <w:rPr>
            <w:rStyle w:val="Hyperlink"/>
            <w:color w:val="337AB7"/>
            <w:szCs w:val="21"/>
            <w:shd w:val="clear" w:color="auto" w:fill="FFFFFF"/>
          </w:rPr>
          <w:t>https://icd.who.int/browse11/l-m/en</w:t>
        </w:r>
      </w:hyperlink>
    </w:p>
    <w:p w14:paraId="7F4A347C" w14:textId="77777777" w:rsidR="005839D7" w:rsidRDefault="005839D7" w:rsidP="005839D7">
      <w:pPr>
        <w:pStyle w:val="EndNoteBibliography"/>
        <w:ind w:left="284" w:hanging="284"/>
      </w:pPr>
      <w:r w:rsidRPr="005839D7">
        <w:t xml:space="preserve">Young, K. S. (1998). Internet addiction: The emergence of a new clinical disorder. Cyberpsychology and </w:t>
      </w:r>
      <w:proofErr w:type="spellStart"/>
      <w:r w:rsidRPr="005839D7">
        <w:t>Behavior</w:t>
      </w:r>
      <w:proofErr w:type="spellEnd"/>
      <w:r w:rsidRPr="005839D7">
        <w:t>, 1, 237–244.</w:t>
      </w:r>
    </w:p>
    <w:p w14:paraId="49141598" w14:textId="77777777" w:rsidR="00C53EA3" w:rsidRPr="00C53EA3" w:rsidRDefault="00C53EA3" w:rsidP="00C53EA3">
      <w:pPr>
        <w:spacing w:line="480" w:lineRule="auto"/>
        <w:ind w:left="284" w:hanging="284"/>
        <w:jc w:val="both"/>
        <w:rPr>
          <w:spacing w:val="-3"/>
          <w:lang w:val="en-US"/>
        </w:rPr>
      </w:pPr>
      <w:proofErr w:type="spellStart"/>
      <w:r w:rsidRPr="00C53EA3">
        <w:rPr>
          <w:spacing w:val="-3"/>
          <w:lang w:val="en-US"/>
        </w:rPr>
        <w:t>Zigmond</w:t>
      </w:r>
      <w:proofErr w:type="spellEnd"/>
      <w:r w:rsidRPr="00C53EA3">
        <w:rPr>
          <w:spacing w:val="-3"/>
          <w:lang w:val="en-US"/>
        </w:rPr>
        <w:t xml:space="preserve">, A. S. &amp; Snaith, R. P. (1983). The Hospital Anxiety and Depression Scale. </w:t>
      </w:r>
      <w:r w:rsidRPr="00C53EA3">
        <w:rPr>
          <w:i/>
          <w:spacing w:val="-3"/>
          <w:lang w:val="en-US"/>
        </w:rPr>
        <w:t xml:space="preserve">Acta </w:t>
      </w:r>
      <w:proofErr w:type="spellStart"/>
      <w:r w:rsidRPr="00C53EA3">
        <w:rPr>
          <w:i/>
          <w:spacing w:val="-3"/>
          <w:lang w:val="en-US"/>
        </w:rPr>
        <w:t>Psychiatrica</w:t>
      </w:r>
      <w:proofErr w:type="spellEnd"/>
      <w:r w:rsidRPr="00C53EA3">
        <w:rPr>
          <w:i/>
          <w:spacing w:val="-3"/>
          <w:lang w:val="en-US"/>
        </w:rPr>
        <w:t xml:space="preserve"> Scandinavica, 67, </w:t>
      </w:r>
      <w:r w:rsidRPr="00C53EA3">
        <w:rPr>
          <w:spacing w:val="-3"/>
          <w:lang w:val="en-US"/>
        </w:rPr>
        <w:t>361-370.</w:t>
      </w:r>
    </w:p>
    <w:p w14:paraId="228D3A1E" w14:textId="77777777" w:rsidR="00C53EA3" w:rsidRPr="00C53EA3" w:rsidRDefault="00C53EA3" w:rsidP="00C53EA3">
      <w:pPr>
        <w:pStyle w:val="EndNoteBibliography"/>
        <w:ind w:left="284" w:hanging="284"/>
      </w:pPr>
    </w:p>
    <w:p w14:paraId="1EFB58D5" w14:textId="77777777" w:rsidR="00C53EA3" w:rsidRPr="00C53EA3" w:rsidRDefault="00C53EA3" w:rsidP="00C53EA3"/>
    <w:p w14:paraId="2B8BA53E" w14:textId="77777777" w:rsidR="00C53EA3" w:rsidRPr="00C53EA3" w:rsidRDefault="00C53EA3" w:rsidP="00C53EA3">
      <w:r w:rsidRPr="00C53EA3">
        <w:br w:type="page"/>
      </w:r>
    </w:p>
    <w:p w14:paraId="274F0867" w14:textId="77777777" w:rsidR="00C53EA3" w:rsidRPr="00C53EA3" w:rsidRDefault="00C53EA3" w:rsidP="00C53EA3">
      <w:pPr>
        <w:rPr>
          <w:b/>
          <w:noProof/>
          <w:lang w:val="en-US" w:eastAsia="it-IT"/>
        </w:rPr>
      </w:pPr>
      <w:r w:rsidRPr="00C53EA3">
        <w:rPr>
          <w:b/>
          <w:noProof/>
          <w:lang w:val="en-US" w:eastAsia="it-IT"/>
        </w:rPr>
        <w:lastRenderedPageBreak/>
        <w:t>Figure 1: Proposed theoretical model.</w:t>
      </w:r>
    </w:p>
    <w:p w14:paraId="1E0218D5" w14:textId="77777777" w:rsidR="00C53EA3" w:rsidRPr="00C53EA3" w:rsidRDefault="00C53EA3" w:rsidP="00C53EA3">
      <w:pPr>
        <w:rPr>
          <w:b/>
          <w:noProof/>
          <w:lang w:val="en-US" w:eastAsia="it-IT"/>
        </w:rPr>
      </w:pPr>
    </w:p>
    <w:p w14:paraId="517F6CCF" w14:textId="77777777" w:rsidR="00C53EA3" w:rsidRPr="00C53EA3" w:rsidRDefault="00C53EA3" w:rsidP="00C53EA3">
      <w:pPr>
        <w:rPr>
          <w:b/>
          <w:noProof/>
          <w:lang w:val="en-US" w:eastAsia="it-IT"/>
        </w:rPr>
      </w:pPr>
    </w:p>
    <w:p w14:paraId="207E1B57" w14:textId="1561F620" w:rsidR="00C53EA3" w:rsidRPr="00C53EA3" w:rsidRDefault="00C53EA3" w:rsidP="00C53EA3">
      <w:pPr>
        <w:rPr>
          <w:b/>
          <w:noProof/>
          <w:lang w:val="en-US" w:eastAsia="it-IT"/>
        </w:rPr>
      </w:pPr>
      <w:r w:rsidRPr="00C53EA3">
        <w:rPr>
          <w:b/>
          <w:noProof/>
          <w:lang w:val="it-IT" w:eastAsia="it-IT"/>
        </w:rPr>
        <w:drawing>
          <wp:inline distT="0" distB="0" distL="0" distR="0" wp14:anchorId="1E4AB7EB" wp14:editId="74204773">
            <wp:extent cx="6115050" cy="131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1">
                      <a:extLst>
                        <a:ext uri="{28A0092B-C50C-407E-A947-70E740481C1C}">
                          <a14:useLocalDpi xmlns:a14="http://schemas.microsoft.com/office/drawing/2010/main" val="0"/>
                        </a:ext>
                      </a:extLst>
                    </a:blip>
                    <a:srcRect t="17239" b="54021"/>
                    <a:stretch>
                      <a:fillRect/>
                    </a:stretch>
                  </pic:blipFill>
                  <pic:spPr bwMode="auto">
                    <a:xfrm>
                      <a:off x="0" y="0"/>
                      <a:ext cx="6115050" cy="1314450"/>
                    </a:xfrm>
                    <a:prstGeom prst="rect">
                      <a:avLst/>
                    </a:prstGeom>
                    <a:noFill/>
                    <a:ln>
                      <a:noFill/>
                    </a:ln>
                  </pic:spPr>
                </pic:pic>
              </a:graphicData>
            </a:graphic>
          </wp:inline>
        </w:drawing>
      </w:r>
    </w:p>
    <w:p w14:paraId="20EB9FCA" w14:textId="77777777" w:rsidR="00C53EA3" w:rsidRPr="00C53EA3" w:rsidRDefault="00C53EA3" w:rsidP="00C53EA3">
      <w:pPr>
        <w:rPr>
          <w:b/>
          <w:noProof/>
          <w:lang w:val="en-US" w:eastAsia="it-IT"/>
        </w:rPr>
      </w:pPr>
    </w:p>
    <w:p w14:paraId="0A5DD14B" w14:textId="77777777" w:rsidR="00C53EA3" w:rsidRPr="00C53EA3" w:rsidRDefault="00C53EA3" w:rsidP="00C53EA3">
      <w:pPr>
        <w:rPr>
          <w:b/>
          <w:noProof/>
          <w:lang w:val="en-US" w:eastAsia="it-IT"/>
        </w:rPr>
      </w:pPr>
    </w:p>
    <w:p w14:paraId="4C32D39B" w14:textId="77777777" w:rsidR="00C53EA3" w:rsidRPr="00C53EA3" w:rsidRDefault="00C53EA3" w:rsidP="00C53EA3">
      <w:pPr>
        <w:rPr>
          <w:b/>
          <w:noProof/>
          <w:lang w:val="en-US" w:eastAsia="it-IT"/>
        </w:rPr>
      </w:pPr>
    </w:p>
    <w:p w14:paraId="54ECC556" w14:textId="77777777" w:rsidR="00C53EA3" w:rsidRPr="00C53EA3" w:rsidRDefault="00C53EA3" w:rsidP="00C53EA3">
      <w:pPr>
        <w:rPr>
          <w:b/>
          <w:noProof/>
          <w:lang w:val="en-US" w:eastAsia="it-IT"/>
        </w:rPr>
      </w:pPr>
    </w:p>
    <w:p w14:paraId="1A5B60E4" w14:textId="77777777" w:rsidR="00C53EA3" w:rsidRPr="00C53EA3" w:rsidRDefault="00C53EA3" w:rsidP="00C53EA3">
      <w:pPr>
        <w:rPr>
          <w:b/>
          <w:noProof/>
          <w:lang w:val="en-US" w:eastAsia="it-IT"/>
        </w:rPr>
      </w:pPr>
    </w:p>
    <w:p w14:paraId="3EA0CCD7" w14:textId="77777777" w:rsidR="00C53EA3" w:rsidRPr="00C53EA3" w:rsidRDefault="00C53EA3" w:rsidP="00C53EA3">
      <w:pPr>
        <w:rPr>
          <w:b/>
          <w:noProof/>
          <w:lang w:val="en-US" w:eastAsia="it-IT"/>
        </w:rPr>
      </w:pPr>
      <w:r w:rsidRPr="00C53EA3">
        <w:rPr>
          <w:b/>
          <w:noProof/>
          <w:lang w:val="en-US" w:eastAsia="it-IT"/>
        </w:rPr>
        <w:t>Figure 2: Results of the path analytical model</w:t>
      </w:r>
    </w:p>
    <w:p w14:paraId="39DF2EEB" w14:textId="77777777" w:rsidR="00C53EA3" w:rsidRPr="00C53EA3" w:rsidRDefault="00C53EA3" w:rsidP="00C53EA3">
      <w:pPr>
        <w:rPr>
          <w:b/>
          <w:noProof/>
          <w:lang w:val="en-US" w:eastAsia="it-IT"/>
        </w:rPr>
      </w:pPr>
    </w:p>
    <w:p w14:paraId="4217CCE8" w14:textId="4AEE6B99" w:rsidR="00C53EA3" w:rsidRPr="00C53EA3" w:rsidRDefault="00C53EA3" w:rsidP="00C53EA3">
      <w:pPr>
        <w:rPr>
          <w:b/>
          <w:noProof/>
          <w:lang w:val="en-US" w:eastAsia="it-IT"/>
        </w:rPr>
      </w:pPr>
      <w:r w:rsidRPr="00C53EA3">
        <w:rPr>
          <w:b/>
          <w:noProof/>
          <w:lang w:val="it-IT" w:eastAsia="it-IT"/>
        </w:rPr>
        <w:drawing>
          <wp:inline distT="0" distB="0" distL="0" distR="0" wp14:anchorId="337E6AA5" wp14:editId="3736C348">
            <wp:extent cx="6115050" cy="1552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2">
                      <a:extLst>
                        <a:ext uri="{28A0092B-C50C-407E-A947-70E740481C1C}">
                          <a14:useLocalDpi xmlns:a14="http://schemas.microsoft.com/office/drawing/2010/main" val="0"/>
                        </a:ext>
                      </a:extLst>
                    </a:blip>
                    <a:srcRect t="14369" b="51918"/>
                    <a:stretch>
                      <a:fillRect/>
                    </a:stretch>
                  </pic:blipFill>
                  <pic:spPr bwMode="auto">
                    <a:xfrm>
                      <a:off x="0" y="0"/>
                      <a:ext cx="6115050" cy="1552575"/>
                    </a:xfrm>
                    <a:prstGeom prst="rect">
                      <a:avLst/>
                    </a:prstGeom>
                    <a:noFill/>
                    <a:ln>
                      <a:noFill/>
                    </a:ln>
                  </pic:spPr>
                </pic:pic>
              </a:graphicData>
            </a:graphic>
          </wp:inline>
        </w:drawing>
      </w:r>
    </w:p>
    <w:p w14:paraId="261CAA76" w14:textId="77777777" w:rsidR="00C53EA3" w:rsidRPr="00C53EA3" w:rsidRDefault="00C53EA3" w:rsidP="00C53EA3">
      <w:pPr>
        <w:jc w:val="both"/>
        <w:rPr>
          <w:rStyle w:val="Strong"/>
          <w:sz w:val="20"/>
          <w:szCs w:val="20"/>
        </w:rPr>
      </w:pPr>
    </w:p>
    <w:p w14:paraId="34C443F7" w14:textId="77777777" w:rsidR="00C53EA3" w:rsidRPr="00C53EA3" w:rsidRDefault="00C53EA3" w:rsidP="00C53EA3">
      <w:pPr>
        <w:rPr>
          <w:rStyle w:val="Strong"/>
          <w:lang w:val="en-US"/>
        </w:rPr>
      </w:pPr>
    </w:p>
    <w:p w14:paraId="68701F10" w14:textId="77777777" w:rsidR="00C53EA3" w:rsidRPr="00C53EA3" w:rsidRDefault="00C53EA3" w:rsidP="00C53EA3"/>
    <w:p w14:paraId="30649BD4" w14:textId="77777777" w:rsidR="00C53EA3" w:rsidRPr="00C53EA3" w:rsidRDefault="00C53EA3" w:rsidP="00C53EA3">
      <w:pPr>
        <w:jc w:val="both"/>
        <w:rPr>
          <w:rStyle w:val="Strong"/>
          <w:b w:val="0"/>
          <w:sz w:val="20"/>
          <w:szCs w:val="20"/>
        </w:rPr>
      </w:pPr>
      <w:r w:rsidRPr="00C53EA3">
        <w:rPr>
          <w:rStyle w:val="Strong"/>
          <w:sz w:val="20"/>
          <w:szCs w:val="20"/>
          <w:lang w:val="en-US"/>
        </w:rPr>
        <w:t>Notes: *</w:t>
      </w:r>
      <w:r w:rsidRPr="00C53EA3">
        <w:rPr>
          <w:rStyle w:val="Strong"/>
          <w:i/>
          <w:sz w:val="20"/>
          <w:szCs w:val="20"/>
          <w:lang w:val="en-US"/>
        </w:rPr>
        <w:t>p</w:t>
      </w:r>
      <w:r w:rsidRPr="00C53EA3">
        <w:rPr>
          <w:rStyle w:val="Strong"/>
          <w:sz w:val="20"/>
          <w:szCs w:val="20"/>
          <w:lang w:val="en-US"/>
        </w:rPr>
        <w:t>&lt;0.01, **</w:t>
      </w:r>
      <w:r w:rsidRPr="00C53EA3">
        <w:rPr>
          <w:rStyle w:val="Strong"/>
          <w:i/>
          <w:sz w:val="20"/>
          <w:szCs w:val="20"/>
          <w:lang w:val="en-US"/>
        </w:rPr>
        <w:t>p</w:t>
      </w:r>
      <w:r w:rsidRPr="00C53EA3">
        <w:rPr>
          <w:rStyle w:val="Strong"/>
          <w:sz w:val="20"/>
          <w:szCs w:val="20"/>
          <w:lang w:val="en-US"/>
        </w:rPr>
        <w:t>&lt;0.001; N=326.</w:t>
      </w:r>
    </w:p>
    <w:p w14:paraId="1EBAE6E4" w14:textId="77777777" w:rsidR="00C53EA3" w:rsidRPr="00C53EA3" w:rsidRDefault="00C53EA3" w:rsidP="00C53EA3">
      <w:pPr>
        <w:ind w:firstLine="708"/>
      </w:pPr>
    </w:p>
    <w:p w14:paraId="03386843" w14:textId="77777777" w:rsidR="00C53EA3" w:rsidRPr="00C53EA3" w:rsidRDefault="00C53EA3" w:rsidP="00C53EA3">
      <w:pPr>
        <w:rPr>
          <w:lang w:val="en-US"/>
        </w:rPr>
      </w:pPr>
      <w:r w:rsidRPr="00C53EA3">
        <w:rPr>
          <w:lang w:val="en-US"/>
        </w:rPr>
        <w:br w:type="page"/>
      </w:r>
    </w:p>
    <w:p w14:paraId="260484FE" w14:textId="77777777" w:rsidR="00C53EA3" w:rsidRPr="00C53EA3" w:rsidRDefault="00C53EA3" w:rsidP="00C53EA3">
      <w:pPr>
        <w:rPr>
          <w:rStyle w:val="Strong"/>
          <w:lang w:val="en-US"/>
        </w:rPr>
        <w:sectPr w:rsidR="00C53EA3" w:rsidRPr="00C53EA3">
          <w:footerReference w:type="default" r:id="rId13"/>
          <w:pgSz w:w="11906" w:h="16838"/>
          <w:pgMar w:top="1417" w:right="1134" w:bottom="1134" w:left="1134" w:header="708" w:footer="708" w:gutter="0"/>
          <w:cols w:space="720"/>
        </w:sectPr>
      </w:pPr>
    </w:p>
    <w:p w14:paraId="166ED607" w14:textId="77777777" w:rsidR="00C53EA3" w:rsidRPr="00C53EA3" w:rsidRDefault="00C53EA3" w:rsidP="00C53EA3">
      <w:pPr>
        <w:jc w:val="both"/>
        <w:rPr>
          <w:rStyle w:val="Strong"/>
        </w:rPr>
      </w:pPr>
      <w:r w:rsidRPr="00C53EA3">
        <w:rPr>
          <w:rStyle w:val="Strong"/>
          <w:lang w:val="en-US"/>
        </w:rPr>
        <w:lastRenderedPageBreak/>
        <w:t>Table 1: Means, standard deviations, and bivariate correlations for the study variables.</w:t>
      </w:r>
    </w:p>
    <w:p w14:paraId="3515752E" w14:textId="77777777" w:rsidR="00C53EA3" w:rsidRPr="00C53EA3" w:rsidRDefault="00C53EA3" w:rsidP="00C53EA3">
      <w:pPr>
        <w:jc w:val="both"/>
        <w:rPr>
          <w:rStyle w:val="Strong"/>
          <w:lang w:val="en-US"/>
        </w:rPr>
      </w:pPr>
    </w:p>
    <w:tbl>
      <w:tblPr>
        <w:tblStyle w:val="TableGrid"/>
        <w:tblpPr w:leftFromText="141" w:rightFromText="141" w:vertAnchor="page" w:horzAnchor="margin" w:tblpY="1771"/>
        <w:tblW w:w="10320"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44"/>
        <w:gridCol w:w="1228"/>
        <w:gridCol w:w="1230"/>
        <w:gridCol w:w="1229"/>
        <w:gridCol w:w="1230"/>
        <w:gridCol w:w="1229"/>
        <w:gridCol w:w="1230"/>
      </w:tblGrid>
      <w:tr w:rsidR="00C53EA3" w:rsidRPr="00C53EA3" w14:paraId="22CE516D" w14:textId="77777777" w:rsidTr="00C53EA3">
        <w:tc>
          <w:tcPr>
            <w:tcW w:w="2943" w:type="dxa"/>
            <w:tcBorders>
              <w:top w:val="single" w:sz="4" w:space="0" w:color="auto"/>
              <w:left w:val="nil"/>
              <w:bottom w:val="single" w:sz="4" w:space="0" w:color="auto"/>
              <w:right w:val="nil"/>
            </w:tcBorders>
          </w:tcPr>
          <w:p w14:paraId="133D26C0" w14:textId="77777777" w:rsidR="00C53EA3" w:rsidRPr="00C53EA3" w:rsidRDefault="00C53EA3">
            <w:pPr>
              <w:jc w:val="both"/>
              <w:rPr>
                <w:sz w:val="20"/>
                <w:szCs w:val="20"/>
              </w:rPr>
            </w:pPr>
          </w:p>
        </w:tc>
        <w:tc>
          <w:tcPr>
            <w:tcW w:w="1228" w:type="dxa"/>
            <w:tcBorders>
              <w:top w:val="single" w:sz="4" w:space="0" w:color="auto"/>
              <w:left w:val="nil"/>
              <w:bottom w:val="single" w:sz="4" w:space="0" w:color="auto"/>
              <w:right w:val="nil"/>
            </w:tcBorders>
            <w:hideMark/>
          </w:tcPr>
          <w:p w14:paraId="2C0460B4" w14:textId="77777777" w:rsidR="00C53EA3" w:rsidRPr="00C53EA3" w:rsidRDefault="00C53EA3">
            <w:pPr>
              <w:jc w:val="both"/>
              <w:rPr>
                <w:color w:val="000000"/>
                <w:sz w:val="20"/>
                <w:szCs w:val="20"/>
                <w:lang w:eastAsia="it-IT"/>
              </w:rPr>
            </w:pPr>
            <w:r w:rsidRPr="00C53EA3">
              <w:rPr>
                <w:color w:val="000000"/>
                <w:sz w:val="20"/>
                <w:szCs w:val="20"/>
                <w:lang w:eastAsia="it-IT"/>
              </w:rPr>
              <w:t>M</w:t>
            </w:r>
          </w:p>
        </w:tc>
        <w:tc>
          <w:tcPr>
            <w:tcW w:w="1229" w:type="dxa"/>
            <w:tcBorders>
              <w:top w:val="single" w:sz="4" w:space="0" w:color="auto"/>
              <w:left w:val="nil"/>
              <w:bottom w:val="single" w:sz="4" w:space="0" w:color="auto"/>
              <w:right w:val="nil"/>
            </w:tcBorders>
            <w:hideMark/>
          </w:tcPr>
          <w:p w14:paraId="3EFEA1C6" w14:textId="77777777" w:rsidR="00C53EA3" w:rsidRPr="00C53EA3" w:rsidRDefault="00C53EA3">
            <w:pPr>
              <w:jc w:val="both"/>
              <w:rPr>
                <w:color w:val="000000"/>
                <w:sz w:val="20"/>
                <w:szCs w:val="20"/>
                <w:lang w:eastAsia="it-IT"/>
              </w:rPr>
            </w:pPr>
            <w:r w:rsidRPr="00C53EA3">
              <w:rPr>
                <w:color w:val="000000"/>
                <w:sz w:val="20"/>
                <w:szCs w:val="20"/>
                <w:lang w:eastAsia="it-IT"/>
              </w:rPr>
              <w:t>SD</w:t>
            </w:r>
          </w:p>
        </w:tc>
        <w:tc>
          <w:tcPr>
            <w:tcW w:w="1228" w:type="dxa"/>
            <w:tcBorders>
              <w:top w:val="single" w:sz="4" w:space="0" w:color="auto"/>
              <w:left w:val="nil"/>
              <w:bottom w:val="single" w:sz="4" w:space="0" w:color="auto"/>
              <w:right w:val="nil"/>
            </w:tcBorders>
            <w:hideMark/>
          </w:tcPr>
          <w:p w14:paraId="4990EE3D" w14:textId="77777777" w:rsidR="00C53EA3" w:rsidRPr="00C53EA3" w:rsidRDefault="00C53EA3">
            <w:pPr>
              <w:jc w:val="both"/>
              <w:rPr>
                <w:sz w:val="20"/>
                <w:szCs w:val="20"/>
              </w:rPr>
            </w:pPr>
            <w:r w:rsidRPr="00C53EA3">
              <w:rPr>
                <w:color w:val="000000"/>
                <w:sz w:val="20"/>
                <w:szCs w:val="20"/>
                <w:lang w:eastAsia="it-IT"/>
              </w:rPr>
              <w:t>1</w:t>
            </w:r>
          </w:p>
        </w:tc>
        <w:tc>
          <w:tcPr>
            <w:tcW w:w="1229" w:type="dxa"/>
            <w:tcBorders>
              <w:top w:val="single" w:sz="4" w:space="0" w:color="auto"/>
              <w:left w:val="nil"/>
              <w:bottom w:val="single" w:sz="4" w:space="0" w:color="auto"/>
              <w:right w:val="nil"/>
            </w:tcBorders>
            <w:hideMark/>
          </w:tcPr>
          <w:p w14:paraId="581074AC" w14:textId="77777777" w:rsidR="00C53EA3" w:rsidRPr="00C53EA3" w:rsidRDefault="00C53EA3">
            <w:pPr>
              <w:jc w:val="both"/>
              <w:rPr>
                <w:sz w:val="20"/>
                <w:szCs w:val="20"/>
              </w:rPr>
            </w:pPr>
            <w:r w:rsidRPr="00C53EA3">
              <w:rPr>
                <w:color w:val="000000"/>
                <w:sz w:val="20"/>
                <w:szCs w:val="20"/>
                <w:lang w:val="en-US" w:eastAsia="it-IT"/>
              </w:rPr>
              <w:t>2</w:t>
            </w:r>
          </w:p>
        </w:tc>
        <w:tc>
          <w:tcPr>
            <w:tcW w:w="1228" w:type="dxa"/>
            <w:tcBorders>
              <w:top w:val="single" w:sz="4" w:space="0" w:color="auto"/>
              <w:left w:val="nil"/>
              <w:bottom w:val="single" w:sz="4" w:space="0" w:color="auto"/>
              <w:right w:val="nil"/>
            </w:tcBorders>
            <w:hideMark/>
          </w:tcPr>
          <w:p w14:paraId="0A58D483" w14:textId="77777777" w:rsidR="00C53EA3" w:rsidRPr="00C53EA3" w:rsidRDefault="00C53EA3">
            <w:pPr>
              <w:jc w:val="both"/>
              <w:rPr>
                <w:sz w:val="20"/>
                <w:szCs w:val="20"/>
              </w:rPr>
            </w:pPr>
            <w:r w:rsidRPr="00C53EA3">
              <w:rPr>
                <w:color w:val="000000"/>
                <w:sz w:val="20"/>
                <w:szCs w:val="20"/>
                <w:lang w:val="en-US" w:eastAsia="it-IT"/>
              </w:rPr>
              <w:t>3</w:t>
            </w:r>
          </w:p>
        </w:tc>
        <w:tc>
          <w:tcPr>
            <w:tcW w:w="1229" w:type="dxa"/>
            <w:tcBorders>
              <w:top w:val="single" w:sz="4" w:space="0" w:color="auto"/>
              <w:left w:val="nil"/>
              <w:bottom w:val="single" w:sz="4" w:space="0" w:color="auto"/>
              <w:right w:val="nil"/>
            </w:tcBorders>
            <w:hideMark/>
          </w:tcPr>
          <w:p w14:paraId="0CDD59E5" w14:textId="77777777" w:rsidR="00C53EA3" w:rsidRPr="00C53EA3" w:rsidRDefault="00C53EA3">
            <w:pPr>
              <w:jc w:val="both"/>
              <w:rPr>
                <w:sz w:val="20"/>
                <w:szCs w:val="20"/>
              </w:rPr>
            </w:pPr>
            <w:r w:rsidRPr="00C53EA3">
              <w:rPr>
                <w:color w:val="000000"/>
                <w:sz w:val="20"/>
                <w:szCs w:val="20"/>
                <w:lang w:val="en-US" w:eastAsia="it-IT"/>
              </w:rPr>
              <w:t>4</w:t>
            </w:r>
          </w:p>
        </w:tc>
      </w:tr>
      <w:tr w:rsidR="00C53EA3" w:rsidRPr="00C53EA3" w14:paraId="5701B334" w14:textId="77777777" w:rsidTr="00C53EA3">
        <w:tc>
          <w:tcPr>
            <w:tcW w:w="2943" w:type="dxa"/>
            <w:tcBorders>
              <w:top w:val="single" w:sz="4" w:space="0" w:color="auto"/>
              <w:left w:val="nil"/>
              <w:bottom w:val="nil"/>
              <w:right w:val="nil"/>
            </w:tcBorders>
            <w:hideMark/>
          </w:tcPr>
          <w:p w14:paraId="60169504" w14:textId="77777777" w:rsidR="00C53EA3" w:rsidRPr="00C53EA3" w:rsidRDefault="00C53EA3">
            <w:pPr>
              <w:rPr>
                <w:sz w:val="20"/>
                <w:szCs w:val="20"/>
                <w:lang w:val="en-US"/>
              </w:rPr>
            </w:pPr>
            <w:r w:rsidRPr="00C53EA3">
              <w:rPr>
                <w:sz w:val="20"/>
                <w:szCs w:val="20"/>
                <w:lang w:val="en-US"/>
              </w:rPr>
              <w:t>1. Weekly Online Gaming Hours</w:t>
            </w:r>
          </w:p>
        </w:tc>
        <w:tc>
          <w:tcPr>
            <w:tcW w:w="1228" w:type="dxa"/>
            <w:tcBorders>
              <w:top w:val="single" w:sz="4" w:space="0" w:color="auto"/>
              <w:left w:val="nil"/>
              <w:bottom w:val="nil"/>
              <w:right w:val="nil"/>
            </w:tcBorders>
            <w:hideMark/>
          </w:tcPr>
          <w:p w14:paraId="5D5FB329" w14:textId="77777777" w:rsidR="00C53EA3" w:rsidRPr="00C53EA3" w:rsidRDefault="00C53EA3">
            <w:pPr>
              <w:rPr>
                <w:sz w:val="20"/>
                <w:szCs w:val="20"/>
                <w:lang w:val="en-US"/>
              </w:rPr>
            </w:pPr>
            <w:r w:rsidRPr="00C53EA3">
              <w:rPr>
                <w:sz w:val="20"/>
                <w:szCs w:val="20"/>
                <w:lang w:val="en-US"/>
              </w:rPr>
              <w:t>18.50</w:t>
            </w:r>
          </w:p>
        </w:tc>
        <w:tc>
          <w:tcPr>
            <w:tcW w:w="1229" w:type="dxa"/>
            <w:tcBorders>
              <w:top w:val="single" w:sz="4" w:space="0" w:color="auto"/>
              <w:left w:val="nil"/>
              <w:bottom w:val="nil"/>
              <w:right w:val="nil"/>
            </w:tcBorders>
            <w:hideMark/>
          </w:tcPr>
          <w:p w14:paraId="3B691DA3" w14:textId="77777777" w:rsidR="00C53EA3" w:rsidRPr="00C53EA3" w:rsidRDefault="00C53EA3">
            <w:pPr>
              <w:rPr>
                <w:sz w:val="20"/>
                <w:szCs w:val="20"/>
                <w:lang w:val="en-US"/>
              </w:rPr>
            </w:pPr>
            <w:r w:rsidRPr="00C53EA3">
              <w:rPr>
                <w:sz w:val="20"/>
                <w:szCs w:val="20"/>
                <w:lang w:val="en-US"/>
              </w:rPr>
              <w:t>19.52</w:t>
            </w:r>
          </w:p>
        </w:tc>
        <w:tc>
          <w:tcPr>
            <w:tcW w:w="1228" w:type="dxa"/>
            <w:tcBorders>
              <w:top w:val="single" w:sz="4" w:space="0" w:color="auto"/>
              <w:left w:val="nil"/>
              <w:bottom w:val="nil"/>
              <w:right w:val="nil"/>
            </w:tcBorders>
            <w:hideMark/>
          </w:tcPr>
          <w:p w14:paraId="4AA2C5B7" w14:textId="77777777" w:rsidR="00C53EA3" w:rsidRPr="00C53EA3" w:rsidRDefault="00C53EA3">
            <w:pPr>
              <w:rPr>
                <w:sz w:val="20"/>
                <w:szCs w:val="20"/>
                <w:lang w:val="en-US"/>
              </w:rPr>
            </w:pPr>
            <w:r w:rsidRPr="00C53EA3">
              <w:rPr>
                <w:sz w:val="20"/>
                <w:szCs w:val="20"/>
                <w:lang w:val="en-US"/>
              </w:rPr>
              <w:t>1</w:t>
            </w:r>
          </w:p>
        </w:tc>
        <w:tc>
          <w:tcPr>
            <w:tcW w:w="1229" w:type="dxa"/>
            <w:tcBorders>
              <w:top w:val="single" w:sz="4" w:space="0" w:color="auto"/>
              <w:left w:val="nil"/>
              <w:bottom w:val="nil"/>
              <w:right w:val="nil"/>
            </w:tcBorders>
          </w:tcPr>
          <w:p w14:paraId="6187CC9A" w14:textId="77777777" w:rsidR="00C53EA3" w:rsidRPr="00C53EA3" w:rsidRDefault="00C53EA3">
            <w:pPr>
              <w:jc w:val="both"/>
              <w:rPr>
                <w:sz w:val="20"/>
                <w:szCs w:val="20"/>
                <w:lang w:val="en-US"/>
              </w:rPr>
            </w:pPr>
          </w:p>
        </w:tc>
        <w:tc>
          <w:tcPr>
            <w:tcW w:w="1228" w:type="dxa"/>
            <w:tcBorders>
              <w:top w:val="single" w:sz="4" w:space="0" w:color="auto"/>
              <w:left w:val="nil"/>
              <w:bottom w:val="nil"/>
              <w:right w:val="nil"/>
            </w:tcBorders>
          </w:tcPr>
          <w:p w14:paraId="31C128F5" w14:textId="77777777" w:rsidR="00C53EA3" w:rsidRPr="00C53EA3" w:rsidRDefault="00C53EA3">
            <w:pPr>
              <w:jc w:val="both"/>
              <w:rPr>
                <w:sz w:val="20"/>
                <w:szCs w:val="20"/>
                <w:lang w:val="en-US"/>
              </w:rPr>
            </w:pPr>
          </w:p>
        </w:tc>
        <w:tc>
          <w:tcPr>
            <w:tcW w:w="1229" w:type="dxa"/>
            <w:tcBorders>
              <w:top w:val="single" w:sz="4" w:space="0" w:color="auto"/>
              <w:left w:val="nil"/>
              <w:bottom w:val="nil"/>
              <w:right w:val="nil"/>
            </w:tcBorders>
          </w:tcPr>
          <w:p w14:paraId="5A4CFFE4" w14:textId="77777777" w:rsidR="00C53EA3" w:rsidRPr="00C53EA3" w:rsidRDefault="00C53EA3">
            <w:pPr>
              <w:jc w:val="both"/>
              <w:rPr>
                <w:sz w:val="20"/>
                <w:szCs w:val="20"/>
                <w:lang w:val="en-US"/>
              </w:rPr>
            </w:pPr>
          </w:p>
        </w:tc>
      </w:tr>
      <w:tr w:rsidR="00C53EA3" w:rsidRPr="00C53EA3" w14:paraId="7B48FED0" w14:textId="77777777" w:rsidTr="00C53EA3">
        <w:tc>
          <w:tcPr>
            <w:tcW w:w="2943" w:type="dxa"/>
            <w:tcBorders>
              <w:top w:val="nil"/>
              <w:left w:val="nil"/>
              <w:bottom w:val="nil"/>
              <w:right w:val="nil"/>
            </w:tcBorders>
            <w:hideMark/>
          </w:tcPr>
          <w:p w14:paraId="7744C8E0" w14:textId="77777777" w:rsidR="00C53EA3" w:rsidRPr="00C53EA3" w:rsidRDefault="00C53EA3">
            <w:pPr>
              <w:rPr>
                <w:sz w:val="20"/>
                <w:szCs w:val="20"/>
                <w:lang w:val="en-US"/>
              </w:rPr>
            </w:pPr>
            <w:r w:rsidRPr="00C53EA3">
              <w:rPr>
                <w:color w:val="000000"/>
                <w:sz w:val="20"/>
                <w:szCs w:val="20"/>
                <w:lang w:val="en-US" w:eastAsia="it-IT"/>
              </w:rPr>
              <w:t>2. Problematic Internet Use</w:t>
            </w:r>
          </w:p>
        </w:tc>
        <w:tc>
          <w:tcPr>
            <w:tcW w:w="1228" w:type="dxa"/>
            <w:tcBorders>
              <w:top w:val="nil"/>
              <w:left w:val="nil"/>
              <w:bottom w:val="nil"/>
              <w:right w:val="nil"/>
            </w:tcBorders>
            <w:hideMark/>
          </w:tcPr>
          <w:p w14:paraId="24DB244D" w14:textId="77777777" w:rsidR="00C53EA3" w:rsidRPr="00C53EA3" w:rsidRDefault="00C53EA3">
            <w:pPr>
              <w:rPr>
                <w:sz w:val="20"/>
                <w:szCs w:val="20"/>
                <w:lang w:val="en-US"/>
              </w:rPr>
            </w:pPr>
            <w:r w:rsidRPr="00C53EA3">
              <w:rPr>
                <w:sz w:val="20"/>
                <w:szCs w:val="20"/>
                <w:lang w:val="en-US"/>
              </w:rPr>
              <w:t>42.58</w:t>
            </w:r>
          </w:p>
        </w:tc>
        <w:tc>
          <w:tcPr>
            <w:tcW w:w="1229" w:type="dxa"/>
            <w:tcBorders>
              <w:top w:val="nil"/>
              <w:left w:val="nil"/>
              <w:bottom w:val="nil"/>
              <w:right w:val="nil"/>
            </w:tcBorders>
            <w:hideMark/>
          </w:tcPr>
          <w:p w14:paraId="060C593F" w14:textId="77777777" w:rsidR="00C53EA3" w:rsidRPr="00C53EA3" w:rsidRDefault="00C53EA3">
            <w:pPr>
              <w:rPr>
                <w:sz w:val="20"/>
                <w:szCs w:val="20"/>
                <w:lang w:val="en-US"/>
              </w:rPr>
            </w:pPr>
            <w:r w:rsidRPr="00C53EA3">
              <w:rPr>
                <w:sz w:val="20"/>
                <w:szCs w:val="20"/>
                <w:lang w:val="en-US"/>
              </w:rPr>
              <w:t>9.52</w:t>
            </w:r>
          </w:p>
        </w:tc>
        <w:tc>
          <w:tcPr>
            <w:tcW w:w="1228" w:type="dxa"/>
            <w:tcBorders>
              <w:top w:val="nil"/>
              <w:left w:val="nil"/>
              <w:bottom w:val="nil"/>
              <w:right w:val="nil"/>
            </w:tcBorders>
            <w:hideMark/>
          </w:tcPr>
          <w:p w14:paraId="22C86D00" w14:textId="77777777" w:rsidR="00C53EA3" w:rsidRPr="00C53EA3" w:rsidRDefault="00C53EA3">
            <w:pPr>
              <w:rPr>
                <w:sz w:val="20"/>
                <w:szCs w:val="20"/>
                <w:lang w:val="en-US"/>
              </w:rPr>
            </w:pPr>
            <w:r w:rsidRPr="00C53EA3">
              <w:rPr>
                <w:sz w:val="20"/>
                <w:szCs w:val="20"/>
                <w:lang w:val="en-US"/>
              </w:rPr>
              <w:t>.39**</w:t>
            </w:r>
          </w:p>
        </w:tc>
        <w:tc>
          <w:tcPr>
            <w:tcW w:w="1229" w:type="dxa"/>
            <w:tcBorders>
              <w:top w:val="nil"/>
              <w:left w:val="nil"/>
              <w:bottom w:val="nil"/>
              <w:right w:val="nil"/>
            </w:tcBorders>
            <w:hideMark/>
          </w:tcPr>
          <w:p w14:paraId="7E0A6BCB" w14:textId="77777777" w:rsidR="00C53EA3" w:rsidRPr="00C53EA3" w:rsidRDefault="00C53EA3">
            <w:pPr>
              <w:jc w:val="both"/>
              <w:rPr>
                <w:sz w:val="20"/>
                <w:szCs w:val="20"/>
                <w:lang w:val="en-US"/>
              </w:rPr>
            </w:pPr>
            <w:r w:rsidRPr="00C53EA3">
              <w:rPr>
                <w:sz w:val="20"/>
                <w:szCs w:val="20"/>
                <w:lang w:val="en-US"/>
              </w:rPr>
              <w:t>1</w:t>
            </w:r>
          </w:p>
        </w:tc>
        <w:tc>
          <w:tcPr>
            <w:tcW w:w="1228" w:type="dxa"/>
            <w:tcBorders>
              <w:top w:val="nil"/>
              <w:left w:val="nil"/>
              <w:bottom w:val="nil"/>
              <w:right w:val="nil"/>
            </w:tcBorders>
          </w:tcPr>
          <w:p w14:paraId="70D63FEE" w14:textId="77777777" w:rsidR="00C53EA3" w:rsidRPr="00C53EA3" w:rsidRDefault="00C53EA3">
            <w:pPr>
              <w:jc w:val="both"/>
              <w:rPr>
                <w:sz w:val="20"/>
                <w:szCs w:val="20"/>
                <w:lang w:val="en-US"/>
              </w:rPr>
            </w:pPr>
          </w:p>
        </w:tc>
        <w:tc>
          <w:tcPr>
            <w:tcW w:w="1229" w:type="dxa"/>
            <w:tcBorders>
              <w:top w:val="nil"/>
              <w:left w:val="nil"/>
              <w:bottom w:val="nil"/>
              <w:right w:val="nil"/>
            </w:tcBorders>
          </w:tcPr>
          <w:p w14:paraId="665F90F5" w14:textId="77777777" w:rsidR="00C53EA3" w:rsidRPr="00C53EA3" w:rsidRDefault="00C53EA3">
            <w:pPr>
              <w:jc w:val="both"/>
              <w:rPr>
                <w:sz w:val="20"/>
                <w:szCs w:val="20"/>
                <w:lang w:val="en-US"/>
              </w:rPr>
            </w:pPr>
          </w:p>
        </w:tc>
      </w:tr>
      <w:tr w:rsidR="00C53EA3" w:rsidRPr="00C53EA3" w14:paraId="4EFEFBB5" w14:textId="77777777" w:rsidTr="00C53EA3">
        <w:tc>
          <w:tcPr>
            <w:tcW w:w="2943" w:type="dxa"/>
            <w:tcBorders>
              <w:top w:val="nil"/>
              <w:left w:val="nil"/>
              <w:bottom w:val="nil"/>
              <w:right w:val="nil"/>
            </w:tcBorders>
            <w:hideMark/>
          </w:tcPr>
          <w:p w14:paraId="3A645C69" w14:textId="77777777" w:rsidR="00C53EA3" w:rsidRPr="00C53EA3" w:rsidRDefault="00C53EA3">
            <w:pPr>
              <w:rPr>
                <w:sz w:val="20"/>
                <w:szCs w:val="20"/>
                <w:lang w:val="en-US"/>
              </w:rPr>
            </w:pPr>
            <w:r w:rsidRPr="00C53EA3">
              <w:rPr>
                <w:color w:val="000000"/>
                <w:sz w:val="20"/>
                <w:szCs w:val="20"/>
                <w:lang w:val="en-US" w:eastAsia="it-IT"/>
              </w:rPr>
              <w:t>3. Positive Metacognitions</w:t>
            </w:r>
          </w:p>
        </w:tc>
        <w:tc>
          <w:tcPr>
            <w:tcW w:w="1228" w:type="dxa"/>
            <w:tcBorders>
              <w:top w:val="nil"/>
              <w:left w:val="nil"/>
              <w:bottom w:val="nil"/>
              <w:right w:val="nil"/>
            </w:tcBorders>
            <w:hideMark/>
          </w:tcPr>
          <w:p w14:paraId="373A02E2" w14:textId="77777777" w:rsidR="00C53EA3" w:rsidRPr="00C53EA3" w:rsidRDefault="00C53EA3">
            <w:pPr>
              <w:rPr>
                <w:sz w:val="20"/>
                <w:szCs w:val="20"/>
                <w:lang w:val="en-US"/>
              </w:rPr>
            </w:pPr>
            <w:r w:rsidRPr="00C53EA3">
              <w:rPr>
                <w:sz w:val="20"/>
                <w:szCs w:val="20"/>
                <w:lang w:val="en-US"/>
              </w:rPr>
              <w:t>11.41</w:t>
            </w:r>
          </w:p>
        </w:tc>
        <w:tc>
          <w:tcPr>
            <w:tcW w:w="1229" w:type="dxa"/>
            <w:tcBorders>
              <w:top w:val="nil"/>
              <w:left w:val="nil"/>
              <w:bottom w:val="nil"/>
              <w:right w:val="nil"/>
            </w:tcBorders>
            <w:hideMark/>
          </w:tcPr>
          <w:p w14:paraId="478D70AB" w14:textId="77777777" w:rsidR="00C53EA3" w:rsidRPr="00C53EA3" w:rsidRDefault="00C53EA3">
            <w:pPr>
              <w:rPr>
                <w:sz w:val="20"/>
                <w:szCs w:val="20"/>
                <w:lang w:val="en-US"/>
              </w:rPr>
            </w:pPr>
            <w:r w:rsidRPr="00C53EA3">
              <w:rPr>
                <w:sz w:val="20"/>
                <w:szCs w:val="20"/>
                <w:lang w:val="en-US"/>
              </w:rPr>
              <w:t>4.02</w:t>
            </w:r>
          </w:p>
        </w:tc>
        <w:tc>
          <w:tcPr>
            <w:tcW w:w="1228" w:type="dxa"/>
            <w:tcBorders>
              <w:top w:val="nil"/>
              <w:left w:val="nil"/>
              <w:bottom w:val="nil"/>
              <w:right w:val="nil"/>
            </w:tcBorders>
            <w:hideMark/>
          </w:tcPr>
          <w:p w14:paraId="18281E6D" w14:textId="77777777" w:rsidR="00C53EA3" w:rsidRPr="00C53EA3" w:rsidRDefault="00C53EA3">
            <w:pPr>
              <w:rPr>
                <w:sz w:val="20"/>
                <w:szCs w:val="20"/>
                <w:lang w:val="en-US"/>
              </w:rPr>
            </w:pPr>
            <w:r w:rsidRPr="00C53EA3">
              <w:rPr>
                <w:sz w:val="20"/>
                <w:szCs w:val="20"/>
                <w:lang w:val="en-US"/>
              </w:rPr>
              <w:t>.24**</w:t>
            </w:r>
          </w:p>
        </w:tc>
        <w:tc>
          <w:tcPr>
            <w:tcW w:w="1229" w:type="dxa"/>
            <w:tcBorders>
              <w:top w:val="nil"/>
              <w:left w:val="nil"/>
              <w:bottom w:val="nil"/>
              <w:right w:val="nil"/>
            </w:tcBorders>
            <w:hideMark/>
          </w:tcPr>
          <w:p w14:paraId="5623E7F4" w14:textId="77777777" w:rsidR="00C53EA3" w:rsidRPr="00C53EA3" w:rsidRDefault="00C53EA3">
            <w:pPr>
              <w:jc w:val="both"/>
              <w:rPr>
                <w:sz w:val="20"/>
                <w:szCs w:val="20"/>
                <w:lang w:val="en-US"/>
              </w:rPr>
            </w:pPr>
            <w:r w:rsidRPr="00C53EA3">
              <w:rPr>
                <w:sz w:val="20"/>
                <w:szCs w:val="20"/>
                <w:lang w:val="en-US"/>
              </w:rPr>
              <w:t>.48**</w:t>
            </w:r>
          </w:p>
        </w:tc>
        <w:tc>
          <w:tcPr>
            <w:tcW w:w="1228" w:type="dxa"/>
            <w:tcBorders>
              <w:top w:val="nil"/>
              <w:left w:val="nil"/>
              <w:bottom w:val="nil"/>
              <w:right w:val="nil"/>
            </w:tcBorders>
            <w:hideMark/>
          </w:tcPr>
          <w:p w14:paraId="3A8669DC" w14:textId="77777777" w:rsidR="00C53EA3" w:rsidRPr="00C53EA3" w:rsidRDefault="00C53EA3">
            <w:pPr>
              <w:jc w:val="both"/>
              <w:rPr>
                <w:sz w:val="20"/>
                <w:szCs w:val="20"/>
              </w:rPr>
            </w:pPr>
            <w:r w:rsidRPr="00C53EA3">
              <w:rPr>
                <w:sz w:val="20"/>
                <w:szCs w:val="20"/>
              </w:rPr>
              <w:t>1</w:t>
            </w:r>
          </w:p>
        </w:tc>
        <w:tc>
          <w:tcPr>
            <w:tcW w:w="1229" w:type="dxa"/>
            <w:tcBorders>
              <w:top w:val="nil"/>
              <w:left w:val="nil"/>
              <w:bottom w:val="nil"/>
              <w:right w:val="nil"/>
            </w:tcBorders>
          </w:tcPr>
          <w:p w14:paraId="5197FE2E" w14:textId="77777777" w:rsidR="00C53EA3" w:rsidRPr="00C53EA3" w:rsidRDefault="00C53EA3">
            <w:pPr>
              <w:jc w:val="both"/>
              <w:rPr>
                <w:sz w:val="20"/>
                <w:szCs w:val="20"/>
              </w:rPr>
            </w:pPr>
          </w:p>
        </w:tc>
      </w:tr>
      <w:tr w:rsidR="00C53EA3" w:rsidRPr="00C53EA3" w14:paraId="4604ABF9" w14:textId="77777777" w:rsidTr="00C53EA3">
        <w:tc>
          <w:tcPr>
            <w:tcW w:w="2943" w:type="dxa"/>
            <w:tcBorders>
              <w:top w:val="nil"/>
              <w:left w:val="nil"/>
              <w:bottom w:val="nil"/>
              <w:right w:val="nil"/>
            </w:tcBorders>
            <w:hideMark/>
          </w:tcPr>
          <w:p w14:paraId="270B3628" w14:textId="77777777" w:rsidR="00C53EA3" w:rsidRPr="00C53EA3" w:rsidRDefault="00C53EA3">
            <w:pPr>
              <w:rPr>
                <w:sz w:val="20"/>
                <w:szCs w:val="20"/>
                <w:lang w:val="en-US"/>
              </w:rPr>
            </w:pPr>
            <w:r w:rsidRPr="00C53EA3">
              <w:rPr>
                <w:color w:val="000000"/>
                <w:sz w:val="20"/>
                <w:szCs w:val="20"/>
                <w:lang w:val="en-US" w:eastAsia="it-IT"/>
              </w:rPr>
              <w:t>4. Negative Metacognitions</w:t>
            </w:r>
          </w:p>
        </w:tc>
        <w:tc>
          <w:tcPr>
            <w:tcW w:w="1228" w:type="dxa"/>
            <w:tcBorders>
              <w:top w:val="nil"/>
              <w:left w:val="nil"/>
              <w:bottom w:val="nil"/>
              <w:right w:val="nil"/>
            </w:tcBorders>
            <w:hideMark/>
          </w:tcPr>
          <w:p w14:paraId="7429697B" w14:textId="77777777" w:rsidR="00C53EA3" w:rsidRPr="00C53EA3" w:rsidRDefault="00C53EA3">
            <w:pPr>
              <w:rPr>
                <w:sz w:val="20"/>
                <w:szCs w:val="20"/>
                <w:lang w:val="en-US"/>
              </w:rPr>
            </w:pPr>
            <w:r w:rsidRPr="00C53EA3">
              <w:rPr>
                <w:sz w:val="20"/>
                <w:szCs w:val="20"/>
                <w:lang w:val="en-US"/>
              </w:rPr>
              <w:t>7.85</w:t>
            </w:r>
          </w:p>
        </w:tc>
        <w:tc>
          <w:tcPr>
            <w:tcW w:w="1229" w:type="dxa"/>
            <w:tcBorders>
              <w:top w:val="nil"/>
              <w:left w:val="nil"/>
              <w:bottom w:val="nil"/>
              <w:right w:val="nil"/>
            </w:tcBorders>
            <w:hideMark/>
          </w:tcPr>
          <w:p w14:paraId="73C0826D" w14:textId="77777777" w:rsidR="00C53EA3" w:rsidRPr="00C53EA3" w:rsidRDefault="00C53EA3">
            <w:pPr>
              <w:rPr>
                <w:sz w:val="20"/>
                <w:szCs w:val="20"/>
                <w:lang w:val="en-US"/>
              </w:rPr>
            </w:pPr>
            <w:r w:rsidRPr="00C53EA3">
              <w:rPr>
                <w:sz w:val="20"/>
                <w:szCs w:val="20"/>
                <w:lang w:val="en-US"/>
              </w:rPr>
              <w:t>3.08</w:t>
            </w:r>
          </w:p>
        </w:tc>
        <w:tc>
          <w:tcPr>
            <w:tcW w:w="1228" w:type="dxa"/>
            <w:tcBorders>
              <w:top w:val="nil"/>
              <w:left w:val="nil"/>
              <w:bottom w:val="nil"/>
              <w:right w:val="nil"/>
            </w:tcBorders>
            <w:hideMark/>
          </w:tcPr>
          <w:p w14:paraId="3B587B6C" w14:textId="77777777" w:rsidR="00C53EA3" w:rsidRPr="00C53EA3" w:rsidRDefault="00C53EA3">
            <w:pPr>
              <w:rPr>
                <w:sz w:val="20"/>
                <w:szCs w:val="20"/>
                <w:lang w:val="en-US"/>
              </w:rPr>
            </w:pPr>
            <w:r w:rsidRPr="00C53EA3">
              <w:rPr>
                <w:sz w:val="20"/>
                <w:szCs w:val="20"/>
                <w:lang w:val="en-US"/>
              </w:rPr>
              <w:t>.36**</w:t>
            </w:r>
          </w:p>
        </w:tc>
        <w:tc>
          <w:tcPr>
            <w:tcW w:w="1229" w:type="dxa"/>
            <w:tcBorders>
              <w:top w:val="nil"/>
              <w:left w:val="nil"/>
              <w:bottom w:val="nil"/>
              <w:right w:val="nil"/>
            </w:tcBorders>
            <w:hideMark/>
          </w:tcPr>
          <w:p w14:paraId="4C83A065" w14:textId="77777777" w:rsidR="00C53EA3" w:rsidRPr="00C53EA3" w:rsidRDefault="00C53EA3">
            <w:pPr>
              <w:jc w:val="both"/>
              <w:rPr>
                <w:sz w:val="20"/>
                <w:szCs w:val="20"/>
                <w:lang w:val="en-US"/>
              </w:rPr>
            </w:pPr>
            <w:r w:rsidRPr="00C53EA3">
              <w:rPr>
                <w:sz w:val="20"/>
                <w:szCs w:val="20"/>
                <w:lang w:val="en-US"/>
              </w:rPr>
              <w:t>.59**</w:t>
            </w:r>
          </w:p>
        </w:tc>
        <w:tc>
          <w:tcPr>
            <w:tcW w:w="1228" w:type="dxa"/>
            <w:tcBorders>
              <w:top w:val="nil"/>
              <w:left w:val="nil"/>
              <w:bottom w:val="nil"/>
              <w:right w:val="nil"/>
            </w:tcBorders>
            <w:hideMark/>
          </w:tcPr>
          <w:p w14:paraId="70AD2B70" w14:textId="77777777" w:rsidR="00C53EA3" w:rsidRPr="00C53EA3" w:rsidRDefault="00C53EA3">
            <w:pPr>
              <w:jc w:val="both"/>
              <w:rPr>
                <w:sz w:val="20"/>
                <w:szCs w:val="20"/>
                <w:lang w:val="en-US"/>
              </w:rPr>
            </w:pPr>
            <w:r w:rsidRPr="00C53EA3">
              <w:rPr>
                <w:sz w:val="20"/>
                <w:szCs w:val="20"/>
                <w:lang w:val="en-US"/>
              </w:rPr>
              <w:t>.25**</w:t>
            </w:r>
          </w:p>
        </w:tc>
        <w:tc>
          <w:tcPr>
            <w:tcW w:w="1229" w:type="dxa"/>
            <w:tcBorders>
              <w:top w:val="nil"/>
              <w:left w:val="nil"/>
              <w:bottom w:val="nil"/>
              <w:right w:val="nil"/>
            </w:tcBorders>
            <w:hideMark/>
          </w:tcPr>
          <w:p w14:paraId="3E686558" w14:textId="77777777" w:rsidR="00C53EA3" w:rsidRPr="00C53EA3" w:rsidRDefault="00C53EA3">
            <w:pPr>
              <w:jc w:val="both"/>
              <w:rPr>
                <w:sz w:val="20"/>
                <w:szCs w:val="20"/>
                <w:lang w:val="en-US"/>
              </w:rPr>
            </w:pPr>
            <w:r w:rsidRPr="00C53EA3">
              <w:rPr>
                <w:sz w:val="20"/>
                <w:szCs w:val="20"/>
                <w:lang w:val="en-US"/>
              </w:rPr>
              <w:t>1</w:t>
            </w:r>
          </w:p>
        </w:tc>
      </w:tr>
      <w:tr w:rsidR="00C53EA3" w:rsidRPr="00C53EA3" w14:paraId="2D01DB61" w14:textId="77777777" w:rsidTr="00C53EA3">
        <w:tc>
          <w:tcPr>
            <w:tcW w:w="2943" w:type="dxa"/>
            <w:tcBorders>
              <w:top w:val="nil"/>
              <w:left w:val="nil"/>
              <w:bottom w:val="single" w:sz="4" w:space="0" w:color="auto"/>
              <w:right w:val="nil"/>
            </w:tcBorders>
            <w:hideMark/>
          </w:tcPr>
          <w:p w14:paraId="3C46427A" w14:textId="77777777" w:rsidR="00C53EA3" w:rsidRPr="00C53EA3" w:rsidRDefault="00C53EA3">
            <w:pPr>
              <w:rPr>
                <w:sz w:val="20"/>
                <w:szCs w:val="20"/>
                <w:lang w:val="en-US"/>
              </w:rPr>
            </w:pPr>
            <w:r w:rsidRPr="00C53EA3">
              <w:rPr>
                <w:color w:val="000000"/>
                <w:sz w:val="20"/>
                <w:szCs w:val="20"/>
                <w:lang w:val="en-US" w:eastAsia="it-IT"/>
              </w:rPr>
              <w:t>5. Negative Affect</w:t>
            </w:r>
          </w:p>
        </w:tc>
        <w:tc>
          <w:tcPr>
            <w:tcW w:w="1228" w:type="dxa"/>
            <w:tcBorders>
              <w:top w:val="nil"/>
              <w:left w:val="nil"/>
              <w:bottom w:val="single" w:sz="4" w:space="0" w:color="auto"/>
              <w:right w:val="nil"/>
            </w:tcBorders>
            <w:hideMark/>
          </w:tcPr>
          <w:p w14:paraId="6E71260C" w14:textId="77777777" w:rsidR="00C53EA3" w:rsidRPr="00C53EA3" w:rsidRDefault="00C53EA3">
            <w:pPr>
              <w:rPr>
                <w:sz w:val="20"/>
                <w:szCs w:val="20"/>
                <w:lang w:val="en-US"/>
              </w:rPr>
            </w:pPr>
            <w:r w:rsidRPr="00C53EA3">
              <w:rPr>
                <w:sz w:val="20"/>
                <w:szCs w:val="20"/>
                <w:lang w:val="en-US"/>
              </w:rPr>
              <w:t>22.68</w:t>
            </w:r>
          </w:p>
        </w:tc>
        <w:tc>
          <w:tcPr>
            <w:tcW w:w="1229" w:type="dxa"/>
            <w:tcBorders>
              <w:top w:val="nil"/>
              <w:left w:val="nil"/>
              <w:bottom w:val="single" w:sz="4" w:space="0" w:color="auto"/>
              <w:right w:val="nil"/>
            </w:tcBorders>
            <w:hideMark/>
          </w:tcPr>
          <w:p w14:paraId="05CD9180" w14:textId="77777777" w:rsidR="00C53EA3" w:rsidRPr="00C53EA3" w:rsidRDefault="00C53EA3">
            <w:pPr>
              <w:rPr>
                <w:sz w:val="20"/>
                <w:szCs w:val="20"/>
                <w:lang w:val="en-US"/>
              </w:rPr>
            </w:pPr>
            <w:r w:rsidRPr="00C53EA3">
              <w:rPr>
                <w:sz w:val="20"/>
                <w:szCs w:val="20"/>
                <w:lang w:val="en-US"/>
              </w:rPr>
              <w:t>2.48</w:t>
            </w:r>
          </w:p>
        </w:tc>
        <w:tc>
          <w:tcPr>
            <w:tcW w:w="1228" w:type="dxa"/>
            <w:tcBorders>
              <w:top w:val="nil"/>
              <w:left w:val="nil"/>
              <w:bottom w:val="single" w:sz="4" w:space="0" w:color="auto"/>
              <w:right w:val="nil"/>
            </w:tcBorders>
            <w:hideMark/>
          </w:tcPr>
          <w:p w14:paraId="3A5387C9" w14:textId="77777777" w:rsidR="00C53EA3" w:rsidRPr="00C53EA3" w:rsidRDefault="00C53EA3">
            <w:pPr>
              <w:rPr>
                <w:sz w:val="20"/>
                <w:szCs w:val="20"/>
                <w:lang w:val="en-US"/>
              </w:rPr>
            </w:pPr>
            <w:r w:rsidRPr="00C53EA3">
              <w:rPr>
                <w:sz w:val="20"/>
                <w:szCs w:val="20"/>
                <w:lang w:val="en-US"/>
              </w:rPr>
              <w:t>.26**</w:t>
            </w:r>
          </w:p>
        </w:tc>
        <w:tc>
          <w:tcPr>
            <w:tcW w:w="1229" w:type="dxa"/>
            <w:tcBorders>
              <w:top w:val="nil"/>
              <w:left w:val="nil"/>
              <w:bottom w:val="single" w:sz="4" w:space="0" w:color="auto"/>
              <w:right w:val="nil"/>
            </w:tcBorders>
            <w:hideMark/>
          </w:tcPr>
          <w:p w14:paraId="318CEAE9" w14:textId="77777777" w:rsidR="00C53EA3" w:rsidRPr="00C53EA3" w:rsidRDefault="00C53EA3">
            <w:pPr>
              <w:jc w:val="both"/>
              <w:rPr>
                <w:sz w:val="20"/>
                <w:szCs w:val="20"/>
                <w:lang w:val="en-US"/>
              </w:rPr>
            </w:pPr>
            <w:r w:rsidRPr="00C53EA3">
              <w:rPr>
                <w:sz w:val="20"/>
                <w:szCs w:val="20"/>
                <w:lang w:val="en-US"/>
              </w:rPr>
              <w:t>.56**</w:t>
            </w:r>
          </w:p>
        </w:tc>
        <w:tc>
          <w:tcPr>
            <w:tcW w:w="1228" w:type="dxa"/>
            <w:tcBorders>
              <w:top w:val="nil"/>
              <w:left w:val="nil"/>
              <w:bottom w:val="single" w:sz="4" w:space="0" w:color="auto"/>
              <w:right w:val="nil"/>
            </w:tcBorders>
            <w:hideMark/>
          </w:tcPr>
          <w:p w14:paraId="061CABAA" w14:textId="77777777" w:rsidR="00C53EA3" w:rsidRPr="00C53EA3" w:rsidRDefault="00C53EA3">
            <w:pPr>
              <w:jc w:val="both"/>
              <w:rPr>
                <w:sz w:val="20"/>
                <w:szCs w:val="20"/>
                <w:lang w:val="en-US"/>
              </w:rPr>
            </w:pPr>
            <w:r w:rsidRPr="00C53EA3">
              <w:rPr>
                <w:sz w:val="20"/>
                <w:szCs w:val="20"/>
                <w:lang w:val="en-US"/>
              </w:rPr>
              <w:t>.45**</w:t>
            </w:r>
          </w:p>
        </w:tc>
        <w:tc>
          <w:tcPr>
            <w:tcW w:w="1229" w:type="dxa"/>
            <w:tcBorders>
              <w:top w:val="nil"/>
              <w:left w:val="nil"/>
              <w:bottom w:val="single" w:sz="4" w:space="0" w:color="auto"/>
              <w:right w:val="nil"/>
            </w:tcBorders>
            <w:hideMark/>
          </w:tcPr>
          <w:p w14:paraId="14F24305" w14:textId="77777777" w:rsidR="00C53EA3" w:rsidRPr="00C53EA3" w:rsidRDefault="00C53EA3">
            <w:pPr>
              <w:jc w:val="both"/>
              <w:rPr>
                <w:sz w:val="20"/>
                <w:szCs w:val="20"/>
                <w:lang w:val="en-US"/>
              </w:rPr>
            </w:pPr>
            <w:r w:rsidRPr="00C53EA3">
              <w:rPr>
                <w:sz w:val="20"/>
                <w:szCs w:val="20"/>
                <w:lang w:val="en-US"/>
              </w:rPr>
              <w:t>.49**</w:t>
            </w:r>
          </w:p>
        </w:tc>
      </w:tr>
    </w:tbl>
    <w:p w14:paraId="3B49D36F" w14:textId="77777777" w:rsidR="00C53EA3" w:rsidRDefault="00C53EA3" w:rsidP="00C53EA3">
      <w:pPr>
        <w:jc w:val="both"/>
        <w:rPr>
          <w:b/>
          <w:bCs/>
          <w:sz w:val="20"/>
          <w:szCs w:val="20"/>
          <w:lang w:val="en-US"/>
        </w:rPr>
      </w:pPr>
      <w:r w:rsidRPr="00C53EA3">
        <w:rPr>
          <w:rStyle w:val="Strong"/>
          <w:sz w:val="20"/>
          <w:szCs w:val="20"/>
          <w:lang w:val="en-US"/>
        </w:rPr>
        <w:t>Notes: **</w:t>
      </w:r>
      <w:r w:rsidRPr="00C53EA3">
        <w:rPr>
          <w:rStyle w:val="Strong"/>
          <w:i/>
          <w:sz w:val="20"/>
          <w:szCs w:val="20"/>
          <w:lang w:val="en-US"/>
        </w:rPr>
        <w:t>p</w:t>
      </w:r>
      <w:r w:rsidRPr="00C53EA3">
        <w:rPr>
          <w:rStyle w:val="Strong"/>
          <w:sz w:val="20"/>
          <w:szCs w:val="20"/>
          <w:lang w:val="en-US"/>
        </w:rPr>
        <w:t>&lt;0.01; N=326.</w:t>
      </w:r>
    </w:p>
    <w:p w14:paraId="1A410FD6" w14:textId="77777777" w:rsidR="00C53EA3" w:rsidRDefault="00C53EA3" w:rsidP="00C53EA3">
      <w:pPr>
        <w:tabs>
          <w:tab w:val="left" w:pos="900"/>
          <w:tab w:val="left" w:pos="1080"/>
        </w:tabs>
        <w:spacing w:line="480" w:lineRule="auto"/>
        <w:jc w:val="both"/>
      </w:pPr>
    </w:p>
    <w:p w14:paraId="0007BBCD" w14:textId="77777777" w:rsidR="00C53EA3" w:rsidRPr="005B2A88" w:rsidRDefault="00C53EA3" w:rsidP="00036874">
      <w:pPr>
        <w:pStyle w:val="Default"/>
        <w:jc w:val="both"/>
        <w:rPr>
          <w:rFonts w:ascii="Times New Roman" w:hAnsi="Times New Roman" w:cs="Times New Roman"/>
          <w:color w:val="auto"/>
          <w:sz w:val="22"/>
          <w:szCs w:val="22"/>
          <w:lang w:val="en-GB"/>
        </w:rPr>
      </w:pPr>
    </w:p>
    <w:sectPr w:rsidR="00C53EA3" w:rsidRPr="005B2A88" w:rsidSect="008C3BEF">
      <w:headerReference w:type="default" r:id="rId14"/>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3C352" w14:textId="77777777" w:rsidR="00172E35" w:rsidRDefault="00172E35" w:rsidP="008E4371">
      <w:r>
        <w:separator/>
      </w:r>
    </w:p>
  </w:endnote>
  <w:endnote w:type="continuationSeparator" w:id="0">
    <w:p w14:paraId="224E0653" w14:textId="77777777" w:rsidR="00172E35" w:rsidRDefault="00172E35" w:rsidP="008E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29081590"/>
      <w:docPartObj>
        <w:docPartGallery w:val="Page Numbers (Bottom of Page)"/>
        <w:docPartUnique/>
      </w:docPartObj>
    </w:sdtPr>
    <w:sdtEndPr>
      <w:rPr>
        <w:noProof/>
        <w:sz w:val="16"/>
        <w:szCs w:val="16"/>
      </w:rPr>
    </w:sdtEndPr>
    <w:sdtContent>
      <w:p w14:paraId="7A376F56" w14:textId="7C7775B1" w:rsidR="00C53EA3" w:rsidRPr="00C53EA3" w:rsidRDefault="00C53EA3">
        <w:pPr>
          <w:pStyle w:val="Footer"/>
          <w:jc w:val="center"/>
          <w:rPr>
            <w:sz w:val="16"/>
            <w:szCs w:val="16"/>
          </w:rPr>
        </w:pPr>
        <w:r w:rsidRPr="00C53EA3">
          <w:rPr>
            <w:sz w:val="16"/>
            <w:szCs w:val="16"/>
          </w:rPr>
          <w:fldChar w:fldCharType="begin"/>
        </w:r>
        <w:r w:rsidRPr="00C53EA3">
          <w:rPr>
            <w:sz w:val="16"/>
            <w:szCs w:val="16"/>
          </w:rPr>
          <w:instrText xml:space="preserve"> PAGE   \* MERGEFORMAT </w:instrText>
        </w:r>
        <w:r w:rsidRPr="00C53EA3">
          <w:rPr>
            <w:sz w:val="16"/>
            <w:szCs w:val="16"/>
          </w:rPr>
          <w:fldChar w:fldCharType="separate"/>
        </w:r>
        <w:r w:rsidRPr="00C53EA3">
          <w:rPr>
            <w:noProof/>
            <w:sz w:val="16"/>
            <w:szCs w:val="16"/>
          </w:rPr>
          <w:t>2</w:t>
        </w:r>
        <w:r w:rsidRPr="00C53EA3">
          <w:rPr>
            <w:noProof/>
            <w:sz w:val="16"/>
            <w:szCs w:val="16"/>
          </w:rPr>
          <w:fldChar w:fldCharType="end"/>
        </w:r>
      </w:p>
    </w:sdtContent>
  </w:sdt>
  <w:p w14:paraId="2949F46C" w14:textId="77777777" w:rsidR="00C53EA3" w:rsidRDefault="00C53E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083FC" w14:textId="77777777" w:rsidR="001B6BDA" w:rsidRPr="00036874" w:rsidRDefault="001B6BDA" w:rsidP="00C21103">
    <w:pPr>
      <w:pStyle w:val="Footer"/>
      <w:jc w:val="center"/>
      <w:rPr>
        <w:sz w:val="16"/>
        <w:szCs w:val="16"/>
      </w:rPr>
    </w:pPr>
    <w:r w:rsidRPr="00036874">
      <w:rPr>
        <w:sz w:val="16"/>
        <w:szCs w:val="16"/>
      </w:rPr>
      <w:fldChar w:fldCharType="begin"/>
    </w:r>
    <w:r w:rsidRPr="00036874">
      <w:rPr>
        <w:sz w:val="16"/>
        <w:szCs w:val="16"/>
      </w:rPr>
      <w:instrText xml:space="preserve"> PAGE   \* MERGEFORMAT </w:instrText>
    </w:r>
    <w:r w:rsidRPr="00036874">
      <w:rPr>
        <w:sz w:val="16"/>
        <w:szCs w:val="16"/>
      </w:rPr>
      <w:fldChar w:fldCharType="separate"/>
    </w:r>
    <w:r>
      <w:rPr>
        <w:noProof/>
        <w:sz w:val="16"/>
        <w:szCs w:val="16"/>
      </w:rPr>
      <w:t>18</w:t>
    </w:r>
    <w:r w:rsidRPr="00036874">
      <w:rPr>
        <w:noProof/>
        <w:sz w:val="16"/>
        <w:szCs w:val="16"/>
      </w:rPr>
      <w:fldChar w:fldCharType="end"/>
    </w:r>
  </w:p>
  <w:p w14:paraId="7BA40720" w14:textId="77777777" w:rsidR="001B6BDA" w:rsidRDefault="001B6BDA">
    <w:pPr>
      <w:pStyle w:val="Footer"/>
    </w:pPr>
  </w:p>
  <w:p w14:paraId="3215DFA9" w14:textId="77777777" w:rsidR="00B37F1F" w:rsidRDefault="00B37F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9479E8" w14:textId="77777777" w:rsidR="00172E35" w:rsidRDefault="00172E35" w:rsidP="008E4371">
      <w:r>
        <w:separator/>
      </w:r>
    </w:p>
  </w:footnote>
  <w:footnote w:type="continuationSeparator" w:id="0">
    <w:p w14:paraId="10582255" w14:textId="77777777" w:rsidR="00172E35" w:rsidRDefault="00172E35" w:rsidP="008E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EF266" w14:textId="77777777" w:rsidR="001B6BDA" w:rsidRPr="008E4371" w:rsidRDefault="001B6BDA" w:rsidP="008E4371">
    <w:pPr>
      <w:pStyle w:val="Header"/>
    </w:pPr>
  </w:p>
  <w:p w14:paraId="6F80968A" w14:textId="77777777" w:rsidR="00B37F1F" w:rsidRDefault="00B37F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E350A"/>
    <w:multiLevelType w:val="hybridMultilevel"/>
    <w:tmpl w:val="82B6184C"/>
    <w:lvl w:ilvl="0" w:tplc="3D64B80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7C11500"/>
    <w:multiLevelType w:val="hybridMultilevel"/>
    <w:tmpl w:val="C43CE420"/>
    <w:lvl w:ilvl="0" w:tplc="E87437C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19D580F"/>
    <w:multiLevelType w:val="hybridMultilevel"/>
    <w:tmpl w:val="AB2410B6"/>
    <w:lvl w:ilvl="0" w:tplc="6E9A7F9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61C5473"/>
    <w:multiLevelType w:val="hybridMultilevel"/>
    <w:tmpl w:val="69CEA1AA"/>
    <w:lvl w:ilvl="0" w:tplc="DEAE417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C133749"/>
    <w:multiLevelType w:val="hybridMultilevel"/>
    <w:tmpl w:val="10EA4100"/>
    <w:lvl w:ilvl="0" w:tplc="E3C8EB1C">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89B0A23"/>
    <w:multiLevelType w:val="hybridMultilevel"/>
    <w:tmpl w:val="E5B6FD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EB5482"/>
    <w:multiLevelType w:val="hybridMultilevel"/>
    <w:tmpl w:val="332A3210"/>
    <w:lvl w:ilvl="0" w:tplc="04847A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04958B9"/>
    <w:multiLevelType w:val="hybridMultilevel"/>
    <w:tmpl w:val="F99A0D22"/>
    <w:lvl w:ilvl="0" w:tplc="B83ED10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E2A42CF"/>
    <w:multiLevelType w:val="hybridMultilevel"/>
    <w:tmpl w:val="DEE0DD10"/>
    <w:lvl w:ilvl="0" w:tplc="07E43078">
      <w:start w:val="1"/>
      <w:numFmt w:val="decimal"/>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18C7E4B"/>
    <w:multiLevelType w:val="hybridMultilevel"/>
    <w:tmpl w:val="1292EC7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6B852614"/>
    <w:multiLevelType w:val="hybridMultilevel"/>
    <w:tmpl w:val="0636BB50"/>
    <w:lvl w:ilvl="0" w:tplc="CA8A86F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6FF90090"/>
    <w:multiLevelType w:val="hybridMultilevel"/>
    <w:tmpl w:val="2086236C"/>
    <w:lvl w:ilvl="0" w:tplc="53460A1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C09468A"/>
    <w:multiLevelType w:val="hybridMultilevel"/>
    <w:tmpl w:val="82C418E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1"/>
  </w:num>
  <w:num w:numId="3">
    <w:abstractNumId w:val="7"/>
  </w:num>
  <w:num w:numId="4">
    <w:abstractNumId w:val="10"/>
  </w:num>
  <w:num w:numId="5">
    <w:abstractNumId w:val="0"/>
  </w:num>
  <w:num w:numId="6">
    <w:abstractNumId w:val="2"/>
  </w:num>
  <w:num w:numId="7">
    <w:abstractNumId w:val="8"/>
  </w:num>
  <w:num w:numId="8">
    <w:abstractNumId w:val="1"/>
  </w:num>
  <w:num w:numId="9">
    <w:abstractNumId w:val="3"/>
  </w:num>
  <w:num w:numId="10">
    <w:abstractNumId w:val="6"/>
  </w:num>
  <w:num w:numId="11">
    <w:abstractNumId w:val="9"/>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1D8"/>
    <w:rsid w:val="00001FAD"/>
    <w:rsid w:val="000021CB"/>
    <w:rsid w:val="00006A8F"/>
    <w:rsid w:val="00016259"/>
    <w:rsid w:val="00023103"/>
    <w:rsid w:val="00023E27"/>
    <w:rsid w:val="00024229"/>
    <w:rsid w:val="00030F4F"/>
    <w:rsid w:val="0003191F"/>
    <w:rsid w:val="00032E45"/>
    <w:rsid w:val="000349A4"/>
    <w:rsid w:val="00036874"/>
    <w:rsid w:val="00036891"/>
    <w:rsid w:val="00036EAF"/>
    <w:rsid w:val="00037EAA"/>
    <w:rsid w:val="000406EF"/>
    <w:rsid w:val="00042283"/>
    <w:rsid w:val="00045EFB"/>
    <w:rsid w:val="00046248"/>
    <w:rsid w:val="00046ABD"/>
    <w:rsid w:val="00047E82"/>
    <w:rsid w:val="0005070F"/>
    <w:rsid w:val="0005092D"/>
    <w:rsid w:val="00051796"/>
    <w:rsid w:val="00062989"/>
    <w:rsid w:val="000630E4"/>
    <w:rsid w:val="000655BE"/>
    <w:rsid w:val="00067694"/>
    <w:rsid w:val="0007037E"/>
    <w:rsid w:val="00074648"/>
    <w:rsid w:val="000747C7"/>
    <w:rsid w:val="00076EA9"/>
    <w:rsid w:val="00081004"/>
    <w:rsid w:val="00081913"/>
    <w:rsid w:val="0008490E"/>
    <w:rsid w:val="00095473"/>
    <w:rsid w:val="00097649"/>
    <w:rsid w:val="000A1414"/>
    <w:rsid w:val="000A3BC0"/>
    <w:rsid w:val="000A4063"/>
    <w:rsid w:val="000A5587"/>
    <w:rsid w:val="000A667D"/>
    <w:rsid w:val="000A7EC6"/>
    <w:rsid w:val="000B116F"/>
    <w:rsid w:val="000B2F76"/>
    <w:rsid w:val="000B338F"/>
    <w:rsid w:val="000B3391"/>
    <w:rsid w:val="000C367C"/>
    <w:rsid w:val="000C4545"/>
    <w:rsid w:val="000C4B03"/>
    <w:rsid w:val="000C6BBA"/>
    <w:rsid w:val="000C7147"/>
    <w:rsid w:val="000D22E0"/>
    <w:rsid w:val="000D2B95"/>
    <w:rsid w:val="000D438F"/>
    <w:rsid w:val="000D55C3"/>
    <w:rsid w:val="000D5665"/>
    <w:rsid w:val="000D7BDB"/>
    <w:rsid w:val="000E0B93"/>
    <w:rsid w:val="000E2CB0"/>
    <w:rsid w:val="000E38B1"/>
    <w:rsid w:val="000E4EDB"/>
    <w:rsid w:val="000E59AD"/>
    <w:rsid w:val="000F4425"/>
    <w:rsid w:val="000F4ECE"/>
    <w:rsid w:val="000F7C42"/>
    <w:rsid w:val="00100406"/>
    <w:rsid w:val="0010373F"/>
    <w:rsid w:val="0010439A"/>
    <w:rsid w:val="0011012A"/>
    <w:rsid w:val="00111FC4"/>
    <w:rsid w:val="00113117"/>
    <w:rsid w:val="001221B3"/>
    <w:rsid w:val="0012428B"/>
    <w:rsid w:val="0012532C"/>
    <w:rsid w:val="00127E9F"/>
    <w:rsid w:val="00130814"/>
    <w:rsid w:val="001324DE"/>
    <w:rsid w:val="00137A66"/>
    <w:rsid w:val="00140D45"/>
    <w:rsid w:val="0015008F"/>
    <w:rsid w:val="001509EE"/>
    <w:rsid w:val="0015152D"/>
    <w:rsid w:val="0015697A"/>
    <w:rsid w:val="00162410"/>
    <w:rsid w:val="0016460D"/>
    <w:rsid w:val="001672C9"/>
    <w:rsid w:val="0017111C"/>
    <w:rsid w:val="00172719"/>
    <w:rsid w:val="00172E35"/>
    <w:rsid w:val="00173DA3"/>
    <w:rsid w:val="00175A00"/>
    <w:rsid w:val="0017697C"/>
    <w:rsid w:val="00177268"/>
    <w:rsid w:val="00180F4C"/>
    <w:rsid w:val="00185DFA"/>
    <w:rsid w:val="001A166F"/>
    <w:rsid w:val="001A5E69"/>
    <w:rsid w:val="001A656C"/>
    <w:rsid w:val="001A73B5"/>
    <w:rsid w:val="001B22A2"/>
    <w:rsid w:val="001B46FE"/>
    <w:rsid w:val="001B5318"/>
    <w:rsid w:val="001B6BDA"/>
    <w:rsid w:val="001C3657"/>
    <w:rsid w:val="001C4392"/>
    <w:rsid w:val="001C461B"/>
    <w:rsid w:val="001C47B5"/>
    <w:rsid w:val="001D7371"/>
    <w:rsid w:val="001E0E4B"/>
    <w:rsid w:val="001E2329"/>
    <w:rsid w:val="001E363F"/>
    <w:rsid w:val="001E470B"/>
    <w:rsid w:val="001E65D3"/>
    <w:rsid w:val="001E78E8"/>
    <w:rsid w:val="001F0C75"/>
    <w:rsid w:val="001F36A2"/>
    <w:rsid w:val="001F47C6"/>
    <w:rsid w:val="001F4931"/>
    <w:rsid w:val="001F73F6"/>
    <w:rsid w:val="00202A12"/>
    <w:rsid w:val="00202CDD"/>
    <w:rsid w:val="00212612"/>
    <w:rsid w:val="0021485F"/>
    <w:rsid w:val="00214900"/>
    <w:rsid w:val="0022118E"/>
    <w:rsid w:val="00222118"/>
    <w:rsid w:val="00234ED0"/>
    <w:rsid w:val="00236612"/>
    <w:rsid w:val="0023703C"/>
    <w:rsid w:val="0024241F"/>
    <w:rsid w:val="002430D9"/>
    <w:rsid w:val="002447E5"/>
    <w:rsid w:val="00245F54"/>
    <w:rsid w:val="00246E3F"/>
    <w:rsid w:val="00251641"/>
    <w:rsid w:val="00253ACE"/>
    <w:rsid w:val="00255546"/>
    <w:rsid w:val="00257C12"/>
    <w:rsid w:val="00263502"/>
    <w:rsid w:val="00263F7F"/>
    <w:rsid w:val="0026612C"/>
    <w:rsid w:val="00275064"/>
    <w:rsid w:val="00277547"/>
    <w:rsid w:val="00283D2F"/>
    <w:rsid w:val="00291AC6"/>
    <w:rsid w:val="00293A0C"/>
    <w:rsid w:val="00297650"/>
    <w:rsid w:val="002A1832"/>
    <w:rsid w:val="002A1B8B"/>
    <w:rsid w:val="002A2C74"/>
    <w:rsid w:val="002A5628"/>
    <w:rsid w:val="002B255C"/>
    <w:rsid w:val="002B33AA"/>
    <w:rsid w:val="002B72EC"/>
    <w:rsid w:val="002C117E"/>
    <w:rsid w:val="002C2BDC"/>
    <w:rsid w:val="002C5197"/>
    <w:rsid w:val="002D075E"/>
    <w:rsid w:val="002D38EC"/>
    <w:rsid w:val="002D4380"/>
    <w:rsid w:val="002D7E6A"/>
    <w:rsid w:val="002E01E5"/>
    <w:rsid w:val="002E7795"/>
    <w:rsid w:val="002F1E76"/>
    <w:rsid w:val="002F6F4F"/>
    <w:rsid w:val="002F7797"/>
    <w:rsid w:val="00301D4B"/>
    <w:rsid w:val="00304820"/>
    <w:rsid w:val="00307A39"/>
    <w:rsid w:val="00307F3B"/>
    <w:rsid w:val="00312914"/>
    <w:rsid w:val="00312E49"/>
    <w:rsid w:val="003148D8"/>
    <w:rsid w:val="00315319"/>
    <w:rsid w:val="00336C67"/>
    <w:rsid w:val="00337ED4"/>
    <w:rsid w:val="00341EA1"/>
    <w:rsid w:val="003452F9"/>
    <w:rsid w:val="0034573D"/>
    <w:rsid w:val="00345E1F"/>
    <w:rsid w:val="00346C55"/>
    <w:rsid w:val="00350315"/>
    <w:rsid w:val="00350932"/>
    <w:rsid w:val="00351D98"/>
    <w:rsid w:val="00352CBA"/>
    <w:rsid w:val="003559E8"/>
    <w:rsid w:val="00360142"/>
    <w:rsid w:val="00361338"/>
    <w:rsid w:val="00362D5A"/>
    <w:rsid w:val="00363828"/>
    <w:rsid w:val="00363EF2"/>
    <w:rsid w:val="00364A84"/>
    <w:rsid w:val="003738BB"/>
    <w:rsid w:val="00375618"/>
    <w:rsid w:val="00382594"/>
    <w:rsid w:val="00383D7E"/>
    <w:rsid w:val="00384E61"/>
    <w:rsid w:val="00385B1F"/>
    <w:rsid w:val="00390CA6"/>
    <w:rsid w:val="00394B5D"/>
    <w:rsid w:val="00395678"/>
    <w:rsid w:val="00396FBC"/>
    <w:rsid w:val="00397455"/>
    <w:rsid w:val="003979FD"/>
    <w:rsid w:val="003A4D1B"/>
    <w:rsid w:val="003A697E"/>
    <w:rsid w:val="003A7AF7"/>
    <w:rsid w:val="003B13F3"/>
    <w:rsid w:val="003B21B7"/>
    <w:rsid w:val="003B52E6"/>
    <w:rsid w:val="003B69C0"/>
    <w:rsid w:val="003B73BB"/>
    <w:rsid w:val="003B7A91"/>
    <w:rsid w:val="003C14BA"/>
    <w:rsid w:val="003C27D2"/>
    <w:rsid w:val="003C292E"/>
    <w:rsid w:val="003C33C9"/>
    <w:rsid w:val="003C5F58"/>
    <w:rsid w:val="003D237A"/>
    <w:rsid w:val="003E3510"/>
    <w:rsid w:val="003E4315"/>
    <w:rsid w:val="003E7700"/>
    <w:rsid w:val="003F66D7"/>
    <w:rsid w:val="003F7ECD"/>
    <w:rsid w:val="0040170B"/>
    <w:rsid w:val="00405B8F"/>
    <w:rsid w:val="0040742A"/>
    <w:rsid w:val="00410831"/>
    <w:rsid w:val="00414CF3"/>
    <w:rsid w:val="00420DA5"/>
    <w:rsid w:val="0042254A"/>
    <w:rsid w:val="00423201"/>
    <w:rsid w:val="004272E2"/>
    <w:rsid w:val="00436387"/>
    <w:rsid w:val="004433C9"/>
    <w:rsid w:val="00457744"/>
    <w:rsid w:val="00457FE4"/>
    <w:rsid w:val="004609A4"/>
    <w:rsid w:val="00462CF2"/>
    <w:rsid w:val="00463840"/>
    <w:rsid w:val="0046399F"/>
    <w:rsid w:val="00472CA5"/>
    <w:rsid w:val="00473F52"/>
    <w:rsid w:val="00475525"/>
    <w:rsid w:val="00481E45"/>
    <w:rsid w:val="00484316"/>
    <w:rsid w:val="00490038"/>
    <w:rsid w:val="0049424E"/>
    <w:rsid w:val="004968AF"/>
    <w:rsid w:val="004A1E24"/>
    <w:rsid w:val="004A26DE"/>
    <w:rsid w:val="004A292C"/>
    <w:rsid w:val="004A3642"/>
    <w:rsid w:val="004A5BB7"/>
    <w:rsid w:val="004A656D"/>
    <w:rsid w:val="004A6A1E"/>
    <w:rsid w:val="004C2B0F"/>
    <w:rsid w:val="004C3818"/>
    <w:rsid w:val="004C5D8F"/>
    <w:rsid w:val="004C7478"/>
    <w:rsid w:val="004D066F"/>
    <w:rsid w:val="004D167E"/>
    <w:rsid w:val="004D6A31"/>
    <w:rsid w:val="004D7B91"/>
    <w:rsid w:val="004E1824"/>
    <w:rsid w:val="004E4AF2"/>
    <w:rsid w:val="004E5005"/>
    <w:rsid w:val="004E5BDD"/>
    <w:rsid w:val="004E636F"/>
    <w:rsid w:val="004F21B9"/>
    <w:rsid w:val="004F61DA"/>
    <w:rsid w:val="00512807"/>
    <w:rsid w:val="005147ED"/>
    <w:rsid w:val="00517535"/>
    <w:rsid w:val="00517C0F"/>
    <w:rsid w:val="0052216D"/>
    <w:rsid w:val="0054062B"/>
    <w:rsid w:val="00544B68"/>
    <w:rsid w:val="00544D49"/>
    <w:rsid w:val="00550752"/>
    <w:rsid w:val="00550EC2"/>
    <w:rsid w:val="0055330E"/>
    <w:rsid w:val="00554698"/>
    <w:rsid w:val="005567AD"/>
    <w:rsid w:val="00560769"/>
    <w:rsid w:val="00561733"/>
    <w:rsid w:val="0056323B"/>
    <w:rsid w:val="00563B27"/>
    <w:rsid w:val="00566229"/>
    <w:rsid w:val="005664B8"/>
    <w:rsid w:val="005670F8"/>
    <w:rsid w:val="005728EB"/>
    <w:rsid w:val="0057616A"/>
    <w:rsid w:val="005823B8"/>
    <w:rsid w:val="005839D7"/>
    <w:rsid w:val="0058734D"/>
    <w:rsid w:val="005919C6"/>
    <w:rsid w:val="00592B89"/>
    <w:rsid w:val="00593FF8"/>
    <w:rsid w:val="00594C3B"/>
    <w:rsid w:val="0059752F"/>
    <w:rsid w:val="005A05E1"/>
    <w:rsid w:val="005A1A59"/>
    <w:rsid w:val="005A1FD6"/>
    <w:rsid w:val="005A3AF4"/>
    <w:rsid w:val="005A63E3"/>
    <w:rsid w:val="005A6695"/>
    <w:rsid w:val="005B2A88"/>
    <w:rsid w:val="005B45BC"/>
    <w:rsid w:val="005B5E64"/>
    <w:rsid w:val="005B6CF7"/>
    <w:rsid w:val="005B7B00"/>
    <w:rsid w:val="005C2F0E"/>
    <w:rsid w:val="005C3F4E"/>
    <w:rsid w:val="005C5E07"/>
    <w:rsid w:val="005C6A55"/>
    <w:rsid w:val="005E3189"/>
    <w:rsid w:val="005E5D4A"/>
    <w:rsid w:val="005F3615"/>
    <w:rsid w:val="005F5477"/>
    <w:rsid w:val="0060214C"/>
    <w:rsid w:val="00603901"/>
    <w:rsid w:val="006047C9"/>
    <w:rsid w:val="00606450"/>
    <w:rsid w:val="00607FBA"/>
    <w:rsid w:val="006141A3"/>
    <w:rsid w:val="00631476"/>
    <w:rsid w:val="00632CCD"/>
    <w:rsid w:val="00634450"/>
    <w:rsid w:val="00634CDE"/>
    <w:rsid w:val="00636A1E"/>
    <w:rsid w:val="00636FD5"/>
    <w:rsid w:val="00637E55"/>
    <w:rsid w:val="00642DA0"/>
    <w:rsid w:val="00646577"/>
    <w:rsid w:val="00650DE0"/>
    <w:rsid w:val="00651A9C"/>
    <w:rsid w:val="00656A07"/>
    <w:rsid w:val="00656BE1"/>
    <w:rsid w:val="00657C25"/>
    <w:rsid w:val="00657FF8"/>
    <w:rsid w:val="00663B50"/>
    <w:rsid w:val="00663EA6"/>
    <w:rsid w:val="006651C7"/>
    <w:rsid w:val="00665DD3"/>
    <w:rsid w:val="00666309"/>
    <w:rsid w:val="0066724C"/>
    <w:rsid w:val="00672490"/>
    <w:rsid w:val="00673D6B"/>
    <w:rsid w:val="0067695F"/>
    <w:rsid w:val="0067749A"/>
    <w:rsid w:val="006821FD"/>
    <w:rsid w:val="006829DA"/>
    <w:rsid w:val="006833E9"/>
    <w:rsid w:val="006872BE"/>
    <w:rsid w:val="0069207A"/>
    <w:rsid w:val="006963D7"/>
    <w:rsid w:val="006A34EF"/>
    <w:rsid w:val="006A3B3E"/>
    <w:rsid w:val="006A7E83"/>
    <w:rsid w:val="006B0EE8"/>
    <w:rsid w:val="006B39D6"/>
    <w:rsid w:val="006B4F7E"/>
    <w:rsid w:val="006B668E"/>
    <w:rsid w:val="006C0EA0"/>
    <w:rsid w:val="006C6095"/>
    <w:rsid w:val="006C6B48"/>
    <w:rsid w:val="006D39D5"/>
    <w:rsid w:val="006D3A19"/>
    <w:rsid w:val="006D704C"/>
    <w:rsid w:val="006E1CC8"/>
    <w:rsid w:val="006E52EA"/>
    <w:rsid w:val="006E5487"/>
    <w:rsid w:val="006F0738"/>
    <w:rsid w:val="006F3BBB"/>
    <w:rsid w:val="006F6624"/>
    <w:rsid w:val="00705650"/>
    <w:rsid w:val="00713476"/>
    <w:rsid w:val="00713FB9"/>
    <w:rsid w:val="00724CB4"/>
    <w:rsid w:val="00725CE6"/>
    <w:rsid w:val="007266DF"/>
    <w:rsid w:val="007267A6"/>
    <w:rsid w:val="0072780F"/>
    <w:rsid w:val="0073177D"/>
    <w:rsid w:val="0073531D"/>
    <w:rsid w:val="007354F0"/>
    <w:rsid w:val="00740D3F"/>
    <w:rsid w:val="00757872"/>
    <w:rsid w:val="00762D41"/>
    <w:rsid w:val="00763B1B"/>
    <w:rsid w:val="00764182"/>
    <w:rsid w:val="00764BAE"/>
    <w:rsid w:val="00765709"/>
    <w:rsid w:val="00766011"/>
    <w:rsid w:val="0077674C"/>
    <w:rsid w:val="0077714D"/>
    <w:rsid w:val="00785656"/>
    <w:rsid w:val="007856A1"/>
    <w:rsid w:val="00787132"/>
    <w:rsid w:val="0079195D"/>
    <w:rsid w:val="007951FC"/>
    <w:rsid w:val="00797005"/>
    <w:rsid w:val="007970DB"/>
    <w:rsid w:val="00797BD6"/>
    <w:rsid w:val="007A0EF8"/>
    <w:rsid w:val="007A24A8"/>
    <w:rsid w:val="007A42C0"/>
    <w:rsid w:val="007A434B"/>
    <w:rsid w:val="007A4DA5"/>
    <w:rsid w:val="007B0A8D"/>
    <w:rsid w:val="007B1F32"/>
    <w:rsid w:val="007C2BB1"/>
    <w:rsid w:val="007C47FF"/>
    <w:rsid w:val="007C6C39"/>
    <w:rsid w:val="007C7476"/>
    <w:rsid w:val="007D1188"/>
    <w:rsid w:val="007D2820"/>
    <w:rsid w:val="007D5509"/>
    <w:rsid w:val="007E1E3E"/>
    <w:rsid w:val="007E5E21"/>
    <w:rsid w:val="007E695B"/>
    <w:rsid w:val="007F4A18"/>
    <w:rsid w:val="007F63EA"/>
    <w:rsid w:val="00801DE0"/>
    <w:rsid w:val="00805FCB"/>
    <w:rsid w:val="00807724"/>
    <w:rsid w:val="0081134C"/>
    <w:rsid w:val="00815CE4"/>
    <w:rsid w:val="00815FF2"/>
    <w:rsid w:val="008174D5"/>
    <w:rsid w:val="00826A7F"/>
    <w:rsid w:val="00832385"/>
    <w:rsid w:val="0083372D"/>
    <w:rsid w:val="008400B2"/>
    <w:rsid w:val="008425D5"/>
    <w:rsid w:val="00843950"/>
    <w:rsid w:val="00844801"/>
    <w:rsid w:val="00845236"/>
    <w:rsid w:val="00846955"/>
    <w:rsid w:val="00847B6D"/>
    <w:rsid w:val="00850934"/>
    <w:rsid w:val="00855447"/>
    <w:rsid w:val="00863911"/>
    <w:rsid w:val="00863B3E"/>
    <w:rsid w:val="00863CE2"/>
    <w:rsid w:val="00865BE1"/>
    <w:rsid w:val="00870A01"/>
    <w:rsid w:val="008733F3"/>
    <w:rsid w:val="00874E19"/>
    <w:rsid w:val="00875BBE"/>
    <w:rsid w:val="00876712"/>
    <w:rsid w:val="008830CA"/>
    <w:rsid w:val="008909BD"/>
    <w:rsid w:val="008911E4"/>
    <w:rsid w:val="0089465C"/>
    <w:rsid w:val="008954A9"/>
    <w:rsid w:val="00896298"/>
    <w:rsid w:val="008A385C"/>
    <w:rsid w:val="008B10C5"/>
    <w:rsid w:val="008B3BC1"/>
    <w:rsid w:val="008B4588"/>
    <w:rsid w:val="008B5637"/>
    <w:rsid w:val="008B621C"/>
    <w:rsid w:val="008B68A6"/>
    <w:rsid w:val="008B6EF8"/>
    <w:rsid w:val="008B77B9"/>
    <w:rsid w:val="008C24B2"/>
    <w:rsid w:val="008C3B61"/>
    <w:rsid w:val="008C3BEF"/>
    <w:rsid w:val="008C5543"/>
    <w:rsid w:val="008C6C48"/>
    <w:rsid w:val="008D39D2"/>
    <w:rsid w:val="008D7E65"/>
    <w:rsid w:val="008E3EF4"/>
    <w:rsid w:val="008E4371"/>
    <w:rsid w:val="008E63D9"/>
    <w:rsid w:val="008E6C04"/>
    <w:rsid w:val="008E7CCC"/>
    <w:rsid w:val="008F147C"/>
    <w:rsid w:val="008F37CC"/>
    <w:rsid w:val="008F6BC2"/>
    <w:rsid w:val="00900C29"/>
    <w:rsid w:val="00902742"/>
    <w:rsid w:val="0090512B"/>
    <w:rsid w:val="00911FF1"/>
    <w:rsid w:val="00912B0F"/>
    <w:rsid w:val="00913FE6"/>
    <w:rsid w:val="00914044"/>
    <w:rsid w:val="009209B9"/>
    <w:rsid w:val="00921388"/>
    <w:rsid w:val="009216D0"/>
    <w:rsid w:val="00921F33"/>
    <w:rsid w:val="00923962"/>
    <w:rsid w:val="00936282"/>
    <w:rsid w:val="00937512"/>
    <w:rsid w:val="0093781D"/>
    <w:rsid w:val="009404D1"/>
    <w:rsid w:val="00940548"/>
    <w:rsid w:val="00940F85"/>
    <w:rsid w:val="00945E6F"/>
    <w:rsid w:val="0094642B"/>
    <w:rsid w:val="00946505"/>
    <w:rsid w:val="00946695"/>
    <w:rsid w:val="009476A7"/>
    <w:rsid w:val="00953EC2"/>
    <w:rsid w:val="00955CCA"/>
    <w:rsid w:val="00955E16"/>
    <w:rsid w:val="009601A7"/>
    <w:rsid w:val="00964278"/>
    <w:rsid w:val="00967A28"/>
    <w:rsid w:val="009714EB"/>
    <w:rsid w:val="00971642"/>
    <w:rsid w:val="00971CC9"/>
    <w:rsid w:val="00973994"/>
    <w:rsid w:val="00974237"/>
    <w:rsid w:val="00975575"/>
    <w:rsid w:val="009759A3"/>
    <w:rsid w:val="00975E8D"/>
    <w:rsid w:val="00977633"/>
    <w:rsid w:val="0097792C"/>
    <w:rsid w:val="0098365F"/>
    <w:rsid w:val="00984239"/>
    <w:rsid w:val="00985777"/>
    <w:rsid w:val="00985A76"/>
    <w:rsid w:val="00992CEF"/>
    <w:rsid w:val="00993BB3"/>
    <w:rsid w:val="00995CCC"/>
    <w:rsid w:val="009A204D"/>
    <w:rsid w:val="009A238D"/>
    <w:rsid w:val="009A266A"/>
    <w:rsid w:val="009A418E"/>
    <w:rsid w:val="009A59ED"/>
    <w:rsid w:val="009B4043"/>
    <w:rsid w:val="009B678A"/>
    <w:rsid w:val="009B6F49"/>
    <w:rsid w:val="009B7910"/>
    <w:rsid w:val="009C2117"/>
    <w:rsid w:val="009C339E"/>
    <w:rsid w:val="009C44B7"/>
    <w:rsid w:val="009C768C"/>
    <w:rsid w:val="009D1DDE"/>
    <w:rsid w:val="009D47A2"/>
    <w:rsid w:val="009D4F5D"/>
    <w:rsid w:val="009E03AF"/>
    <w:rsid w:val="009E19C9"/>
    <w:rsid w:val="009E6FEA"/>
    <w:rsid w:val="009F46F4"/>
    <w:rsid w:val="009F6C7F"/>
    <w:rsid w:val="00A017AC"/>
    <w:rsid w:val="00A01A3F"/>
    <w:rsid w:val="00A02909"/>
    <w:rsid w:val="00A04D33"/>
    <w:rsid w:val="00A06F3C"/>
    <w:rsid w:val="00A26630"/>
    <w:rsid w:val="00A27C41"/>
    <w:rsid w:val="00A30E8D"/>
    <w:rsid w:val="00A32472"/>
    <w:rsid w:val="00A420C7"/>
    <w:rsid w:val="00A433AB"/>
    <w:rsid w:val="00A4424C"/>
    <w:rsid w:val="00A45391"/>
    <w:rsid w:val="00A45FC1"/>
    <w:rsid w:val="00A502A1"/>
    <w:rsid w:val="00A50BE6"/>
    <w:rsid w:val="00A526D1"/>
    <w:rsid w:val="00A52D79"/>
    <w:rsid w:val="00A54957"/>
    <w:rsid w:val="00A56614"/>
    <w:rsid w:val="00A60F97"/>
    <w:rsid w:val="00A61C28"/>
    <w:rsid w:val="00A629EB"/>
    <w:rsid w:val="00A66ADE"/>
    <w:rsid w:val="00A72EC0"/>
    <w:rsid w:val="00A747DC"/>
    <w:rsid w:val="00A760A3"/>
    <w:rsid w:val="00A800BF"/>
    <w:rsid w:val="00A813D5"/>
    <w:rsid w:val="00A91814"/>
    <w:rsid w:val="00A96BA0"/>
    <w:rsid w:val="00A97C1C"/>
    <w:rsid w:val="00AA1E2B"/>
    <w:rsid w:val="00AA36AF"/>
    <w:rsid w:val="00AA5AC9"/>
    <w:rsid w:val="00AB35BB"/>
    <w:rsid w:val="00AB3BCD"/>
    <w:rsid w:val="00AB4C87"/>
    <w:rsid w:val="00AB58DE"/>
    <w:rsid w:val="00AB7214"/>
    <w:rsid w:val="00AC02DC"/>
    <w:rsid w:val="00AC08E8"/>
    <w:rsid w:val="00AC0AA5"/>
    <w:rsid w:val="00AC325A"/>
    <w:rsid w:val="00AC3E06"/>
    <w:rsid w:val="00AC578E"/>
    <w:rsid w:val="00AC7E54"/>
    <w:rsid w:val="00AD087F"/>
    <w:rsid w:val="00AD6EFB"/>
    <w:rsid w:val="00AE186A"/>
    <w:rsid w:val="00AE2654"/>
    <w:rsid w:val="00AE2815"/>
    <w:rsid w:val="00AE5FE9"/>
    <w:rsid w:val="00AE78A0"/>
    <w:rsid w:val="00AF2843"/>
    <w:rsid w:val="00B001BD"/>
    <w:rsid w:val="00B04CEA"/>
    <w:rsid w:val="00B053F3"/>
    <w:rsid w:val="00B07B87"/>
    <w:rsid w:val="00B121D6"/>
    <w:rsid w:val="00B12529"/>
    <w:rsid w:val="00B12B26"/>
    <w:rsid w:val="00B13021"/>
    <w:rsid w:val="00B13ACA"/>
    <w:rsid w:val="00B16136"/>
    <w:rsid w:val="00B24590"/>
    <w:rsid w:val="00B2479A"/>
    <w:rsid w:val="00B24C90"/>
    <w:rsid w:val="00B24D58"/>
    <w:rsid w:val="00B26202"/>
    <w:rsid w:val="00B31582"/>
    <w:rsid w:val="00B350A0"/>
    <w:rsid w:val="00B3753E"/>
    <w:rsid w:val="00B37A3C"/>
    <w:rsid w:val="00B37F1F"/>
    <w:rsid w:val="00B41B80"/>
    <w:rsid w:val="00B42B8A"/>
    <w:rsid w:val="00B42E68"/>
    <w:rsid w:val="00B44FD4"/>
    <w:rsid w:val="00B47AC4"/>
    <w:rsid w:val="00B56254"/>
    <w:rsid w:val="00B57242"/>
    <w:rsid w:val="00B60C27"/>
    <w:rsid w:val="00B64F88"/>
    <w:rsid w:val="00B66EF9"/>
    <w:rsid w:val="00B73BEE"/>
    <w:rsid w:val="00B74F90"/>
    <w:rsid w:val="00B80F30"/>
    <w:rsid w:val="00B81C73"/>
    <w:rsid w:val="00B83D4B"/>
    <w:rsid w:val="00B846E4"/>
    <w:rsid w:val="00B87137"/>
    <w:rsid w:val="00B87853"/>
    <w:rsid w:val="00B87A0A"/>
    <w:rsid w:val="00B916BA"/>
    <w:rsid w:val="00B93B15"/>
    <w:rsid w:val="00BA2E1F"/>
    <w:rsid w:val="00BB1EB0"/>
    <w:rsid w:val="00BB5F71"/>
    <w:rsid w:val="00BC14D6"/>
    <w:rsid w:val="00BC242F"/>
    <w:rsid w:val="00BC504C"/>
    <w:rsid w:val="00BC79EF"/>
    <w:rsid w:val="00BE1FF6"/>
    <w:rsid w:val="00BE4214"/>
    <w:rsid w:val="00BE6187"/>
    <w:rsid w:val="00BE6F5F"/>
    <w:rsid w:val="00BE7295"/>
    <w:rsid w:val="00BF6812"/>
    <w:rsid w:val="00BF734C"/>
    <w:rsid w:val="00C01634"/>
    <w:rsid w:val="00C01820"/>
    <w:rsid w:val="00C01F32"/>
    <w:rsid w:val="00C03D6C"/>
    <w:rsid w:val="00C03E56"/>
    <w:rsid w:val="00C065E6"/>
    <w:rsid w:val="00C06860"/>
    <w:rsid w:val="00C0731C"/>
    <w:rsid w:val="00C0792C"/>
    <w:rsid w:val="00C115F8"/>
    <w:rsid w:val="00C11930"/>
    <w:rsid w:val="00C17AE8"/>
    <w:rsid w:val="00C17B1F"/>
    <w:rsid w:val="00C21103"/>
    <w:rsid w:val="00C35AC3"/>
    <w:rsid w:val="00C47DA9"/>
    <w:rsid w:val="00C50434"/>
    <w:rsid w:val="00C50743"/>
    <w:rsid w:val="00C52D4E"/>
    <w:rsid w:val="00C53EA3"/>
    <w:rsid w:val="00C55B64"/>
    <w:rsid w:val="00C7032D"/>
    <w:rsid w:val="00C72494"/>
    <w:rsid w:val="00C87FCA"/>
    <w:rsid w:val="00C930EB"/>
    <w:rsid w:val="00C957AE"/>
    <w:rsid w:val="00C9698E"/>
    <w:rsid w:val="00C96CFA"/>
    <w:rsid w:val="00CA24D3"/>
    <w:rsid w:val="00CA7AD6"/>
    <w:rsid w:val="00CB21CF"/>
    <w:rsid w:val="00CB3171"/>
    <w:rsid w:val="00CC2E16"/>
    <w:rsid w:val="00CC51D1"/>
    <w:rsid w:val="00CC5A2B"/>
    <w:rsid w:val="00CC5E29"/>
    <w:rsid w:val="00CC5F1A"/>
    <w:rsid w:val="00CD28A8"/>
    <w:rsid w:val="00CD413B"/>
    <w:rsid w:val="00CD5C10"/>
    <w:rsid w:val="00CD5F25"/>
    <w:rsid w:val="00CD78F8"/>
    <w:rsid w:val="00CE3347"/>
    <w:rsid w:val="00CF0F47"/>
    <w:rsid w:val="00CF3DDF"/>
    <w:rsid w:val="00CF68CF"/>
    <w:rsid w:val="00D005F0"/>
    <w:rsid w:val="00D03FF4"/>
    <w:rsid w:val="00D05611"/>
    <w:rsid w:val="00D11A95"/>
    <w:rsid w:val="00D129AD"/>
    <w:rsid w:val="00D15A47"/>
    <w:rsid w:val="00D15C09"/>
    <w:rsid w:val="00D16812"/>
    <w:rsid w:val="00D17517"/>
    <w:rsid w:val="00D22BA9"/>
    <w:rsid w:val="00D2355A"/>
    <w:rsid w:val="00D23776"/>
    <w:rsid w:val="00D255AA"/>
    <w:rsid w:val="00D25E75"/>
    <w:rsid w:val="00D27439"/>
    <w:rsid w:val="00D2770D"/>
    <w:rsid w:val="00D303EB"/>
    <w:rsid w:val="00D31125"/>
    <w:rsid w:val="00D326A7"/>
    <w:rsid w:val="00D368E6"/>
    <w:rsid w:val="00D371D8"/>
    <w:rsid w:val="00D41048"/>
    <w:rsid w:val="00D41103"/>
    <w:rsid w:val="00D42324"/>
    <w:rsid w:val="00D43C87"/>
    <w:rsid w:val="00D459AC"/>
    <w:rsid w:val="00D5567D"/>
    <w:rsid w:val="00D648CF"/>
    <w:rsid w:val="00D7036D"/>
    <w:rsid w:val="00D71D45"/>
    <w:rsid w:val="00D836FC"/>
    <w:rsid w:val="00D84F10"/>
    <w:rsid w:val="00D86C75"/>
    <w:rsid w:val="00DA2C96"/>
    <w:rsid w:val="00DA5650"/>
    <w:rsid w:val="00DA7763"/>
    <w:rsid w:val="00DB130B"/>
    <w:rsid w:val="00DB2D4B"/>
    <w:rsid w:val="00DB5B88"/>
    <w:rsid w:val="00DB7174"/>
    <w:rsid w:val="00DC01E7"/>
    <w:rsid w:val="00DC55A7"/>
    <w:rsid w:val="00DC72BF"/>
    <w:rsid w:val="00DD040D"/>
    <w:rsid w:val="00DD282B"/>
    <w:rsid w:val="00DD69EB"/>
    <w:rsid w:val="00DE068D"/>
    <w:rsid w:val="00DE06C2"/>
    <w:rsid w:val="00DE1920"/>
    <w:rsid w:val="00DE220B"/>
    <w:rsid w:val="00DE6278"/>
    <w:rsid w:val="00E0320E"/>
    <w:rsid w:val="00E0584E"/>
    <w:rsid w:val="00E071EF"/>
    <w:rsid w:val="00E07C52"/>
    <w:rsid w:val="00E119CC"/>
    <w:rsid w:val="00E12FE4"/>
    <w:rsid w:val="00E25A70"/>
    <w:rsid w:val="00E27358"/>
    <w:rsid w:val="00E27D27"/>
    <w:rsid w:val="00E33A0B"/>
    <w:rsid w:val="00E41658"/>
    <w:rsid w:val="00E42625"/>
    <w:rsid w:val="00E44D93"/>
    <w:rsid w:val="00E44E89"/>
    <w:rsid w:val="00E45523"/>
    <w:rsid w:val="00E45E29"/>
    <w:rsid w:val="00E4619B"/>
    <w:rsid w:val="00E5387D"/>
    <w:rsid w:val="00E53AC6"/>
    <w:rsid w:val="00E56A6A"/>
    <w:rsid w:val="00E570C3"/>
    <w:rsid w:val="00E576A3"/>
    <w:rsid w:val="00E6057B"/>
    <w:rsid w:val="00E613B4"/>
    <w:rsid w:val="00E65A66"/>
    <w:rsid w:val="00E668F8"/>
    <w:rsid w:val="00E714B1"/>
    <w:rsid w:val="00E77AE9"/>
    <w:rsid w:val="00E816F9"/>
    <w:rsid w:val="00E85010"/>
    <w:rsid w:val="00E85A29"/>
    <w:rsid w:val="00E91105"/>
    <w:rsid w:val="00E92A32"/>
    <w:rsid w:val="00E96AD0"/>
    <w:rsid w:val="00EA035C"/>
    <w:rsid w:val="00EA1B8C"/>
    <w:rsid w:val="00EA24CC"/>
    <w:rsid w:val="00EA331A"/>
    <w:rsid w:val="00EA60C2"/>
    <w:rsid w:val="00EA62BC"/>
    <w:rsid w:val="00EA65E3"/>
    <w:rsid w:val="00EB02DD"/>
    <w:rsid w:val="00EB22B8"/>
    <w:rsid w:val="00EB44C9"/>
    <w:rsid w:val="00EB4D73"/>
    <w:rsid w:val="00EC01B5"/>
    <w:rsid w:val="00EC0B26"/>
    <w:rsid w:val="00EC18E0"/>
    <w:rsid w:val="00EC3C05"/>
    <w:rsid w:val="00EC59FB"/>
    <w:rsid w:val="00EC7901"/>
    <w:rsid w:val="00EC7FA0"/>
    <w:rsid w:val="00ED16BC"/>
    <w:rsid w:val="00ED1CD9"/>
    <w:rsid w:val="00EE00AE"/>
    <w:rsid w:val="00EE0BD7"/>
    <w:rsid w:val="00EE38BA"/>
    <w:rsid w:val="00EF0389"/>
    <w:rsid w:val="00EF1D2A"/>
    <w:rsid w:val="00EF6E10"/>
    <w:rsid w:val="00EF7279"/>
    <w:rsid w:val="00F00FD1"/>
    <w:rsid w:val="00F01B46"/>
    <w:rsid w:val="00F01C25"/>
    <w:rsid w:val="00F0278E"/>
    <w:rsid w:val="00F03A21"/>
    <w:rsid w:val="00F11474"/>
    <w:rsid w:val="00F114EB"/>
    <w:rsid w:val="00F11A41"/>
    <w:rsid w:val="00F13F55"/>
    <w:rsid w:val="00F14163"/>
    <w:rsid w:val="00F208EC"/>
    <w:rsid w:val="00F211E7"/>
    <w:rsid w:val="00F21744"/>
    <w:rsid w:val="00F21D91"/>
    <w:rsid w:val="00F27C6A"/>
    <w:rsid w:val="00F32A57"/>
    <w:rsid w:val="00F360E1"/>
    <w:rsid w:val="00F3665B"/>
    <w:rsid w:val="00F40875"/>
    <w:rsid w:val="00F428FC"/>
    <w:rsid w:val="00F4671C"/>
    <w:rsid w:val="00F55544"/>
    <w:rsid w:val="00F56C3C"/>
    <w:rsid w:val="00F6464C"/>
    <w:rsid w:val="00F663C0"/>
    <w:rsid w:val="00F6644B"/>
    <w:rsid w:val="00F664FD"/>
    <w:rsid w:val="00F67F66"/>
    <w:rsid w:val="00F76AB7"/>
    <w:rsid w:val="00F7732B"/>
    <w:rsid w:val="00F81A42"/>
    <w:rsid w:val="00F84EF1"/>
    <w:rsid w:val="00F867D4"/>
    <w:rsid w:val="00F86C88"/>
    <w:rsid w:val="00F90484"/>
    <w:rsid w:val="00F90DBC"/>
    <w:rsid w:val="00F936FA"/>
    <w:rsid w:val="00F9399B"/>
    <w:rsid w:val="00F9406A"/>
    <w:rsid w:val="00F95F0F"/>
    <w:rsid w:val="00F97F94"/>
    <w:rsid w:val="00FA3524"/>
    <w:rsid w:val="00FA79FC"/>
    <w:rsid w:val="00FB41C5"/>
    <w:rsid w:val="00FB4639"/>
    <w:rsid w:val="00FB5194"/>
    <w:rsid w:val="00FC4421"/>
    <w:rsid w:val="00FC6078"/>
    <w:rsid w:val="00FD2D18"/>
    <w:rsid w:val="00FD47ED"/>
    <w:rsid w:val="00FD748D"/>
    <w:rsid w:val="00FD7846"/>
    <w:rsid w:val="00FE0879"/>
    <w:rsid w:val="00FE2E1D"/>
    <w:rsid w:val="00FE3024"/>
    <w:rsid w:val="00FE5194"/>
    <w:rsid w:val="00FF017A"/>
    <w:rsid w:val="00FF5928"/>
    <w:rsid w:val="00FF70E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79994"/>
  <w15:docId w15:val="{2644A2F0-4D02-4327-9C63-2C3AA6D8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D8"/>
    <w:rPr>
      <w:rFonts w:ascii="Times New Roman" w:eastAsia="Times New Roman" w:hAnsi="Times New Roman"/>
      <w:sz w:val="24"/>
      <w:szCs w:val="24"/>
    </w:rPr>
  </w:style>
  <w:style w:type="paragraph" w:styleId="Heading1">
    <w:name w:val="heading 1"/>
    <w:aliases w:val="h1"/>
    <w:basedOn w:val="Normal"/>
    <w:next w:val="Normal"/>
    <w:link w:val="Heading1Char"/>
    <w:qFormat/>
    <w:rsid w:val="001F36A2"/>
    <w:pPr>
      <w:keepNext/>
      <w:spacing w:line="360" w:lineRule="auto"/>
      <w:jc w:val="both"/>
      <w:outlineLvl w:val="0"/>
    </w:pPr>
    <w:rPr>
      <w:szCs w:val="20"/>
      <w:lang w:val="pt-BR"/>
    </w:rPr>
  </w:style>
  <w:style w:type="paragraph" w:styleId="Heading5">
    <w:name w:val="heading 5"/>
    <w:basedOn w:val="Normal"/>
    <w:next w:val="Normal"/>
    <w:link w:val="Heading5Char"/>
    <w:qFormat/>
    <w:rsid w:val="001F36A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D371D8"/>
    <w:pPr>
      <w:spacing w:line="360" w:lineRule="auto"/>
    </w:pPr>
    <w:rPr>
      <w:sz w:val="20"/>
      <w:szCs w:val="20"/>
      <w:lang w:val="en-US"/>
    </w:rPr>
  </w:style>
  <w:style w:type="character" w:customStyle="1" w:styleId="BodyTextChar">
    <w:name w:val="Body Text Char"/>
    <w:link w:val="BodyText"/>
    <w:rsid w:val="00D371D8"/>
    <w:rPr>
      <w:rFonts w:ascii="Times New Roman" w:eastAsia="Times New Roman" w:hAnsi="Times New Roman" w:cs="Times New Roman"/>
      <w:kern w:val="0"/>
      <w:szCs w:val="20"/>
      <w:lang w:val="en-US" w:eastAsia="en-GB"/>
    </w:rPr>
  </w:style>
  <w:style w:type="paragraph" w:styleId="ListParagraph">
    <w:name w:val="List Paragraph"/>
    <w:basedOn w:val="Normal"/>
    <w:uiPriority w:val="34"/>
    <w:qFormat/>
    <w:rsid w:val="00A502A1"/>
    <w:pPr>
      <w:spacing w:after="200" w:line="276" w:lineRule="auto"/>
      <w:ind w:left="720"/>
      <w:contextualSpacing/>
    </w:pPr>
    <w:rPr>
      <w:rFonts w:ascii="Calibri" w:eastAsia="Calibri" w:hAnsi="Calibri"/>
      <w:sz w:val="22"/>
      <w:szCs w:val="22"/>
      <w:lang w:val="it-IT" w:eastAsia="en-US"/>
    </w:rPr>
  </w:style>
  <w:style w:type="paragraph" w:styleId="BodyText2">
    <w:name w:val="Body Text 2"/>
    <w:basedOn w:val="Normal"/>
    <w:link w:val="BodyText2Char"/>
    <w:uiPriority w:val="99"/>
    <w:semiHidden/>
    <w:unhideWhenUsed/>
    <w:rsid w:val="00C17AE8"/>
    <w:pPr>
      <w:spacing w:after="120" w:line="480" w:lineRule="auto"/>
    </w:pPr>
  </w:style>
  <w:style w:type="character" w:customStyle="1" w:styleId="BodyText2Char">
    <w:name w:val="Body Text 2 Char"/>
    <w:link w:val="BodyText2"/>
    <w:uiPriority w:val="99"/>
    <w:semiHidden/>
    <w:rsid w:val="00C17AE8"/>
    <w:rPr>
      <w:rFonts w:ascii="Times New Roman" w:eastAsia="Times New Roman" w:hAnsi="Times New Roman"/>
      <w:sz w:val="24"/>
      <w:szCs w:val="24"/>
      <w:lang w:val="en-GB" w:eastAsia="en-GB"/>
    </w:rPr>
  </w:style>
  <w:style w:type="paragraph" w:styleId="Footer">
    <w:name w:val="footer"/>
    <w:basedOn w:val="Normal"/>
    <w:link w:val="FooterChar"/>
    <w:uiPriority w:val="99"/>
    <w:rsid w:val="00301D4B"/>
    <w:pPr>
      <w:tabs>
        <w:tab w:val="center" w:pos="4153"/>
        <w:tab w:val="right" w:pos="8306"/>
      </w:tabs>
    </w:pPr>
  </w:style>
  <w:style w:type="character" w:customStyle="1" w:styleId="FooterChar">
    <w:name w:val="Footer Char"/>
    <w:link w:val="Footer"/>
    <w:uiPriority w:val="99"/>
    <w:rsid w:val="00301D4B"/>
    <w:rPr>
      <w:rFonts w:ascii="Times New Roman" w:eastAsia="Times New Roman" w:hAnsi="Times New Roman"/>
      <w:sz w:val="24"/>
      <w:szCs w:val="24"/>
      <w:lang w:val="en-GB" w:eastAsia="en-GB"/>
    </w:rPr>
  </w:style>
  <w:style w:type="paragraph" w:styleId="Header">
    <w:name w:val="header"/>
    <w:basedOn w:val="Normal"/>
    <w:link w:val="HeaderChar"/>
    <w:rsid w:val="00301D4B"/>
    <w:pPr>
      <w:tabs>
        <w:tab w:val="center" w:pos="4153"/>
        <w:tab w:val="right" w:pos="8306"/>
      </w:tabs>
    </w:pPr>
  </w:style>
  <w:style w:type="character" w:customStyle="1" w:styleId="HeaderChar">
    <w:name w:val="Header Char"/>
    <w:link w:val="Header"/>
    <w:rsid w:val="00301D4B"/>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301D4B"/>
    <w:rPr>
      <w:sz w:val="20"/>
      <w:szCs w:val="20"/>
    </w:rPr>
  </w:style>
  <w:style w:type="character" w:customStyle="1" w:styleId="FootnoteTextChar">
    <w:name w:val="Footnote Text Char"/>
    <w:link w:val="FootnoteText"/>
    <w:uiPriority w:val="99"/>
    <w:semiHidden/>
    <w:rsid w:val="00301D4B"/>
    <w:rPr>
      <w:rFonts w:ascii="Times New Roman" w:eastAsia="Times New Roman" w:hAnsi="Times New Roman"/>
      <w:lang w:val="en-GB" w:eastAsia="en-GB"/>
    </w:rPr>
  </w:style>
  <w:style w:type="character" w:customStyle="1" w:styleId="goohl3">
    <w:name w:val="goohl3"/>
    <w:basedOn w:val="DefaultParagraphFont"/>
    <w:rsid w:val="00A800BF"/>
  </w:style>
  <w:style w:type="paragraph" w:styleId="NormalWeb">
    <w:name w:val="Normal (Web)"/>
    <w:basedOn w:val="Normal"/>
    <w:rsid w:val="00A27C41"/>
    <w:pPr>
      <w:spacing w:before="100" w:beforeAutospacing="1" w:after="100" w:afterAutospacing="1"/>
    </w:pPr>
  </w:style>
  <w:style w:type="character" w:customStyle="1" w:styleId="Heading1Char">
    <w:name w:val="Heading 1 Char"/>
    <w:aliases w:val="h1 Char"/>
    <w:link w:val="Heading1"/>
    <w:rsid w:val="001F36A2"/>
    <w:rPr>
      <w:rFonts w:ascii="Times New Roman" w:eastAsia="Times New Roman" w:hAnsi="Times New Roman"/>
      <w:sz w:val="24"/>
      <w:lang w:val="pt-BR" w:eastAsia="en-GB"/>
    </w:rPr>
  </w:style>
  <w:style w:type="character" w:customStyle="1" w:styleId="Heading5Char">
    <w:name w:val="Heading 5 Char"/>
    <w:link w:val="Heading5"/>
    <w:rsid w:val="001F36A2"/>
    <w:rPr>
      <w:rFonts w:ascii="Times New Roman" w:eastAsia="Times New Roman" w:hAnsi="Times New Roman"/>
      <w:b/>
      <w:bCs/>
      <w:i/>
      <w:iCs/>
      <w:sz w:val="26"/>
      <w:szCs w:val="26"/>
      <w:lang w:val="en-GB" w:eastAsia="en-GB"/>
    </w:rPr>
  </w:style>
  <w:style w:type="character" w:styleId="Hyperlink">
    <w:name w:val="Hyperlink"/>
    <w:rsid w:val="001F36A2"/>
    <w:rPr>
      <w:color w:val="0000FF"/>
      <w:u w:val="single"/>
    </w:rPr>
  </w:style>
  <w:style w:type="paragraph" w:customStyle="1" w:styleId="Abstract">
    <w:name w:val="Abstract"/>
    <w:basedOn w:val="Normal"/>
    <w:rsid w:val="001F36A2"/>
    <w:pPr>
      <w:ind w:right="26"/>
    </w:pPr>
    <w:rPr>
      <w:lang w:eastAsia="it-IT"/>
    </w:rPr>
  </w:style>
  <w:style w:type="paragraph" w:customStyle="1" w:styleId="NormalCenturyGothic">
    <w:name w:val="Normal + Century Gothic"/>
    <w:aliases w:val="11 pt,Bold,Small caps,Small caps + 9 pt,No underline"/>
    <w:basedOn w:val="Normal"/>
    <w:rsid w:val="00B83D4B"/>
    <w:pPr>
      <w:ind w:right="26"/>
      <w:jc w:val="center"/>
    </w:pPr>
    <w:rPr>
      <w:rFonts w:ascii="Century Gothic" w:hAnsi="Century Gothic"/>
      <w:b/>
      <w:sz w:val="22"/>
      <w:szCs w:val="22"/>
      <w:u w:val="single"/>
    </w:rPr>
  </w:style>
  <w:style w:type="character" w:customStyle="1" w:styleId="BodyText3Char">
    <w:name w:val="Body Text 3 Char"/>
    <w:link w:val="BodyText3"/>
    <w:semiHidden/>
    <w:rsid w:val="002A1832"/>
    <w:rPr>
      <w:rFonts w:ascii="Times New Roman" w:eastAsia="Times New Roman" w:hAnsi="Times New Roman"/>
      <w:sz w:val="16"/>
      <w:szCs w:val="16"/>
      <w:lang w:eastAsia="en-GB"/>
    </w:rPr>
  </w:style>
  <w:style w:type="paragraph" w:styleId="BodyText3">
    <w:name w:val="Body Text 3"/>
    <w:basedOn w:val="Normal"/>
    <w:link w:val="BodyText3Char"/>
    <w:semiHidden/>
    <w:rsid w:val="002A1832"/>
    <w:pPr>
      <w:spacing w:after="120"/>
    </w:pPr>
    <w:rPr>
      <w:sz w:val="16"/>
      <w:szCs w:val="16"/>
    </w:rPr>
  </w:style>
  <w:style w:type="character" w:customStyle="1" w:styleId="Corpodeltesto3Carattere1">
    <w:name w:val="Corpo del testo 3 Carattere1"/>
    <w:uiPriority w:val="99"/>
    <w:semiHidden/>
    <w:rsid w:val="002A1832"/>
    <w:rPr>
      <w:rFonts w:ascii="Times New Roman" w:eastAsia="Times New Roman" w:hAnsi="Times New Roman"/>
      <w:sz w:val="16"/>
      <w:szCs w:val="16"/>
      <w:lang w:val="en-GB" w:eastAsia="en-GB"/>
    </w:rPr>
  </w:style>
  <w:style w:type="paragraph" w:styleId="Revision">
    <w:name w:val="Revision"/>
    <w:hidden/>
    <w:uiPriority w:val="99"/>
    <w:semiHidden/>
    <w:rsid w:val="00ED16BC"/>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ED16BC"/>
    <w:rPr>
      <w:rFonts w:ascii="Tahoma" w:hAnsi="Tahoma"/>
      <w:sz w:val="16"/>
      <w:szCs w:val="16"/>
    </w:rPr>
  </w:style>
  <w:style w:type="character" w:customStyle="1" w:styleId="BalloonTextChar">
    <w:name w:val="Balloon Text Char"/>
    <w:link w:val="BalloonText"/>
    <w:uiPriority w:val="99"/>
    <w:semiHidden/>
    <w:rsid w:val="00ED16BC"/>
    <w:rPr>
      <w:rFonts w:ascii="Tahoma" w:eastAsia="Times New Roman" w:hAnsi="Tahoma" w:cs="Tahoma"/>
      <w:sz w:val="16"/>
      <w:szCs w:val="16"/>
      <w:lang w:val="en-GB" w:eastAsia="en-GB"/>
    </w:rPr>
  </w:style>
  <w:style w:type="paragraph" w:customStyle="1" w:styleId="Default">
    <w:name w:val="Default"/>
    <w:uiPriority w:val="99"/>
    <w:rsid w:val="00036874"/>
    <w:pPr>
      <w:autoSpaceDE w:val="0"/>
      <w:autoSpaceDN w:val="0"/>
      <w:adjustRightInd w:val="0"/>
    </w:pPr>
    <w:rPr>
      <w:rFonts w:ascii="Arial" w:eastAsia="Times New Roman" w:hAnsi="Arial" w:cs="Arial"/>
      <w:color w:val="000000"/>
      <w:sz w:val="24"/>
      <w:szCs w:val="24"/>
      <w:lang w:val="en-AU" w:eastAsia="en-US"/>
    </w:rPr>
  </w:style>
  <w:style w:type="character" w:customStyle="1" w:styleId="Hyperlink0">
    <w:name w:val="Hyperlink.0"/>
    <w:rsid w:val="00036874"/>
    <w:rPr>
      <w:color w:val="0432FF"/>
      <w:u w:val="single"/>
    </w:rPr>
  </w:style>
  <w:style w:type="character" w:styleId="Strong">
    <w:name w:val="Strong"/>
    <w:basedOn w:val="DefaultParagraphFont"/>
    <w:uiPriority w:val="22"/>
    <w:qFormat/>
    <w:rsid w:val="0034573D"/>
    <w:rPr>
      <w:b/>
      <w:bCs/>
    </w:rPr>
  </w:style>
  <w:style w:type="character" w:customStyle="1" w:styleId="apple-converted-space">
    <w:name w:val="apple-converted-space"/>
    <w:rsid w:val="00870A01"/>
  </w:style>
  <w:style w:type="character" w:customStyle="1" w:styleId="bodyblack1">
    <w:name w:val="bodyblack1"/>
    <w:rsid w:val="00870A01"/>
    <w:rPr>
      <w:rFonts w:ascii="Verdana" w:hAnsi="Verdana" w:hint="default"/>
      <w:b w:val="0"/>
      <w:bCs w:val="0"/>
      <w:color w:val="000000"/>
      <w:sz w:val="20"/>
      <w:szCs w:val="20"/>
    </w:rPr>
  </w:style>
  <w:style w:type="character" w:customStyle="1" w:styleId="text-class-21">
    <w:name w:val="text-class-21"/>
    <w:rsid w:val="00870A01"/>
    <w:rPr>
      <w:rFonts w:ascii="Georgia" w:hAnsi="Georgia" w:hint="default"/>
    </w:rPr>
  </w:style>
  <w:style w:type="character" w:styleId="PageNumber">
    <w:name w:val="page number"/>
    <w:basedOn w:val="DefaultParagraphFont"/>
    <w:rsid w:val="00C17B1F"/>
  </w:style>
  <w:style w:type="character" w:styleId="CommentReference">
    <w:name w:val="annotation reference"/>
    <w:basedOn w:val="DefaultParagraphFont"/>
    <w:uiPriority w:val="99"/>
    <w:semiHidden/>
    <w:unhideWhenUsed/>
    <w:rsid w:val="00F9399B"/>
    <w:rPr>
      <w:sz w:val="16"/>
      <w:szCs w:val="16"/>
    </w:rPr>
  </w:style>
  <w:style w:type="paragraph" w:styleId="CommentText">
    <w:name w:val="annotation text"/>
    <w:basedOn w:val="Normal"/>
    <w:link w:val="CommentTextChar"/>
    <w:uiPriority w:val="99"/>
    <w:semiHidden/>
    <w:unhideWhenUsed/>
    <w:rsid w:val="00F9399B"/>
    <w:rPr>
      <w:sz w:val="20"/>
      <w:szCs w:val="20"/>
    </w:rPr>
  </w:style>
  <w:style w:type="character" w:customStyle="1" w:styleId="CommentTextChar">
    <w:name w:val="Comment Text Char"/>
    <w:basedOn w:val="DefaultParagraphFont"/>
    <w:link w:val="CommentText"/>
    <w:uiPriority w:val="99"/>
    <w:semiHidden/>
    <w:rsid w:val="00F9399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9399B"/>
    <w:rPr>
      <w:b/>
      <w:bCs/>
    </w:rPr>
  </w:style>
  <w:style w:type="character" w:customStyle="1" w:styleId="CommentSubjectChar">
    <w:name w:val="Comment Subject Char"/>
    <w:basedOn w:val="CommentTextChar"/>
    <w:link w:val="CommentSubject"/>
    <w:uiPriority w:val="99"/>
    <w:semiHidden/>
    <w:rsid w:val="00F9399B"/>
    <w:rPr>
      <w:rFonts w:ascii="Times New Roman" w:eastAsia="Times New Roman" w:hAnsi="Times New Roman"/>
      <w:b/>
      <w:bCs/>
    </w:rPr>
  </w:style>
  <w:style w:type="table" w:styleId="TableGrid">
    <w:name w:val="Table Grid"/>
    <w:basedOn w:val="TableNormal"/>
    <w:uiPriority w:val="59"/>
    <w:rsid w:val="008E6C04"/>
    <w:rPr>
      <w:rFonts w:asciiTheme="minorHAnsi" w:eastAsiaTheme="minorHAnsi" w:hAnsiTheme="minorHAnsi" w:cstheme="minorBidi"/>
      <w:sz w:val="22"/>
      <w:szCs w:val="22"/>
      <w:lang w:val="it-I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B001BD"/>
    <w:rPr>
      <w:rFonts w:ascii="Tahoma" w:hAnsi="Tahoma" w:cs="Tahoma"/>
      <w:sz w:val="16"/>
      <w:szCs w:val="16"/>
    </w:rPr>
  </w:style>
  <w:style w:type="character" w:customStyle="1" w:styleId="DocumentMapChar">
    <w:name w:val="Document Map Char"/>
    <w:basedOn w:val="DefaultParagraphFont"/>
    <w:link w:val="DocumentMap"/>
    <w:uiPriority w:val="99"/>
    <w:semiHidden/>
    <w:rsid w:val="00B001BD"/>
    <w:rPr>
      <w:rFonts w:ascii="Tahoma" w:eastAsia="Times New Roman" w:hAnsi="Tahoma" w:cs="Tahoma"/>
      <w:sz w:val="16"/>
      <w:szCs w:val="16"/>
    </w:rPr>
  </w:style>
  <w:style w:type="character" w:styleId="Emphasis">
    <w:name w:val="Emphasis"/>
    <w:basedOn w:val="DefaultParagraphFont"/>
    <w:uiPriority w:val="20"/>
    <w:qFormat/>
    <w:rsid w:val="008425D5"/>
    <w:rPr>
      <w:i/>
      <w:iCs/>
    </w:rPr>
  </w:style>
  <w:style w:type="paragraph" w:customStyle="1" w:styleId="EndNoteBibliography">
    <w:name w:val="EndNote Bibliography"/>
    <w:basedOn w:val="Normal"/>
    <w:rsid w:val="004C3818"/>
    <w:pPr>
      <w:suppressAutoHyphens/>
      <w:spacing w:line="480" w:lineRule="auto"/>
      <w:jc w:val="both"/>
    </w:pPr>
    <w:rPr>
      <w:rFonts w:eastAsia="Arial Unicode MS"/>
      <w:color w:val="00000A"/>
      <w:kern w:val="1"/>
      <w:szCs w:val="22"/>
      <w:lang w:eastAsia="zh-CN"/>
    </w:rPr>
  </w:style>
  <w:style w:type="paragraph" w:styleId="PlainText">
    <w:name w:val="Plain Text"/>
    <w:basedOn w:val="Normal"/>
    <w:link w:val="PlainTextChar"/>
    <w:uiPriority w:val="99"/>
    <w:unhideWhenUsed/>
    <w:rsid w:val="001B6BDA"/>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1B6BDA"/>
    <w:rPr>
      <w:rFonts w:ascii="Consolas"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886106">
      <w:bodyDiv w:val="1"/>
      <w:marLeft w:val="0"/>
      <w:marRight w:val="0"/>
      <w:marTop w:val="0"/>
      <w:marBottom w:val="0"/>
      <w:divBdr>
        <w:top w:val="none" w:sz="0" w:space="0" w:color="auto"/>
        <w:left w:val="none" w:sz="0" w:space="0" w:color="auto"/>
        <w:bottom w:val="none" w:sz="0" w:space="0" w:color="auto"/>
        <w:right w:val="none" w:sz="0" w:space="0" w:color="auto"/>
      </w:divBdr>
      <w:divsChild>
        <w:div w:id="1342243844">
          <w:marLeft w:val="0"/>
          <w:marRight w:val="0"/>
          <w:marTop w:val="0"/>
          <w:marBottom w:val="0"/>
          <w:divBdr>
            <w:top w:val="none" w:sz="0" w:space="0" w:color="auto"/>
            <w:left w:val="none" w:sz="0" w:space="0" w:color="auto"/>
            <w:bottom w:val="none" w:sz="0" w:space="0" w:color="auto"/>
            <w:right w:val="none" w:sz="0" w:space="0" w:color="auto"/>
          </w:divBdr>
        </w:div>
      </w:divsChild>
    </w:div>
    <w:div w:id="465584630">
      <w:bodyDiv w:val="1"/>
      <w:marLeft w:val="0"/>
      <w:marRight w:val="0"/>
      <w:marTop w:val="0"/>
      <w:marBottom w:val="0"/>
      <w:divBdr>
        <w:top w:val="none" w:sz="0" w:space="0" w:color="auto"/>
        <w:left w:val="none" w:sz="0" w:space="0" w:color="auto"/>
        <w:bottom w:val="none" w:sz="0" w:space="0" w:color="auto"/>
        <w:right w:val="none" w:sz="0" w:space="0" w:color="auto"/>
      </w:divBdr>
    </w:div>
    <w:div w:id="515966411">
      <w:bodyDiv w:val="1"/>
      <w:marLeft w:val="0"/>
      <w:marRight w:val="0"/>
      <w:marTop w:val="0"/>
      <w:marBottom w:val="0"/>
      <w:divBdr>
        <w:top w:val="none" w:sz="0" w:space="0" w:color="auto"/>
        <w:left w:val="none" w:sz="0" w:space="0" w:color="auto"/>
        <w:bottom w:val="none" w:sz="0" w:space="0" w:color="auto"/>
        <w:right w:val="none" w:sz="0" w:space="0" w:color="auto"/>
      </w:divBdr>
      <w:divsChild>
        <w:div w:id="1955556460">
          <w:marLeft w:val="0"/>
          <w:marRight w:val="0"/>
          <w:marTop w:val="0"/>
          <w:marBottom w:val="0"/>
          <w:divBdr>
            <w:top w:val="none" w:sz="0" w:space="0" w:color="auto"/>
            <w:left w:val="none" w:sz="0" w:space="0" w:color="auto"/>
            <w:bottom w:val="none" w:sz="0" w:space="0" w:color="auto"/>
            <w:right w:val="none" w:sz="0" w:space="0" w:color="auto"/>
          </w:divBdr>
        </w:div>
        <w:div w:id="610167692">
          <w:marLeft w:val="0"/>
          <w:marRight w:val="0"/>
          <w:marTop w:val="0"/>
          <w:marBottom w:val="0"/>
          <w:divBdr>
            <w:top w:val="none" w:sz="0" w:space="0" w:color="auto"/>
            <w:left w:val="none" w:sz="0" w:space="0" w:color="auto"/>
            <w:bottom w:val="none" w:sz="0" w:space="0" w:color="auto"/>
            <w:right w:val="none" w:sz="0" w:space="0" w:color="auto"/>
          </w:divBdr>
        </w:div>
        <w:div w:id="134375680">
          <w:marLeft w:val="0"/>
          <w:marRight w:val="0"/>
          <w:marTop w:val="0"/>
          <w:marBottom w:val="0"/>
          <w:divBdr>
            <w:top w:val="none" w:sz="0" w:space="0" w:color="auto"/>
            <w:left w:val="none" w:sz="0" w:space="0" w:color="auto"/>
            <w:bottom w:val="none" w:sz="0" w:space="0" w:color="auto"/>
            <w:right w:val="none" w:sz="0" w:space="0" w:color="auto"/>
          </w:divBdr>
        </w:div>
        <w:div w:id="1533107889">
          <w:marLeft w:val="0"/>
          <w:marRight w:val="0"/>
          <w:marTop w:val="0"/>
          <w:marBottom w:val="0"/>
          <w:divBdr>
            <w:top w:val="none" w:sz="0" w:space="0" w:color="auto"/>
            <w:left w:val="none" w:sz="0" w:space="0" w:color="auto"/>
            <w:bottom w:val="none" w:sz="0" w:space="0" w:color="auto"/>
            <w:right w:val="none" w:sz="0" w:space="0" w:color="auto"/>
          </w:divBdr>
        </w:div>
        <w:div w:id="1661614908">
          <w:marLeft w:val="0"/>
          <w:marRight w:val="0"/>
          <w:marTop w:val="0"/>
          <w:marBottom w:val="0"/>
          <w:divBdr>
            <w:top w:val="none" w:sz="0" w:space="0" w:color="auto"/>
            <w:left w:val="none" w:sz="0" w:space="0" w:color="auto"/>
            <w:bottom w:val="none" w:sz="0" w:space="0" w:color="auto"/>
            <w:right w:val="none" w:sz="0" w:space="0" w:color="auto"/>
          </w:divBdr>
        </w:div>
        <w:div w:id="2126999821">
          <w:marLeft w:val="0"/>
          <w:marRight w:val="0"/>
          <w:marTop w:val="0"/>
          <w:marBottom w:val="0"/>
          <w:divBdr>
            <w:top w:val="none" w:sz="0" w:space="0" w:color="auto"/>
            <w:left w:val="none" w:sz="0" w:space="0" w:color="auto"/>
            <w:bottom w:val="none" w:sz="0" w:space="0" w:color="auto"/>
            <w:right w:val="none" w:sz="0" w:space="0" w:color="auto"/>
          </w:divBdr>
        </w:div>
      </w:divsChild>
    </w:div>
    <w:div w:id="760373214">
      <w:bodyDiv w:val="1"/>
      <w:marLeft w:val="0"/>
      <w:marRight w:val="0"/>
      <w:marTop w:val="0"/>
      <w:marBottom w:val="0"/>
      <w:divBdr>
        <w:top w:val="none" w:sz="0" w:space="0" w:color="auto"/>
        <w:left w:val="none" w:sz="0" w:space="0" w:color="auto"/>
        <w:bottom w:val="none" w:sz="0" w:space="0" w:color="auto"/>
        <w:right w:val="none" w:sz="0" w:space="0" w:color="auto"/>
      </w:divBdr>
    </w:div>
    <w:div w:id="786582446">
      <w:bodyDiv w:val="1"/>
      <w:marLeft w:val="0"/>
      <w:marRight w:val="0"/>
      <w:marTop w:val="0"/>
      <w:marBottom w:val="0"/>
      <w:divBdr>
        <w:top w:val="none" w:sz="0" w:space="0" w:color="auto"/>
        <w:left w:val="none" w:sz="0" w:space="0" w:color="auto"/>
        <w:bottom w:val="none" w:sz="0" w:space="0" w:color="auto"/>
        <w:right w:val="none" w:sz="0" w:space="0" w:color="auto"/>
      </w:divBdr>
      <w:divsChild>
        <w:div w:id="224461191">
          <w:marLeft w:val="0"/>
          <w:marRight w:val="0"/>
          <w:marTop w:val="0"/>
          <w:marBottom w:val="0"/>
          <w:divBdr>
            <w:top w:val="none" w:sz="0" w:space="0" w:color="auto"/>
            <w:left w:val="none" w:sz="0" w:space="0" w:color="auto"/>
            <w:bottom w:val="none" w:sz="0" w:space="0" w:color="auto"/>
            <w:right w:val="none" w:sz="0" w:space="0" w:color="auto"/>
          </w:divBdr>
        </w:div>
      </w:divsChild>
    </w:div>
    <w:div w:id="809828684">
      <w:bodyDiv w:val="1"/>
      <w:marLeft w:val="0"/>
      <w:marRight w:val="0"/>
      <w:marTop w:val="0"/>
      <w:marBottom w:val="0"/>
      <w:divBdr>
        <w:top w:val="none" w:sz="0" w:space="0" w:color="auto"/>
        <w:left w:val="none" w:sz="0" w:space="0" w:color="auto"/>
        <w:bottom w:val="none" w:sz="0" w:space="0" w:color="auto"/>
        <w:right w:val="none" w:sz="0" w:space="0" w:color="auto"/>
      </w:divBdr>
      <w:divsChild>
        <w:div w:id="381558921">
          <w:marLeft w:val="0"/>
          <w:marRight w:val="0"/>
          <w:marTop w:val="0"/>
          <w:marBottom w:val="0"/>
          <w:divBdr>
            <w:top w:val="none" w:sz="0" w:space="0" w:color="auto"/>
            <w:left w:val="none" w:sz="0" w:space="0" w:color="auto"/>
            <w:bottom w:val="none" w:sz="0" w:space="0" w:color="auto"/>
            <w:right w:val="none" w:sz="0" w:space="0" w:color="auto"/>
          </w:divBdr>
        </w:div>
      </w:divsChild>
    </w:div>
    <w:div w:id="934824077">
      <w:bodyDiv w:val="1"/>
      <w:marLeft w:val="0"/>
      <w:marRight w:val="0"/>
      <w:marTop w:val="0"/>
      <w:marBottom w:val="0"/>
      <w:divBdr>
        <w:top w:val="none" w:sz="0" w:space="0" w:color="auto"/>
        <w:left w:val="none" w:sz="0" w:space="0" w:color="auto"/>
        <w:bottom w:val="none" w:sz="0" w:space="0" w:color="auto"/>
        <w:right w:val="none" w:sz="0" w:space="0" w:color="auto"/>
      </w:divBdr>
    </w:div>
    <w:div w:id="1283656832">
      <w:bodyDiv w:val="1"/>
      <w:marLeft w:val="0"/>
      <w:marRight w:val="0"/>
      <w:marTop w:val="0"/>
      <w:marBottom w:val="0"/>
      <w:divBdr>
        <w:top w:val="none" w:sz="0" w:space="0" w:color="auto"/>
        <w:left w:val="none" w:sz="0" w:space="0" w:color="auto"/>
        <w:bottom w:val="none" w:sz="0" w:space="0" w:color="auto"/>
        <w:right w:val="none" w:sz="0" w:space="0" w:color="auto"/>
      </w:divBdr>
    </w:div>
    <w:div w:id="1390686723">
      <w:bodyDiv w:val="1"/>
      <w:marLeft w:val="0"/>
      <w:marRight w:val="0"/>
      <w:marTop w:val="0"/>
      <w:marBottom w:val="0"/>
      <w:divBdr>
        <w:top w:val="none" w:sz="0" w:space="0" w:color="auto"/>
        <w:left w:val="none" w:sz="0" w:space="0" w:color="auto"/>
        <w:bottom w:val="none" w:sz="0" w:space="0" w:color="auto"/>
        <w:right w:val="none" w:sz="0" w:space="0" w:color="auto"/>
      </w:divBdr>
      <w:divsChild>
        <w:div w:id="1207328974">
          <w:marLeft w:val="0"/>
          <w:marRight w:val="0"/>
          <w:marTop w:val="0"/>
          <w:marBottom w:val="0"/>
          <w:divBdr>
            <w:top w:val="none" w:sz="0" w:space="0" w:color="auto"/>
            <w:left w:val="none" w:sz="0" w:space="0" w:color="auto"/>
            <w:bottom w:val="none" w:sz="0" w:space="0" w:color="auto"/>
            <w:right w:val="none" w:sz="0" w:space="0" w:color="auto"/>
          </w:divBdr>
        </w:div>
      </w:divsChild>
    </w:div>
    <w:div w:id="1425806733">
      <w:bodyDiv w:val="1"/>
      <w:marLeft w:val="0"/>
      <w:marRight w:val="0"/>
      <w:marTop w:val="0"/>
      <w:marBottom w:val="0"/>
      <w:divBdr>
        <w:top w:val="none" w:sz="0" w:space="0" w:color="auto"/>
        <w:left w:val="none" w:sz="0" w:space="0" w:color="auto"/>
        <w:bottom w:val="none" w:sz="0" w:space="0" w:color="auto"/>
        <w:right w:val="none" w:sz="0" w:space="0" w:color="auto"/>
      </w:divBdr>
    </w:div>
    <w:div w:id="1778212181">
      <w:bodyDiv w:val="1"/>
      <w:marLeft w:val="0"/>
      <w:marRight w:val="0"/>
      <w:marTop w:val="0"/>
      <w:marBottom w:val="0"/>
      <w:divBdr>
        <w:top w:val="none" w:sz="0" w:space="0" w:color="auto"/>
        <w:left w:val="none" w:sz="0" w:space="0" w:color="auto"/>
        <w:bottom w:val="none" w:sz="0" w:space="0" w:color="auto"/>
        <w:right w:val="none" w:sz="0" w:space="0" w:color="auto"/>
      </w:divBdr>
      <w:divsChild>
        <w:div w:id="377706312">
          <w:marLeft w:val="0"/>
          <w:marRight w:val="0"/>
          <w:marTop w:val="0"/>
          <w:marBottom w:val="0"/>
          <w:divBdr>
            <w:top w:val="none" w:sz="0" w:space="0" w:color="auto"/>
            <w:left w:val="none" w:sz="0" w:space="0" w:color="auto"/>
            <w:bottom w:val="none" w:sz="0" w:space="0" w:color="auto"/>
            <w:right w:val="none" w:sz="0" w:space="0" w:color="auto"/>
          </w:divBdr>
        </w:div>
        <w:div w:id="359858878">
          <w:marLeft w:val="0"/>
          <w:marRight w:val="0"/>
          <w:marTop w:val="0"/>
          <w:marBottom w:val="0"/>
          <w:divBdr>
            <w:top w:val="none" w:sz="0" w:space="0" w:color="auto"/>
            <w:left w:val="none" w:sz="0" w:space="0" w:color="auto"/>
            <w:bottom w:val="none" w:sz="0" w:space="0" w:color="auto"/>
            <w:right w:val="none" w:sz="0" w:space="0" w:color="auto"/>
          </w:divBdr>
        </w:div>
        <w:div w:id="1251499939">
          <w:marLeft w:val="0"/>
          <w:marRight w:val="0"/>
          <w:marTop w:val="0"/>
          <w:marBottom w:val="0"/>
          <w:divBdr>
            <w:top w:val="none" w:sz="0" w:space="0" w:color="auto"/>
            <w:left w:val="none" w:sz="0" w:space="0" w:color="auto"/>
            <w:bottom w:val="none" w:sz="0" w:space="0" w:color="auto"/>
            <w:right w:val="none" w:sz="0" w:space="0" w:color="auto"/>
          </w:divBdr>
        </w:div>
        <w:div w:id="667371317">
          <w:marLeft w:val="0"/>
          <w:marRight w:val="0"/>
          <w:marTop w:val="0"/>
          <w:marBottom w:val="0"/>
          <w:divBdr>
            <w:top w:val="none" w:sz="0" w:space="0" w:color="auto"/>
            <w:left w:val="none" w:sz="0" w:space="0" w:color="auto"/>
            <w:bottom w:val="none" w:sz="0" w:space="0" w:color="auto"/>
            <w:right w:val="none" w:sz="0" w:space="0" w:color="auto"/>
          </w:divBdr>
        </w:div>
      </w:divsChild>
    </w:div>
    <w:div w:id="1887907541">
      <w:bodyDiv w:val="1"/>
      <w:marLeft w:val="0"/>
      <w:marRight w:val="0"/>
      <w:marTop w:val="0"/>
      <w:marBottom w:val="0"/>
      <w:divBdr>
        <w:top w:val="none" w:sz="0" w:space="0" w:color="auto"/>
        <w:left w:val="none" w:sz="0" w:space="0" w:color="auto"/>
        <w:bottom w:val="none" w:sz="0" w:space="0" w:color="auto"/>
        <w:right w:val="none" w:sz="0" w:space="0" w:color="auto"/>
      </w:divBdr>
      <w:divsChild>
        <w:div w:id="1974477958">
          <w:marLeft w:val="0"/>
          <w:marRight w:val="0"/>
          <w:marTop w:val="0"/>
          <w:marBottom w:val="0"/>
          <w:divBdr>
            <w:top w:val="none" w:sz="0" w:space="0" w:color="auto"/>
            <w:left w:val="none" w:sz="0" w:space="0" w:color="auto"/>
            <w:bottom w:val="none" w:sz="0" w:space="0" w:color="auto"/>
            <w:right w:val="none" w:sz="0" w:space="0" w:color="auto"/>
          </w:divBdr>
        </w:div>
        <w:div w:id="1148128099">
          <w:marLeft w:val="0"/>
          <w:marRight w:val="0"/>
          <w:marTop w:val="0"/>
          <w:marBottom w:val="0"/>
          <w:divBdr>
            <w:top w:val="none" w:sz="0" w:space="0" w:color="auto"/>
            <w:left w:val="none" w:sz="0" w:space="0" w:color="auto"/>
            <w:bottom w:val="none" w:sz="0" w:space="0" w:color="auto"/>
            <w:right w:val="none" w:sz="0" w:space="0" w:color="auto"/>
          </w:divBdr>
        </w:div>
      </w:divsChild>
    </w:div>
    <w:div w:id="1983578863">
      <w:bodyDiv w:val="1"/>
      <w:marLeft w:val="0"/>
      <w:marRight w:val="0"/>
      <w:marTop w:val="0"/>
      <w:marBottom w:val="0"/>
      <w:divBdr>
        <w:top w:val="none" w:sz="0" w:space="0" w:color="auto"/>
        <w:left w:val="none" w:sz="0" w:space="0" w:color="auto"/>
        <w:bottom w:val="none" w:sz="0" w:space="0" w:color="auto"/>
        <w:right w:val="none" w:sz="0" w:space="0" w:color="auto"/>
      </w:divBdr>
    </w:div>
    <w:div w:id="1994673242">
      <w:bodyDiv w:val="1"/>
      <w:marLeft w:val="0"/>
      <w:marRight w:val="0"/>
      <w:marTop w:val="0"/>
      <w:marBottom w:val="0"/>
      <w:divBdr>
        <w:top w:val="none" w:sz="0" w:space="0" w:color="auto"/>
        <w:left w:val="none" w:sz="0" w:space="0" w:color="auto"/>
        <w:bottom w:val="none" w:sz="0" w:space="0" w:color="auto"/>
        <w:right w:val="none" w:sz="0" w:space="0" w:color="auto"/>
      </w:divBdr>
    </w:div>
    <w:div w:id="2134518182">
      <w:bodyDiv w:val="1"/>
      <w:marLeft w:val="0"/>
      <w:marRight w:val="0"/>
      <w:marTop w:val="0"/>
      <w:marBottom w:val="0"/>
      <w:divBdr>
        <w:top w:val="none" w:sz="0" w:space="0" w:color="auto"/>
        <w:left w:val="none" w:sz="0" w:space="0" w:color="auto"/>
        <w:bottom w:val="none" w:sz="0" w:space="0" w:color="auto"/>
        <w:right w:val="none" w:sz="0" w:space="0" w:color="auto"/>
      </w:divBdr>
      <w:divsChild>
        <w:div w:id="191596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kcevic@kingston.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icd.who.int/browse11/l-m/en" TargetMode="External"/><Relationship Id="rId4" Type="http://schemas.openxmlformats.org/officeDocument/2006/relationships/settings" Target="settings.xml"/><Relationship Id="rId9" Type="http://schemas.openxmlformats.org/officeDocument/2006/relationships/hyperlink" Target="http://www.R-projec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3A69EE8-7969-4F63-A255-F7F6E5417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4656</Words>
  <Characters>26542</Characters>
  <Application>Microsoft Office Word</Application>
  <DocSecurity>0</DocSecurity>
  <Lines>221</Lines>
  <Paragraphs>62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Caselli, G., Marino, C. &amp; Spada, M. M. Modelling online gaming metacognitions</vt:lpstr>
      <vt:lpstr>Caselli, G., Marino, C. &amp; Spada, M. M. Modelling online gaming metacognitions</vt:lpstr>
    </vt:vector>
  </TitlesOfParts>
  <Company>Hewlett-Packard Company</Company>
  <LinksUpToDate>false</LinksUpToDate>
  <CharactersWithSpaces>31136</CharactersWithSpaces>
  <SharedDoc>false</SharedDoc>
  <HLinks>
    <vt:vector size="6" baseType="variant">
      <vt:variant>
        <vt:i4>3604575</vt:i4>
      </vt:variant>
      <vt:variant>
        <vt:i4>0</vt:i4>
      </vt:variant>
      <vt:variant>
        <vt:i4>0</vt:i4>
      </vt:variant>
      <vt:variant>
        <vt:i4>5</vt:i4>
      </vt:variant>
      <vt:variant>
        <vt:lpwstr>mailto:g.caselli@studicognitivi.net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Caselli, G., Marino, C. &amp; Spada, M. M. Modelling online gaming metacognitions</dc:title>
  <dc:creator>M Spada</dc:creator>
  <cp:lastModifiedBy>Spada, Marcantonio</cp:lastModifiedBy>
  <cp:revision>3</cp:revision>
  <cp:lastPrinted>2019-08-21T13:21:00Z</cp:lastPrinted>
  <dcterms:created xsi:type="dcterms:W3CDTF">2020-05-05T15:15:00Z</dcterms:created>
  <dcterms:modified xsi:type="dcterms:W3CDTF">2020-07-07T18:01:00Z</dcterms:modified>
</cp:coreProperties>
</file>