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4A145" w14:textId="42D4E433" w:rsidR="00A2313E" w:rsidRPr="003B6C5B" w:rsidRDefault="00E96255" w:rsidP="003B6C5B">
      <w:pPr>
        <w:spacing w:line="480" w:lineRule="auto"/>
        <w:jc w:val="center"/>
        <w:rPr>
          <w:rFonts w:eastAsia="SimSun" w:cstheme="majorBidi"/>
          <w:b/>
          <w:bCs/>
          <w:sz w:val="28"/>
          <w:szCs w:val="28"/>
        </w:rPr>
      </w:pPr>
      <w:bookmarkStart w:id="0" w:name="_Hlk28368500"/>
      <w:r w:rsidRPr="003B6C5B">
        <w:rPr>
          <w:rFonts w:eastAsia="SimSun" w:cstheme="majorBidi"/>
          <w:b/>
          <w:bCs/>
          <w:sz w:val="28"/>
          <w:szCs w:val="28"/>
        </w:rPr>
        <w:t xml:space="preserve">Multiscale </w:t>
      </w:r>
      <w:r w:rsidR="007E5473" w:rsidRPr="003B6C5B">
        <w:rPr>
          <w:rFonts w:eastAsia="SimSun" w:cstheme="majorBidi"/>
          <w:b/>
          <w:bCs/>
          <w:sz w:val="28"/>
          <w:szCs w:val="28"/>
        </w:rPr>
        <w:t xml:space="preserve">interplay of </w:t>
      </w:r>
      <w:r w:rsidRPr="003B6C5B">
        <w:rPr>
          <w:rFonts w:eastAsia="SimSun" w:cstheme="majorBidi"/>
          <w:b/>
          <w:bCs/>
          <w:sz w:val="28"/>
          <w:szCs w:val="28"/>
        </w:rPr>
        <w:t>h</w:t>
      </w:r>
      <w:r w:rsidR="00391DD7" w:rsidRPr="003B6C5B">
        <w:rPr>
          <w:rFonts w:eastAsia="SimSun" w:cstheme="majorBidi"/>
          <w:b/>
          <w:bCs/>
          <w:sz w:val="28"/>
          <w:szCs w:val="28"/>
        </w:rPr>
        <w:t>igher-order</w:t>
      </w:r>
      <w:r w:rsidR="00391DD7" w:rsidRPr="003B6C5B">
        <w:rPr>
          <w:rFonts w:eastAsia="SimSun" w:cstheme="majorBidi" w:hint="eastAsia"/>
          <w:b/>
          <w:bCs/>
          <w:sz w:val="28"/>
          <w:szCs w:val="28"/>
        </w:rPr>
        <w:t xml:space="preserve"> </w:t>
      </w:r>
      <w:r w:rsidR="00391DD7" w:rsidRPr="003B6C5B">
        <w:rPr>
          <w:rFonts w:eastAsia="SimSun" w:cstheme="majorBidi"/>
          <w:b/>
          <w:bCs/>
          <w:sz w:val="28"/>
          <w:szCs w:val="28"/>
        </w:rPr>
        <w:t>moments</w:t>
      </w:r>
      <w:r w:rsidR="00391DD7" w:rsidRPr="003B6C5B">
        <w:rPr>
          <w:rFonts w:eastAsia="SimSun" w:cstheme="majorBidi" w:hint="eastAsia"/>
          <w:b/>
          <w:bCs/>
          <w:sz w:val="28"/>
          <w:szCs w:val="28"/>
        </w:rPr>
        <w:t xml:space="preserve"> </w:t>
      </w:r>
      <w:r w:rsidR="00A2313E" w:rsidRPr="003B6C5B">
        <w:rPr>
          <w:rFonts w:eastAsia="SimSun" w:cstheme="majorBidi"/>
          <w:b/>
          <w:bCs/>
          <w:sz w:val="28"/>
          <w:szCs w:val="28"/>
        </w:rPr>
        <w:t>between</w:t>
      </w:r>
      <w:r w:rsidR="006724D6" w:rsidRPr="003B6C5B">
        <w:rPr>
          <w:rFonts w:eastAsia="SimSun" w:cstheme="majorBidi"/>
          <w:b/>
          <w:bCs/>
          <w:sz w:val="28"/>
          <w:szCs w:val="28"/>
        </w:rPr>
        <w:t xml:space="preserve"> the</w:t>
      </w:r>
      <w:r w:rsidR="00A2313E" w:rsidRPr="003B6C5B">
        <w:rPr>
          <w:rFonts w:eastAsia="SimSun" w:cstheme="majorBidi"/>
          <w:b/>
          <w:bCs/>
          <w:sz w:val="28"/>
          <w:szCs w:val="28"/>
        </w:rPr>
        <w:t xml:space="preserve"> carbon and energy markets </w:t>
      </w:r>
      <w:r w:rsidR="00A2313E" w:rsidRPr="003B6C5B">
        <w:rPr>
          <w:rFonts w:eastAsia="SimSun" w:cstheme="majorBidi" w:hint="eastAsia"/>
          <w:b/>
          <w:bCs/>
          <w:sz w:val="28"/>
          <w:szCs w:val="28"/>
        </w:rPr>
        <w:t>during</w:t>
      </w:r>
      <w:r w:rsidR="00A2313E" w:rsidRPr="003B6C5B">
        <w:rPr>
          <w:rFonts w:eastAsia="SimSun" w:cstheme="majorBidi"/>
          <w:b/>
          <w:bCs/>
          <w:sz w:val="28"/>
          <w:szCs w:val="28"/>
        </w:rPr>
        <w:t xml:space="preserve"> </w:t>
      </w:r>
      <w:r w:rsidR="006724D6" w:rsidRPr="003B6C5B">
        <w:rPr>
          <w:rFonts w:eastAsia="SimSun" w:cstheme="majorBidi"/>
          <w:b/>
          <w:bCs/>
          <w:sz w:val="28"/>
          <w:szCs w:val="28"/>
        </w:rPr>
        <w:t>Phase III</w:t>
      </w:r>
      <w:r w:rsidR="00EE10D8" w:rsidRPr="003B6C5B">
        <w:rPr>
          <w:rFonts w:eastAsia="SimSun" w:cstheme="majorBidi"/>
          <w:b/>
          <w:bCs/>
          <w:sz w:val="28"/>
          <w:szCs w:val="28"/>
        </w:rPr>
        <w:t xml:space="preserve"> </w:t>
      </w:r>
      <w:r w:rsidR="006724D6" w:rsidRPr="003B6C5B">
        <w:rPr>
          <w:rFonts w:eastAsia="SimSun" w:cstheme="majorBidi"/>
          <w:b/>
          <w:bCs/>
          <w:sz w:val="28"/>
          <w:szCs w:val="28"/>
        </w:rPr>
        <w:t xml:space="preserve">of the </w:t>
      </w:r>
      <w:r w:rsidR="00A2313E" w:rsidRPr="003B6C5B">
        <w:rPr>
          <w:rFonts w:eastAsia="SimSun" w:cstheme="majorBidi"/>
          <w:b/>
          <w:bCs/>
          <w:sz w:val="28"/>
          <w:szCs w:val="28"/>
        </w:rPr>
        <w:t xml:space="preserve">EU ETS </w:t>
      </w:r>
    </w:p>
    <w:bookmarkEnd w:id="0"/>
    <w:p w14:paraId="589B648D" w14:textId="77B472B1" w:rsidR="00A2313E" w:rsidRPr="003B6C5B" w:rsidRDefault="00A2313E" w:rsidP="006724D6">
      <w:pPr>
        <w:keepNext/>
        <w:keepLines/>
        <w:spacing w:after="80" w:line="480" w:lineRule="auto"/>
        <w:jc w:val="both"/>
        <w:outlineLvl w:val="0"/>
      </w:pPr>
      <w:r w:rsidRPr="00542A94">
        <w:rPr>
          <w:b/>
          <w:bCs/>
          <w:kern w:val="44"/>
        </w:rPr>
        <w:t xml:space="preserve">Abstract: </w:t>
      </w:r>
      <w:r w:rsidR="000551C0">
        <w:rPr>
          <w:bCs/>
          <w:kern w:val="44"/>
        </w:rPr>
        <w:t>The</w:t>
      </w:r>
      <w:r w:rsidR="000551C0" w:rsidRPr="003B6C5B">
        <w:t xml:space="preserve"> Phase III of the European Union </w:t>
      </w:r>
      <w:r w:rsidR="000551C0">
        <w:t xml:space="preserve">Emission </w:t>
      </w:r>
      <w:r w:rsidR="000551C0" w:rsidRPr="003B6C5B">
        <w:t>Trading System (EU ETS)</w:t>
      </w:r>
      <w:r w:rsidR="000551C0">
        <w:t xml:space="preserve"> is significantly different from the previous </w:t>
      </w:r>
      <w:r w:rsidR="0013466E">
        <w:t>P</w:t>
      </w:r>
      <w:r w:rsidR="000551C0">
        <w:t xml:space="preserve">hases in terms of </w:t>
      </w:r>
      <w:r w:rsidR="007C60FB" w:rsidRPr="007C60FB">
        <w:t>price trajectory and operational mechanisms</w:t>
      </w:r>
      <w:r w:rsidR="000551C0" w:rsidRPr="003B6C5B">
        <w:t xml:space="preserve">. </w:t>
      </w:r>
      <w:r w:rsidR="00366BEB" w:rsidRPr="00542A94">
        <w:rPr>
          <w:rFonts w:hint="eastAsia"/>
        </w:rPr>
        <w:t>A</w:t>
      </w:r>
      <w:r w:rsidR="00366BEB" w:rsidRPr="00542A94">
        <w:t xml:space="preserve">gainst this background, this </w:t>
      </w:r>
      <w:r w:rsidR="007E5473" w:rsidRPr="00542A94">
        <w:t>study reveal</w:t>
      </w:r>
      <w:r w:rsidR="005860F4">
        <w:t>s</w:t>
      </w:r>
      <w:r w:rsidR="007E5473" w:rsidRPr="00542A94">
        <w:t xml:space="preserve"> </w:t>
      </w:r>
      <w:r w:rsidR="00366BEB" w:rsidRPr="00542A94">
        <w:t xml:space="preserve">the </w:t>
      </w:r>
      <w:r w:rsidR="003D2970" w:rsidRPr="00542A94">
        <w:t>multiscale</w:t>
      </w:r>
      <w:r w:rsidR="007E5473" w:rsidRPr="00542A94">
        <w:t xml:space="preserve"> interplay of </w:t>
      </w:r>
      <w:r w:rsidR="00366BEB" w:rsidRPr="00542A94">
        <w:t>higher-order moments</w:t>
      </w:r>
      <w:r w:rsidR="00A204BF" w:rsidRPr="00542A94">
        <w:t xml:space="preserve"> (skewness and kurtosis)</w:t>
      </w:r>
      <w:r w:rsidR="00366BEB" w:rsidRPr="00542A94">
        <w:t xml:space="preserve"> between</w:t>
      </w:r>
      <w:r w:rsidR="007E5473" w:rsidRPr="00542A94">
        <w:t xml:space="preserve"> the</w:t>
      </w:r>
      <w:r w:rsidR="00366BEB" w:rsidRPr="00542A94">
        <w:t xml:space="preserve"> carbon </w:t>
      </w:r>
      <w:r w:rsidR="00DB5753" w:rsidRPr="00542A94">
        <w:t xml:space="preserve">and energy markets, and </w:t>
      </w:r>
      <w:r w:rsidR="00A10872" w:rsidRPr="00542A94">
        <w:t>formulates</w:t>
      </w:r>
      <w:r w:rsidR="008D2C72" w:rsidRPr="00542A94">
        <w:t xml:space="preserve"> </w:t>
      </w:r>
      <w:r w:rsidR="00DB5753" w:rsidRPr="00542A94">
        <w:t xml:space="preserve">the optimal portfolio strategies </w:t>
      </w:r>
      <w:r w:rsidR="002631F5" w:rsidRPr="00542A94">
        <w:t xml:space="preserve">to manage </w:t>
      </w:r>
      <w:r w:rsidR="00542A94" w:rsidRPr="00542A94">
        <w:t>higher-order moments</w:t>
      </w:r>
      <w:r w:rsidR="002631F5" w:rsidRPr="00542A94">
        <w:t xml:space="preserve"> risks at different time horizons</w:t>
      </w:r>
      <w:r w:rsidR="00DB5753" w:rsidRPr="00542A94">
        <w:t>.</w:t>
      </w:r>
      <w:r w:rsidR="00DB5753" w:rsidRPr="003B6C5B">
        <w:t xml:space="preserve"> </w:t>
      </w:r>
      <w:r w:rsidR="00F51967" w:rsidRPr="003B6C5B">
        <w:t xml:space="preserve">We </w:t>
      </w:r>
      <w:r w:rsidR="00F51967">
        <w:t>detect</w:t>
      </w:r>
      <w:r w:rsidR="00F51967" w:rsidRPr="003B6C5B">
        <w:t xml:space="preserve"> a breakpoint</w:t>
      </w:r>
      <w:r w:rsidR="00F51967">
        <w:t xml:space="preserve">, </w:t>
      </w:r>
      <w:r w:rsidR="00F51967" w:rsidRPr="003B6C5B">
        <w:t>September 15, 2016</w:t>
      </w:r>
      <w:r w:rsidR="00F51967">
        <w:t>,</w:t>
      </w:r>
      <w:r w:rsidR="00F51967" w:rsidRPr="003B6C5B">
        <w:t xml:space="preserve"> in the carbon-energy markets which divided Phase III into two stages</w:t>
      </w:r>
      <w:r w:rsidR="00F51967">
        <w:t xml:space="preserve"> corresponding to different market status</w:t>
      </w:r>
      <w:r w:rsidR="00F51967" w:rsidRPr="003B6C5B">
        <w:t xml:space="preserve">. </w:t>
      </w:r>
      <w:r w:rsidR="00DB5753" w:rsidRPr="003B6C5B">
        <w:t xml:space="preserve">Our findings </w:t>
      </w:r>
      <w:r w:rsidR="007E5473" w:rsidRPr="003B6C5B">
        <w:t>show</w:t>
      </w:r>
      <w:r w:rsidR="006862D4" w:rsidRPr="003B6C5B">
        <w:t xml:space="preserve"> </w:t>
      </w:r>
      <w:r w:rsidR="00DB5753" w:rsidRPr="003B6C5B">
        <w:t xml:space="preserve">that </w:t>
      </w:r>
      <w:r w:rsidR="007E5473" w:rsidRPr="003B6C5B">
        <w:t>the bidirectional higher-order moments spillovers between the carbon and energy markets are weak at the short-run timescales (below 16</w:t>
      </w:r>
      <w:r w:rsidR="00281900" w:rsidRPr="003B6C5B">
        <w:t xml:space="preserve"> </w:t>
      </w:r>
      <w:r w:rsidR="007E5473" w:rsidRPr="003B6C5B">
        <w:t>trading</w:t>
      </w:r>
      <w:r w:rsidR="00281900" w:rsidRPr="003B6C5B">
        <w:t xml:space="preserve"> </w:t>
      </w:r>
      <w:r w:rsidR="007E5473" w:rsidRPr="003B6C5B">
        <w:t>days), while the long-run</w:t>
      </w:r>
      <w:r w:rsidR="00673562" w:rsidRPr="003B6C5B">
        <w:t xml:space="preserve"> </w:t>
      </w:r>
      <w:r w:rsidR="007E5473" w:rsidRPr="003B6C5B">
        <w:t>(over 16</w:t>
      </w:r>
      <w:r w:rsidR="00281900" w:rsidRPr="003B6C5B">
        <w:t xml:space="preserve"> </w:t>
      </w:r>
      <w:r w:rsidR="007E5473" w:rsidRPr="003B6C5B">
        <w:t>trading</w:t>
      </w:r>
      <w:r w:rsidR="00281900" w:rsidRPr="003B6C5B">
        <w:t xml:space="preserve"> </w:t>
      </w:r>
      <w:r w:rsidR="007E5473" w:rsidRPr="003B6C5B">
        <w:t xml:space="preserve">days) higher-order spillover effect is </w:t>
      </w:r>
      <w:r w:rsidR="006915F7">
        <w:t>greatly</w:t>
      </w:r>
      <w:r w:rsidR="006915F7" w:rsidRPr="003B6C5B">
        <w:t xml:space="preserve"> </w:t>
      </w:r>
      <w:r w:rsidR="007E5473" w:rsidRPr="003B6C5B">
        <w:t xml:space="preserve">enhanced. </w:t>
      </w:r>
      <w:proofErr w:type="gramStart"/>
      <w:r w:rsidR="000C24C7">
        <w:t>In particular, we</w:t>
      </w:r>
      <w:proofErr w:type="gramEnd"/>
      <w:r w:rsidR="000C24C7">
        <w:t xml:space="preserve"> find the spillovers in the higher-order moments are strong when the carbon and </w:t>
      </w:r>
      <w:r w:rsidR="000551C0">
        <w:t>energy</w:t>
      </w:r>
      <w:r w:rsidR="000C24C7">
        <w:t xml:space="preserve"> markets are in bullish status.</w:t>
      </w:r>
      <w:r w:rsidR="00C368ED">
        <w:t xml:space="preserve"> </w:t>
      </w:r>
      <w:r w:rsidR="00E6109E" w:rsidRPr="003B6C5B">
        <w:t xml:space="preserve">Furthermore, </w:t>
      </w:r>
      <w:r w:rsidR="00D77926" w:rsidRPr="003B6C5B">
        <w:t xml:space="preserve">we </w:t>
      </w:r>
      <w:r w:rsidR="00E6109E" w:rsidRPr="003B6C5B">
        <w:t xml:space="preserve">demonstrate </w:t>
      </w:r>
      <w:r w:rsidR="00D77926" w:rsidRPr="003B6C5B">
        <w:t xml:space="preserve">that </w:t>
      </w:r>
      <w:r w:rsidR="00F07488" w:rsidRPr="003B6C5B">
        <w:t xml:space="preserve">carbon assets </w:t>
      </w:r>
      <w:r w:rsidR="00624292" w:rsidRPr="003B6C5B">
        <w:t>are good</w:t>
      </w:r>
      <w:r w:rsidR="0022069B" w:rsidRPr="003B6C5B">
        <w:t xml:space="preserve"> </w:t>
      </w:r>
      <w:r w:rsidR="00F07488" w:rsidRPr="003B6C5B">
        <w:t>short-run hedge against</w:t>
      </w:r>
      <w:r w:rsidR="00624292" w:rsidRPr="003B6C5B">
        <w:t xml:space="preserve"> exposure to</w:t>
      </w:r>
      <w:r w:rsidR="00F07488" w:rsidRPr="003B6C5B">
        <w:t xml:space="preserve"> spillover </w:t>
      </w:r>
      <w:r w:rsidR="00673562" w:rsidRPr="003B6C5B">
        <w:t xml:space="preserve">risks </w:t>
      </w:r>
      <w:r w:rsidR="00624292" w:rsidRPr="003B6C5B">
        <w:t xml:space="preserve">in higher-order moments </w:t>
      </w:r>
      <w:r w:rsidR="00694CA4" w:rsidRPr="003B6C5B">
        <w:t xml:space="preserve">of the </w:t>
      </w:r>
      <w:r w:rsidR="00F07488" w:rsidRPr="003B6C5B">
        <w:t>energy markets</w:t>
      </w:r>
      <w:r w:rsidR="00624292" w:rsidRPr="003B6C5B">
        <w:t>, while the hedging</w:t>
      </w:r>
      <w:r w:rsidR="0022069B" w:rsidRPr="003B6C5B">
        <w:t xml:space="preserve"> </w:t>
      </w:r>
      <w:r w:rsidR="00A10872" w:rsidRPr="003B6C5B">
        <w:t>effectiveness</w:t>
      </w:r>
      <w:r w:rsidR="00694CA4" w:rsidRPr="003B6C5B">
        <w:t xml:space="preserve"> </w:t>
      </w:r>
      <w:r w:rsidR="00624292" w:rsidRPr="003B6C5B">
        <w:t>declines</w:t>
      </w:r>
      <w:r w:rsidR="0022069B" w:rsidRPr="003B6C5B">
        <w:t xml:space="preserve"> </w:t>
      </w:r>
      <w:r w:rsidR="00F07488" w:rsidRPr="003B6C5B">
        <w:t xml:space="preserve">at </w:t>
      </w:r>
      <w:r w:rsidR="00C368ED">
        <w:t xml:space="preserve">the </w:t>
      </w:r>
      <w:r w:rsidR="00F07488" w:rsidRPr="003B6C5B">
        <w:t>long-run timescales.</w:t>
      </w:r>
    </w:p>
    <w:p w14:paraId="68148F44" w14:textId="138A5348" w:rsidR="000C19C8" w:rsidRPr="003B6C5B" w:rsidRDefault="00A2313E" w:rsidP="006724D6">
      <w:pPr>
        <w:keepNext/>
        <w:keepLines/>
        <w:spacing w:after="80" w:line="480" w:lineRule="auto"/>
        <w:jc w:val="both"/>
        <w:outlineLvl w:val="0"/>
        <w:rPr>
          <w:bCs/>
          <w:kern w:val="44"/>
        </w:rPr>
      </w:pPr>
      <w:r w:rsidRPr="003B6C5B">
        <w:rPr>
          <w:b/>
          <w:bCs/>
          <w:kern w:val="44"/>
        </w:rPr>
        <w:t>Keyword</w:t>
      </w:r>
      <w:r w:rsidRPr="003B6C5B">
        <w:rPr>
          <w:rFonts w:eastAsia="DengXian" w:hint="eastAsia"/>
          <w:b/>
          <w:bCs/>
          <w:kern w:val="44"/>
        </w:rPr>
        <w:t>s</w:t>
      </w:r>
      <w:r w:rsidRPr="003B6C5B">
        <w:rPr>
          <w:b/>
          <w:bCs/>
          <w:kern w:val="44"/>
        </w:rPr>
        <w:t xml:space="preserve">: </w:t>
      </w:r>
      <w:r w:rsidRPr="003B6C5B">
        <w:rPr>
          <w:kern w:val="44"/>
        </w:rPr>
        <w:t>EU ETS;</w:t>
      </w:r>
      <w:r w:rsidRPr="003B6C5B">
        <w:rPr>
          <w:b/>
          <w:bCs/>
          <w:kern w:val="44"/>
        </w:rPr>
        <w:t xml:space="preserve"> </w:t>
      </w:r>
      <w:r w:rsidRPr="003B6C5B">
        <w:rPr>
          <w:bCs/>
          <w:kern w:val="44"/>
        </w:rPr>
        <w:t>Energy markets; Higher-order moments; Multiscale analysis</w:t>
      </w:r>
      <w:r w:rsidR="00812772" w:rsidRPr="003B6C5B">
        <w:rPr>
          <w:bCs/>
          <w:kern w:val="44"/>
        </w:rPr>
        <w:t xml:space="preserve">; </w:t>
      </w:r>
      <w:r w:rsidR="00404364">
        <w:rPr>
          <w:bCs/>
          <w:kern w:val="44"/>
        </w:rPr>
        <w:t>P</w:t>
      </w:r>
      <w:r w:rsidR="005169E8">
        <w:rPr>
          <w:bCs/>
          <w:kern w:val="44"/>
        </w:rPr>
        <w:t>ortfolio</w:t>
      </w:r>
      <w:r w:rsidR="00812772" w:rsidRPr="003B6C5B">
        <w:rPr>
          <w:bCs/>
          <w:kern w:val="44"/>
        </w:rPr>
        <w:t xml:space="preserve"> management</w:t>
      </w:r>
    </w:p>
    <w:p w14:paraId="50EECE21" w14:textId="140A42F5" w:rsidR="00A2313E" w:rsidRPr="003B6C5B" w:rsidRDefault="000C19C8" w:rsidP="006724D6">
      <w:pPr>
        <w:spacing w:line="480" w:lineRule="auto"/>
        <w:jc w:val="both"/>
        <w:rPr>
          <w:bCs/>
          <w:kern w:val="44"/>
        </w:rPr>
      </w:pPr>
      <w:r w:rsidRPr="003B6C5B">
        <w:rPr>
          <w:bCs/>
          <w:kern w:val="44"/>
        </w:rPr>
        <w:br w:type="page"/>
      </w:r>
    </w:p>
    <w:p w14:paraId="77C9227B" w14:textId="77777777" w:rsidR="00A2313E" w:rsidRPr="003B6C5B" w:rsidRDefault="00A2313E" w:rsidP="006724D6">
      <w:pPr>
        <w:pStyle w:val="Heading1"/>
        <w:numPr>
          <w:ilvl w:val="0"/>
          <w:numId w:val="1"/>
        </w:numPr>
        <w:spacing w:before="260" w:after="260" w:line="480" w:lineRule="auto"/>
        <w:ind w:left="357" w:hanging="357"/>
        <w:jc w:val="both"/>
        <w:rPr>
          <w:sz w:val="24"/>
          <w:szCs w:val="24"/>
        </w:rPr>
      </w:pPr>
      <w:r w:rsidRPr="003B6C5B">
        <w:rPr>
          <w:sz w:val="24"/>
          <w:szCs w:val="24"/>
        </w:rPr>
        <w:lastRenderedPageBreak/>
        <w:t>Introduction</w:t>
      </w:r>
    </w:p>
    <w:p w14:paraId="0CE2685E" w14:textId="6B6861B4" w:rsidR="000179E3" w:rsidRPr="00042485" w:rsidRDefault="00C93F84" w:rsidP="003B6C5B">
      <w:pPr>
        <w:spacing w:line="480" w:lineRule="auto"/>
        <w:ind w:firstLineChars="200" w:firstLine="480"/>
        <w:jc w:val="both"/>
      </w:pPr>
      <w:r w:rsidRPr="003B6C5B">
        <w:rPr>
          <w:rFonts w:eastAsia="SimSun"/>
        </w:rPr>
        <w:t xml:space="preserve">For </w:t>
      </w:r>
      <w:r w:rsidR="00251509" w:rsidRPr="003B6C5B">
        <w:rPr>
          <w:rFonts w:eastAsia="SimSun"/>
        </w:rPr>
        <w:t>the benefits of</w:t>
      </w:r>
      <w:r w:rsidR="0018607A" w:rsidRPr="003B6C5B">
        <w:rPr>
          <w:rFonts w:eastAsia="SimSun"/>
        </w:rPr>
        <w:t xml:space="preserve"> </w:t>
      </w:r>
      <w:r w:rsidR="00340620">
        <w:rPr>
          <w:rFonts w:eastAsia="SimSun"/>
        </w:rPr>
        <w:t xml:space="preserve">the </w:t>
      </w:r>
      <w:r w:rsidR="002D55F8" w:rsidRPr="003B6C5B">
        <w:rPr>
          <w:rFonts w:eastAsia="SimSun"/>
        </w:rPr>
        <w:t xml:space="preserve">carbon and </w:t>
      </w:r>
      <w:r w:rsidR="00A10872" w:rsidRPr="003B6C5B">
        <w:rPr>
          <w:rFonts w:eastAsia="SimSun"/>
        </w:rPr>
        <w:t>energy</w:t>
      </w:r>
      <w:r w:rsidR="002D55F8" w:rsidRPr="003B6C5B">
        <w:rPr>
          <w:rFonts w:eastAsia="SimSun"/>
        </w:rPr>
        <w:t xml:space="preserve"> </w:t>
      </w:r>
      <w:r w:rsidR="00340620">
        <w:rPr>
          <w:rFonts w:eastAsia="SimSun"/>
        </w:rPr>
        <w:t xml:space="preserve">markets </w:t>
      </w:r>
      <w:r w:rsidR="002D55F8" w:rsidRPr="003B6C5B">
        <w:rPr>
          <w:rFonts w:eastAsia="SimSun"/>
        </w:rPr>
        <w:t>risk management (Hammoudeh et al., 2014</w:t>
      </w:r>
      <w:r w:rsidR="00EE10D8" w:rsidRPr="003B6C5B">
        <w:rPr>
          <w:rFonts w:eastAsia="SimSun" w:hint="eastAsia"/>
        </w:rPr>
        <w:t>a</w:t>
      </w:r>
      <w:r w:rsidR="00EE10D8" w:rsidRPr="003B6C5B">
        <w:rPr>
          <w:rFonts w:eastAsia="SimSun"/>
        </w:rPr>
        <w:t>, b</w:t>
      </w:r>
      <w:r w:rsidR="002D55F8" w:rsidRPr="003B6C5B">
        <w:rPr>
          <w:rFonts w:eastAsia="SimSun"/>
        </w:rPr>
        <w:t xml:space="preserve">), </w:t>
      </w:r>
      <w:r w:rsidR="00251509" w:rsidRPr="003B6C5B">
        <w:rPr>
          <w:rFonts w:eastAsia="SimSun"/>
        </w:rPr>
        <w:t>portfolio construction (</w:t>
      </w:r>
      <w:r w:rsidR="00251509" w:rsidRPr="003B6C5B">
        <w:rPr>
          <w:shd w:val="clear" w:color="auto" w:fill="FFFFFF"/>
        </w:rPr>
        <w:t xml:space="preserve">Luo and Wu, 2016; </w:t>
      </w:r>
      <w:r w:rsidR="00251509" w:rsidRPr="003B6C5B">
        <w:t>Uddin et al., 2018</w:t>
      </w:r>
      <w:r w:rsidR="00251509" w:rsidRPr="003B6C5B">
        <w:rPr>
          <w:rFonts w:eastAsia="SimSun"/>
        </w:rPr>
        <w:t>)</w:t>
      </w:r>
      <w:r w:rsidR="00B73533" w:rsidRPr="003B6C5B">
        <w:rPr>
          <w:rFonts w:eastAsia="SimSun"/>
        </w:rPr>
        <w:t xml:space="preserve">, </w:t>
      </w:r>
      <w:r w:rsidRPr="003B6C5B">
        <w:rPr>
          <w:rFonts w:eastAsia="SimSun"/>
        </w:rPr>
        <w:t xml:space="preserve">and </w:t>
      </w:r>
      <w:r w:rsidR="002D55F8" w:rsidRPr="003B6C5B">
        <w:rPr>
          <w:rFonts w:eastAsia="SimSun"/>
        </w:rPr>
        <w:t>energy</w:t>
      </w:r>
      <w:r w:rsidR="00BF063F" w:rsidRPr="003B6C5B">
        <w:rPr>
          <w:rFonts w:eastAsia="SimSun"/>
        </w:rPr>
        <w:t xml:space="preserve"> </w:t>
      </w:r>
      <w:r w:rsidRPr="003B6C5B">
        <w:rPr>
          <w:rFonts w:eastAsia="SimSun"/>
        </w:rPr>
        <w:t>market</w:t>
      </w:r>
      <w:r w:rsidR="00BD4255" w:rsidRPr="003B6C5B">
        <w:rPr>
          <w:rFonts w:eastAsia="SimSun"/>
        </w:rPr>
        <w:t>s</w:t>
      </w:r>
      <w:r w:rsidRPr="003B6C5B">
        <w:rPr>
          <w:rFonts w:eastAsia="SimSun"/>
        </w:rPr>
        <w:t xml:space="preserve"> regulation </w:t>
      </w:r>
      <w:r w:rsidR="002373D3" w:rsidRPr="003B6C5B">
        <w:rPr>
          <w:rFonts w:eastAsia="SimSun"/>
        </w:rPr>
        <w:t>(</w:t>
      </w:r>
      <w:r w:rsidR="00910B54" w:rsidRPr="003B6C5B">
        <w:t>Chevallier et al., 2019</w:t>
      </w:r>
      <w:r w:rsidR="00E07E83">
        <w:t xml:space="preserve">; </w:t>
      </w:r>
      <w:r w:rsidR="00E07E83" w:rsidRPr="00E733DF">
        <w:t>International Energy Agency</w:t>
      </w:r>
      <w:r w:rsidR="00E07E83">
        <w:t>,</w:t>
      </w:r>
      <w:r w:rsidR="00E07E83" w:rsidRPr="006657D2">
        <w:t xml:space="preserve"> 2020</w:t>
      </w:r>
      <w:r w:rsidR="002373D3" w:rsidRPr="003B6C5B">
        <w:rPr>
          <w:rFonts w:eastAsia="SimSun"/>
        </w:rPr>
        <w:t>)</w:t>
      </w:r>
      <w:r w:rsidRPr="003B6C5B">
        <w:rPr>
          <w:rFonts w:eastAsia="SimSun"/>
        </w:rPr>
        <w:t xml:space="preserve">, there </w:t>
      </w:r>
      <w:r w:rsidR="00694CA4" w:rsidRPr="003B6C5B">
        <w:rPr>
          <w:rFonts w:eastAsia="SimSun"/>
        </w:rPr>
        <w:t>is</w:t>
      </w:r>
      <w:r w:rsidRPr="003B6C5B">
        <w:rPr>
          <w:rFonts w:eastAsia="SimSun"/>
        </w:rPr>
        <w:t xml:space="preserve"> significant interest in studying the </w:t>
      </w:r>
      <w:r w:rsidR="003C0463" w:rsidRPr="003B6C5B">
        <w:rPr>
          <w:rFonts w:eastAsia="SimSun"/>
        </w:rPr>
        <w:t>interplay</w:t>
      </w:r>
      <w:r w:rsidRPr="003B6C5B">
        <w:rPr>
          <w:rFonts w:eastAsia="SimSun"/>
        </w:rPr>
        <w:t xml:space="preserve"> between the European Union Emissions Trading </w:t>
      </w:r>
      <w:r w:rsidRPr="00A15868">
        <w:rPr>
          <w:rFonts w:eastAsia="SimSun"/>
        </w:rPr>
        <w:t>Systems (EU ETS)</w:t>
      </w:r>
      <w:r w:rsidR="003C0463" w:rsidRPr="00A15868">
        <w:rPr>
          <w:rFonts w:eastAsia="SimSun"/>
        </w:rPr>
        <w:t xml:space="preserve"> </w:t>
      </w:r>
      <w:r w:rsidRPr="00A15868">
        <w:rPr>
          <w:rFonts w:eastAsia="SimSun"/>
        </w:rPr>
        <w:t>and energy markets.</w:t>
      </w:r>
      <w:r w:rsidR="003C3C80" w:rsidRPr="00705D41">
        <w:rPr>
          <w:rFonts w:eastAsia="SimSun"/>
        </w:rPr>
        <w:t xml:space="preserve"> </w:t>
      </w:r>
    </w:p>
    <w:p w14:paraId="547FCF3F" w14:textId="49C39604" w:rsidR="00E9190F" w:rsidRPr="003B6C5B" w:rsidRDefault="00F51B03" w:rsidP="006724D6">
      <w:pPr>
        <w:spacing w:line="480" w:lineRule="auto"/>
        <w:ind w:firstLineChars="200" w:firstLine="480"/>
        <w:jc w:val="both"/>
      </w:pPr>
      <w:r w:rsidRPr="00042485">
        <w:rPr>
          <w:rFonts w:eastAsia="SimSun"/>
        </w:rPr>
        <w:t xml:space="preserve">This </w:t>
      </w:r>
      <w:r w:rsidR="007C60FB" w:rsidRPr="00042485">
        <w:rPr>
          <w:rFonts w:eastAsia="SimSun"/>
        </w:rPr>
        <w:t>study deals</w:t>
      </w:r>
      <w:r w:rsidRPr="00042485">
        <w:rPr>
          <w:rFonts w:eastAsia="SimSun"/>
        </w:rPr>
        <w:t xml:space="preserve"> challenges in the crucial Phase III of</w:t>
      </w:r>
      <w:r w:rsidR="0013729B" w:rsidRPr="00042485">
        <w:rPr>
          <w:rFonts w:eastAsia="SimSun"/>
        </w:rPr>
        <w:t xml:space="preserve"> EU ETS</w:t>
      </w:r>
      <w:r w:rsidR="009B27C2" w:rsidRPr="00A15868">
        <w:rPr>
          <w:rStyle w:val="FootnoteReference"/>
          <w:rFonts w:eastAsia="SimSun"/>
        </w:rPr>
        <w:footnoteReference w:id="2"/>
      </w:r>
      <w:r w:rsidR="00F975B6" w:rsidRPr="00A15868">
        <w:rPr>
          <w:rFonts w:eastAsia="SimSun"/>
        </w:rPr>
        <w:t xml:space="preserve"> </w:t>
      </w:r>
      <w:r w:rsidR="0013729B" w:rsidRPr="00A15868">
        <w:rPr>
          <w:rFonts w:eastAsia="SimSun"/>
        </w:rPr>
        <w:t xml:space="preserve">in terms of price </w:t>
      </w:r>
      <w:r w:rsidR="009B27C2" w:rsidRPr="00A15868">
        <w:rPr>
          <w:rFonts w:eastAsia="SimSun"/>
        </w:rPr>
        <w:t>trajectory</w:t>
      </w:r>
      <w:r w:rsidR="009B27C2" w:rsidRPr="00A15868">
        <w:rPr>
          <w:rStyle w:val="FootnoteReference"/>
        </w:rPr>
        <w:footnoteReference w:id="3"/>
      </w:r>
      <w:r w:rsidR="0013729B" w:rsidRPr="00A15868">
        <w:rPr>
          <w:rFonts w:eastAsia="SimSun"/>
        </w:rPr>
        <w:t xml:space="preserve"> and operational mechanisms</w:t>
      </w:r>
      <w:r w:rsidR="009B27C2" w:rsidRPr="00A15868">
        <w:rPr>
          <w:shd w:val="clear" w:color="auto" w:fill="FFFFFF"/>
        </w:rPr>
        <w:t xml:space="preserve"> </w:t>
      </w:r>
      <w:r w:rsidR="000179E3" w:rsidRPr="00A15868">
        <w:rPr>
          <w:rFonts w:eastAsia="SimSun"/>
        </w:rPr>
        <w:t>(</w:t>
      </w:r>
      <w:r w:rsidR="004F29A7" w:rsidRPr="00705D41">
        <w:t>Bocklet</w:t>
      </w:r>
      <w:r w:rsidR="004F29A7" w:rsidRPr="00042485">
        <w:t xml:space="preserve"> et al., 2019</w:t>
      </w:r>
      <w:r w:rsidR="00C75BC2" w:rsidRPr="00042485">
        <w:rPr>
          <w:shd w:val="clear" w:color="auto" w:fill="FFFFFF"/>
        </w:rPr>
        <w:t>)</w:t>
      </w:r>
      <w:r w:rsidR="00EE0F49" w:rsidRPr="00042485">
        <w:rPr>
          <w:shd w:val="clear" w:color="auto" w:fill="FFFFFF"/>
        </w:rPr>
        <w:t>.</w:t>
      </w:r>
      <w:r w:rsidR="005860F4">
        <w:rPr>
          <w:shd w:val="clear" w:color="auto" w:fill="FFFFFF"/>
        </w:rPr>
        <w:t xml:space="preserve"> </w:t>
      </w:r>
      <w:r>
        <w:rPr>
          <w:shd w:val="clear" w:color="auto" w:fill="FFFFFF"/>
        </w:rPr>
        <w:t>T</w:t>
      </w:r>
      <w:r w:rsidR="007D0A52">
        <w:rPr>
          <w:shd w:val="clear" w:color="auto" w:fill="FFFFFF"/>
        </w:rPr>
        <w:t>here are</w:t>
      </w:r>
      <w:r w:rsidR="006F4E27" w:rsidRPr="003B6C5B">
        <w:rPr>
          <w:shd w:val="clear" w:color="auto" w:fill="FFFFFF"/>
        </w:rPr>
        <w:t xml:space="preserve"> three </w:t>
      </w:r>
      <w:r w:rsidR="003C14B6" w:rsidRPr="003B6C5B">
        <w:rPr>
          <w:shd w:val="clear" w:color="auto" w:fill="FFFFFF"/>
        </w:rPr>
        <w:t>distinctive</w:t>
      </w:r>
      <w:r w:rsidR="006F4E27" w:rsidRPr="003B6C5B">
        <w:rPr>
          <w:shd w:val="clear" w:color="auto" w:fill="FFFFFF"/>
        </w:rPr>
        <w:t xml:space="preserve"> features of Phase III </w:t>
      </w:r>
      <w:r w:rsidR="000B7711" w:rsidRPr="003B6C5B">
        <w:rPr>
          <w:shd w:val="clear" w:color="auto" w:fill="FFFFFF"/>
        </w:rPr>
        <w:t>includ</w:t>
      </w:r>
      <w:r w:rsidR="00DE1640">
        <w:rPr>
          <w:shd w:val="clear" w:color="auto" w:fill="FFFFFF"/>
        </w:rPr>
        <w:t>ing</w:t>
      </w:r>
      <w:r w:rsidR="000B7711" w:rsidRPr="003B6C5B">
        <w:rPr>
          <w:shd w:val="clear" w:color="auto" w:fill="FFFFFF"/>
        </w:rPr>
        <w:t xml:space="preserve"> </w:t>
      </w:r>
      <w:r w:rsidR="00694CA4" w:rsidRPr="003B6C5B">
        <w:t>first,</w:t>
      </w:r>
      <w:r w:rsidR="0005062C" w:rsidRPr="003B6C5B">
        <w:t xml:space="preserve"> auctions are the default method for allocating quotas (rather than free allocation)</w:t>
      </w:r>
      <w:r w:rsidR="000B6708" w:rsidRPr="003B6C5B">
        <w:t>,</w:t>
      </w:r>
      <w:r w:rsidR="00BC0854" w:rsidRPr="003B6C5B">
        <w:rPr>
          <w:rStyle w:val="FootnoteReference"/>
        </w:rPr>
        <w:footnoteReference w:id="4"/>
      </w:r>
      <w:r w:rsidR="009571ED" w:rsidRPr="003B6C5B">
        <w:t xml:space="preserve"> which </w:t>
      </w:r>
      <w:r w:rsidR="006F4E27" w:rsidRPr="003B6C5B">
        <w:t xml:space="preserve">allows </w:t>
      </w:r>
      <w:r w:rsidR="00F148AC" w:rsidRPr="003B6C5B">
        <w:t>t</w:t>
      </w:r>
      <w:r w:rsidR="006F4E27" w:rsidRPr="003B6C5B">
        <w:t>he</w:t>
      </w:r>
      <w:r w:rsidR="00F148AC" w:rsidRPr="003B6C5B">
        <w:t xml:space="preserve"> </w:t>
      </w:r>
      <w:r w:rsidR="009571ED" w:rsidRPr="003B6C5B">
        <w:t xml:space="preserve">carbon prices </w:t>
      </w:r>
      <w:r w:rsidR="006F4E27" w:rsidRPr="003B6C5B">
        <w:t xml:space="preserve">to </w:t>
      </w:r>
      <w:r w:rsidR="00EE0F49">
        <w:t>fully</w:t>
      </w:r>
      <w:r w:rsidR="00985E1F">
        <w:t xml:space="preserve"> </w:t>
      </w:r>
      <w:r w:rsidR="009571ED" w:rsidRPr="003B6C5B">
        <w:t xml:space="preserve">reflect the demand and supply </w:t>
      </w:r>
      <w:r w:rsidR="00FD06EC">
        <w:t xml:space="preserve">of emission </w:t>
      </w:r>
      <w:r w:rsidR="009571ED" w:rsidRPr="003B6C5B">
        <w:t>under energy price shocks</w:t>
      </w:r>
      <w:r w:rsidR="006F4E27" w:rsidRPr="003B6C5B">
        <w:t xml:space="preserve">. </w:t>
      </w:r>
      <w:r w:rsidR="003F0F2A">
        <w:t>As a result, t</w:t>
      </w:r>
      <w:r w:rsidR="005C3FA3" w:rsidRPr="003B6C5B">
        <w:t>he non-</w:t>
      </w:r>
      <w:r w:rsidR="005C3FA3">
        <w:t>g</w:t>
      </w:r>
      <w:r w:rsidR="005C3FA3" w:rsidRPr="003B6C5B">
        <w:t>aussian behaviour in carbon and energy price is likely to intensify</w:t>
      </w:r>
      <w:r w:rsidR="005C3FA3">
        <w:t xml:space="preserve"> in Phase III</w:t>
      </w:r>
      <w:r w:rsidR="005C3FA3" w:rsidRPr="003B6C5B">
        <w:t xml:space="preserve"> (</w:t>
      </w:r>
      <w:r w:rsidR="005C3FA3" w:rsidRPr="003B6C5B">
        <w:rPr>
          <w:rFonts w:eastAsia="SimSun"/>
        </w:rPr>
        <w:t>Hammoudeh et al., 2014a)</w:t>
      </w:r>
      <w:r w:rsidR="005C3FA3" w:rsidRPr="003B6C5B">
        <w:t>.</w:t>
      </w:r>
      <w:r w:rsidR="005C3FA3">
        <w:t xml:space="preserve"> </w:t>
      </w:r>
      <w:r w:rsidR="009A0978" w:rsidRPr="003B6C5B">
        <w:t>Second, the European Commission (EC) directly set</w:t>
      </w:r>
      <w:r w:rsidR="0065761A">
        <w:t>s</w:t>
      </w:r>
      <w:r w:rsidR="009A0978" w:rsidRPr="003B6C5B">
        <w:t xml:space="preserve"> a single EU-wide carbon emission cap instead of National Allocation Plans (NAPs). </w:t>
      </w:r>
      <w:bookmarkStart w:id="1" w:name="_Hlk67297843"/>
      <w:r w:rsidR="009A0978">
        <w:t xml:space="preserve">Moreover, </w:t>
      </w:r>
      <w:r w:rsidR="009A0978" w:rsidRPr="00554835">
        <w:t xml:space="preserve">the increase of the </w:t>
      </w:r>
      <w:r w:rsidR="009A0978">
        <w:t>L</w:t>
      </w:r>
      <w:r w:rsidR="009A0978" w:rsidRPr="00554835">
        <w:t xml:space="preserve">inear </w:t>
      </w:r>
      <w:r w:rsidR="009A0978">
        <w:t>R</w:t>
      </w:r>
      <w:r w:rsidR="009A0978" w:rsidRPr="00554835">
        <w:t xml:space="preserve">eduction </w:t>
      </w:r>
      <w:r w:rsidR="009A0978">
        <w:t>F</w:t>
      </w:r>
      <w:r w:rsidR="009A0978" w:rsidRPr="00554835">
        <w:t>actor</w:t>
      </w:r>
      <w:r w:rsidR="009A0978">
        <w:t xml:space="preserve"> (LRF) contributes a stricter and more effective cap-settings. </w:t>
      </w:r>
      <w:r w:rsidR="009A0978" w:rsidRPr="00975080">
        <w:t xml:space="preserve">This will undoubtedly increase the </w:t>
      </w:r>
      <w:r w:rsidR="009A0978">
        <w:t>c</w:t>
      </w:r>
      <w:r w:rsidR="009A0978" w:rsidRPr="00975080">
        <w:t>omplexity and non-linearity of the carbon price</w:t>
      </w:r>
      <w:r w:rsidR="009A0978">
        <w:t xml:space="preserve"> patterns and its interplay with energy assets</w:t>
      </w:r>
      <w:r w:rsidR="009A0978" w:rsidRPr="00923F66">
        <w:t> (</w:t>
      </w:r>
      <w:bookmarkStart w:id="2" w:name="bbb0225"/>
      <w:r w:rsidR="009A0978" w:rsidRPr="00923F66">
        <w:t>Lutz et al., 2013</w:t>
      </w:r>
      <w:bookmarkEnd w:id="2"/>
      <w:r w:rsidR="009A0978" w:rsidRPr="00923F66">
        <w:t>)</w:t>
      </w:r>
      <w:r w:rsidR="009A0978" w:rsidRPr="00975080">
        <w:t>.</w:t>
      </w:r>
      <w:bookmarkEnd w:id="1"/>
    </w:p>
    <w:p w14:paraId="3D266E6D" w14:textId="0D66946A" w:rsidR="00F51B03" w:rsidRPr="003E38BD" w:rsidRDefault="00EE10D8" w:rsidP="003E38BD">
      <w:pPr>
        <w:spacing w:line="480" w:lineRule="auto"/>
        <w:ind w:firstLineChars="200" w:firstLine="480"/>
        <w:jc w:val="both"/>
        <w:rPr>
          <w:rFonts w:eastAsia="SimSun"/>
        </w:rPr>
      </w:pPr>
      <w:r w:rsidRPr="003B6C5B">
        <w:lastRenderedPageBreak/>
        <w:t xml:space="preserve">Finally, </w:t>
      </w:r>
      <w:r w:rsidR="005C63A5">
        <w:t xml:space="preserve">it is claimed that the </w:t>
      </w:r>
      <w:r w:rsidRPr="003B6C5B">
        <w:t>Market Stability Reserve (MSR)</w:t>
      </w:r>
      <w:r w:rsidR="005C63A5">
        <w:t xml:space="preserve"> has</w:t>
      </w:r>
      <w:r w:rsidRPr="003B6C5B">
        <w:t xml:space="preserve"> significantly reduced the surplus allowances and caused the carbon prices surging high </w:t>
      </w:r>
      <w:r w:rsidR="00E63EF0">
        <w:t>in Phase III</w:t>
      </w:r>
      <w:r w:rsidR="00F51B03">
        <w:t xml:space="preserve"> </w:t>
      </w:r>
      <w:r w:rsidRPr="003B6C5B">
        <w:t>(Chaton et al., 2018</w:t>
      </w:r>
      <w:r w:rsidR="00F51B03">
        <w:t xml:space="preserve">; </w:t>
      </w:r>
      <w:r w:rsidR="00F51B03" w:rsidRPr="003B6C5B">
        <w:rPr>
          <w:shd w:val="clear" w:color="auto" w:fill="FFFFFF"/>
        </w:rPr>
        <w:t>Hepburn et al., 2016</w:t>
      </w:r>
      <w:r w:rsidRPr="003B6C5B">
        <w:t>).</w:t>
      </w:r>
      <w:r w:rsidR="003E38BD">
        <w:rPr>
          <w:rStyle w:val="FootnoteReference"/>
        </w:rPr>
        <w:footnoteReference w:id="5"/>
      </w:r>
      <w:r w:rsidRPr="003B6C5B">
        <w:t xml:space="preserve"> </w:t>
      </w:r>
      <w:r w:rsidR="009A0978" w:rsidRPr="003B6C5B">
        <w:rPr>
          <w:rFonts w:eastAsia="DengXian"/>
          <w:bCs/>
        </w:rPr>
        <w:t xml:space="preserve">This implies that the “waterbed effect” may be undermined (Anke et al., 2020; Hintermayer, 2020; Perino, 2018; Rosendahl, 2019) and the long-run price signaling mechanism of the carbon market could be </w:t>
      </w:r>
      <w:r w:rsidR="009A0978">
        <w:rPr>
          <w:rFonts w:eastAsia="DengXian"/>
          <w:bCs/>
        </w:rPr>
        <w:t>strengthened</w:t>
      </w:r>
      <w:r w:rsidR="009A0978" w:rsidRPr="003B6C5B">
        <w:rPr>
          <w:rFonts w:eastAsia="DengXian"/>
          <w:bCs/>
        </w:rPr>
        <w:t>. This directly entails the impact of long-run carbon markets on energy markets will intensify, and vice versa.</w:t>
      </w:r>
      <w:r w:rsidR="009A0978" w:rsidRPr="003B6C5B">
        <w:rPr>
          <w:rStyle w:val="FootnoteReference"/>
          <w:rFonts w:eastAsia="DengXian"/>
          <w:bCs/>
        </w:rPr>
        <w:footnoteReference w:id="6"/>
      </w:r>
      <w:r w:rsidR="009A0978" w:rsidRPr="003B6C5B">
        <w:rPr>
          <w:rFonts w:hint="eastAsia"/>
        </w:rPr>
        <w:t xml:space="preserve"> </w:t>
      </w:r>
      <w:r w:rsidR="009A0978">
        <w:t>Therefore, t</w:t>
      </w:r>
      <w:r w:rsidR="009A0978" w:rsidRPr="003B6C5B">
        <w:t xml:space="preserve">he debate on timescale heterogeneity </w:t>
      </w:r>
      <w:r w:rsidR="003E38BD">
        <w:t xml:space="preserve">of interplay between carbon and energy markets </w:t>
      </w:r>
      <w:r w:rsidR="009A0978" w:rsidRPr="003B6C5B">
        <w:t xml:space="preserve">in Phase III of the EU ETS continuously develop (Zhu et al., 2017; Zhu et al., 2019). </w:t>
      </w:r>
      <w:r w:rsidR="002628B9">
        <w:t xml:space="preserve">It remains controversial and unsettled if the MSR policy </w:t>
      </w:r>
      <w:r w:rsidRPr="003B6C5B">
        <w:t>could increase the long-term impact of carbon markets</w:t>
      </w:r>
      <w:r w:rsidR="002628B9">
        <w:t xml:space="preserve"> </w:t>
      </w:r>
      <w:r w:rsidRPr="003B6C5B">
        <w:t>(Perino and Willner 2016, 2017)</w:t>
      </w:r>
      <w:r w:rsidRPr="003B6C5B">
        <w:rPr>
          <w:rStyle w:val="FootnoteReference"/>
        </w:rPr>
        <w:footnoteReference w:id="7"/>
      </w:r>
      <w:r w:rsidRPr="003B6C5B">
        <w:t xml:space="preserve">. </w:t>
      </w:r>
      <w:r w:rsidR="00F51B03" w:rsidRPr="003B6C5B">
        <w:t xml:space="preserve">It is then expected that Phase III would present a more complex bidirectional relationship between carbon-energy prices which </w:t>
      </w:r>
      <w:r w:rsidR="00F51B03" w:rsidRPr="003B6C5B">
        <w:rPr>
          <w:rFonts w:eastAsia="SimSun"/>
        </w:rPr>
        <w:t>creat</w:t>
      </w:r>
      <w:r w:rsidR="00F51B03">
        <w:rPr>
          <w:rFonts w:eastAsia="SimSun"/>
        </w:rPr>
        <w:t>es</w:t>
      </w:r>
      <w:r w:rsidR="00F51B03" w:rsidRPr="003B6C5B">
        <w:rPr>
          <w:rFonts w:eastAsia="SimSun"/>
        </w:rPr>
        <w:t xml:space="preserve"> new challenges for investors and policy makers who concern the system</w:t>
      </w:r>
      <w:r w:rsidR="00F51B03">
        <w:rPr>
          <w:rFonts w:eastAsia="SimSun"/>
        </w:rPr>
        <w:t>ic</w:t>
      </w:r>
      <w:r w:rsidR="00F51B03" w:rsidRPr="003B6C5B">
        <w:rPr>
          <w:rFonts w:eastAsia="SimSun"/>
        </w:rPr>
        <w:t xml:space="preserve"> risk of the carbon and energy markets</w:t>
      </w:r>
      <w:r w:rsidR="00F51B03" w:rsidRPr="003B6C5B">
        <w:t>.</w:t>
      </w:r>
    </w:p>
    <w:p w14:paraId="0E7945FD" w14:textId="6C04F314" w:rsidR="00756130" w:rsidRPr="003B6C5B" w:rsidRDefault="000E285B" w:rsidP="006724D6">
      <w:pPr>
        <w:spacing w:line="480" w:lineRule="auto"/>
        <w:ind w:firstLineChars="200" w:firstLine="480"/>
        <w:jc w:val="both"/>
        <w:rPr>
          <w:rFonts w:eastAsia="SimSun"/>
        </w:rPr>
      </w:pPr>
      <w:r>
        <w:rPr>
          <w:rFonts w:eastAsia="SimSun"/>
          <w:lang w:val="en-GB"/>
        </w:rPr>
        <w:t xml:space="preserve">Considering the </w:t>
      </w:r>
      <w:r w:rsidR="000551C0">
        <w:rPr>
          <w:rFonts w:eastAsia="SimSun"/>
          <w:lang w:val="en-GB"/>
        </w:rPr>
        <w:t>unique</w:t>
      </w:r>
      <w:r>
        <w:rPr>
          <w:rFonts w:eastAsia="SimSun"/>
          <w:lang w:val="en-GB"/>
        </w:rPr>
        <w:t xml:space="preserve"> features</w:t>
      </w:r>
      <w:r w:rsidR="008E2A2D">
        <w:rPr>
          <w:rFonts w:eastAsia="SimSun"/>
          <w:lang w:val="en-GB"/>
        </w:rPr>
        <w:t xml:space="preserve"> and changes in</w:t>
      </w:r>
      <w:r>
        <w:rPr>
          <w:rFonts w:eastAsia="SimSun"/>
          <w:lang w:val="en-GB"/>
        </w:rPr>
        <w:t xml:space="preserve"> </w:t>
      </w:r>
      <w:r w:rsidR="003E38BD">
        <w:rPr>
          <w:rFonts w:eastAsia="SimSun"/>
          <w:lang w:val="en-GB"/>
        </w:rPr>
        <w:t>E</w:t>
      </w:r>
      <w:r w:rsidR="003E38BD">
        <w:rPr>
          <w:rFonts w:eastAsia="SimSun" w:hint="eastAsia"/>
          <w:lang w:val="en-GB"/>
        </w:rPr>
        <w:t>U</w:t>
      </w:r>
      <w:r w:rsidR="003E38BD">
        <w:rPr>
          <w:rFonts w:eastAsia="SimSun"/>
          <w:lang w:val="en-GB"/>
        </w:rPr>
        <w:t xml:space="preserve"> ETS </w:t>
      </w:r>
      <w:r w:rsidR="00F0719A">
        <w:rPr>
          <w:rFonts w:eastAsia="SimSun"/>
        </w:rPr>
        <w:t>Phase III</w:t>
      </w:r>
      <w:r w:rsidR="00A10872" w:rsidRPr="003B6C5B">
        <w:rPr>
          <w:rFonts w:eastAsia="SimSun"/>
        </w:rPr>
        <w:t xml:space="preserve">, this study aims to reveal the interplay between the carbon and energy markets to </w:t>
      </w:r>
      <w:r w:rsidR="002D2716" w:rsidRPr="003B6C5B">
        <w:rPr>
          <w:rFonts w:eastAsia="SimSun"/>
        </w:rPr>
        <w:t>d</w:t>
      </w:r>
      <w:r w:rsidR="002D2716">
        <w:rPr>
          <w:rFonts w:eastAsia="SimSun"/>
        </w:rPr>
        <w:t>epict</w:t>
      </w:r>
      <w:r w:rsidR="00FC7959" w:rsidRPr="003B6C5B">
        <w:rPr>
          <w:rFonts w:eastAsia="SimSun"/>
        </w:rPr>
        <w:t xml:space="preserve"> </w:t>
      </w:r>
      <w:r w:rsidR="00820E43">
        <w:rPr>
          <w:rFonts w:eastAsia="SimSun"/>
        </w:rPr>
        <w:t>spillover</w:t>
      </w:r>
      <w:r>
        <w:rPr>
          <w:rFonts w:eastAsia="SimSun"/>
        </w:rPr>
        <w:t>s</w:t>
      </w:r>
      <w:r w:rsidR="00820E43">
        <w:rPr>
          <w:rFonts w:eastAsia="SimSun"/>
        </w:rPr>
        <w:t xml:space="preserve"> of</w:t>
      </w:r>
      <w:r w:rsidR="002D2716" w:rsidRPr="003B6C5B">
        <w:rPr>
          <w:rFonts w:eastAsia="SimSun"/>
        </w:rPr>
        <w:t xml:space="preserve"> higher-order moments</w:t>
      </w:r>
      <w:r w:rsidR="002D2716">
        <w:rPr>
          <w:rFonts w:eastAsia="SimSun"/>
        </w:rPr>
        <w:t xml:space="preserve">, namely </w:t>
      </w:r>
      <w:r w:rsidR="00820E43" w:rsidRPr="003B6C5B">
        <w:rPr>
          <w:rFonts w:eastAsia="SimSun"/>
        </w:rPr>
        <w:t>spillover</w:t>
      </w:r>
      <w:r>
        <w:rPr>
          <w:rFonts w:eastAsia="SimSun"/>
        </w:rPr>
        <w:t>s</w:t>
      </w:r>
      <w:r w:rsidR="00820E43">
        <w:rPr>
          <w:rFonts w:eastAsia="SimSun"/>
        </w:rPr>
        <w:t xml:space="preserve"> of </w:t>
      </w:r>
      <w:r w:rsidR="00A10872" w:rsidRPr="003B6C5B">
        <w:rPr>
          <w:rFonts w:eastAsia="SimSun"/>
        </w:rPr>
        <w:t>asymmetric and fat-tailed</w:t>
      </w:r>
      <w:r w:rsidR="00820E43">
        <w:rPr>
          <w:rFonts w:eastAsia="SimSun"/>
        </w:rPr>
        <w:t xml:space="preserve"> risks</w:t>
      </w:r>
      <w:r w:rsidR="000B6708" w:rsidRPr="003B6C5B">
        <w:rPr>
          <w:rFonts w:eastAsia="SimSun"/>
        </w:rPr>
        <w:t>.</w:t>
      </w:r>
      <w:r w:rsidR="00A10872" w:rsidRPr="003B6C5B">
        <w:rPr>
          <w:rStyle w:val="FootnoteReference"/>
        </w:rPr>
        <w:footnoteReference w:id="8"/>
      </w:r>
      <w:r w:rsidR="00EE10D8" w:rsidRPr="003B6C5B">
        <w:rPr>
          <w:rFonts w:eastAsia="SimSun"/>
        </w:rPr>
        <w:t xml:space="preserve"> This paper also examines the timescale heterogeneity depending on interplay between the </w:t>
      </w:r>
      <w:r w:rsidR="00EE10D8" w:rsidRPr="003B6C5B">
        <w:rPr>
          <w:rFonts w:eastAsia="SimSun"/>
        </w:rPr>
        <w:lastRenderedPageBreak/>
        <w:t>carbon and energy markets. This is addressed as a direct response to the debate on the distinctness envisioned between the long- and short-run price signals leadership in the carbon market due to the “waterbed effect” (Anke, 2020; Rosendahl, 2019), fuel-switching cost (</w:t>
      </w:r>
      <w:r w:rsidR="00EE10D8" w:rsidRPr="003B6C5B">
        <w:t>Chevallier, 2019</w:t>
      </w:r>
      <w:r w:rsidR="00EE10D8" w:rsidRPr="003B6C5B">
        <w:rPr>
          <w:rFonts w:eastAsia="SimSun"/>
        </w:rPr>
        <w:t>) and policy conflicts</w:t>
      </w:r>
      <w:r w:rsidR="00A3591A">
        <w:rPr>
          <w:rFonts w:eastAsia="SimSun"/>
        </w:rPr>
        <w:t xml:space="preserve"> </w:t>
      </w:r>
      <w:r w:rsidR="00EE10D8" w:rsidRPr="003B6C5B">
        <w:rPr>
          <w:rFonts w:eastAsia="SimSun"/>
        </w:rPr>
        <w:t>(Van den Bergh, 2013)</w:t>
      </w:r>
      <w:r w:rsidR="00EE10D8" w:rsidRPr="003B6C5B">
        <w:rPr>
          <w:rStyle w:val="FootnoteReference"/>
          <w:rFonts w:eastAsia="SimSun"/>
        </w:rPr>
        <w:footnoteReference w:id="9"/>
      </w:r>
      <w:r w:rsidR="00EE10D8" w:rsidRPr="003B6C5B">
        <w:rPr>
          <w:rFonts w:eastAsia="SimSun"/>
        </w:rPr>
        <w:t xml:space="preserve">. Mining this complex feature can directly help </w:t>
      </w:r>
      <w:r w:rsidR="00E1526C">
        <w:rPr>
          <w:rFonts w:eastAsia="SimSun"/>
        </w:rPr>
        <w:t>investors of the carbon and energy assets</w:t>
      </w:r>
      <w:r w:rsidR="009513FF" w:rsidRPr="003B6C5B">
        <w:rPr>
          <w:rFonts w:eastAsia="SimSun"/>
        </w:rPr>
        <w:t xml:space="preserve"> </w:t>
      </w:r>
      <w:r w:rsidR="00EE10D8" w:rsidRPr="003B6C5B">
        <w:rPr>
          <w:rFonts w:eastAsia="SimSun"/>
        </w:rPr>
        <w:t xml:space="preserve">holding different investment horizons to </w:t>
      </w:r>
      <w:r w:rsidR="00E1526C">
        <w:rPr>
          <w:rFonts w:eastAsia="SimSun"/>
        </w:rPr>
        <w:t>better measure and manage</w:t>
      </w:r>
      <w:r w:rsidR="00E1526C" w:rsidRPr="003B6C5B">
        <w:rPr>
          <w:rFonts w:eastAsia="SimSun"/>
        </w:rPr>
        <w:t xml:space="preserve"> </w:t>
      </w:r>
      <w:r w:rsidR="00EE10D8" w:rsidRPr="003B6C5B">
        <w:rPr>
          <w:rFonts w:eastAsia="SimSun"/>
        </w:rPr>
        <w:t>risks</w:t>
      </w:r>
      <w:r w:rsidR="00E1526C">
        <w:rPr>
          <w:rFonts w:eastAsia="SimSun"/>
        </w:rPr>
        <w:t xml:space="preserve"> </w:t>
      </w:r>
      <w:r w:rsidR="0042374C" w:rsidRPr="003B6C5B">
        <w:rPr>
          <w:rFonts w:eastAsia="SimSun"/>
        </w:rPr>
        <w:t xml:space="preserve">given the importance of higher-order moments in </w:t>
      </w:r>
      <w:r w:rsidR="00E1526C">
        <w:rPr>
          <w:rFonts w:eastAsia="SimSun"/>
        </w:rPr>
        <w:t xml:space="preserve">portfolio </w:t>
      </w:r>
      <w:r w:rsidR="0042374C" w:rsidRPr="003B6C5B">
        <w:rPr>
          <w:rFonts w:eastAsia="SimSun"/>
        </w:rPr>
        <w:t>risk manageme</w:t>
      </w:r>
      <w:r w:rsidR="0042374C" w:rsidRPr="00B502DC">
        <w:rPr>
          <w:noProof/>
          <w:shd w:val="clear" w:color="auto" w:fill="FFFFFF"/>
        </w:rPr>
        <w:t xml:space="preserve">nt </w:t>
      </w:r>
      <w:r w:rsidR="0042374C" w:rsidRPr="003B6C5B">
        <w:rPr>
          <w:noProof/>
          <w:shd w:val="clear" w:color="auto" w:fill="FFFFFF"/>
        </w:rPr>
        <w:t>(</w:t>
      </w:r>
      <w:r w:rsidR="00C75BC2" w:rsidRPr="00366939">
        <w:rPr>
          <w:color w:val="222222"/>
          <w:shd w:val="clear" w:color="auto" w:fill="FFFFFF"/>
        </w:rPr>
        <w:t>Christoffersen</w:t>
      </w:r>
      <w:r w:rsidR="00C75BC2">
        <w:rPr>
          <w:color w:val="222222"/>
          <w:shd w:val="clear" w:color="auto" w:fill="FFFFFF"/>
        </w:rPr>
        <w:t xml:space="preserve"> et al.,</w:t>
      </w:r>
      <w:r w:rsidR="00C75BC2" w:rsidRPr="00366939">
        <w:rPr>
          <w:color w:val="222222"/>
          <w:shd w:val="clear" w:color="auto" w:fill="FFFFFF"/>
        </w:rPr>
        <w:t xml:space="preserve"> 2021</w:t>
      </w:r>
      <w:r w:rsidR="00C75BC2">
        <w:rPr>
          <w:color w:val="222222"/>
          <w:shd w:val="clear" w:color="auto" w:fill="FFFFFF"/>
        </w:rPr>
        <w:t xml:space="preserve">; </w:t>
      </w:r>
      <w:r w:rsidR="00C75BC2" w:rsidRPr="00B502DC">
        <w:rPr>
          <w:noProof/>
          <w:shd w:val="clear" w:color="auto" w:fill="FFFFFF"/>
        </w:rPr>
        <w:t>Langlois, 2020</w:t>
      </w:r>
      <w:r w:rsidR="0042374C" w:rsidRPr="003B6C5B">
        <w:rPr>
          <w:noProof/>
          <w:shd w:val="clear" w:color="auto" w:fill="FFFFFF"/>
        </w:rPr>
        <w:t>)</w:t>
      </w:r>
      <w:r w:rsidR="00EE10D8" w:rsidRPr="003B6C5B">
        <w:rPr>
          <w:rFonts w:eastAsia="SimSun"/>
        </w:rPr>
        <w:t xml:space="preserve">. To demonstrate the implication of higher order moments risk </w:t>
      </w:r>
      <w:r w:rsidR="00067B5B">
        <w:rPr>
          <w:rFonts w:eastAsia="SimSun"/>
        </w:rPr>
        <w:t>in portfolio management</w:t>
      </w:r>
      <w:r w:rsidR="00EE10D8" w:rsidRPr="003B6C5B">
        <w:rPr>
          <w:rFonts w:eastAsia="SimSun"/>
        </w:rPr>
        <w:t xml:space="preserve">, this paper </w:t>
      </w:r>
      <w:r w:rsidR="0042374C" w:rsidRPr="003B6C5B">
        <w:rPr>
          <w:rFonts w:eastAsia="SimSun"/>
        </w:rPr>
        <w:t xml:space="preserve">also </w:t>
      </w:r>
      <w:r w:rsidR="00EE10D8" w:rsidRPr="00C703AD">
        <w:rPr>
          <w:rFonts w:eastAsia="SimSun"/>
        </w:rPr>
        <w:t xml:space="preserve">formulates </w:t>
      </w:r>
      <w:r w:rsidR="00EE10D8" w:rsidRPr="00C165FD">
        <w:rPr>
          <w:rFonts w:eastAsia="SimSun"/>
        </w:rPr>
        <w:t>a</w:t>
      </w:r>
      <w:r w:rsidR="001527FB">
        <w:rPr>
          <w:rFonts w:eastAsia="SimSun"/>
        </w:rPr>
        <w:t xml:space="preserve">n </w:t>
      </w:r>
      <w:r w:rsidR="002A73B2" w:rsidRPr="00C165FD">
        <w:rPr>
          <w:rFonts w:eastAsia="SimSun"/>
        </w:rPr>
        <w:t>optimal wavelet-based skewness-kurtosis portfolio strategy</w:t>
      </w:r>
      <w:r w:rsidR="002A73B2" w:rsidRPr="00B502DC">
        <w:rPr>
          <w:rFonts w:eastAsia="SimSun"/>
        </w:rPr>
        <w:t xml:space="preserve"> </w:t>
      </w:r>
      <w:r w:rsidR="00EE10D8" w:rsidRPr="00942BDC">
        <w:rPr>
          <w:rFonts w:eastAsia="SimSun"/>
        </w:rPr>
        <w:t>to hedge</w:t>
      </w:r>
      <w:r w:rsidR="00EE10D8" w:rsidRPr="003B6C5B">
        <w:rPr>
          <w:rFonts w:eastAsia="SimSun"/>
        </w:rPr>
        <w:t xml:space="preserve"> exposure to spillovers of higher-order moments risk</w:t>
      </w:r>
      <w:r w:rsidR="00067B5B">
        <w:rPr>
          <w:rFonts w:eastAsia="SimSun"/>
        </w:rPr>
        <w:t xml:space="preserve"> of the carbon and energy markets</w:t>
      </w:r>
      <w:r w:rsidR="0042374C" w:rsidRPr="003B6C5B">
        <w:rPr>
          <w:rFonts w:eastAsia="SimSun"/>
        </w:rPr>
        <w:t>.</w:t>
      </w:r>
      <w:r w:rsidR="00EE10D8" w:rsidRPr="003B6C5B">
        <w:rPr>
          <w:rStyle w:val="FootnoteReference"/>
          <w:rFonts w:eastAsia="SimSun"/>
        </w:rPr>
        <w:footnoteReference w:id="10"/>
      </w:r>
    </w:p>
    <w:p w14:paraId="42231A85" w14:textId="556F9B0F" w:rsidR="00EE10D8" w:rsidRPr="003B6C5B" w:rsidRDefault="00EE10D8" w:rsidP="00EE10D8">
      <w:pPr>
        <w:spacing w:line="480" w:lineRule="auto"/>
        <w:ind w:firstLineChars="200" w:firstLine="480"/>
        <w:jc w:val="both"/>
        <w:rPr>
          <w:rFonts w:eastAsia="SimSun"/>
        </w:rPr>
      </w:pPr>
      <w:bookmarkStart w:id="3" w:name="_Hlk67384730"/>
      <w:r w:rsidRPr="003B6C5B">
        <w:rPr>
          <w:rFonts w:eastAsia="SimSun"/>
        </w:rPr>
        <w:t xml:space="preserve">This </w:t>
      </w:r>
      <w:r w:rsidR="000568A8">
        <w:rPr>
          <w:rFonts w:eastAsia="SimSun"/>
          <w:lang w:val="en-GB"/>
        </w:rPr>
        <w:t>study</w:t>
      </w:r>
      <w:r w:rsidRPr="003B6C5B">
        <w:rPr>
          <w:rFonts w:eastAsia="SimSun" w:hint="eastAsia"/>
        </w:rPr>
        <w:t xml:space="preserve"> </w:t>
      </w:r>
      <w:r w:rsidRPr="003B6C5B">
        <w:rPr>
          <w:rFonts w:eastAsia="SimSun"/>
        </w:rPr>
        <w:t xml:space="preserve">has a </w:t>
      </w:r>
      <w:r w:rsidRPr="003B6C5B">
        <w:rPr>
          <w:rFonts w:eastAsia="SimSun" w:hint="eastAsia"/>
        </w:rPr>
        <w:t>three-fold</w:t>
      </w:r>
      <w:r w:rsidRPr="003B6C5B">
        <w:rPr>
          <w:rFonts w:eastAsia="SimSun"/>
        </w:rPr>
        <w:t xml:space="preserve"> potential to provide new insights for understanding </w:t>
      </w:r>
      <w:r w:rsidRPr="003B6C5B">
        <w:rPr>
          <w:rFonts w:eastAsia="SimSun" w:hint="eastAsia"/>
        </w:rPr>
        <w:t>the</w:t>
      </w:r>
      <w:r w:rsidRPr="003B6C5B">
        <w:rPr>
          <w:rFonts w:eastAsia="SimSun"/>
        </w:rPr>
        <w:t xml:space="preserve"> </w:t>
      </w:r>
      <w:r w:rsidRPr="003B6C5B">
        <w:rPr>
          <w:rFonts w:eastAsia="SimSun" w:hint="eastAsia"/>
        </w:rPr>
        <w:t>interplay</w:t>
      </w:r>
      <w:r w:rsidRPr="003B6C5B">
        <w:rPr>
          <w:rFonts w:eastAsia="SimSun"/>
        </w:rPr>
        <w:t xml:space="preserve"> </w:t>
      </w:r>
      <w:r w:rsidRPr="003B6C5B">
        <w:rPr>
          <w:rFonts w:eastAsia="SimSun" w:hint="eastAsia"/>
        </w:rPr>
        <w:t>between</w:t>
      </w:r>
      <w:r w:rsidRPr="003B6C5B">
        <w:rPr>
          <w:rFonts w:eastAsia="SimSun"/>
        </w:rPr>
        <w:t xml:space="preserve"> the </w:t>
      </w:r>
      <w:r w:rsidRPr="003B6C5B">
        <w:rPr>
          <w:rFonts w:eastAsia="SimSun" w:hint="eastAsia"/>
        </w:rPr>
        <w:t>carbon</w:t>
      </w:r>
      <w:r w:rsidRPr="003B6C5B">
        <w:rPr>
          <w:rFonts w:eastAsia="SimSun"/>
        </w:rPr>
        <w:t xml:space="preserve"> </w:t>
      </w:r>
      <w:r w:rsidRPr="003B6C5B">
        <w:rPr>
          <w:rFonts w:eastAsia="SimSun" w:hint="eastAsia"/>
        </w:rPr>
        <w:t>and</w:t>
      </w:r>
      <w:r w:rsidRPr="003B6C5B">
        <w:rPr>
          <w:rFonts w:eastAsia="SimSun"/>
        </w:rPr>
        <w:t xml:space="preserve"> </w:t>
      </w:r>
      <w:r w:rsidRPr="003B6C5B">
        <w:rPr>
          <w:rFonts w:eastAsia="SimSun" w:hint="eastAsia"/>
        </w:rPr>
        <w:t>energy</w:t>
      </w:r>
      <w:r w:rsidRPr="003B6C5B">
        <w:rPr>
          <w:rFonts w:eastAsia="SimSun"/>
        </w:rPr>
        <w:t xml:space="preserve"> </w:t>
      </w:r>
      <w:r w:rsidRPr="003B6C5B">
        <w:rPr>
          <w:rFonts w:eastAsia="SimSun" w:hint="eastAsia"/>
        </w:rPr>
        <w:t>markets</w:t>
      </w:r>
      <w:r w:rsidRPr="003B6C5B">
        <w:rPr>
          <w:rFonts w:eastAsia="SimSun"/>
        </w:rPr>
        <w:t xml:space="preserve"> </w:t>
      </w:r>
      <w:r w:rsidRPr="003B6C5B">
        <w:rPr>
          <w:rFonts w:eastAsia="SimSun" w:hint="eastAsia"/>
        </w:rPr>
        <w:t>in</w:t>
      </w:r>
      <w:r w:rsidRPr="003B6C5B">
        <w:rPr>
          <w:rFonts w:eastAsia="SimSun"/>
        </w:rPr>
        <w:t xml:space="preserve"> Phase III of the EU ETS. First, </w:t>
      </w:r>
      <w:r w:rsidRPr="003B6C5B">
        <w:rPr>
          <w:rFonts w:eastAsia="SimSun" w:hint="eastAsia"/>
        </w:rPr>
        <w:t>the</w:t>
      </w:r>
      <w:r w:rsidRPr="003B6C5B">
        <w:rPr>
          <w:rFonts w:eastAsia="SimSun"/>
        </w:rPr>
        <w:t xml:space="preserve"> </w:t>
      </w:r>
      <w:r w:rsidRPr="003B6C5B">
        <w:rPr>
          <w:rFonts w:eastAsia="SimSun" w:hint="eastAsia"/>
        </w:rPr>
        <w:t>higher-order</w:t>
      </w:r>
      <w:r w:rsidRPr="003B6C5B">
        <w:rPr>
          <w:rFonts w:eastAsia="SimSun"/>
        </w:rPr>
        <w:t xml:space="preserve"> </w:t>
      </w:r>
      <w:r w:rsidRPr="003B6C5B">
        <w:rPr>
          <w:rFonts w:eastAsia="SimSun" w:hint="eastAsia"/>
        </w:rPr>
        <w:t>moments</w:t>
      </w:r>
      <w:r w:rsidRPr="003B6C5B">
        <w:rPr>
          <w:rFonts w:eastAsia="SimSun"/>
        </w:rPr>
        <w:t xml:space="preserve"> </w:t>
      </w:r>
      <w:r w:rsidRPr="003B6C5B">
        <w:rPr>
          <w:rFonts w:eastAsia="SimSun" w:hint="eastAsia"/>
        </w:rPr>
        <w:t>analysis</w:t>
      </w:r>
      <w:r w:rsidRPr="003B6C5B">
        <w:rPr>
          <w:rFonts w:eastAsia="SimSun"/>
        </w:rPr>
        <w:t xml:space="preserve"> </w:t>
      </w:r>
      <w:r w:rsidR="00D34D33">
        <w:rPr>
          <w:rFonts w:eastAsia="SimSun"/>
        </w:rPr>
        <w:t xml:space="preserve">used </w:t>
      </w:r>
      <w:r w:rsidRPr="003B6C5B">
        <w:rPr>
          <w:rFonts w:eastAsia="SimSun"/>
        </w:rPr>
        <w:t xml:space="preserve">in this study </w:t>
      </w:r>
      <w:r w:rsidRPr="003B6C5B">
        <w:rPr>
          <w:rFonts w:eastAsia="SimSun" w:hint="eastAsia"/>
        </w:rPr>
        <w:t>complements</w:t>
      </w:r>
      <w:r w:rsidRPr="003B6C5B">
        <w:rPr>
          <w:rFonts w:eastAsia="SimSun"/>
        </w:rPr>
        <w:t xml:space="preserve"> the study of mean/variance analysis </w:t>
      </w:r>
      <w:r w:rsidRPr="003B6C5B">
        <w:rPr>
          <w:rFonts w:eastAsia="SimSun" w:hint="eastAsia"/>
        </w:rPr>
        <w:t>on</w:t>
      </w:r>
      <w:r w:rsidRPr="003B6C5B">
        <w:rPr>
          <w:rFonts w:eastAsia="SimSun"/>
        </w:rPr>
        <w:t xml:space="preserve"> carbon and energy </w:t>
      </w:r>
      <w:r w:rsidRPr="003B6C5B">
        <w:rPr>
          <w:rFonts w:eastAsia="SimSun" w:hint="eastAsia"/>
        </w:rPr>
        <w:t>markets</w:t>
      </w:r>
      <w:r w:rsidR="00A23265">
        <w:rPr>
          <w:rFonts w:eastAsia="SimSun"/>
        </w:rPr>
        <w:t xml:space="preserve"> </w:t>
      </w:r>
      <w:r w:rsidR="00A23265" w:rsidRPr="00A23265">
        <w:rPr>
          <w:rFonts w:eastAsia="SimSun"/>
        </w:rPr>
        <w:t>(</w:t>
      </w:r>
      <w:r w:rsidR="003E38BD" w:rsidRPr="00A23265">
        <w:rPr>
          <w:rFonts w:eastAsia="SimSun"/>
        </w:rPr>
        <w:t xml:space="preserve">Aatola et al, 2013; </w:t>
      </w:r>
      <w:r w:rsidR="003E38BD" w:rsidRPr="003B6C5B">
        <w:t xml:space="preserve">Ji et al., 2018; </w:t>
      </w:r>
      <w:r w:rsidR="003E38BD" w:rsidRPr="00A23265">
        <w:rPr>
          <w:rFonts w:eastAsia="SimSun"/>
        </w:rPr>
        <w:t>Hammoudeh et al., 2015</w:t>
      </w:r>
      <w:r w:rsidR="00A23265" w:rsidRPr="00A23265">
        <w:rPr>
          <w:rFonts w:eastAsia="SimSun"/>
        </w:rPr>
        <w:t>), tail dependence- (Reboredo, 2013; Uddin et al., 2018) and quantile dependence-based (Duan et al., 2021; Hammoudeh et al., 2014a)</w:t>
      </w:r>
      <w:r w:rsidRPr="003B6C5B">
        <w:rPr>
          <w:rFonts w:eastAsia="SimSun"/>
        </w:rPr>
        <w:t>, and</w:t>
      </w:r>
      <w:r w:rsidR="003E38BD">
        <w:rPr>
          <w:rFonts w:eastAsia="SimSun"/>
        </w:rPr>
        <w:t xml:space="preserve"> t</w:t>
      </w:r>
      <w:r w:rsidR="003E38BD" w:rsidRPr="003E38BD">
        <w:rPr>
          <w:rFonts w:eastAsia="SimSun"/>
        </w:rPr>
        <w:t xml:space="preserve">his will greatly enhance our understanding of the complex carbon-energy interplay during </w:t>
      </w:r>
      <w:r w:rsidR="003E38BD">
        <w:rPr>
          <w:rFonts w:eastAsia="SimSun"/>
        </w:rPr>
        <w:t xml:space="preserve">the </w:t>
      </w:r>
      <w:r w:rsidR="003E38BD" w:rsidRPr="003E38BD">
        <w:rPr>
          <w:rFonts w:eastAsia="SimSun"/>
        </w:rPr>
        <w:t xml:space="preserve">Phase of dramatic changes in the </w:t>
      </w:r>
      <w:r w:rsidR="003E38BD">
        <w:rPr>
          <w:rFonts w:eastAsia="SimSun"/>
        </w:rPr>
        <w:t>EU ETS</w:t>
      </w:r>
      <w:r w:rsidR="003E38BD" w:rsidRPr="003E38BD">
        <w:rPr>
          <w:rFonts w:eastAsia="SimSun"/>
        </w:rPr>
        <w:t xml:space="preserve"> market.</w:t>
      </w:r>
      <w:r w:rsidRPr="003B6C5B">
        <w:rPr>
          <w:rFonts w:eastAsia="SimSun"/>
        </w:rPr>
        <w:t xml:space="preserve"> </w:t>
      </w:r>
      <w:r w:rsidRPr="003B6C5B">
        <w:rPr>
          <w:rFonts w:eastAsia="SimSun" w:hint="eastAsia"/>
        </w:rPr>
        <w:t>Second,</w:t>
      </w:r>
      <w:r w:rsidRPr="003B6C5B">
        <w:rPr>
          <w:rFonts w:eastAsia="SimSun"/>
        </w:rPr>
        <w:t xml:space="preserve"> empirical evidence found to show timescale heterogeneity features which is a powerful response to the misgivings and debates about the ability of the market’s long-run carbon price signal leadership </w:t>
      </w:r>
      <w:r w:rsidRPr="003B6C5B">
        <w:rPr>
          <w:rFonts w:eastAsia="SimSun"/>
        </w:rPr>
        <w:lastRenderedPageBreak/>
        <w:t xml:space="preserve">(Anke, 2020; Rosendahl, 2019). </w:t>
      </w:r>
      <w:r w:rsidRPr="00613002">
        <w:rPr>
          <w:rFonts w:eastAsia="SimSun"/>
        </w:rPr>
        <w:t>It also largely extend</w:t>
      </w:r>
      <w:r w:rsidR="003E38BD">
        <w:rPr>
          <w:rFonts w:eastAsia="SimSun"/>
        </w:rPr>
        <w:t>s</w:t>
      </w:r>
      <w:r w:rsidRPr="003B6C5B">
        <w:rPr>
          <w:rFonts w:eastAsia="SimSun"/>
        </w:rPr>
        <w:t xml:space="preserve"> the findings of </w:t>
      </w:r>
      <w:r w:rsidR="001527FB">
        <w:rPr>
          <w:rFonts w:eastAsia="SimSun"/>
        </w:rPr>
        <w:t xml:space="preserve">previous </w:t>
      </w:r>
      <w:r w:rsidRPr="003B6C5B">
        <w:rPr>
          <w:rFonts w:eastAsia="SimSun"/>
        </w:rPr>
        <w:t xml:space="preserve">multiscale analysis work on carbon and energy markets (Dai et al., 2020; Huang et al., 2021; </w:t>
      </w:r>
      <w:r w:rsidRPr="003B6C5B">
        <w:rPr>
          <w:rFonts w:hint="eastAsia"/>
          <w:shd w:val="clear" w:color="auto" w:fill="FFFFFF"/>
        </w:rPr>
        <w:t>Yu</w:t>
      </w:r>
      <w:r w:rsidRPr="003B6C5B">
        <w:rPr>
          <w:shd w:val="clear" w:color="auto" w:fill="FFFFFF"/>
        </w:rPr>
        <w:t xml:space="preserve"> </w:t>
      </w:r>
      <w:r w:rsidRPr="003B6C5B">
        <w:rPr>
          <w:rFonts w:hint="eastAsia"/>
          <w:shd w:val="clear" w:color="auto" w:fill="FFFFFF"/>
        </w:rPr>
        <w:t>e</w:t>
      </w:r>
      <w:r w:rsidRPr="003B6C5B">
        <w:rPr>
          <w:shd w:val="clear" w:color="auto" w:fill="FFFFFF"/>
        </w:rPr>
        <w:t xml:space="preserve">t al., 2015; </w:t>
      </w:r>
      <w:r w:rsidRPr="003B6C5B">
        <w:t>Zhu et al., 2019</w:t>
      </w:r>
      <w:r w:rsidRPr="003B6C5B">
        <w:rPr>
          <w:rFonts w:eastAsia="SimSun"/>
        </w:rPr>
        <w:t>).</w:t>
      </w:r>
      <w:r w:rsidRPr="003B6C5B">
        <w:rPr>
          <w:rFonts w:eastAsia="SimSun" w:hint="eastAsia"/>
        </w:rPr>
        <w:t xml:space="preserve"> </w:t>
      </w:r>
      <w:r w:rsidRPr="003B6C5B">
        <w:rPr>
          <w:rFonts w:eastAsia="SimSun"/>
        </w:rPr>
        <w:t>Third</w:t>
      </w:r>
      <w:r w:rsidR="003E38BD">
        <w:rPr>
          <w:rFonts w:eastAsia="SimSun"/>
        </w:rPr>
        <w:t>ly</w:t>
      </w:r>
      <w:r w:rsidRPr="003B6C5B">
        <w:rPr>
          <w:rFonts w:eastAsia="SimSun"/>
        </w:rPr>
        <w:t>, to our best knowledge, this paper offers the first empirical attempt to formulate a</w:t>
      </w:r>
      <w:r w:rsidR="009365E8">
        <w:rPr>
          <w:rFonts w:eastAsia="SimSun"/>
        </w:rPr>
        <w:t>n</w:t>
      </w:r>
      <w:r w:rsidRPr="003B6C5B">
        <w:rPr>
          <w:rFonts w:eastAsia="SimSun"/>
        </w:rPr>
        <w:t xml:space="preserve"> optimal wavelet-based skewness-kurtosis portfolio strategy to hedge exposure to higher-order moments risk in the carbon and energy markets</w:t>
      </w:r>
      <w:r w:rsidR="00B344C9">
        <w:rPr>
          <w:rFonts w:eastAsia="SimSun"/>
        </w:rPr>
        <w:t xml:space="preserve"> in </w:t>
      </w:r>
      <w:r w:rsidR="00B344C9" w:rsidRPr="003B6C5B">
        <w:rPr>
          <w:rFonts w:eastAsia="SimSun"/>
        </w:rPr>
        <w:t xml:space="preserve">short- and long-run </w:t>
      </w:r>
      <w:r w:rsidR="00B344C9">
        <w:rPr>
          <w:rFonts w:eastAsia="SimSun"/>
        </w:rPr>
        <w:t>time horizons</w:t>
      </w:r>
      <w:r w:rsidRPr="003B6C5B">
        <w:rPr>
          <w:rFonts w:eastAsia="SimSun"/>
        </w:rPr>
        <w:t>.</w:t>
      </w:r>
      <w:r w:rsidR="003E38BD" w:rsidRPr="003E38BD">
        <w:rPr>
          <w:rFonts w:eastAsia="SimSun"/>
        </w:rPr>
        <w:t xml:space="preserve"> </w:t>
      </w:r>
      <w:r w:rsidR="003E38BD" w:rsidRPr="00613002">
        <w:rPr>
          <w:rFonts w:eastAsia="SimSun"/>
        </w:rPr>
        <w:t xml:space="preserve">It </w:t>
      </w:r>
      <w:r w:rsidR="003E38BD">
        <w:rPr>
          <w:rFonts w:eastAsia="SimSun"/>
        </w:rPr>
        <w:t>directly</w:t>
      </w:r>
      <w:r w:rsidR="003E38BD" w:rsidRPr="00613002">
        <w:rPr>
          <w:rFonts w:eastAsia="SimSun"/>
        </w:rPr>
        <w:t xml:space="preserve"> extend</w:t>
      </w:r>
      <w:r w:rsidR="003E38BD">
        <w:rPr>
          <w:rFonts w:eastAsia="SimSun"/>
        </w:rPr>
        <w:t>s</w:t>
      </w:r>
      <w:r w:rsidRPr="003B6C5B">
        <w:rPr>
          <w:rFonts w:eastAsia="SimSun"/>
        </w:rPr>
        <w:t xml:space="preserve"> </w:t>
      </w:r>
      <w:r w:rsidR="003E38BD">
        <w:rPr>
          <w:rFonts w:eastAsia="SimSun"/>
        </w:rPr>
        <w:t xml:space="preserve">the work of </w:t>
      </w:r>
      <w:r w:rsidR="003E38BD" w:rsidRPr="003B6C5B">
        <w:rPr>
          <w:shd w:val="clear" w:color="auto" w:fill="FFFFFF"/>
        </w:rPr>
        <w:t xml:space="preserve">Luo and Wu </w:t>
      </w:r>
      <w:r w:rsidR="003E38BD">
        <w:rPr>
          <w:shd w:val="clear" w:color="auto" w:fill="FFFFFF"/>
        </w:rPr>
        <w:t>(</w:t>
      </w:r>
      <w:r w:rsidR="003E38BD" w:rsidRPr="003B6C5B">
        <w:rPr>
          <w:shd w:val="clear" w:color="auto" w:fill="FFFFFF"/>
        </w:rPr>
        <w:t>2016</w:t>
      </w:r>
      <w:r w:rsidR="003E38BD">
        <w:rPr>
          <w:shd w:val="clear" w:color="auto" w:fill="FFFFFF"/>
        </w:rPr>
        <w:t>), and</w:t>
      </w:r>
      <w:r w:rsidR="003E38BD" w:rsidRPr="003B6C5B">
        <w:rPr>
          <w:shd w:val="clear" w:color="auto" w:fill="FFFFFF"/>
        </w:rPr>
        <w:t xml:space="preserve"> </w:t>
      </w:r>
      <w:r w:rsidR="003E38BD" w:rsidRPr="003B6C5B">
        <w:t xml:space="preserve">Uddin et al. </w:t>
      </w:r>
      <w:r w:rsidR="003E38BD">
        <w:t>(</w:t>
      </w:r>
      <w:r w:rsidR="003E38BD" w:rsidRPr="003B6C5B">
        <w:t>2018</w:t>
      </w:r>
      <w:r w:rsidR="003E38BD">
        <w:t>).</w:t>
      </w:r>
    </w:p>
    <w:p w14:paraId="55CB368D" w14:textId="02D810B7" w:rsidR="00E70BFC" w:rsidRDefault="00A2313E" w:rsidP="006724D6">
      <w:pPr>
        <w:spacing w:line="480" w:lineRule="auto"/>
        <w:ind w:firstLineChars="200" w:firstLine="480"/>
        <w:jc w:val="both"/>
      </w:pPr>
      <w:bookmarkStart w:id="4" w:name="_Hlk66202341"/>
      <w:bookmarkEnd w:id="3"/>
      <w:r w:rsidRPr="003B6C5B">
        <w:t>The rest of this paper is organi</w:t>
      </w:r>
      <w:r w:rsidR="00D9320F" w:rsidRPr="003B6C5B">
        <w:t>s</w:t>
      </w:r>
      <w:r w:rsidRPr="003B6C5B">
        <w:t xml:space="preserve">ed as follows. </w:t>
      </w:r>
      <w:r w:rsidR="00E1289D" w:rsidRPr="003B6C5B">
        <w:t xml:space="preserve">Section 2 </w:t>
      </w:r>
      <w:r w:rsidR="0086108D" w:rsidRPr="003B6C5B">
        <w:t xml:space="preserve">reviews literature and </w:t>
      </w:r>
      <w:r w:rsidR="003B733E">
        <w:t>identifies</w:t>
      </w:r>
      <w:r w:rsidR="003E2045" w:rsidRPr="003B6C5B">
        <w:t xml:space="preserve"> the importance</w:t>
      </w:r>
      <w:r w:rsidR="003B733E">
        <w:t xml:space="preserve"> and gaps</w:t>
      </w:r>
      <w:r w:rsidR="003E2045" w:rsidRPr="003B6C5B">
        <w:t xml:space="preserve"> of </w:t>
      </w:r>
      <w:r w:rsidR="0086108D" w:rsidRPr="003B6C5B">
        <w:rPr>
          <w:lang w:val="en-GB"/>
        </w:rPr>
        <w:t xml:space="preserve">the spillovers </w:t>
      </w:r>
      <w:r w:rsidR="0086108D" w:rsidRPr="003B6C5B">
        <w:t xml:space="preserve">and their heterogeneity </w:t>
      </w:r>
      <w:r w:rsidR="0086108D" w:rsidRPr="003B6C5B">
        <w:rPr>
          <w:lang w:val="en-GB"/>
        </w:rPr>
        <w:t xml:space="preserve">of </w:t>
      </w:r>
      <w:r w:rsidR="003E2045" w:rsidRPr="003B6C5B">
        <w:rPr>
          <w:rFonts w:hint="eastAsia"/>
        </w:rPr>
        <w:t>h</w:t>
      </w:r>
      <w:r w:rsidR="003E2045" w:rsidRPr="003B6C5B">
        <w:t>igher</w:t>
      </w:r>
      <w:r w:rsidR="0086108D" w:rsidRPr="003B6C5B">
        <w:t>-</w:t>
      </w:r>
      <w:r w:rsidR="003E2045" w:rsidRPr="003B6C5B">
        <w:t xml:space="preserve">order moments </w:t>
      </w:r>
      <w:r w:rsidR="0086108D" w:rsidRPr="003B6C5B">
        <w:t xml:space="preserve">between the carbon and </w:t>
      </w:r>
      <w:r w:rsidR="0091278E" w:rsidRPr="003B6C5B">
        <w:t>energy</w:t>
      </w:r>
      <w:r w:rsidR="0086108D" w:rsidRPr="003B6C5B">
        <w:t xml:space="preserve"> markets </w:t>
      </w:r>
      <w:r w:rsidR="00980023">
        <w:t xml:space="preserve">at </w:t>
      </w:r>
      <w:r w:rsidR="0086108D" w:rsidRPr="003B6C5B">
        <w:t>different timescales</w:t>
      </w:r>
      <w:r w:rsidR="003E2045" w:rsidRPr="003B6C5B">
        <w:t>.</w:t>
      </w:r>
      <w:r w:rsidR="00616B1E" w:rsidRPr="003B6C5B">
        <w:t xml:space="preserve"> </w:t>
      </w:r>
      <w:r w:rsidRPr="003B6C5B">
        <w:t xml:space="preserve">Section </w:t>
      </w:r>
      <w:r w:rsidR="00616B1E" w:rsidRPr="003B6C5B">
        <w:t>3</w:t>
      </w:r>
      <w:r w:rsidRPr="003B6C5B">
        <w:t xml:space="preserve"> introduces the </w:t>
      </w:r>
      <w:r w:rsidR="00D9320F" w:rsidRPr="003B6C5B">
        <w:t xml:space="preserve">econometric </w:t>
      </w:r>
      <w:r w:rsidRPr="003B6C5B">
        <w:t>approach</w:t>
      </w:r>
      <w:r w:rsidR="00D9320F" w:rsidRPr="003B6C5B">
        <w:t>es</w:t>
      </w:r>
      <w:r w:rsidRPr="003B6C5B">
        <w:t xml:space="preserve"> </w:t>
      </w:r>
      <w:r w:rsidR="003E2045" w:rsidRPr="003B6C5B">
        <w:t>we use</w:t>
      </w:r>
      <w:r w:rsidRPr="003B6C5B">
        <w:t xml:space="preserve"> in this </w:t>
      </w:r>
      <w:r w:rsidR="003E2045" w:rsidRPr="003B6C5B">
        <w:t>study</w:t>
      </w:r>
      <w:r w:rsidRPr="003B6C5B">
        <w:t xml:space="preserve">. </w:t>
      </w:r>
      <w:r w:rsidR="00616B1E" w:rsidRPr="003B6C5B">
        <w:t>S</w:t>
      </w:r>
      <w:r w:rsidRPr="003B6C5B">
        <w:t xml:space="preserve">ection </w:t>
      </w:r>
      <w:r w:rsidR="00616B1E" w:rsidRPr="003B6C5B">
        <w:t>4</w:t>
      </w:r>
      <w:r w:rsidRPr="003B6C5B">
        <w:t xml:space="preserve"> </w:t>
      </w:r>
      <w:r w:rsidR="00D9320F" w:rsidRPr="003B6C5B">
        <w:t xml:space="preserve">describes </w:t>
      </w:r>
      <w:r w:rsidR="00015FE7" w:rsidRPr="003B6C5B">
        <w:t xml:space="preserve">the </w:t>
      </w:r>
      <w:r w:rsidRPr="003B6C5B">
        <w:t>data</w:t>
      </w:r>
      <w:r w:rsidR="00D9320F" w:rsidRPr="003B6C5B">
        <w:t xml:space="preserve"> </w:t>
      </w:r>
      <w:r w:rsidR="003E2045" w:rsidRPr="003B6C5B">
        <w:t xml:space="preserve">used in this </w:t>
      </w:r>
      <w:r w:rsidR="00D9320F" w:rsidRPr="003B6C5B">
        <w:t>study</w:t>
      </w:r>
      <w:r w:rsidRPr="003B6C5B">
        <w:t xml:space="preserve">. Section </w:t>
      </w:r>
      <w:r w:rsidR="00616B1E" w:rsidRPr="003B6C5B">
        <w:t>5</w:t>
      </w:r>
      <w:r w:rsidRPr="003B6C5B">
        <w:t xml:space="preserve"> </w:t>
      </w:r>
      <w:r w:rsidR="00D9320F" w:rsidRPr="003B6C5B">
        <w:t xml:space="preserve">presents and discusses </w:t>
      </w:r>
      <w:r w:rsidRPr="003B6C5B">
        <w:t>the empirical findings</w:t>
      </w:r>
      <w:r w:rsidR="00AC0222" w:rsidRPr="003B6C5B">
        <w:t>,</w:t>
      </w:r>
      <w:r w:rsidRPr="003B6C5B">
        <w:t xml:space="preserve"> and </w:t>
      </w:r>
      <w:r w:rsidR="00616B1E" w:rsidRPr="003B6C5B">
        <w:t>s</w:t>
      </w:r>
      <w:r w:rsidRPr="003B6C5B">
        <w:t xml:space="preserve">ection </w:t>
      </w:r>
      <w:r w:rsidR="00616B1E" w:rsidRPr="003B6C5B">
        <w:t>6</w:t>
      </w:r>
      <w:r w:rsidRPr="003B6C5B">
        <w:t xml:space="preserve"> concludes </w:t>
      </w:r>
      <w:r w:rsidR="00616B1E" w:rsidRPr="003B6C5B">
        <w:t xml:space="preserve">and </w:t>
      </w:r>
      <w:r w:rsidR="00D9320F" w:rsidRPr="003B6C5B">
        <w:t>highlight</w:t>
      </w:r>
      <w:r w:rsidR="003E2045" w:rsidRPr="003B6C5B">
        <w:t>s</w:t>
      </w:r>
      <w:r w:rsidR="00241D57" w:rsidRPr="003B6C5B">
        <w:t xml:space="preserve"> </w:t>
      </w:r>
      <w:r w:rsidR="00616B1E" w:rsidRPr="003B6C5B">
        <w:t>the policy implications</w:t>
      </w:r>
      <w:r w:rsidR="000D5EC1" w:rsidRPr="003B6C5B">
        <w:t xml:space="preserve">. </w:t>
      </w:r>
      <w:bookmarkEnd w:id="4"/>
    </w:p>
    <w:p w14:paraId="63B81D9C" w14:textId="30D44C74" w:rsidR="00E70BFC" w:rsidRPr="003B6C5B" w:rsidRDefault="00241D57" w:rsidP="006724D6">
      <w:pPr>
        <w:pStyle w:val="Heading1"/>
        <w:numPr>
          <w:ilvl w:val="0"/>
          <w:numId w:val="1"/>
        </w:numPr>
        <w:tabs>
          <w:tab w:val="left" w:pos="7557"/>
        </w:tabs>
        <w:spacing w:before="260" w:after="260" w:line="480" w:lineRule="auto"/>
        <w:ind w:left="357" w:hanging="357"/>
        <w:jc w:val="both"/>
        <w:rPr>
          <w:rFonts w:eastAsiaTheme="minorEastAsia"/>
          <w:sz w:val="24"/>
          <w:szCs w:val="24"/>
        </w:rPr>
      </w:pPr>
      <w:r w:rsidRPr="003B6C5B">
        <w:rPr>
          <w:rFonts w:eastAsiaTheme="minorEastAsia"/>
          <w:sz w:val="24"/>
          <w:szCs w:val="24"/>
        </w:rPr>
        <w:t>New perspective</w:t>
      </w:r>
      <w:r w:rsidR="009F4898">
        <w:rPr>
          <w:rFonts w:eastAsiaTheme="minorEastAsia"/>
          <w:sz w:val="24"/>
          <w:szCs w:val="24"/>
        </w:rPr>
        <w:t>s</w:t>
      </w:r>
      <w:r w:rsidRPr="003B6C5B">
        <w:rPr>
          <w:rFonts w:eastAsiaTheme="minorEastAsia"/>
          <w:sz w:val="24"/>
          <w:szCs w:val="24"/>
        </w:rPr>
        <w:t xml:space="preserve"> on the i</w:t>
      </w:r>
      <w:r w:rsidR="00E96255" w:rsidRPr="003B6C5B">
        <w:rPr>
          <w:rFonts w:eastAsiaTheme="minorEastAsia"/>
          <w:sz w:val="24"/>
          <w:szCs w:val="24"/>
        </w:rPr>
        <w:t xml:space="preserve">nterplay between </w:t>
      </w:r>
      <w:r w:rsidRPr="003B6C5B">
        <w:rPr>
          <w:rFonts w:eastAsiaTheme="minorEastAsia"/>
          <w:sz w:val="24"/>
          <w:szCs w:val="24"/>
        </w:rPr>
        <w:t xml:space="preserve">the </w:t>
      </w:r>
      <w:r w:rsidR="00E96255" w:rsidRPr="003B6C5B">
        <w:rPr>
          <w:rFonts w:eastAsiaTheme="minorEastAsia"/>
          <w:sz w:val="24"/>
          <w:szCs w:val="24"/>
        </w:rPr>
        <w:t xml:space="preserve">carbon and energy markets </w:t>
      </w:r>
    </w:p>
    <w:p w14:paraId="474C7F98" w14:textId="7F6D37D2" w:rsidR="00EE10D8" w:rsidRPr="003B6C5B" w:rsidRDefault="00020A19" w:rsidP="00B502DC">
      <w:pPr>
        <w:spacing w:line="480" w:lineRule="auto"/>
        <w:ind w:firstLineChars="177" w:firstLine="425"/>
        <w:jc w:val="both"/>
      </w:pPr>
      <w:r>
        <w:t>T</w:t>
      </w:r>
      <w:r w:rsidRPr="00020A19">
        <w:t>here is abundant literature</w:t>
      </w:r>
      <w:r>
        <w:t xml:space="preserve"> show </w:t>
      </w:r>
      <w:r w:rsidR="00EE10D8" w:rsidRPr="003B6C5B">
        <w:t>that carbon prices are closely associated with energy prices on mean and volatility at the theoretical and empirical level especially in the Phase I and Phase II of the EU ETS (</w:t>
      </w:r>
      <w:r w:rsidR="00EE10D8" w:rsidRPr="00CF194B">
        <w:rPr>
          <w:rFonts w:eastAsia="SimSun"/>
        </w:rPr>
        <w:t>Aatola et al., 2013; Bunn and Fezzi, 2007; Chevallier, 2009, 2011b, 2012; Christiansen et al., 2005; Hammoudeh et al., 2015</w:t>
      </w:r>
      <w:r w:rsidR="00EE10D8" w:rsidRPr="00FE1EE9">
        <w:rPr>
          <w:rFonts w:eastAsia="SimSun"/>
          <w:noProof/>
        </w:rPr>
        <w:t>;</w:t>
      </w:r>
      <w:bookmarkStart w:id="5" w:name="_Hlk67154182"/>
      <w:r w:rsidR="00EE10D8" w:rsidRPr="00FE1EE9">
        <w:rPr>
          <w:rFonts w:eastAsia="SimSun"/>
          <w:noProof/>
        </w:rPr>
        <w:t xml:space="preserve"> </w:t>
      </w:r>
      <w:r w:rsidR="00EE10D8" w:rsidRPr="003B6C5B">
        <w:rPr>
          <w:noProof/>
        </w:rPr>
        <w:t xml:space="preserve">Ji et al., 2018; </w:t>
      </w:r>
      <w:r w:rsidR="00EE10D8" w:rsidRPr="00CF194B">
        <w:rPr>
          <w:rFonts w:eastAsia="SimSun"/>
          <w:noProof/>
        </w:rPr>
        <w:t>Keppler and Mansanet-Bataller, 2010;</w:t>
      </w:r>
      <w:bookmarkEnd w:id="5"/>
      <w:r w:rsidR="00EE10D8" w:rsidRPr="00CF194B">
        <w:rPr>
          <w:rFonts w:eastAsia="SimSun"/>
          <w:noProof/>
        </w:rPr>
        <w:t xml:space="preserve"> </w:t>
      </w:r>
      <w:r w:rsidR="00EE10D8" w:rsidRPr="00CF194B">
        <w:rPr>
          <w:rFonts w:eastAsia="SimSun"/>
        </w:rPr>
        <w:t>Mansanet-Bataller et al., 2007;</w:t>
      </w:r>
      <w:r w:rsidR="00EE10D8" w:rsidRPr="00CF194B">
        <w:rPr>
          <w:shd w:val="clear" w:color="auto" w:fill="FFFFFF"/>
        </w:rPr>
        <w:t xml:space="preserve"> </w:t>
      </w:r>
      <w:r w:rsidR="00EE10D8" w:rsidRPr="00CF194B">
        <w:rPr>
          <w:noProof/>
          <w:shd w:val="clear" w:color="auto" w:fill="FFFFFF"/>
        </w:rPr>
        <w:t xml:space="preserve">Reboredo, 2014; </w:t>
      </w:r>
      <w:r w:rsidR="00EE10D8" w:rsidRPr="00FE1EE9">
        <w:rPr>
          <w:rFonts w:eastAsia="DengXian"/>
          <w:noProof/>
        </w:rPr>
        <w:t>Zhang and Sun, 2016</w:t>
      </w:r>
      <w:r w:rsidR="00EE10D8" w:rsidRPr="003B6C5B">
        <w:t>)</w:t>
      </w:r>
      <w:r w:rsidR="0042374C" w:rsidRPr="003B6C5B">
        <w:t>.</w:t>
      </w:r>
      <w:r>
        <w:t xml:space="preserve"> </w:t>
      </w:r>
      <w:r w:rsidR="00134E0D">
        <w:t xml:space="preserve">Apparently, </w:t>
      </w:r>
      <w:r w:rsidR="00EE10D8" w:rsidRPr="003B6C5B">
        <w:t xml:space="preserve">changes in energy prices have impact on carbon emissions, </w:t>
      </w:r>
      <w:r w:rsidR="000A6EC0" w:rsidRPr="003B6C5B">
        <w:t xml:space="preserve">whether it is an income effect or a substitution effect, </w:t>
      </w:r>
      <w:r w:rsidR="00EE10D8" w:rsidRPr="003B6C5B">
        <w:t>thereby affecting carbon prices, and vice versa.</w:t>
      </w:r>
    </w:p>
    <w:p w14:paraId="6D407D5B" w14:textId="1868D519" w:rsidR="00EE10D8" w:rsidRPr="003B6C5B" w:rsidRDefault="00EE10D8" w:rsidP="001B33DF">
      <w:pPr>
        <w:spacing w:line="480" w:lineRule="auto"/>
        <w:ind w:firstLineChars="200" w:firstLine="480"/>
        <w:jc w:val="both"/>
      </w:pPr>
      <w:r w:rsidRPr="003B6C5B">
        <w:t xml:space="preserve">However, as both carbon and energy </w:t>
      </w:r>
      <w:r w:rsidR="00CF194B">
        <w:t>assets</w:t>
      </w:r>
      <w:r w:rsidR="00CF194B" w:rsidRPr="003B6C5B">
        <w:t xml:space="preserve"> </w:t>
      </w:r>
      <w:r w:rsidRPr="003B6C5B">
        <w:t>have strong financial attributes (</w:t>
      </w:r>
      <w:r w:rsidRPr="003B6C5B">
        <w:rPr>
          <w:shd w:val="clear" w:color="auto" w:fill="FFFFFF"/>
        </w:rPr>
        <w:t>Medina and Pardo, 2013)</w:t>
      </w:r>
      <w:r w:rsidRPr="003B6C5B">
        <w:t xml:space="preserve">, classical mean/volatility-based analysis loses a great deal of </w:t>
      </w:r>
      <w:r w:rsidRPr="003B6C5B">
        <w:lastRenderedPageBreak/>
        <w:t>panoramic information in the interplay of carbon and energy assets, especially in this EU ETS Phase III</w:t>
      </w:r>
      <w:r w:rsidR="0072292A">
        <w:t xml:space="preserve"> </w:t>
      </w:r>
      <w:r w:rsidR="0072292A" w:rsidRPr="0072292A">
        <w:t>that has changed dramatically</w:t>
      </w:r>
      <w:r w:rsidRPr="003B6C5B">
        <w:t>. If and to what extent extreme prices</w:t>
      </w:r>
      <w:r w:rsidR="006C5F34">
        <w:t xml:space="preserve">, namely </w:t>
      </w:r>
      <w:r w:rsidR="006C5F34" w:rsidRPr="003B6C5B">
        <w:t>asymmetr</w:t>
      </w:r>
      <w:r w:rsidR="006C5F34">
        <w:t>ic</w:t>
      </w:r>
      <w:r w:rsidR="006C5F34" w:rsidRPr="003B6C5B">
        <w:t xml:space="preserve"> and fat-tailed risk</w:t>
      </w:r>
      <w:r w:rsidR="006C5F34">
        <w:t xml:space="preserve">, </w:t>
      </w:r>
      <w:r w:rsidRPr="003B6C5B">
        <w:t>of carbon and energy assets will affect each other?</w:t>
      </w:r>
      <w:r w:rsidRPr="003B6C5B">
        <w:rPr>
          <w:rFonts w:hint="eastAsia"/>
        </w:rPr>
        <w:t xml:space="preserve"> </w:t>
      </w:r>
      <w:r w:rsidRPr="003B6C5B">
        <w:t>Researchers argue that such higher-order moments information (Bali, 2008;</w:t>
      </w:r>
      <w:r w:rsidRPr="003B6C5B">
        <w:rPr>
          <w:shd w:val="clear" w:color="auto" w:fill="FFFFFF"/>
        </w:rPr>
        <w:t xml:space="preserve"> </w:t>
      </w:r>
      <w:r w:rsidR="0072292A" w:rsidRPr="00366939">
        <w:rPr>
          <w:color w:val="222222"/>
          <w:shd w:val="clear" w:color="auto" w:fill="FFFFFF"/>
        </w:rPr>
        <w:t>Christoffersen</w:t>
      </w:r>
      <w:r w:rsidR="0072292A">
        <w:rPr>
          <w:color w:val="222222"/>
          <w:shd w:val="clear" w:color="auto" w:fill="FFFFFF"/>
        </w:rPr>
        <w:t xml:space="preserve"> et al.,</w:t>
      </w:r>
      <w:r w:rsidR="0072292A" w:rsidRPr="00366939">
        <w:rPr>
          <w:color w:val="222222"/>
          <w:shd w:val="clear" w:color="auto" w:fill="FFFFFF"/>
        </w:rPr>
        <w:t xml:space="preserve"> 2021</w:t>
      </w:r>
      <w:r w:rsidR="0072292A">
        <w:rPr>
          <w:color w:val="222222"/>
          <w:shd w:val="clear" w:color="auto" w:fill="FFFFFF"/>
        </w:rPr>
        <w:t xml:space="preserve">; </w:t>
      </w:r>
      <w:r w:rsidRPr="003B6C5B">
        <w:rPr>
          <w:shd w:val="clear" w:color="auto" w:fill="FFFFFF"/>
        </w:rPr>
        <w:t>Harvey et al., 2010</w:t>
      </w:r>
      <w:r w:rsidR="0072292A">
        <w:rPr>
          <w:shd w:val="clear" w:color="auto" w:fill="FFFFFF"/>
        </w:rPr>
        <w:t xml:space="preserve">; </w:t>
      </w:r>
      <w:r w:rsidR="0072292A" w:rsidRPr="00B502DC">
        <w:rPr>
          <w:noProof/>
          <w:shd w:val="clear" w:color="auto" w:fill="FFFFFF"/>
        </w:rPr>
        <w:t>Langlois, 2020</w:t>
      </w:r>
      <w:r w:rsidRPr="003B6C5B">
        <w:t xml:space="preserve">) is precisely the </w:t>
      </w:r>
      <w:r w:rsidR="006A1333">
        <w:t>primary</w:t>
      </w:r>
      <w:r w:rsidR="006A1333" w:rsidRPr="003B6C5B">
        <w:t xml:space="preserve"> </w:t>
      </w:r>
      <w:r w:rsidRPr="003B6C5B">
        <w:t xml:space="preserve">risk that investors face and </w:t>
      </w:r>
      <w:r w:rsidR="0023384B">
        <w:t>the main</w:t>
      </w:r>
      <w:r w:rsidR="006A1333">
        <w:t xml:space="preserve"> source</w:t>
      </w:r>
      <w:r w:rsidR="0023384B">
        <w:t>s</w:t>
      </w:r>
      <w:r w:rsidR="006A1333">
        <w:t xml:space="preserve"> of </w:t>
      </w:r>
      <w:r w:rsidRPr="003B6C5B">
        <w:t xml:space="preserve">systemic risk that </w:t>
      </w:r>
      <w:r w:rsidR="0023384B">
        <w:t>needs to be</w:t>
      </w:r>
      <w:r w:rsidRPr="003B6C5B">
        <w:t xml:space="preserve"> considered </w:t>
      </w:r>
      <w:r w:rsidR="00F316BD">
        <w:t>by</w:t>
      </w:r>
      <w:r w:rsidR="00F316BD" w:rsidRPr="003B6C5B">
        <w:t xml:space="preserve"> </w:t>
      </w:r>
      <w:r w:rsidRPr="003B6C5B">
        <w:t xml:space="preserve">policy </w:t>
      </w:r>
      <w:r w:rsidR="00F316BD">
        <w:t>makers</w:t>
      </w:r>
      <w:r w:rsidRPr="003B6C5B">
        <w:t>.</w:t>
      </w:r>
      <w:r w:rsidR="001B33DF">
        <w:t xml:space="preserve"> </w:t>
      </w:r>
      <w:r w:rsidR="00717162">
        <w:t>Various t</w:t>
      </w:r>
      <w:r w:rsidR="0042374C" w:rsidRPr="003B6C5B">
        <w:t xml:space="preserve">ail modelling </w:t>
      </w:r>
      <w:r w:rsidR="0091278E" w:rsidRPr="003B6C5B">
        <w:t>methods</w:t>
      </w:r>
      <w:r w:rsidR="0042374C" w:rsidRPr="003B6C5B">
        <w:t xml:space="preserve"> are used to </w:t>
      </w:r>
      <w:r w:rsidR="00DE14DA">
        <w:t>show</w:t>
      </w:r>
      <w:r w:rsidR="00DE14DA" w:rsidRPr="003B6C5B">
        <w:t xml:space="preserve"> </w:t>
      </w:r>
      <w:r w:rsidR="0042374C" w:rsidRPr="003B6C5B">
        <w:t xml:space="preserve">that although carbon prices may not co-move with energy prices </w:t>
      </w:r>
      <w:r w:rsidR="00DE14DA">
        <w:t>closely</w:t>
      </w:r>
      <w:r w:rsidR="0042374C" w:rsidRPr="003B6C5B">
        <w:t xml:space="preserve">, but </w:t>
      </w:r>
      <w:r w:rsidR="00DE14DA">
        <w:t>they do affect</w:t>
      </w:r>
      <w:r w:rsidR="00DE14DA" w:rsidRPr="003B6C5B">
        <w:t xml:space="preserve"> </w:t>
      </w:r>
      <w:r w:rsidR="0042374C" w:rsidRPr="003B6C5B">
        <w:t xml:space="preserve">the tail </w:t>
      </w:r>
      <w:r w:rsidR="00DE14DA">
        <w:t xml:space="preserve">distribution </w:t>
      </w:r>
      <w:r w:rsidR="0042374C" w:rsidRPr="003B6C5B">
        <w:t>of energy price</w:t>
      </w:r>
      <w:r w:rsidR="00DE14DA">
        <w:t>s</w:t>
      </w:r>
      <w:r w:rsidR="0042374C" w:rsidRPr="003B6C5B">
        <w:t xml:space="preserve"> and vice versa (</w:t>
      </w:r>
      <w:r w:rsidR="0072292A" w:rsidRPr="003B6C5B">
        <w:t>Chevallier et al.</w:t>
      </w:r>
      <w:r w:rsidR="0072292A">
        <w:t>,</w:t>
      </w:r>
      <w:r w:rsidR="0072292A" w:rsidRPr="003B6C5B">
        <w:t xml:space="preserve"> 2019</w:t>
      </w:r>
      <w:r w:rsidR="0072292A">
        <w:t>;</w:t>
      </w:r>
      <w:r w:rsidR="0072292A" w:rsidRPr="003B6C5B">
        <w:t xml:space="preserve"> </w:t>
      </w:r>
      <w:r w:rsidR="0042374C" w:rsidRPr="003B6C5B">
        <w:t>Marimoutou and Soury, 2015;</w:t>
      </w:r>
      <w:r w:rsidR="0042374C" w:rsidRPr="003B6C5B">
        <w:rPr>
          <w:shd w:val="clear" w:color="auto" w:fill="FFFFFF"/>
        </w:rPr>
        <w:t xml:space="preserve"> </w:t>
      </w:r>
      <w:r w:rsidR="0042374C" w:rsidRPr="003B6C5B">
        <w:t>Reboredo, 2013; Uddin et al., 2018). Du</w:t>
      </w:r>
      <w:r w:rsidR="0042374C" w:rsidRPr="003B6C5B">
        <w:rPr>
          <w:shd w:val="clear" w:color="auto" w:fill="FFFFFF"/>
        </w:rPr>
        <w:t xml:space="preserve">an et al. (2021), Hammoudeh et al. (2014), and Tan and Wang </w:t>
      </w:r>
      <w:r w:rsidR="00AA293F">
        <w:rPr>
          <w:shd w:val="clear" w:color="auto" w:fill="FFFFFF"/>
        </w:rPr>
        <w:t>(</w:t>
      </w:r>
      <w:r w:rsidR="0042374C" w:rsidRPr="003B6C5B">
        <w:rPr>
          <w:shd w:val="clear" w:color="auto" w:fill="FFFFFF"/>
        </w:rPr>
        <w:t>2017) reveal the interplay between different price distributions based on geographical location, documenting the widespread existence of asymmetric tail dependence between carbon and energy markets.</w:t>
      </w:r>
      <w:r w:rsidR="0072292A">
        <w:rPr>
          <w:shd w:val="clear" w:color="auto" w:fill="FFFFFF"/>
        </w:rPr>
        <w:t xml:space="preserve"> Besides</w:t>
      </w:r>
      <w:r w:rsidR="0042374C" w:rsidRPr="003B6C5B">
        <w:rPr>
          <w:shd w:val="clear" w:color="auto" w:fill="FFFFFF"/>
        </w:rPr>
        <w:t>, there has been a growing interest in th</w:t>
      </w:r>
      <w:r w:rsidR="00F22598">
        <w:rPr>
          <w:shd w:val="clear" w:color="auto" w:fill="FFFFFF"/>
        </w:rPr>
        <w:t>e</w:t>
      </w:r>
      <w:r w:rsidR="0042374C" w:rsidRPr="003B6C5B">
        <w:rPr>
          <w:shd w:val="clear" w:color="auto" w:fill="FFFFFF"/>
        </w:rPr>
        <w:t xml:space="preserve"> non-</w:t>
      </w:r>
      <w:r w:rsidR="00F22598">
        <w:rPr>
          <w:shd w:val="clear" w:color="auto" w:fill="FFFFFF"/>
        </w:rPr>
        <w:t>g</w:t>
      </w:r>
      <w:r w:rsidR="0042374C" w:rsidRPr="003B6C5B">
        <w:rPr>
          <w:shd w:val="clear" w:color="auto" w:fill="FFFFFF"/>
        </w:rPr>
        <w:t xml:space="preserve">aussian behaviour on carbon and energy markets </w:t>
      </w:r>
      <w:r w:rsidR="0042374C" w:rsidRPr="003B6C5B">
        <w:t>(</w:t>
      </w:r>
      <w:r w:rsidR="0042374C" w:rsidRPr="003B6C5B">
        <w:rPr>
          <w:rFonts w:hint="eastAsia"/>
          <w:shd w:val="clear" w:color="auto" w:fill="FFFFFF"/>
        </w:rPr>
        <w:t>Yu</w:t>
      </w:r>
      <w:r w:rsidR="0042374C" w:rsidRPr="003B6C5B">
        <w:rPr>
          <w:shd w:val="clear" w:color="auto" w:fill="FFFFFF"/>
        </w:rPr>
        <w:t xml:space="preserve"> </w:t>
      </w:r>
      <w:r w:rsidR="0042374C" w:rsidRPr="003B6C5B">
        <w:rPr>
          <w:rFonts w:hint="eastAsia"/>
          <w:shd w:val="clear" w:color="auto" w:fill="FFFFFF"/>
        </w:rPr>
        <w:t>e</w:t>
      </w:r>
      <w:r w:rsidR="0042374C" w:rsidRPr="003B6C5B">
        <w:rPr>
          <w:shd w:val="clear" w:color="auto" w:fill="FFFFFF"/>
        </w:rPr>
        <w:t>t al., 2015</w:t>
      </w:r>
      <w:r w:rsidR="0042374C" w:rsidRPr="003B6C5B">
        <w:t>)</w:t>
      </w:r>
      <w:r w:rsidR="0042374C" w:rsidRPr="003B6C5B">
        <w:rPr>
          <w:shd w:val="clear" w:color="auto" w:fill="FFFFFF"/>
        </w:rPr>
        <w:t xml:space="preserve">, suggesting that mean-/volatility-based analysis may fail to analyse the underlying risk between the carbon and energy markets. </w:t>
      </w:r>
      <w:r w:rsidR="001B33DF">
        <w:t xml:space="preserve">Hence, </w:t>
      </w:r>
      <w:r w:rsidR="00F22598">
        <w:t xml:space="preserve">it is essential to </w:t>
      </w:r>
      <w:r w:rsidR="001B33DF">
        <w:t>investigate</w:t>
      </w:r>
      <w:r w:rsidRPr="003B6C5B">
        <w:t xml:space="preserve"> the </w:t>
      </w:r>
      <w:r w:rsidR="001B33DF">
        <w:t>interplay</w:t>
      </w:r>
      <w:r w:rsidR="001B33DF" w:rsidRPr="003B6C5B">
        <w:t xml:space="preserve"> </w:t>
      </w:r>
      <w:r w:rsidRPr="003B6C5B">
        <w:t>of asymmetry or fa</w:t>
      </w:r>
      <w:r w:rsidR="00F22598">
        <w:t>t</w:t>
      </w:r>
      <w:r w:rsidRPr="003B6C5B">
        <w:t xml:space="preserve"> tail prices </w:t>
      </w:r>
      <w:r w:rsidR="001B33DF">
        <w:t xml:space="preserve">which </w:t>
      </w:r>
      <w:r w:rsidRPr="003B6C5B">
        <w:t xml:space="preserve">are related to the third and fourth order moments feature of carbon and energy prices. </w:t>
      </w:r>
    </w:p>
    <w:p w14:paraId="5E160E78" w14:textId="4AC008FE" w:rsidR="00EE10D8" w:rsidRPr="003B6C5B" w:rsidRDefault="00385830" w:rsidP="00EE10D8">
      <w:pPr>
        <w:spacing w:line="480" w:lineRule="auto"/>
        <w:ind w:firstLineChars="200" w:firstLine="480"/>
        <w:jc w:val="both"/>
      </w:pPr>
      <w:r>
        <w:rPr>
          <w:rFonts w:eastAsia="DengXian"/>
          <w:bCs/>
        </w:rPr>
        <w:t>Both t</w:t>
      </w:r>
      <w:r w:rsidR="00EE10D8" w:rsidRPr="003B6C5B">
        <w:rPr>
          <w:rFonts w:eastAsia="DengXian"/>
          <w:bCs/>
        </w:rPr>
        <w:t>heoretical foundations</w:t>
      </w:r>
      <w:r>
        <w:rPr>
          <w:rFonts w:eastAsia="DengXian"/>
          <w:bCs/>
        </w:rPr>
        <w:t xml:space="preserve"> and empirical </w:t>
      </w:r>
      <w:r w:rsidR="005174C0">
        <w:rPr>
          <w:rFonts w:eastAsia="DengXian"/>
          <w:bCs/>
        </w:rPr>
        <w:t>evidence</w:t>
      </w:r>
      <w:r w:rsidR="00EE10D8" w:rsidRPr="003B6C5B">
        <w:rPr>
          <w:rFonts w:eastAsia="DengXian"/>
          <w:bCs/>
        </w:rPr>
        <w:t xml:space="preserve"> </w:t>
      </w:r>
      <w:r w:rsidR="00963FDA">
        <w:rPr>
          <w:rFonts w:eastAsia="DengXian"/>
          <w:bCs/>
        </w:rPr>
        <w:t>imply</w:t>
      </w:r>
      <w:r w:rsidR="00963FDA" w:rsidRPr="003B6C5B">
        <w:rPr>
          <w:rFonts w:eastAsia="DengXian"/>
          <w:bCs/>
        </w:rPr>
        <w:t xml:space="preserve"> </w:t>
      </w:r>
      <w:r w:rsidR="00EE10D8" w:rsidRPr="003B6C5B">
        <w:rPr>
          <w:rFonts w:eastAsia="DengXian"/>
          <w:bCs/>
        </w:rPr>
        <w:t xml:space="preserve">that heterogeneity </w:t>
      </w:r>
      <w:r w:rsidRPr="003B6C5B">
        <w:t>in higher-order moments spillover</w:t>
      </w:r>
      <w:r>
        <w:t>s</w:t>
      </w:r>
      <w:r w:rsidRPr="003B6C5B">
        <w:t xml:space="preserve"> across different timescales</w:t>
      </w:r>
      <w:r>
        <w:rPr>
          <w:rFonts w:eastAsia="DengXian"/>
          <w:bCs/>
        </w:rPr>
        <w:t xml:space="preserve"> </w:t>
      </w:r>
      <w:r w:rsidR="00963FDA">
        <w:rPr>
          <w:rFonts w:eastAsia="DengXian"/>
          <w:bCs/>
        </w:rPr>
        <w:t>may exist</w:t>
      </w:r>
      <w:r>
        <w:rPr>
          <w:rFonts w:eastAsia="DengXian"/>
          <w:bCs/>
        </w:rPr>
        <w:t>. A</w:t>
      </w:r>
      <w:r w:rsidR="00605052" w:rsidRPr="003B6C5B">
        <w:rPr>
          <w:rFonts w:eastAsia="DengXian"/>
          <w:bCs/>
        </w:rPr>
        <w:t xml:space="preserve">s a result of </w:t>
      </w:r>
      <w:r w:rsidR="00EE10D8" w:rsidRPr="003B6C5B">
        <w:rPr>
          <w:rFonts w:eastAsia="DengXian"/>
          <w:bCs/>
        </w:rPr>
        <w:t>the “waterbed effect” (Anke et al., 2020; Hintermayer, 2020; Perino, 2018; Rosendahl, 2019)</w:t>
      </w:r>
      <w:r w:rsidR="00963FDA">
        <w:rPr>
          <w:rFonts w:eastAsia="DengXian"/>
          <w:bCs/>
        </w:rPr>
        <w:t xml:space="preserve">, </w:t>
      </w:r>
      <w:r w:rsidR="00EE10D8" w:rsidRPr="003B6C5B">
        <w:rPr>
          <w:rFonts w:eastAsia="DengXian"/>
          <w:bCs/>
        </w:rPr>
        <w:t xml:space="preserve">the renewable energy sources (RES) policy, fossil (crude oil, coal, natural gas) consumption demand has been hit hard and prices have declined, which has triggered a short-run decrease in carbon prices. However, </w:t>
      </w:r>
      <w:r w:rsidR="00605052" w:rsidRPr="003B6C5B">
        <w:rPr>
          <w:rFonts w:eastAsia="DengXian"/>
          <w:bCs/>
        </w:rPr>
        <w:t>regions with high fossil energy dependence will likely leverage the low carbon prices and increase carbon price usage</w:t>
      </w:r>
      <w:r w:rsidR="00605052">
        <w:rPr>
          <w:rFonts w:eastAsia="DengXian"/>
          <w:bCs/>
        </w:rPr>
        <w:t xml:space="preserve"> </w:t>
      </w:r>
      <w:r w:rsidR="00EE10D8" w:rsidRPr="003B6C5B">
        <w:rPr>
          <w:rFonts w:eastAsia="DengXian"/>
          <w:bCs/>
        </w:rPr>
        <w:lastRenderedPageBreak/>
        <w:t>as the development of renewable energy technologies is geographically heterogeneous, while carbon prices are uniform across the EU</w:t>
      </w:r>
      <w:r w:rsidR="00605052">
        <w:rPr>
          <w:rFonts w:eastAsia="DengXian"/>
          <w:bCs/>
        </w:rPr>
        <w:t>.</w:t>
      </w:r>
      <w:r w:rsidR="00EE10D8" w:rsidRPr="003B6C5B">
        <w:rPr>
          <w:rFonts w:eastAsia="DengXian"/>
          <w:bCs/>
        </w:rPr>
        <w:t xml:space="preserve"> </w:t>
      </w:r>
      <w:r>
        <w:rPr>
          <w:rFonts w:eastAsia="DengXian"/>
          <w:bCs/>
        </w:rPr>
        <w:t>This</w:t>
      </w:r>
      <w:r w:rsidR="00605052">
        <w:rPr>
          <w:rFonts w:eastAsia="DengXian"/>
          <w:bCs/>
        </w:rPr>
        <w:t xml:space="preserve"> will</w:t>
      </w:r>
      <w:r w:rsidR="00EE10D8" w:rsidRPr="003B6C5B">
        <w:rPr>
          <w:rFonts w:eastAsia="DengXian"/>
          <w:bCs/>
        </w:rPr>
        <w:t xml:space="preserve"> </w:t>
      </w:r>
      <w:r>
        <w:rPr>
          <w:rFonts w:eastAsia="DengXian"/>
          <w:bCs/>
        </w:rPr>
        <w:t xml:space="preserve">then </w:t>
      </w:r>
      <w:r w:rsidR="00EE10D8" w:rsidRPr="003B6C5B">
        <w:rPr>
          <w:rFonts w:eastAsia="DengXian"/>
          <w:bCs/>
        </w:rPr>
        <w:t>restor</w:t>
      </w:r>
      <w:r w:rsidR="00605052">
        <w:rPr>
          <w:rFonts w:eastAsia="DengXian"/>
          <w:bCs/>
        </w:rPr>
        <w:t>e</w:t>
      </w:r>
      <w:r w:rsidR="00EE10D8" w:rsidRPr="003B6C5B">
        <w:rPr>
          <w:rFonts w:eastAsia="DengXian"/>
          <w:bCs/>
        </w:rPr>
        <w:t xml:space="preserve"> the carbon prices in </w:t>
      </w:r>
      <w:r w:rsidR="00605052">
        <w:rPr>
          <w:rFonts w:eastAsia="DengXian"/>
          <w:bCs/>
        </w:rPr>
        <w:t>long-run</w:t>
      </w:r>
      <w:r w:rsidR="00EE10D8" w:rsidRPr="003B6C5B">
        <w:rPr>
          <w:rFonts w:eastAsia="DengXian"/>
          <w:bCs/>
        </w:rPr>
        <w:t>.</w:t>
      </w:r>
      <w:r w:rsidR="00EE10D8" w:rsidRPr="003B6C5B">
        <w:t xml:space="preserve"> </w:t>
      </w:r>
      <w:r>
        <w:t>Hence</w:t>
      </w:r>
      <w:r w:rsidR="00EE10D8" w:rsidRPr="003B6C5B">
        <w:t xml:space="preserve">, </w:t>
      </w:r>
      <w:r w:rsidR="00BE0BE4">
        <w:t xml:space="preserve">because of the waterbed effect, </w:t>
      </w:r>
      <w:r w:rsidR="00EE10D8" w:rsidRPr="003B6C5B">
        <w:t>many RES policies and the EU ETS may be contradictory and could affect the price steering ability of the carbon prices in the long-run timescales.</w:t>
      </w:r>
      <w:r w:rsidR="00EE10D8" w:rsidRPr="003B6C5B">
        <w:rPr>
          <w:rFonts w:hint="eastAsia"/>
        </w:rPr>
        <w:t xml:space="preserve"> </w:t>
      </w:r>
      <w:r w:rsidR="00EE10D8" w:rsidRPr="003B6C5B">
        <w:rPr>
          <w:rFonts w:eastAsia="Microsoft YaHei"/>
          <w:color w:val="000000"/>
          <w:shd w:val="clear" w:color="auto" w:fill="FFFFFF"/>
        </w:rPr>
        <w:t xml:space="preserve">Chevallier et al. (2021) </w:t>
      </w:r>
      <w:r w:rsidR="00BE0BE4">
        <w:rPr>
          <w:rFonts w:eastAsia="Microsoft YaHei"/>
          <w:color w:val="000000"/>
          <w:shd w:val="clear" w:color="auto" w:fill="FFFFFF"/>
        </w:rPr>
        <w:t>report</w:t>
      </w:r>
      <w:r w:rsidR="00BE0BE4" w:rsidRPr="003B6C5B">
        <w:rPr>
          <w:rFonts w:eastAsia="Microsoft YaHei"/>
          <w:color w:val="000000"/>
          <w:shd w:val="clear" w:color="auto" w:fill="FFFFFF"/>
        </w:rPr>
        <w:t xml:space="preserve"> </w:t>
      </w:r>
      <w:r w:rsidR="00EE10D8" w:rsidRPr="003B6C5B">
        <w:rPr>
          <w:rFonts w:eastAsia="Microsoft YaHei"/>
          <w:color w:val="000000"/>
          <w:shd w:val="clear" w:color="auto" w:fill="FFFFFF"/>
        </w:rPr>
        <w:t xml:space="preserve">that the carbon pricing </w:t>
      </w:r>
      <w:r w:rsidR="003515D2">
        <w:rPr>
          <w:rFonts w:eastAsia="Microsoft YaHei"/>
          <w:color w:val="000000"/>
          <w:shd w:val="clear" w:color="auto" w:fill="FFFFFF"/>
        </w:rPr>
        <w:t>could</w:t>
      </w:r>
      <w:r w:rsidR="003515D2" w:rsidRPr="003B6C5B">
        <w:rPr>
          <w:rFonts w:eastAsia="Microsoft YaHei"/>
          <w:color w:val="000000"/>
          <w:shd w:val="clear" w:color="auto" w:fill="FFFFFF"/>
        </w:rPr>
        <w:t xml:space="preserve"> </w:t>
      </w:r>
      <w:r w:rsidR="00EE10D8" w:rsidRPr="003B6C5B">
        <w:rPr>
          <w:rFonts w:eastAsia="Microsoft YaHei"/>
          <w:color w:val="000000"/>
          <w:shd w:val="clear" w:color="auto" w:fill="FFFFFF"/>
        </w:rPr>
        <w:t>influence the consumption of stranded</w:t>
      </w:r>
      <w:r w:rsidR="00EE10D8" w:rsidRPr="003B6C5B">
        <w:rPr>
          <w:rFonts w:eastAsia="Microsoft YaHei" w:hint="eastAsia"/>
          <w:color w:val="000000"/>
          <w:shd w:val="clear" w:color="auto" w:fill="FFFFFF"/>
        </w:rPr>
        <w:t xml:space="preserve"> </w:t>
      </w:r>
      <w:r w:rsidR="00EE10D8" w:rsidRPr="003B6C5B">
        <w:rPr>
          <w:rFonts w:eastAsia="Microsoft YaHei"/>
          <w:color w:val="000000"/>
          <w:shd w:val="clear" w:color="auto" w:fill="FFFFFF"/>
        </w:rPr>
        <w:t xml:space="preserve">energy assets, </w:t>
      </w:r>
      <w:r w:rsidR="003515D2">
        <w:rPr>
          <w:rFonts w:eastAsia="Microsoft YaHei"/>
          <w:color w:val="000000"/>
          <w:shd w:val="clear" w:color="auto" w:fill="FFFFFF"/>
        </w:rPr>
        <w:t>and</w:t>
      </w:r>
      <w:r w:rsidR="00EE10D8" w:rsidRPr="003B6C5B">
        <w:rPr>
          <w:rFonts w:eastAsia="Microsoft YaHei"/>
          <w:color w:val="000000"/>
          <w:shd w:val="clear" w:color="auto" w:fill="FFFFFF"/>
        </w:rPr>
        <w:t xml:space="preserve"> the current carbon prices </w:t>
      </w:r>
      <w:r w:rsidR="003515D2">
        <w:rPr>
          <w:rFonts w:eastAsia="Microsoft YaHei"/>
          <w:color w:val="000000"/>
          <w:shd w:val="clear" w:color="auto" w:fill="FFFFFF"/>
        </w:rPr>
        <w:t>drive the movements of</w:t>
      </w:r>
      <w:r w:rsidR="003515D2" w:rsidRPr="003B6C5B">
        <w:rPr>
          <w:rFonts w:eastAsia="Microsoft YaHei"/>
          <w:color w:val="000000"/>
          <w:shd w:val="clear" w:color="auto" w:fill="FFFFFF"/>
        </w:rPr>
        <w:t xml:space="preserve"> </w:t>
      </w:r>
      <w:r w:rsidR="00EE10D8" w:rsidRPr="003B6C5B">
        <w:rPr>
          <w:rFonts w:eastAsia="Microsoft YaHei"/>
          <w:color w:val="000000"/>
          <w:shd w:val="clear" w:color="auto" w:fill="FFFFFF"/>
        </w:rPr>
        <w:t xml:space="preserve">the future energy price. </w:t>
      </w:r>
      <w:r w:rsidR="003515D2">
        <w:rPr>
          <w:rFonts w:eastAsia="DengXian"/>
          <w:bCs/>
        </w:rPr>
        <w:t>The</w:t>
      </w:r>
      <w:r w:rsidR="00EE10D8" w:rsidRPr="003B6C5B">
        <w:rPr>
          <w:rFonts w:eastAsia="DengXian"/>
          <w:bCs/>
        </w:rPr>
        <w:t xml:space="preserve"> </w:t>
      </w:r>
      <w:r w:rsidR="003515D2" w:rsidRPr="003B6C5B">
        <w:rPr>
          <w:rFonts w:eastAsia="DengXian"/>
          <w:bCs/>
        </w:rPr>
        <w:t xml:space="preserve">heterogeneity </w:t>
      </w:r>
      <w:r w:rsidR="003515D2">
        <w:rPr>
          <w:rFonts w:eastAsia="DengXian"/>
          <w:bCs/>
        </w:rPr>
        <w:t>is also</w:t>
      </w:r>
      <w:r w:rsidR="00EE10D8" w:rsidRPr="003B6C5B">
        <w:rPr>
          <w:rFonts w:eastAsia="DengXian"/>
          <w:bCs/>
        </w:rPr>
        <w:t xml:space="preserve"> related to </w:t>
      </w:r>
      <w:r w:rsidR="003515D2">
        <w:rPr>
          <w:rFonts w:eastAsia="DengXian"/>
          <w:bCs/>
        </w:rPr>
        <w:t>different</w:t>
      </w:r>
      <w:r w:rsidR="00EE10D8" w:rsidRPr="003B6C5B">
        <w:rPr>
          <w:rFonts w:eastAsia="DengXian"/>
          <w:bCs/>
        </w:rPr>
        <w:t xml:space="preserve"> price drivers </w:t>
      </w:r>
      <w:r w:rsidR="003515D2">
        <w:rPr>
          <w:rFonts w:eastAsia="DengXian"/>
          <w:bCs/>
        </w:rPr>
        <w:t xml:space="preserve">of carbon and </w:t>
      </w:r>
      <w:r w:rsidR="005174C0">
        <w:rPr>
          <w:rFonts w:eastAsia="DengXian"/>
          <w:bCs/>
        </w:rPr>
        <w:t>energy</w:t>
      </w:r>
      <w:r w:rsidR="003515D2">
        <w:rPr>
          <w:rFonts w:eastAsia="DengXian"/>
          <w:bCs/>
        </w:rPr>
        <w:t xml:space="preserve"> assets. For example, e</w:t>
      </w:r>
      <w:r w:rsidR="00EE10D8" w:rsidRPr="003B6C5B">
        <w:rPr>
          <w:rFonts w:eastAsia="DengXian"/>
          <w:bCs/>
        </w:rPr>
        <w:t xml:space="preserve">nergy </w:t>
      </w:r>
      <w:r w:rsidR="00BC5C93">
        <w:rPr>
          <w:rFonts w:eastAsia="DengXian"/>
          <w:bCs/>
        </w:rPr>
        <w:t>assets</w:t>
      </w:r>
      <w:r w:rsidR="00BC5C93" w:rsidRPr="003B6C5B">
        <w:rPr>
          <w:rFonts w:eastAsia="DengXian"/>
          <w:bCs/>
        </w:rPr>
        <w:t xml:space="preserve"> </w:t>
      </w:r>
      <w:r w:rsidR="00EE10D8" w:rsidRPr="003B6C5B">
        <w:rPr>
          <w:rFonts w:eastAsia="DengXian"/>
          <w:bCs/>
        </w:rPr>
        <w:t>are highly susceptible to international geopolitical</w:t>
      </w:r>
      <w:r w:rsidR="00C67142">
        <w:rPr>
          <w:rFonts w:eastAsia="DengXian"/>
          <w:bCs/>
        </w:rPr>
        <w:t xml:space="preserve"> shocks and</w:t>
      </w:r>
      <w:r w:rsidR="00EE10D8" w:rsidRPr="003B6C5B">
        <w:rPr>
          <w:rFonts w:eastAsia="DengXian"/>
          <w:bCs/>
        </w:rPr>
        <w:t xml:space="preserve"> influences (e.g., the US economic sanctions against Iran in 2017), while carbon prices are highly dependent on </w:t>
      </w:r>
      <w:r w:rsidR="00C67142">
        <w:rPr>
          <w:rFonts w:eastAsia="DengXian"/>
          <w:bCs/>
        </w:rPr>
        <w:t xml:space="preserve">long-run </w:t>
      </w:r>
      <w:r w:rsidR="00EE10D8" w:rsidRPr="003B6C5B">
        <w:rPr>
          <w:rFonts w:eastAsia="DengXian"/>
          <w:bCs/>
        </w:rPr>
        <w:t>industrial production conditions.</w:t>
      </w:r>
      <w:r w:rsidR="00EE10D8" w:rsidRPr="003B6C5B">
        <w:rPr>
          <w:rFonts w:hint="eastAsia"/>
        </w:rPr>
        <w:t xml:space="preserve"> </w:t>
      </w:r>
    </w:p>
    <w:p w14:paraId="0F360450" w14:textId="77777777" w:rsidR="00EE10D8" w:rsidRPr="003B6C5B" w:rsidRDefault="00EE10D8" w:rsidP="00EE10D8">
      <w:pPr>
        <w:spacing w:line="480" w:lineRule="auto"/>
        <w:ind w:firstLineChars="200" w:firstLine="480"/>
        <w:jc w:val="both"/>
      </w:pPr>
      <w:r w:rsidRPr="003B6C5B">
        <w:rPr>
          <w:rFonts w:eastAsia="DengXian"/>
          <w:bCs/>
        </w:rPr>
        <w:t xml:space="preserve">Some empirical studies also show that the interaction between carbon and energy prices is heterogeneous in the short- and long-run timescales. </w:t>
      </w:r>
      <w:r w:rsidRPr="003B6C5B">
        <w:rPr>
          <w:rFonts w:eastAsia="DengXian"/>
        </w:rPr>
        <w:t xml:space="preserve">The carbon, oil, coal, and gas markets show heterogeneous price characteristics at different timescales </w:t>
      </w:r>
      <w:r w:rsidRPr="003B6C5B">
        <w:rPr>
          <w:rFonts w:eastAsia="DengXian"/>
          <w:noProof/>
        </w:rPr>
        <w:t xml:space="preserve">(Dai et al., 2020; </w:t>
      </w:r>
      <w:r w:rsidRPr="003B6C5B">
        <w:rPr>
          <w:shd w:val="clear" w:color="auto" w:fill="FFFFFF"/>
        </w:rPr>
        <w:t>Huang</w:t>
      </w:r>
      <w:r w:rsidRPr="003B6C5B">
        <w:rPr>
          <w:rFonts w:eastAsia="DengXian"/>
          <w:noProof/>
        </w:rPr>
        <w:t xml:space="preserve"> et al., 2021; Wang et al., 2020)</w:t>
      </w:r>
      <w:r w:rsidRPr="003B6C5B">
        <w:rPr>
          <w:rFonts w:eastAsia="DengXian"/>
        </w:rPr>
        <w:t xml:space="preserve"> and such features could be embedded in the higher-order moments interplay between carbon and energy markets. Besides, Ortas and Álvarez (2016), Zhu et al. (2015) and Zhu et al. (2019) use the decomposition me</w:t>
      </w:r>
      <w:r w:rsidRPr="003B6C5B">
        <w:t>thod to find the linear lead-lag relationship between carbon and energy prices, while Yu et al. (2015) extend the result to a non-linear aspect.</w:t>
      </w:r>
    </w:p>
    <w:p w14:paraId="64AC4F84" w14:textId="78E6809E" w:rsidR="00AE031E" w:rsidRPr="003B6C5B" w:rsidRDefault="00C165FD" w:rsidP="006724D6">
      <w:pPr>
        <w:spacing w:line="480" w:lineRule="auto"/>
        <w:ind w:firstLineChars="200" w:firstLine="480"/>
        <w:jc w:val="both"/>
        <w:rPr>
          <w:rFonts w:eastAsia="DengXian"/>
        </w:rPr>
      </w:pPr>
      <w:r>
        <w:rPr>
          <w:rFonts w:eastAsia="DengXian"/>
        </w:rPr>
        <w:t>In summary</w:t>
      </w:r>
      <w:r w:rsidR="00702F4C" w:rsidRPr="003B6C5B">
        <w:rPr>
          <w:rFonts w:eastAsia="DengXian"/>
        </w:rPr>
        <w:t xml:space="preserve">, </w:t>
      </w:r>
      <w:r w:rsidR="00B11FA9" w:rsidRPr="003B6C5B">
        <w:rPr>
          <w:rFonts w:eastAsia="DengXian"/>
        </w:rPr>
        <w:t xml:space="preserve">this </w:t>
      </w:r>
      <w:r w:rsidR="00A40665" w:rsidRPr="003B6C5B">
        <w:rPr>
          <w:rFonts w:eastAsia="DengXian"/>
        </w:rPr>
        <w:t xml:space="preserve">study addresses </w:t>
      </w:r>
      <w:r w:rsidR="00AE031E" w:rsidRPr="003B6C5B">
        <w:rPr>
          <w:rFonts w:eastAsia="DengXian"/>
        </w:rPr>
        <w:t xml:space="preserve">the gaps </w:t>
      </w:r>
      <w:r w:rsidR="00A40665" w:rsidRPr="003B6C5B">
        <w:rPr>
          <w:rFonts w:eastAsia="DengXian"/>
        </w:rPr>
        <w:t>in previous</w:t>
      </w:r>
      <w:r w:rsidR="00B11FA9" w:rsidRPr="003B6C5B">
        <w:rPr>
          <w:rFonts w:eastAsia="DengXian"/>
        </w:rPr>
        <w:t xml:space="preserve"> </w:t>
      </w:r>
      <w:r w:rsidR="00AE031E" w:rsidRPr="003B6C5B">
        <w:rPr>
          <w:rFonts w:eastAsia="DengXian"/>
        </w:rPr>
        <w:t xml:space="preserve">studies </w:t>
      </w:r>
      <w:r w:rsidR="00A40665" w:rsidRPr="003B6C5B">
        <w:rPr>
          <w:rFonts w:eastAsia="DengXian"/>
        </w:rPr>
        <w:t xml:space="preserve">from </w:t>
      </w:r>
      <w:r w:rsidR="00AE031E" w:rsidRPr="003B6C5B">
        <w:rPr>
          <w:rFonts w:eastAsia="DengXian"/>
        </w:rPr>
        <w:t xml:space="preserve">two new </w:t>
      </w:r>
      <w:r w:rsidR="00910B54" w:rsidRPr="003B6C5B">
        <w:rPr>
          <w:rFonts w:eastAsia="DengXian"/>
        </w:rPr>
        <w:t>perspectives</w:t>
      </w:r>
      <w:r w:rsidR="008D37B9" w:rsidRPr="003B6C5B">
        <w:rPr>
          <w:rFonts w:eastAsia="DengXian"/>
        </w:rPr>
        <w:t>:</w:t>
      </w:r>
    </w:p>
    <w:p w14:paraId="3A6F6A64" w14:textId="3D0A957A" w:rsidR="008D37B9" w:rsidRPr="003B6C5B" w:rsidRDefault="00C80278" w:rsidP="003B6C5B">
      <w:pPr>
        <w:pStyle w:val="ListParagraph"/>
        <w:numPr>
          <w:ilvl w:val="0"/>
          <w:numId w:val="2"/>
        </w:numPr>
        <w:spacing w:line="480" w:lineRule="auto"/>
        <w:ind w:firstLineChars="0"/>
        <w:jc w:val="both"/>
        <w:rPr>
          <w:rFonts w:eastAsia="DengXian"/>
        </w:rPr>
      </w:pPr>
      <w:r w:rsidRPr="003B6C5B">
        <w:rPr>
          <w:rFonts w:eastAsia="DengXian"/>
        </w:rPr>
        <w:t>Interplay in h</w:t>
      </w:r>
      <w:r w:rsidR="00AE031E" w:rsidRPr="003B6C5B">
        <w:rPr>
          <w:rFonts w:eastAsia="DengXian"/>
        </w:rPr>
        <w:t>igher-order moment</w:t>
      </w:r>
      <w:r w:rsidR="00B11FA9" w:rsidRPr="003B6C5B">
        <w:rPr>
          <w:rFonts w:eastAsia="DengXian"/>
        </w:rPr>
        <w:t>s</w:t>
      </w:r>
      <w:r w:rsidR="00AE031E" w:rsidRPr="003B6C5B">
        <w:rPr>
          <w:rFonts w:eastAsia="DengXian"/>
        </w:rPr>
        <w:t xml:space="preserve"> between the carbon and energy markets.</w:t>
      </w:r>
    </w:p>
    <w:p w14:paraId="513A1259" w14:textId="50F165EE" w:rsidR="00AE031E" w:rsidRPr="003B6C5B" w:rsidRDefault="00C80278" w:rsidP="003B6C5B">
      <w:pPr>
        <w:pStyle w:val="ListParagraph"/>
        <w:numPr>
          <w:ilvl w:val="0"/>
          <w:numId w:val="2"/>
        </w:numPr>
        <w:spacing w:line="480" w:lineRule="auto"/>
        <w:ind w:firstLineChars="0"/>
        <w:jc w:val="both"/>
        <w:rPr>
          <w:rFonts w:eastAsia="DengXian"/>
        </w:rPr>
      </w:pPr>
      <w:r w:rsidRPr="003B6C5B">
        <w:rPr>
          <w:rFonts w:eastAsia="DengXian"/>
        </w:rPr>
        <w:t>H</w:t>
      </w:r>
      <w:r w:rsidR="00AE031E" w:rsidRPr="003B6C5B">
        <w:rPr>
          <w:rFonts w:eastAsia="DengXian"/>
        </w:rPr>
        <w:t xml:space="preserve">eterogeneity </w:t>
      </w:r>
      <w:r w:rsidRPr="003B6C5B">
        <w:rPr>
          <w:rFonts w:eastAsia="DengXian"/>
        </w:rPr>
        <w:t>of timescales in the interplay</w:t>
      </w:r>
      <w:r w:rsidR="00AE031E" w:rsidRPr="003B6C5B">
        <w:rPr>
          <w:rFonts w:eastAsia="DengXian"/>
        </w:rPr>
        <w:t xml:space="preserve"> between the carbon and energy markets.</w:t>
      </w:r>
    </w:p>
    <w:p w14:paraId="4279A772" w14:textId="41DD6001" w:rsidR="00AE031E" w:rsidRPr="003B6C5B" w:rsidRDefault="008D37B9" w:rsidP="006724D6">
      <w:pPr>
        <w:spacing w:line="480" w:lineRule="auto"/>
        <w:jc w:val="both"/>
        <w:rPr>
          <w:rFonts w:eastAsia="DengXian"/>
        </w:rPr>
      </w:pPr>
      <w:r w:rsidRPr="003B6C5B">
        <w:rPr>
          <w:rFonts w:eastAsia="DengXian"/>
        </w:rPr>
        <w:lastRenderedPageBreak/>
        <w:t>F</w:t>
      </w:r>
      <w:r w:rsidR="002373D3" w:rsidRPr="003B6C5B">
        <w:rPr>
          <w:rFonts w:eastAsia="DengXian"/>
        </w:rPr>
        <w:t xml:space="preserve">indings from new perspectives </w:t>
      </w:r>
      <w:r w:rsidR="007908A6">
        <w:rPr>
          <w:rFonts w:eastAsia="DengXian"/>
        </w:rPr>
        <w:t xml:space="preserve">could </w:t>
      </w:r>
      <w:r w:rsidR="00C80278" w:rsidRPr="003B6C5B">
        <w:rPr>
          <w:rFonts w:eastAsia="DengXian"/>
        </w:rPr>
        <w:t>provide both</w:t>
      </w:r>
      <w:r w:rsidR="002373D3" w:rsidRPr="003B6C5B">
        <w:rPr>
          <w:rFonts w:eastAsia="DengXian"/>
        </w:rPr>
        <w:t xml:space="preserve"> investors and policy makers new insights</w:t>
      </w:r>
      <w:r w:rsidR="0080623E">
        <w:rPr>
          <w:rFonts w:eastAsia="DengXian"/>
        </w:rPr>
        <w:t xml:space="preserve"> about the </w:t>
      </w:r>
      <w:r w:rsidR="0080623E" w:rsidRPr="0080623E">
        <w:rPr>
          <w:rFonts w:eastAsia="DengXian"/>
        </w:rPr>
        <w:t xml:space="preserve">interplay </w:t>
      </w:r>
      <w:r w:rsidR="0080623E">
        <w:rPr>
          <w:rFonts w:eastAsia="DengXian"/>
        </w:rPr>
        <w:t xml:space="preserve">and risk spillovers </w:t>
      </w:r>
      <w:r w:rsidR="0080623E" w:rsidRPr="0080623E">
        <w:rPr>
          <w:rFonts w:eastAsia="DengXian"/>
        </w:rPr>
        <w:t>of higher-order moments between the carbon and energy markets during Phase III of the EU ETS</w:t>
      </w:r>
      <w:r w:rsidR="002373D3" w:rsidRPr="003B6C5B">
        <w:rPr>
          <w:rFonts w:eastAsia="DengXian"/>
        </w:rPr>
        <w:t>.</w:t>
      </w:r>
    </w:p>
    <w:p w14:paraId="4CE03EB4" w14:textId="11549B9A" w:rsidR="00A2313E" w:rsidRPr="003B6C5B" w:rsidRDefault="00272FD9" w:rsidP="006724D6">
      <w:pPr>
        <w:pStyle w:val="Heading1"/>
        <w:numPr>
          <w:ilvl w:val="0"/>
          <w:numId w:val="1"/>
        </w:numPr>
        <w:tabs>
          <w:tab w:val="left" w:pos="7557"/>
        </w:tabs>
        <w:spacing w:before="260" w:after="260" w:line="480" w:lineRule="auto"/>
        <w:ind w:left="357" w:hanging="357"/>
        <w:jc w:val="both"/>
        <w:rPr>
          <w:rFonts w:eastAsiaTheme="minorEastAsia"/>
          <w:sz w:val="24"/>
          <w:szCs w:val="24"/>
        </w:rPr>
      </w:pPr>
      <w:r w:rsidRPr="003B6C5B">
        <w:rPr>
          <w:rFonts w:eastAsiaTheme="minorEastAsia"/>
          <w:sz w:val="24"/>
          <w:szCs w:val="24"/>
        </w:rPr>
        <w:t>Methodology</w:t>
      </w:r>
    </w:p>
    <w:p w14:paraId="75E21E96" w14:textId="2F5018BA" w:rsidR="00E62E8B" w:rsidRPr="003B6C5B" w:rsidRDefault="00E62E8B" w:rsidP="003B6C5B">
      <w:pPr>
        <w:pStyle w:val="NormalWeb"/>
        <w:spacing w:before="0" w:beforeAutospacing="0" w:after="0" w:afterAutospacing="0" w:line="480" w:lineRule="auto"/>
        <w:ind w:firstLineChars="177" w:firstLine="425"/>
        <w:jc w:val="both"/>
      </w:pPr>
      <w:r w:rsidRPr="003B6C5B">
        <w:rPr>
          <w:rFonts w:ascii="Times New Roman" w:hAnsi="Times New Roman" w:cs="Times New Roman"/>
        </w:rPr>
        <w:t xml:space="preserve">First, we </w:t>
      </w:r>
      <w:r w:rsidR="00511E88" w:rsidRPr="003B6C5B">
        <w:rPr>
          <w:rFonts w:ascii="Times New Roman" w:hAnsi="Times New Roman" w:cs="Times New Roman"/>
        </w:rPr>
        <w:t>explore</w:t>
      </w:r>
      <w:r w:rsidRPr="003B6C5B">
        <w:rPr>
          <w:rFonts w:ascii="Times New Roman" w:hAnsi="Times New Roman" w:cs="Times New Roman"/>
        </w:rPr>
        <w:t xml:space="preserve"> structural breakpoints in </w:t>
      </w:r>
      <w:r w:rsidR="001C3195">
        <w:rPr>
          <w:rFonts w:ascii="Times New Roman" w:hAnsi="Times New Roman" w:cs="Times New Roman"/>
        </w:rPr>
        <w:t>a</w:t>
      </w:r>
      <w:r w:rsidR="001C3195" w:rsidRPr="003B6C5B">
        <w:rPr>
          <w:rFonts w:ascii="Times New Roman" w:hAnsi="Times New Roman" w:cs="Times New Roman"/>
        </w:rPr>
        <w:t xml:space="preserve"> </w:t>
      </w:r>
      <w:r w:rsidRPr="003B6C5B">
        <w:rPr>
          <w:rFonts w:ascii="Times New Roman" w:hAnsi="Times New Roman" w:cs="Times New Roman"/>
        </w:rPr>
        <w:t xml:space="preserve">quaternary system using </w:t>
      </w:r>
      <w:r w:rsidR="00C80A73" w:rsidRPr="003B6C5B">
        <w:rPr>
          <w:rFonts w:ascii="Times New Roman" w:hAnsi="Times New Roman" w:cs="Times New Roman"/>
        </w:rPr>
        <w:t xml:space="preserve">methods proposed by </w:t>
      </w:r>
      <w:r w:rsidRPr="003B6C5B">
        <w:rPr>
          <w:rFonts w:ascii="Times New Roman" w:hAnsi="Times New Roman" w:cs="Times New Roman"/>
        </w:rPr>
        <w:t xml:space="preserve">Matteson and James (2014), and </w:t>
      </w:r>
      <w:r w:rsidR="00511E88" w:rsidRPr="003B6C5B">
        <w:rPr>
          <w:rFonts w:ascii="Times New Roman" w:hAnsi="Times New Roman" w:cs="Times New Roman"/>
        </w:rPr>
        <w:t xml:space="preserve">divide </w:t>
      </w:r>
      <w:r w:rsidRPr="003B6C5B">
        <w:rPr>
          <w:rFonts w:ascii="Times New Roman" w:hAnsi="Times New Roman" w:cs="Times New Roman"/>
        </w:rPr>
        <w:t xml:space="preserve">the sample into </w:t>
      </w:r>
      <w:r w:rsidR="00C80A73" w:rsidRPr="003B6C5B">
        <w:rPr>
          <w:rFonts w:ascii="Times New Roman" w:hAnsi="Times New Roman" w:cs="Times New Roman"/>
        </w:rPr>
        <w:t>various</w:t>
      </w:r>
      <w:r w:rsidR="00511E88" w:rsidRPr="003B6C5B">
        <w:rPr>
          <w:rFonts w:ascii="Times New Roman" w:hAnsi="Times New Roman" w:cs="Times New Roman"/>
        </w:rPr>
        <w:t xml:space="preserve"> </w:t>
      </w:r>
      <w:r w:rsidRPr="003B6C5B">
        <w:rPr>
          <w:rFonts w:ascii="Times New Roman" w:hAnsi="Times New Roman" w:cs="Times New Roman"/>
        </w:rPr>
        <w:t xml:space="preserve">stages </w:t>
      </w:r>
      <w:r w:rsidR="008D37B9" w:rsidRPr="003B6C5B">
        <w:rPr>
          <w:rFonts w:ascii="Times New Roman" w:hAnsi="Times New Roman" w:cs="Times New Roman"/>
        </w:rPr>
        <w:t xml:space="preserve">which depend on </w:t>
      </w:r>
      <w:r w:rsidR="00C80A73" w:rsidRPr="003B6C5B">
        <w:rPr>
          <w:rFonts w:ascii="Times New Roman" w:hAnsi="Times New Roman" w:cs="Times New Roman"/>
        </w:rPr>
        <w:t>different</w:t>
      </w:r>
      <w:r w:rsidRPr="003B6C5B">
        <w:rPr>
          <w:rFonts w:ascii="Times New Roman" w:hAnsi="Times New Roman" w:cs="Times New Roman"/>
        </w:rPr>
        <w:t xml:space="preserve"> market situations. Second, a state-of-the-art multiscale information network</w:t>
      </w:r>
      <w:r w:rsidR="00E317A6" w:rsidRPr="003B6C5B">
        <w:rPr>
          <w:rFonts w:ascii="Times New Roman" w:hAnsi="Times New Roman" w:cs="Times New Roman"/>
        </w:rPr>
        <w:t xml:space="preserve"> </w:t>
      </w:r>
      <w:r w:rsidRPr="003B6C5B">
        <w:rPr>
          <w:rFonts w:ascii="Times New Roman" w:hAnsi="Times New Roman" w:cs="Times New Roman"/>
        </w:rPr>
        <w:t>spillover analysis model</w:t>
      </w:r>
      <w:r w:rsidR="00C80A73" w:rsidRPr="003B6C5B">
        <w:rPr>
          <w:rFonts w:ascii="Times New Roman" w:hAnsi="Times New Roman" w:cs="Times New Roman"/>
        </w:rPr>
        <w:t>,</w:t>
      </w:r>
      <w:r w:rsidRPr="003B6C5B">
        <w:rPr>
          <w:rFonts w:ascii="Times New Roman" w:hAnsi="Times New Roman" w:cs="Times New Roman"/>
        </w:rPr>
        <w:t xml:space="preserve"> proposed by Baruník and Křehlík (2018)</w:t>
      </w:r>
      <w:r w:rsidR="00C80A73" w:rsidRPr="003B6C5B">
        <w:rPr>
          <w:rFonts w:ascii="Times New Roman" w:hAnsi="Times New Roman" w:cs="Times New Roman"/>
        </w:rPr>
        <w:t>,</w:t>
      </w:r>
      <w:r w:rsidRPr="003B6C5B">
        <w:rPr>
          <w:rFonts w:ascii="Times New Roman" w:hAnsi="Times New Roman" w:cs="Times New Roman"/>
        </w:rPr>
        <w:t xml:space="preserve"> is used to reveal the higher-order moment spillover at different timescales</w:t>
      </w:r>
      <w:r w:rsidR="00816E02" w:rsidRPr="003B6C5B">
        <w:rPr>
          <w:rFonts w:ascii="Times New Roman" w:hAnsi="Times New Roman" w:cs="Times New Roman"/>
        </w:rPr>
        <w:t xml:space="preserve"> </w:t>
      </w:r>
      <w:r w:rsidR="001C3195">
        <w:rPr>
          <w:rFonts w:ascii="Times New Roman" w:hAnsi="Times New Roman" w:cs="Times New Roman"/>
        </w:rPr>
        <w:t>for</w:t>
      </w:r>
      <w:r w:rsidR="001C3195" w:rsidRPr="003B6C5B">
        <w:rPr>
          <w:rFonts w:ascii="Times New Roman" w:hAnsi="Times New Roman" w:cs="Times New Roman"/>
        </w:rPr>
        <w:t xml:space="preserve"> </w:t>
      </w:r>
      <w:r w:rsidR="00816E02" w:rsidRPr="003B6C5B">
        <w:rPr>
          <w:rFonts w:ascii="Times New Roman" w:hAnsi="Times New Roman" w:cs="Times New Roman"/>
        </w:rPr>
        <w:t>each stage</w:t>
      </w:r>
      <w:r w:rsidRPr="003B6C5B">
        <w:rPr>
          <w:rFonts w:ascii="Times New Roman" w:hAnsi="Times New Roman" w:cs="Times New Roman"/>
        </w:rPr>
        <w:t xml:space="preserve">. Third, </w:t>
      </w:r>
      <w:r w:rsidR="00C80A73" w:rsidRPr="003B6C5B">
        <w:rPr>
          <w:rFonts w:ascii="Times New Roman" w:hAnsi="Times New Roman" w:cs="Times New Roman"/>
        </w:rPr>
        <w:t>a</w:t>
      </w:r>
      <w:r w:rsidRPr="003B6C5B">
        <w:rPr>
          <w:rFonts w:ascii="Times New Roman" w:hAnsi="Times New Roman" w:cs="Times New Roman"/>
        </w:rPr>
        <w:t xml:space="preserve"> </w:t>
      </w:r>
      <w:r w:rsidR="00511315" w:rsidRPr="003B6C5B">
        <w:rPr>
          <w:rFonts w:ascii="Times New Roman" w:hAnsi="Times New Roman" w:cs="Times New Roman"/>
        </w:rPr>
        <w:t xml:space="preserve">wavelet-based </w:t>
      </w:r>
      <w:r w:rsidRPr="003B6C5B">
        <w:rPr>
          <w:rFonts w:ascii="Times New Roman" w:hAnsi="Times New Roman" w:cs="Times New Roman"/>
        </w:rPr>
        <w:t>portfolio strateg</w:t>
      </w:r>
      <w:r w:rsidR="00C80A73" w:rsidRPr="003B6C5B">
        <w:rPr>
          <w:rFonts w:ascii="Times New Roman" w:hAnsi="Times New Roman" w:cs="Times New Roman"/>
        </w:rPr>
        <w:t>y</w:t>
      </w:r>
      <w:r w:rsidR="00511315" w:rsidRPr="003B6C5B">
        <w:rPr>
          <w:rFonts w:ascii="Times New Roman" w:hAnsi="Times New Roman" w:cs="Times New Roman"/>
        </w:rPr>
        <w:t xml:space="preserve"> (Dai et al., 2020; Lai et al., 2006)</w:t>
      </w:r>
      <w:r w:rsidRPr="003B6C5B">
        <w:rPr>
          <w:rFonts w:ascii="Times New Roman" w:hAnsi="Times New Roman" w:cs="Times New Roman"/>
        </w:rPr>
        <w:t xml:space="preserve"> </w:t>
      </w:r>
      <w:r w:rsidR="00C80A73" w:rsidRPr="003B6C5B">
        <w:rPr>
          <w:rFonts w:ascii="Times New Roman" w:hAnsi="Times New Roman" w:cs="Times New Roman"/>
        </w:rPr>
        <w:t xml:space="preserve">is designed to hedge </w:t>
      </w:r>
      <w:r w:rsidRPr="003B6C5B">
        <w:rPr>
          <w:rFonts w:ascii="Times New Roman" w:hAnsi="Times New Roman" w:cs="Times New Roman"/>
        </w:rPr>
        <w:t>against</w:t>
      </w:r>
      <w:r w:rsidR="00C80A73" w:rsidRPr="003B6C5B">
        <w:rPr>
          <w:rFonts w:ascii="Times New Roman" w:hAnsi="Times New Roman" w:cs="Times New Roman"/>
        </w:rPr>
        <w:t xml:space="preserve"> exposure to</w:t>
      </w:r>
      <w:r w:rsidRPr="003B6C5B">
        <w:rPr>
          <w:rFonts w:ascii="Times New Roman" w:hAnsi="Times New Roman" w:cs="Times New Roman"/>
        </w:rPr>
        <w:t xml:space="preserve"> </w:t>
      </w:r>
      <w:r w:rsidR="00816E02" w:rsidRPr="003B6C5B">
        <w:rPr>
          <w:rFonts w:ascii="Times New Roman" w:hAnsi="Times New Roman" w:cs="Times New Roman"/>
        </w:rPr>
        <w:t xml:space="preserve">risks of </w:t>
      </w:r>
      <w:r w:rsidRPr="003B6C5B">
        <w:rPr>
          <w:rFonts w:ascii="Times New Roman" w:hAnsi="Times New Roman" w:cs="Times New Roman"/>
        </w:rPr>
        <w:t xml:space="preserve">high-order moments and compute the optimal weights of carbon and energy assets at different </w:t>
      </w:r>
      <w:r w:rsidR="00816E02" w:rsidRPr="003B6C5B">
        <w:rPr>
          <w:rFonts w:ascii="Times New Roman" w:hAnsi="Times New Roman" w:cs="Times New Roman"/>
        </w:rPr>
        <w:t>time frequenc</w:t>
      </w:r>
      <w:r w:rsidR="00B724CB" w:rsidRPr="003B6C5B">
        <w:rPr>
          <w:rFonts w:ascii="Times New Roman" w:hAnsi="Times New Roman" w:cs="Times New Roman"/>
        </w:rPr>
        <w:t>ies</w:t>
      </w:r>
      <w:r w:rsidRPr="003B6C5B">
        <w:rPr>
          <w:rFonts w:ascii="Times New Roman" w:hAnsi="Times New Roman" w:cs="Times New Roman"/>
        </w:rPr>
        <w:t>.</w:t>
      </w:r>
    </w:p>
    <w:p w14:paraId="51D26F2F" w14:textId="41011ACE" w:rsidR="00A2313E" w:rsidRPr="003B6C5B" w:rsidRDefault="00F4720B" w:rsidP="006724D6">
      <w:pPr>
        <w:pStyle w:val="Heading2"/>
        <w:spacing w:line="480" w:lineRule="auto"/>
        <w:jc w:val="both"/>
        <w:rPr>
          <w:rFonts w:eastAsiaTheme="minorEastAsia"/>
        </w:rPr>
      </w:pPr>
      <w:r w:rsidRPr="003B6C5B">
        <w:t>3</w:t>
      </w:r>
      <w:r w:rsidR="00A2313E" w:rsidRPr="003B6C5B">
        <w:t xml:space="preserve">.1. </w:t>
      </w:r>
      <w:r w:rsidR="00C80A73" w:rsidRPr="003B6C5B">
        <w:t xml:space="preserve">Detection of </w:t>
      </w:r>
      <w:r w:rsidR="00A2313E" w:rsidRPr="003B6C5B">
        <w:t>structur</w:t>
      </w:r>
      <w:r w:rsidR="00BD0624" w:rsidRPr="003B6C5B">
        <w:t>al</w:t>
      </w:r>
      <w:r w:rsidR="00A2313E" w:rsidRPr="003B6C5B">
        <w:t xml:space="preserve"> </w:t>
      </w:r>
      <w:r w:rsidR="00C80A73" w:rsidRPr="003B6C5B">
        <w:t>breaks</w:t>
      </w:r>
    </w:p>
    <w:p w14:paraId="66B91AD8" w14:textId="4AD875A3" w:rsidR="00CA190B" w:rsidRPr="003B6C5B" w:rsidRDefault="00EE10D8" w:rsidP="00F351AE">
      <w:pPr>
        <w:pStyle w:val="NormalWeb"/>
        <w:spacing w:before="0" w:beforeAutospacing="0" w:after="0" w:afterAutospacing="0" w:line="480" w:lineRule="auto"/>
        <w:ind w:firstLineChars="177" w:firstLine="425"/>
        <w:jc w:val="both"/>
        <w:rPr>
          <w:rFonts w:ascii="Times New Roman" w:hAnsi="Times New Roman" w:cs="Times New Roman"/>
        </w:rPr>
      </w:pPr>
      <w:r w:rsidRPr="003B6C5B">
        <w:rPr>
          <w:rFonts w:ascii="Times New Roman" w:hAnsi="Times New Roman" w:cs="Times New Roman"/>
        </w:rPr>
        <w:t>Many studies have found structural breaks in carbon and energy commodities prices series.</w:t>
      </w:r>
      <w:r w:rsidR="0042374C" w:rsidRPr="003B6C5B">
        <w:rPr>
          <w:rStyle w:val="FootnoteReference"/>
          <w:rFonts w:ascii="Times New Roman" w:hAnsi="Times New Roman" w:cs="Times New Roman"/>
        </w:rPr>
        <w:footnoteReference w:id="11"/>
      </w:r>
      <w:r w:rsidRPr="003B6C5B">
        <w:rPr>
          <w:rFonts w:ascii="Times New Roman" w:hAnsi="Times New Roman" w:cs="Times New Roman"/>
        </w:rPr>
        <w:t xml:space="preserve"> This study engages with a multivariate data analysis and thus requires the modeling of a quaternary system comprising carbon, coal, gas, and oil, making it futile to seek for individual market breaks, as in previous studies. A state-of-the-art non-parameter joint distribution structural breaks detection method proposed by </w:t>
      </w:r>
      <w:r w:rsidRPr="003B6C5B">
        <w:rPr>
          <w:rFonts w:ascii="Times New Roman" w:hAnsi="Times New Roman" w:cs="Times New Roman"/>
          <w:noProof/>
        </w:rPr>
        <w:t>Matteson and James (2014)</w:t>
      </w:r>
      <w:r w:rsidRPr="003B6C5B">
        <w:rPr>
          <w:rFonts w:ascii="Times New Roman" w:hAnsi="Times New Roman" w:cs="Times New Roman"/>
        </w:rPr>
        <w:t xml:space="preserve"> is applied for detecting structural breaks. </w:t>
      </w:r>
    </w:p>
    <w:p w14:paraId="35ACB097" w14:textId="07B9EDF8" w:rsidR="00CA190B" w:rsidRPr="003B6C5B" w:rsidRDefault="00CA190B" w:rsidP="006724D6">
      <w:pPr>
        <w:pStyle w:val="NormalWeb"/>
        <w:spacing w:before="0" w:beforeAutospacing="0" w:after="0" w:afterAutospacing="0" w:line="480" w:lineRule="auto"/>
        <w:ind w:firstLineChars="177" w:firstLine="425"/>
        <w:jc w:val="both"/>
        <w:rPr>
          <w:rFonts w:ascii="Times New Roman" w:hAnsi="Times New Roman" w:cs="Times New Roman"/>
        </w:rPr>
      </w:pPr>
      <w:r w:rsidRPr="003B6C5B">
        <w:rPr>
          <w:rFonts w:ascii="Times New Roman" w:hAnsi="Times New Roman" w:cs="Times New Roman"/>
        </w:rPr>
        <w:t xml:space="preserve">Let </w:t>
      </w:r>
      <m:oMath>
        <m:sSub>
          <m:sSubPr>
            <m:ctrlPr>
              <w:rPr>
                <w:rFonts w:ascii="Cambria Math" w:hAnsi="Cambria Math" w:cs="Times New Roman"/>
                <w:i/>
              </w:rPr>
            </m:ctrlPr>
          </m:sSubPr>
          <m:e>
            <m:r>
              <m:rPr>
                <m:sty m:val="bi"/>
              </m:rPr>
              <w:rPr>
                <w:rFonts w:ascii="Cambria Math" w:hAnsi="Cambria Math" w:cs="Times New Roman"/>
              </w:rPr>
              <m:t>X</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:i=1,2,...,n}</m:t>
        </m:r>
      </m:oMath>
      <w:r w:rsidRPr="003B6C5B">
        <w:rPr>
          <w:rFonts w:ascii="Times New Roman" w:hAnsi="Times New Roman" w:cs="Times New Roman"/>
        </w:rPr>
        <w:t xml:space="preserve"> be </w:t>
      </w:r>
      <m:oMath>
        <m:r>
          <w:rPr>
            <w:rFonts w:ascii="Cambria Math" w:hAnsi="Cambria Math" w:cs="Times New Roman"/>
          </w:rPr>
          <m:t>n</m:t>
        </m:r>
      </m:oMath>
      <w:r w:rsidRPr="003B6C5B">
        <w:rPr>
          <w:rFonts w:ascii="Times New Roman" w:hAnsi="Times New Roman" w:cs="Times New Roman"/>
        </w:rPr>
        <w:t xml:space="preserve"> independent observations with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~F</m:t>
        </m:r>
      </m:oMath>
      <w:r w:rsidRPr="003B6C5B">
        <w:rPr>
          <w:rFonts w:ascii="Times New Roman" w:hAnsi="Times New Roman" w:cs="Times New Roman"/>
        </w:rPr>
        <w:t xml:space="preserve"> and </w:t>
      </w:r>
      <m:oMath>
        <m:sSub>
          <m:sSubPr>
            <m:ctrlPr>
              <w:rPr>
                <w:rFonts w:ascii="Cambria Math" w:hAnsi="Cambria Math" w:cs="Times New Roman"/>
                <w:i/>
              </w:rPr>
            </m:ctrlPr>
          </m:sSubPr>
          <m:e>
            <m:r>
              <m:rPr>
                <m:sty m:val="bi"/>
              </m:rPr>
              <w:rPr>
                <w:rFonts w:ascii="Cambria Math" w:hAnsi="Cambria Math" w:cs="Times New Roman"/>
              </w:rPr>
              <m:t>Y</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r>
          <w:rPr>
            <w:rFonts w:ascii="Cambria Math" w:hAnsi="Cambria Math" w:cs="Times New Roman"/>
          </w:rPr>
          <m:t>:j=1,...,m}</m:t>
        </m:r>
      </m:oMath>
      <w:r w:rsidRPr="003B6C5B">
        <w:rPr>
          <w:rFonts w:ascii="Times New Roman" w:hAnsi="Times New Roman" w:cs="Times New Roman"/>
        </w:rPr>
        <w:t xml:space="preserve"> </w:t>
      </w:r>
      <w:r w:rsidR="00150FD0" w:rsidRPr="003B6C5B">
        <w:rPr>
          <w:rFonts w:ascii="Times New Roman" w:hAnsi="Times New Roman" w:cs="Times New Roman"/>
        </w:rPr>
        <w:t xml:space="preserve">as </w:t>
      </w:r>
      <m:oMath>
        <m:r>
          <w:rPr>
            <w:rFonts w:ascii="Cambria Math" w:hAnsi="Cambria Math" w:cs="Times New Roman"/>
          </w:rPr>
          <m:t>m</m:t>
        </m:r>
      </m:oMath>
      <w:r w:rsidRPr="003B6C5B">
        <w:rPr>
          <w:rFonts w:ascii="Times New Roman" w:hAnsi="Times New Roman" w:cs="Times New Roman"/>
        </w:rPr>
        <w:t xml:space="preserve"> independent observations with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r>
          <w:rPr>
            <w:rFonts w:ascii="Cambria Math" w:hAnsi="Cambria Math" w:cs="Times New Roman"/>
          </w:rPr>
          <m:t>~G</m:t>
        </m:r>
      </m:oMath>
      <w:r w:rsidRPr="003B6C5B">
        <w:rPr>
          <w:rFonts w:ascii="Times New Roman" w:hAnsi="Times New Roman" w:cs="Times New Roman"/>
        </w:rPr>
        <w:t xml:space="preserve">. Following </w:t>
      </w:r>
      <w:r w:rsidRPr="003B6C5B">
        <w:rPr>
          <w:rFonts w:ascii="Times New Roman" w:hAnsi="Times New Roman" w:cs="Times New Roman"/>
        </w:rPr>
        <w:lastRenderedPageBreak/>
        <w:t xml:space="preserve">Matteson and James (2014), the sample distance between </w:t>
      </w:r>
      <m:oMath>
        <m:r>
          <w:rPr>
            <w:rFonts w:ascii="Cambria Math" w:hAnsi="Cambria Math" w:cs="Times New Roman"/>
          </w:rPr>
          <m:t>d</m:t>
        </m:r>
      </m:oMath>
      <w:r w:rsidRPr="003B6C5B">
        <w:rPr>
          <w:rFonts w:ascii="Times New Roman" w:hAnsi="Times New Roman" w:cs="Times New Roman"/>
        </w:rPr>
        <w:t xml:space="preserve">-dimensional </w:t>
      </w:r>
      <w:r w:rsidR="0091278E" w:rsidRPr="003B6C5B">
        <w:rPr>
          <w:rFonts w:ascii="Times New Roman" w:hAnsi="Times New Roman" w:cs="Times New Roman"/>
        </w:rPr>
        <w:t>distributions</w:t>
      </w:r>
      <w:r w:rsidRPr="003B6C5B">
        <w:rPr>
          <w:rFonts w:ascii="Times New Roman" w:hAnsi="Times New Roman" w:cs="Times New Roman"/>
        </w:rPr>
        <w:t xml:space="preserve"> </w:t>
      </w:r>
      <m:oMath>
        <m:r>
          <w:rPr>
            <w:rFonts w:ascii="Cambria Math" w:hAnsi="Cambria Math" w:cs="Times New Roman"/>
          </w:rPr>
          <m:t>X~F</m:t>
        </m:r>
      </m:oMath>
      <w:r w:rsidRPr="003B6C5B">
        <w:rPr>
          <w:rFonts w:ascii="Times New Roman" w:hAnsi="Times New Roman" w:cs="Times New Roman"/>
        </w:rPr>
        <w:t xml:space="preserve"> and </w:t>
      </w:r>
      <m:oMath>
        <m:r>
          <w:rPr>
            <w:rFonts w:ascii="Cambria Math" w:hAnsi="Cambria Math" w:cs="Times New Roman"/>
          </w:rPr>
          <m:t>Y~G</m:t>
        </m:r>
      </m:oMath>
      <w:r w:rsidRPr="003B6C5B">
        <w:rPr>
          <w:rFonts w:ascii="Times New Roman" w:hAnsi="Times New Roman" w:cs="Times New Roman"/>
        </w:rPr>
        <w:t xml:space="preserve">, for arbitrary distributions </w:t>
      </w:r>
      <m:oMath>
        <m:r>
          <w:rPr>
            <w:rFonts w:ascii="Cambria Math" w:hAnsi="Cambria Math" w:cs="Times New Roman"/>
          </w:rPr>
          <m:t>F</m:t>
        </m:r>
      </m:oMath>
      <w:r w:rsidRPr="003B6C5B">
        <w:rPr>
          <w:rFonts w:ascii="Times New Roman" w:hAnsi="Times New Roman" w:cs="Times New Roman"/>
        </w:rPr>
        <w:t xml:space="preserve"> and </w:t>
      </w:r>
      <m:oMath>
        <m:r>
          <w:rPr>
            <w:rFonts w:ascii="Cambria Math" w:hAnsi="Cambria Math" w:cs="Times New Roman"/>
          </w:rPr>
          <m:t>G</m:t>
        </m:r>
      </m:oMath>
      <w:r w:rsidRPr="003B6C5B">
        <w:rPr>
          <w:rFonts w:ascii="Times New Roman" w:hAnsi="Times New Roman" w:cs="Times New Roman"/>
        </w:rPr>
        <w:t>, can be computed by</w:t>
      </w:r>
      <w:r w:rsidR="005860F4">
        <w:rPr>
          <w:rStyle w:val="FootnoteReference"/>
          <w:rFonts w:ascii="Times New Roman" w:hAnsi="Times New Roman" w:cs="Times New Roman"/>
        </w:rPr>
        <w:footnoteReference w:id="12"/>
      </w:r>
    </w:p>
    <w:p w14:paraId="3CFF69F2" w14:textId="6D25D8AF" w:rsidR="00CA190B" w:rsidRPr="003B6C5B" w:rsidRDefault="0029500C" w:rsidP="006724D6">
      <w:pPr>
        <w:tabs>
          <w:tab w:val="left" w:pos="7655"/>
          <w:tab w:val="left" w:pos="8080"/>
        </w:tabs>
        <w:spacing w:line="480" w:lineRule="auto"/>
        <w:jc w:val="both"/>
        <w:rPr>
          <w:iCs/>
        </w:rPr>
      </w:pPr>
      <m:oMath>
        <m:acc>
          <m:accPr>
            <m:ctrlPr>
              <w:rPr>
                <w:rFonts w:ascii="Cambria Math" w:hAnsi="Cambria Math"/>
                <w:i/>
              </w:rPr>
            </m:ctrlPr>
          </m:accPr>
          <m:e>
            <m:r>
              <m:rPr>
                <m:scr m:val="script"/>
              </m:rPr>
              <w:rPr>
                <w:rFonts w:ascii="Cambria Math" w:hAnsi="Cambria Math"/>
              </w:rPr>
              <m:t>Q</m:t>
            </m:r>
          </m:e>
        </m:acc>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m</m:t>
                </m:r>
              </m:sub>
            </m:sSub>
            <m:r>
              <w:rPr>
                <w:rFonts w:ascii="Cambria Math" w:hAnsi="Cambria Math"/>
              </w:rPr>
              <m:t>;α</m:t>
            </m:r>
          </m:e>
        </m:d>
        <m:r>
          <w:rPr>
            <w:rFonts w:ascii="Cambria Math" w:hAnsi="Cambria Math"/>
          </w:rPr>
          <m:t>=</m:t>
        </m:r>
        <m:f>
          <m:fPr>
            <m:ctrlPr>
              <w:rPr>
                <w:rFonts w:ascii="Cambria Math" w:hAnsi="Cambria Math"/>
                <w:i/>
              </w:rPr>
            </m:ctrlPr>
          </m:fPr>
          <m:num>
            <m:r>
              <w:rPr>
                <w:rFonts w:ascii="Cambria Math" w:hAnsi="Cambria Math"/>
              </w:rPr>
              <m:t>mn</m:t>
            </m:r>
          </m:num>
          <m:den>
            <m:r>
              <w:rPr>
                <w:rFonts w:ascii="Cambria Math" w:hAnsi="Cambria Math"/>
              </w:rPr>
              <m:t>m+n</m:t>
            </m:r>
          </m:den>
        </m:f>
        <m:acc>
          <m:accPr>
            <m:ctrlPr>
              <w:rPr>
                <w:rFonts w:ascii="Cambria Math" w:hAnsi="Cambria Math"/>
                <w:i/>
              </w:rPr>
            </m:ctrlPr>
          </m:accPr>
          <m:e>
            <m:r>
              <m:rPr>
                <m:scr m:val="script"/>
              </m:rPr>
              <w:rPr>
                <w:rFonts w:ascii="Cambria Math" w:hAnsi="Cambria Math"/>
              </w:rPr>
              <m:t>E</m:t>
            </m:r>
          </m:e>
        </m:acc>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m</m:t>
                </m:r>
              </m:sub>
            </m:sSub>
            <m:r>
              <w:rPr>
                <w:rFonts w:ascii="Cambria Math" w:hAnsi="Cambria Math"/>
              </w:rPr>
              <m:t>;α</m:t>
            </m:r>
          </m:e>
        </m:d>
        <m:r>
          <w:rPr>
            <w:rFonts w:ascii="Cambria Math" w:hAnsi="Cambria Math"/>
          </w:rPr>
          <m:t>.</m:t>
        </m:r>
      </m:oMath>
      <w:r w:rsidR="00CA190B" w:rsidRPr="003B6C5B">
        <w:rPr>
          <w:i/>
        </w:rPr>
        <w:tab/>
      </w:r>
      <w:r w:rsidR="00CA190B" w:rsidRPr="003B6C5B">
        <w:rPr>
          <w:i/>
        </w:rPr>
        <w:tab/>
      </w:r>
      <w:r w:rsidR="00CA190B" w:rsidRPr="003B6C5B">
        <w:rPr>
          <w:iCs/>
        </w:rPr>
        <w:t>(</w:t>
      </w:r>
      <w:r w:rsidR="008D26B1" w:rsidRPr="003B6C5B">
        <w:rPr>
          <w:iCs/>
        </w:rPr>
        <w:t>1</w:t>
      </w:r>
      <w:r w:rsidR="00CA190B" w:rsidRPr="003B6C5B">
        <w:rPr>
          <w:iCs/>
        </w:rPr>
        <w:t>)</w:t>
      </w:r>
    </w:p>
    <w:p w14:paraId="2DA64268" w14:textId="2F3F7E81" w:rsidR="00CA190B" w:rsidRPr="003B6C5B" w:rsidRDefault="00CA190B" w:rsidP="006724D6">
      <w:pPr>
        <w:pStyle w:val="NormalWeb"/>
        <w:spacing w:before="0" w:beforeAutospacing="0" w:after="0" w:afterAutospacing="0" w:line="480" w:lineRule="auto"/>
        <w:ind w:firstLineChars="177" w:firstLine="425"/>
        <w:jc w:val="both"/>
        <w:rPr>
          <w:rFonts w:ascii="Times New Roman" w:hAnsi="Times New Roman" w:cs="Times New Roman"/>
        </w:rPr>
      </w:pPr>
      <w:r w:rsidRPr="003B6C5B">
        <w:rPr>
          <w:rFonts w:ascii="Times New Roman" w:hAnsi="Times New Roman" w:cs="Times New Roman"/>
        </w:rPr>
        <w:t xml:space="preserve">Based on such a distance definition, we can estimate the location of </w:t>
      </w:r>
      <w:r w:rsidR="009A4E12" w:rsidRPr="003B6C5B">
        <w:rPr>
          <w:rFonts w:ascii="Times New Roman" w:hAnsi="Times New Roman" w:cs="Times New Roman"/>
        </w:rPr>
        <w:t xml:space="preserve">systemic </w:t>
      </w:r>
      <w:r w:rsidRPr="003B6C5B">
        <w:rPr>
          <w:rFonts w:ascii="Times New Roman" w:hAnsi="Times New Roman" w:cs="Times New Roman"/>
        </w:rPr>
        <w:t>change point</w:t>
      </w:r>
      <w:r w:rsidR="00150FD0" w:rsidRPr="003B6C5B">
        <w:rPr>
          <w:rFonts w:ascii="Times New Roman" w:hAnsi="Times New Roman" w:cs="Times New Roman"/>
        </w:rPr>
        <w:t>s</w:t>
      </w:r>
      <w:r w:rsidRPr="003B6C5B">
        <w:rPr>
          <w:rFonts w:ascii="Times New Roman" w:hAnsi="Times New Roman" w:cs="Times New Roman"/>
        </w:rPr>
        <w:t xml:space="preserve"> and hierarchically </w:t>
      </w:r>
      <w:r w:rsidR="00150FD0" w:rsidRPr="003B6C5B">
        <w:rPr>
          <w:rFonts w:ascii="Times New Roman" w:hAnsi="Times New Roman" w:cs="Times New Roman"/>
        </w:rPr>
        <w:t xml:space="preserve">further </w:t>
      </w:r>
      <w:r w:rsidRPr="003B6C5B">
        <w:rPr>
          <w:rFonts w:ascii="Times New Roman" w:hAnsi="Times New Roman" w:cs="Times New Roman"/>
        </w:rPr>
        <w:t>estimate Matteson and James</w:t>
      </w:r>
      <w:r w:rsidR="00D1220C" w:rsidRPr="003B6C5B">
        <w:rPr>
          <w:rFonts w:ascii="Times New Roman" w:hAnsi="Times New Roman" w:cs="Times New Roman"/>
        </w:rPr>
        <w:t>’</w:t>
      </w:r>
      <w:r w:rsidRPr="003B6C5B">
        <w:rPr>
          <w:rFonts w:ascii="Times New Roman" w:hAnsi="Times New Roman" w:cs="Times New Roman"/>
        </w:rPr>
        <w:t>s (2014) multiple change points.</w:t>
      </w:r>
    </w:p>
    <w:p w14:paraId="50449C56" w14:textId="31E4E797" w:rsidR="00A2313E" w:rsidRPr="003B6C5B" w:rsidRDefault="00F4720B" w:rsidP="006724D6">
      <w:pPr>
        <w:pStyle w:val="Heading2"/>
        <w:spacing w:line="480" w:lineRule="auto"/>
        <w:jc w:val="both"/>
      </w:pPr>
      <w:bookmarkStart w:id="6" w:name="_Hlk33891356"/>
      <w:r w:rsidRPr="003B6C5B">
        <w:t>3</w:t>
      </w:r>
      <w:r w:rsidR="00A2313E" w:rsidRPr="003B6C5B">
        <w:t>.2. Computing skewness and kurtosis of carbon and energy</w:t>
      </w:r>
      <w:r w:rsidR="00042880" w:rsidRPr="003B6C5B">
        <w:t xml:space="preserve"> asset</w:t>
      </w:r>
      <w:r w:rsidR="00A2313E" w:rsidRPr="003B6C5B">
        <w:t>s</w:t>
      </w:r>
      <w:bookmarkEnd w:id="6"/>
    </w:p>
    <w:p w14:paraId="3B86FF95" w14:textId="31215B89" w:rsidR="007D2E4C" w:rsidRPr="003B6C5B" w:rsidRDefault="007D2E4C" w:rsidP="007D2E4C">
      <w:pPr>
        <w:tabs>
          <w:tab w:val="left" w:pos="7655"/>
          <w:tab w:val="left" w:pos="7845"/>
        </w:tabs>
        <w:spacing w:line="480" w:lineRule="auto"/>
        <w:ind w:firstLineChars="177" w:firstLine="425"/>
        <w:jc w:val="both"/>
        <w:rPr>
          <w:rFonts w:eastAsiaTheme="minorEastAsia"/>
        </w:rPr>
      </w:pPr>
      <w:r w:rsidRPr="003B6C5B">
        <w:t>It is one of the most recent universally accepted styli</w:t>
      </w:r>
      <w:r w:rsidR="00464782">
        <w:t>s</w:t>
      </w:r>
      <w:r w:rsidRPr="003B6C5B">
        <w:t xml:space="preserve">ed facts that financial assets have conditional time-varying skewness and kurtosis </w:t>
      </w:r>
      <w:r w:rsidRPr="003B6C5B">
        <w:rPr>
          <w:noProof/>
        </w:rPr>
        <w:t>(Brooks et al., 2005)</w:t>
      </w:r>
      <w:r w:rsidRPr="003B6C5B">
        <w:t xml:space="preserve">. </w:t>
      </w:r>
      <w:proofErr w:type="gramStart"/>
      <w:r w:rsidRPr="003B6C5B">
        <w:t>A large number of</w:t>
      </w:r>
      <w:proofErr w:type="gramEnd"/>
      <w:r w:rsidRPr="003B6C5B">
        <w:t xml:space="preserve"> researchers adopt the realised methods to calculate time-varying kurtosis and skewness of financial assets </w:t>
      </w:r>
      <w:r w:rsidRPr="003B6C5B">
        <w:rPr>
          <w:noProof/>
        </w:rPr>
        <w:t>(Fernandez-Perez et al., 2018; Finta and Aboura, 2020)</w:t>
      </w:r>
      <w:r w:rsidRPr="003B6C5B">
        <w:t xml:space="preserve"> as carbon and energy products are seen as financial instruments.</w:t>
      </w:r>
    </w:p>
    <w:p w14:paraId="75A566F6" w14:textId="28CEE3C8" w:rsidR="00A2313E" w:rsidRPr="003B6C5B" w:rsidRDefault="000D563D" w:rsidP="003B6C5B">
      <w:pPr>
        <w:tabs>
          <w:tab w:val="left" w:pos="7655"/>
          <w:tab w:val="left" w:pos="7845"/>
        </w:tabs>
        <w:spacing w:line="480" w:lineRule="auto"/>
        <w:ind w:firstLineChars="177" w:firstLine="425"/>
        <w:jc w:val="both"/>
        <w:rPr>
          <w:noProof/>
        </w:rPr>
      </w:pPr>
      <w:r w:rsidRPr="003B6C5B">
        <w:t>In this study, we</w:t>
      </w:r>
      <w:r w:rsidR="00983318" w:rsidRPr="003B6C5B">
        <w:t xml:space="preserve"> consider not only the higher-order moment</w:t>
      </w:r>
      <w:r w:rsidR="00A01FDA" w:rsidRPr="003B6C5B">
        <w:t>s</w:t>
      </w:r>
      <w:r w:rsidR="00983318" w:rsidRPr="003B6C5B">
        <w:t xml:space="preserve"> of individual assets but also the higher-order </w:t>
      </w:r>
      <w:r w:rsidR="00C72E1B">
        <w:t>co-moment</w:t>
      </w:r>
      <w:r w:rsidR="00A01FDA" w:rsidRPr="003B6C5B">
        <w:t>s</w:t>
      </w:r>
      <w:r w:rsidR="00983318" w:rsidRPr="003B6C5B">
        <w:t xml:space="preserve"> of a portfolio of assets </w:t>
      </w:r>
      <w:r w:rsidR="00464782">
        <w:t>between</w:t>
      </w:r>
      <w:r w:rsidR="00983318" w:rsidRPr="003B6C5B">
        <w:t xml:space="preserve"> the carbon and energy markets.</w:t>
      </w:r>
      <w:r w:rsidR="0018607A" w:rsidRPr="003B6C5B">
        <w:t xml:space="preserve"> </w:t>
      </w:r>
      <w:r w:rsidR="00A01FDA" w:rsidRPr="003B6C5B">
        <w:t>There are two reasons</w:t>
      </w:r>
      <w:r w:rsidR="00EF521C">
        <w:t xml:space="preserve"> f</w:t>
      </w:r>
      <w:r w:rsidR="0053474D" w:rsidRPr="003B6C5B">
        <w:t>irst,</w:t>
      </w:r>
      <w:r w:rsidR="00A01FDA" w:rsidRPr="003B6C5B">
        <w:t xml:space="preserve"> </w:t>
      </w:r>
      <w:r w:rsidR="00C72E1B">
        <w:t>co-moment</w:t>
      </w:r>
      <w:r w:rsidRPr="003B6C5B">
        <w:t xml:space="preserve"> </w:t>
      </w:r>
      <w:r w:rsidR="00EF521C">
        <w:t>is regarded as</w:t>
      </w:r>
      <w:r w:rsidRPr="003B6C5B">
        <w:t xml:space="preserve"> an important factor driving </w:t>
      </w:r>
      <w:r w:rsidR="00C4142B">
        <w:t xml:space="preserve">price movements of </w:t>
      </w:r>
      <w:r w:rsidR="005174C0">
        <w:t>individual</w:t>
      </w:r>
      <w:r w:rsidR="00C4142B">
        <w:t xml:space="preserve"> </w:t>
      </w:r>
      <w:proofErr w:type="gramStart"/>
      <w:r w:rsidR="00C4142B">
        <w:t xml:space="preserve">assets </w:t>
      </w:r>
      <w:r w:rsidRPr="003B6C5B">
        <w:t>.</w:t>
      </w:r>
      <w:proofErr w:type="gramEnd"/>
      <w:r w:rsidR="00A01FDA" w:rsidRPr="003B6C5B">
        <w:t xml:space="preserve"> </w:t>
      </w:r>
      <w:r w:rsidR="00C4142B">
        <w:t>For example, t</w:t>
      </w:r>
      <w:r w:rsidR="00A01FDA" w:rsidRPr="003B6C5B">
        <w:t xml:space="preserve">he classic BEKK-GARCH </w:t>
      </w:r>
      <w:r w:rsidR="00EF521C">
        <w:t>consider</w:t>
      </w:r>
      <w:r w:rsidR="00EF521C" w:rsidRPr="003B6C5B">
        <w:t xml:space="preserve"> </w:t>
      </w:r>
      <w:r w:rsidR="00C4142B">
        <w:t xml:space="preserve">conditional </w:t>
      </w:r>
      <w:r w:rsidR="005174C0">
        <w:t>variance</w:t>
      </w:r>
      <w:r w:rsidR="00C4142B">
        <w:t xml:space="preserve"> and co-</w:t>
      </w:r>
      <w:r w:rsidR="005174C0">
        <w:t>variance</w:t>
      </w:r>
      <w:r w:rsidR="00C4142B">
        <w:t xml:space="preserve"> </w:t>
      </w:r>
      <w:r w:rsidR="005174C0">
        <w:t xml:space="preserve">as </w:t>
      </w:r>
      <w:r w:rsidR="00A01FDA" w:rsidRPr="003B6C5B">
        <w:t xml:space="preserve">the drivers of </w:t>
      </w:r>
      <w:r w:rsidR="005174C0">
        <w:t xml:space="preserve">price movements of individual assets in a multivariate </w:t>
      </w:r>
      <w:proofErr w:type="gramStart"/>
      <w:r w:rsidR="005174C0">
        <w:t xml:space="preserve">framework </w:t>
      </w:r>
      <w:r w:rsidR="00A01FDA" w:rsidRPr="003B6C5B">
        <w:t>.</w:t>
      </w:r>
      <w:proofErr w:type="gramEnd"/>
      <w:r w:rsidR="00983318" w:rsidRPr="003B6C5B">
        <w:t xml:space="preserve"> </w:t>
      </w:r>
      <w:r w:rsidR="0053474D" w:rsidRPr="003B6C5B">
        <w:t>Second, t</w:t>
      </w:r>
      <w:r w:rsidRPr="003B6C5B">
        <w:t xml:space="preserve">he </w:t>
      </w:r>
      <w:r w:rsidR="00D948D1" w:rsidRPr="003B6C5B">
        <w:t xml:space="preserve">number of </w:t>
      </w:r>
      <w:r w:rsidR="00C72E1B">
        <w:t>co-moment</w:t>
      </w:r>
      <w:r w:rsidRPr="003B6C5B">
        <w:t xml:space="preserve"> terms </w:t>
      </w:r>
      <w:r w:rsidR="00D948D1" w:rsidRPr="003B6C5B">
        <w:t xml:space="preserve">will </w:t>
      </w:r>
      <w:r w:rsidRPr="003B6C5B">
        <w:t>substantially increase when we consider higher-order moments</w:t>
      </w:r>
      <w:r w:rsidR="004F6524" w:rsidRPr="003B6C5B">
        <w:t xml:space="preserve"> in </w:t>
      </w:r>
      <w:r w:rsidR="00C67142">
        <w:t xml:space="preserve">a </w:t>
      </w:r>
      <w:r w:rsidR="007D2E4C" w:rsidRPr="003B6C5B">
        <w:t>quaternary</w:t>
      </w:r>
      <w:r w:rsidR="004F6524" w:rsidRPr="003B6C5B">
        <w:t xml:space="preserve"> system</w:t>
      </w:r>
      <w:r w:rsidRPr="003B6C5B">
        <w:t xml:space="preserve">. </w:t>
      </w:r>
      <w:r w:rsidR="0053474D" w:rsidRPr="003B6C5B">
        <w:t>Ignoring co-movement terms will make</w:t>
      </w:r>
      <w:r w:rsidRPr="003B6C5B">
        <w:t xml:space="preserve"> the empirical </w:t>
      </w:r>
      <w:r w:rsidR="0053474D" w:rsidRPr="003B6C5B">
        <w:t>analysis</w:t>
      </w:r>
      <w:r w:rsidRPr="003B6C5B">
        <w:t xml:space="preserve"> less rigorous</w:t>
      </w:r>
      <w:r w:rsidR="00F80741" w:rsidRPr="003B6C5B">
        <w:t xml:space="preserve"> as we lose </w:t>
      </w:r>
      <w:r w:rsidR="005174C0">
        <w:t xml:space="preserve">a great deal of </w:t>
      </w:r>
      <w:r w:rsidR="00F80741" w:rsidRPr="003B6C5B">
        <w:t xml:space="preserve">important information of the interrelationship </w:t>
      </w:r>
      <w:r w:rsidR="00F80741" w:rsidRPr="003B6C5B">
        <w:lastRenderedPageBreak/>
        <w:t>presenting in higher moments.</w:t>
      </w:r>
      <w:r w:rsidR="0053474D" w:rsidRPr="003B6C5B">
        <w:t xml:space="preserve"> </w:t>
      </w:r>
      <w:r w:rsidR="0053474D" w:rsidRPr="003B6C5B">
        <w:rPr>
          <w:noProof/>
        </w:rPr>
        <w:t>W</w:t>
      </w:r>
      <w:r w:rsidR="00EE5C17" w:rsidRPr="003B6C5B">
        <w:rPr>
          <w:noProof/>
        </w:rPr>
        <w:t xml:space="preserve">e compute the dynamic skewness, co-skewness, kurtosis and co-kurtosis at time </w:t>
      </w:r>
      <m:oMath>
        <m:r>
          <w:rPr>
            <w:rFonts w:ascii="Cambria Math" w:hAnsi="Cambria Math"/>
            <w:noProof/>
          </w:rPr>
          <m:t>t</m:t>
        </m:r>
      </m:oMath>
      <w:r w:rsidR="00EE5C17" w:rsidRPr="003B6C5B">
        <w:rPr>
          <w:noProof/>
        </w:rPr>
        <w:t xml:space="preserve"> as follows.</w:t>
      </w:r>
    </w:p>
    <w:p w14:paraId="33733EBE" w14:textId="541C23BF" w:rsidR="008B2D15" w:rsidRPr="003B6C5B" w:rsidRDefault="008B2D15" w:rsidP="006724D6">
      <w:pPr>
        <w:tabs>
          <w:tab w:val="left" w:pos="7655"/>
          <w:tab w:val="left" w:pos="7845"/>
        </w:tabs>
        <w:spacing w:line="480" w:lineRule="auto"/>
        <w:ind w:firstLineChars="177" w:firstLine="425"/>
        <w:jc w:val="both"/>
        <w:rPr>
          <w:iCs/>
        </w:rPr>
      </w:pPr>
      <w:r w:rsidRPr="003B6C5B">
        <w:rPr>
          <w:rFonts w:hint="eastAsia"/>
          <w:iCs/>
        </w:rPr>
        <w:t>T</w:t>
      </w:r>
      <w:r w:rsidRPr="003B6C5B">
        <w:rPr>
          <w:iCs/>
        </w:rPr>
        <w:t>he dynamic sample skewness-co</w:t>
      </w:r>
      <w:r w:rsidR="00A01FDA" w:rsidRPr="003B6C5B">
        <w:rPr>
          <w:iCs/>
        </w:rPr>
        <w:t>-</w:t>
      </w:r>
      <w:r w:rsidRPr="003B6C5B">
        <w:rPr>
          <w:iCs/>
        </w:rPr>
        <w:t xml:space="preserve">skewness matrix is a </w:t>
      </w:r>
      <m:oMath>
        <m:r>
          <w:rPr>
            <w:rFonts w:ascii="Cambria Math" w:hAnsi="Cambria Math"/>
          </w:rPr>
          <m:t>4*</m:t>
        </m:r>
        <m:sSup>
          <m:sSupPr>
            <m:ctrlPr>
              <w:rPr>
                <w:rFonts w:ascii="Cambria Math" w:hAnsi="Cambria Math"/>
                <w:i/>
                <w:iCs/>
              </w:rPr>
            </m:ctrlPr>
          </m:sSupPr>
          <m:e>
            <m:r>
              <w:rPr>
                <w:rFonts w:ascii="Cambria Math" w:hAnsi="Cambria Math"/>
              </w:rPr>
              <m:t>4</m:t>
            </m:r>
          </m:e>
          <m:sup>
            <m:r>
              <w:rPr>
                <w:rFonts w:ascii="Cambria Math" w:hAnsi="Cambria Math"/>
              </w:rPr>
              <m:t>2</m:t>
            </m:r>
          </m:sup>
        </m:sSup>
      </m:oMath>
      <w:r w:rsidRPr="003B6C5B">
        <w:rPr>
          <w:rFonts w:hint="eastAsia"/>
          <w:iCs/>
        </w:rPr>
        <w:t xml:space="preserve"> </w:t>
      </w:r>
      <w:r w:rsidRPr="003B6C5B">
        <w:rPr>
          <w:iCs/>
        </w:rPr>
        <w:t>form computed as</w:t>
      </w:r>
    </w:p>
    <w:p w14:paraId="14619432" w14:textId="2699B47C" w:rsidR="00EE5C17" w:rsidRPr="003B6C5B" w:rsidRDefault="0029500C" w:rsidP="006724D6">
      <w:pPr>
        <w:tabs>
          <w:tab w:val="left" w:pos="7655"/>
          <w:tab w:val="left" w:pos="7845"/>
        </w:tabs>
        <w:spacing w:line="480" w:lineRule="auto"/>
        <w:jc w:val="both"/>
        <w:rPr>
          <w:iCs/>
        </w:rPr>
      </w:pPr>
      <m:oMath>
        <m:sSub>
          <m:sSubPr>
            <m:ctrlPr>
              <w:rPr>
                <w:rFonts w:ascii="Cambria Math" w:hAnsi="Cambria Math"/>
                <w:i/>
                <w:iCs/>
              </w:rPr>
            </m:ctrlPr>
          </m:sSubPr>
          <m:e>
            <m:r>
              <w:rPr>
                <w:rFonts w:ascii="Cambria Math" w:hAnsi="Cambria Math"/>
              </w:rPr>
              <m:t>M</m:t>
            </m:r>
          </m:e>
          <m:sub>
            <m:r>
              <w:rPr>
                <w:rFonts w:ascii="Cambria Math" w:hAnsi="Cambria Math"/>
              </w:rPr>
              <m:t>3,t</m:t>
            </m:r>
          </m:sub>
        </m:sSub>
        <m:r>
          <w:rPr>
            <w:rFonts w:ascii="Cambria Math" w:hAnsi="Cambria Math"/>
          </w:rPr>
          <m:t>=E[(</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t</m:t>
            </m:r>
          </m:sub>
        </m:sSub>
        <m:r>
          <w:rPr>
            <w:rFonts w:ascii="Cambria Math" w:hAnsi="Cambria Math"/>
          </w:rPr>
          <m:t>)</m:t>
        </m:r>
        <m:sSup>
          <m:sSupPr>
            <m:ctrlPr>
              <w:rPr>
                <w:rFonts w:ascii="Cambria Math" w:hAnsi="Cambria Math"/>
                <w:i/>
                <w:iCs/>
              </w:rPr>
            </m:ctrlPr>
          </m:sSup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t</m:t>
                </m:r>
              </m:sub>
            </m:sSub>
            <m:r>
              <w:rPr>
                <w:rFonts w:ascii="Cambria Math" w:hAnsi="Cambria Math"/>
              </w:rPr>
              <m:t>)</m:t>
            </m:r>
          </m:e>
          <m:sup>
            <m:r>
              <w:rPr>
                <w:rFonts w:ascii="Cambria Math" w:hAnsi="Cambria Math"/>
              </w:rPr>
              <m:t>T</m:t>
            </m:r>
          </m:sup>
        </m:sSup>
        <m:r>
          <w:rPr>
            <w:rFonts w:ascii="Cambria Math" w:hAnsi="Cambria Math"/>
          </w:rPr>
          <m:t>⨂</m:t>
        </m:r>
        <m:sSup>
          <m:sSupPr>
            <m:ctrlPr>
              <w:rPr>
                <w:rFonts w:ascii="Cambria Math" w:hAnsi="Cambria Math"/>
                <w:i/>
                <w:iCs/>
              </w:rPr>
            </m:ctrlPr>
          </m:sSup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t</m:t>
                </m:r>
              </m:sub>
            </m:sSub>
            <m:r>
              <w:rPr>
                <w:rFonts w:ascii="Cambria Math" w:hAnsi="Cambria Math"/>
              </w:rPr>
              <m:t>)</m:t>
            </m:r>
          </m:e>
          <m:sup>
            <m:r>
              <w:rPr>
                <w:rFonts w:ascii="Cambria Math" w:hAnsi="Cambria Math"/>
              </w:rPr>
              <m:t>T</m:t>
            </m:r>
          </m:sup>
        </m:s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i,j,k,t</m:t>
            </m:r>
          </m:sub>
        </m:sSub>
        <m:r>
          <w:rPr>
            <w:rFonts w:ascii="Cambria Math" w:hAnsi="Cambria Math"/>
          </w:rPr>
          <m:t>}</m:t>
        </m:r>
      </m:oMath>
      <w:r w:rsidR="008B2D15" w:rsidRPr="003B6C5B">
        <w:t>,</w:t>
      </w:r>
      <w:r w:rsidR="008B2D15" w:rsidRPr="003B6C5B">
        <w:rPr>
          <w:i/>
          <w:iCs/>
        </w:rPr>
        <w:tab/>
      </w:r>
      <w:r w:rsidR="008B2D15" w:rsidRPr="003B6C5B">
        <w:rPr>
          <w:iCs/>
        </w:rPr>
        <w:t>(</w:t>
      </w:r>
      <w:r w:rsidR="000F66D0" w:rsidRPr="003B6C5B">
        <w:rPr>
          <w:iCs/>
        </w:rPr>
        <w:t>2</w:t>
      </w:r>
      <w:r w:rsidR="008B2D15" w:rsidRPr="003B6C5B">
        <w:rPr>
          <w:iCs/>
        </w:rPr>
        <w:t>)</w:t>
      </w:r>
    </w:p>
    <w:p w14:paraId="0B0AE44C" w14:textId="6802D6C9" w:rsidR="008B2D15" w:rsidRPr="003B6C5B" w:rsidRDefault="008B2D15" w:rsidP="006724D6">
      <w:pPr>
        <w:tabs>
          <w:tab w:val="left" w:pos="7655"/>
          <w:tab w:val="left" w:pos="7845"/>
        </w:tabs>
        <w:spacing w:line="480" w:lineRule="auto"/>
        <w:jc w:val="both"/>
        <w:rPr>
          <w:iCs/>
        </w:rPr>
      </w:pPr>
      <w:r w:rsidRPr="003B6C5B">
        <w:rPr>
          <w:iCs/>
        </w:rPr>
        <w:t xml:space="preserve">where </w:t>
      </w:r>
      <m:oMath>
        <m:sSub>
          <m:sSubPr>
            <m:ctrlPr>
              <w:rPr>
                <w:rFonts w:ascii="Cambria Math" w:hAnsi="Cambria Math"/>
                <w:i/>
                <w:iCs/>
              </w:rPr>
            </m:ctrlPr>
          </m:sSubPr>
          <m:e>
            <m:r>
              <w:rPr>
                <w:rFonts w:ascii="Cambria Math" w:hAnsi="Cambria Math"/>
              </w:rPr>
              <m:t>S</m:t>
            </m:r>
          </m:e>
          <m:sub>
            <m:r>
              <w:rPr>
                <w:rFonts w:ascii="Cambria Math" w:hAnsi="Cambria Math"/>
              </w:rPr>
              <m:t>i,j,k,t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99</m:t>
            </m:r>
          </m:den>
        </m:f>
        <m:nary>
          <m:naryPr>
            <m:chr m:val="∑"/>
            <m:limLoc m:val="undOvr"/>
            <m:ctrlPr>
              <w:rPr>
                <w:rFonts w:ascii="Cambria Math" w:hAnsi="Cambria Math"/>
                <w:i/>
                <w:iCs/>
              </w:rPr>
            </m:ctrlPr>
          </m:naryPr>
          <m:sub>
            <m:r>
              <w:rPr>
                <w:rFonts w:ascii="Cambria Math" w:hAnsi="Cambria Math"/>
              </w:rPr>
              <m:t>i,j,k=1</m:t>
            </m:r>
          </m:sub>
          <m:sup>
            <m:r>
              <w:rPr>
                <w:rFonts w:ascii="Cambria Math" w:hAnsi="Cambria Math"/>
              </w:rPr>
              <m:t>4</m:t>
            </m:r>
          </m:sup>
          <m:e>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i,t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99</m:t>
                    </m:r>
                  </m:den>
                </m:f>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sSub>
                      <m:sSubPr>
                        <m:ctrlPr>
                          <w:rPr>
                            <w:rFonts w:ascii="Cambria Math" w:hAnsi="Cambria Math"/>
                            <w:i/>
                            <w:iCs/>
                          </w:rPr>
                        </m:ctrlPr>
                      </m:sSubPr>
                      <m:e>
                        <m:r>
                          <w:rPr>
                            <w:rFonts w:ascii="Cambria Math" w:hAnsi="Cambria Math"/>
                          </w:rPr>
                          <m:t>r</m:t>
                        </m:r>
                      </m:e>
                      <m:sub>
                        <m:r>
                          <w:rPr>
                            <w:rFonts w:ascii="Cambria Math" w:hAnsi="Cambria Math"/>
                          </w:rPr>
                          <m:t>i, t</m:t>
                        </m:r>
                      </m:sub>
                    </m:sSub>
                  </m:e>
                </m:nary>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j,t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99</m:t>
                    </m:r>
                  </m:den>
                </m:f>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sSub>
                      <m:sSubPr>
                        <m:ctrlPr>
                          <w:rPr>
                            <w:rFonts w:ascii="Cambria Math" w:hAnsi="Cambria Math"/>
                            <w:i/>
                            <w:iCs/>
                          </w:rPr>
                        </m:ctrlPr>
                      </m:sSubPr>
                      <m:e>
                        <m:r>
                          <w:rPr>
                            <w:rFonts w:ascii="Cambria Math" w:hAnsi="Cambria Math"/>
                          </w:rPr>
                          <m:t>r</m:t>
                        </m:r>
                      </m:e>
                      <m:sub>
                        <m:r>
                          <w:rPr>
                            <w:rFonts w:ascii="Cambria Math" w:hAnsi="Cambria Math"/>
                          </w:rPr>
                          <m:t>j, t</m:t>
                        </m:r>
                      </m:sub>
                    </m:sSub>
                  </m:e>
                </m:nary>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k,t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99</m:t>
                    </m:r>
                  </m:den>
                </m:f>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sSub>
                      <m:sSubPr>
                        <m:ctrlPr>
                          <w:rPr>
                            <w:rFonts w:ascii="Cambria Math" w:hAnsi="Cambria Math"/>
                            <w:i/>
                            <w:iCs/>
                          </w:rPr>
                        </m:ctrlPr>
                      </m:sSubPr>
                      <m:e>
                        <m:r>
                          <w:rPr>
                            <w:rFonts w:ascii="Cambria Math" w:hAnsi="Cambria Math"/>
                          </w:rPr>
                          <m:t>r</m:t>
                        </m:r>
                      </m:e>
                      <m:sub>
                        <m:r>
                          <w:rPr>
                            <w:rFonts w:ascii="Cambria Math" w:hAnsi="Cambria Math"/>
                          </w:rPr>
                          <m:t>k, t</m:t>
                        </m:r>
                      </m:sub>
                    </m:sSub>
                  </m:e>
                </m:nary>
                <m:r>
                  <w:rPr>
                    <w:rFonts w:ascii="Cambria Math" w:hAnsi="Cambria Math"/>
                  </w:rPr>
                  <m:t>)</m:t>
                </m:r>
              </m:e>
            </m:nary>
          </m:e>
        </m:nary>
      </m:oMath>
      <w:r w:rsidR="00B95647" w:rsidRPr="003B6C5B">
        <w:rPr>
          <w:rFonts w:hint="eastAsia"/>
          <w:iCs/>
        </w:rPr>
        <w:t xml:space="preserve"> </w:t>
      </w:r>
      <w:r w:rsidR="00B95647" w:rsidRPr="003B6C5B">
        <w:rPr>
          <w:iCs/>
        </w:rPr>
        <w:t xml:space="preserve">is the sample co-skewness among </w:t>
      </w:r>
      <w:r w:rsidR="00A01FDA" w:rsidRPr="003B6C5B">
        <w:rPr>
          <w:iCs/>
        </w:rPr>
        <w:t xml:space="preserve">the </w:t>
      </w:r>
      <w:r w:rsidR="00B95647" w:rsidRPr="003B6C5B">
        <w:rPr>
          <w:iCs/>
        </w:rPr>
        <w:t>carbon and energy portfolios</w:t>
      </w:r>
      <w:r w:rsidRPr="003B6C5B">
        <w:rPr>
          <w:rFonts w:hint="eastAsia"/>
          <w:iCs/>
        </w:rPr>
        <w:t>,</w:t>
      </w:r>
      <w:r w:rsidRPr="003B6C5B">
        <w:rPr>
          <w:iCs/>
        </w:rPr>
        <w:t xml:space="preserve"> </w:t>
      </w:r>
      <m:oMath>
        <m:r>
          <w:rPr>
            <w:rFonts w:ascii="Cambria Math" w:hAnsi="Cambria Math"/>
          </w:rPr>
          <m:t>i,j,k,t={</m:t>
        </m:r>
        <m:r>
          <m:rPr>
            <m:sty m:val="p"/>
          </m:rPr>
          <w:rPr>
            <w:rFonts w:ascii="Cambria Math" w:hAnsi="Cambria Math" w:hint="eastAsia"/>
          </w:rPr>
          <m:t>c</m:t>
        </m:r>
        <m:r>
          <m:rPr>
            <m:sty m:val="p"/>
          </m:rPr>
          <w:rPr>
            <w:rFonts w:ascii="Cambria Math" w:hAnsi="Cambria Math"/>
          </w:rPr>
          <m:t xml:space="preserve">arbon, </m:t>
        </m:r>
        <m:r>
          <m:rPr>
            <m:sty m:val="p"/>
          </m:rPr>
          <w:rPr>
            <w:rFonts w:ascii="Cambria Math" w:hAnsi="Cambria Math" w:hint="eastAsia"/>
          </w:rPr>
          <m:t>c</m:t>
        </m:r>
        <m:r>
          <m:rPr>
            <m:sty m:val="p"/>
          </m:rPr>
          <w:rPr>
            <w:rFonts w:ascii="Cambria Math" w:hAnsi="Cambria Math"/>
          </w:rPr>
          <m:t>oal</m:t>
        </m:r>
        <m:r>
          <m:rPr>
            <m:sty m:val="p"/>
          </m:rPr>
          <w:rPr>
            <w:rFonts w:ascii="Cambria Math"/>
          </w:rPr>
          <m:t>, gas, oil</m:t>
        </m:r>
        <m:r>
          <w:rPr>
            <w:rFonts w:ascii="Cambria Math" w:hAnsi="Cambria Math"/>
          </w:rPr>
          <m:t>}</m:t>
        </m:r>
      </m:oMath>
      <w:r w:rsidR="00B95647" w:rsidRPr="003B6C5B">
        <w:rPr>
          <w:rFonts w:hint="eastAsia"/>
          <w:iCs/>
        </w:rPr>
        <w:t>.</w:t>
      </w:r>
      <w:r w:rsidR="00B95647" w:rsidRPr="003B6C5B">
        <w:rPr>
          <w:iCs/>
        </w:rPr>
        <w:t xml:space="preserve"> </w:t>
      </w:r>
      <w:r w:rsidR="00A01FDA" w:rsidRPr="003B6C5B">
        <w:rPr>
          <w:iCs/>
        </w:rPr>
        <w:t>Moreover</w:t>
      </w:r>
      <w:r w:rsidR="00B95647" w:rsidRPr="003B6C5B">
        <w:rPr>
          <w:iCs/>
        </w:rPr>
        <w:t>, the dynamic sample kurtosis-co</w:t>
      </w:r>
      <w:r w:rsidR="00A01FDA" w:rsidRPr="003B6C5B">
        <w:rPr>
          <w:iCs/>
        </w:rPr>
        <w:t>-</w:t>
      </w:r>
      <w:r w:rsidR="00B95647" w:rsidRPr="003B6C5B">
        <w:rPr>
          <w:iCs/>
        </w:rPr>
        <w:t xml:space="preserve">kurtosis matrix is a </w:t>
      </w:r>
      <m:oMath>
        <m:r>
          <w:rPr>
            <w:rFonts w:ascii="Cambria Math" w:hAnsi="Cambria Math"/>
          </w:rPr>
          <m:t>4*</m:t>
        </m:r>
        <m:sSup>
          <m:sSupPr>
            <m:ctrlPr>
              <w:rPr>
                <w:rFonts w:ascii="Cambria Math" w:hAnsi="Cambria Math"/>
                <w:i/>
                <w:iCs/>
              </w:rPr>
            </m:ctrlPr>
          </m:sSupPr>
          <m:e>
            <m:r>
              <w:rPr>
                <w:rFonts w:ascii="Cambria Math" w:hAnsi="Cambria Math"/>
              </w:rPr>
              <m:t>4</m:t>
            </m:r>
          </m:e>
          <m:sup>
            <m:r>
              <w:rPr>
                <w:rFonts w:ascii="Cambria Math" w:hAnsi="Cambria Math"/>
              </w:rPr>
              <m:t>3</m:t>
            </m:r>
          </m:sup>
        </m:sSup>
      </m:oMath>
      <w:r w:rsidR="00B95647" w:rsidRPr="003B6C5B">
        <w:rPr>
          <w:iCs/>
        </w:rPr>
        <w:t xml:space="preserve"> form computed as</w:t>
      </w:r>
    </w:p>
    <w:p w14:paraId="48042137" w14:textId="4BC8AF18" w:rsidR="00B95647" w:rsidRPr="003B6C5B" w:rsidRDefault="0029500C" w:rsidP="006724D6">
      <w:pPr>
        <w:tabs>
          <w:tab w:val="left" w:pos="7655"/>
          <w:tab w:val="left" w:pos="7845"/>
        </w:tabs>
        <w:spacing w:line="480" w:lineRule="auto"/>
        <w:jc w:val="both"/>
        <w:rPr>
          <w:iCs/>
        </w:rPr>
      </w:pPr>
      <m:oMath>
        <m:sSub>
          <m:sSubPr>
            <m:ctrlPr>
              <w:rPr>
                <w:rFonts w:ascii="Cambria Math" w:hAnsi="Cambria Math"/>
                <w:i/>
                <w:iCs/>
              </w:rPr>
            </m:ctrlPr>
          </m:sSubPr>
          <m:e>
            <m:r>
              <w:rPr>
                <w:rFonts w:ascii="Cambria Math" w:hAnsi="Cambria Math"/>
              </w:rPr>
              <m:t>M</m:t>
            </m:r>
          </m:e>
          <m:sub>
            <m:r>
              <w:rPr>
                <w:rFonts w:ascii="Cambria Math" w:hAnsi="Cambria Math"/>
              </w:rPr>
              <m:t>4,t</m:t>
            </m:r>
          </m:sub>
        </m:sSub>
        <m:r>
          <w:rPr>
            <w:rFonts w:ascii="Cambria Math" w:hAnsi="Cambria Math"/>
          </w:rPr>
          <m:t>=E[(</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t</m:t>
            </m:r>
          </m:sub>
        </m:sSub>
        <m:r>
          <w:rPr>
            <w:rFonts w:ascii="Cambria Math" w:hAnsi="Cambria Math"/>
          </w:rPr>
          <m:t>)</m:t>
        </m:r>
        <m:sSup>
          <m:sSupPr>
            <m:ctrlPr>
              <w:rPr>
                <w:rFonts w:ascii="Cambria Math" w:hAnsi="Cambria Math"/>
                <w:i/>
                <w:iCs/>
              </w:rPr>
            </m:ctrlPr>
          </m:sSup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t</m:t>
                </m:r>
              </m:sub>
            </m:sSub>
            <m:r>
              <w:rPr>
                <w:rFonts w:ascii="Cambria Math" w:hAnsi="Cambria Math"/>
              </w:rPr>
              <m:t>)</m:t>
            </m:r>
          </m:e>
          <m:sup>
            <m:r>
              <w:rPr>
                <w:rFonts w:ascii="Cambria Math" w:hAnsi="Cambria Math"/>
              </w:rPr>
              <m:t>T</m:t>
            </m:r>
          </m:sup>
        </m:sSup>
        <m:r>
          <w:rPr>
            <w:rFonts w:ascii="Cambria Math" w:hAnsi="Cambria Math"/>
          </w:rPr>
          <m:t>⨂</m:t>
        </m:r>
        <m:sSup>
          <m:sSupPr>
            <m:ctrlPr>
              <w:rPr>
                <w:rFonts w:ascii="Cambria Math" w:hAnsi="Cambria Math"/>
                <w:i/>
                <w:iCs/>
              </w:rPr>
            </m:ctrlPr>
          </m:sSup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t</m:t>
                </m:r>
              </m:sub>
            </m:sSub>
            <m:r>
              <w:rPr>
                <w:rFonts w:ascii="Cambria Math" w:hAnsi="Cambria Math"/>
              </w:rPr>
              <m:t>)</m:t>
            </m:r>
          </m:e>
          <m:sup>
            <m:r>
              <w:rPr>
                <w:rFonts w:ascii="Cambria Math" w:hAnsi="Cambria Math"/>
              </w:rPr>
              <m:t>T</m:t>
            </m:r>
          </m:sup>
        </m:sSup>
        <m:r>
          <w:rPr>
            <w:rFonts w:ascii="Cambria Math" w:hAnsi="Cambria Math"/>
          </w:rPr>
          <m:t>⨂</m:t>
        </m:r>
        <m:sSup>
          <m:sSupPr>
            <m:ctrlPr>
              <w:rPr>
                <w:rFonts w:ascii="Cambria Math" w:hAnsi="Cambria Math"/>
                <w:i/>
                <w:iCs/>
              </w:rPr>
            </m:ctrlPr>
          </m:sSupPr>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t</m:t>
                </m:r>
              </m:sub>
            </m:sSub>
            <m:r>
              <w:rPr>
                <w:rFonts w:ascii="Cambria Math" w:hAnsi="Cambria Math"/>
              </w:rPr>
              <m:t>)</m:t>
            </m:r>
          </m:e>
          <m:sup>
            <m:r>
              <w:rPr>
                <w:rFonts w:ascii="Cambria Math" w:hAnsi="Cambria Math"/>
              </w:rPr>
              <m:t>T</m:t>
            </m:r>
          </m:sup>
        </m:sSup>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i,j,k,l,t</m:t>
            </m:r>
          </m:sub>
        </m:sSub>
        <m:r>
          <w:rPr>
            <w:rFonts w:ascii="Cambria Math" w:hAnsi="Cambria Math"/>
          </w:rPr>
          <m:t>}</m:t>
        </m:r>
      </m:oMath>
      <w:r w:rsidR="00B95647" w:rsidRPr="003B6C5B">
        <w:t>,</w:t>
      </w:r>
      <w:r w:rsidR="00B95647" w:rsidRPr="003B6C5B">
        <w:rPr>
          <w:i/>
          <w:iCs/>
        </w:rPr>
        <w:tab/>
      </w:r>
      <w:r w:rsidR="00B95647" w:rsidRPr="003B6C5B">
        <w:rPr>
          <w:iCs/>
        </w:rPr>
        <w:t>(</w:t>
      </w:r>
      <w:r w:rsidR="000F66D0" w:rsidRPr="003B6C5B">
        <w:rPr>
          <w:iCs/>
        </w:rPr>
        <w:t>3</w:t>
      </w:r>
      <w:r w:rsidR="00B95647" w:rsidRPr="003B6C5B">
        <w:rPr>
          <w:iCs/>
        </w:rPr>
        <w:t>)</w:t>
      </w:r>
    </w:p>
    <w:p w14:paraId="765040C4" w14:textId="66AC5ADD" w:rsidR="00B95647" w:rsidRPr="003B6C5B" w:rsidRDefault="00FF21DF" w:rsidP="006724D6">
      <w:pPr>
        <w:tabs>
          <w:tab w:val="left" w:pos="7655"/>
          <w:tab w:val="left" w:pos="7845"/>
        </w:tabs>
        <w:spacing w:line="480" w:lineRule="auto"/>
        <w:jc w:val="both"/>
        <w:rPr>
          <w:iCs/>
        </w:rPr>
      </w:pPr>
      <w:r w:rsidRPr="003B6C5B">
        <w:rPr>
          <w:iCs/>
        </w:rPr>
        <w:t>W</w:t>
      </w:r>
      <w:r w:rsidR="00B95647" w:rsidRPr="003B6C5B">
        <w:rPr>
          <w:iCs/>
        </w:rPr>
        <w:t>here</w:t>
      </w:r>
      <m:oMath>
        <m:sSub>
          <m:sSubPr>
            <m:ctrlPr>
              <w:rPr>
                <w:rFonts w:ascii="Cambria Math" w:hAnsi="Cambria Math"/>
                <w:i/>
                <w:iCs/>
              </w:rPr>
            </m:ctrlPr>
          </m:sSubPr>
          <m:e>
            <m:r>
              <w:rPr>
                <w:rFonts w:ascii="Cambria Math" w:hAnsi="Cambria Math"/>
              </w:rPr>
              <m:t>K</m:t>
            </m:r>
          </m:e>
          <m:sub>
            <m:r>
              <w:rPr>
                <w:rFonts w:ascii="Cambria Math" w:hAnsi="Cambria Math"/>
              </w:rPr>
              <m:t>i,j,k,t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99</m:t>
            </m:r>
          </m:den>
        </m:f>
        <m:nary>
          <m:naryPr>
            <m:chr m:val="∑"/>
            <m:limLoc m:val="undOvr"/>
            <m:ctrlPr>
              <w:rPr>
                <w:rFonts w:ascii="Cambria Math" w:hAnsi="Cambria Math"/>
                <w:i/>
                <w:iCs/>
              </w:rPr>
            </m:ctrlPr>
          </m:naryPr>
          <m:sub>
            <m:r>
              <w:rPr>
                <w:rFonts w:ascii="Cambria Math" w:hAnsi="Cambria Math"/>
              </w:rPr>
              <m:t>i,j,k=1</m:t>
            </m:r>
          </m:sub>
          <m:sup>
            <m:r>
              <w:rPr>
                <w:rFonts w:ascii="Cambria Math" w:hAnsi="Cambria Math"/>
              </w:rPr>
              <m:t>4</m:t>
            </m:r>
          </m:sup>
          <m:e>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nary>
                  <m:naryPr>
                    <m:chr m:val="∑"/>
                    <m:limLoc m:val="undOvr"/>
                    <m:ctrlPr>
                      <w:rPr>
                        <w:rFonts w:ascii="Cambria Math" w:hAnsi="Cambria Math"/>
                        <w:i/>
                        <w:iCs/>
                      </w:rPr>
                    </m:ctrlPr>
                  </m:naryPr>
                  <m:sub>
                    <m:r>
                      <w:rPr>
                        <w:rFonts w:ascii="Cambria Math" w:hAnsi="Cambria Math"/>
                      </w:rPr>
                      <m:t>i,j,k=1</m:t>
                    </m:r>
                  </m:sub>
                  <m:sup>
                    <m:r>
                      <w:rPr>
                        <w:rFonts w:ascii="Cambria Math" w:hAnsi="Cambria Math"/>
                      </w:rPr>
                      <m:t>4</m:t>
                    </m:r>
                  </m:sup>
                  <m:e>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i,t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99</m:t>
                            </m:r>
                          </m:den>
                        </m:f>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sSub>
                              <m:sSubPr>
                                <m:ctrlPr>
                                  <w:rPr>
                                    <w:rFonts w:ascii="Cambria Math" w:hAnsi="Cambria Math"/>
                                    <w:i/>
                                    <w:iCs/>
                                  </w:rPr>
                                </m:ctrlPr>
                              </m:sSubPr>
                              <m:e>
                                <m:r>
                                  <w:rPr>
                                    <w:rFonts w:ascii="Cambria Math" w:hAnsi="Cambria Math"/>
                                  </w:rPr>
                                  <m:t>r</m:t>
                                </m:r>
                              </m:e>
                              <m:sub>
                                <m:r>
                                  <w:rPr>
                                    <w:rFonts w:ascii="Cambria Math" w:hAnsi="Cambria Math"/>
                                  </w:rPr>
                                  <m:t>i, t</m:t>
                                </m:r>
                              </m:sub>
                            </m:sSub>
                          </m:e>
                        </m:nary>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j,t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99</m:t>
                            </m:r>
                          </m:den>
                        </m:f>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sSub>
                              <m:sSubPr>
                                <m:ctrlPr>
                                  <w:rPr>
                                    <w:rFonts w:ascii="Cambria Math" w:hAnsi="Cambria Math"/>
                                    <w:i/>
                                    <w:iCs/>
                                  </w:rPr>
                                </m:ctrlPr>
                              </m:sSubPr>
                              <m:e>
                                <m:r>
                                  <w:rPr>
                                    <w:rFonts w:ascii="Cambria Math" w:hAnsi="Cambria Math"/>
                                  </w:rPr>
                                  <m:t>r</m:t>
                                </m:r>
                              </m:e>
                              <m:sub>
                                <m:r>
                                  <w:rPr>
                                    <w:rFonts w:ascii="Cambria Math" w:hAnsi="Cambria Math"/>
                                  </w:rPr>
                                  <m:t>j, t</m:t>
                                </m:r>
                              </m:sub>
                            </m:sSub>
                          </m:e>
                        </m:nary>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k,t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99</m:t>
                            </m:r>
                          </m:den>
                        </m:f>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sSub>
                              <m:sSubPr>
                                <m:ctrlPr>
                                  <w:rPr>
                                    <w:rFonts w:ascii="Cambria Math" w:hAnsi="Cambria Math"/>
                                    <w:i/>
                                    <w:iCs/>
                                  </w:rPr>
                                </m:ctrlPr>
                              </m:sSubPr>
                              <m:e>
                                <m:r>
                                  <w:rPr>
                                    <w:rFonts w:ascii="Cambria Math" w:hAnsi="Cambria Math"/>
                                  </w:rPr>
                                  <m:t>r</m:t>
                                </m:r>
                              </m:e>
                              <m:sub>
                                <m:r>
                                  <w:rPr>
                                    <w:rFonts w:ascii="Cambria Math" w:hAnsi="Cambria Math"/>
                                  </w:rPr>
                                  <m:t>k, t</m:t>
                                </m:r>
                              </m:sub>
                            </m:sSub>
                          </m:e>
                        </m:nary>
                        <m:r>
                          <w:rPr>
                            <w:rFonts w:ascii="Cambria Math" w:hAnsi="Cambria Math"/>
                          </w:rPr>
                          <m:t>)</m:t>
                        </m:r>
                      </m:e>
                    </m:nary>
                  </m:e>
                </m:nary>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l,t</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99</m:t>
                    </m:r>
                  </m:den>
                </m:f>
                <m:nary>
                  <m:naryPr>
                    <m:chr m:val="∑"/>
                    <m:limLoc m:val="undOvr"/>
                    <m:ctrlPr>
                      <w:rPr>
                        <w:rFonts w:ascii="Cambria Math" w:hAnsi="Cambria Math"/>
                        <w:i/>
                        <w:iCs/>
                      </w:rPr>
                    </m:ctrlPr>
                  </m:naryPr>
                  <m:sub>
                    <m:r>
                      <w:rPr>
                        <w:rFonts w:ascii="Cambria Math" w:hAnsi="Cambria Math"/>
                      </w:rPr>
                      <m:t>l=t-99</m:t>
                    </m:r>
                  </m:sub>
                  <m:sup>
                    <m:r>
                      <w:rPr>
                        <w:rFonts w:ascii="Cambria Math" w:hAnsi="Cambria Math"/>
                      </w:rPr>
                      <m:t>t-1</m:t>
                    </m:r>
                  </m:sup>
                  <m:e>
                    <m:sSub>
                      <m:sSubPr>
                        <m:ctrlPr>
                          <w:rPr>
                            <w:rFonts w:ascii="Cambria Math" w:hAnsi="Cambria Math"/>
                            <w:i/>
                            <w:iCs/>
                          </w:rPr>
                        </m:ctrlPr>
                      </m:sSubPr>
                      <m:e>
                        <m:r>
                          <w:rPr>
                            <w:rFonts w:ascii="Cambria Math" w:hAnsi="Cambria Math"/>
                          </w:rPr>
                          <m:t>r</m:t>
                        </m:r>
                      </m:e>
                      <m:sub>
                        <m:r>
                          <w:rPr>
                            <w:rFonts w:ascii="Cambria Math" w:hAnsi="Cambria Math"/>
                          </w:rPr>
                          <m:t>l,t</m:t>
                        </m:r>
                      </m:sub>
                    </m:sSub>
                  </m:e>
                </m:nary>
                <m:r>
                  <w:rPr>
                    <w:rFonts w:ascii="Cambria Math" w:hAnsi="Cambria Math"/>
                  </w:rPr>
                  <m:t>)</m:t>
                </m:r>
              </m:e>
            </m:nary>
          </m:e>
        </m:nary>
      </m:oMath>
      <w:r w:rsidR="00B95647" w:rsidRPr="003B6C5B">
        <w:rPr>
          <w:rFonts w:hint="eastAsia"/>
          <w:iCs/>
        </w:rPr>
        <w:t xml:space="preserve"> </w:t>
      </w:r>
      <w:r w:rsidR="00B95647" w:rsidRPr="003B6C5B">
        <w:rPr>
          <w:iCs/>
        </w:rPr>
        <w:t>is the sample co-skewness among carbon and energy portfolios</w:t>
      </w:r>
      <w:r w:rsidR="00B95647" w:rsidRPr="003B6C5B">
        <w:rPr>
          <w:rFonts w:hint="eastAsia"/>
          <w:iCs/>
        </w:rPr>
        <w:t>,</w:t>
      </w:r>
      <w:r w:rsidR="00B95647" w:rsidRPr="003B6C5B">
        <w:rPr>
          <w:iCs/>
        </w:rPr>
        <w:t xml:space="preserve"> </w:t>
      </w:r>
      <m:oMath>
        <m:r>
          <w:rPr>
            <w:rFonts w:ascii="Cambria Math" w:hAnsi="Cambria Math"/>
          </w:rPr>
          <m:t>i,j,k,t={</m:t>
        </m:r>
        <m:r>
          <m:rPr>
            <m:sty m:val="p"/>
          </m:rPr>
          <w:rPr>
            <w:rFonts w:ascii="Cambria Math" w:hAnsi="Cambria Math" w:hint="eastAsia"/>
          </w:rPr>
          <m:t>c</m:t>
        </m:r>
        <m:r>
          <m:rPr>
            <m:sty m:val="p"/>
          </m:rPr>
          <w:rPr>
            <w:rFonts w:ascii="Cambria Math" w:hAnsi="Cambria Math"/>
          </w:rPr>
          <m:t xml:space="preserve">arbon, </m:t>
        </m:r>
        <m:r>
          <m:rPr>
            <m:sty m:val="p"/>
          </m:rPr>
          <w:rPr>
            <w:rFonts w:ascii="Cambria Math" w:hAnsi="Cambria Math" w:hint="eastAsia"/>
          </w:rPr>
          <m:t>c</m:t>
        </m:r>
        <m:r>
          <m:rPr>
            <m:sty m:val="p"/>
          </m:rPr>
          <w:rPr>
            <w:rFonts w:ascii="Cambria Math" w:hAnsi="Cambria Math"/>
          </w:rPr>
          <m:t>oal</m:t>
        </m:r>
        <m:r>
          <m:rPr>
            <m:sty m:val="p"/>
          </m:rPr>
          <w:rPr>
            <w:rFonts w:ascii="Cambria Math"/>
          </w:rPr>
          <m:t>, gas, oil</m:t>
        </m:r>
        <m:r>
          <w:rPr>
            <w:rFonts w:ascii="Cambria Math" w:hAnsi="Cambria Math"/>
          </w:rPr>
          <m:t>}</m:t>
        </m:r>
      </m:oMath>
      <w:r w:rsidR="00B95647" w:rsidRPr="003B6C5B">
        <w:rPr>
          <w:rFonts w:hint="eastAsia"/>
          <w:iCs/>
        </w:rPr>
        <w:t>.</w:t>
      </w:r>
    </w:p>
    <w:p w14:paraId="4650F9D6" w14:textId="175B3B60" w:rsidR="00AC454A" w:rsidRDefault="00027898" w:rsidP="00613002">
      <w:pPr>
        <w:pStyle w:val="Heading2"/>
        <w:spacing w:line="480" w:lineRule="auto"/>
        <w:jc w:val="both"/>
      </w:pPr>
      <w:r w:rsidRPr="003B6C5B">
        <w:t>3</w:t>
      </w:r>
      <w:r w:rsidR="00A2313E" w:rsidRPr="003B6C5B">
        <w:t>.3.</w:t>
      </w:r>
      <w:r w:rsidR="0072292A">
        <w:t xml:space="preserve"> Computing m</w:t>
      </w:r>
      <w:r w:rsidR="00A2313E" w:rsidRPr="003B6C5B">
        <w:t>ulti</w:t>
      </w:r>
      <w:r w:rsidR="00AC0222" w:rsidRPr="003B6C5B">
        <w:t>-</w:t>
      </w:r>
      <w:r w:rsidR="00A2313E" w:rsidRPr="003B6C5B">
        <w:t xml:space="preserve">scale </w:t>
      </w:r>
      <w:r w:rsidR="0072292A">
        <w:t>higher-order moments</w:t>
      </w:r>
      <w:r w:rsidR="00A2313E" w:rsidRPr="003B6C5B">
        <w:t xml:space="preserve"> spillover</w:t>
      </w:r>
    </w:p>
    <w:p w14:paraId="3C070557" w14:textId="2D173417" w:rsidR="00A2313E" w:rsidRPr="003B6C5B" w:rsidRDefault="00717CD6" w:rsidP="00613002">
      <w:pPr>
        <w:tabs>
          <w:tab w:val="left" w:pos="7655"/>
          <w:tab w:val="left" w:pos="7845"/>
        </w:tabs>
        <w:spacing w:line="480" w:lineRule="auto"/>
        <w:jc w:val="both"/>
      </w:pPr>
      <w:r>
        <w:t xml:space="preserve">    </w:t>
      </w:r>
      <w:r w:rsidR="00A2313E" w:rsidRPr="003B6C5B">
        <w:t xml:space="preserve">This study adopts the connectedness methodology introduced by </w:t>
      </w:r>
      <w:r w:rsidR="00A2313E" w:rsidRPr="003B6C5B">
        <w:rPr>
          <w:noProof/>
        </w:rPr>
        <w:t>Baruník and Křehlík (2018)</w:t>
      </w:r>
      <w:r w:rsidR="00A2313E" w:rsidRPr="003B6C5B">
        <w:t xml:space="preserve"> to assess the skewness and kurtosis spillover </w:t>
      </w:r>
      <w:r w:rsidR="00272FD9" w:rsidRPr="003B6C5B">
        <w:t>at different timescales</w:t>
      </w:r>
      <w:r w:rsidR="00A2313E" w:rsidRPr="003B6C5B">
        <w:t xml:space="preserve"> among assets. This technique can be </w:t>
      </w:r>
      <w:r w:rsidR="00A97618" w:rsidRPr="003B6C5B">
        <w:t xml:space="preserve">regarded </w:t>
      </w:r>
      <w:r w:rsidR="00A2313E" w:rsidRPr="003B6C5B">
        <w:t xml:space="preserve">as an extension to the time-frequency </w:t>
      </w:r>
      <w:r w:rsidR="008E50BA" w:rsidRPr="003B6C5B">
        <w:t xml:space="preserve">domain </w:t>
      </w:r>
      <w:r w:rsidR="00A2313E" w:rsidRPr="003B6C5B">
        <w:t xml:space="preserve">of the better-known spillover index measuring approach proposed by </w:t>
      </w:r>
      <w:r w:rsidR="00A2313E" w:rsidRPr="003B6C5B">
        <w:rPr>
          <w:noProof/>
        </w:rPr>
        <w:t>Diebold and Yilmaz (2012)</w:t>
      </w:r>
      <w:r w:rsidR="00A2313E" w:rsidRPr="003B6C5B">
        <w:t xml:space="preserve"> which has been widely applied in energy markets spillover network analysis </w:t>
      </w:r>
      <w:r w:rsidR="00A2313E" w:rsidRPr="003B6C5B">
        <w:rPr>
          <w:noProof/>
        </w:rPr>
        <w:t>(</w:t>
      </w:r>
      <w:r w:rsidR="00E317A6" w:rsidRPr="003B6C5B">
        <w:t>Lau et al., 2017</w:t>
      </w:r>
      <w:r w:rsidR="00CD08D7" w:rsidRPr="003B6C5B">
        <w:t xml:space="preserve">; </w:t>
      </w:r>
      <w:r w:rsidR="00A80831" w:rsidRPr="003B6C5B">
        <w:rPr>
          <w:shd w:val="clear" w:color="auto" w:fill="FFFFFF"/>
        </w:rPr>
        <w:t xml:space="preserve">Geng et al., 2020; Hu et al., 2020; </w:t>
      </w:r>
      <w:r w:rsidR="00CD08D7" w:rsidRPr="003B6C5B">
        <w:t>Ma et al., 2021</w:t>
      </w:r>
      <w:r w:rsidR="00E317A6" w:rsidRPr="003B6C5B">
        <w:t>)</w:t>
      </w:r>
      <w:r w:rsidR="00A2313E" w:rsidRPr="003B6C5B">
        <w:t xml:space="preserve">. </w:t>
      </w:r>
      <w:r w:rsidR="007959A3" w:rsidRPr="003B6C5B">
        <w:t>Suppo</w:t>
      </w:r>
      <w:r w:rsidR="0053474D" w:rsidRPr="003B6C5B">
        <w:t>se</w:t>
      </w:r>
      <w:r w:rsidR="0072292A">
        <w:t xml:space="preserve"> </w:t>
      </w:r>
      <m:oMath>
        <m:sSub>
          <m:sSubPr>
            <m:ctrlPr>
              <w:rPr>
                <w:rFonts w:ascii="Cambria Math" w:hAnsi="Cambria Math"/>
              </w:rPr>
            </m:ctrlPr>
          </m:sSubPr>
          <m:e>
            <m:r>
              <m:rPr>
                <m:sty m:val="b"/>
              </m:rP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m:t>
            </m:r>
            <m:r>
              <w:rPr>
                <w:rFonts w:ascii="Cambria Math" w:hAnsi="Cambria Math"/>
              </w:rPr>
              <m:t>t</m:t>
            </m:r>
          </m:sub>
        </m:sSub>
        <m:r>
          <m:rPr>
            <m:sty m:val="p"/>
          </m:rPr>
          <w:rPr>
            <w:rFonts w:ascii="Cambria Math" w:hAnsi="Cambria Math"/>
          </w:rPr>
          <m:t>)'</m:t>
        </m:r>
      </m:oMath>
      <w:r w:rsidR="007959A3" w:rsidRPr="003B6C5B">
        <w:t xml:space="preserve"> i</w:t>
      </w:r>
      <w:r w:rsidR="007959A3" w:rsidRPr="0072292A">
        <w:rPr>
          <w:shd w:val="clear" w:color="auto" w:fill="FFFFFF"/>
        </w:rPr>
        <w:t xml:space="preserve">s </w:t>
      </w:r>
      <w:r w:rsidR="00BC6B49" w:rsidRPr="00BC6B49">
        <w:rPr>
          <w:shd w:val="clear" w:color="auto" w:fill="FFFFFF"/>
        </w:rPr>
        <w:t>non-overlapping</w:t>
      </w:r>
      <w:r w:rsidR="00BC6B49">
        <w:rPr>
          <w:shd w:val="clear" w:color="auto" w:fill="FFFFFF"/>
        </w:rPr>
        <w:t xml:space="preserve"> elements series of </w:t>
      </w:r>
      <w:r w:rsidR="0072292A" w:rsidRPr="0072292A">
        <w:rPr>
          <w:rFonts w:hint="eastAsia"/>
          <w:shd w:val="clear" w:color="auto" w:fill="FFFFFF"/>
        </w:rPr>
        <w:t>(</w:t>
      </w:r>
      <w:r w:rsidR="0072292A" w:rsidRPr="0072292A">
        <w:rPr>
          <w:shd w:val="clear" w:color="auto" w:fill="FFFFFF"/>
        </w:rPr>
        <w:t>co-)</w:t>
      </w:r>
      <w:r w:rsidR="00D04956" w:rsidRPr="0072292A">
        <w:rPr>
          <w:shd w:val="clear" w:color="auto" w:fill="FFFFFF"/>
        </w:rPr>
        <w:t>skewness</w:t>
      </w:r>
      <w:r w:rsidR="0072292A" w:rsidRPr="0072292A">
        <w:rPr>
          <w:shd w:val="clear" w:color="auto" w:fill="FFFFFF"/>
        </w:rPr>
        <w:t xml:space="preserve"> or (co-)kurtosis </w:t>
      </w:r>
      <w:r w:rsidR="00BC6B49">
        <w:rPr>
          <w:shd w:val="clear" w:color="auto" w:fill="FFFFFF"/>
        </w:rPr>
        <w:t>matrix</w:t>
      </w:r>
      <w:r w:rsidR="007959A3" w:rsidRPr="0072292A">
        <w:rPr>
          <w:shd w:val="clear" w:color="auto" w:fill="FFFFFF"/>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3,t</m:t>
            </m:r>
          </m:sub>
        </m:sSub>
      </m:oMath>
      <w:r w:rsidR="00BC6B49">
        <w:rPr>
          <w:rFonts w:eastAsiaTheme="minorEastAsia" w:hint="eastAsia"/>
          <w:iCs/>
        </w:rPr>
        <w:t xml:space="preserve"> </w:t>
      </w:r>
      <w:r w:rsidR="00BC6B49">
        <w:rPr>
          <w:rFonts w:eastAsiaTheme="minorEastAsia"/>
          <w:iCs/>
        </w:rPr>
        <w:t xml:space="preserve">or </w:t>
      </w:r>
      <m:oMath>
        <m:sSub>
          <m:sSubPr>
            <m:ctrlPr>
              <w:rPr>
                <w:rFonts w:ascii="Cambria Math" w:hAnsi="Cambria Math"/>
                <w:i/>
                <w:iCs/>
              </w:rPr>
            </m:ctrlPr>
          </m:sSubPr>
          <m:e>
            <m:r>
              <w:rPr>
                <w:rFonts w:ascii="Cambria Math" w:hAnsi="Cambria Math"/>
              </w:rPr>
              <m:t>M</m:t>
            </m:r>
          </m:e>
          <m:sub>
            <m:r>
              <w:rPr>
                <w:rFonts w:ascii="Cambria Math" w:hAnsi="Cambria Math"/>
              </w:rPr>
              <m:t>4,t</m:t>
            </m:r>
          </m:sub>
        </m:sSub>
      </m:oMath>
      <w:r w:rsidR="00BC6B49">
        <w:rPr>
          <w:rFonts w:eastAsiaTheme="minorEastAsia" w:hint="eastAsia"/>
          <w:iCs/>
        </w:rPr>
        <w:t xml:space="preserve"> </w:t>
      </w:r>
      <w:r w:rsidR="00BC6B49">
        <w:rPr>
          <w:rFonts w:eastAsiaTheme="minorEastAsia"/>
          <w:iCs/>
        </w:rPr>
        <w:t xml:space="preserve">in Eq. (2) or Eq. (3) </w:t>
      </w:r>
      <w:r w:rsidR="007959A3" w:rsidRPr="0072292A">
        <w:rPr>
          <w:shd w:val="clear" w:color="auto" w:fill="FFFFFF"/>
        </w:rPr>
        <w:t>of car</w:t>
      </w:r>
      <w:r w:rsidR="007959A3" w:rsidRPr="003B6C5B">
        <w:t xml:space="preserve">bon, coal, natural gas and </w:t>
      </w:r>
      <w:r w:rsidR="007959A3" w:rsidRPr="003B6C5B">
        <w:lastRenderedPageBreak/>
        <w:t>oil</w:t>
      </w:r>
      <w:r w:rsidR="00A2313E" w:rsidRPr="003B6C5B">
        <w:t xml:space="preserve">. First, a stationary </w:t>
      </w:r>
      <m:oMath>
        <m:r>
          <w:rPr>
            <w:rFonts w:ascii="Cambria Math" w:hAnsi="Cambria Math"/>
          </w:rPr>
          <m:t>n</m:t>
        </m:r>
      </m:oMath>
      <w:r w:rsidR="00A2313E" w:rsidRPr="003B6C5B">
        <w:t>-variate VAR (</w:t>
      </w:r>
      <m:oMath>
        <m:r>
          <w:rPr>
            <w:rFonts w:ascii="Cambria Math" w:hAnsi="Cambria Math"/>
          </w:rPr>
          <m:t>p</m:t>
        </m:r>
      </m:oMath>
      <w:r w:rsidR="00A2313E" w:rsidRPr="003B6C5B">
        <w:t xml:space="preserve">) </w:t>
      </w:r>
      <w:r w:rsidR="007959A3" w:rsidRPr="003B6C5B">
        <w:t xml:space="preserve">is </w:t>
      </w:r>
      <w:r w:rsidR="00A2313E" w:rsidRPr="003B6C5B">
        <w:t>rewritten as a VMA (</w:t>
      </w:r>
      <m:oMath>
        <m:r>
          <m:rPr>
            <m:sty m:val="p"/>
          </m:rPr>
          <w:rPr>
            <w:rFonts w:ascii="Cambria Math" w:hAnsi="Cambria Math"/>
          </w:rPr>
          <m:t>∞</m:t>
        </m:r>
      </m:oMath>
      <w:r w:rsidR="00A2313E" w:rsidRPr="003B6C5B">
        <w:t>) process, that is,</w:t>
      </w:r>
      <w:r w:rsidR="00F65BA3" w:rsidRPr="003B6C5B">
        <w:rPr>
          <w:rFonts w:hint="eastAsia"/>
        </w:rPr>
        <w:t xml:space="preserve"> </w:t>
      </w:r>
      <m:oMath>
        <m:m>
          <m:mPr>
            <m:plcHide m:val="1"/>
            <m:mcs>
              <m:mc>
                <m:mcPr>
                  <m:count m:val="1"/>
                  <m:mcJc m:val="right"/>
                </m:mcPr>
              </m:mc>
            </m:mcs>
            <m:ctrlPr>
              <w:rPr>
                <w:rFonts w:ascii="Cambria Math" w:hAnsi="Cambria Math"/>
              </w:rPr>
            </m:ctrlPr>
          </m:mPr>
          <m:mr>
            <m:e>
              <m:sSub>
                <m:sSubPr>
                  <m:ctrlPr>
                    <w:rPr>
                      <w:rFonts w:ascii="Cambria Math" w:hAnsi="Cambria Math"/>
                    </w:rPr>
                  </m:ctrlPr>
                </m:sSubPr>
                <m:e>
                  <m:r>
                    <m:rPr>
                      <m:sty m:val="b"/>
                    </m:rPr>
                    <w:rPr>
                      <w:rFonts w:ascii="Cambria Math" w:hAnsi="Cambria Math"/>
                    </w:rPr>
                    <m:t>x</m:t>
                  </m:r>
                </m:e>
                <m:sub>
                  <m:r>
                    <w:rPr>
                      <w:rFonts w:ascii="Cambria Math" w:hAnsi="Cambria Math"/>
                    </w:rPr>
                    <m:t>t</m:t>
                  </m:r>
                </m:sub>
              </m:sSub>
              <m:r>
                <m:rPr>
                  <m:sty m:val="p"/>
                </m:rPr>
                <w:rPr>
                  <w:rFonts w:ascii="Cambria Math" w:hAnsi="Cambria Math"/>
                </w:rPr>
                <m:t>=</m:t>
              </m:r>
              <m:r>
                <m:rPr>
                  <m:sty m:val="b"/>
                </m:rPr>
                <w:rPr>
                  <w:rFonts w:ascii="Cambria Math" w:hAnsi="Cambria Math"/>
                </w:rPr>
                <m:t>C</m:t>
              </m:r>
              <m:r>
                <m:rPr>
                  <m:sty m:val="p"/>
                </m:rPr>
                <w:rPr>
                  <w:rFonts w:ascii="Cambria Math" w:hAnsi="Cambria Math"/>
                </w:rPr>
                <m:t>(</m:t>
              </m:r>
              <m:r>
                <w:rPr>
                  <w:rFonts w:ascii="Cambria Math" w:hAnsi="Cambria Math"/>
                </w:rPr>
                <m:t>L</m:t>
              </m:r>
              <m:r>
                <m:rPr>
                  <m:sty m:val="p"/>
                </m:rPr>
                <w:rPr>
                  <w:rFonts w:ascii="Cambria Math" w:hAnsi="Cambria Math"/>
                </w:rPr>
                <m:t>)</m:t>
              </m:r>
              <m:sSub>
                <m:sSubPr>
                  <m:ctrlPr>
                    <w:rPr>
                      <w:rFonts w:ascii="Cambria Math" w:hAnsi="Cambria Math"/>
                    </w:rPr>
                  </m:ctrlPr>
                </m:sSubPr>
                <m:e>
                  <m:r>
                    <m:rPr>
                      <m:sty m:val="b"/>
                    </m:rPr>
                    <w:rPr>
                      <w:rFonts w:ascii="Cambria Math" w:hAnsi="Cambria Math"/>
                    </w:rPr>
                    <m:t>ϵ</m:t>
                  </m:r>
                </m:e>
                <m:sub>
                  <m:r>
                    <w:rPr>
                      <w:rFonts w:ascii="Cambria Math" w:hAnsi="Cambria Math"/>
                    </w:rPr>
                    <m:t>t</m:t>
                  </m:r>
                </m:sub>
              </m:sSub>
            </m:e>
          </m:mr>
        </m:m>
        <m:r>
          <w:rPr>
            <w:rFonts w:ascii="Cambria Math" w:hAnsi="Cambria Math"/>
          </w:rPr>
          <m:t>.</m:t>
        </m:r>
      </m:oMath>
      <w:r w:rsidR="00F65BA3" w:rsidRPr="003B6C5B">
        <w:t xml:space="preserve"> </w:t>
      </w:r>
      <w:r w:rsidR="00A2313E" w:rsidRPr="003B6C5B">
        <w:t xml:space="preserve">Diebold and Yilmaz (2012) </w:t>
      </w:r>
      <w:r w:rsidR="00A2313E" w:rsidRPr="003B6C5B">
        <w:rPr>
          <w:color w:val="000000" w:themeColor="text1"/>
        </w:rPr>
        <w:t>defin</w:t>
      </w:r>
      <w:r w:rsidR="00A2313E" w:rsidRPr="003B6C5B">
        <w:t xml:space="preserve">e the spillover index from </w:t>
      </w:r>
      <m:oMath>
        <m:sSub>
          <m:sSubPr>
            <m:ctrlPr>
              <w:rPr>
                <w:rFonts w:ascii="Cambria Math" w:hAnsi="Cambria Math"/>
              </w:rPr>
            </m:ctrlPr>
          </m:sSubPr>
          <m:e>
            <m:r>
              <w:rPr>
                <w:rFonts w:ascii="Cambria Math" w:hAnsi="Cambria Math"/>
              </w:rPr>
              <m:t>x</m:t>
            </m:r>
          </m:e>
          <m:sub>
            <m:r>
              <w:rPr>
                <w:rFonts w:ascii="Cambria Math" w:hAnsi="Cambria Math"/>
              </w:rPr>
              <m:t>j</m:t>
            </m:r>
          </m:sub>
        </m:sSub>
      </m:oMath>
      <w:r w:rsidR="00A2313E" w:rsidRPr="003B6C5B">
        <w:t xml:space="preserve"> to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00A2313E" w:rsidRPr="003B6C5B">
        <w:t xml:space="preserve"> as</w:t>
      </w:r>
      <w:r w:rsidR="00BC6B49">
        <w:rPr>
          <w:rStyle w:val="FootnoteReference"/>
        </w:rPr>
        <w:footnoteReference w:id="13"/>
      </w:r>
    </w:p>
    <w:p w14:paraId="74649BA4" w14:textId="11AB49AA" w:rsidR="00A2313E" w:rsidRPr="003B6C5B" w:rsidRDefault="0029500C" w:rsidP="006724D6">
      <w:pPr>
        <w:tabs>
          <w:tab w:val="left" w:pos="7655"/>
          <w:tab w:val="left" w:pos="7845"/>
        </w:tabs>
        <w:spacing w:line="480" w:lineRule="auto"/>
        <w:jc w:val="both"/>
      </w:pPr>
      <m:oMath>
        <m:m>
          <m:mPr>
            <m:plcHide m:val="1"/>
            <m:mcs>
              <m:mc>
                <m:mcPr>
                  <m:count m:val="1"/>
                  <m:mcJc m:val="right"/>
                </m:mcPr>
              </m:mc>
            </m:mcs>
            <m:ctrlPr>
              <w:rPr>
                <w:rFonts w:ascii="Cambria Math" w:hAnsi="Cambria Math"/>
              </w:rPr>
            </m:ctrlPr>
          </m:mPr>
          <m:mr>
            <m:e>
              <m:sSubSup>
                <m:sSubSupPr>
                  <m:ctrlPr>
                    <w:rPr>
                      <w:rFonts w:ascii="Cambria Math" w:hAnsi="Cambria Math"/>
                    </w:rPr>
                  </m:ctrlPr>
                </m:sSubSupPr>
                <m:e>
                  <m:acc>
                    <m:accPr>
                      <m:chr m:val="̃"/>
                      <m:ctrlPr>
                        <w:rPr>
                          <w:rFonts w:ascii="Cambria Math" w:hAnsi="Cambria Math"/>
                        </w:rPr>
                      </m:ctrlPr>
                    </m:accPr>
                    <m:e>
                      <m:r>
                        <w:rPr>
                          <w:rFonts w:ascii="Cambria Math" w:hAnsi="Cambria Math"/>
                        </w:rPr>
                        <m:t>θ</m:t>
                      </m:r>
                    </m:e>
                  </m:acc>
                </m:e>
                <m:sub>
                  <m:r>
                    <w:rPr>
                      <w:rFonts w:ascii="Cambria Math" w:hAnsi="Cambria Math"/>
                    </w:rPr>
                    <m:t>i</m:t>
                  </m:r>
                  <m:r>
                    <m:rPr>
                      <m:sty m:val="p"/>
                    </m:rPr>
                    <w:rPr>
                      <w:rFonts w:ascii="Cambria Math" w:hAnsi="Cambria Math"/>
                    </w:rPr>
                    <m:t>,</m:t>
                  </m:r>
                  <m:r>
                    <w:rPr>
                      <w:rFonts w:ascii="Cambria Math" w:hAnsi="Cambria Math"/>
                    </w:rPr>
                    <m:t>j</m:t>
                  </m:r>
                </m:sub>
                <m:sup>
                  <m:r>
                    <w:rPr>
                      <w:rFonts w:ascii="Cambria Math" w:hAnsi="Cambria Math"/>
                    </w:rPr>
                    <m:t>DY</m:t>
                  </m:r>
                </m:sup>
              </m:sSubSup>
              <m:r>
                <m:rPr>
                  <m:sty m:val="p"/>
                </m:rPr>
                <w:rPr>
                  <w:rFonts w:ascii="Cambria Math" w:hAnsi="Cambria Math"/>
                </w:rPr>
                <m:t>(</m:t>
              </m:r>
              <m:r>
                <w:rPr>
                  <w:rFonts w:ascii="Cambria Math" w:hAnsi="Cambria Math"/>
                </w:rPr>
                <m:t>H</m:t>
              </m:r>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θ</m:t>
                      </m:r>
                    </m:e>
                    <m:sub>
                      <m:r>
                        <w:rPr>
                          <w:rFonts w:ascii="Cambria Math" w:hAnsi="Cambria Math"/>
                        </w:rPr>
                        <m:t>i</m:t>
                      </m:r>
                      <m:r>
                        <m:rPr>
                          <m:sty m:val="p"/>
                        </m:rPr>
                        <w:rPr>
                          <w:rFonts w:ascii="Cambria Math" w:hAnsi="Cambria Math"/>
                        </w:rPr>
                        <m:t>,</m:t>
                      </m:r>
                      <m:r>
                        <w:rPr>
                          <w:rFonts w:ascii="Cambria Math" w:hAnsi="Cambria Math"/>
                        </w:rPr>
                        <m:t>j</m:t>
                      </m:r>
                    </m:sub>
                    <m:sup>
                      <m:r>
                        <w:rPr>
                          <w:rFonts w:ascii="Cambria Math" w:hAnsi="Cambria Math"/>
                        </w:rPr>
                        <m:t>DY</m:t>
                      </m:r>
                    </m:sup>
                  </m:sSubSup>
                  <m:r>
                    <m:rPr>
                      <m:sty m:val="p"/>
                    </m:rPr>
                    <w:rPr>
                      <w:rFonts w:ascii="Cambria Math" w:hAnsi="Cambria Math"/>
                    </w:rPr>
                    <m:t>(</m:t>
                  </m:r>
                  <m:r>
                    <w:rPr>
                      <w:rFonts w:ascii="Cambria Math" w:hAnsi="Cambria Math"/>
                    </w:rPr>
                    <m:t>H</m:t>
                  </m:r>
                  <m:r>
                    <m:rPr>
                      <m:sty m:val="p"/>
                    </m:rPr>
                    <w:rPr>
                      <w:rFonts w:ascii="Cambria Math" w:hAnsi="Cambria Math"/>
                    </w:rPr>
                    <m:t>)</m:t>
                  </m:r>
                </m:num>
                <m:den>
                  <m:sSub>
                    <m:sSubPr>
                      <m:ctrlPr>
                        <w:rPr>
                          <w:rFonts w:ascii="Cambria Math" w:hAnsi="Cambria Math"/>
                        </w:rPr>
                      </m:ctrlPr>
                    </m:sSubPr>
                    <m:e>
                      <m:r>
                        <w:rPr>
                          <w:rFonts w:ascii="Cambria Math" w:hAnsi="Cambria Math"/>
                        </w:rPr>
                        <m:t>Σ</m:t>
                      </m:r>
                    </m:e>
                    <m:sub>
                      <m:r>
                        <w:rPr>
                          <w:rFonts w:ascii="Cambria Math" w:hAnsi="Cambria Math"/>
                        </w:rPr>
                        <m:t>k</m:t>
                      </m:r>
                    </m:sub>
                  </m:sSub>
                  <m:r>
                    <m:rPr>
                      <m:sty m:val="p"/>
                    </m:rPr>
                    <w:rPr>
                      <w:rFonts w:ascii="Cambria Math" w:hAnsi="Cambria Math"/>
                    </w:rPr>
                    <m:t>(</m:t>
                  </m:r>
                  <m:sSubSup>
                    <m:sSubSupPr>
                      <m:ctrlPr>
                        <w:rPr>
                          <w:rFonts w:ascii="Cambria Math" w:hAnsi="Cambria Math"/>
                        </w:rPr>
                      </m:ctrlPr>
                    </m:sSubSupPr>
                    <m:e>
                      <m:r>
                        <w:rPr>
                          <w:rFonts w:ascii="Cambria Math" w:hAnsi="Cambria Math"/>
                        </w:rPr>
                        <m:t>θ</m:t>
                      </m:r>
                    </m:e>
                    <m:sub>
                      <m:r>
                        <w:rPr>
                          <w:rFonts w:ascii="Cambria Math" w:hAnsi="Cambria Math"/>
                        </w:rPr>
                        <m:t>j</m:t>
                      </m:r>
                      <m:r>
                        <m:rPr>
                          <m:sty m:val="p"/>
                        </m:rPr>
                        <w:rPr>
                          <w:rFonts w:ascii="Cambria Math" w:hAnsi="Cambria Math"/>
                        </w:rPr>
                        <m:t>,</m:t>
                      </m:r>
                      <m:r>
                        <w:rPr>
                          <w:rFonts w:ascii="Cambria Math" w:hAnsi="Cambria Math"/>
                        </w:rPr>
                        <m:t>k</m:t>
                      </m:r>
                    </m:sub>
                    <m:sup>
                      <m:r>
                        <w:rPr>
                          <w:rFonts w:ascii="Cambria Math" w:hAnsi="Cambria Math"/>
                        </w:rPr>
                        <m:t>DY</m:t>
                      </m:r>
                    </m:sup>
                  </m:sSubSup>
                  <m:r>
                    <m:rPr>
                      <m:sty m:val="p"/>
                    </m:rPr>
                    <w:rPr>
                      <w:rFonts w:ascii="Cambria Math" w:hAnsi="Cambria Math"/>
                    </w:rPr>
                    <m:t>(</m:t>
                  </m:r>
                  <m:r>
                    <w:rPr>
                      <w:rFonts w:ascii="Cambria Math" w:hAnsi="Cambria Math"/>
                    </w:rPr>
                    <m:t>H</m:t>
                  </m:r>
                  <m:r>
                    <m:rPr>
                      <m:sty m:val="p"/>
                    </m:rPr>
                    <w:rPr>
                      <w:rFonts w:ascii="Cambria Math" w:hAnsi="Cambria Math"/>
                    </w:rPr>
                    <m:t>))</m:t>
                  </m:r>
                </m:den>
              </m:f>
            </m:e>
          </m:mr>
        </m:m>
        <m:r>
          <w:rPr>
            <w:rFonts w:ascii="Cambria Math" w:hAnsi="Cambria Math"/>
          </w:rPr>
          <m:t xml:space="preserve"> </m:t>
        </m:r>
      </m:oMath>
      <w:r w:rsidR="00AB4470">
        <w:rPr>
          <w:rFonts w:eastAsiaTheme="minorEastAsia" w:hint="eastAsia"/>
        </w:rPr>
        <w:t>.</w:t>
      </w:r>
      <w:r w:rsidR="00A2313E" w:rsidRPr="003B6C5B">
        <w:tab/>
        <w:t>(</w:t>
      </w:r>
      <w:r w:rsidR="000F66D0" w:rsidRPr="003B6C5B">
        <w:t>4</w:t>
      </w:r>
      <w:r w:rsidR="00A2313E" w:rsidRPr="003B6C5B">
        <w:t>)</w:t>
      </w:r>
    </w:p>
    <w:p w14:paraId="564BAB9F" w14:textId="07348438" w:rsidR="00A2313E" w:rsidRPr="003B6C5B" w:rsidRDefault="007D2E4C" w:rsidP="006724D6">
      <w:pPr>
        <w:tabs>
          <w:tab w:val="left" w:pos="7655"/>
          <w:tab w:val="left" w:pos="7845"/>
        </w:tabs>
        <w:spacing w:line="480" w:lineRule="auto"/>
        <w:ind w:firstLineChars="177" w:firstLine="425"/>
        <w:jc w:val="both"/>
      </w:pPr>
      <w:r w:rsidRPr="003B6C5B">
        <w:rPr>
          <w:color w:val="000000" w:themeColor="text1"/>
        </w:rPr>
        <w:t xml:space="preserve">Following </w:t>
      </w:r>
      <w:r w:rsidRPr="003B6C5B">
        <w:rPr>
          <w:noProof/>
          <w:color w:val="000000" w:themeColor="text1"/>
          <w:shd w:val="clear" w:color="auto" w:fill="FFFFFF"/>
        </w:rPr>
        <w:t>Baruník and Křehlík (2018)</w:t>
      </w:r>
      <w:r w:rsidRPr="003B6C5B">
        <w:rPr>
          <w:color w:val="000000" w:themeColor="text1"/>
        </w:rPr>
        <w:t xml:space="preserve">, we set </w:t>
      </w:r>
      <m:oMath>
        <m:r>
          <w:rPr>
            <w:rFonts w:ascii="Cambria Math" w:hAnsi="Cambria Math"/>
            <w:color w:val="000000" w:themeColor="text1"/>
          </w:rPr>
          <m:t>H</m:t>
        </m:r>
      </m:oMath>
      <w:r w:rsidRPr="003B6C5B">
        <w:rPr>
          <w:color w:val="000000" w:themeColor="text1"/>
        </w:rPr>
        <w:t xml:space="preserve"> to 100 </w:t>
      </w:r>
      <w:r w:rsidRPr="003B6C5B">
        <w:rPr>
          <w:rFonts w:eastAsiaTheme="minorEastAsia"/>
          <w:color w:val="000000" w:themeColor="text1"/>
        </w:rPr>
        <w:t>in</w:t>
      </w:r>
      <w:r w:rsidRPr="003B6C5B">
        <w:rPr>
          <w:color w:val="000000" w:themeColor="text1"/>
        </w:rPr>
        <w:t xml:space="preserve"> Eq. (4). </w:t>
      </w:r>
      <w:r w:rsidR="00A2313E" w:rsidRPr="003B6C5B">
        <w:t>To describe</w:t>
      </w:r>
      <w:r w:rsidR="0053474D" w:rsidRPr="003B6C5B">
        <w:t xml:space="preserve"> </w:t>
      </w:r>
      <w:r w:rsidR="00A2313E" w:rsidRPr="003B6C5B">
        <w:t xml:space="preserve">the </w:t>
      </w:r>
      <w:r w:rsidR="00BC6B49">
        <w:t xml:space="preserve">higher-order moments </w:t>
      </w:r>
      <w:r w:rsidR="00A2313E" w:rsidRPr="003B6C5B">
        <w:t>spillovers in the frequency domain</w:t>
      </w:r>
      <w:r w:rsidR="00BC6B49">
        <w:t xml:space="preserve"> (</w:t>
      </w:r>
      <w:r w:rsidR="00BC6B49">
        <w:rPr>
          <w:i/>
          <w:iCs/>
        </w:rPr>
        <w:t>i.e.</w:t>
      </w:r>
      <w:r w:rsidR="00BC6B49">
        <w:t>, at different timescales)</w:t>
      </w:r>
      <w:r w:rsidR="00A2313E" w:rsidRPr="003B6C5B">
        <w:t xml:space="preserve">, </w:t>
      </w:r>
      <w:r w:rsidR="00A2313E" w:rsidRPr="003B6C5B">
        <w:rPr>
          <w:noProof/>
        </w:rPr>
        <w:t>Baruník and Křehlík (2018)</w:t>
      </w:r>
      <w:r w:rsidR="007959A3" w:rsidRPr="003B6C5B">
        <w:t xml:space="preserve"> </w:t>
      </w:r>
      <w:r w:rsidR="00A2313E" w:rsidRPr="003B6C5B">
        <w:t xml:space="preserve">give a Fourier transform of </w:t>
      </w:r>
      <m:oMath>
        <m:sSub>
          <m:sSubPr>
            <m:ctrlPr>
              <w:rPr>
                <w:rFonts w:ascii="Cambria Math" w:hAnsi="Cambria Math"/>
              </w:rPr>
            </m:ctrlPr>
          </m:sSubPr>
          <m:e>
            <m:r>
              <m:rPr>
                <m:sty m:val="b"/>
              </m:rPr>
              <w:rPr>
                <w:rFonts w:ascii="Cambria Math" w:hAnsi="Cambria Math"/>
              </w:rPr>
              <m:t>C</m:t>
            </m:r>
          </m:e>
          <m:sub>
            <m:r>
              <w:rPr>
                <w:rFonts w:ascii="Cambria Math" w:hAnsi="Cambria Math"/>
              </w:rPr>
              <m:t>k</m:t>
            </m:r>
          </m:sub>
        </m:sSub>
        <m:d>
          <m:dPr>
            <m:begChr m:val="（"/>
            <m:endChr m:val="）"/>
            <m:ctrlPr>
              <w:rPr>
                <w:rFonts w:ascii="Cambria Math" w:hAnsi="Cambria Math"/>
                <w:i/>
              </w:rPr>
            </m:ctrlPr>
          </m:dPr>
          <m:e>
            <m:r>
              <w:rPr>
                <w:rFonts w:ascii="Cambria Math" w:hAnsi="Cambria Math" w:hint="eastAsia"/>
              </w:rPr>
              <m:t>L</m:t>
            </m:r>
          </m:e>
        </m:d>
      </m:oMath>
      <w:r w:rsidR="0053474D" w:rsidRPr="003B6C5B">
        <w:t xml:space="preserve">, </w:t>
      </w:r>
      <w:r w:rsidR="00A2313E" w:rsidRPr="003B6C5B">
        <w:t xml:space="preserve">which can be see a function with respect to </w:t>
      </w:r>
      <m:oMath>
        <m:r>
          <w:rPr>
            <w:rFonts w:ascii="Cambria Math" w:hAnsi="Cambria Math"/>
          </w:rPr>
          <m:t>k</m:t>
        </m:r>
      </m:oMath>
      <w:r w:rsidR="00A2313E" w:rsidRPr="003B6C5B">
        <w:t>, that is,</w:t>
      </w:r>
      <w:r w:rsidR="00F65BA3" w:rsidRPr="003B6C5B">
        <w:rPr>
          <w:rFonts w:hint="eastAsia"/>
        </w:rPr>
        <w:t xml:space="preserve"> </w:t>
      </w:r>
      <m:oMath>
        <m:m>
          <m:mPr>
            <m:plcHide m:val="1"/>
            <m:mcs>
              <m:mc>
                <m:mcPr>
                  <m:count m:val="1"/>
                  <m:mcJc m:val="right"/>
                </m:mcPr>
              </m:mc>
            </m:mcs>
            <m:ctrlPr>
              <w:rPr>
                <w:rFonts w:ascii="Cambria Math" w:hAnsi="Cambria Math"/>
              </w:rPr>
            </m:ctrlPr>
          </m:mPr>
          <m:mr>
            <m:e>
              <m:r>
                <m:rPr>
                  <m:sty m:val="b"/>
                </m:rPr>
                <w:rPr>
                  <w:rFonts w:ascii="Cambria Math" w:hAnsi="Cambria Math"/>
                </w:rPr>
                <m:t>C</m:t>
              </m:r>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ikω</m:t>
                  </m:r>
                </m:sup>
              </m:s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=0</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ikω</m:t>
                      </m:r>
                    </m:sup>
                  </m:sSup>
                </m:e>
              </m:nary>
              <m:sSub>
                <m:sSubPr>
                  <m:ctrlPr>
                    <w:rPr>
                      <w:rFonts w:ascii="Cambria Math" w:hAnsi="Cambria Math"/>
                    </w:rPr>
                  </m:ctrlPr>
                </m:sSubPr>
                <m:e>
                  <m:r>
                    <m:rPr>
                      <m:sty m:val="b"/>
                    </m:rPr>
                    <w:rPr>
                      <w:rFonts w:ascii="Cambria Math" w:hAnsi="Cambria Math"/>
                    </w:rPr>
                    <m:t>C</m:t>
                  </m:r>
                </m:e>
                <m:sub>
                  <m:r>
                    <w:rPr>
                      <w:rFonts w:ascii="Cambria Math" w:hAnsi="Cambria Math"/>
                    </w:rPr>
                    <m:t>k</m:t>
                  </m:r>
                </m:sub>
              </m:sSub>
              <m:d>
                <m:dPr>
                  <m:begChr m:val="（"/>
                  <m:endChr m:val="）"/>
                  <m:ctrlPr>
                    <w:rPr>
                      <w:rFonts w:ascii="Cambria Math" w:hAnsi="Cambria Math"/>
                      <w:i/>
                    </w:rPr>
                  </m:ctrlPr>
                </m:dPr>
                <m:e>
                  <m:r>
                    <w:rPr>
                      <w:rFonts w:ascii="Cambria Math" w:hAnsi="Cambria Math" w:hint="eastAsia"/>
                    </w:rPr>
                    <m:t>L</m:t>
                  </m:r>
                </m:e>
              </m:d>
            </m:e>
          </m:mr>
        </m:m>
      </m:oMath>
      <w:r w:rsidR="00A2313E" w:rsidRPr="003B6C5B">
        <w:t>.</w:t>
      </w:r>
      <w:r w:rsidR="00BC6B49">
        <w:rPr>
          <w:rStyle w:val="FootnoteReference"/>
        </w:rPr>
        <w:footnoteReference w:id="14"/>
      </w:r>
      <w:r w:rsidR="00F65BA3" w:rsidRPr="003B6C5B">
        <w:rPr>
          <w:rFonts w:hint="eastAsia"/>
        </w:rPr>
        <w:t xml:space="preserve"> </w:t>
      </w:r>
      <w:r w:rsidR="00A2313E" w:rsidRPr="003B6C5B">
        <w:t>Ther</w:t>
      </w:r>
      <w:r w:rsidR="00A2313E" w:rsidRPr="003B6C5B">
        <w:rPr>
          <w:color w:val="000000" w:themeColor="text1"/>
        </w:rPr>
        <w:t xml:space="preserve">efore, </w:t>
      </w:r>
      <w:r w:rsidR="007959A3" w:rsidRPr="003B6C5B">
        <w:rPr>
          <w:rFonts w:hint="eastAsia"/>
          <w:color w:val="000000" w:themeColor="text1"/>
        </w:rPr>
        <w:t>t</w:t>
      </w:r>
      <w:r w:rsidR="00A2313E" w:rsidRPr="003B6C5B">
        <w:t xml:space="preserve">he </w:t>
      </w:r>
      <w:r w:rsidR="00BC6B49">
        <w:t xml:space="preserve">spillover from the variation of skewness elements </w:t>
      </w:r>
      <m:oMath>
        <m:sSub>
          <m:sSubPr>
            <m:ctrlPr>
              <w:rPr>
                <w:rFonts w:ascii="Cambria Math" w:hAnsi="Cambria Math"/>
              </w:rPr>
            </m:ctrlPr>
          </m:sSubPr>
          <m:e>
            <m:r>
              <w:rPr>
                <w:rFonts w:ascii="Cambria Math" w:hAnsi="Cambria Math"/>
              </w:rPr>
              <m:t>x</m:t>
            </m:r>
          </m:e>
          <m:sub>
            <m:r>
              <w:rPr>
                <w:rFonts w:ascii="Cambria Math" w:hAnsi="Cambria Math"/>
              </w:rPr>
              <m:t>j</m:t>
            </m:r>
          </m:sub>
        </m:sSub>
      </m:oMath>
      <w:r w:rsidR="00BC6B49">
        <w:rPr>
          <w:rFonts w:eastAsiaTheme="minorEastAsia" w:hint="eastAsia"/>
        </w:rPr>
        <w:t xml:space="preserve"> </w:t>
      </w:r>
      <w:r w:rsidR="00BC6B49">
        <w:t xml:space="preserve">transmitting </w:t>
      </w:r>
      <w:r w:rsidR="00A2313E" w:rsidRPr="003B6C5B">
        <w:t xml:space="preserve">to </w:t>
      </w:r>
      <w:r w:rsidR="00BC6B49">
        <w:t xml:space="preserve">the variation of skewness elements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00A2313E" w:rsidRPr="003B6C5B">
        <w:t xml:space="preserve"> at a given frequency </w:t>
      </w:r>
      <m:oMath>
        <m:r>
          <w:rPr>
            <w:rFonts w:ascii="Cambria Math" w:hAnsi="Cambria Math"/>
          </w:rPr>
          <m:t>ω</m:t>
        </m:r>
      </m:oMath>
      <w:r w:rsidR="00A2313E" w:rsidRPr="003B6C5B">
        <w:t xml:space="preserve"> can be computed as:</w:t>
      </w:r>
    </w:p>
    <w:p w14:paraId="3003D61E" w14:textId="473486F7" w:rsidR="00A2313E" w:rsidRPr="003B6C5B" w:rsidRDefault="0029500C" w:rsidP="006724D6">
      <w:pPr>
        <w:tabs>
          <w:tab w:val="left" w:pos="7655"/>
          <w:tab w:val="left" w:pos="7845"/>
        </w:tabs>
        <w:spacing w:line="480" w:lineRule="auto"/>
        <w:jc w:val="both"/>
      </w:pPr>
      <m:oMath>
        <m:m>
          <m:mPr>
            <m:plcHide m:val="1"/>
            <m:mcs>
              <m:mc>
                <m:mcPr>
                  <m:count m:val="1"/>
                  <m:mcJc m:val="right"/>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w:rPr>
                          <w:rFonts w:ascii="Cambria Math" w:hAnsi="Cambria Math"/>
                        </w:rPr>
                        <m:t>θ</m:t>
                      </m:r>
                    </m:e>
                  </m:acc>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ω</m:t>
              </m:r>
              <m:r>
                <m:rPr>
                  <m:sty m:val="p"/>
                </m:rPr>
                <w:rPr>
                  <w:rFonts w:ascii="Cambria Math" w:hAnsi="Cambria Math"/>
                </w:rPr>
                <m:t>,</m:t>
              </m:r>
              <m:r>
                <w:rPr>
                  <w:rFonts w:ascii="Cambria Math" w:hAnsi="Cambria Math"/>
                </w:rPr>
                <m:t>H</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θ</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ω</m:t>
                  </m:r>
                  <m:r>
                    <m:rPr>
                      <m:sty m:val="p"/>
                    </m:rPr>
                    <w:rPr>
                      <w:rFonts w:ascii="Cambria Math" w:hAnsi="Cambria Math"/>
                    </w:rPr>
                    <m:t>,</m:t>
                  </m:r>
                  <m:r>
                    <w:rPr>
                      <w:rFonts w:ascii="Cambria Math" w:hAnsi="Cambria Math"/>
                    </w:rPr>
                    <m:t>H</m:t>
                  </m:r>
                  <m:r>
                    <m:rPr>
                      <m:sty m:val="p"/>
                    </m:rPr>
                    <w:rPr>
                      <w:rFonts w:ascii="Cambria Math" w:hAnsi="Cambria Math"/>
                    </w:rPr>
                    <m:t>)</m:t>
                  </m:r>
                </m:num>
                <m:den>
                  <m:sSub>
                    <m:sSubPr>
                      <m:ctrlPr>
                        <w:rPr>
                          <w:rFonts w:ascii="Cambria Math" w:hAnsi="Cambria Math"/>
                        </w:rPr>
                      </m:ctrlPr>
                    </m:sSubPr>
                    <m:e>
                      <m:r>
                        <w:rPr>
                          <w:rFonts w:ascii="Cambria Math" w:hAnsi="Cambria Math"/>
                        </w:rPr>
                        <m:t>Σ</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j</m:t>
                      </m:r>
                      <m:r>
                        <m:rPr>
                          <m:sty m:val="p"/>
                        </m:rPr>
                        <w:rPr>
                          <w:rFonts w:ascii="Cambria Math" w:hAnsi="Cambria Math"/>
                        </w:rPr>
                        <m:t>,</m:t>
                      </m:r>
                      <m:r>
                        <w:rPr>
                          <w:rFonts w:ascii="Cambria Math" w:hAnsi="Cambria Math"/>
                        </w:rPr>
                        <m:t>k</m:t>
                      </m:r>
                    </m:sub>
                  </m:sSub>
                  <m:r>
                    <m:rPr>
                      <m:sty m:val="p"/>
                    </m:rPr>
                    <w:rPr>
                      <w:rFonts w:ascii="Cambria Math" w:hAnsi="Cambria Math"/>
                    </w:rPr>
                    <m:t>(</m:t>
                  </m:r>
                  <m:r>
                    <w:rPr>
                      <w:rFonts w:ascii="Cambria Math" w:hAnsi="Cambria Math"/>
                    </w:rPr>
                    <m:t>ω</m:t>
                  </m:r>
                  <m:r>
                    <m:rPr>
                      <m:sty m:val="p"/>
                    </m:rPr>
                    <w:rPr>
                      <w:rFonts w:ascii="Cambria Math" w:hAnsi="Cambria Math"/>
                    </w:rPr>
                    <m:t>,</m:t>
                  </m:r>
                  <m:r>
                    <w:rPr>
                      <w:rFonts w:ascii="Cambria Math" w:hAnsi="Cambria Math"/>
                    </w:rPr>
                    <m:t>H</m:t>
                  </m:r>
                  <m:r>
                    <m:rPr>
                      <m:sty m:val="p"/>
                    </m:rPr>
                    <w:rPr>
                      <w:rFonts w:ascii="Cambria Math" w:hAnsi="Cambria Math"/>
                    </w:rPr>
                    <m:t>))</m:t>
                  </m:r>
                </m:den>
              </m:f>
            </m:e>
          </m:mr>
        </m:m>
      </m:oMath>
      <w:r w:rsidR="00AB4470">
        <w:rPr>
          <w:rFonts w:eastAsiaTheme="minorEastAsia" w:hint="eastAsia"/>
        </w:rPr>
        <w:t>.</w:t>
      </w:r>
      <w:r w:rsidR="00A2313E" w:rsidRPr="003B6C5B">
        <w:tab/>
        <w:t>(</w:t>
      </w:r>
      <w:r w:rsidR="000F66D0" w:rsidRPr="003B6C5B">
        <w:t>5</w:t>
      </w:r>
      <w:r w:rsidR="00A2313E" w:rsidRPr="003B6C5B">
        <w:t>)</w:t>
      </w:r>
    </w:p>
    <w:p w14:paraId="1E3A1132" w14:textId="35557520" w:rsidR="00A2313E" w:rsidRPr="003B6C5B" w:rsidRDefault="00A2313E" w:rsidP="00BC6B49">
      <w:pPr>
        <w:tabs>
          <w:tab w:val="left" w:pos="7655"/>
          <w:tab w:val="left" w:pos="7845"/>
        </w:tabs>
        <w:spacing w:line="480" w:lineRule="auto"/>
        <w:jc w:val="both"/>
      </w:pPr>
      <w:r w:rsidRPr="003B6C5B">
        <w:t xml:space="preserve">This relationship can be </w:t>
      </w:r>
      <w:r w:rsidR="00CE6747" w:rsidRPr="003B6C5B">
        <w:t xml:space="preserve">mathematically </w:t>
      </w:r>
      <w:r w:rsidRPr="003B6C5B">
        <w:t xml:space="preserve">expressed </w:t>
      </w:r>
      <w:r w:rsidR="00CE6747" w:rsidRPr="003B6C5B">
        <w:t xml:space="preserve">through </w:t>
      </w:r>
      <w:r w:rsidRPr="003B6C5B">
        <w:t xml:space="preserve">formulas as follows: </w:t>
      </w:r>
      <m:oMath>
        <m:nary>
          <m:naryPr>
            <m:limLoc m:val="subSup"/>
            <m:ctrlPr>
              <w:rPr>
                <w:rFonts w:ascii="Cambria Math" w:hAnsi="Cambria Math"/>
              </w:rPr>
            </m:ctrlPr>
          </m:naryPr>
          <m:sub>
            <m:r>
              <m:rPr>
                <m:sty m:val="p"/>
              </m:rPr>
              <w:rPr>
                <w:rFonts w:ascii="Cambria Math" w:hAnsi="Cambria Math"/>
              </w:rPr>
              <m:t>-</m:t>
            </m:r>
            <m:r>
              <w:rPr>
                <w:rFonts w:ascii="Cambria Math" w:hAnsi="Cambria Math"/>
              </w:rPr>
              <m:t>π</m:t>
            </m:r>
          </m:sub>
          <m:sup>
            <m:r>
              <w:rPr>
                <w:rFonts w:ascii="Cambria Math" w:hAnsi="Cambria Math"/>
              </w:rPr>
              <m:t>π</m:t>
            </m:r>
          </m:sup>
          <m:e>
            <m:sSub>
              <m:sSubPr>
                <m:ctrlPr>
                  <w:rPr>
                    <w:rFonts w:ascii="Cambria Math" w:hAnsi="Cambria Math"/>
                  </w:rPr>
                </m:ctrlPr>
              </m:sSubPr>
              <m:e>
                <m:acc>
                  <m:accPr>
                    <m:chr m:val="̃"/>
                    <m:ctrlPr>
                      <w:rPr>
                        <w:rFonts w:ascii="Cambria Math" w:hAnsi="Cambria Math"/>
                      </w:rPr>
                    </m:ctrlPr>
                  </m:accPr>
                  <m:e>
                    <m:r>
                      <w:rPr>
                        <w:rFonts w:ascii="Cambria Math" w:hAnsi="Cambria Math"/>
                      </w:rPr>
                      <m:t>θ</m:t>
                    </m:r>
                  </m:e>
                </m:acc>
              </m:e>
              <m:sub>
                <m:r>
                  <w:rPr>
                    <w:rFonts w:ascii="Cambria Math" w:hAnsi="Cambria Math"/>
                  </w:rPr>
                  <m:t>i</m:t>
                </m:r>
                <m:r>
                  <m:rPr>
                    <m:sty m:val="p"/>
                  </m:rPr>
                  <w:rPr>
                    <w:rFonts w:ascii="Cambria Math" w:hAnsi="Cambria Math"/>
                  </w:rPr>
                  <m:t>,</m:t>
                </m:r>
                <m:r>
                  <w:rPr>
                    <w:rFonts w:ascii="Cambria Math" w:hAnsi="Cambria Math"/>
                  </w:rPr>
                  <m:t>j</m:t>
                </m:r>
              </m:sub>
            </m:sSub>
          </m:e>
        </m:nary>
        <m:r>
          <m:rPr>
            <m:sty m:val="p"/>
          </m:rPr>
          <w:rPr>
            <w:rFonts w:ascii="Cambria Math" w:hAnsi="Cambria Math"/>
          </w:rPr>
          <m:t>(</m:t>
        </m:r>
        <m:r>
          <w:rPr>
            <w:rFonts w:ascii="Cambria Math" w:hAnsi="Cambria Math"/>
          </w:rPr>
          <m:t>ω</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dω</m:t>
        </m:r>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θ</m:t>
                </m:r>
              </m:e>
            </m:acc>
          </m:e>
          <m:sub>
            <m:r>
              <w:rPr>
                <w:rFonts w:ascii="Cambria Math" w:hAnsi="Cambria Math"/>
              </w:rPr>
              <m:t>i</m:t>
            </m:r>
            <m:r>
              <m:rPr>
                <m:sty m:val="p"/>
              </m:rPr>
              <w:rPr>
                <w:rFonts w:ascii="Cambria Math" w:hAnsi="Cambria Math"/>
              </w:rPr>
              <m:t>,</m:t>
            </m:r>
            <m:r>
              <w:rPr>
                <w:rFonts w:ascii="Cambria Math" w:hAnsi="Cambria Math"/>
              </w:rPr>
              <m:t>j</m:t>
            </m:r>
          </m:sub>
          <m:sup>
            <m:r>
              <w:rPr>
                <w:rFonts w:ascii="Cambria Math" w:hAnsi="Cambria Math"/>
              </w:rPr>
              <m:t>DY</m:t>
            </m:r>
          </m:sup>
        </m:sSubSup>
        <m:r>
          <m:rPr>
            <m:sty m:val="p"/>
          </m:rPr>
          <w:rPr>
            <w:rFonts w:ascii="Cambria Math" w:hAnsi="Cambria Math"/>
          </w:rPr>
          <m:t>(</m:t>
        </m:r>
        <m:r>
          <w:rPr>
            <w:rFonts w:ascii="Cambria Math" w:hAnsi="Cambria Math"/>
          </w:rPr>
          <m:t>H</m:t>
        </m:r>
        <m:r>
          <m:rPr>
            <m:sty m:val="p"/>
          </m:rPr>
          <w:rPr>
            <w:rFonts w:ascii="Cambria Math" w:hAnsi="Cambria Math"/>
          </w:rPr>
          <m:t>)</m:t>
        </m:r>
      </m:oMath>
      <w:r w:rsidRPr="003B6C5B">
        <w:t xml:space="preserve"> where the integral d</w:t>
      </w:r>
      <w:r w:rsidR="00CE6747" w:rsidRPr="003B6C5B">
        <w:t>enotes</w:t>
      </w:r>
      <w:r w:rsidRPr="003B6C5B">
        <w:t xml:space="preserve"> </w:t>
      </w:r>
      <m:oMath>
        <m:r>
          <w:rPr>
            <w:rFonts w:ascii="Cambria Math" w:hAnsi="Cambria Math"/>
          </w:rPr>
          <m:t>d</m:t>
        </m:r>
        <m:r>
          <m:rPr>
            <m:sty m:val="p"/>
          </m:rPr>
          <w:rPr>
            <w:rFonts w:ascii="Cambria Math" w:hAnsi="Cambria Math"/>
          </w:rPr>
          <m:t>=[-</m:t>
        </m:r>
        <m:r>
          <w:rPr>
            <w:rFonts w:ascii="Cambria Math" w:hAnsi="Cambria Math"/>
          </w:rPr>
          <m:t>π</m:t>
        </m:r>
        <m:r>
          <m:rPr>
            <m:sty m:val="p"/>
          </m:rPr>
          <w:rPr>
            <w:rFonts w:ascii="Cambria Math" w:hAnsi="Cambria Math"/>
          </w:rPr>
          <m:t>,</m:t>
        </m:r>
        <m:r>
          <w:rPr>
            <w:rFonts w:ascii="Cambria Math" w:hAnsi="Cambria Math"/>
          </w:rPr>
          <m:t>π</m:t>
        </m:r>
        <m:r>
          <m:rPr>
            <m:sty m:val="p"/>
          </m:rPr>
          <w:rPr>
            <w:rFonts w:ascii="Cambria Math" w:hAnsi="Cambria Math"/>
          </w:rPr>
          <m:t>]</m:t>
        </m:r>
      </m:oMath>
      <w:r w:rsidRPr="003B6C5B">
        <w:t xml:space="preserve"> implies integrating all the periods</w:t>
      </w:r>
      <w:r w:rsidR="00BC6B49">
        <w:t xml:space="preserve"> (</w:t>
      </w:r>
      <w:r w:rsidR="00BC6B49" w:rsidRPr="00BC6B49">
        <w:t>i.e.</w:t>
      </w:r>
      <w:r w:rsidR="00BC6B49" w:rsidRPr="00BC6B49">
        <w:rPr>
          <w:rFonts w:hint="eastAsia"/>
        </w:rPr>
        <w:t>,</w:t>
      </w:r>
      <w:r w:rsidR="00BC6B49" w:rsidRPr="00BC6B49">
        <w:t xml:space="preserve"> no considering different timescales</w:t>
      </w:r>
      <w:r w:rsidR="00BC6B49">
        <w:t>)</w:t>
      </w:r>
      <w:r w:rsidRPr="003B6C5B">
        <w:t xml:space="preserve">. </w:t>
      </w:r>
      <w:r w:rsidR="00AB4470">
        <w:rPr>
          <w:color w:val="000000" w:themeColor="text1"/>
        </w:rPr>
        <w:t>T</w:t>
      </w:r>
      <w:r w:rsidR="00AB4470" w:rsidRPr="003B6C5B">
        <w:t xml:space="preserve">he </w:t>
      </w:r>
      <w:r w:rsidR="00AB4470">
        <w:t xml:space="preserve">spillover from the variation of (co-)skewness or (co-)kurtosis elements </w:t>
      </w:r>
      <m:oMath>
        <m:sSub>
          <m:sSubPr>
            <m:ctrlPr>
              <w:rPr>
                <w:rFonts w:ascii="Cambria Math" w:hAnsi="Cambria Math"/>
              </w:rPr>
            </m:ctrlPr>
          </m:sSubPr>
          <m:e>
            <m:r>
              <w:rPr>
                <w:rFonts w:ascii="Cambria Math" w:hAnsi="Cambria Math"/>
              </w:rPr>
              <m:t>x</m:t>
            </m:r>
          </m:e>
          <m:sub>
            <m:r>
              <w:rPr>
                <w:rFonts w:ascii="Cambria Math" w:hAnsi="Cambria Math"/>
              </w:rPr>
              <m:t>j</m:t>
            </m:r>
          </m:sub>
        </m:sSub>
      </m:oMath>
      <w:r w:rsidR="00AB4470">
        <w:rPr>
          <w:rFonts w:eastAsiaTheme="minorEastAsia" w:hint="eastAsia"/>
        </w:rPr>
        <w:t xml:space="preserve"> </w:t>
      </w:r>
      <w:r w:rsidR="00AB4470">
        <w:t xml:space="preserve">transmitting </w:t>
      </w:r>
      <w:r w:rsidR="00AB4470" w:rsidRPr="003B6C5B">
        <w:t xml:space="preserve">to </w:t>
      </w:r>
      <w:r w:rsidR="00AB4470">
        <w:t>the variation of (co-)skewness or (co-)</w:t>
      </w:r>
      <w:r w:rsidR="00D04956">
        <w:t>kurtosis</w:t>
      </w:r>
      <w:r w:rsidR="00AB4470">
        <w:t xml:space="preserve"> elements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00AB4470" w:rsidRPr="003B6C5B">
        <w:t xml:space="preserve"> </w:t>
      </w:r>
      <w:r w:rsidR="00020EFE" w:rsidRPr="003B6C5B">
        <w:rPr>
          <w:color w:val="000000" w:themeColor="text1"/>
        </w:rPr>
        <w:t xml:space="preserve">at a particular timescale band </w:t>
      </w:r>
      <w:r w:rsidR="00020EFE" w:rsidRPr="003B6C5B" w:rsidDel="00020EFE">
        <w:t xml:space="preserve"> </w:t>
      </w:r>
      <m:oMath>
        <m:r>
          <w:rPr>
            <w:rFonts w:ascii="Cambria Math" w:hAnsi="Cambria Math"/>
          </w:rPr>
          <m:t>d=[a,b]</m:t>
        </m:r>
      </m:oMath>
      <w:r w:rsidRPr="003B6C5B">
        <w:t xml:space="preserve"> can be obtained as:</w:t>
      </w:r>
    </w:p>
    <w:p w14:paraId="3088A8B2" w14:textId="2E25AAA1" w:rsidR="00A2313E" w:rsidRDefault="0029500C" w:rsidP="006724D6">
      <w:pPr>
        <w:tabs>
          <w:tab w:val="left" w:pos="7655"/>
          <w:tab w:val="left" w:pos="7845"/>
        </w:tabs>
        <w:spacing w:line="480" w:lineRule="auto"/>
        <w:jc w:val="both"/>
      </w:pPr>
      <m:oMath>
        <m:m>
          <m:mPr>
            <m:plcHide m:val="1"/>
            <m:mcs>
              <m:mc>
                <m:mcPr>
                  <m:count m:val="1"/>
                  <m:mcJc m:val="right"/>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w:rPr>
                          <w:rFonts w:ascii="Cambria Math" w:hAnsi="Cambria Math"/>
                        </w:rPr>
                        <m:t>θ</m:t>
                      </m:r>
                    </m:e>
                  </m:acc>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H</m:t>
              </m:r>
              <m:r>
                <m:rPr>
                  <m:sty m:val="p"/>
                </m:rPr>
                <w:rPr>
                  <w:rFonts w:ascii="Cambria Math" w:hAnsi="Cambria Math"/>
                </w:rPr>
                <m:t>)=</m:t>
              </m:r>
              <m:nary>
                <m:naryPr>
                  <m:limLoc m:val="subSup"/>
                  <m:ctrlPr>
                    <w:rPr>
                      <w:rFonts w:ascii="Cambria Math" w:hAnsi="Cambria Math"/>
                    </w:rPr>
                  </m:ctrlPr>
                </m:naryPr>
                <m:sub>
                  <m:r>
                    <w:rPr>
                      <w:rFonts w:ascii="Cambria Math" w:hAnsi="Cambria Math"/>
                    </w:rPr>
                    <m:t>a</m:t>
                  </m:r>
                </m:sub>
                <m:sup>
                  <m:r>
                    <w:rPr>
                      <w:rFonts w:ascii="Cambria Math" w:hAnsi="Cambria Math"/>
                    </w:rPr>
                    <m:t>b</m:t>
                  </m:r>
                </m:sup>
                <m:e>
                  <m:sSub>
                    <m:sSubPr>
                      <m:ctrlPr>
                        <w:rPr>
                          <w:rFonts w:ascii="Cambria Math" w:hAnsi="Cambria Math"/>
                        </w:rPr>
                      </m:ctrlPr>
                    </m:sSubPr>
                    <m:e>
                      <m:acc>
                        <m:accPr>
                          <m:chr m:val="̃"/>
                          <m:ctrlPr>
                            <w:rPr>
                              <w:rFonts w:ascii="Cambria Math" w:hAnsi="Cambria Math"/>
                            </w:rPr>
                          </m:ctrlPr>
                        </m:accPr>
                        <m:e>
                          <m:r>
                            <w:rPr>
                              <w:rFonts w:ascii="Cambria Math" w:hAnsi="Cambria Math"/>
                            </w:rPr>
                            <m:t>θ</m:t>
                          </m:r>
                        </m:e>
                      </m:acc>
                    </m:e>
                    <m:sub>
                      <m:r>
                        <w:rPr>
                          <w:rFonts w:ascii="Cambria Math" w:hAnsi="Cambria Math"/>
                        </w:rPr>
                        <m:t>i</m:t>
                      </m:r>
                      <m:r>
                        <m:rPr>
                          <m:sty m:val="p"/>
                        </m:rPr>
                        <w:rPr>
                          <w:rFonts w:ascii="Cambria Math" w:hAnsi="Cambria Math"/>
                        </w:rPr>
                        <m:t>,</m:t>
                      </m:r>
                      <m:r>
                        <w:rPr>
                          <w:rFonts w:ascii="Cambria Math" w:hAnsi="Cambria Math"/>
                        </w:rPr>
                        <m:t>j</m:t>
                      </m:r>
                    </m:sub>
                  </m:sSub>
                </m:e>
              </m:nary>
              <m:r>
                <m:rPr>
                  <m:sty m:val="p"/>
                </m:rPr>
                <w:rPr>
                  <w:rFonts w:ascii="Cambria Math" w:hAnsi="Cambria Math"/>
                </w:rPr>
                <m:t>(</m:t>
              </m:r>
              <m:r>
                <w:rPr>
                  <w:rFonts w:ascii="Cambria Math" w:hAnsi="Cambria Math"/>
                </w:rPr>
                <m:t>ω</m:t>
              </m:r>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dω</m:t>
              </m:r>
            </m:e>
          </m:mr>
        </m:m>
      </m:oMath>
      <w:r w:rsidR="00AB4470">
        <w:rPr>
          <w:rFonts w:eastAsiaTheme="minorEastAsia" w:hint="eastAsia"/>
        </w:rPr>
        <w:t>.</w:t>
      </w:r>
      <w:r w:rsidR="00A2313E" w:rsidRPr="003B6C5B">
        <w:tab/>
        <w:t>(</w:t>
      </w:r>
      <w:r w:rsidR="000F66D0" w:rsidRPr="003B6C5B">
        <w:t>6</w:t>
      </w:r>
      <w:r w:rsidR="00A2313E" w:rsidRPr="003B6C5B">
        <w:t>)</w:t>
      </w:r>
    </w:p>
    <w:p w14:paraId="760FB954" w14:textId="4D950CA8" w:rsidR="00AB4470" w:rsidRPr="003B6C5B" w:rsidRDefault="00AB4470" w:rsidP="006724D6">
      <w:pPr>
        <w:tabs>
          <w:tab w:val="left" w:pos="7655"/>
          <w:tab w:val="left" w:pos="7845"/>
        </w:tabs>
        <w:spacing w:line="480" w:lineRule="auto"/>
        <w:jc w:val="both"/>
        <w:rPr>
          <w:color w:val="000000" w:themeColor="text1"/>
        </w:rPr>
      </w:pPr>
      <w:r w:rsidRPr="00AB4470">
        <w:rPr>
          <w:color w:val="000000" w:themeColor="text1"/>
        </w:rPr>
        <w:t xml:space="preserve">This study uses the network to represent the </w:t>
      </w:r>
      <w:r>
        <w:rPr>
          <w:color w:val="000000" w:themeColor="text1"/>
        </w:rPr>
        <w:t>spillover</w:t>
      </w:r>
      <w:r w:rsidRPr="00AB4470">
        <w:rPr>
          <w:color w:val="000000" w:themeColor="text1"/>
        </w:rPr>
        <w:t xml:space="preserve"> between individual</w:t>
      </w:r>
      <w:r>
        <w:rPr>
          <w:color w:val="000000" w:themeColor="text1"/>
        </w:rPr>
        <w:t xml:space="preserve"> and non-overlapping</w:t>
      </w:r>
      <w:r w:rsidRPr="00AB4470">
        <w:rPr>
          <w:color w:val="000000" w:themeColor="text1"/>
        </w:rPr>
        <w:t xml:space="preserve"> elements</w:t>
      </w:r>
      <w:r>
        <w:rPr>
          <w:color w:val="000000" w:themeColor="text1"/>
        </w:rPr>
        <w:t xml:space="preserve"> of </w:t>
      </w:r>
      <m:oMath>
        <m:sSub>
          <m:sSubPr>
            <m:ctrlPr>
              <w:rPr>
                <w:rFonts w:ascii="Cambria Math" w:hAnsi="Cambria Math"/>
                <w:i/>
                <w:iCs/>
              </w:rPr>
            </m:ctrlPr>
          </m:sSubPr>
          <m:e>
            <m:r>
              <w:rPr>
                <w:rFonts w:ascii="Cambria Math" w:hAnsi="Cambria Math"/>
              </w:rPr>
              <m:t>M</m:t>
            </m:r>
          </m:e>
          <m:sub>
            <m:r>
              <w:rPr>
                <w:rFonts w:ascii="Cambria Math" w:hAnsi="Cambria Math"/>
              </w:rPr>
              <m:t>3,t</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M</m:t>
            </m:r>
          </m:e>
          <m:sub>
            <m:r>
              <w:rPr>
                <w:rFonts w:ascii="Cambria Math" w:hAnsi="Cambria Math"/>
              </w:rPr>
              <m:t>4,t</m:t>
            </m:r>
          </m:sub>
        </m:sSub>
      </m:oMath>
      <w:r>
        <w:rPr>
          <w:rFonts w:eastAsiaTheme="minorEastAsia" w:hint="eastAsia"/>
          <w:iCs/>
        </w:rPr>
        <w:t xml:space="preserve"> </w:t>
      </w:r>
      <w:r>
        <w:rPr>
          <w:rFonts w:eastAsiaTheme="minorEastAsia"/>
          <w:iCs/>
        </w:rPr>
        <w:t>in Eq. (2) and Eq. (3)</w:t>
      </w:r>
      <w:r w:rsidRPr="00AB4470">
        <w:rPr>
          <w:color w:val="000000" w:themeColor="text1"/>
        </w:rPr>
        <w:t xml:space="preserve">, and we exclude the amount of self-to-self </w:t>
      </w:r>
      <w:r>
        <w:rPr>
          <w:color w:val="000000" w:themeColor="text1"/>
        </w:rPr>
        <w:t>spillover</w:t>
      </w:r>
      <w:r w:rsidRPr="00AB4470">
        <w:rPr>
          <w:color w:val="000000" w:themeColor="text1"/>
        </w:rPr>
        <w:t>.</w:t>
      </w:r>
    </w:p>
    <w:p w14:paraId="516BC36D" w14:textId="48384402" w:rsidR="00CF659B" w:rsidRPr="003B6C5B" w:rsidRDefault="00027898" w:rsidP="006724D6">
      <w:pPr>
        <w:pStyle w:val="Heading2"/>
        <w:spacing w:line="480" w:lineRule="auto"/>
        <w:jc w:val="both"/>
      </w:pPr>
      <w:r w:rsidRPr="003B6C5B">
        <w:lastRenderedPageBreak/>
        <w:t>3</w:t>
      </w:r>
      <w:r w:rsidR="00CF659B" w:rsidRPr="003B6C5B">
        <w:t xml:space="preserve">.4. </w:t>
      </w:r>
      <w:r w:rsidR="0072292A">
        <w:t>computing m</w:t>
      </w:r>
      <w:r w:rsidR="00CF659B" w:rsidRPr="003B6C5B">
        <w:t>ultiscale portfolio</w:t>
      </w:r>
      <w:r w:rsidR="0072292A">
        <w:t xml:space="preserve"> weights</w:t>
      </w:r>
      <w:r w:rsidR="00CF659B" w:rsidRPr="003B6C5B">
        <w:t xml:space="preserve"> against skewness and kurtosis risk</w:t>
      </w:r>
    </w:p>
    <w:p w14:paraId="2ADE22F3" w14:textId="247019C2" w:rsidR="002E6FC3" w:rsidRPr="003B6C5B" w:rsidRDefault="002E6FC3" w:rsidP="006724D6">
      <w:pPr>
        <w:tabs>
          <w:tab w:val="left" w:pos="7655"/>
          <w:tab w:val="left" w:pos="7845"/>
        </w:tabs>
        <w:spacing w:line="480" w:lineRule="auto"/>
        <w:ind w:firstLineChars="177" w:firstLine="425"/>
        <w:jc w:val="both"/>
        <w:rPr>
          <w:color w:val="000000" w:themeColor="text1"/>
        </w:rPr>
      </w:pPr>
      <w:r w:rsidRPr="003B6C5B">
        <w:rPr>
          <w:color w:val="000000" w:themeColor="text1"/>
        </w:rPr>
        <w:t xml:space="preserve">After discovering </w:t>
      </w:r>
      <w:r w:rsidR="001D174F">
        <w:rPr>
          <w:color w:val="000000" w:themeColor="text1"/>
        </w:rPr>
        <w:t xml:space="preserve">the interplay of </w:t>
      </w:r>
      <w:r w:rsidRPr="003B6C5B">
        <w:rPr>
          <w:color w:val="000000" w:themeColor="text1"/>
        </w:rPr>
        <w:t>higher-order moment</w:t>
      </w:r>
      <w:r w:rsidR="001B6EB2" w:rsidRPr="003B6C5B">
        <w:rPr>
          <w:color w:val="000000" w:themeColor="text1"/>
        </w:rPr>
        <w:t>s</w:t>
      </w:r>
      <w:r w:rsidRPr="003B6C5B">
        <w:rPr>
          <w:color w:val="000000" w:themeColor="text1"/>
        </w:rPr>
        <w:t xml:space="preserve"> between the carbon and energy markets, this study </w:t>
      </w:r>
      <w:r w:rsidR="007615BB" w:rsidRPr="003B6C5B">
        <w:rPr>
          <w:color w:val="000000" w:themeColor="text1"/>
        </w:rPr>
        <w:t xml:space="preserve">demonstrates </w:t>
      </w:r>
      <w:r w:rsidRPr="003B6C5B">
        <w:rPr>
          <w:color w:val="000000" w:themeColor="text1"/>
        </w:rPr>
        <w:t xml:space="preserve">how to </w:t>
      </w:r>
      <w:r w:rsidR="00AB4470">
        <w:rPr>
          <w:color w:val="000000" w:themeColor="text1"/>
        </w:rPr>
        <w:t>compute</w:t>
      </w:r>
      <w:r w:rsidRPr="003B6C5B">
        <w:rPr>
          <w:color w:val="000000" w:themeColor="text1"/>
        </w:rPr>
        <w:t xml:space="preserve"> the </w:t>
      </w:r>
      <w:r w:rsidR="005B4D2F">
        <w:rPr>
          <w:color w:val="000000" w:themeColor="text1"/>
        </w:rPr>
        <w:t>weight</w:t>
      </w:r>
      <w:r w:rsidRPr="003B6C5B">
        <w:rPr>
          <w:color w:val="000000" w:themeColor="text1"/>
        </w:rPr>
        <w:t xml:space="preserve"> of carbon </w:t>
      </w:r>
      <w:r w:rsidR="005B4D2F">
        <w:rPr>
          <w:color w:val="000000" w:themeColor="text1"/>
        </w:rPr>
        <w:t>and</w:t>
      </w:r>
      <w:r w:rsidRPr="003B6C5B">
        <w:rPr>
          <w:color w:val="000000" w:themeColor="text1"/>
        </w:rPr>
        <w:t xml:space="preserve"> energy </w:t>
      </w:r>
      <w:r w:rsidR="005B4D2F">
        <w:rPr>
          <w:color w:val="000000" w:themeColor="text1"/>
        </w:rPr>
        <w:t xml:space="preserve">assets </w:t>
      </w:r>
      <w:r w:rsidRPr="003B6C5B">
        <w:rPr>
          <w:color w:val="000000" w:themeColor="text1"/>
        </w:rPr>
        <w:t>in a portfolio to hedge against</w:t>
      </w:r>
      <w:r w:rsidR="001B6EB2" w:rsidRPr="003B6C5B">
        <w:rPr>
          <w:color w:val="000000" w:themeColor="text1"/>
        </w:rPr>
        <w:t xml:space="preserve"> exposure to</w:t>
      </w:r>
      <w:r w:rsidR="0018607A" w:rsidRPr="003B6C5B">
        <w:rPr>
          <w:color w:val="000000" w:themeColor="text1"/>
        </w:rPr>
        <w:t xml:space="preserve"> </w:t>
      </w:r>
      <w:r w:rsidR="001D174F">
        <w:rPr>
          <w:color w:val="000000" w:themeColor="text1"/>
        </w:rPr>
        <w:t>risk of higher-order moments</w:t>
      </w:r>
      <w:r w:rsidRPr="003B6C5B">
        <w:rPr>
          <w:color w:val="000000" w:themeColor="text1"/>
        </w:rPr>
        <w:t xml:space="preserve">. </w:t>
      </w:r>
      <w:r w:rsidR="005B4D2F" w:rsidRPr="00B502DC">
        <w:rPr>
          <w:rFonts w:hint="eastAsia"/>
          <w:color w:val="000000" w:themeColor="text1"/>
        </w:rPr>
        <w:t>W</w:t>
      </w:r>
      <w:r w:rsidRPr="003B6C5B">
        <w:rPr>
          <w:color w:val="000000" w:themeColor="text1"/>
        </w:rPr>
        <w:t xml:space="preserve">e </w:t>
      </w:r>
      <w:r w:rsidR="001B6EB2" w:rsidRPr="003B6C5B">
        <w:rPr>
          <w:color w:val="000000" w:themeColor="text1"/>
        </w:rPr>
        <w:t xml:space="preserve">attempt </w:t>
      </w:r>
      <w:r w:rsidRPr="003B6C5B">
        <w:rPr>
          <w:color w:val="000000" w:themeColor="text1"/>
        </w:rPr>
        <w:t xml:space="preserve">to maximise skewness to increase the </w:t>
      </w:r>
      <w:r w:rsidR="001B6EB2" w:rsidRPr="003B6C5B">
        <w:rPr>
          <w:color w:val="000000" w:themeColor="text1"/>
        </w:rPr>
        <w:t xml:space="preserve">upside </w:t>
      </w:r>
      <w:r w:rsidR="008E50BA" w:rsidRPr="003B6C5B">
        <w:rPr>
          <w:color w:val="000000" w:themeColor="text1"/>
        </w:rPr>
        <w:t xml:space="preserve">(winning) </w:t>
      </w:r>
      <w:r w:rsidRPr="003B6C5B">
        <w:rPr>
          <w:color w:val="000000" w:themeColor="text1"/>
        </w:rPr>
        <w:t xml:space="preserve">probability and minimise kurtosis to reduce the probability of </w:t>
      </w:r>
      <w:r w:rsidR="001B6EB2" w:rsidRPr="003B6C5B">
        <w:rPr>
          <w:color w:val="000000" w:themeColor="text1"/>
        </w:rPr>
        <w:t xml:space="preserve">occurrence of </w:t>
      </w:r>
      <w:r w:rsidRPr="003B6C5B">
        <w:rPr>
          <w:color w:val="000000" w:themeColor="text1"/>
        </w:rPr>
        <w:t>extreme</w:t>
      </w:r>
      <w:r w:rsidR="008E50BA" w:rsidRPr="003B6C5B">
        <w:rPr>
          <w:color w:val="000000" w:themeColor="text1"/>
        </w:rPr>
        <w:t xml:space="preserve"> </w:t>
      </w:r>
      <w:r w:rsidRPr="003B6C5B">
        <w:rPr>
          <w:color w:val="000000" w:themeColor="text1"/>
        </w:rPr>
        <w:t>returns.</w:t>
      </w:r>
      <w:r w:rsidRPr="003B6C5B">
        <w:t xml:space="preserve"> Suppos</w:t>
      </w:r>
      <w:r w:rsidR="001B6EB2" w:rsidRPr="003B6C5B">
        <w:t>e</w:t>
      </w:r>
      <w:r w:rsidRPr="003B6C5B">
        <w:t xml:space="preserve"> </w:t>
      </w:r>
      <m:oMath>
        <m:sSub>
          <m:sSubPr>
            <m:ctrlPr>
              <w:rPr>
                <w:rFonts w:ascii="Cambria Math" w:hAnsi="Cambria Math"/>
                <w:i/>
                <w:lang w:eastAsia="en-US"/>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lang w:eastAsia="en-US"/>
              </w:rPr>
            </m:ctrlPr>
          </m:sSubPr>
          <m:e>
            <m:r>
              <w:rPr>
                <w:rFonts w:ascii="Cambria Math" w:hAnsi="Cambria Math"/>
              </w:rPr>
              <m:t>ω</m:t>
            </m:r>
          </m:e>
          <m:sub>
            <m:r>
              <w:rPr>
                <w:rFonts w:ascii="Cambria Math" w:hAnsi="Cambria Math"/>
              </w:rPr>
              <m:t>1t</m:t>
            </m:r>
          </m:sub>
        </m:sSub>
        <m:r>
          <w:rPr>
            <w:rFonts w:ascii="Cambria Math" w:hAnsi="Cambria Math"/>
          </w:rPr>
          <m:t>,</m:t>
        </m:r>
        <m:sSub>
          <m:sSubPr>
            <m:ctrlPr>
              <w:rPr>
                <w:rFonts w:ascii="Cambria Math" w:hAnsi="Cambria Math"/>
                <w:i/>
                <w:lang w:eastAsia="en-US"/>
              </w:rPr>
            </m:ctrlPr>
          </m:sSubPr>
          <m:e>
            <m:r>
              <w:rPr>
                <w:rFonts w:ascii="Cambria Math" w:hAnsi="Cambria Math"/>
              </w:rPr>
              <m:t>ω</m:t>
            </m:r>
          </m:e>
          <m:sub>
            <m:r>
              <w:rPr>
                <w:rFonts w:ascii="Cambria Math" w:hAnsi="Cambria Math"/>
              </w:rPr>
              <m:t>2t</m:t>
            </m:r>
          </m:sub>
        </m:sSub>
        <m:r>
          <w:rPr>
            <w:rFonts w:ascii="Cambria Math" w:hAnsi="Cambria Math"/>
          </w:rPr>
          <m:t>,</m:t>
        </m:r>
        <m:sSub>
          <m:sSubPr>
            <m:ctrlPr>
              <w:rPr>
                <w:rFonts w:ascii="Cambria Math" w:hAnsi="Cambria Math"/>
                <w:i/>
                <w:lang w:eastAsia="en-US"/>
              </w:rPr>
            </m:ctrlPr>
          </m:sSubPr>
          <m:e>
            <m:r>
              <w:rPr>
                <w:rFonts w:ascii="Cambria Math" w:hAnsi="Cambria Math"/>
              </w:rPr>
              <m:t>ω</m:t>
            </m:r>
          </m:e>
          <m:sub>
            <m:r>
              <w:rPr>
                <w:rFonts w:ascii="Cambria Math" w:hAnsi="Cambria Math"/>
              </w:rPr>
              <m:t>3t</m:t>
            </m:r>
          </m:sub>
        </m:sSub>
        <m:r>
          <w:rPr>
            <w:rFonts w:ascii="Cambria Math" w:hAnsi="Cambria Math"/>
          </w:rPr>
          <m:t>,</m:t>
        </m:r>
        <m:sSub>
          <m:sSubPr>
            <m:ctrlPr>
              <w:rPr>
                <w:rFonts w:ascii="Cambria Math" w:hAnsi="Cambria Math"/>
                <w:i/>
                <w:lang w:eastAsia="en-US"/>
              </w:rPr>
            </m:ctrlPr>
          </m:sSubPr>
          <m:e>
            <m:r>
              <w:rPr>
                <w:rFonts w:ascii="Cambria Math" w:hAnsi="Cambria Math"/>
              </w:rPr>
              <m:t>ω</m:t>
            </m:r>
          </m:e>
          <m:sub>
            <m:r>
              <w:rPr>
                <w:rFonts w:ascii="Cambria Math" w:hAnsi="Cambria Math"/>
              </w:rPr>
              <m:t>4t</m:t>
            </m:r>
          </m:sub>
        </m:sSub>
        <m:r>
          <w:rPr>
            <w:rFonts w:ascii="Cambria Math" w:hAnsi="Cambria Math"/>
          </w:rPr>
          <m:t>)'</m:t>
        </m:r>
      </m:oMath>
      <w:r w:rsidRPr="003B6C5B">
        <w:rPr>
          <w:rFonts w:hint="eastAsia"/>
        </w:rPr>
        <w:t xml:space="preserve"> </w:t>
      </w:r>
      <w:r w:rsidRPr="003B6C5B">
        <w:t>is the weights of carbon, coal, natural gas</w:t>
      </w:r>
      <w:r w:rsidR="001B6EB2" w:rsidRPr="003B6C5B">
        <w:t>,</w:t>
      </w:r>
      <w:r w:rsidRPr="003B6C5B">
        <w:t xml:space="preserve"> and oil assets</w:t>
      </w:r>
      <w:r w:rsidR="00FD7902" w:rsidRPr="003B6C5B">
        <w:t xml:space="preserve"> at time </w:t>
      </w:r>
      <m:oMath>
        <m:r>
          <w:rPr>
            <w:rFonts w:ascii="Cambria Math" w:hAnsi="Cambria Math"/>
          </w:rPr>
          <m:t>t</m:t>
        </m:r>
      </m:oMath>
      <w:r w:rsidRPr="003B6C5B">
        <w:t xml:space="preserve">, and they are not allowed </w:t>
      </w:r>
      <w:r w:rsidR="007F2921" w:rsidRPr="003B6C5B">
        <w:t xml:space="preserve">during the time </w:t>
      </w:r>
      <w:r w:rsidRPr="003B6C5B">
        <w:t>short position</w:t>
      </w:r>
      <w:r w:rsidR="007F2921" w:rsidRPr="003B6C5B">
        <w:t>s are in place</w:t>
      </w:r>
      <w:r w:rsidR="001B6EB2" w:rsidRPr="003B6C5B">
        <w:t>.</w:t>
      </w:r>
      <w:r w:rsidRPr="003B6C5B">
        <w:rPr>
          <w:rStyle w:val="FootnoteReference"/>
        </w:rPr>
        <w:footnoteReference w:id="15"/>
      </w:r>
      <w:r w:rsidR="000B6708" w:rsidRPr="003B6C5B">
        <w:t xml:space="preserve"> </w:t>
      </w:r>
      <w:r w:rsidRPr="003B6C5B">
        <w:rPr>
          <w:color w:val="000000" w:themeColor="text1"/>
        </w:rPr>
        <w:t>We obtain the following multi-object nonlinear program</w:t>
      </w:r>
      <w:r w:rsidR="00C74C92" w:rsidRPr="003B6C5B">
        <w:rPr>
          <w:color w:val="000000" w:themeColor="text1"/>
        </w:rPr>
        <w:t xml:space="preserve"> (NLP)</w:t>
      </w:r>
      <w:r w:rsidRPr="003B6C5B">
        <w:rPr>
          <w:color w:val="000000" w:themeColor="text1"/>
        </w:rPr>
        <w:t>.</w:t>
      </w:r>
    </w:p>
    <w:p w14:paraId="64FD40A5" w14:textId="491D63F0" w:rsidR="002E6FC3" w:rsidRPr="003B6C5B" w:rsidRDefault="0029500C" w:rsidP="006724D6">
      <w:pPr>
        <w:pStyle w:val="FirstParagraph"/>
        <w:tabs>
          <w:tab w:val="left" w:pos="7797"/>
        </w:tabs>
        <w:jc w:val="both"/>
      </w:pPr>
      <m:oMath>
        <m:d>
          <m:dPr>
            <m:begChr m:val="{"/>
            <m:endChr m:val=""/>
            <m:ctrlPr>
              <w:rPr>
                <w:rFonts w:ascii="Cambria Math" w:hAnsi="Cambria Math"/>
              </w:rPr>
            </m:ctrlPr>
          </m:dPr>
          <m:e>
            <m:m>
              <m:mPr>
                <m:plcHide m:val="1"/>
                <m:mcs>
                  <m:mc>
                    <m:mcPr>
                      <m:count m:val="1"/>
                      <m:mcJc m:val="right"/>
                    </m:mcPr>
                  </m:mc>
                  <m:mc>
                    <m:mcPr>
                      <m:count m:val="1"/>
                      <m:mcJc m:val="left"/>
                    </m:mcPr>
                  </m:mc>
                  <m:mc>
                    <m:mcPr>
                      <m:count m:val="1"/>
                      <m:mcJc m:val="right"/>
                    </m:mcPr>
                  </m:mc>
                </m:mcs>
                <m:ctrlPr>
                  <w:rPr>
                    <w:rFonts w:ascii="Cambria Math" w:hAnsi="Cambria Math"/>
                    <w:i/>
                  </w:rPr>
                </m:ctrlPr>
              </m:mPr>
              <m:mr>
                <m:e>
                  <m:r>
                    <w:rPr>
                      <w:rFonts w:ascii="Cambria Math" w:hAnsi="Cambria Math"/>
                    </w:rPr>
                    <m:t>max </m:t>
                  </m:r>
                  <m:sSub>
                    <m:sSubPr>
                      <m:ctrlPr>
                        <w:rPr>
                          <w:rFonts w:ascii="Cambria Math" w:hAnsi="Cambria Math"/>
                          <w:i/>
                        </w:rPr>
                      </m:ctrlPr>
                    </m:sSubPr>
                    <m:e>
                      <m:r>
                        <w:rPr>
                          <w:rFonts w:ascii="Cambria Math" w:hAnsi="Cambria Math"/>
                        </w:rPr>
                        <m:t>μ</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1t</m:t>
                      </m:r>
                    </m:sub>
                  </m:sSub>
                </m:e>
                <m:e/>
              </m:mr>
              <m:mr>
                <m:e>
                  <m:r>
                    <w:rPr>
                      <w:rFonts w:ascii="Cambria Math" w:hAnsi="Cambria Math"/>
                    </w:rPr>
                    <m:t>min </m:t>
                  </m:r>
                  <m:sSub>
                    <m:sSubPr>
                      <m:ctrlPr>
                        <w:rPr>
                          <w:rFonts w:ascii="Cambria Math" w:hAnsi="Cambria Math"/>
                          <w:i/>
                        </w:rPr>
                      </m:ctrlPr>
                    </m:sSubPr>
                    <m:e>
                      <m:r>
                        <w:rPr>
                          <w:rFonts w:ascii="Cambria Math" w:hAnsi="Cambria Math"/>
                        </w:rPr>
                        <m:t>σ</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2t</m:t>
                      </m:r>
                    </m:sub>
                  </m:sSub>
                  <m:sSub>
                    <m:sSubPr>
                      <m:ctrlPr>
                        <w:rPr>
                          <w:rFonts w:ascii="Cambria Math" w:hAnsi="Cambria Math"/>
                          <w:i/>
                        </w:rPr>
                      </m:ctrlPr>
                    </m:sSubPr>
                    <m:e>
                      <m:r>
                        <w:rPr>
                          <w:rFonts w:ascii="Cambria Math" w:hAnsi="Cambria Math"/>
                        </w:rPr>
                        <m:t>ω</m:t>
                      </m:r>
                    </m:e>
                    <m:sub>
                      <m:r>
                        <w:rPr>
                          <w:rFonts w:ascii="Cambria Math" w:hAnsi="Cambria Math"/>
                        </w:rPr>
                        <m:t>t</m:t>
                      </m:r>
                    </m:sub>
                  </m:sSub>
                </m:e>
                <m:e/>
              </m:mr>
              <m:mr>
                <m:e>
                  <m:r>
                    <w:rPr>
                      <w:rFonts w:ascii="Cambria Math" w:hAnsi="Cambria Math"/>
                    </w:rPr>
                    <m:t>max </m:t>
                  </m:r>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e>
                <m:e/>
              </m:mr>
              <m:mr>
                <m:e>
                  <m:r>
                    <w:rPr>
                      <w:rFonts w:ascii="Cambria Math" w:hAnsi="Cambria Math"/>
                    </w:rPr>
                    <m:t>min </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4t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e>
                <m:e/>
              </m:mr>
              <m:mr>
                <m:e>
                  <m:r>
                    <w:rPr>
                      <w:rFonts w:ascii="Cambria Math" w:hAnsi="Cambria Math"/>
                    </w:rPr>
                    <m:t>s.t. </m:t>
                  </m:r>
                  <m:sSub>
                    <m:sSubPr>
                      <m:ctrlPr>
                        <w:rPr>
                          <w:rFonts w:ascii="Cambria Math" w:hAnsi="Cambria Math"/>
                          <w:i/>
                        </w:rPr>
                      </m:ctrlPr>
                    </m:sSubPr>
                    <m:e>
                      <m:r>
                        <w:rPr>
                          <w:rFonts w:ascii="Cambria Math" w:hAnsi="Cambria Math"/>
                        </w:rPr>
                        <m:t>ω</m:t>
                      </m:r>
                    </m:e>
                    <m:sub>
                      <m:r>
                        <w:rPr>
                          <w:rFonts w:ascii="Cambria Math" w:hAnsi="Cambria Math"/>
                        </w:rPr>
                        <m:t>t</m:t>
                      </m:r>
                    </m:sub>
                  </m:sSub>
                  <m:r>
                    <m:rPr>
                      <m:nor/>
                    </m:rPr>
                    <w:rPr>
                      <w:b/>
                      <w:bCs/>
                      <w:i/>
                    </w:rPr>
                    <m:t>1</m:t>
                  </m:r>
                </m:e>
                <m:e>
                  <m:r>
                    <w:rPr>
                      <w:rFonts w:ascii="Cambria Math" w:hAnsi="Cambria Math"/>
                    </w:rPr>
                    <m:t>=1</m:t>
                  </m:r>
                </m:e>
                <m:e/>
              </m:mr>
              <m:mr>
                <m:e>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i</m:t>
                  </m:r>
                </m:e>
                <m:e>
                  <m:r>
                    <w:rPr>
                      <w:rFonts w:ascii="Cambria Math" w:hAnsi="Cambria Math"/>
                    </w:rPr>
                    <m:t>≥0,(i=1,...,4)</m:t>
                  </m:r>
                </m:e>
                <m:e/>
              </m:mr>
            </m:m>
          </m:e>
        </m:d>
      </m:oMath>
      <w:r w:rsidR="00FD7902" w:rsidRPr="003B6C5B">
        <w:rPr>
          <w:rFonts w:ascii="Times New Roman" w:hAnsi="Times New Roman" w:cs="Times New Roman"/>
          <w:lang w:eastAsia="zh-CN"/>
        </w:rPr>
        <w:t>,</w:t>
      </w:r>
      <w:r w:rsidR="002E6FC3" w:rsidRPr="003B6C5B">
        <w:tab/>
      </w:r>
      <w:r w:rsidR="002E6FC3" w:rsidRPr="003B6C5B">
        <w:rPr>
          <w:rFonts w:ascii="Times New Roman" w:hAnsi="Times New Roman" w:cs="Times New Roman"/>
        </w:rPr>
        <w:t>(P1)</w:t>
      </w:r>
    </w:p>
    <w:p w14:paraId="0AD22450" w14:textId="0EF1A375" w:rsidR="002E6FC3" w:rsidRPr="003B6C5B" w:rsidRDefault="00FD7902" w:rsidP="006724D6">
      <w:pPr>
        <w:tabs>
          <w:tab w:val="left" w:pos="7655"/>
          <w:tab w:val="left" w:pos="7845"/>
        </w:tabs>
        <w:spacing w:line="480" w:lineRule="auto"/>
        <w:jc w:val="both"/>
        <w:rPr>
          <w:color w:val="000000" w:themeColor="text1"/>
        </w:rPr>
      </w:pPr>
      <w:r w:rsidRPr="003B6C5B">
        <w:rPr>
          <w:color w:val="000000" w:themeColor="text1"/>
        </w:rPr>
        <w:t xml:space="preserve">where </w:t>
      </w:r>
      <m:oMath>
        <m:r>
          <w:rPr>
            <w:rFonts w:ascii="Cambria Math" w:hAnsi="Cambria Math"/>
          </w:rPr>
          <m:t>⊗</m:t>
        </m:r>
      </m:oMath>
      <w:r w:rsidRPr="003B6C5B">
        <w:rPr>
          <w:rFonts w:hint="eastAsia"/>
        </w:rPr>
        <w:t xml:space="preserve"> </w:t>
      </w:r>
      <w:r w:rsidRPr="003B6C5B">
        <w:t xml:space="preserve">is </w:t>
      </w:r>
      <w:r w:rsidR="007F2921" w:rsidRPr="003B6C5B">
        <w:t>K</w:t>
      </w:r>
      <w:r w:rsidRPr="003B6C5B">
        <w:t>roneck</w:t>
      </w:r>
      <w:r w:rsidR="007F2921" w:rsidRPr="003B6C5B">
        <w:t>er</w:t>
      </w:r>
      <w:r w:rsidRPr="003B6C5B">
        <w:t xml:space="preserve"> product, and </w:t>
      </w:r>
      <m:oMath>
        <m:sSub>
          <m:sSubPr>
            <m:ctrlPr>
              <w:rPr>
                <w:rFonts w:ascii="Cambria Math" w:hAnsi="Cambria Math"/>
                <w:lang w:eastAsia="en-US"/>
              </w:rPr>
            </m:ctrlPr>
          </m:sSubPr>
          <m:e>
            <m:r>
              <w:rPr>
                <w:rFonts w:ascii="Cambria Math" w:hAnsi="Cambria Math"/>
              </w:rPr>
              <m:t>M</m:t>
            </m:r>
          </m:e>
          <m:sub>
            <m:r>
              <w:rPr>
                <w:rFonts w:ascii="Cambria Math" w:hAnsi="Cambria Math"/>
              </w:rPr>
              <m:t>1t</m:t>
            </m:r>
          </m:sub>
        </m:sSub>
      </m:oMath>
      <w:r w:rsidRPr="003B6C5B">
        <w:rPr>
          <w:rFonts w:hint="eastAsia"/>
        </w:rPr>
        <w:t>,</w:t>
      </w:r>
      <w:r w:rsidRPr="003B6C5B">
        <w:t xml:space="preserve"> </w:t>
      </w:r>
      <m:oMath>
        <m:sSub>
          <m:sSubPr>
            <m:ctrlPr>
              <w:rPr>
                <w:rFonts w:ascii="Cambria Math" w:hAnsi="Cambria Math"/>
                <w:lang w:eastAsia="en-US"/>
              </w:rPr>
            </m:ctrlPr>
          </m:sSubPr>
          <m:e>
            <m:r>
              <w:rPr>
                <w:rFonts w:ascii="Cambria Math" w:hAnsi="Cambria Math"/>
              </w:rPr>
              <m:t>M</m:t>
            </m:r>
          </m:e>
          <m:sub>
            <m:r>
              <w:rPr>
                <w:rFonts w:ascii="Cambria Math" w:hAnsi="Cambria Math"/>
              </w:rPr>
              <m:t>2t</m:t>
            </m:r>
          </m:sub>
        </m:sSub>
      </m:oMath>
      <w:r w:rsidRPr="003B6C5B">
        <w:rPr>
          <w:rFonts w:hint="eastAsia"/>
        </w:rPr>
        <w:t>,</w:t>
      </w:r>
      <w:r w:rsidRPr="003B6C5B">
        <w:t xml:space="preserve"> </w:t>
      </w:r>
      <m:oMath>
        <m:sSub>
          <m:sSubPr>
            <m:ctrlPr>
              <w:rPr>
                <w:rFonts w:ascii="Cambria Math" w:hAnsi="Cambria Math"/>
                <w:lang w:eastAsia="en-US"/>
              </w:rPr>
            </m:ctrlPr>
          </m:sSubPr>
          <m:e>
            <m:r>
              <w:rPr>
                <w:rFonts w:ascii="Cambria Math" w:hAnsi="Cambria Math"/>
              </w:rPr>
              <m:t>M</m:t>
            </m:r>
          </m:e>
          <m:sub>
            <m:r>
              <w:rPr>
                <w:rFonts w:ascii="Cambria Math" w:hAnsi="Cambria Math"/>
              </w:rPr>
              <m:t>3t</m:t>
            </m:r>
          </m:sub>
        </m:sSub>
      </m:oMath>
      <w:r w:rsidRPr="003B6C5B">
        <w:rPr>
          <w:rFonts w:hint="eastAsia"/>
        </w:rPr>
        <w:t xml:space="preserve"> </w:t>
      </w:r>
      <w:r w:rsidRPr="003B6C5B">
        <w:t xml:space="preserve">and </w:t>
      </w:r>
      <m:oMath>
        <m:sSub>
          <m:sSubPr>
            <m:ctrlPr>
              <w:rPr>
                <w:rFonts w:ascii="Cambria Math" w:hAnsi="Cambria Math"/>
                <w:lang w:eastAsia="en-US"/>
              </w:rPr>
            </m:ctrlPr>
          </m:sSubPr>
          <m:e>
            <m:r>
              <w:rPr>
                <w:rFonts w:ascii="Cambria Math" w:hAnsi="Cambria Math"/>
              </w:rPr>
              <m:t>M</m:t>
            </m:r>
          </m:e>
          <m:sub>
            <m:r>
              <w:rPr>
                <w:rFonts w:ascii="Cambria Math" w:hAnsi="Cambria Math"/>
              </w:rPr>
              <m:t>4t</m:t>
            </m:r>
          </m:sub>
        </m:sSub>
      </m:oMath>
      <w:r w:rsidRPr="003B6C5B">
        <w:rPr>
          <w:rFonts w:hint="eastAsia"/>
        </w:rPr>
        <w:t xml:space="preserve"> </w:t>
      </w:r>
      <w:r w:rsidRPr="003B6C5B">
        <w:t>refers to the first- to fo</w:t>
      </w:r>
      <w:r w:rsidR="007F2921" w:rsidRPr="003B6C5B">
        <w:t>u</w:t>
      </w:r>
      <w:r w:rsidRPr="003B6C5B">
        <w:t xml:space="preserve">rth-order moment matrix of carbon and energy assets at time </w:t>
      </w:r>
      <m:oMath>
        <m:r>
          <w:rPr>
            <w:rFonts w:ascii="Cambria Math" w:hAnsi="Cambria Math"/>
          </w:rPr>
          <m:t>t</m:t>
        </m:r>
      </m:oMath>
      <w:r w:rsidRPr="003B6C5B">
        <w:t>.</w:t>
      </w:r>
      <w:r w:rsidRPr="003B6C5B">
        <w:rPr>
          <w:color w:val="000000" w:themeColor="text1"/>
        </w:rPr>
        <w:t xml:space="preserve"> </w:t>
      </w:r>
      <w:r w:rsidR="00C74C92" w:rsidRPr="003B6C5B">
        <w:rPr>
          <w:color w:val="000000" w:themeColor="text1"/>
        </w:rPr>
        <w:t xml:space="preserve">To find the optimal </w:t>
      </w:r>
      <w:r w:rsidR="007A68FD" w:rsidRPr="003B6C5B">
        <w:rPr>
          <w:color w:val="000000" w:themeColor="text1"/>
        </w:rPr>
        <w:t>weights</w:t>
      </w:r>
      <w:r w:rsidR="00C74C92" w:rsidRPr="003B6C5B">
        <w:rPr>
          <w:rFonts w:hint="eastAsia"/>
          <w:color w:val="000000" w:themeColor="text1"/>
        </w:rPr>
        <w:t xml:space="preserve"> </w:t>
      </w:r>
      <w:r w:rsidR="00C74C92" w:rsidRPr="003B6C5B">
        <w:rPr>
          <w:color w:val="000000" w:themeColor="text1"/>
        </w:rPr>
        <w:t>of programming (P1)</w:t>
      </w:r>
      <w:r w:rsidR="00C74C92" w:rsidRPr="003B6C5B">
        <w:rPr>
          <w:rFonts w:hint="eastAsia"/>
          <w:color w:val="000000" w:themeColor="text1"/>
        </w:rPr>
        <w:t>,</w:t>
      </w:r>
      <w:r w:rsidR="00C74C92" w:rsidRPr="003B6C5B">
        <w:rPr>
          <w:color w:val="000000" w:themeColor="text1"/>
        </w:rPr>
        <w:t xml:space="preserve"> f</w:t>
      </w:r>
      <w:r w:rsidR="00A92214" w:rsidRPr="003B6C5B">
        <w:rPr>
          <w:color w:val="000000" w:themeColor="text1"/>
        </w:rPr>
        <w:t>ollowing the polynomial goal programming technology of Lai et al. (2006)</w:t>
      </w:r>
      <w:r w:rsidRPr="003B6C5B">
        <w:rPr>
          <w:color w:val="000000" w:themeColor="text1"/>
        </w:rPr>
        <w:t>, w</w:t>
      </w:r>
      <w:r w:rsidR="00C74C92" w:rsidRPr="003B6C5B">
        <w:rPr>
          <w:color w:val="000000" w:themeColor="text1"/>
        </w:rPr>
        <w:t xml:space="preserve">e </w:t>
      </w:r>
      <w:r w:rsidR="007E0B50" w:rsidRPr="003B6C5B">
        <w:rPr>
          <w:color w:val="000000" w:themeColor="text1"/>
        </w:rPr>
        <w:t xml:space="preserve">first </w:t>
      </w:r>
      <w:r w:rsidR="00C74C92" w:rsidRPr="003B6C5B">
        <w:rPr>
          <w:color w:val="000000" w:themeColor="text1"/>
        </w:rPr>
        <w:t>split programming (P1) into four NLPs as follows.</w:t>
      </w:r>
    </w:p>
    <w:p w14:paraId="15C28CDB" w14:textId="38BF08B2" w:rsidR="00C74C92" w:rsidRPr="003B6C5B" w:rsidRDefault="0029500C" w:rsidP="006724D6">
      <w:pPr>
        <w:pStyle w:val="FirstParagraph"/>
        <w:tabs>
          <w:tab w:val="left" w:pos="7797"/>
        </w:tabs>
        <w:jc w:val="both"/>
        <w:rPr>
          <w:rFonts w:ascii="Times New Roman" w:hAnsi="Times New Roman" w:cs="Times New Roman"/>
        </w:rPr>
      </w:pPr>
      <m:oMath>
        <m:d>
          <m:dPr>
            <m:begChr m:val="{"/>
            <m:endChr m:val=""/>
            <m:ctrlPr>
              <w:rPr>
                <w:rFonts w:ascii="Cambria Math" w:hAnsi="Cambria Math"/>
              </w:rPr>
            </m:ctrlPr>
          </m:dPr>
          <m:e>
            <m:m>
              <m:mPr>
                <m:plcHide m:val="1"/>
                <m:mcs>
                  <m:mc>
                    <m:mcPr>
                      <m:count m:val="1"/>
                      <m:mcJc m:val="right"/>
                    </m:mcPr>
                  </m:mc>
                  <m:mc>
                    <m:mcPr>
                      <m:count m:val="1"/>
                      <m:mcJc m:val="left"/>
                    </m:mcPr>
                  </m:mc>
                  <m:mc>
                    <m:mcPr>
                      <m:count m:val="1"/>
                      <m:mcJc m:val="right"/>
                    </m:mcPr>
                  </m:mc>
                </m:mcs>
                <m:ctrlPr>
                  <w:rPr>
                    <w:rFonts w:ascii="Cambria Math" w:hAnsi="Cambria Math"/>
                  </w:rPr>
                </m:ctrlPr>
              </m:mPr>
              <m:mr>
                <m:e>
                  <m:r>
                    <w:rPr>
                      <w:rFonts w:ascii="Cambria Math" w:hAnsi="Cambria Math"/>
                    </w:rPr>
                    <m:t>max </m:t>
                  </m:r>
                  <m:sSub>
                    <m:sSubPr>
                      <m:ctrlPr>
                        <w:rPr>
                          <w:rFonts w:ascii="Cambria Math" w:hAnsi="Cambria Math"/>
                        </w:rPr>
                      </m:ctrlPr>
                    </m:sSubPr>
                    <m:e>
                      <m:r>
                        <w:rPr>
                          <w:rFonts w:ascii="Cambria Math" w:hAnsi="Cambria Math"/>
                        </w:rPr>
                        <m:t>μ</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1t</m:t>
                      </m:r>
                    </m:sub>
                  </m:sSub>
                </m:e>
                <m:e/>
              </m:mr>
              <m:mr>
                <m:e>
                  <m:r>
                    <w:rPr>
                      <w:rFonts w:ascii="Cambria Math" w:hAnsi="Cambria Math"/>
                    </w:rPr>
                    <m:t>s.t. </m:t>
                  </m:r>
                  <m:sSub>
                    <m:sSubPr>
                      <m:ctrlPr>
                        <w:rPr>
                          <w:rFonts w:ascii="Cambria Math" w:hAnsi="Cambria Math"/>
                        </w:rPr>
                      </m:ctrlPr>
                    </m:sSubPr>
                    <m:e>
                      <m:r>
                        <w:rPr>
                          <w:rFonts w:ascii="Cambria Math" w:hAnsi="Cambria Math"/>
                        </w:rPr>
                        <m:t>ω</m:t>
                      </m:r>
                    </m:e>
                    <m:sub>
                      <m:r>
                        <w:rPr>
                          <w:rFonts w:ascii="Cambria Math" w:hAnsi="Cambria Math"/>
                        </w:rPr>
                        <m:t>t</m:t>
                      </m:r>
                    </m:sub>
                  </m:sSub>
                  <m:r>
                    <m:rPr>
                      <m:nor/>
                    </m:rPr>
                    <w:rPr>
                      <w:b/>
                      <w:bCs/>
                    </w:rPr>
                    <m:t>1</m:t>
                  </m:r>
                </m:e>
                <m:e>
                  <m:r>
                    <w:rPr>
                      <w:rFonts w:ascii="Cambria Math" w:hAnsi="Cambria Math"/>
                    </w:rPr>
                    <m:t>=1</m:t>
                  </m:r>
                </m:e>
                <m:e/>
              </m:mr>
              <m:mr>
                <m:e>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i</m:t>
                  </m:r>
                </m:e>
                <m:e>
                  <m:r>
                    <w:rPr>
                      <w:rFonts w:ascii="Cambria Math" w:hAnsi="Cambria Math"/>
                    </w:rPr>
                    <m:t>≥0,(i=1,...,4)</m:t>
                  </m:r>
                </m:e>
                <m:e/>
              </m:mr>
            </m:m>
          </m:e>
        </m:d>
      </m:oMath>
      <w:r w:rsidR="00AB4470" w:rsidRPr="00AB4470">
        <w:rPr>
          <w:rFonts w:ascii="Times New Roman" w:eastAsiaTheme="minorEastAsia" w:hAnsi="Times New Roman" w:cs="Times New Roman"/>
          <w:lang w:eastAsia="zh-CN"/>
        </w:rPr>
        <w:t>,</w:t>
      </w:r>
      <w:r w:rsidR="00C74C92" w:rsidRPr="003B6C5B">
        <w:tab/>
      </w:r>
      <w:r w:rsidR="00C74C92" w:rsidRPr="003B6C5B">
        <w:rPr>
          <w:rFonts w:ascii="Times New Roman" w:hAnsi="Times New Roman" w:cs="Times New Roman"/>
        </w:rPr>
        <w:t>(P2)</w:t>
      </w:r>
    </w:p>
    <w:p w14:paraId="63A267ED" w14:textId="55D6BDA4" w:rsidR="00C74C92" w:rsidRPr="003B6C5B" w:rsidRDefault="0029500C" w:rsidP="006724D6">
      <w:pPr>
        <w:pStyle w:val="FirstParagraph"/>
        <w:tabs>
          <w:tab w:val="left" w:pos="7797"/>
        </w:tabs>
        <w:jc w:val="both"/>
      </w:pPr>
      <m:oMath>
        <m:d>
          <m:dPr>
            <m:begChr m:val="{"/>
            <m:endChr m:val=""/>
            <m:ctrlPr>
              <w:rPr>
                <w:rFonts w:ascii="Cambria Math" w:hAnsi="Cambria Math"/>
              </w:rPr>
            </m:ctrlPr>
          </m:dPr>
          <m:e>
            <m:m>
              <m:mPr>
                <m:plcHide m:val="1"/>
                <m:mcs>
                  <m:mc>
                    <m:mcPr>
                      <m:count m:val="1"/>
                      <m:mcJc m:val="right"/>
                    </m:mcPr>
                  </m:mc>
                  <m:mc>
                    <m:mcPr>
                      <m:count m:val="1"/>
                      <m:mcJc m:val="left"/>
                    </m:mcPr>
                  </m:mc>
                  <m:mc>
                    <m:mcPr>
                      <m:count m:val="1"/>
                      <m:mcJc m:val="right"/>
                    </m:mcPr>
                  </m:mc>
                </m:mcs>
                <m:ctrlPr>
                  <w:rPr>
                    <w:rFonts w:ascii="Cambria Math" w:hAnsi="Cambria Math"/>
                  </w:rPr>
                </m:ctrlPr>
              </m:mPr>
              <m:mr>
                <m:e>
                  <m:r>
                    <w:rPr>
                      <w:rFonts w:ascii="Cambria Math" w:hAnsi="Cambria Math"/>
                    </w:rPr>
                    <m:t>min </m:t>
                  </m:r>
                  <m:sSub>
                    <m:sSubPr>
                      <m:ctrlPr>
                        <w:rPr>
                          <w:rFonts w:ascii="Cambria Math" w:hAnsi="Cambria Math"/>
                        </w:rPr>
                      </m:ctrlPr>
                    </m:sSubPr>
                    <m:e>
                      <m:r>
                        <w:rPr>
                          <w:rFonts w:ascii="Cambria Math" w:hAnsi="Cambria Math"/>
                        </w:rPr>
                        <m:t>σ</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2t</m:t>
                      </m:r>
                    </m:sub>
                  </m:sSub>
                  <m:sSub>
                    <m:sSubPr>
                      <m:ctrlPr>
                        <w:rPr>
                          <w:rFonts w:ascii="Cambria Math" w:hAnsi="Cambria Math"/>
                        </w:rPr>
                      </m:ctrlPr>
                    </m:sSubPr>
                    <m:e>
                      <m:r>
                        <w:rPr>
                          <w:rFonts w:ascii="Cambria Math" w:hAnsi="Cambria Math"/>
                        </w:rPr>
                        <m:t>ω</m:t>
                      </m:r>
                    </m:e>
                    <m:sub>
                      <m:r>
                        <w:rPr>
                          <w:rFonts w:ascii="Cambria Math" w:hAnsi="Cambria Math"/>
                        </w:rPr>
                        <m:t>t</m:t>
                      </m:r>
                    </m:sub>
                  </m:sSub>
                </m:e>
                <m:e/>
              </m:mr>
              <m:mr>
                <m:e>
                  <m:r>
                    <w:rPr>
                      <w:rFonts w:ascii="Cambria Math" w:hAnsi="Cambria Math"/>
                    </w:rPr>
                    <m:t>s.t. </m:t>
                  </m:r>
                  <m:sSub>
                    <m:sSubPr>
                      <m:ctrlPr>
                        <w:rPr>
                          <w:rFonts w:ascii="Cambria Math" w:hAnsi="Cambria Math"/>
                        </w:rPr>
                      </m:ctrlPr>
                    </m:sSubPr>
                    <m:e>
                      <m:r>
                        <w:rPr>
                          <w:rFonts w:ascii="Cambria Math" w:hAnsi="Cambria Math"/>
                        </w:rPr>
                        <m:t>ω</m:t>
                      </m:r>
                    </m:e>
                    <m:sub>
                      <m:r>
                        <w:rPr>
                          <w:rFonts w:ascii="Cambria Math" w:hAnsi="Cambria Math"/>
                        </w:rPr>
                        <m:t>t</m:t>
                      </m:r>
                    </m:sub>
                  </m:sSub>
                  <m:r>
                    <m:rPr>
                      <m:nor/>
                    </m:rPr>
                    <w:rPr>
                      <w:b/>
                      <w:bCs/>
                    </w:rPr>
                    <m:t>1</m:t>
                  </m:r>
                </m:e>
                <m:e>
                  <m:r>
                    <w:rPr>
                      <w:rFonts w:ascii="Cambria Math" w:hAnsi="Cambria Math"/>
                    </w:rPr>
                    <m:t>=1</m:t>
                  </m:r>
                </m:e>
                <m:e/>
              </m:mr>
              <m:mr>
                <m:e>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i</m:t>
                  </m:r>
                </m:e>
                <m:e>
                  <m:r>
                    <w:rPr>
                      <w:rFonts w:ascii="Cambria Math" w:hAnsi="Cambria Math"/>
                    </w:rPr>
                    <m:t>≥0,(i=1,...,4)</m:t>
                  </m:r>
                </m:e>
                <m:e/>
              </m:mr>
            </m:m>
          </m:e>
        </m:d>
      </m:oMath>
      <w:r w:rsidR="00AB4470" w:rsidRPr="00AB4470">
        <w:rPr>
          <w:rFonts w:ascii="Times New Roman" w:eastAsiaTheme="minorEastAsia" w:hAnsi="Times New Roman" w:cs="Times New Roman"/>
          <w:lang w:eastAsia="zh-CN"/>
        </w:rPr>
        <w:t>,</w:t>
      </w:r>
      <w:r w:rsidR="00C74C92" w:rsidRPr="003B6C5B">
        <w:tab/>
      </w:r>
      <w:r w:rsidR="00C74C92" w:rsidRPr="003B6C5B">
        <w:rPr>
          <w:rFonts w:ascii="Times New Roman" w:hAnsi="Times New Roman" w:cs="Times New Roman"/>
        </w:rPr>
        <w:t>(P3)</w:t>
      </w:r>
    </w:p>
    <w:p w14:paraId="6879DC0B" w14:textId="13312CF0" w:rsidR="00C74C92" w:rsidRPr="003B6C5B" w:rsidRDefault="0029500C" w:rsidP="006724D6">
      <w:pPr>
        <w:pStyle w:val="FirstParagraph"/>
        <w:tabs>
          <w:tab w:val="left" w:pos="7797"/>
        </w:tabs>
        <w:jc w:val="both"/>
      </w:pPr>
      <m:oMath>
        <m:d>
          <m:dPr>
            <m:begChr m:val="{"/>
            <m:endChr m:val=""/>
            <m:ctrlPr>
              <w:rPr>
                <w:rFonts w:ascii="Cambria Math" w:hAnsi="Cambria Math"/>
              </w:rPr>
            </m:ctrlPr>
          </m:dPr>
          <m:e>
            <m:m>
              <m:mPr>
                <m:plcHide m:val="1"/>
                <m:mcs>
                  <m:mc>
                    <m:mcPr>
                      <m:count m:val="1"/>
                      <m:mcJc m:val="right"/>
                    </m:mcPr>
                  </m:mc>
                  <m:mc>
                    <m:mcPr>
                      <m:count m:val="1"/>
                      <m:mcJc m:val="left"/>
                    </m:mcPr>
                  </m:mc>
                  <m:mc>
                    <m:mcPr>
                      <m:count m:val="1"/>
                      <m:mcJc m:val="right"/>
                    </m:mcPr>
                  </m:mc>
                </m:mcs>
                <m:ctrlPr>
                  <w:rPr>
                    <w:rFonts w:ascii="Cambria Math" w:hAnsi="Cambria Math"/>
                  </w:rPr>
                </m:ctrlPr>
              </m:mPr>
              <m:mr>
                <m:e>
                  <m:r>
                    <w:rPr>
                      <w:rFonts w:ascii="Cambria Math" w:hAnsi="Cambria Math"/>
                    </w:rPr>
                    <m:t>max </m:t>
                  </m:r>
                  <m:sSub>
                    <m:sSubPr>
                      <m:ctrlPr>
                        <w:rPr>
                          <w:rFonts w:ascii="Cambria Math" w:hAnsi="Cambria Math"/>
                        </w:rPr>
                      </m:ctrlPr>
                    </m:sSubPr>
                    <m:e>
                      <m:r>
                        <w:rPr>
                          <w:rFonts w:ascii="Cambria Math" w:hAnsi="Cambria Math"/>
                        </w:rPr>
                        <m:t>s</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3t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e>
                <m:e/>
              </m:mr>
              <m:mr>
                <m:e>
                  <m:r>
                    <w:rPr>
                      <w:rFonts w:ascii="Cambria Math" w:hAnsi="Cambria Math"/>
                    </w:rPr>
                    <m:t>s.t. </m:t>
                  </m:r>
                  <m:sSub>
                    <m:sSubPr>
                      <m:ctrlPr>
                        <w:rPr>
                          <w:rFonts w:ascii="Cambria Math" w:hAnsi="Cambria Math"/>
                        </w:rPr>
                      </m:ctrlPr>
                    </m:sSubPr>
                    <m:e>
                      <m:r>
                        <w:rPr>
                          <w:rFonts w:ascii="Cambria Math" w:hAnsi="Cambria Math"/>
                        </w:rPr>
                        <m:t>ω</m:t>
                      </m:r>
                    </m:e>
                    <m:sub>
                      <m:r>
                        <w:rPr>
                          <w:rFonts w:ascii="Cambria Math" w:hAnsi="Cambria Math"/>
                        </w:rPr>
                        <m:t>t</m:t>
                      </m:r>
                    </m:sub>
                  </m:sSub>
                  <m:r>
                    <m:rPr>
                      <m:nor/>
                    </m:rPr>
                    <w:rPr>
                      <w:b/>
                      <w:bCs/>
                    </w:rPr>
                    <m:t>1</m:t>
                  </m:r>
                </m:e>
                <m:e>
                  <m:r>
                    <w:rPr>
                      <w:rFonts w:ascii="Cambria Math" w:hAnsi="Cambria Math"/>
                    </w:rPr>
                    <m:t>=1</m:t>
                  </m:r>
                </m:e>
                <m:e/>
              </m:mr>
              <m:mr>
                <m:e>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i</m:t>
                  </m:r>
                </m:e>
                <m:e>
                  <m:r>
                    <w:rPr>
                      <w:rFonts w:ascii="Cambria Math" w:hAnsi="Cambria Math"/>
                    </w:rPr>
                    <m:t>≥0,(i=1,...,4)</m:t>
                  </m:r>
                </m:e>
                <m:e/>
              </m:mr>
            </m:m>
          </m:e>
        </m:d>
      </m:oMath>
      <w:r w:rsidR="00AB4470" w:rsidRPr="00AB4470">
        <w:rPr>
          <w:rFonts w:ascii="Times New Roman" w:eastAsiaTheme="minorEastAsia" w:hAnsi="Times New Roman" w:cs="Times New Roman"/>
          <w:lang w:eastAsia="zh-CN"/>
        </w:rPr>
        <w:t>,</w:t>
      </w:r>
      <w:r w:rsidR="00C74C92" w:rsidRPr="003B6C5B">
        <w:tab/>
      </w:r>
      <w:r w:rsidR="00C74C92" w:rsidRPr="003B6C5B">
        <w:rPr>
          <w:rFonts w:ascii="Times New Roman" w:hAnsi="Times New Roman" w:cs="Times New Roman"/>
        </w:rPr>
        <w:t>(P4)</w:t>
      </w:r>
    </w:p>
    <w:p w14:paraId="25FB6FE2" w14:textId="067BFE1B" w:rsidR="00C74C92" w:rsidRPr="003B6C5B" w:rsidRDefault="0029500C" w:rsidP="006724D6">
      <w:pPr>
        <w:pStyle w:val="FirstParagraph"/>
        <w:tabs>
          <w:tab w:val="left" w:pos="7797"/>
        </w:tabs>
        <w:jc w:val="both"/>
      </w:pPr>
      <m:oMath>
        <m:d>
          <m:dPr>
            <m:begChr m:val="{"/>
            <m:endChr m:val=""/>
            <m:ctrlPr>
              <w:rPr>
                <w:rFonts w:ascii="Cambria Math" w:hAnsi="Cambria Math"/>
              </w:rPr>
            </m:ctrlPr>
          </m:dPr>
          <m:e>
            <m:m>
              <m:mPr>
                <m:plcHide m:val="1"/>
                <m:mcs>
                  <m:mc>
                    <m:mcPr>
                      <m:count m:val="1"/>
                      <m:mcJc m:val="right"/>
                    </m:mcPr>
                  </m:mc>
                  <m:mc>
                    <m:mcPr>
                      <m:count m:val="1"/>
                      <m:mcJc m:val="left"/>
                    </m:mcPr>
                  </m:mc>
                  <m:mc>
                    <m:mcPr>
                      <m:count m:val="1"/>
                      <m:mcJc m:val="right"/>
                    </m:mcPr>
                  </m:mc>
                </m:mcs>
                <m:ctrlPr>
                  <w:rPr>
                    <w:rFonts w:ascii="Cambria Math" w:hAnsi="Cambria Math"/>
                  </w:rPr>
                </m:ctrlPr>
              </m:mPr>
              <m:mr>
                <m:e>
                  <m:r>
                    <w:rPr>
                      <w:rFonts w:ascii="Cambria Math" w:hAnsi="Cambria Math"/>
                    </w:rPr>
                    <m:t>min </m:t>
                  </m:r>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4t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e>
                <m:e/>
              </m:mr>
              <m:mr>
                <m:e>
                  <m:r>
                    <w:rPr>
                      <w:rFonts w:ascii="Cambria Math" w:hAnsi="Cambria Math"/>
                    </w:rPr>
                    <m:t>s.t. </m:t>
                  </m:r>
                  <m:sSub>
                    <m:sSubPr>
                      <m:ctrlPr>
                        <w:rPr>
                          <w:rFonts w:ascii="Cambria Math" w:hAnsi="Cambria Math"/>
                        </w:rPr>
                      </m:ctrlPr>
                    </m:sSubPr>
                    <m:e>
                      <m:r>
                        <w:rPr>
                          <w:rFonts w:ascii="Cambria Math" w:hAnsi="Cambria Math"/>
                        </w:rPr>
                        <m:t>ω</m:t>
                      </m:r>
                    </m:e>
                    <m:sub>
                      <m:r>
                        <w:rPr>
                          <w:rFonts w:ascii="Cambria Math" w:hAnsi="Cambria Math"/>
                        </w:rPr>
                        <m:t>t</m:t>
                      </m:r>
                    </m:sub>
                  </m:sSub>
                  <m:r>
                    <m:rPr>
                      <m:nor/>
                    </m:rPr>
                    <w:rPr>
                      <w:b/>
                      <w:bCs/>
                    </w:rPr>
                    <m:t>1</m:t>
                  </m:r>
                </m:e>
                <m:e>
                  <m:r>
                    <w:rPr>
                      <w:rFonts w:ascii="Cambria Math" w:hAnsi="Cambria Math"/>
                    </w:rPr>
                    <m:t>=1</m:t>
                  </m:r>
                </m:e>
                <m:e/>
              </m:mr>
              <m:mr>
                <m:e>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i</m:t>
                  </m:r>
                </m:e>
                <m:e>
                  <m:r>
                    <w:rPr>
                      <w:rFonts w:ascii="Cambria Math" w:hAnsi="Cambria Math"/>
                    </w:rPr>
                    <m:t>≥0,(i=1,...,4)</m:t>
                  </m:r>
                </m:e>
                <m:e/>
              </m:mr>
            </m:m>
          </m:e>
        </m:d>
      </m:oMath>
      <w:r w:rsidR="00AB4470">
        <w:rPr>
          <w:rFonts w:ascii="Times New Roman" w:eastAsiaTheme="minorEastAsia" w:hAnsi="Times New Roman" w:cs="Times New Roman"/>
          <w:lang w:eastAsia="zh-CN"/>
        </w:rPr>
        <w:t>.</w:t>
      </w:r>
      <w:r w:rsidR="00C74C92" w:rsidRPr="003B6C5B">
        <w:tab/>
      </w:r>
      <w:r w:rsidR="00C74C92" w:rsidRPr="003B6C5B">
        <w:rPr>
          <w:rFonts w:ascii="Times New Roman" w:hAnsi="Times New Roman" w:cs="Times New Roman"/>
        </w:rPr>
        <w:t>(P5)</w:t>
      </w:r>
    </w:p>
    <w:p w14:paraId="3ED5F235" w14:textId="47603F5A" w:rsidR="00C74C92" w:rsidRPr="003B6C5B" w:rsidRDefault="00C74C92" w:rsidP="006724D6">
      <w:pPr>
        <w:tabs>
          <w:tab w:val="left" w:pos="7655"/>
          <w:tab w:val="left" w:pos="7845"/>
        </w:tabs>
        <w:spacing w:line="480" w:lineRule="auto"/>
        <w:jc w:val="both"/>
      </w:pPr>
      <w:r w:rsidRPr="003B6C5B">
        <w:rPr>
          <w:color w:val="000000" w:themeColor="text1"/>
        </w:rPr>
        <w:t>Solving them individually, we obtain the optimal solution of programming (P2) to (P5)</w:t>
      </w:r>
      <w:r w:rsidR="0091278E" w:rsidRPr="003B6C5B">
        <w:rPr>
          <w:color w:val="000000" w:themeColor="text1"/>
        </w:rPr>
        <w:t>,</w:t>
      </w:r>
      <w:r w:rsidR="00482B6A">
        <w:rPr>
          <w:color w:val="000000" w:themeColor="text1"/>
        </w:rPr>
        <w:t xml:space="preserve"> </w:t>
      </w:r>
      <m:oMath>
        <m:sSubSup>
          <m:sSubSupPr>
            <m:ctrlPr>
              <w:rPr>
                <w:rFonts w:ascii="Cambria Math" w:eastAsia="SimSun" w:hAnsi="Cambria Math" w:cs="SimSun"/>
              </w:rPr>
            </m:ctrlPr>
          </m:sSubSupPr>
          <m:e>
            <m:r>
              <w:rPr>
                <w:rFonts w:ascii="Cambria Math" w:hAnsi="Cambria Math"/>
              </w:rPr>
              <m:t>μ</m:t>
            </m:r>
          </m:e>
          <m:sub>
            <m:r>
              <w:rPr>
                <w:rFonts w:ascii="Cambria Math" w:hAnsi="Cambria Math"/>
              </w:rPr>
              <m:t>t</m:t>
            </m:r>
          </m:sub>
          <m:sup>
            <m:r>
              <w:rPr>
                <w:rFonts w:ascii="Cambria Math" w:hAnsi="Cambria Math"/>
              </w:rPr>
              <m:t>*</m:t>
            </m:r>
          </m:sup>
        </m:sSubSup>
      </m:oMath>
      <w:r w:rsidR="0091278E" w:rsidRPr="003B6C5B">
        <w:t>,</w:t>
      </w:r>
      <m:oMath>
        <m:sSubSup>
          <m:sSubSupPr>
            <m:ctrlPr>
              <w:rPr>
                <w:rFonts w:ascii="Cambria Math" w:eastAsia="SimSun" w:hAnsi="Cambria Math" w:cs="SimSun"/>
              </w:rPr>
            </m:ctrlPr>
          </m:sSubSupPr>
          <m:e>
            <m:r>
              <w:rPr>
                <w:rFonts w:ascii="Cambria Math" w:hAnsi="Cambria Math"/>
              </w:rPr>
              <m:t xml:space="preserve"> σ</m:t>
            </m:r>
          </m:e>
          <m:sub>
            <m:r>
              <w:rPr>
                <w:rFonts w:ascii="Cambria Math" w:hAnsi="Cambria Math"/>
              </w:rPr>
              <m:t>t</m:t>
            </m:r>
          </m:sub>
          <m:sup>
            <m:r>
              <w:rPr>
                <w:rFonts w:ascii="Cambria Math" w:hAnsi="Cambria Math"/>
              </w:rPr>
              <m:t>*</m:t>
            </m:r>
          </m:sup>
        </m:sSubSup>
      </m:oMath>
      <w:r w:rsidRPr="003B6C5B">
        <w:rPr>
          <w:rFonts w:hint="eastAsia"/>
        </w:rPr>
        <w:t>,</w:t>
      </w:r>
      <w:r w:rsidRPr="003B6C5B">
        <w:t xml:space="preserve"> </w:t>
      </w:r>
      <m:oMath>
        <m:sSubSup>
          <m:sSubSupPr>
            <m:ctrlPr>
              <w:rPr>
                <w:rFonts w:ascii="Cambria Math" w:eastAsia="SimSun" w:hAnsi="Cambria Math" w:cs="SimSun"/>
              </w:rPr>
            </m:ctrlPr>
          </m:sSubSupPr>
          <m:e>
            <m:r>
              <w:rPr>
                <w:rFonts w:ascii="Cambria Math" w:hAnsi="Cambria Math"/>
              </w:rPr>
              <m:t>s</m:t>
            </m:r>
          </m:e>
          <m:sub>
            <m:r>
              <w:rPr>
                <w:rFonts w:ascii="Cambria Math" w:hAnsi="Cambria Math"/>
              </w:rPr>
              <m:t>t</m:t>
            </m:r>
          </m:sub>
          <m:sup>
            <m:r>
              <w:rPr>
                <w:rFonts w:ascii="Cambria Math" w:hAnsi="Cambria Math"/>
              </w:rPr>
              <m:t>*</m:t>
            </m:r>
          </m:sup>
        </m:sSubSup>
      </m:oMath>
      <w:r w:rsidRPr="003B6C5B">
        <w:rPr>
          <w:rFonts w:hint="eastAsia"/>
        </w:rPr>
        <w:t xml:space="preserve"> </w:t>
      </w:r>
      <w:r w:rsidRPr="003B6C5B">
        <w:t xml:space="preserve">and </w:t>
      </w:r>
      <m:oMath>
        <m:sSubSup>
          <m:sSubSupPr>
            <m:ctrlPr>
              <w:rPr>
                <w:rFonts w:ascii="Cambria Math" w:eastAsia="SimSun" w:hAnsi="Cambria Math" w:cs="SimSun"/>
              </w:rPr>
            </m:ctrlPr>
          </m:sSubSupPr>
          <m:e>
            <m:r>
              <w:rPr>
                <w:rFonts w:ascii="Cambria Math" w:hAnsi="Cambria Math"/>
              </w:rPr>
              <m:t>k</m:t>
            </m:r>
          </m:e>
          <m:sub>
            <m:r>
              <w:rPr>
                <w:rFonts w:ascii="Cambria Math" w:hAnsi="Cambria Math"/>
              </w:rPr>
              <m:t>t</m:t>
            </m:r>
          </m:sub>
          <m:sup>
            <m:r>
              <w:rPr>
                <w:rFonts w:ascii="Cambria Math" w:hAnsi="Cambria Math"/>
              </w:rPr>
              <m:t>*</m:t>
            </m:r>
          </m:sup>
        </m:sSubSup>
      </m:oMath>
      <w:r w:rsidRPr="003B6C5B">
        <w:rPr>
          <w:rFonts w:hint="eastAsia"/>
        </w:rPr>
        <w:t>.</w:t>
      </w:r>
      <w:r w:rsidR="007E0B50" w:rsidRPr="003B6C5B">
        <w:t xml:space="preserve"> Then we s</w:t>
      </w:r>
      <w:r w:rsidR="007F2921" w:rsidRPr="003B6C5B">
        <w:t>olve</w:t>
      </w:r>
      <w:r w:rsidR="007E0B50" w:rsidRPr="003B6C5B">
        <w:t xml:space="preserve"> the following programming</w:t>
      </w:r>
      <w:r w:rsidR="00C24AF3" w:rsidRPr="003B6C5B">
        <w:t xml:space="preserve"> with a vector </w:t>
      </w:r>
      <m:oMath>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4</m:t>
                </m:r>
              </m:sub>
            </m:sSub>
          </m:e>
        </m:d>
        <m:r>
          <w:rPr>
            <w:rFonts w:ascii="Cambria Math" w:hAnsi="Cambria Math"/>
          </w:rPr>
          <m:t>'</m:t>
        </m:r>
      </m:oMath>
      <w:r w:rsidR="00C24AF3" w:rsidRPr="003B6C5B">
        <w:rPr>
          <w:rFonts w:hint="eastAsia"/>
        </w:rPr>
        <w:t xml:space="preserve"> </w:t>
      </w:r>
      <w:r w:rsidR="007A68FD" w:rsidRPr="003B6C5B">
        <w:t xml:space="preserve">controlling how much we care about mean, </w:t>
      </w:r>
      <w:r w:rsidR="00A10872" w:rsidRPr="003B6C5B">
        <w:t>variance</w:t>
      </w:r>
      <w:r w:rsidR="007A68FD" w:rsidRPr="003B6C5B">
        <w:t xml:space="preserve">, </w:t>
      </w:r>
      <w:proofErr w:type="gramStart"/>
      <w:r w:rsidR="007A68FD" w:rsidRPr="003B6C5B">
        <w:t>skewness</w:t>
      </w:r>
      <w:proofErr w:type="gramEnd"/>
      <w:r w:rsidR="007A68FD" w:rsidRPr="003B6C5B">
        <w:t xml:space="preserve"> and kurtosis. The optimal </w:t>
      </w:r>
      <m:oMath>
        <m:sSubSup>
          <m:sSubSupPr>
            <m:ctrlPr>
              <w:rPr>
                <w:rFonts w:ascii="Cambria Math" w:hAnsi="Cambria Math"/>
                <w:i/>
                <w:color w:val="000000" w:themeColor="text1"/>
              </w:rPr>
            </m:ctrlPr>
          </m:sSubSupPr>
          <m:e>
            <m:r>
              <w:rPr>
                <w:rFonts w:ascii="Cambria Math" w:hAnsi="Cambria Math"/>
                <w:color w:val="000000" w:themeColor="text1"/>
              </w:rPr>
              <m:t>ω</m:t>
            </m:r>
          </m:e>
          <m:sub>
            <m:r>
              <w:rPr>
                <w:rFonts w:ascii="Cambria Math" w:hAnsi="Cambria Math"/>
                <w:color w:val="000000" w:themeColor="text1"/>
              </w:rPr>
              <m:t>t</m:t>
            </m:r>
          </m:sub>
          <m:sup>
            <m:r>
              <w:rPr>
                <w:rFonts w:ascii="Cambria Math" w:hAnsi="Cambria Math"/>
                <w:color w:val="000000" w:themeColor="text1"/>
              </w:rPr>
              <m:t>*</m:t>
            </m:r>
          </m:sup>
        </m:sSubSup>
      </m:oMath>
      <w:r w:rsidR="007A68FD" w:rsidRPr="003B6C5B">
        <w:t xml:space="preserve"> of programming (P6) is the approximat</w:t>
      </w:r>
      <w:r w:rsidR="007F2921" w:rsidRPr="003B6C5B">
        <w:t>ion of the</w:t>
      </w:r>
      <w:r w:rsidR="007A68FD" w:rsidRPr="003B6C5B">
        <w:t xml:space="preserve"> optimal weights to programming (P1)</w:t>
      </w:r>
      <w:r w:rsidR="007F2921" w:rsidRPr="003B6C5B">
        <w:t xml:space="preserve"> function</w:t>
      </w:r>
      <w:r w:rsidR="007A68FD" w:rsidRPr="003B6C5B">
        <w:t>.</w:t>
      </w:r>
    </w:p>
    <w:p w14:paraId="2931ACE2" w14:textId="68157D1B" w:rsidR="007E0B50" w:rsidRPr="003B6C5B" w:rsidRDefault="0029500C" w:rsidP="006724D6">
      <w:pPr>
        <w:pStyle w:val="FirstParagraph"/>
        <w:tabs>
          <w:tab w:val="left" w:pos="7797"/>
        </w:tabs>
        <w:jc w:val="both"/>
        <w:rPr>
          <w:rFonts w:ascii="Times New Roman" w:hAnsi="Times New Roman" w:cs="Times New Roman"/>
        </w:rPr>
      </w:pPr>
      <m:oMath>
        <m:d>
          <m:dPr>
            <m:begChr m:val="{"/>
            <m:endChr m:val=""/>
            <m:ctrlPr>
              <w:rPr>
                <w:rFonts w:ascii="Cambria Math" w:hAnsi="Cambria Math"/>
              </w:rPr>
            </m:ctrlPr>
          </m:dPr>
          <m:e>
            <m:m>
              <m:mPr>
                <m:plcHide m:val="1"/>
                <m:mcs>
                  <m:mc>
                    <m:mcPr>
                      <m:count m:val="1"/>
                      <m:mcJc m:val="right"/>
                    </m:mcPr>
                  </m:mc>
                  <m:mc>
                    <m:mcPr>
                      <m:count m:val="1"/>
                      <m:mcJc m:val="left"/>
                    </m:mcPr>
                  </m:mc>
                  <m:mc>
                    <m:mcPr>
                      <m:count m:val="1"/>
                      <m:mcJc m:val="right"/>
                    </m:mcPr>
                  </m:mc>
                </m:mcs>
                <m:ctrlPr>
                  <w:rPr>
                    <w:rFonts w:ascii="Cambria Math" w:hAnsi="Cambria Math"/>
                  </w:rPr>
                </m:ctrlPr>
              </m:mPr>
              <m:mr>
                <m:e>
                  <m:r>
                    <w:rPr>
                      <w:rFonts w:ascii="Cambria Math" w:hAnsi="Cambria Math"/>
                    </w:rPr>
                    <m:t>min</m:t>
                  </m:r>
                </m:e>
                <m:e>
                  <m:sSub>
                    <m:sSubPr>
                      <m:ctrlPr>
                        <w:rPr>
                          <w:rFonts w:ascii="Cambria Math" w:hAnsi="Cambria Math"/>
                        </w:rPr>
                      </m:ctrlPr>
                    </m:sSubPr>
                    <m:e>
                      <m:r>
                        <w:rPr>
                          <w:rFonts w:ascii="Cambria Math" w:hAnsi="Cambria Math"/>
                        </w:rPr>
                        <m:t>Z</m:t>
                      </m:r>
                    </m:e>
                    <m:sub>
                      <m:r>
                        <w:rPr>
                          <w:rFonts w:ascii="Cambria Math" w:hAnsi="Cambria Math"/>
                        </w:rPr>
                        <m:t>t</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1</m:t>
                          </m:r>
                        </m:sub>
                      </m:sSub>
                    </m:num>
                    <m:den>
                      <m:sSubSup>
                        <m:sSubSupPr>
                          <m:ctrlPr>
                            <w:rPr>
                              <w:rFonts w:ascii="Cambria Math" w:hAnsi="Cambria Math"/>
                            </w:rPr>
                          </m:ctrlPr>
                        </m:sSubSupPr>
                        <m:e>
                          <m:r>
                            <w:rPr>
                              <w:rFonts w:ascii="Cambria Math" w:hAnsi="Cambria Math"/>
                            </w:rPr>
                            <m:t>μ</m:t>
                          </m:r>
                        </m:e>
                        <m:sub>
                          <m:r>
                            <w:rPr>
                              <w:rFonts w:ascii="Cambria Math" w:hAnsi="Cambria Math"/>
                            </w:rPr>
                            <m:t>t</m:t>
                          </m:r>
                        </m:sub>
                        <m:sup>
                          <m:r>
                            <w:rPr>
                              <w:rFonts w:ascii="Cambria Math" w:hAnsi="Cambria Math"/>
                            </w:rPr>
                            <m:t>*</m:t>
                          </m:r>
                        </m:sup>
                      </m:sSubSup>
                    </m:den>
                  </m:f>
                  <m:sSup>
                    <m:sSupPr>
                      <m:ctrlPr>
                        <w:rPr>
                          <w:rFonts w:ascii="Cambria Math" w:hAnsi="Cambria Math"/>
                        </w:rPr>
                      </m:ctrlPr>
                    </m:sSupPr>
                    <m:e>
                      <m:r>
                        <w:rPr>
                          <w:rFonts w:ascii="Cambria Math" w:hAnsi="Cambria Math"/>
                        </w:rPr>
                        <m:t>|</m:t>
                      </m:r>
                    </m:e>
                    <m:sup>
                      <m:sSub>
                        <m:sSubPr>
                          <m:ctrlPr>
                            <w:rPr>
                              <w:rFonts w:ascii="Cambria Math" w:hAnsi="Cambria Math"/>
                            </w:rPr>
                          </m:ctrlPr>
                        </m:sSubPr>
                        <m:e>
                          <m:r>
                            <w:rPr>
                              <w:rFonts w:ascii="Cambria Math" w:hAnsi="Cambria Math"/>
                            </w:rPr>
                            <m:t>λ</m:t>
                          </m:r>
                        </m:e>
                        <m:sub>
                          <m:r>
                            <w:rPr>
                              <w:rFonts w:ascii="Cambria Math" w:hAnsi="Cambria Math"/>
                            </w:rPr>
                            <m:t>1</m:t>
                          </m:r>
                        </m:sub>
                      </m:sSub>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2</m:t>
                          </m:r>
                        </m:sub>
                      </m:sSub>
                    </m:num>
                    <m:den>
                      <m:sSubSup>
                        <m:sSubSupPr>
                          <m:ctrlPr>
                            <w:rPr>
                              <w:rFonts w:ascii="Cambria Math" w:hAnsi="Cambria Math"/>
                            </w:rPr>
                          </m:ctrlPr>
                        </m:sSubSupPr>
                        <m:e>
                          <m:r>
                            <w:rPr>
                              <w:rFonts w:ascii="Cambria Math" w:hAnsi="Cambria Math"/>
                            </w:rPr>
                            <m:t>σ</m:t>
                          </m:r>
                        </m:e>
                        <m:sub>
                          <m:r>
                            <w:rPr>
                              <w:rFonts w:ascii="Cambria Math" w:hAnsi="Cambria Math"/>
                            </w:rPr>
                            <m:t>t</m:t>
                          </m:r>
                        </m:sub>
                        <m:sup>
                          <m:r>
                            <w:rPr>
                              <w:rFonts w:ascii="Cambria Math" w:hAnsi="Cambria Math"/>
                            </w:rPr>
                            <m:t>*</m:t>
                          </m:r>
                        </m:sup>
                      </m:sSubSup>
                    </m:den>
                  </m:f>
                  <m:sSup>
                    <m:sSupPr>
                      <m:ctrlPr>
                        <w:rPr>
                          <w:rFonts w:ascii="Cambria Math" w:hAnsi="Cambria Math"/>
                        </w:rPr>
                      </m:ctrlPr>
                    </m:sSupPr>
                    <m:e>
                      <m:r>
                        <w:rPr>
                          <w:rFonts w:ascii="Cambria Math" w:hAnsi="Cambria Math"/>
                        </w:rPr>
                        <m:t>|</m:t>
                      </m:r>
                    </m:e>
                    <m:sup>
                      <m:sSub>
                        <m:sSubPr>
                          <m:ctrlPr>
                            <w:rPr>
                              <w:rFonts w:ascii="Cambria Math" w:hAnsi="Cambria Math"/>
                            </w:rPr>
                          </m:ctrlPr>
                        </m:sSubPr>
                        <m:e>
                          <m:r>
                            <w:rPr>
                              <w:rFonts w:ascii="Cambria Math" w:hAnsi="Cambria Math"/>
                            </w:rPr>
                            <m:t>λ</m:t>
                          </m:r>
                        </m:e>
                        <m:sub>
                          <m:r>
                            <w:rPr>
                              <w:rFonts w:ascii="Cambria Math" w:hAnsi="Cambria Math"/>
                            </w:rPr>
                            <m:t>2</m:t>
                          </m:r>
                        </m:sub>
                      </m:sSub>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m:t>
                          </m:r>
                        </m:sub>
                      </m:sSub>
                    </m:num>
                    <m:den>
                      <m:sSubSup>
                        <m:sSubSupPr>
                          <m:ctrlPr>
                            <w:rPr>
                              <w:rFonts w:ascii="Cambria Math" w:hAnsi="Cambria Math"/>
                            </w:rPr>
                          </m:ctrlPr>
                        </m:sSubSupPr>
                        <m:e>
                          <m:r>
                            <w:rPr>
                              <w:rFonts w:ascii="Cambria Math" w:hAnsi="Cambria Math"/>
                            </w:rPr>
                            <m:t>s</m:t>
                          </m:r>
                        </m:e>
                        <m:sub>
                          <m:r>
                            <w:rPr>
                              <w:rFonts w:ascii="Cambria Math" w:hAnsi="Cambria Math"/>
                            </w:rPr>
                            <m:t>t</m:t>
                          </m:r>
                        </m:sub>
                        <m:sup>
                          <m:r>
                            <w:rPr>
                              <w:rFonts w:ascii="Cambria Math" w:hAnsi="Cambria Math"/>
                            </w:rPr>
                            <m:t>*</m:t>
                          </m:r>
                        </m:sup>
                      </m:sSubSup>
                    </m:den>
                  </m:f>
                  <m:sSup>
                    <m:sSupPr>
                      <m:ctrlPr>
                        <w:rPr>
                          <w:rFonts w:ascii="Cambria Math" w:hAnsi="Cambria Math"/>
                        </w:rPr>
                      </m:ctrlPr>
                    </m:sSupPr>
                    <m:e>
                      <m:r>
                        <w:rPr>
                          <w:rFonts w:ascii="Cambria Math" w:hAnsi="Cambria Math"/>
                        </w:rPr>
                        <m:t>|</m:t>
                      </m:r>
                    </m:e>
                    <m:sup>
                      <m:sSub>
                        <m:sSubPr>
                          <m:ctrlPr>
                            <w:rPr>
                              <w:rFonts w:ascii="Cambria Math" w:hAnsi="Cambria Math"/>
                            </w:rPr>
                          </m:ctrlPr>
                        </m:sSubPr>
                        <m:e>
                          <m:r>
                            <w:rPr>
                              <w:rFonts w:ascii="Cambria Math" w:hAnsi="Cambria Math"/>
                            </w:rPr>
                            <m:t>λ</m:t>
                          </m:r>
                        </m:e>
                        <m:sub>
                          <m:r>
                            <w:rPr>
                              <w:rFonts w:ascii="Cambria Math" w:hAnsi="Cambria Math"/>
                            </w:rPr>
                            <m:t>3</m:t>
                          </m:r>
                        </m:sub>
                      </m:sSub>
                    </m:sup>
                  </m:sSup>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4</m:t>
                          </m:r>
                        </m:sub>
                      </m:sSub>
                    </m:num>
                    <m:den>
                      <m:sSubSup>
                        <m:sSubSupPr>
                          <m:ctrlPr>
                            <w:rPr>
                              <w:rFonts w:ascii="Cambria Math" w:hAnsi="Cambria Math"/>
                            </w:rPr>
                          </m:ctrlPr>
                        </m:sSubSupPr>
                        <m:e>
                          <m:r>
                            <w:rPr>
                              <w:rFonts w:ascii="Cambria Math" w:hAnsi="Cambria Math"/>
                            </w:rPr>
                            <m:t>k</m:t>
                          </m:r>
                        </m:e>
                        <m:sub>
                          <m:r>
                            <w:rPr>
                              <w:rFonts w:ascii="Cambria Math" w:hAnsi="Cambria Math"/>
                            </w:rPr>
                            <m:t>t</m:t>
                          </m:r>
                        </m:sub>
                        <m:sup>
                          <m:r>
                            <w:rPr>
                              <w:rFonts w:ascii="Cambria Math" w:hAnsi="Cambria Math"/>
                            </w:rPr>
                            <m:t>*</m:t>
                          </m:r>
                        </m:sup>
                      </m:sSubSup>
                    </m:den>
                  </m:f>
                  <m:sSup>
                    <m:sSupPr>
                      <m:ctrlPr>
                        <w:rPr>
                          <w:rFonts w:ascii="Cambria Math" w:hAnsi="Cambria Math"/>
                        </w:rPr>
                      </m:ctrlPr>
                    </m:sSupPr>
                    <m:e>
                      <m:r>
                        <w:rPr>
                          <w:rFonts w:ascii="Cambria Math" w:hAnsi="Cambria Math"/>
                        </w:rPr>
                        <m:t>|</m:t>
                      </m:r>
                    </m:e>
                    <m:sup>
                      <m:sSub>
                        <m:sSubPr>
                          <m:ctrlPr>
                            <w:rPr>
                              <w:rFonts w:ascii="Cambria Math" w:hAnsi="Cambria Math"/>
                            </w:rPr>
                          </m:ctrlPr>
                        </m:sSubPr>
                        <m:e>
                          <m:r>
                            <w:rPr>
                              <w:rFonts w:ascii="Cambria Math" w:hAnsi="Cambria Math"/>
                            </w:rPr>
                            <m:t>λ</m:t>
                          </m:r>
                        </m:e>
                        <m:sub>
                          <m:r>
                            <w:rPr>
                              <w:rFonts w:ascii="Cambria Math" w:hAnsi="Cambria Math"/>
                            </w:rPr>
                            <m:t>4</m:t>
                          </m:r>
                        </m:sub>
                      </m:sSub>
                    </m:sup>
                  </m:sSup>
                </m:e>
                <m:e/>
              </m:mr>
              <m:mr>
                <m:e/>
                <m:e>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1t</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Sup>
                    <m:sSubSupPr>
                      <m:ctrlPr>
                        <w:rPr>
                          <w:rFonts w:ascii="Cambria Math" w:hAnsi="Cambria Math"/>
                        </w:rPr>
                      </m:ctrlPr>
                    </m:sSubSupPr>
                    <m:e>
                      <m:r>
                        <w:rPr>
                          <w:rFonts w:ascii="Cambria Math" w:hAnsi="Cambria Math"/>
                        </w:rPr>
                        <m:t>μ</m:t>
                      </m:r>
                    </m:e>
                    <m:sub>
                      <m:r>
                        <w:rPr>
                          <w:rFonts w:ascii="Cambria Math" w:hAnsi="Cambria Math"/>
                        </w:rPr>
                        <m:t>t</m:t>
                      </m:r>
                    </m:sub>
                    <m:sup>
                      <m:r>
                        <w:rPr>
                          <w:rFonts w:ascii="Cambria Math" w:hAnsi="Cambria Math"/>
                        </w:rPr>
                        <m:t>*</m:t>
                      </m:r>
                    </m:sup>
                  </m:sSubSup>
                </m:e>
                <m:e/>
              </m:mr>
              <m:mr>
                <m:e/>
                <m:e>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2t</m:t>
                      </m:r>
                    </m:sub>
                  </m:sSub>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t</m:t>
                      </m:r>
                    </m:sub>
                    <m:sup>
                      <m:r>
                        <w:rPr>
                          <w:rFonts w:ascii="Cambria Math" w:hAnsi="Cambria Math"/>
                        </w:rPr>
                        <m:t>*</m:t>
                      </m:r>
                    </m:sup>
                  </m:sSubSup>
                </m:e>
                <m:e/>
              </m:mr>
              <m:mr>
                <m:e/>
                <m:e>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3t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t</m:t>
                      </m:r>
                    </m:sub>
                    <m:sup>
                      <m:r>
                        <w:rPr>
                          <w:rFonts w:ascii="Cambria Math" w:hAnsi="Cambria Math"/>
                        </w:rPr>
                        <m:t>*</m:t>
                      </m:r>
                    </m:sup>
                  </m:sSubSup>
                </m:e>
                <m:e/>
              </m:mr>
              <m:mr>
                <m:e/>
                <m:e>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4t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w:rPr>
                      <w:rFonts w:ascii="Cambria Math" w:hAnsi="Cambria Math"/>
                    </w:rPr>
                    <m:t>=</m:t>
                  </m:r>
                  <m:sSubSup>
                    <m:sSubSupPr>
                      <m:ctrlPr>
                        <w:rPr>
                          <w:rFonts w:ascii="Cambria Math" w:hAnsi="Cambria Math"/>
                        </w:rPr>
                      </m:ctrlPr>
                    </m:sSubSupPr>
                    <m:e>
                      <m:r>
                        <w:rPr>
                          <w:rFonts w:ascii="Cambria Math" w:hAnsi="Cambria Math"/>
                        </w:rPr>
                        <m:t>k</m:t>
                      </m:r>
                    </m:e>
                    <m:sub>
                      <m:r>
                        <w:rPr>
                          <w:rFonts w:ascii="Cambria Math" w:hAnsi="Cambria Math"/>
                        </w:rPr>
                        <m:t>t</m:t>
                      </m:r>
                    </m:sub>
                    <m:sup>
                      <m:r>
                        <w:rPr>
                          <w:rFonts w:ascii="Cambria Math" w:hAnsi="Cambria Math"/>
                        </w:rPr>
                        <m:t>*</m:t>
                      </m:r>
                    </m:sup>
                  </m:sSubSup>
                </m:e>
                <m:e/>
              </m:mr>
              <m:mr>
                <m:e>
                  <m:r>
                    <w:rPr>
                      <w:rFonts w:ascii="Cambria Math" w:hAnsi="Cambria Math"/>
                    </w:rPr>
                    <m:t>s.t.</m:t>
                  </m:r>
                </m:e>
                <m:e>
                  <m:sSub>
                    <m:sSubPr>
                      <m:ctrlPr>
                        <w:rPr>
                          <w:rFonts w:ascii="Cambria Math" w:hAnsi="Cambria Math"/>
                        </w:rPr>
                      </m:ctrlPr>
                    </m:sSubPr>
                    <m:e>
                      <m:r>
                        <w:rPr>
                          <w:rFonts w:ascii="Cambria Math" w:hAnsi="Cambria Math"/>
                        </w:rPr>
                        <m:t>ω</m:t>
                      </m:r>
                    </m:e>
                    <m:sub>
                      <m:r>
                        <w:rPr>
                          <w:rFonts w:ascii="Cambria Math" w:hAnsi="Cambria Math"/>
                        </w:rPr>
                        <m:t>t</m:t>
                      </m:r>
                    </m:sub>
                  </m:sSub>
                  <m:r>
                    <m:rPr>
                      <m:nor/>
                    </m:rPr>
                    <m:t>1</m:t>
                  </m:r>
                  <m:r>
                    <w:rPr>
                      <w:rFonts w:ascii="Cambria Math" w:hAnsi="Cambria Math"/>
                    </w:rPr>
                    <m:t>=1</m:t>
                  </m:r>
                </m:e>
                <m:e/>
              </m:mr>
              <m:mr>
                <m:e/>
                <m:e>
                  <m:sSub>
                    <m:sSubPr>
                      <m:ctrlPr>
                        <w:rPr>
                          <w:rFonts w:ascii="Cambria Math" w:hAnsi="Cambria Math"/>
                        </w:rPr>
                      </m:ctrlPr>
                    </m:sSubPr>
                    <m:e>
                      <m:r>
                        <w:rPr>
                          <w:rFonts w:ascii="Cambria Math" w:hAnsi="Cambria Math"/>
                        </w:rPr>
                        <m:t>ω</m:t>
                      </m:r>
                    </m:e>
                    <m:sub>
                      <m:r>
                        <w:rPr>
                          <w:rFonts w:ascii="Cambria Math" w:hAnsi="Cambria Math"/>
                        </w:rPr>
                        <m:t>ti</m:t>
                      </m:r>
                    </m:sub>
                  </m:sSub>
                  <m:r>
                    <w:rPr>
                      <w:rFonts w:ascii="Cambria Math" w:hAnsi="Cambria Math"/>
                    </w:rPr>
                    <m:t>≥0,(i=1,...,4)</m:t>
                  </m:r>
                </m:e>
                <m:e/>
              </m:mr>
              <m:mr>
                <m:e/>
                <m:e>
                  <m:sSub>
                    <m:sSubPr>
                      <m:ctrlPr>
                        <w:rPr>
                          <w:rFonts w:ascii="Cambria Math" w:hAnsi="Cambria Math"/>
                        </w:rPr>
                      </m:ctrlPr>
                    </m:sSubPr>
                    <m:e>
                      <m:r>
                        <w:rPr>
                          <w:rFonts w:ascii="Cambria Math" w:hAnsi="Cambria Math"/>
                        </w:rPr>
                        <m:t>d</m:t>
                      </m:r>
                    </m:e>
                    <m:sub>
                      <m:r>
                        <w:rPr>
                          <w:rFonts w:ascii="Cambria Math" w:hAnsi="Cambria Math"/>
                        </w:rPr>
                        <m:t>j</m:t>
                      </m:r>
                    </m:sub>
                  </m:sSub>
                  <m:r>
                    <w:rPr>
                      <w:rFonts w:ascii="Cambria Math" w:hAnsi="Cambria Math"/>
                    </w:rPr>
                    <m:t>≥0,(j=1,...,4)</m:t>
                  </m:r>
                </m:e>
                <m:e/>
              </m:mr>
            </m:m>
          </m:e>
        </m:d>
      </m:oMath>
      <w:r w:rsidR="00AB4470">
        <w:rPr>
          <w:rFonts w:eastAsiaTheme="minorEastAsia" w:hint="eastAsia"/>
          <w:lang w:eastAsia="zh-CN"/>
        </w:rPr>
        <w:t>.</w:t>
      </w:r>
      <w:r w:rsidR="00C24AF3" w:rsidRPr="003B6C5B">
        <w:tab/>
      </w:r>
      <w:r w:rsidR="00C24AF3" w:rsidRPr="003B6C5B">
        <w:rPr>
          <w:rFonts w:ascii="Times New Roman" w:hAnsi="Times New Roman" w:cs="Times New Roman"/>
        </w:rPr>
        <w:t>(P6)</w:t>
      </w:r>
    </w:p>
    <w:p w14:paraId="38BBD74D" w14:textId="35EE675D" w:rsidR="007A68FD" w:rsidRPr="003B6C5B" w:rsidRDefault="007A68FD" w:rsidP="00AB4470">
      <w:pPr>
        <w:pStyle w:val="NormalWeb"/>
        <w:spacing w:before="0" w:beforeAutospacing="0" w:after="0" w:afterAutospacing="0" w:line="480" w:lineRule="auto"/>
        <w:ind w:firstLineChars="177" w:firstLine="425"/>
        <w:jc w:val="both"/>
        <w:rPr>
          <w:rFonts w:ascii="Times New Roman" w:hAnsi="Times New Roman" w:cs="Times New Roman"/>
        </w:rPr>
      </w:pPr>
      <w:r w:rsidRPr="003B6C5B">
        <w:rPr>
          <w:rFonts w:ascii="Times New Roman" w:hAnsi="Times New Roman" w:cs="Times New Roman"/>
        </w:rPr>
        <w:t xml:space="preserve">In </w:t>
      </w:r>
      <w:r w:rsidR="007615BB" w:rsidRPr="003B6C5B">
        <w:rPr>
          <w:rFonts w:ascii="Times New Roman" w:hAnsi="Times New Roman" w:cs="Times New Roman"/>
        </w:rPr>
        <w:t xml:space="preserve">this </w:t>
      </w:r>
      <w:r w:rsidR="00281900" w:rsidRPr="003B6C5B">
        <w:rPr>
          <w:rFonts w:ascii="Times New Roman" w:hAnsi="Times New Roman" w:cs="Times New Roman" w:hint="eastAsia"/>
        </w:rPr>
        <w:t>study</w:t>
      </w:r>
      <w:r w:rsidRPr="003B6C5B">
        <w:rPr>
          <w:rFonts w:ascii="Times New Roman" w:hAnsi="Times New Roman" w:cs="Times New Roman"/>
        </w:rPr>
        <w:t xml:space="preserve">, we select </w:t>
      </w:r>
      <m:oMath>
        <m:r>
          <w:rPr>
            <w:rFonts w:ascii="Cambria Math" w:hAnsi="Cambria Math" w:cs="Times New Roman"/>
          </w:rPr>
          <m:t>λ</m:t>
        </m:r>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1,1,1,1</m:t>
            </m:r>
          </m:e>
        </m:d>
        <m:r>
          <m:rPr>
            <m:sty m:val="p"/>
          </m:rPr>
          <w:rPr>
            <w:rFonts w:ascii="Cambria Math" w:hAnsi="Cambria Math" w:cs="Times New Roman"/>
          </w:rPr>
          <m:t xml:space="preserve">' </m:t>
        </m:r>
      </m:oMath>
      <w:r w:rsidRPr="003B6C5B">
        <w:rPr>
          <w:rFonts w:ascii="Times New Roman" w:hAnsi="Times New Roman" w:cs="Times New Roman"/>
        </w:rPr>
        <w:t xml:space="preserve">and </w:t>
      </w:r>
      <m:oMath>
        <m:d>
          <m:dPr>
            <m:ctrlPr>
              <w:rPr>
                <w:rFonts w:ascii="Cambria Math" w:hAnsi="Cambria Math" w:cs="Times New Roman"/>
              </w:rPr>
            </m:ctrlPr>
          </m:dPr>
          <m:e>
            <m:r>
              <m:rPr>
                <m:sty m:val="p"/>
              </m:rPr>
              <w:rPr>
                <w:rFonts w:ascii="Cambria Math" w:hAnsi="Cambria Math" w:cs="Times New Roman"/>
              </w:rPr>
              <m:t>1,0,1,1</m:t>
            </m:r>
          </m:e>
        </m:d>
        <m:r>
          <m:rPr>
            <m:sty m:val="p"/>
          </m:rPr>
          <w:rPr>
            <w:rFonts w:ascii="Cambria Math" w:hAnsi="Cambria Math" w:cs="Times New Roman"/>
          </w:rPr>
          <m:t>'</m:t>
        </m:r>
      </m:oMath>
      <w:r w:rsidRPr="003B6C5B">
        <w:rPr>
          <w:rFonts w:ascii="Times New Roman" w:hAnsi="Times New Roman" w:cs="Times New Roman" w:hint="eastAsia"/>
        </w:rPr>
        <w:t xml:space="preserve"> </w:t>
      </w:r>
      <w:r w:rsidRPr="003B6C5B">
        <w:rPr>
          <w:rFonts w:ascii="Times New Roman" w:hAnsi="Times New Roman" w:cs="Times New Roman"/>
        </w:rPr>
        <w:t xml:space="preserve">to </w:t>
      </w:r>
      <w:r w:rsidR="000E09E8">
        <w:rPr>
          <w:rFonts w:ascii="Times New Roman" w:hAnsi="Times New Roman" w:cs="Times New Roman"/>
        </w:rPr>
        <w:t>measure</w:t>
      </w:r>
      <w:r w:rsidR="000E09E8" w:rsidRPr="003B6C5B">
        <w:rPr>
          <w:rFonts w:ascii="Times New Roman" w:hAnsi="Times New Roman" w:cs="Times New Roman"/>
        </w:rPr>
        <w:t xml:space="preserve"> </w:t>
      </w:r>
      <w:r w:rsidRPr="003B6C5B">
        <w:rPr>
          <w:rFonts w:ascii="Times New Roman" w:hAnsi="Times New Roman" w:cs="Times New Roman"/>
        </w:rPr>
        <w:t>the optimal weights of energy and carbon assets against higher-order moments risk.</w:t>
      </w:r>
      <w:r w:rsidR="00511315" w:rsidRPr="003B6C5B">
        <w:rPr>
          <w:rFonts w:ascii="Times New Roman" w:hAnsi="Times New Roman" w:cs="Times New Roman"/>
        </w:rPr>
        <w:t xml:space="preserve"> To compute the optimal weights under different timescales, we use </w:t>
      </w:r>
      <w:r w:rsidR="00281900" w:rsidRPr="003B6C5B">
        <w:rPr>
          <w:rFonts w:ascii="Times New Roman" w:hAnsi="Times New Roman" w:cs="Times New Roman"/>
        </w:rPr>
        <w:t xml:space="preserve">a </w:t>
      </w:r>
      <w:r w:rsidR="00511315" w:rsidRPr="003B6C5B">
        <w:rPr>
          <w:rFonts w:ascii="Times New Roman" w:hAnsi="Times New Roman" w:cs="Times New Roman"/>
        </w:rPr>
        <w:t>wavelet method (Dai et al., 2020) to decompose</w:t>
      </w:r>
      <w:r w:rsidR="00CF05AF" w:rsidRPr="003B6C5B">
        <w:rPr>
          <w:rFonts w:ascii="Times New Roman" w:hAnsi="Times New Roman" w:cs="Times New Roman"/>
        </w:rPr>
        <w:t xml:space="preserve"> </w:t>
      </w:r>
      <w:r w:rsidR="00511315" w:rsidRPr="003B6C5B">
        <w:rPr>
          <w:rFonts w:ascii="Times New Roman" w:hAnsi="Times New Roman" w:cs="Times New Roman"/>
        </w:rPr>
        <w:t>the raw returns into short-</w:t>
      </w:r>
      <w:r w:rsidR="00465C73" w:rsidRPr="003B6C5B">
        <w:rPr>
          <w:rFonts w:ascii="Times New Roman" w:hAnsi="Times New Roman" w:cs="Times New Roman"/>
        </w:rPr>
        <w:t xml:space="preserve"> and</w:t>
      </w:r>
      <w:r w:rsidR="00511315" w:rsidRPr="003B6C5B">
        <w:rPr>
          <w:rFonts w:ascii="Times New Roman" w:hAnsi="Times New Roman" w:cs="Times New Roman"/>
        </w:rPr>
        <w:t xml:space="preserve"> long-run timescales.</w:t>
      </w:r>
    </w:p>
    <w:p w14:paraId="36E96C74" w14:textId="2D5B09A4" w:rsidR="00A2313E" w:rsidRPr="003B6C5B" w:rsidRDefault="00A2313E" w:rsidP="006724D6">
      <w:pPr>
        <w:pStyle w:val="Heading1"/>
        <w:numPr>
          <w:ilvl w:val="0"/>
          <w:numId w:val="1"/>
        </w:numPr>
        <w:spacing w:before="260" w:after="260" w:line="480" w:lineRule="auto"/>
        <w:ind w:left="357" w:hanging="357"/>
        <w:jc w:val="both"/>
        <w:rPr>
          <w:sz w:val="24"/>
          <w:szCs w:val="24"/>
        </w:rPr>
      </w:pPr>
      <w:r w:rsidRPr="003B6C5B">
        <w:rPr>
          <w:sz w:val="24"/>
          <w:szCs w:val="24"/>
        </w:rPr>
        <w:t>Data</w:t>
      </w:r>
      <w:r w:rsidR="007B461D" w:rsidRPr="003B6C5B">
        <w:rPr>
          <w:sz w:val="24"/>
          <w:szCs w:val="24"/>
        </w:rPr>
        <w:t xml:space="preserve"> description</w:t>
      </w:r>
    </w:p>
    <w:p w14:paraId="74D28DCE" w14:textId="1BCBEF19" w:rsidR="00A2313E" w:rsidRPr="003B6C5B" w:rsidRDefault="00AB4470" w:rsidP="006724D6">
      <w:pPr>
        <w:pStyle w:val="NormalWeb"/>
        <w:spacing w:before="0" w:beforeAutospacing="0" w:after="0" w:afterAutospacing="0" w:line="480" w:lineRule="auto"/>
        <w:ind w:firstLineChars="177" w:firstLine="425"/>
        <w:jc w:val="both"/>
        <w:rPr>
          <w:rFonts w:ascii="Times New Roman" w:hAnsi="Times New Roman" w:cs="Times New Roman"/>
        </w:rPr>
      </w:pPr>
      <w:r>
        <w:rPr>
          <w:rFonts w:ascii="Times New Roman" w:hAnsi="Times New Roman" w:cs="Times New Roman"/>
        </w:rPr>
        <w:t>T</w:t>
      </w:r>
      <w:r w:rsidR="00CB79F5" w:rsidRPr="003B6C5B">
        <w:rPr>
          <w:rFonts w:ascii="Times New Roman" w:hAnsi="Times New Roman" w:cs="Times New Roman"/>
        </w:rPr>
        <w:t>he</w:t>
      </w:r>
      <w:r w:rsidR="00A17ADD" w:rsidRPr="003B6C5B">
        <w:rPr>
          <w:rFonts w:ascii="Times New Roman" w:hAnsi="Times New Roman" w:cs="Times New Roman"/>
        </w:rPr>
        <w:t xml:space="preserve"> </w:t>
      </w:r>
      <w:r w:rsidR="00A2313E" w:rsidRPr="003B6C5B">
        <w:rPr>
          <w:rFonts w:ascii="Times New Roman" w:hAnsi="Times New Roman" w:cs="Times New Roman"/>
        </w:rPr>
        <w:t>EUA futures contracts</w:t>
      </w:r>
      <w:r w:rsidR="001A3C31" w:rsidRPr="003B6C5B">
        <w:rPr>
          <w:rFonts w:ascii="Times New Roman" w:hAnsi="Times New Roman" w:cs="Times New Roman"/>
        </w:rPr>
        <w:t xml:space="preserve">, </w:t>
      </w:r>
      <w:r w:rsidR="00CB79F5" w:rsidRPr="003B6C5B">
        <w:rPr>
          <w:rFonts w:ascii="Times New Roman" w:hAnsi="Times New Roman" w:cs="Times New Roman"/>
        </w:rPr>
        <w:t xml:space="preserve">which is </w:t>
      </w:r>
      <w:r w:rsidR="00A10872" w:rsidRPr="003B6C5B">
        <w:rPr>
          <w:rFonts w:ascii="Times New Roman" w:hAnsi="Times New Roman" w:cs="Times New Roman"/>
        </w:rPr>
        <w:t>denominated</w:t>
      </w:r>
      <w:r w:rsidR="00CB79F5" w:rsidRPr="003B6C5B">
        <w:rPr>
          <w:rFonts w:ascii="Times New Roman" w:hAnsi="Times New Roman" w:cs="Times New Roman"/>
        </w:rPr>
        <w:t xml:space="preserve"> in </w:t>
      </w:r>
      <w:r w:rsidR="00A17ADD" w:rsidRPr="003B6C5B">
        <w:rPr>
          <w:rFonts w:ascii="Times New Roman" w:hAnsi="Times New Roman" w:cs="Times New Roman"/>
        </w:rPr>
        <w:t>e</w:t>
      </w:r>
      <w:r w:rsidR="00CB79F5" w:rsidRPr="003B6C5B">
        <w:rPr>
          <w:rFonts w:ascii="Times New Roman" w:hAnsi="Times New Roman" w:cs="Times New Roman"/>
        </w:rPr>
        <w:t>uro</w:t>
      </w:r>
      <w:r w:rsidR="00A17ADD" w:rsidRPr="003B6C5B">
        <w:rPr>
          <w:rFonts w:ascii="Times New Roman" w:hAnsi="Times New Roman" w:cs="Times New Roman"/>
        </w:rPr>
        <w:t>s</w:t>
      </w:r>
      <w:r w:rsidR="00CB79F5" w:rsidRPr="003B6C5B">
        <w:rPr>
          <w:rFonts w:ascii="Times New Roman" w:hAnsi="Times New Roman" w:cs="Times New Roman"/>
        </w:rPr>
        <w:t xml:space="preserve"> and traded on the Intercontinental Exchange (ICE) Futures Europe electronic platform</w:t>
      </w:r>
      <w:r w:rsidR="001A3C31" w:rsidRPr="003B6C5B">
        <w:rPr>
          <w:rFonts w:ascii="Times New Roman" w:hAnsi="Times New Roman" w:cs="Times New Roman"/>
        </w:rPr>
        <w:t>,</w:t>
      </w:r>
      <w:r w:rsidR="00CF05AF" w:rsidRPr="003B6C5B">
        <w:rPr>
          <w:rFonts w:ascii="Times New Roman" w:hAnsi="Times New Roman" w:cs="Times New Roman"/>
        </w:rPr>
        <w:t xml:space="preserve"> </w:t>
      </w:r>
      <w:r w:rsidR="00CB79F5" w:rsidRPr="003B6C5B">
        <w:rPr>
          <w:rFonts w:ascii="Times New Roman" w:hAnsi="Times New Roman" w:cs="Times New Roman"/>
        </w:rPr>
        <w:t xml:space="preserve">is </w:t>
      </w:r>
      <w:r w:rsidR="00A2313E" w:rsidRPr="003B6C5B">
        <w:rPr>
          <w:rFonts w:ascii="Times New Roman" w:hAnsi="Times New Roman" w:cs="Times New Roman"/>
        </w:rPr>
        <w:t>selected as the proxy for carbon prices</w:t>
      </w:r>
      <w:r w:rsidR="00A17ADD" w:rsidRPr="003B6C5B">
        <w:rPr>
          <w:rFonts w:ascii="Times New Roman" w:hAnsi="Times New Roman" w:cs="Times New Roman"/>
        </w:rPr>
        <w:t>.</w:t>
      </w:r>
      <w:r w:rsidR="00A2313E" w:rsidRPr="003B6C5B">
        <w:rPr>
          <w:rFonts w:ascii="Times New Roman" w:hAnsi="Times New Roman" w:cs="Times New Roman"/>
        </w:rPr>
        <w:t xml:space="preserve"> The </w:t>
      </w:r>
      <w:r w:rsidR="007C2763">
        <w:rPr>
          <w:rFonts w:ascii="Times New Roman" w:hAnsi="Times New Roman" w:cs="Times New Roman"/>
        </w:rPr>
        <w:t xml:space="preserve">future price of </w:t>
      </w:r>
      <w:r w:rsidR="00A2313E" w:rsidRPr="003B6C5B">
        <w:rPr>
          <w:rFonts w:ascii="Times New Roman" w:hAnsi="Times New Roman" w:cs="Times New Roman"/>
        </w:rPr>
        <w:t>EUA can better reflect the market supply and demand than spot price</w:t>
      </w:r>
      <w:r w:rsidR="00A17ADD" w:rsidRPr="003B6C5B">
        <w:rPr>
          <w:rFonts w:ascii="Times New Roman" w:hAnsi="Times New Roman" w:cs="Times New Roman"/>
        </w:rPr>
        <w:t>s</w:t>
      </w:r>
      <w:r w:rsidR="00A2313E" w:rsidRPr="003B6C5B">
        <w:rPr>
          <w:rFonts w:ascii="Times New Roman" w:hAnsi="Times New Roman" w:cs="Times New Roman"/>
        </w:rPr>
        <w:t xml:space="preserve"> </w:t>
      </w:r>
      <w:r w:rsidR="007C2763">
        <w:rPr>
          <w:rFonts w:ascii="Times New Roman" w:hAnsi="Times New Roman" w:cs="Times New Roman"/>
        </w:rPr>
        <w:t>because of</w:t>
      </w:r>
      <w:r w:rsidR="00A2313E" w:rsidRPr="003B6C5B">
        <w:rPr>
          <w:rFonts w:ascii="Times New Roman" w:hAnsi="Times New Roman" w:cs="Times New Roman"/>
        </w:rPr>
        <w:t xml:space="preserve"> its high trading volume.</w:t>
      </w:r>
      <w:r w:rsidR="007D4319" w:rsidRPr="003B6C5B">
        <w:rPr>
          <w:rFonts w:ascii="Times New Roman" w:hAnsi="Times New Roman" w:cs="Times New Roman"/>
        </w:rPr>
        <w:t xml:space="preserve"> T</w:t>
      </w:r>
      <w:r w:rsidR="00A2313E" w:rsidRPr="003B6C5B">
        <w:rPr>
          <w:rFonts w:ascii="Times New Roman" w:hAnsi="Times New Roman" w:cs="Times New Roman"/>
        </w:rPr>
        <w:t>he energy sectors consist of oil futures (Brent oil futures, USD/bbl</w:t>
      </w:r>
      <w:r w:rsidR="00873F0F" w:rsidRPr="003B6C5B">
        <w:rPr>
          <w:rFonts w:ascii="Times New Roman" w:hAnsi="Times New Roman" w:cs="Times New Roman"/>
        </w:rPr>
        <w:t>, see Alberola et al. (2008</w:t>
      </w:r>
      <w:r w:rsidR="00A2313E" w:rsidRPr="003B6C5B">
        <w:rPr>
          <w:rFonts w:ascii="Times New Roman" w:hAnsi="Times New Roman" w:cs="Times New Roman"/>
        </w:rPr>
        <w:t>)</w:t>
      </w:r>
      <w:r w:rsidR="00873F0F" w:rsidRPr="003B6C5B">
        <w:rPr>
          <w:rFonts w:ascii="Times New Roman" w:hAnsi="Times New Roman" w:cs="Times New Roman"/>
        </w:rPr>
        <w:t>)</w:t>
      </w:r>
      <w:r w:rsidR="00D1220C" w:rsidRPr="003B6C5B">
        <w:rPr>
          <w:rFonts w:ascii="Times New Roman" w:hAnsi="Times New Roman" w:cs="Times New Roman"/>
        </w:rPr>
        <w:t xml:space="preserve">, </w:t>
      </w:r>
      <w:r w:rsidR="00A2313E" w:rsidRPr="003B6C5B">
        <w:rPr>
          <w:rFonts w:ascii="Times New Roman" w:hAnsi="Times New Roman" w:cs="Times New Roman"/>
        </w:rPr>
        <w:t xml:space="preserve">Coal </w:t>
      </w:r>
      <w:r w:rsidR="00A2313E" w:rsidRPr="003B6C5B">
        <w:rPr>
          <w:rFonts w:ascii="Times New Roman" w:hAnsi="Times New Roman" w:cs="Times New Roman"/>
        </w:rPr>
        <w:lastRenderedPageBreak/>
        <w:t>(Europe Coal 6</w:t>
      </w:r>
      <w:r w:rsidR="00A17ADD" w:rsidRPr="003B6C5B">
        <w:rPr>
          <w:rFonts w:ascii="Times New Roman" w:hAnsi="Times New Roman" w:cs="Times New Roman"/>
        </w:rPr>
        <w:t>,</w:t>
      </w:r>
      <w:r w:rsidR="00A2313E" w:rsidRPr="003B6C5B">
        <w:rPr>
          <w:rFonts w:ascii="Times New Roman" w:hAnsi="Times New Roman" w:cs="Times New Roman"/>
        </w:rPr>
        <w:t>000</w:t>
      </w:r>
      <w:r w:rsidR="00A17ADD" w:rsidRPr="003B6C5B">
        <w:rPr>
          <w:rFonts w:ascii="Times New Roman" w:hAnsi="Times New Roman" w:cs="Times New Roman"/>
        </w:rPr>
        <w:t xml:space="preserve"> </w:t>
      </w:r>
      <w:r w:rsidR="00A2313E" w:rsidRPr="003B6C5B">
        <w:rPr>
          <w:rFonts w:ascii="Times New Roman" w:hAnsi="Times New Roman" w:cs="Times New Roman"/>
        </w:rPr>
        <w:t xml:space="preserve">kcal </w:t>
      </w:r>
      <w:r w:rsidR="00A17ADD" w:rsidRPr="003B6C5B">
        <w:rPr>
          <w:rFonts w:ascii="Times New Roman" w:hAnsi="Times New Roman" w:cs="Times New Roman"/>
        </w:rPr>
        <w:t xml:space="preserve">delivered </w:t>
      </w:r>
      <w:r w:rsidR="00A2313E" w:rsidRPr="003B6C5B">
        <w:rPr>
          <w:rFonts w:ascii="Times New Roman" w:hAnsi="Times New Roman" w:cs="Times New Roman"/>
        </w:rPr>
        <w:t xml:space="preserve">CIF ARA </w:t>
      </w:r>
      <w:r w:rsidR="00A17ADD" w:rsidRPr="003B6C5B">
        <w:rPr>
          <w:rFonts w:ascii="Times New Roman" w:hAnsi="Times New Roman" w:cs="Times New Roman"/>
        </w:rPr>
        <w:t>f</w:t>
      </w:r>
      <w:r w:rsidR="00A2313E" w:rsidRPr="003B6C5B">
        <w:rPr>
          <w:rFonts w:ascii="Times New Roman" w:hAnsi="Times New Roman" w:cs="Times New Roman"/>
        </w:rPr>
        <w:t xml:space="preserve">orward </w:t>
      </w:r>
      <w:r w:rsidR="00A17ADD" w:rsidRPr="003B6C5B">
        <w:rPr>
          <w:rFonts w:ascii="Times New Roman" w:hAnsi="Times New Roman" w:cs="Times New Roman"/>
        </w:rPr>
        <w:t>m</w:t>
      </w:r>
      <w:r w:rsidR="00A2313E" w:rsidRPr="003B6C5B">
        <w:rPr>
          <w:rFonts w:ascii="Times New Roman" w:hAnsi="Times New Roman" w:cs="Times New Roman"/>
        </w:rPr>
        <w:t>onth 1, USD/</w:t>
      </w:r>
      <w:r w:rsidR="00A17ADD" w:rsidRPr="003B6C5B">
        <w:rPr>
          <w:rFonts w:ascii="Times New Roman" w:hAnsi="Times New Roman" w:cs="Times New Roman"/>
        </w:rPr>
        <w:t>m</w:t>
      </w:r>
      <w:r w:rsidR="00A2313E" w:rsidRPr="003B6C5B">
        <w:rPr>
          <w:rFonts w:ascii="Times New Roman" w:hAnsi="Times New Roman" w:cs="Times New Roman"/>
        </w:rPr>
        <w:t xml:space="preserve">etric </w:t>
      </w:r>
      <w:r w:rsidR="00A17ADD" w:rsidRPr="003B6C5B">
        <w:rPr>
          <w:rFonts w:ascii="Times New Roman" w:hAnsi="Times New Roman" w:cs="Times New Roman"/>
        </w:rPr>
        <w:t>t</w:t>
      </w:r>
      <w:r w:rsidR="00A2313E" w:rsidRPr="003B6C5B">
        <w:rPr>
          <w:rFonts w:ascii="Times New Roman" w:hAnsi="Times New Roman" w:cs="Times New Roman"/>
        </w:rPr>
        <w:t>on</w:t>
      </w:r>
      <w:r w:rsidR="00873F0F" w:rsidRPr="003B6C5B">
        <w:rPr>
          <w:rFonts w:ascii="Times New Roman" w:hAnsi="Times New Roman" w:cs="Times New Roman"/>
        </w:rPr>
        <w:t>, see Hintermann (2010)</w:t>
      </w:r>
      <w:r w:rsidR="00A2313E" w:rsidRPr="003B6C5B">
        <w:rPr>
          <w:rFonts w:ascii="Times New Roman" w:hAnsi="Times New Roman" w:cs="Times New Roman"/>
        </w:rPr>
        <w:t>) and natural gas futures (TTFG1MON Comdty, Euro/M</w:t>
      </w:r>
      <w:r w:rsidR="00A17ADD" w:rsidRPr="003B6C5B">
        <w:rPr>
          <w:rFonts w:ascii="Times New Roman" w:hAnsi="Times New Roman" w:cs="Times New Roman"/>
        </w:rPr>
        <w:t>W</w:t>
      </w:r>
      <w:r w:rsidR="00A2313E" w:rsidRPr="003B6C5B">
        <w:rPr>
          <w:rFonts w:ascii="Times New Roman" w:hAnsi="Times New Roman" w:cs="Times New Roman"/>
        </w:rPr>
        <w:t>h</w:t>
      </w:r>
      <w:r w:rsidR="00873F0F" w:rsidRPr="003B6C5B">
        <w:rPr>
          <w:rFonts w:ascii="Times New Roman" w:hAnsi="Times New Roman" w:cs="Times New Roman"/>
        </w:rPr>
        <w:t>, see Hintermann (2010)</w:t>
      </w:r>
      <w:r w:rsidR="00A2313E" w:rsidRPr="003B6C5B">
        <w:rPr>
          <w:rFonts w:ascii="Times New Roman" w:hAnsi="Times New Roman" w:cs="Times New Roman"/>
        </w:rPr>
        <w:t xml:space="preserve">) which are </w:t>
      </w:r>
      <w:r w:rsidR="00A62396">
        <w:rPr>
          <w:rFonts w:ascii="Times New Roman" w:hAnsi="Times New Roman" w:cs="Times New Roman"/>
        </w:rPr>
        <w:t xml:space="preserve">used as </w:t>
      </w:r>
      <w:r w:rsidR="00A2313E" w:rsidRPr="003B6C5B">
        <w:rPr>
          <w:rFonts w:ascii="Times New Roman" w:hAnsi="Times New Roman" w:cs="Times New Roman"/>
        </w:rPr>
        <w:t xml:space="preserve">proxies </w:t>
      </w:r>
      <w:r w:rsidR="00A17ADD" w:rsidRPr="003B6C5B">
        <w:rPr>
          <w:rFonts w:ascii="Times New Roman" w:hAnsi="Times New Roman" w:cs="Times New Roman"/>
        </w:rPr>
        <w:t xml:space="preserve">for the </w:t>
      </w:r>
      <w:r w:rsidR="00A2313E" w:rsidRPr="003B6C5B">
        <w:rPr>
          <w:rFonts w:ascii="Times New Roman" w:hAnsi="Times New Roman" w:cs="Times New Roman"/>
        </w:rPr>
        <w:t xml:space="preserve">European energy </w:t>
      </w:r>
      <w:r w:rsidR="00A62396">
        <w:rPr>
          <w:rFonts w:ascii="Times New Roman" w:hAnsi="Times New Roman" w:cs="Times New Roman"/>
        </w:rPr>
        <w:t>assets</w:t>
      </w:r>
      <w:r w:rsidR="00A17ADD" w:rsidRPr="003B6C5B">
        <w:rPr>
          <w:rFonts w:ascii="Times New Roman" w:hAnsi="Times New Roman" w:cs="Times New Roman"/>
        </w:rPr>
        <w:t>.</w:t>
      </w:r>
      <w:r w:rsidR="00391DD7" w:rsidRPr="003B6C5B">
        <w:rPr>
          <w:rStyle w:val="FootnoteReference"/>
          <w:rFonts w:ascii="Times New Roman" w:hAnsi="Times New Roman" w:cs="Times New Roman"/>
        </w:rPr>
        <w:footnoteReference w:id="16"/>
      </w:r>
      <w:r w:rsidR="00A2313E" w:rsidRPr="003B6C5B">
        <w:rPr>
          <w:rFonts w:ascii="Times New Roman" w:hAnsi="Times New Roman" w:cs="Times New Roman"/>
        </w:rPr>
        <w:t xml:space="preserve"> </w:t>
      </w:r>
      <w:r w:rsidR="00A17ADD" w:rsidRPr="003B6C5B">
        <w:rPr>
          <w:rFonts w:ascii="Times New Roman" w:hAnsi="Times New Roman" w:cs="Times New Roman"/>
        </w:rPr>
        <w:t>D</w:t>
      </w:r>
      <w:r w:rsidR="00A2313E" w:rsidRPr="003B6C5B">
        <w:rPr>
          <w:rFonts w:ascii="Times New Roman" w:hAnsi="Times New Roman" w:cs="Times New Roman"/>
        </w:rPr>
        <w:t xml:space="preserve">ata </w:t>
      </w:r>
      <w:r w:rsidR="00A17ADD" w:rsidRPr="003B6C5B">
        <w:rPr>
          <w:rFonts w:ascii="Times New Roman" w:hAnsi="Times New Roman" w:cs="Times New Roman"/>
        </w:rPr>
        <w:t xml:space="preserve">were </w:t>
      </w:r>
      <w:r w:rsidR="00A2313E" w:rsidRPr="003B6C5B">
        <w:rPr>
          <w:rFonts w:ascii="Times New Roman" w:hAnsi="Times New Roman" w:cs="Times New Roman"/>
        </w:rPr>
        <w:t xml:space="preserve">collected from the </w:t>
      </w:r>
      <w:r w:rsidR="00A2313E" w:rsidRPr="003B6C5B">
        <w:rPr>
          <w:rFonts w:ascii="Times New Roman" w:hAnsi="Times New Roman" w:cs="Times New Roman"/>
          <w:i/>
          <w:iCs/>
        </w:rPr>
        <w:t>Bloomberg</w:t>
      </w:r>
      <w:r w:rsidR="00A2313E" w:rsidRPr="003B6C5B">
        <w:rPr>
          <w:rFonts w:ascii="Times New Roman" w:hAnsi="Times New Roman" w:cs="Times New Roman"/>
        </w:rPr>
        <w:t xml:space="preserve"> </w:t>
      </w:r>
      <w:r w:rsidR="003F093A" w:rsidRPr="003B6C5B">
        <w:rPr>
          <w:rFonts w:ascii="Times New Roman" w:hAnsi="Times New Roman" w:cs="Times New Roman"/>
          <w:i/>
        </w:rPr>
        <w:t>Terminal</w:t>
      </w:r>
      <w:r w:rsidR="000B6708" w:rsidRPr="003B6C5B">
        <w:rPr>
          <w:rFonts w:ascii="Times New Roman" w:hAnsi="Times New Roman" w:cs="Times New Roman"/>
          <w:i/>
        </w:rPr>
        <w:t>.</w:t>
      </w:r>
      <w:r w:rsidR="00BF71A0" w:rsidRPr="003B6C5B">
        <w:rPr>
          <w:rStyle w:val="FootnoteReference"/>
          <w:rFonts w:ascii="Times New Roman" w:hAnsi="Times New Roman" w:cs="Times New Roman"/>
        </w:rPr>
        <w:footnoteReference w:id="17"/>
      </w:r>
      <w:r w:rsidR="00A2313E" w:rsidRPr="003B6C5B">
        <w:rPr>
          <w:rFonts w:ascii="Times New Roman" w:hAnsi="Times New Roman" w:cs="Times New Roman"/>
        </w:rPr>
        <w:t xml:space="preserve"> </w:t>
      </w:r>
      <w:r w:rsidR="00A2313E" w:rsidRPr="003B6C5B">
        <w:rPr>
          <w:rFonts w:ascii="Times New Roman" w:eastAsia="DengXian" w:hAnsi="Times New Roman" w:cs="Times New Roman"/>
          <w:color w:val="000000" w:themeColor="text1"/>
        </w:rPr>
        <w:t>Th</w:t>
      </w:r>
      <w:r w:rsidR="00003F7A">
        <w:rPr>
          <w:rFonts w:ascii="Times New Roman" w:eastAsia="DengXian" w:hAnsi="Times New Roman" w:cs="Times New Roman"/>
          <w:color w:val="000000" w:themeColor="text1"/>
        </w:rPr>
        <w:t>is</w:t>
      </w:r>
      <w:r w:rsidR="00A2313E" w:rsidRPr="003B6C5B">
        <w:rPr>
          <w:rFonts w:ascii="Times New Roman" w:eastAsia="DengXian" w:hAnsi="Times New Roman" w:cs="Times New Roman"/>
          <w:color w:val="000000" w:themeColor="text1"/>
        </w:rPr>
        <w:t xml:space="preserve"> time span</w:t>
      </w:r>
      <w:r w:rsidR="00003F7A">
        <w:rPr>
          <w:rFonts w:ascii="Times New Roman" w:eastAsia="DengXian" w:hAnsi="Times New Roman" w:cs="Times New Roman"/>
          <w:color w:val="000000" w:themeColor="text1"/>
        </w:rPr>
        <w:t xml:space="preserve"> of this study</w:t>
      </w:r>
      <w:r w:rsidR="00A2313E" w:rsidRPr="003B6C5B">
        <w:rPr>
          <w:rFonts w:ascii="Times New Roman" w:eastAsia="DengXian" w:hAnsi="Times New Roman" w:cs="Times New Roman"/>
          <w:color w:val="000000" w:themeColor="text1"/>
        </w:rPr>
        <w:t xml:space="preserve"> </w:t>
      </w:r>
      <w:r w:rsidR="00A17ADD" w:rsidRPr="003B6C5B">
        <w:rPr>
          <w:rFonts w:ascii="Times New Roman" w:eastAsia="DengXian" w:hAnsi="Times New Roman" w:cs="Times New Roman"/>
          <w:color w:val="000000" w:themeColor="text1"/>
        </w:rPr>
        <w:t xml:space="preserve">ranges </w:t>
      </w:r>
      <w:r w:rsidR="00A2313E" w:rsidRPr="003B6C5B">
        <w:rPr>
          <w:rFonts w:ascii="Times New Roman" w:eastAsia="DengXian" w:hAnsi="Times New Roman" w:cs="Times New Roman"/>
          <w:color w:val="000000" w:themeColor="text1"/>
        </w:rPr>
        <w:t xml:space="preserve">from </w:t>
      </w:r>
      <w:r w:rsidR="00AC0222" w:rsidRPr="003B6C5B">
        <w:rPr>
          <w:rFonts w:ascii="Times New Roman" w:eastAsia="DengXian" w:hAnsi="Times New Roman" w:cs="Times New Roman"/>
          <w:color w:val="000000" w:themeColor="text1"/>
        </w:rPr>
        <w:t>January 3</w:t>
      </w:r>
      <w:r w:rsidR="00A2313E" w:rsidRPr="003B6C5B">
        <w:rPr>
          <w:rFonts w:ascii="Times New Roman" w:eastAsia="DengXian" w:hAnsi="Times New Roman" w:cs="Times New Roman"/>
          <w:color w:val="000000" w:themeColor="text1"/>
        </w:rPr>
        <w:t>, 2013</w:t>
      </w:r>
      <w:r w:rsidR="0018607A" w:rsidRPr="003B6C5B">
        <w:rPr>
          <w:rFonts w:ascii="Times New Roman" w:eastAsia="DengXian" w:hAnsi="Times New Roman" w:cs="Times New Roman"/>
          <w:color w:val="000000" w:themeColor="text1"/>
        </w:rPr>
        <w:t xml:space="preserve"> </w:t>
      </w:r>
      <w:r w:rsidR="00A2313E" w:rsidRPr="003B6C5B">
        <w:rPr>
          <w:rFonts w:ascii="Times New Roman" w:eastAsia="DengXian" w:hAnsi="Times New Roman" w:cs="Times New Roman"/>
          <w:color w:val="000000" w:themeColor="text1"/>
        </w:rPr>
        <w:t xml:space="preserve">to </w:t>
      </w:r>
      <w:r w:rsidR="00AC0222" w:rsidRPr="003B6C5B">
        <w:rPr>
          <w:rFonts w:ascii="Times New Roman" w:eastAsia="DengXian" w:hAnsi="Times New Roman" w:cs="Times New Roman"/>
          <w:color w:val="000000" w:themeColor="text1"/>
        </w:rPr>
        <w:t>November 1</w:t>
      </w:r>
      <w:r w:rsidR="00D1220C" w:rsidRPr="003B6C5B">
        <w:rPr>
          <w:rFonts w:ascii="Times New Roman" w:eastAsia="DengXian" w:hAnsi="Times New Roman" w:cs="Times New Roman"/>
          <w:color w:val="000000" w:themeColor="text1"/>
        </w:rPr>
        <w:t>,</w:t>
      </w:r>
      <w:r w:rsidR="00A2313E" w:rsidRPr="003B6C5B">
        <w:rPr>
          <w:rFonts w:ascii="Times New Roman" w:eastAsia="DengXian" w:hAnsi="Times New Roman" w:cs="Times New Roman"/>
          <w:color w:val="000000" w:themeColor="text1"/>
        </w:rPr>
        <w:t xml:space="preserve"> 2019</w:t>
      </w:r>
      <w:r w:rsidR="00003F7A">
        <w:rPr>
          <w:rFonts w:ascii="Times New Roman" w:eastAsia="DengXian" w:hAnsi="Times New Roman" w:cs="Times New Roman"/>
          <w:color w:val="000000" w:themeColor="text1"/>
        </w:rPr>
        <w:t xml:space="preserve"> (</w:t>
      </w:r>
      <w:r w:rsidR="00A17ADD" w:rsidRPr="003B6C5B">
        <w:rPr>
          <w:rFonts w:ascii="Times New Roman" w:eastAsia="DengXian" w:hAnsi="Times New Roman" w:cs="Times New Roman"/>
          <w:color w:val="000000" w:themeColor="text1"/>
        </w:rPr>
        <w:t>or</w:t>
      </w:r>
      <w:r w:rsidR="00A2313E" w:rsidRPr="003B6C5B">
        <w:rPr>
          <w:rFonts w:ascii="Times New Roman" w:eastAsia="DengXian" w:hAnsi="Times New Roman" w:cs="Times New Roman"/>
          <w:color w:val="000000" w:themeColor="text1"/>
        </w:rPr>
        <w:t xml:space="preserve"> a total of 1,717 days</w:t>
      </w:r>
      <w:r w:rsidR="00003F7A">
        <w:rPr>
          <w:rFonts w:ascii="Times New Roman" w:eastAsia="DengXian" w:hAnsi="Times New Roman" w:cs="Times New Roman"/>
          <w:color w:val="000000" w:themeColor="text1"/>
        </w:rPr>
        <w:t>)</w:t>
      </w:r>
      <w:r w:rsidR="00A2313E" w:rsidRPr="003B6C5B">
        <w:rPr>
          <w:rFonts w:ascii="Times New Roman" w:eastAsia="DengXian" w:hAnsi="Times New Roman" w:cs="Times New Roman"/>
          <w:color w:val="000000" w:themeColor="text1"/>
        </w:rPr>
        <w:t xml:space="preserve">, which covers </w:t>
      </w:r>
      <w:r w:rsidR="00A17ADD" w:rsidRPr="003B6C5B">
        <w:rPr>
          <w:rFonts w:ascii="Times New Roman" w:eastAsia="DengXian" w:hAnsi="Times New Roman" w:cs="Times New Roman"/>
          <w:color w:val="000000" w:themeColor="text1"/>
        </w:rPr>
        <w:t xml:space="preserve">Phase III of the </w:t>
      </w:r>
      <w:r w:rsidR="00A2313E" w:rsidRPr="003B6C5B">
        <w:rPr>
          <w:rFonts w:ascii="Times New Roman" w:eastAsia="DengXian" w:hAnsi="Times New Roman" w:cs="Times New Roman"/>
          <w:color w:val="000000" w:themeColor="text1"/>
        </w:rPr>
        <w:t xml:space="preserve">EU ETS. The daily closing price series are converted into natural logarithm returns as </w:t>
      </w:r>
      <m:oMath>
        <m:sSub>
          <m:sSubPr>
            <m:ctrlPr>
              <w:rPr>
                <w:rFonts w:ascii="Cambria Math" w:eastAsia="DengXian" w:hAnsi="Cambria Math" w:cs="Times New Roman"/>
                <w:color w:val="000000" w:themeColor="text1"/>
              </w:rPr>
            </m:ctrlPr>
          </m:sSubPr>
          <m:e>
            <m:r>
              <w:rPr>
                <w:rFonts w:ascii="Cambria Math" w:eastAsia="DengXian" w:hAnsi="Cambria Math" w:cs="Times New Roman"/>
                <w:color w:val="000000" w:themeColor="text1"/>
              </w:rPr>
              <m:t>R</m:t>
            </m:r>
          </m:e>
          <m:sub>
            <m:r>
              <w:rPr>
                <w:rFonts w:ascii="Cambria Math" w:eastAsia="DengXian" w:hAnsi="Cambria Math" w:cs="Times New Roman"/>
                <w:color w:val="000000" w:themeColor="text1"/>
              </w:rPr>
              <m:t>t</m:t>
            </m:r>
          </m:sub>
        </m:sSub>
        <m:r>
          <m:rPr>
            <m:sty m:val="p"/>
          </m:rPr>
          <w:rPr>
            <w:rFonts w:ascii="Cambria Math" w:eastAsia="DengXian" w:hAnsi="Cambria Math" w:cs="Times New Roman"/>
            <w:color w:val="000000" w:themeColor="text1"/>
          </w:rPr>
          <m:t>=100*</m:t>
        </m:r>
        <m:r>
          <w:rPr>
            <w:rFonts w:ascii="Cambria Math" w:eastAsia="DengXian" w:hAnsi="Cambria Math" w:cs="Times New Roman"/>
            <w:color w:val="000000" w:themeColor="text1"/>
          </w:rPr>
          <m:t>l</m:t>
        </m:r>
        <m:func>
          <m:funcPr>
            <m:ctrlPr>
              <w:rPr>
                <w:rFonts w:ascii="Cambria Math" w:eastAsia="DengXian" w:hAnsi="Cambria Math" w:cs="Times New Roman"/>
                <w:color w:val="000000" w:themeColor="text1"/>
              </w:rPr>
            </m:ctrlPr>
          </m:funcPr>
          <m:fName>
            <m:r>
              <w:rPr>
                <w:rFonts w:ascii="Cambria Math" w:eastAsia="DengXian" w:hAnsi="Cambria Math" w:cs="Times New Roman"/>
                <w:color w:val="000000" w:themeColor="text1"/>
              </w:rPr>
              <m:t>n</m:t>
            </m:r>
            <m:ctrlPr>
              <w:rPr>
                <w:rFonts w:ascii="Cambria Math" w:eastAsia="DengXian" w:hAnsi="Cambria Math" w:cs="Times New Roman"/>
                <w:i/>
                <w:color w:val="000000" w:themeColor="text1"/>
              </w:rPr>
            </m:ctrlPr>
          </m:fName>
          <m:e>
            <m:d>
              <m:dPr>
                <m:ctrlPr>
                  <w:rPr>
                    <w:rFonts w:ascii="Cambria Math" w:eastAsia="DengXian" w:hAnsi="Cambria Math" w:cs="Times New Roman"/>
                    <w:color w:val="000000" w:themeColor="text1"/>
                  </w:rPr>
                </m:ctrlPr>
              </m:dPr>
              <m:e>
                <m:f>
                  <m:fPr>
                    <m:ctrlPr>
                      <w:rPr>
                        <w:rFonts w:ascii="Cambria Math" w:eastAsia="DengXian" w:hAnsi="Cambria Math" w:cs="Times New Roman"/>
                        <w:color w:val="000000" w:themeColor="text1"/>
                      </w:rPr>
                    </m:ctrlPr>
                  </m:fPr>
                  <m:num>
                    <m:sSub>
                      <m:sSubPr>
                        <m:ctrlPr>
                          <w:rPr>
                            <w:rFonts w:ascii="Cambria Math" w:eastAsia="DengXian" w:hAnsi="Cambria Math" w:cs="Times New Roman"/>
                            <w:color w:val="000000" w:themeColor="text1"/>
                          </w:rPr>
                        </m:ctrlPr>
                      </m:sSubPr>
                      <m:e>
                        <m:r>
                          <w:rPr>
                            <w:rFonts w:ascii="Cambria Math" w:eastAsia="DengXian" w:hAnsi="Cambria Math" w:cs="Times New Roman"/>
                            <w:color w:val="000000" w:themeColor="text1"/>
                          </w:rPr>
                          <m:t>p</m:t>
                        </m:r>
                      </m:e>
                      <m:sub>
                        <m:r>
                          <w:rPr>
                            <w:rFonts w:ascii="Cambria Math" w:eastAsia="DengXian" w:hAnsi="Cambria Math" w:cs="Times New Roman"/>
                            <w:color w:val="000000" w:themeColor="text1"/>
                          </w:rPr>
                          <m:t>t</m:t>
                        </m:r>
                      </m:sub>
                    </m:sSub>
                  </m:num>
                  <m:den>
                    <m:sSub>
                      <m:sSubPr>
                        <m:ctrlPr>
                          <w:rPr>
                            <w:rFonts w:ascii="Cambria Math" w:eastAsia="DengXian" w:hAnsi="Cambria Math" w:cs="Times New Roman"/>
                            <w:color w:val="000000" w:themeColor="text1"/>
                          </w:rPr>
                        </m:ctrlPr>
                      </m:sSubPr>
                      <m:e>
                        <m:r>
                          <w:rPr>
                            <w:rFonts w:ascii="Cambria Math" w:eastAsia="DengXian" w:hAnsi="Cambria Math" w:cs="Times New Roman"/>
                            <w:color w:val="000000" w:themeColor="text1"/>
                          </w:rPr>
                          <m:t>p</m:t>
                        </m:r>
                      </m:e>
                      <m:sub>
                        <m:r>
                          <w:rPr>
                            <w:rFonts w:ascii="Cambria Math" w:eastAsia="DengXian" w:hAnsi="Cambria Math" w:cs="Times New Roman"/>
                            <w:color w:val="000000" w:themeColor="text1"/>
                          </w:rPr>
                          <m:t>t</m:t>
                        </m:r>
                        <m:r>
                          <m:rPr>
                            <m:sty m:val="p"/>
                          </m:rPr>
                          <w:rPr>
                            <w:rFonts w:ascii="Cambria Math" w:eastAsia="DengXian" w:hAnsi="Cambria Math" w:cs="Times New Roman"/>
                            <w:color w:val="000000" w:themeColor="text1"/>
                          </w:rPr>
                          <m:t>-1</m:t>
                        </m:r>
                      </m:sub>
                    </m:sSub>
                  </m:den>
                </m:f>
              </m:e>
            </m:d>
          </m:e>
        </m:func>
      </m:oMath>
      <w:r w:rsidR="00A2313E" w:rsidRPr="003B6C5B">
        <w:rPr>
          <w:rFonts w:ascii="Times New Roman" w:eastAsia="DengXian" w:hAnsi="Times New Roman" w:cs="Times New Roman"/>
          <w:color w:val="000000" w:themeColor="text1"/>
        </w:rPr>
        <w:t xml:space="preserve">. </w:t>
      </w:r>
    </w:p>
    <w:p w14:paraId="6CA1C618" w14:textId="54227CF4" w:rsidR="00AB4470" w:rsidRPr="003B6C5B" w:rsidRDefault="00A2313E" w:rsidP="00AB4470">
      <w:pPr>
        <w:pStyle w:val="NormalWeb"/>
        <w:spacing w:before="0" w:beforeAutospacing="0" w:after="0" w:afterAutospacing="0" w:line="480" w:lineRule="auto"/>
        <w:ind w:firstLineChars="200" w:firstLine="480"/>
        <w:jc w:val="both"/>
        <w:rPr>
          <w:rFonts w:ascii="Times New Roman" w:eastAsia="DengXian" w:hAnsi="Times New Roman" w:cs="Times New Roman"/>
          <w:color w:val="000000" w:themeColor="text1"/>
        </w:rPr>
      </w:pPr>
      <w:r w:rsidRPr="003B6C5B">
        <w:rPr>
          <w:rFonts w:ascii="Times New Roman" w:eastAsia="DengXian" w:hAnsi="Times New Roman" w:cs="Times New Roman"/>
          <w:color w:val="000000" w:themeColor="text1"/>
        </w:rPr>
        <w:t>Table 1</w:t>
      </w:r>
      <w:r w:rsidR="006D1E87">
        <w:rPr>
          <w:rFonts w:ascii="Times New Roman" w:eastAsia="DengXian" w:hAnsi="Times New Roman" w:cs="Times New Roman"/>
          <w:color w:val="000000" w:themeColor="text1"/>
        </w:rPr>
        <w:t xml:space="preserve"> shows significant evidence of </w:t>
      </w:r>
      <w:r w:rsidRPr="003B6C5B">
        <w:rPr>
          <w:rFonts w:ascii="Times New Roman" w:eastAsia="DengXian" w:hAnsi="Times New Roman" w:cs="Times New Roman"/>
          <w:color w:val="000000" w:themeColor="text1"/>
        </w:rPr>
        <w:t xml:space="preserve">the unconditional skewness </w:t>
      </w:r>
      <w:r w:rsidR="006D1E87">
        <w:rPr>
          <w:rFonts w:ascii="Times New Roman" w:eastAsia="DengXian" w:hAnsi="Times New Roman" w:cs="Times New Roman"/>
          <w:color w:val="000000" w:themeColor="text1"/>
        </w:rPr>
        <w:t>in the</w:t>
      </w:r>
      <w:r w:rsidRPr="003B6C5B">
        <w:rPr>
          <w:rFonts w:ascii="Times New Roman" w:eastAsia="DengXian" w:hAnsi="Times New Roman" w:cs="Times New Roman"/>
          <w:color w:val="000000" w:themeColor="text1"/>
        </w:rPr>
        <w:t xml:space="preserve"> sample data, which implies </w:t>
      </w:r>
      <w:r w:rsidR="00A22A56" w:rsidRPr="003B6C5B">
        <w:rPr>
          <w:rFonts w:ascii="Times New Roman" w:eastAsia="DengXian" w:hAnsi="Times New Roman" w:cs="Times New Roman"/>
          <w:color w:val="000000" w:themeColor="text1"/>
        </w:rPr>
        <w:t xml:space="preserve">the asymmetric rise or </w:t>
      </w:r>
      <w:r w:rsidR="00FE0C17">
        <w:rPr>
          <w:rFonts w:ascii="Times New Roman" w:eastAsia="DengXian" w:hAnsi="Times New Roman" w:cs="Times New Roman"/>
          <w:color w:val="000000" w:themeColor="text1"/>
        </w:rPr>
        <w:t>declining probability of return distributions</w:t>
      </w:r>
      <w:r w:rsidR="00A22A56" w:rsidRPr="003B6C5B">
        <w:rPr>
          <w:rFonts w:ascii="Times New Roman" w:eastAsia="DengXian" w:hAnsi="Times New Roman" w:cs="Times New Roman"/>
          <w:color w:val="000000" w:themeColor="text1"/>
        </w:rPr>
        <w:t xml:space="preserve">. </w:t>
      </w:r>
      <w:r w:rsidR="006D1E87">
        <w:rPr>
          <w:rFonts w:ascii="Times New Roman" w:eastAsia="DengXian" w:hAnsi="Times New Roman" w:cs="Times New Roman"/>
          <w:color w:val="000000" w:themeColor="text1"/>
        </w:rPr>
        <w:t xml:space="preserve">Furthermore, </w:t>
      </w:r>
      <w:r w:rsidR="00FE0C17">
        <w:rPr>
          <w:rFonts w:ascii="Times New Roman" w:eastAsia="DengXian" w:hAnsi="Times New Roman" w:cs="Times New Roman"/>
          <w:color w:val="000000" w:themeColor="text1"/>
        </w:rPr>
        <w:t>unconditional kurtosis exhibits</w:t>
      </w:r>
      <w:r w:rsidRPr="003B6C5B">
        <w:rPr>
          <w:rFonts w:ascii="Times New Roman" w:eastAsia="DengXian" w:hAnsi="Times New Roman" w:cs="Times New Roman"/>
          <w:color w:val="000000" w:themeColor="text1"/>
        </w:rPr>
        <w:t xml:space="preserve"> high value which </w:t>
      </w:r>
      <w:r w:rsidR="00FE0C17">
        <w:rPr>
          <w:rFonts w:ascii="Times New Roman" w:eastAsia="DengXian" w:hAnsi="Times New Roman" w:cs="Times New Roman"/>
          <w:color w:val="000000" w:themeColor="text1"/>
        </w:rPr>
        <w:t>indicates</w:t>
      </w:r>
      <w:r w:rsidRPr="003B6C5B">
        <w:rPr>
          <w:rFonts w:ascii="Times New Roman" w:eastAsia="DengXian" w:hAnsi="Times New Roman" w:cs="Times New Roman"/>
          <w:color w:val="000000" w:themeColor="text1"/>
        </w:rPr>
        <w:t xml:space="preserve"> the </w:t>
      </w:r>
      <w:r w:rsidR="00D1220C" w:rsidRPr="003B6C5B">
        <w:rPr>
          <w:rFonts w:ascii="Times New Roman" w:eastAsia="DengXian" w:hAnsi="Times New Roman" w:cs="Times New Roman"/>
          <w:color w:val="000000" w:themeColor="text1"/>
        </w:rPr>
        <w:t>“</w:t>
      </w:r>
      <w:r w:rsidRPr="003B6C5B">
        <w:rPr>
          <w:rFonts w:ascii="Times New Roman" w:eastAsia="DengXian" w:hAnsi="Times New Roman" w:cs="Times New Roman"/>
          <w:color w:val="000000" w:themeColor="text1"/>
        </w:rPr>
        <w:t>fat-tail</w:t>
      </w:r>
      <w:r w:rsidR="00D1220C" w:rsidRPr="003B6C5B">
        <w:rPr>
          <w:rFonts w:ascii="Times New Roman" w:eastAsia="DengXian" w:hAnsi="Times New Roman" w:cs="Times New Roman"/>
          <w:color w:val="000000" w:themeColor="text1"/>
        </w:rPr>
        <w:t>”</w:t>
      </w:r>
      <w:r w:rsidRPr="003B6C5B">
        <w:rPr>
          <w:rFonts w:ascii="Times New Roman" w:eastAsia="DengXian" w:hAnsi="Times New Roman" w:cs="Times New Roman"/>
          <w:color w:val="000000" w:themeColor="text1"/>
        </w:rPr>
        <w:t xml:space="preserve"> </w:t>
      </w:r>
      <w:r w:rsidR="0079086E">
        <w:rPr>
          <w:rFonts w:ascii="Times New Roman" w:eastAsia="DengXian" w:hAnsi="Times New Roman" w:cs="Times New Roman"/>
          <w:color w:val="000000" w:themeColor="text1"/>
        </w:rPr>
        <w:t>feature</w:t>
      </w:r>
      <w:r w:rsidR="006D1E87">
        <w:rPr>
          <w:rFonts w:ascii="Times New Roman" w:eastAsia="DengXian" w:hAnsi="Times New Roman" w:cs="Times New Roman"/>
          <w:color w:val="000000" w:themeColor="text1"/>
        </w:rPr>
        <w:t>s</w:t>
      </w:r>
      <w:r w:rsidRPr="003B6C5B">
        <w:rPr>
          <w:rFonts w:ascii="Times New Roman" w:eastAsia="DengXian" w:hAnsi="Times New Roman" w:cs="Times New Roman"/>
          <w:color w:val="000000" w:themeColor="text1"/>
        </w:rPr>
        <w:t xml:space="preserve"> </w:t>
      </w:r>
      <w:r w:rsidR="00D04956">
        <w:rPr>
          <w:rFonts w:ascii="Times New Roman" w:eastAsia="DengXian" w:hAnsi="Times New Roman" w:cs="Times New Roman"/>
          <w:color w:val="000000" w:themeColor="text1"/>
        </w:rPr>
        <w:t>of</w:t>
      </w:r>
      <w:r w:rsidR="00D04956" w:rsidRPr="003B6C5B">
        <w:rPr>
          <w:rFonts w:ascii="Times New Roman" w:eastAsia="DengXian" w:hAnsi="Times New Roman" w:cs="Times New Roman"/>
          <w:color w:val="000000" w:themeColor="text1"/>
        </w:rPr>
        <w:t xml:space="preserve"> the</w:t>
      </w:r>
      <w:r w:rsidRPr="003B6C5B">
        <w:rPr>
          <w:rFonts w:ascii="Times New Roman" w:eastAsia="DengXian" w:hAnsi="Times New Roman" w:cs="Times New Roman"/>
          <w:color w:val="000000" w:themeColor="text1"/>
        </w:rPr>
        <w:t xml:space="preserve"> four assets</w:t>
      </w:r>
      <w:r w:rsidR="00A22A56" w:rsidRPr="003B6C5B">
        <w:rPr>
          <w:rFonts w:ascii="Times New Roman" w:eastAsia="DengXian" w:hAnsi="Times New Roman" w:cs="Times New Roman"/>
          <w:color w:val="000000" w:themeColor="text1"/>
        </w:rPr>
        <w:t>’</w:t>
      </w:r>
      <w:r w:rsidRPr="003B6C5B">
        <w:rPr>
          <w:rFonts w:ascii="Times New Roman" w:eastAsia="DengXian" w:hAnsi="Times New Roman" w:cs="Times New Roman"/>
          <w:color w:val="000000" w:themeColor="text1"/>
        </w:rPr>
        <w:t xml:space="preserve"> returns.</w:t>
      </w:r>
      <w:r w:rsidRPr="003B6C5B">
        <w:rPr>
          <w:rFonts w:ascii="Times New Roman" w:eastAsia="DengXian" w:hAnsi="Times New Roman" w:cs="Times New Roman"/>
          <w:color w:val="FF0000"/>
        </w:rPr>
        <w:t xml:space="preserve"> </w:t>
      </w:r>
      <w:r w:rsidRPr="003B6C5B">
        <w:rPr>
          <w:rFonts w:ascii="Times New Roman" w:eastAsia="DengXian" w:hAnsi="Times New Roman" w:cs="Times New Roman"/>
          <w:color w:val="000000" w:themeColor="text1"/>
        </w:rPr>
        <w:t>The A</w:t>
      </w:r>
      <w:r w:rsidR="00A22A56" w:rsidRPr="003B6C5B">
        <w:rPr>
          <w:rFonts w:ascii="Times New Roman" w:eastAsia="DengXian" w:hAnsi="Times New Roman" w:cs="Times New Roman"/>
          <w:color w:val="000000" w:themeColor="text1"/>
        </w:rPr>
        <w:t>ugmented-Dickey-Fuller</w:t>
      </w:r>
      <w:r w:rsidR="00F93A21" w:rsidRPr="003B6C5B">
        <w:rPr>
          <w:rFonts w:ascii="Times New Roman" w:eastAsia="DengXian" w:hAnsi="Times New Roman" w:cs="Times New Roman"/>
          <w:color w:val="000000" w:themeColor="text1"/>
        </w:rPr>
        <w:t xml:space="preserve"> </w:t>
      </w:r>
      <w:r w:rsidR="00A22A56" w:rsidRPr="003B6C5B">
        <w:rPr>
          <w:rFonts w:ascii="Times New Roman" w:eastAsia="DengXian" w:hAnsi="Times New Roman" w:cs="Times New Roman"/>
          <w:color w:val="000000" w:themeColor="text1"/>
        </w:rPr>
        <w:t>(ADF)</w:t>
      </w:r>
      <w:r w:rsidRPr="003B6C5B">
        <w:rPr>
          <w:rFonts w:ascii="Times New Roman" w:eastAsia="DengXian" w:hAnsi="Times New Roman" w:cs="Times New Roman"/>
          <w:color w:val="000000" w:themeColor="text1"/>
        </w:rPr>
        <w:t xml:space="preserve"> and </w:t>
      </w:r>
      <w:r w:rsidR="00A22A56" w:rsidRPr="003B6C5B">
        <w:rPr>
          <w:rFonts w:ascii="Times New Roman" w:eastAsia="DengXian" w:hAnsi="Times New Roman" w:cs="Times New Roman"/>
          <w:color w:val="000000" w:themeColor="text1"/>
        </w:rPr>
        <w:t>Phillips-Perron (</w:t>
      </w:r>
      <w:r w:rsidRPr="003B6C5B">
        <w:rPr>
          <w:rFonts w:ascii="Times New Roman" w:eastAsia="DengXian" w:hAnsi="Times New Roman" w:cs="Times New Roman"/>
          <w:color w:val="000000" w:themeColor="text1"/>
        </w:rPr>
        <w:t>PP</w:t>
      </w:r>
      <w:r w:rsidR="00A22A56" w:rsidRPr="003B6C5B">
        <w:rPr>
          <w:rFonts w:ascii="Times New Roman" w:eastAsia="DengXian" w:hAnsi="Times New Roman" w:cs="Times New Roman"/>
          <w:color w:val="000000" w:themeColor="text1"/>
        </w:rPr>
        <w:t>)</w:t>
      </w:r>
      <w:r w:rsidRPr="003B6C5B">
        <w:rPr>
          <w:rFonts w:ascii="Times New Roman" w:eastAsia="DengXian" w:hAnsi="Times New Roman" w:cs="Times New Roman"/>
          <w:color w:val="000000" w:themeColor="text1"/>
        </w:rPr>
        <w:t xml:space="preserve"> </w:t>
      </w:r>
      <w:r w:rsidR="00A22A56" w:rsidRPr="003B6C5B">
        <w:rPr>
          <w:rFonts w:ascii="Times New Roman" w:eastAsia="DengXian" w:hAnsi="Times New Roman" w:cs="Times New Roman"/>
          <w:color w:val="000000" w:themeColor="text1"/>
        </w:rPr>
        <w:t xml:space="preserve">unit root </w:t>
      </w:r>
      <w:r w:rsidRPr="003B6C5B">
        <w:rPr>
          <w:rFonts w:ascii="Times New Roman" w:eastAsia="DengXian" w:hAnsi="Times New Roman" w:cs="Times New Roman"/>
          <w:color w:val="000000" w:themeColor="text1"/>
        </w:rPr>
        <w:t xml:space="preserve">test shows that all returns </w:t>
      </w:r>
      <w:r w:rsidR="00A22A56" w:rsidRPr="003B6C5B">
        <w:rPr>
          <w:rFonts w:ascii="Times New Roman" w:eastAsia="DengXian" w:hAnsi="Times New Roman" w:cs="Times New Roman"/>
          <w:color w:val="000000" w:themeColor="text1"/>
        </w:rPr>
        <w:t>are</w:t>
      </w:r>
      <w:r w:rsidRPr="003B6C5B">
        <w:rPr>
          <w:rFonts w:ascii="Times New Roman" w:eastAsia="DengXian" w:hAnsi="Times New Roman" w:cs="Times New Roman"/>
          <w:color w:val="000000" w:themeColor="text1"/>
        </w:rPr>
        <w:t xml:space="preserve"> stationary and the </w:t>
      </w:r>
      <w:r w:rsidR="00A22A56" w:rsidRPr="003B6C5B">
        <w:rPr>
          <w:rFonts w:ascii="Times New Roman" w:eastAsia="DengXian" w:hAnsi="Times New Roman" w:cs="Times New Roman"/>
          <w:color w:val="000000" w:themeColor="text1"/>
        </w:rPr>
        <w:t>Ljung-</w:t>
      </w:r>
      <w:proofErr w:type="gramStart"/>
      <w:r w:rsidR="00A22A56" w:rsidRPr="003B6C5B">
        <w:rPr>
          <w:rFonts w:ascii="Times New Roman" w:eastAsia="DengXian" w:hAnsi="Times New Roman" w:cs="Times New Roman"/>
          <w:color w:val="000000" w:themeColor="text1"/>
        </w:rPr>
        <w:t>Box(</w:t>
      </w:r>
      <w:proofErr w:type="gramEnd"/>
      <w:r w:rsidRPr="003B6C5B">
        <w:rPr>
          <w:rFonts w:ascii="Times New Roman" w:eastAsia="DengXian" w:hAnsi="Times New Roman" w:cs="Times New Roman"/>
          <w:color w:val="000000" w:themeColor="text1"/>
        </w:rPr>
        <w:t>LB</w:t>
      </w:r>
      <w:r w:rsidR="00A22A56" w:rsidRPr="003B6C5B">
        <w:rPr>
          <w:rFonts w:ascii="Times New Roman" w:eastAsia="DengXian" w:hAnsi="Times New Roman" w:cs="Times New Roman"/>
          <w:color w:val="000000" w:themeColor="text1"/>
        </w:rPr>
        <w:t>)</w:t>
      </w:r>
      <w:r w:rsidRPr="003B6C5B">
        <w:rPr>
          <w:rFonts w:ascii="Times New Roman" w:eastAsia="DengXian" w:hAnsi="Times New Roman" w:cs="Times New Roman"/>
          <w:color w:val="000000" w:themeColor="text1"/>
        </w:rPr>
        <w:t xml:space="preserve">-Q test documents that the autocorrelation in </w:t>
      </w:r>
      <w:r w:rsidR="00A22A56" w:rsidRPr="003B6C5B">
        <w:rPr>
          <w:rFonts w:ascii="Times New Roman" w:eastAsia="DengXian" w:hAnsi="Times New Roman" w:cs="Times New Roman"/>
          <w:color w:val="000000" w:themeColor="text1"/>
        </w:rPr>
        <w:t xml:space="preserve">the </w:t>
      </w:r>
      <w:r w:rsidRPr="003B6C5B">
        <w:rPr>
          <w:rFonts w:ascii="Times New Roman" w:eastAsia="DengXian" w:hAnsi="Times New Roman" w:cs="Times New Roman"/>
          <w:color w:val="000000" w:themeColor="text1"/>
        </w:rPr>
        <w:t>four returns series.</w:t>
      </w:r>
    </w:p>
    <w:p w14:paraId="1BC51E47"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b/>
          <w:bCs/>
        </w:rPr>
      </w:pPr>
      <w:r w:rsidRPr="003B6C5B">
        <w:rPr>
          <w:rFonts w:ascii="Times New Roman" w:hAnsi="Times New Roman" w:cs="Times New Roman"/>
          <w:b/>
          <w:bCs/>
        </w:rPr>
        <w:t>Table 1</w:t>
      </w:r>
    </w:p>
    <w:p w14:paraId="74275505" w14:textId="5940BFB9" w:rsidR="00A2313E" w:rsidRPr="003B6C5B" w:rsidRDefault="00A2313E" w:rsidP="006724D6">
      <w:pPr>
        <w:pStyle w:val="NormalWeb"/>
        <w:spacing w:before="0" w:beforeAutospacing="0" w:after="0" w:afterAutospacing="0" w:line="480" w:lineRule="auto"/>
        <w:jc w:val="both"/>
        <w:rPr>
          <w:rFonts w:ascii="Times New Roman" w:hAnsi="Times New Roman" w:cs="Times New Roman"/>
        </w:rPr>
      </w:pPr>
      <w:r w:rsidRPr="003B6C5B">
        <w:rPr>
          <w:rFonts w:ascii="Times New Roman" w:hAnsi="Times New Roman" w:cs="Times New Roman"/>
        </w:rPr>
        <w:t>Descriptive statistics of four asset</w:t>
      </w:r>
      <w:r w:rsidR="00FE1BA9" w:rsidRPr="003B6C5B">
        <w:rPr>
          <w:rFonts w:ascii="Times New Roman" w:hAnsi="Times New Roman" w:cs="Times New Roman"/>
        </w:rPr>
        <w:t>s</w:t>
      </w:r>
      <w:r w:rsidRPr="003B6C5B">
        <w:rPr>
          <w:rFonts w:ascii="Times New Roman" w:hAnsi="Times New Roman" w:cs="Times New Roman"/>
        </w:rPr>
        <w:t xml:space="preserve"> returns.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681"/>
        <w:gridCol w:w="621"/>
        <w:gridCol w:w="926"/>
        <w:gridCol w:w="827"/>
        <w:gridCol w:w="1251"/>
        <w:gridCol w:w="1041"/>
        <w:gridCol w:w="1221"/>
        <w:gridCol w:w="981"/>
      </w:tblGrid>
      <w:tr w:rsidR="00A2313E" w:rsidRPr="003B6C5B" w14:paraId="16CE07E3" w14:textId="77777777" w:rsidTr="00CA190B">
        <w:tc>
          <w:tcPr>
            <w:tcW w:w="0" w:type="auto"/>
            <w:tcBorders>
              <w:top w:val="single" w:sz="12" w:space="0" w:color="auto"/>
              <w:bottom w:val="single" w:sz="4" w:space="0" w:color="auto"/>
            </w:tcBorders>
          </w:tcPr>
          <w:p w14:paraId="23F588BE"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p>
        </w:tc>
        <w:tc>
          <w:tcPr>
            <w:tcW w:w="0" w:type="auto"/>
            <w:tcBorders>
              <w:top w:val="single" w:sz="12" w:space="0" w:color="auto"/>
              <w:bottom w:val="single" w:sz="4" w:space="0" w:color="auto"/>
            </w:tcBorders>
          </w:tcPr>
          <w:p w14:paraId="1D8BB878"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Mean</w:t>
            </w:r>
          </w:p>
        </w:tc>
        <w:tc>
          <w:tcPr>
            <w:tcW w:w="0" w:type="auto"/>
            <w:tcBorders>
              <w:top w:val="single" w:sz="12" w:space="0" w:color="auto"/>
              <w:bottom w:val="single" w:sz="4" w:space="0" w:color="auto"/>
            </w:tcBorders>
          </w:tcPr>
          <w:p w14:paraId="14308619" w14:textId="0C9E59F0"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SD.</w:t>
            </w:r>
          </w:p>
        </w:tc>
        <w:tc>
          <w:tcPr>
            <w:tcW w:w="0" w:type="auto"/>
            <w:tcBorders>
              <w:top w:val="single" w:sz="12" w:space="0" w:color="auto"/>
              <w:bottom w:val="single" w:sz="4" w:space="0" w:color="auto"/>
            </w:tcBorders>
          </w:tcPr>
          <w:p w14:paraId="249530E5"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Skewness</w:t>
            </w:r>
          </w:p>
        </w:tc>
        <w:tc>
          <w:tcPr>
            <w:tcW w:w="0" w:type="auto"/>
            <w:tcBorders>
              <w:top w:val="single" w:sz="12" w:space="0" w:color="auto"/>
              <w:bottom w:val="single" w:sz="4" w:space="0" w:color="auto"/>
            </w:tcBorders>
          </w:tcPr>
          <w:p w14:paraId="0A81836E"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Kurtosis</w:t>
            </w:r>
          </w:p>
        </w:tc>
        <w:tc>
          <w:tcPr>
            <w:tcW w:w="0" w:type="auto"/>
            <w:tcBorders>
              <w:top w:val="single" w:sz="12" w:space="0" w:color="auto"/>
              <w:bottom w:val="single" w:sz="4" w:space="0" w:color="auto"/>
            </w:tcBorders>
          </w:tcPr>
          <w:p w14:paraId="259BDC51"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J-B test</w:t>
            </w:r>
          </w:p>
        </w:tc>
        <w:tc>
          <w:tcPr>
            <w:tcW w:w="0" w:type="auto"/>
            <w:tcBorders>
              <w:top w:val="single" w:sz="12" w:space="0" w:color="auto"/>
              <w:bottom w:val="single" w:sz="4" w:space="0" w:color="auto"/>
            </w:tcBorders>
          </w:tcPr>
          <w:p w14:paraId="675FE298"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ADF</w:t>
            </w:r>
          </w:p>
        </w:tc>
        <w:tc>
          <w:tcPr>
            <w:tcW w:w="0" w:type="auto"/>
            <w:tcBorders>
              <w:top w:val="single" w:sz="12" w:space="0" w:color="auto"/>
              <w:bottom w:val="single" w:sz="4" w:space="0" w:color="auto"/>
            </w:tcBorders>
          </w:tcPr>
          <w:p w14:paraId="6484D2E2"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PP</w:t>
            </w:r>
          </w:p>
        </w:tc>
        <w:tc>
          <w:tcPr>
            <w:tcW w:w="0" w:type="auto"/>
            <w:tcBorders>
              <w:top w:val="single" w:sz="12" w:space="0" w:color="auto"/>
              <w:bottom w:val="single" w:sz="4" w:space="0" w:color="auto"/>
            </w:tcBorders>
          </w:tcPr>
          <w:p w14:paraId="569B16FF"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LB-Q</w:t>
            </w:r>
          </w:p>
        </w:tc>
      </w:tr>
      <w:tr w:rsidR="00A2313E" w:rsidRPr="003B6C5B" w14:paraId="6EBE1D41" w14:textId="77777777" w:rsidTr="00CA190B">
        <w:tc>
          <w:tcPr>
            <w:tcW w:w="0" w:type="auto"/>
            <w:tcBorders>
              <w:top w:val="single" w:sz="4" w:space="0" w:color="auto"/>
            </w:tcBorders>
          </w:tcPr>
          <w:p w14:paraId="79113B5F"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EUA</w:t>
            </w:r>
          </w:p>
        </w:tc>
        <w:tc>
          <w:tcPr>
            <w:tcW w:w="0" w:type="auto"/>
            <w:tcBorders>
              <w:top w:val="single" w:sz="4" w:space="0" w:color="auto"/>
            </w:tcBorders>
          </w:tcPr>
          <w:p w14:paraId="251F9649"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0.064</w:t>
            </w:r>
          </w:p>
        </w:tc>
        <w:tc>
          <w:tcPr>
            <w:tcW w:w="0" w:type="auto"/>
            <w:tcBorders>
              <w:top w:val="single" w:sz="4" w:space="0" w:color="auto"/>
            </w:tcBorders>
          </w:tcPr>
          <w:p w14:paraId="47D54237"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3.215</w:t>
            </w:r>
          </w:p>
        </w:tc>
        <w:tc>
          <w:tcPr>
            <w:tcW w:w="0" w:type="auto"/>
            <w:tcBorders>
              <w:top w:val="single" w:sz="4" w:space="0" w:color="auto"/>
            </w:tcBorders>
          </w:tcPr>
          <w:p w14:paraId="5B5A0DB2"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-1.119</w:t>
            </w:r>
          </w:p>
        </w:tc>
        <w:tc>
          <w:tcPr>
            <w:tcW w:w="0" w:type="auto"/>
            <w:tcBorders>
              <w:top w:val="single" w:sz="4" w:space="0" w:color="auto"/>
            </w:tcBorders>
          </w:tcPr>
          <w:p w14:paraId="28CC5E13"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16.466</w:t>
            </w:r>
          </w:p>
        </w:tc>
        <w:tc>
          <w:tcPr>
            <w:tcW w:w="0" w:type="auto"/>
            <w:tcBorders>
              <w:top w:val="single" w:sz="4" w:space="0" w:color="auto"/>
            </w:tcBorders>
          </w:tcPr>
          <w:p w14:paraId="4341D4C5"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13331.023***</w:t>
            </w:r>
          </w:p>
        </w:tc>
        <w:tc>
          <w:tcPr>
            <w:tcW w:w="0" w:type="auto"/>
            <w:tcBorders>
              <w:top w:val="single" w:sz="4" w:space="0" w:color="auto"/>
            </w:tcBorders>
          </w:tcPr>
          <w:p w14:paraId="4F8C698D"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-12.346***</w:t>
            </w:r>
          </w:p>
        </w:tc>
        <w:tc>
          <w:tcPr>
            <w:tcW w:w="0" w:type="auto"/>
            <w:tcBorders>
              <w:top w:val="single" w:sz="4" w:space="0" w:color="auto"/>
            </w:tcBorders>
          </w:tcPr>
          <w:p w14:paraId="58BA13D9"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-1633.753***</w:t>
            </w:r>
          </w:p>
        </w:tc>
        <w:tc>
          <w:tcPr>
            <w:tcW w:w="0" w:type="auto"/>
            <w:tcBorders>
              <w:top w:val="single" w:sz="4" w:space="0" w:color="auto"/>
            </w:tcBorders>
          </w:tcPr>
          <w:p w14:paraId="75984C90"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18.254***</w:t>
            </w:r>
          </w:p>
        </w:tc>
      </w:tr>
      <w:tr w:rsidR="00A2313E" w:rsidRPr="003B6C5B" w14:paraId="722D5B3E" w14:textId="77777777" w:rsidTr="00CA190B">
        <w:tc>
          <w:tcPr>
            <w:tcW w:w="0" w:type="auto"/>
          </w:tcPr>
          <w:p w14:paraId="0E754B04"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Coal</w:t>
            </w:r>
          </w:p>
        </w:tc>
        <w:tc>
          <w:tcPr>
            <w:tcW w:w="0" w:type="auto"/>
          </w:tcPr>
          <w:p w14:paraId="44CB8A6E"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-0.01</w:t>
            </w:r>
          </w:p>
        </w:tc>
        <w:tc>
          <w:tcPr>
            <w:tcW w:w="0" w:type="auto"/>
          </w:tcPr>
          <w:p w14:paraId="4F8A7DB8"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1.537</w:t>
            </w:r>
          </w:p>
        </w:tc>
        <w:tc>
          <w:tcPr>
            <w:tcW w:w="0" w:type="auto"/>
          </w:tcPr>
          <w:p w14:paraId="0F05DAEE"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0.536</w:t>
            </w:r>
          </w:p>
        </w:tc>
        <w:tc>
          <w:tcPr>
            <w:tcW w:w="0" w:type="auto"/>
          </w:tcPr>
          <w:p w14:paraId="6EACA331"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9.64</w:t>
            </w:r>
          </w:p>
        </w:tc>
        <w:tc>
          <w:tcPr>
            <w:tcW w:w="0" w:type="auto"/>
          </w:tcPr>
          <w:p w14:paraId="6FFD7A9F"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3236.047***</w:t>
            </w:r>
          </w:p>
        </w:tc>
        <w:tc>
          <w:tcPr>
            <w:tcW w:w="0" w:type="auto"/>
          </w:tcPr>
          <w:p w14:paraId="6A560E49"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-11.935***</w:t>
            </w:r>
          </w:p>
        </w:tc>
        <w:tc>
          <w:tcPr>
            <w:tcW w:w="0" w:type="auto"/>
          </w:tcPr>
          <w:p w14:paraId="026EEF59"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-1525.794***</w:t>
            </w:r>
          </w:p>
        </w:tc>
        <w:tc>
          <w:tcPr>
            <w:tcW w:w="0" w:type="auto"/>
          </w:tcPr>
          <w:p w14:paraId="74E0E13A"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25.595***</w:t>
            </w:r>
          </w:p>
        </w:tc>
      </w:tr>
      <w:tr w:rsidR="00A2313E" w:rsidRPr="003B6C5B" w14:paraId="0885A39C" w14:textId="77777777" w:rsidTr="008730BC">
        <w:tc>
          <w:tcPr>
            <w:tcW w:w="0" w:type="auto"/>
          </w:tcPr>
          <w:p w14:paraId="51123CF4"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Gas</w:t>
            </w:r>
          </w:p>
        </w:tc>
        <w:tc>
          <w:tcPr>
            <w:tcW w:w="0" w:type="auto"/>
          </w:tcPr>
          <w:p w14:paraId="43B937FA"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-0.03</w:t>
            </w:r>
          </w:p>
        </w:tc>
        <w:tc>
          <w:tcPr>
            <w:tcW w:w="0" w:type="auto"/>
          </w:tcPr>
          <w:p w14:paraId="33A55BC5"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2.393</w:t>
            </w:r>
          </w:p>
        </w:tc>
        <w:tc>
          <w:tcPr>
            <w:tcW w:w="0" w:type="auto"/>
          </w:tcPr>
          <w:p w14:paraId="69BE6842"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1.889</w:t>
            </w:r>
          </w:p>
        </w:tc>
        <w:tc>
          <w:tcPr>
            <w:tcW w:w="0" w:type="auto"/>
          </w:tcPr>
          <w:p w14:paraId="48B2A80F"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27.01</w:t>
            </w:r>
          </w:p>
        </w:tc>
        <w:tc>
          <w:tcPr>
            <w:tcW w:w="0" w:type="auto"/>
          </w:tcPr>
          <w:p w14:paraId="08E61980"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42262.724***</w:t>
            </w:r>
          </w:p>
        </w:tc>
        <w:tc>
          <w:tcPr>
            <w:tcW w:w="0" w:type="auto"/>
          </w:tcPr>
          <w:p w14:paraId="7E6CF300"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-13.521***</w:t>
            </w:r>
          </w:p>
        </w:tc>
        <w:tc>
          <w:tcPr>
            <w:tcW w:w="0" w:type="auto"/>
          </w:tcPr>
          <w:p w14:paraId="34B34D59"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-1513.507***</w:t>
            </w:r>
          </w:p>
        </w:tc>
        <w:tc>
          <w:tcPr>
            <w:tcW w:w="0" w:type="auto"/>
          </w:tcPr>
          <w:p w14:paraId="5DAB1D08"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14.609**</w:t>
            </w:r>
          </w:p>
        </w:tc>
      </w:tr>
      <w:tr w:rsidR="00A2313E" w:rsidRPr="003B6C5B" w14:paraId="63F73F7A" w14:textId="77777777" w:rsidTr="008730BC">
        <w:tc>
          <w:tcPr>
            <w:tcW w:w="0" w:type="auto"/>
            <w:tcBorders>
              <w:bottom w:val="single" w:sz="12" w:space="0" w:color="auto"/>
            </w:tcBorders>
          </w:tcPr>
          <w:p w14:paraId="09E25A23"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Oil</w:t>
            </w:r>
          </w:p>
        </w:tc>
        <w:tc>
          <w:tcPr>
            <w:tcW w:w="0" w:type="auto"/>
            <w:tcBorders>
              <w:bottom w:val="single" w:sz="12" w:space="0" w:color="auto"/>
            </w:tcBorders>
          </w:tcPr>
          <w:p w14:paraId="4BA8A89C"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-0.038</w:t>
            </w:r>
          </w:p>
        </w:tc>
        <w:tc>
          <w:tcPr>
            <w:tcW w:w="0" w:type="auto"/>
            <w:tcBorders>
              <w:bottom w:val="single" w:sz="12" w:space="0" w:color="auto"/>
            </w:tcBorders>
          </w:tcPr>
          <w:p w14:paraId="205955D8"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1.931</w:t>
            </w:r>
          </w:p>
        </w:tc>
        <w:tc>
          <w:tcPr>
            <w:tcW w:w="0" w:type="auto"/>
            <w:tcBorders>
              <w:bottom w:val="single" w:sz="12" w:space="0" w:color="auto"/>
            </w:tcBorders>
          </w:tcPr>
          <w:p w14:paraId="1E3F0BE6"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0.168</w:t>
            </w:r>
          </w:p>
        </w:tc>
        <w:tc>
          <w:tcPr>
            <w:tcW w:w="0" w:type="auto"/>
            <w:tcBorders>
              <w:bottom w:val="single" w:sz="12" w:space="0" w:color="auto"/>
            </w:tcBorders>
          </w:tcPr>
          <w:p w14:paraId="73B83484"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6.156</w:t>
            </w:r>
          </w:p>
        </w:tc>
        <w:tc>
          <w:tcPr>
            <w:tcW w:w="0" w:type="auto"/>
            <w:tcBorders>
              <w:bottom w:val="single" w:sz="12" w:space="0" w:color="auto"/>
            </w:tcBorders>
          </w:tcPr>
          <w:p w14:paraId="7CC3B478"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720.629***</w:t>
            </w:r>
          </w:p>
        </w:tc>
        <w:tc>
          <w:tcPr>
            <w:tcW w:w="0" w:type="auto"/>
            <w:tcBorders>
              <w:bottom w:val="single" w:sz="12" w:space="0" w:color="auto"/>
            </w:tcBorders>
          </w:tcPr>
          <w:p w14:paraId="7AEF5DFF"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-11.685***</w:t>
            </w:r>
          </w:p>
        </w:tc>
        <w:tc>
          <w:tcPr>
            <w:tcW w:w="0" w:type="auto"/>
            <w:tcBorders>
              <w:bottom w:val="single" w:sz="12" w:space="0" w:color="auto"/>
            </w:tcBorders>
          </w:tcPr>
          <w:p w14:paraId="4BF5E9F6"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-1808.588***</w:t>
            </w:r>
          </w:p>
        </w:tc>
        <w:tc>
          <w:tcPr>
            <w:tcW w:w="0" w:type="auto"/>
            <w:tcBorders>
              <w:bottom w:val="single" w:sz="12" w:space="0" w:color="auto"/>
            </w:tcBorders>
          </w:tcPr>
          <w:p w14:paraId="341D529E" w14:textId="77777777" w:rsidR="00A2313E" w:rsidRPr="003B6C5B" w:rsidRDefault="00A2313E" w:rsidP="006724D6">
            <w:pPr>
              <w:pStyle w:val="NormalWeb"/>
              <w:spacing w:before="0" w:beforeAutospacing="0" w:after="0" w:afterAutospacing="0" w:line="480" w:lineRule="auto"/>
              <w:jc w:val="both"/>
              <w:rPr>
                <w:rFonts w:ascii="Times New Roman" w:hAnsi="Times New Roman" w:cs="Times New Roman"/>
                <w:sz w:val="18"/>
                <w:szCs w:val="18"/>
              </w:rPr>
            </w:pPr>
            <w:r w:rsidRPr="003B6C5B">
              <w:rPr>
                <w:rFonts w:ascii="Times New Roman" w:hAnsi="Times New Roman" w:cs="Times New Roman"/>
                <w:sz w:val="18"/>
                <w:szCs w:val="18"/>
              </w:rPr>
              <w:t>2.044</w:t>
            </w:r>
          </w:p>
        </w:tc>
      </w:tr>
    </w:tbl>
    <w:p w14:paraId="3F753453" w14:textId="0AA3ED27" w:rsidR="00A22A56" w:rsidRDefault="00A2313E" w:rsidP="00FE0A0C">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lastRenderedPageBreak/>
        <w:t xml:space="preserve">Note: </w:t>
      </w:r>
      <w:r w:rsidR="00A22A56" w:rsidRPr="003B6C5B">
        <w:rPr>
          <w:rFonts w:ascii="Times New Roman" w:hAnsi="Times New Roman" w:cs="Times New Roman"/>
          <w:sz w:val="18"/>
          <w:szCs w:val="18"/>
        </w:rPr>
        <w:t xml:space="preserve">The </w:t>
      </w:r>
      <w:r w:rsidRPr="003B6C5B">
        <w:rPr>
          <w:rFonts w:ascii="Times New Roman" w:hAnsi="Times New Roman" w:cs="Times New Roman"/>
          <w:sz w:val="18"/>
          <w:szCs w:val="18"/>
        </w:rPr>
        <w:t xml:space="preserve">JB test </w:t>
      </w:r>
      <w:r w:rsidR="007B461D" w:rsidRPr="003B6C5B">
        <w:rPr>
          <w:rFonts w:ascii="Times New Roman" w:hAnsi="Times New Roman" w:cs="Times New Roman"/>
          <w:sz w:val="18"/>
          <w:szCs w:val="18"/>
        </w:rPr>
        <w:t xml:space="preserve">denotes </w:t>
      </w:r>
      <w:r w:rsidRPr="003B6C5B">
        <w:rPr>
          <w:rFonts w:ascii="Times New Roman" w:hAnsi="Times New Roman" w:cs="Times New Roman"/>
          <w:sz w:val="18"/>
          <w:szCs w:val="18"/>
        </w:rPr>
        <w:t xml:space="preserve">the Jarque-Bera tests. ADF </w:t>
      </w:r>
      <w:r w:rsidR="00A22A56" w:rsidRPr="003B6C5B">
        <w:rPr>
          <w:rFonts w:ascii="Times New Roman" w:hAnsi="Times New Roman" w:cs="Times New Roman"/>
          <w:sz w:val="18"/>
          <w:szCs w:val="18"/>
        </w:rPr>
        <w:t xml:space="preserve">represents </w:t>
      </w:r>
      <w:r w:rsidRPr="003B6C5B">
        <w:rPr>
          <w:rFonts w:ascii="Times New Roman" w:hAnsi="Times New Roman" w:cs="Times New Roman"/>
          <w:sz w:val="18"/>
          <w:szCs w:val="18"/>
        </w:rPr>
        <w:t xml:space="preserve">the Augmented Dickey–Fuller test. PP </w:t>
      </w:r>
      <w:r w:rsidR="007B461D" w:rsidRPr="003B6C5B">
        <w:rPr>
          <w:rFonts w:ascii="Times New Roman" w:hAnsi="Times New Roman" w:cs="Times New Roman"/>
          <w:sz w:val="18"/>
          <w:szCs w:val="18"/>
        </w:rPr>
        <w:t xml:space="preserve">denotes </w:t>
      </w:r>
      <w:r w:rsidRPr="003B6C5B">
        <w:rPr>
          <w:rFonts w:ascii="Times New Roman" w:hAnsi="Times New Roman" w:cs="Times New Roman"/>
          <w:sz w:val="18"/>
          <w:szCs w:val="18"/>
        </w:rPr>
        <w:t>the Phillips-</w:t>
      </w:r>
      <w:r w:rsidR="00A22A56" w:rsidRPr="003B6C5B">
        <w:rPr>
          <w:rFonts w:ascii="Times New Roman" w:hAnsi="Times New Roman" w:cs="Times New Roman"/>
          <w:sz w:val="18"/>
          <w:szCs w:val="18"/>
        </w:rPr>
        <w:t>P</w:t>
      </w:r>
      <w:r w:rsidRPr="003B6C5B">
        <w:rPr>
          <w:rFonts w:ascii="Times New Roman" w:hAnsi="Times New Roman" w:cs="Times New Roman"/>
          <w:sz w:val="18"/>
          <w:szCs w:val="18"/>
        </w:rPr>
        <w:t>erron test.</w:t>
      </w:r>
      <w:r w:rsidR="00F93A21" w:rsidRPr="003B6C5B">
        <w:rPr>
          <w:rFonts w:ascii="Times New Roman" w:hAnsi="Times New Roman" w:cs="Times New Roman"/>
          <w:sz w:val="18"/>
          <w:szCs w:val="18"/>
        </w:rPr>
        <w:t xml:space="preserve"> </w:t>
      </w:r>
      <w:r w:rsidRPr="003B6C5B">
        <w:rPr>
          <w:rFonts w:ascii="Times New Roman" w:hAnsi="Times New Roman" w:cs="Times New Roman"/>
          <w:sz w:val="18"/>
          <w:szCs w:val="18"/>
        </w:rPr>
        <w:t xml:space="preserve">LB-Q </w:t>
      </w:r>
      <w:r w:rsidR="007B461D" w:rsidRPr="003B6C5B">
        <w:rPr>
          <w:rFonts w:ascii="Times New Roman" w:hAnsi="Times New Roman" w:cs="Times New Roman"/>
          <w:sz w:val="18"/>
          <w:szCs w:val="18"/>
        </w:rPr>
        <w:t xml:space="preserve">denotes </w:t>
      </w:r>
      <w:r w:rsidRPr="003B6C5B">
        <w:rPr>
          <w:rFonts w:ascii="Times New Roman" w:hAnsi="Times New Roman" w:cs="Times New Roman"/>
          <w:sz w:val="18"/>
          <w:szCs w:val="18"/>
        </w:rPr>
        <w:t xml:space="preserve">the Ljung-Box test holding the null hypothesis that the series has no autoregression. Subscript </w:t>
      </w:r>
      <w:r w:rsidR="00AC0222" w:rsidRPr="003B6C5B">
        <w:rPr>
          <w:rFonts w:ascii="Times New Roman" w:hAnsi="Times New Roman" w:cs="Times New Roman"/>
          <w:sz w:val="18"/>
          <w:szCs w:val="18"/>
        </w:rPr>
        <w:t>"</w:t>
      </w:r>
      <w:r w:rsidRPr="003B6C5B">
        <w:rPr>
          <w:rFonts w:ascii="Times New Roman" w:hAnsi="Times New Roman" w:cs="Times New Roman"/>
          <w:sz w:val="18"/>
          <w:szCs w:val="18"/>
        </w:rPr>
        <w:t>*</w:t>
      </w:r>
      <w:r w:rsidR="00AC0222" w:rsidRPr="003B6C5B">
        <w:rPr>
          <w:rFonts w:ascii="Times New Roman" w:hAnsi="Times New Roman" w:cs="Times New Roman"/>
          <w:sz w:val="18"/>
          <w:szCs w:val="18"/>
        </w:rPr>
        <w:t>"</w:t>
      </w:r>
      <w:r w:rsidRPr="003B6C5B">
        <w:rPr>
          <w:rFonts w:ascii="Times New Roman" w:hAnsi="Times New Roman" w:cs="Times New Roman"/>
          <w:sz w:val="18"/>
          <w:szCs w:val="18"/>
        </w:rPr>
        <w:t xml:space="preserve">, </w:t>
      </w:r>
      <w:r w:rsidR="00AC0222" w:rsidRPr="003B6C5B">
        <w:rPr>
          <w:rFonts w:ascii="Times New Roman" w:hAnsi="Times New Roman" w:cs="Times New Roman"/>
          <w:sz w:val="18"/>
          <w:szCs w:val="18"/>
        </w:rPr>
        <w:t>"</w:t>
      </w:r>
      <w:r w:rsidRPr="003B6C5B">
        <w:rPr>
          <w:rFonts w:ascii="Times New Roman" w:hAnsi="Times New Roman" w:cs="Times New Roman"/>
          <w:sz w:val="18"/>
          <w:szCs w:val="18"/>
        </w:rPr>
        <w:t>**</w:t>
      </w:r>
      <w:r w:rsidR="00AC0222" w:rsidRPr="003B6C5B">
        <w:rPr>
          <w:rFonts w:ascii="Times New Roman" w:hAnsi="Times New Roman" w:cs="Times New Roman"/>
          <w:sz w:val="18"/>
          <w:szCs w:val="18"/>
        </w:rPr>
        <w:t>"</w:t>
      </w:r>
      <w:r w:rsidRPr="003B6C5B">
        <w:rPr>
          <w:rFonts w:ascii="Times New Roman" w:hAnsi="Times New Roman" w:cs="Times New Roman"/>
          <w:sz w:val="18"/>
          <w:szCs w:val="18"/>
        </w:rPr>
        <w:t xml:space="preserve"> and </w:t>
      </w:r>
      <w:r w:rsidR="00AC0222" w:rsidRPr="003B6C5B">
        <w:rPr>
          <w:rFonts w:ascii="Times New Roman" w:hAnsi="Times New Roman" w:cs="Times New Roman"/>
          <w:sz w:val="18"/>
          <w:szCs w:val="18"/>
        </w:rPr>
        <w:t>"</w:t>
      </w:r>
      <w:r w:rsidRPr="003B6C5B">
        <w:rPr>
          <w:rFonts w:ascii="Times New Roman" w:hAnsi="Times New Roman" w:cs="Times New Roman"/>
          <w:sz w:val="18"/>
          <w:szCs w:val="18"/>
        </w:rPr>
        <w:t>***</w:t>
      </w:r>
      <w:r w:rsidR="00AC0222" w:rsidRPr="003B6C5B">
        <w:rPr>
          <w:rFonts w:ascii="Times New Roman" w:hAnsi="Times New Roman" w:cs="Times New Roman"/>
          <w:sz w:val="18"/>
          <w:szCs w:val="18"/>
        </w:rPr>
        <w:t>"</w:t>
      </w:r>
      <w:r w:rsidRPr="003B6C5B">
        <w:rPr>
          <w:rFonts w:ascii="Times New Roman" w:hAnsi="Times New Roman" w:cs="Times New Roman"/>
          <w:sz w:val="18"/>
          <w:szCs w:val="18"/>
        </w:rPr>
        <w:t xml:space="preserve"> denote significance at the 1%, 5% and 10% level, respectively.</w:t>
      </w:r>
    </w:p>
    <w:p w14:paraId="4DCD9DE6" w14:textId="77777777" w:rsidR="00AB4470" w:rsidRPr="00FE0A0C" w:rsidRDefault="00AB4470" w:rsidP="00FE0A0C">
      <w:pPr>
        <w:pStyle w:val="NormalWeb"/>
        <w:spacing w:before="0" w:beforeAutospacing="0" w:after="0" w:afterAutospacing="0"/>
        <w:jc w:val="both"/>
        <w:rPr>
          <w:rFonts w:ascii="Times New Roman" w:hAnsi="Times New Roman" w:cs="Times New Roman"/>
          <w:sz w:val="18"/>
          <w:szCs w:val="18"/>
        </w:rPr>
      </w:pPr>
    </w:p>
    <w:p w14:paraId="19B8DD10" w14:textId="3668D18B" w:rsidR="00A2313E" w:rsidRPr="003B6C5B" w:rsidRDefault="00A2313E" w:rsidP="00F351AE">
      <w:pPr>
        <w:pStyle w:val="Heading1"/>
        <w:numPr>
          <w:ilvl w:val="0"/>
          <w:numId w:val="1"/>
        </w:numPr>
        <w:spacing w:before="260" w:after="260" w:line="480" w:lineRule="auto"/>
        <w:ind w:left="357" w:hanging="357"/>
        <w:jc w:val="both"/>
        <w:rPr>
          <w:sz w:val="24"/>
          <w:szCs w:val="24"/>
        </w:rPr>
      </w:pPr>
      <w:r w:rsidRPr="003B6C5B">
        <w:rPr>
          <w:sz w:val="24"/>
          <w:szCs w:val="24"/>
        </w:rPr>
        <w:t>Empirical findings</w:t>
      </w:r>
    </w:p>
    <w:p w14:paraId="4DFD0595" w14:textId="0982DCA4" w:rsidR="00D161A3" w:rsidRPr="003B6C5B" w:rsidRDefault="000507A2" w:rsidP="003B6C5B">
      <w:pPr>
        <w:pStyle w:val="NormalWeb"/>
        <w:spacing w:before="0" w:beforeAutospacing="0" w:after="0" w:afterAutospacing="0" w:line="480" w:lineRule="auto"/>
        <w:ind w:firstLineChars="200" w:firstLine="480"/>
        <w:jc w:val="both"/>
        <w:rPr>
          <w:rFonts w:ascii="Times New Roman" w:hAnsi="Times New Roman" w:cs="Times New Roman"/>
        </w:rPr>
      </w:pPr>
      <w:r w:rsidRPr="003B6C5B">
        <w:rPr>
          <w:rFonts w:ascii="Times New Roman" w:hAnsi="Times New Roman" w:cs="Times New Roman"/>
        </w:rPr>
        <w:t>In this paper, we define the short-run timescales as a period of below 16 trading days and the long-run timescales as a period of over 16 trading days.</w:t>
      </w:r>
      <w:r w:rsidR="00D161A3" w:rsidRPr="003B6C5B">
        <w:rPr>
          <w:rFonts w:ascii="Times New Roman" w:hAnsi="Times New Roman" w:cs="Times New Roman"/>
        </w:rPr>
        <w:t xml:space="preserve"> </w:t>
      </w:r>
      <w:r w:rsidRPr="003B6C5B">
        <w:rPr>
          <w:rFonts w:ascii="Times New Roman" w:eastAsia="KaiTi" w:hAnsi="Times New Roman" w:cs="Times New Roman"/>
          <w:color w:val="000000"/>
          <w:shd w:val="clear" w:color="auto" w:fill="FFFFFF"/>
        </w:rPr>
        <w:t xml:space="preserve">The reasons for this are twofold. First, </w:t>
      </w:r>
      <w:r w:rsidR="00465C73" w:rsidRPr="003B6C5B">
        <w:rPr>
          <w:rFonts w:ascii="Times New Roman" w:eastAsia="KaiTi" w:hAnsi="Times New Roman" w:cs="Times New Roman"/>
          <w:color w:val="000000"/>
          <w:shd w:val="clear" w:color="auto" w:fill="FFFFFF"/>
        </w:rPr>
        <w:t xml:space="preserve">we </w:t>
      </w:r>
      <w:r w:rsidRPr="003B6C5B">
        <w:rPr>
          <w:rFonts w:ascii="Times New Roman" w:eastAsia="KaiTi" w:hAnsi="Times New Roman" w:cs="Times New Roman"/>
          <w:color w:val="000000"/>
          <w:shd w:val="clear" w:color="auto" w:fill="FFFFFF"/>
        </w:rPr>
        <w:t xml:space="preserve">consider short-run timescales to be under a one-month period (22 </w:t>
      </w:r>
      <w:r w:rsidR="00F12295">
        <w:rPr>
          <w:rFonts w:ascii="Times New Roman" w:eastAsia="KaiTi" w:hAnsi="Times New Roman" w:cs="Times New Roman"/>
          <w:color w:val="000000"/>
          <w:shd w:val="clear" w:color="auto" w:fill="FFFFFF"/>
        </w:rPr>
        <w:t xml:space="preserve">trading </w:t>
      </w:r>
      <w:r w:rsidRPr="003B6C5B">
        <w:rPr>
          <w:rFonts w:ascii="Times New Roman" w:eastAsia="KaiTi" w:hAnsi="Times New Roman" w:cs="Times New Roman"/>
          <w:color w:val="000000"/>
          <w:shd w:val="clear" w:color="auto" w:fill="FFFFFF"/>
        </w:rPr>
        <w:t xml:space="preserve">days) and long-run timescales to be over a one-month period (22 </w:t>
      </w:r>
      <w:r w:rsidR="00F12295">
        <w:rPr>
          <w:rFonts w:ascii="Times New Roman" w:eastAsia="KaiTi" w:hAnsi="Times New Roman" w:cs="Times New Roman"/>
          <w:color w:val="000000"/>
          <w:shd w:val="clear" w:color="auto" w:fill="FFFFFF"/>
        </w:rPr>
        <w:t xml:space="preserve">trading </w:t>
      </w:r>
      <w:r w:rsidRPr="003B6C5B">
        <w:rPr>
          <w:rFonts w:ascii="Times New Roman" w:eastAsia="KaiTi" w:hAnsi="Times New Roman" w:cs="Times New Roman"/>
          <w:color w:val="000000"/>
          <w:shd w:val="clear" w:color="auto" w:fill="FFFFFF"/>
        </w:rPr>
        <w:t>days)</w:t>
      </w:r>
      <w:r w:rsidR="00815218">
        <w:rPr>
          <w:rFonts w:ascii="Times New Roman" w:eastAsia="KaiTi" w:hAnsi="Times New Roman" w:cs="Times New Roman"/>
          <w:color w:val="000000"/>
          <w:shd w:val="clear" w:color="auto" w:fill="FFFFFF"/>
        </w:rPr>
        <w:t>.</w:t>
      </w:r>
      <w:r w:rsidRPr="003B6C5B">
        <w:rPr>
          <w:rFonts w:ascii="Times New Roman" w:eastAsia="KaiTi" w:hAnsi="Times New Roman" w:cs="Times New Roman"/>
          <w:color w:val="000000"/>
          <w:shd w:val="clear" w:color="auto" w:fill="FFFFFF"/>
        </w:rPr>
        <w:t xml:space="preserve"> </w:t>
      </w:r>
      <w:r w:rsidR="00815218" w:rsidRPr="00774639">
        <w:rPr>
          <w:rFonts w:ascii="Times New Roman" w:eastAsia="KaiTi" w:hAnsi="Times New Roman" w:cs="Times New Roman"/>
          <w:color w:val="000000"/>
          <w:shd w:val="clear" w:color="auto" w:fill="FFFFFF"/>
        </w:rPr>
        <w:t>S</w:t>
      </w:r>
      <w:r w:rsidRPr="00774639">
        <w:rPr>
          <w:rFonts w:ascii="Times New Roman" w:eastAsia="KaiTi" w:hAnsi="Times New Roman" w:cs="Times New Roman"/>
          <w:color w:val="000000"/>
          <w:shd w:val="clear" w:color="auto" w:fill="FFFFFF"/>
        </w:rPr>
        <w:t>econd</w:t>
      </w:r>
      <w:r w:rsidRPr="00C67142">
        <w:rPr>
          <w:rFonts w:ascii="Times New Roman" w:eastAsia="KaiTi" w:hAnsi="Times New Roman" w:cs="Times New Roman"/>
          <w:color w:val="000000"/>
          <w:shd w:val="clear" w:color="auto" w:fill="FFFFFF"/>
        </w:rPr>
        <w:t>, the period of the wavelet decomposed mode must be a diploid number</w:t>
      </w:r>
      <w:r w:rsidR="00AB4470">
        <w:rPr>
          <w:rFonts w:ascii="Times New Roman" w:eastAsia="KaiTi" w:hAnsi="Times New Roman" w:cs="Times New Roman"/>
          <w:color w:val="000000"/>
          <w:shd w:val="clear" w:color="auto" w:fill="FFFFFF"/>
        </w:rPr>
        <w:t xml:space="preserve"> </w:t>
      </w:r>
      <w:r w:rsidR="00774639" w:rsidRPr="00B502DC">
        <w:rPr>
          <w:rFonts w:ascii="Times New Roman" w:eastAsia="KaiTi" w:hAnsi="Times New Roman" w:cs="Times New Roman"/>
          <w:color w:val="000000"/>
          <w:shd w:val="clear" w:color="auto" w:fill="FFFFFF"/>
        </w:rPr>
        <w:t>(</w:t>
      </w:r>
      <m:oMath>
        <m:sSup>
          <m:sSupPr>
            <m:ctrlPr>
              <w:rPr>
                <w:rFonts w:ascii="Cambria Math" w:eastAsia="KaiTi" w:hAnsi="Cambria Math" w:cs="Times New Roman"/>
                <w:i/>
                <w:color w:val="000000"/>
                <w:shd w:val="clear" w:color="auto" w:fill="FFFFFF"/>
              </w:rPr>
            </m:ctrlPr>
          </m:sSupPr>
          <m:e>
            <m:r>
              <w:rPr>
                <w:rFonts w:ascii="Cambria Math" w:eastAsia="KaiTi" w:hAnsi="Cambria Math" w:cs="Times New Roman"/>
                <w:color w:val="000000"/>
                <w:shd w:val="clear" w:color="auto" w:fill="FFFFFF"/>
              </w:rPr>
              <m:t>2</m:t>
            </m:r>
          </m:e>
          <m:sup>
            <m:r>
              <w:rPr>
                <w:rFonts w:ascii="Cambria Math" w:eastAsia="KaiTi" w:hAnsi="Cambria Math" w:cs="Times New Roman"/>
                <w:color w:val="000000"/>
                <w:shd w:val="clear" w:color="auto" w:fill="FFFFFF"/>
              </w:rPr>
              <m:t>n</m:t>
            </m:r>
          </m:sup>
        </m:sSup>
      </m:oMath>
      <w:r w:rsidR="00F003C5">
        <w:rPr>
          <w:rFonts w:ascii="Times New Roman" w:eastAsia="KaiTi" w:hAnsi="Times New Roman" w:cs="Times New Roman"/>
          <w:color w:val="000000"/>
          <w:shd w:val="clear" w:color="auto" w:fill="FFFFFF"/>
        </w:rPr>
        <w:t xml:space="preserve"> </w:t>
      </w:r>
      <w:r w:rsidR="00774639" w:rsidRPr="00B502DC">
        <w:rPr>
          <w:rFonts w:ascii="Times New Roman" w:eastAsia="KaiTi" w:hAnsi="Times New Roman" w:cs="Times New Roman"/>
          <w:color w:val="000000"/>
          <w:shd w:val="clear" w:color="auto" w:fill="FFFFFF"/>
        </w:rPr>
        <w:t xml:space="preserve">where </w:t>
      </w:r>
      <m:oMath>
        <m:r>
          <w:rPr>
            <w:rFonts w:ascii="Cambria Math" w:eastAsia="KaiTi" w:hAnsi="Cambria Math" w:cs="Times New Roman"/>
            <w:color w:val="000000"/>
            <w:shd w:val="clear" w:color="auto" w:fill="FFFFFF"/>
          </w:rPr>
          <m:t>n</m:t>
        </m:r>
      </m:oMath>
      <w:r w:rsidR="00774639" w:rsidRPr="00B502DC">
        <w:rPr>
          <w:rFonts w:ascii="Times New Roman" w:eastAsia="KaiTi" w:hAnsi="Times New Roman" w:cs="Times New Roman"/>
          <w:color w:val="000000"/>
          <w:shd w:val="clear" w:color="auto" w:fill="FFFFFF"/>
        </w:rPr>
        <w:t xml:space="preserve"> is a positive integer)</w:t>
      </w:r>
      <w:r w:rsidRPr="00774639">
        <w:rPr>
          <w:rFonts w:ascii="Times New Roman" w:eastAsia="KaiTi" w:hAnsi="Times New Roman" w:cs="Times New Roman"/>
          <w:color w:val="000000"/>
          <w:shd w:val="clear" w:color="auto" w:fill="FFFFFF"/>
        </w:rPr>
        <w:t>,</w:t>
      </w:r>
      <w:r w:rsidRPr="003B6C5B">
        <w:rPr>
          <w:rFonts w:ascii="Times New Roman" w:eastAsia="KaiTi" w:hAnsi="Times New Roman" w:cs="Times New Roman"/>
          <w:color w:val="000000"/>
          <w:shd w:val="clear" w:color="auto" w:fill="FFFFFF"/>
        </w:rPr>
        <w:t xml:space="preserve"> </w:t>
      </w:r>
      <w:r w:rsidR="00815218">
        <w:rPr>
          <w:rFonts w:ascii="Times New Roman" w:eastAsia="KaiTi" w:hAnsi="Times New Roman" w:cs="Times New Roman"/>
          <w:color w:val="000000"/>
          <w:shd w:val="clear" w:color="auto" w:fill="FFFFFF"/>
        </w:rPr>
        <w:t xml:space="preserve">thus </w:t>
      </w:r>
      <w:r w:rsidRPr="003B6C5B">
        <w:rPr>
          <w:rFonts w:ascii="Times New Roman" w:eastAsia="KaiTi" w:hAnsi="Times New Roman" w:cs="Times New Roman"/>
          <w:color w:val="000000"/>
          <w:shd w:val="clear" w:color="auto" w:fill="FFFFFF"/>
        </w:rPr>
        <w:t>we cho</w:t>
      </w:r>
      <w:r w:rsidR="005E0746">
        <w:rPr>
          <w:rFonts w:ascii="Times New Roman" w:eastAsia="KaiTi" w:hAnsi="Times New Roman" w:cs="Times New Roman"/>
          <w:color w:val="000000"/>
          <w:shd w:val="clear" w:color="auto" w:fill="FFFFFF"/>
        </w:rPr>
        <w:t>o</w:t>
      </w:r>
      <w:r w:rsidRPr="003B6C5B">
        <w:rPr>
          <w:rFonts w:ascii="Times New Roman" w:eastAsia="KaiTi" w:hAnsi="Times New Roman" w:cs="Times New Roman"/>
          <w:color w:val="000000"/>
          <w:shd w:val="clear" w:color="auto" w:fill="FFFFFF"/>
        </w:rPr>
        <w:t xml:space="preserve">se the period closest to one month (22 </w:t>
      </w:r>
      <w:r w:rsidR="005E0746">
        <w:rPr>
          <w:rFonts w:ascii="Times New Roman" w:eastAsia="KaiTi" w:hAnsi="Times New Roman" w:cs="Times New Roman"/>
          <w:color w:val="000000"/>
          <w:shd w:val="clear" w:color="auto" w:fill="FFFFFF"/>
        </w:rPr>
        <w:t xml:space="preserve">trading </w:t>
      </w:r>
      <w:r w:rsidRPr="003B6C5B">
        <w:rPr>
          <w:rFonts w:ascii="Times New Roman" w:eastAsia="KaiTi" w:hAnsi="Times New Roman" w:cs="Times New Roman"/>
          <w:color w:val="000000"/>
          <w:shd w:val="clear" w:color="auto" w:fill="FFFFFF"/>
        </w:rPr>
        <w:t>days)</w:t>
      </w:r>
      <w:r w:rsidR="005E0746">
        <w:rPr>
          <w:rFonts w:ascii="Times New Roman" w:eastAsia="KaiTi" w:hAnsi="Times New Roman" w:cs="Times New Roman"/>
          <w:color w:val="000000"/>
          <w:shd w:val="clear" w:color="auto" w:fill="FFFFFF"/>
        </w:rPr>
        <w:t>,</w:t>
      </w:r>
      <w:r w:rsidR="00815218">
        <w:rPr>
          <w:rFonts w:ascii="Times New Roman" w:eastAsia="KaiTi" w:hAnsi="Times New Roman" w:cs="Times New Roman"/>
          <w:color w:val="000000"/>
          <w:shd w:val="clear" w:color="auto" w:fill="FFFFFF"/>
        </w:rPr>
        <w:t xml:space="preserve"> </w:t>
      </w:r>
      <w:r w:rsidR="005E0746" w:rsidRPr="00B502DC">
        <w:rPr>
          <w:rFonts w:ascii="Times New Roman" w:eastAsia="KaiTi" w:hAnsi="Times New Roman" w:cs="Times New Roman"/>
          <w:i/>
          <w:iCs/>
          <w:color w:val="000000"/>
          <w:shd w:val="clear" w:color="auto" w:fill="FFFFFF"/>
        </w:rPr>
        <w:t>i.e.</w:t>
      </w:r>
      <w:r w:rsidR="005E0746">
        <w:rPr>
          <w:rFonts w:ascii="Times New Roman" w:eastAsia="KaiTi" w:hAnsi="Times New Roman" w:cs="Times New Roman"/>
          <w:color w:val="000000"/>
          <w:shd w:val="clear" w:color="auto" w:fill="FFFFFF"/>
        </w:rPr>
        <w:t xml:space="preserve"> 16 trading days as the</w:t>
      </w:r>
      <w:r w:rsidR="005E0746" w:rsidRPr="005E0746">
        <w:t xml:space="preserve"> </w:t>
      </w:r>
      <w:r w:rsidR="005E0746" w:rsidRPr="005E0746">
        <w:rPr>
          <w:rFonts w:ascii="Times New Roman" w:eastAsia="KaiTi" w:hAnsi="Times New Roman" w:cs="Times New Roman"/>
          <w:color w:val="000000"/>
          <w:shd w:val="clear" w:color="auto" w:fill="FFFFFF"/>
        </w:rPr>
        <w:t>watershed</w:t>
      </w:r>
      <w:r w:rsidR="005E0746">
        <w:rPr>
          <w:rFonts w:ascii="Times New Roman" w:eastAsia="KaiTi" w:hAnsi="Times New Roman" w:cs="Times New Roman"/>
          <w:color w:val="000000"/>
          <w:shd w:val="clear" w:color="auto" w:fill="FFFFFF"/>
        </w:rPr>
        <w:t xml:space="preserve"> of short- and long-run timescales</w:t>
      </w:r>
      <w:r w:rsidRPr="003B6C5B">
        <w:rPr>
          <w:rFonts w:ascii="Times New Roman" w:eastAsia="KaiTi" w:hAnsi="Times New Roman" w:cs="Times New Roman"/>
          <w:color w:val="000000"/>
          <w:shd w:val="clear" w:color="auto" w:fill="FFFFFF"/>
        </w:rPr>
        <w:t>.</w:t>
      </w:r>
    </w:p>
    <w:p w14:paraId="0CE3AC57" w14:textId="402597CD" w:rsidR="00666D66" w:rsidRPr="003B6C5B" w:rsidRDefault="00CD08D7" w:rsidP="006724D6">
      <w:pPr>
        <w:pStyle w:val="Heading2"/>
        <w:spacing w:line="480" w:lineRule="auto"/>
        <w:jc w:val="both"/>
      </w:pPr>
      <w:bookmarkStart w:id="7" w:name="_Hlk33818844"/>
      <w:bookmarkStart w:id="8" w:name="_Hlk28357367"/>
      <w:r w:rsidRPr="003B6C5B">
        <w:t>5</w:t>
      </w:r>
      <w:r w:rsidR="00666D66" w:rsidRPr="003B6C5B">
        <w:t xml:space="preserve">.1. </w:t>
      </w:r>
      <w:r w:rsidR="00375A9B" w:rsidRPr="003B6C5B">
        <w:rPr>
          <w:rFonts w:eastAsiaTheme="minorEastAsia" w:cs="Times New Roman"/>
        </w:rPr>
        <w:t>P</w:t>
      </w:r>
      <w:r w:rsidR="00D44664" w:rsidRPr="003B6C5B">
        <w:rPr>
          <w:rFonts w:eastAsiaTheme="minorEastAsia" w:cs="Times New Roman"/>
        </w:rPr>
        <w:t>rice</w:t>
      </w:r>
      <w:r w:rsidR="00666D66" w:rsidRPr="003B6C5B">
        <w:rPr>
          <w:rFonts w:cs="Times New Roman"/>
        </w:rPr>
        <w:t xml:space="preserve"> structur</w:t>
      </w:r>
      <w:r w:rsidR="00375A9B" w:rsidRPr="003B6C5B">
        <w:rPr>
          <w:rFonts w:cs="Times New Roman"/>
        </w:rPr>
        <w:t>al</w:t>
      </w:r>
      <w:r w:rsidR="00666D66" w:rsidRPr="003B6C5B">
        <w:rPr>
          <w:rFonts w:cs="Times New Roman"/>
        </w:rPr>
        <w:t xml:space="preserve"> breaks</w:t>
      </w:r>
      <w:bookmarkEnd w:id="7"/>
      <w:r w:rsidR="00D44664" w:rsidRPr="003B6C5B">
        <w:rPr>
          <w:rFonts w:cs="Times New Roman"/>
        </w:rPr>
        <w:t xml:space="preserve"> in </w:t>
      </w:r>
      <w:r w:rsidR="00375A9B" w:rsidRPr="003B6C5B">
        <w:rPr>
          <w:rFonts w:cs="Times New Roman"/>
        </w:rPr>
        <w:t>the joint</w:t>
      </w:r>
      <w:r w:rsidR="00FE1BA9" w:rsidRPr="003B6C5B">
        <w:rPr>
          <w:rFonts w:cs="Times New Roman"/>
        </w:rPr>
        <w:t xml:space="preserve"> energy and carbon markets </w:t>
      </w:r>
    </w:p>
    <w:p w14:paraId="44733723" w14:textId="4A5C3A35" w:rsidR="00433535" w:rsidRPr="003B6C5B" w:rsidRDefault="00627217" w:rsidP="006724D6">
      <w:pPr>
        <w:pStyle w:val="NormalWeb"/>
        <w:spacing w:before="0" w:beforeAutospacing="0" w:after="0" w:afterAutospacing="0" w:line="480" w:lineRule="auto"/>
        <w:ind w:firstLineChars="200" w:firstLine="480"/>
        <w:jc w:val="both"/>
        <w:rPr>
          <w:rFonts w:ascii="Times New Roman" w:hAnsi="Times New Roman" w:cs="Times New Roman"/>
          <w:bCs/>
        </w:rPr>
      </w:pPr>
      <w:r w:rsidRPr="003B6C5B">
        <w:rPr>
          <w:rFonts w:ascii="Times New Roman" w:hAnsi="Times New Roman" w:cs="Times New Roman"/>
        </w:rPr>
        <w:t xml:space="preserve">The </w:t>
      </w:r>
      <w:r w:rsidR="00433535" w:rsidRPr="003B6C5B">
        <w:rPr>
          <w:rFonts w:ascii="Times New Roman" w:hAnsi="Times New Roman" w:cs="Times New Roman"/>
        </w:rPr>
        <w:t>Matteson and James (2014) test</w:t>
      </w:r>
      <w:r w:rsidRPr="003B6C5B">
        <w:rPr>
          <w:rFonts w:ascii="Times New Roman" w:hAnsi="Times New Roman" w:cs="Times New Roman"/>
        </w:rPr>
        <w:t xml:space="preserve"> results </w:t>
      </w:r>
      <w:r w:rsidR="003F3799" w:rsidRPr="003B6C5B">
        <w:rPr>
          <w:rFonts w:ascii="Times New Roman" w:hAnsi="Times New Roman" w:cs="Times New Roman"/>
        </w:rPr>
        <w:t>indicate</w:t>
      </w:r>
      <w:r w:rsidRPr="003B6C5B">
        <w:rPr>
          <w:rFonts w:ascii="Times New Roman" w:hAnsi="Times New Roman" w:cs="Times New Roman"/>
        </w:rPr>
        <w:t xml:space="preserve"> that </w:t>
      </w:r>
      <w:r w:rsidR="00433535" w:rsidRPr="003B6C5B">
        <w:rPr>
          <w:rFonts w:ascii="Times New Roman" w:hAnsi="Times New Roman" w:cs="Times New Roman"/>
        </w:rPr>
        <w:t>September</w:t>
      </w:r>
      <w:r w:rsidR="00172599" w:rsidRPr="003B6C5B">
        <w:rPr>
          <w:rFonts w:ascii="Times New Roman" w:hAnsi="Times New Roman" w:cs="Times New Roman"/>
        </w:rPr>
        <w:t xml:space="preserve"> </w:t>
      </w:r>
      <w:r w:rsidR="00922487">
        <w:rPr>
          <w:rFonts w:ascii="Times New Roman" w:hAnsi="Times New Roman" w:cs="Times New Roman"/>
        </w:rPr>
        <w:t>1</w:t>
      </w:r>
      <w:r w:rsidR="00172599" w:rsidRPr="003B6C5B">
        <w:rPr>
          <w:rFonts w:ascii="Times New Roman" w:hAnsi="Times New Roman" w:cs="Times New Roman"/>
        </w:rPr>
        <w:t>5,</w:t>
      </w:r>
      <w:r w:rsidR="009734E1">
        <w:rPr>
          <w:rFonts w:ascii="Times New Roman" w:hAnsi="Times New Roman" w:cs="Times New Roman"/>
        </w:rPr>
        <w:t xml:space="preserve"> 2016 is a</w:t>
      </w:r>
      <w:r w:rsidR="00666D66" w:rsidRPr="003B6C5B">
        <w:rPr>
          <w:rFonts w:ascii="Times New Roman" w:hAnsi="Times New Roman" w:cs="Times New Roman"/>
        </w:rPr>
        <w:t xml:space="preserve"> </w:t>
      </w:r>
      <w:r w:rsidRPr="003B6C5B">
        <w:rPr>
          <w:rFonts w:ascii="Times New Roman" w:hAnsi="Times New Roman" w:cs="Times New Roman"/>
        </w:rPr>
        <w:t>critical</w:t>
      </w:r>
      <w:r w:rsidR="00433535" w:rsidRPr="003B6C5B">
        <w:rPr>
          <w:rFonts w:ascii="Times New Roman" w:hAnsi="Times New Roman" w:cs="Times New Roman"/>
        </w:rPr>
        <w:t xml:space="preserve"> change point </w:t>
      </w:r>
      <w:r w:rsidR="00666D66" w:rsidRPr="003B6C5B">
        <w:rPr>
          <w:rFonts w:ascii="Times New Roman" w:hAnsi="Times New Roman" w:cs="Times New Roman"/>
        </w:rPr>
        <w:t xml:space="preserve">in </w:t>
      </w:r>
      <w:r w:rsidR="00F820DD">
        <w:rPr>
          <w:rFonts w:ascii="Times New Roman" w:hAnsi="Times New Roman" w:cs="Times New Roman"/>
        </w:rPr>
        <w:t>a</w:t>
      </w:r>
      <w:r w:rsidR="00F820DD" w:rsidRPr="003B6C5B">
        <w:rPr>
          <w:rFonts w:ascii="Times New Roman" w:hAnsi="Times New Roman" w:cs="Times New Roman"/>
        </w:rPr>
        <w:t xml:space="preserve"> </w:t>
      </w:r>
      <w:r w:rsidR="00AF1ECE">
        <w:rPr>
          <w:rFonts w:ascii="Times New Roman" w:hAnsi="Times New Roman" w:cs="Times New Roman"/>
          <w:bCs/>
        </w:rPr>
        <w:t>quaternary system</w:t>
      </w:r>
      <w:r w:rsidR="00666D66" w:rsidRPr="003B6C5B">
        <w:rPr>
          <w:rFonts w:ascii="Times New Roman" w:hAnsi="Times New Roman" w:cs="Times New Roman"/>
          <w:bCs/>
        </w:rPr>
        <w:t xml:space="preserve"> </w:t>
      </w:r>
      <w:r w:rsidR="00195066">
        <w:rPr>
          <w:rFonts w:ascii="Times New Roman" w:hAnsi="Times New Roman" w:cs="Times New Roman"/>
          <w:bCs/>
        </w:rPr>
        <w:t xml:space="preserve">comprising </w:t>
      </w:r>
      <w:r w:rsidR="00666D66" w:rsidRPr="003B6C5B">
        <w:rPr>
          <w:rFonts w:ascii="Times New Roman" w:hAnsi="Times New Roman" w:cs="Times New Roman"/>
          <w:bCs/>
        </w:rPr>
        <w:t xml:space="preserve">of </w:t>
      </w:r>
      <w:r w:rsidR="004F3A0B" w:rsidRPr="003B6C5B">
        <w:rPr>
          <w:rFonts w:ascii="Times New Roman" w:hAnsi="Times New Roman" w:cs="Times New Roman"/>
          <w:bCs/>
        </w:rPr>
        <w:t>carbon</w:t>
      </w:r>
      <w:r w:rsidR="00666D66" w:rsidRPr="003B6C5B">
        <w:rPr>
          <w:rFonts w:ascii="Times New Roman" w:hAnsi="Times New Roman" w:cs="Times New Roman"/>
          <w:bCs/>
        </w:rPr>
        <w:t>, oil, coal</w:t>
      </w:r>
      <w:r w:rsidR="00433535" w:rsidRPr="003B6C5B">
        <w:rPr>
          <w:rFonts w:ascii="Times New Roman" w:hAnsi="Times New Roman" w:cs="Times New Roman"/>
          <w:bCs/>
        </w:rPr>
        <w:t>,</w:t>
      </w:r>
      <w:r w:rsidR="00666D66" w:rsidRPr="003B6C5B">
        <w:rPr>
          <w:rFonts w:ascii="Times New Roman" w:hAnsi="Times New Roman" w:cs="Times New Roman"/>
          <w:bCs/>
        </w:rPr>
        <w:t xml:space="preserve"> and gas</w:t>
      </w:r>
      <w:r w:rsidR="005348B7" w:rsidRPr="003B6C5B">
        <w:rPr>
          <w:rFonts w:ascii="Times New Roman" w:hAnsi="Times New Roman" w:cs="Times New Roman"/>
          <w:bCs/>
        </w:rPr>
        <w:t xml:space="preserve">. </w:t>
      </w:r>
      <w:r w:rsidR="00543036" w:rsidRPr="003B6C5B">
        <w:rPr>
          <w:rFonts w:ascii="Times New Roman" w:hAnsi="Times New Roman" w:cs="Times New Roman"/>
        </w:rPr>
        <w:t xml:space="preserve">By dividing </w:t>
      </w:r>
      <w:r w:rsidR="00172599" w:rsidRPr="003B6C5B">
        <w:rPr>
          <w:rFonts w:ascii="Times New Roman" w:hAnsi="Times New Roman" w:cs="Times New Roman"/>
        </w:rPr>
        <w:t xml:space="preserve">the Phase III of the </w:t>
      </w:r>
      <w:r w:rsidR="00543036" w:rsidRPr="003B6C5B">
        <w:rPr>
          <w:rFonts w:ascii="Times New Roman" w:hAnsi="Times New Roman" w:cs="Times New Roman"/>
        </w:rPr>
        <w:t>EU ETS into two stages</w:t>
      </w:r>
      <w:r w:rsidR="00195066">
        <w:rPr>
          <w:rFonts w:ascii="Times New Roman" w:hAnsi="Times New Roman" w:cs="Times New Roman"/>
        </w:rPr>
        <w:t xml:space="preserve"> according to the structural break in </w:t>
      </w:r>
      <w:r w:rsidR="00F820DD">
        <w:rPr>
          <w:rFonts w:ascii="Times New Roman" w:hAnsi="Times New Roman" w:cs="Times New Roman"/>
        </w:rPr>
        <w:t xml:space="preserve">a </w:t>
      </w:r>
      <w:r w:rsidR="00195066">
        <w:rPr>
          <w:rFonts w:ascii="Times New Roman" w:hAnsi="Times New Roman" w:cs="Times New Roman"/>
        </w:rPr>
        <w:t>quaternary system</w:t>
      </w:r>
      <w:r w:rsidR="00543036" w:rsidRPr="003B6C5B">
        <w:rPr>
          <w:rFonts w:ascii="Times New Roman" w:hAnsi="Times New Roman" w:cs="Times New Roman"/>
        </w:rPr>
        <w:t>, we can distinguish the similarities and differences in</w:t>
      </w:r>
      <w:r w:rsidR="00172599" w:rsidRPr="003B6C5B">
        <w:rPr>
          <w:rFonts w:ascii="Times New Roman" w:hAnsi="Times New Roman" w:cs="Times New Roman"/>
        </w:rPr>
        <w:t xml:space="preserve"> </w:t>
      </w:r>
      <w:r w:rsidR="00162B13" w:rsidRPr="003B6C5B">
        <w:rPr>
          <w:rFonts w:ascii="Times New Roman" w:hAnsi="Times New Roman" w:cs="Times New Roman"/>
        </w:rPr>
        <w:t xml:space="preserve">spillover </w:t>
      </w:r>
      <w:r w:rsidR="00162B13">
        <w:rPr>
          <w:rFonts w:ascii="Times New Roman" w:hAnsi="Times New Roman" w:cs="Times New Roman"/>
        </w:rPr>
        <w:t xml:space="preserve">of </w:t>
      </w:r>
      <w:r w:rsidR="00543036" w:rsidRPr="003B6C5B">
        <w:rPr>
          <w:rFonts w:ascii="Times New Roman" w:hAnsi="Times New Roman" w:cs="Times New Roman"/>
        </w:rPr>
        <w:t>higher-order moment</w:t>
      </w:r>
      <w:r w:rsidR="00172599" w:rsidRPr="003B6C5B">
        <w:rPr>
          <w:rFonts w:ascii="Times New Roman" w:hAnsi="Times New Roman" w:cs="Times New Roman"/>
        </w:rPr>
        <w:t>s</w:t>
      </w:r>
      <w:r w:rsidR="00543036" w:rsidRPr="003B6C5B">
        <w:rPr>
          <w:rFonts w:ascii="Times New Roman" w:hAnsi="Times New Roman" w:cs="Times New Roman"/>
        </w:rPr>
        <w:t xml:space="preserve"> </w:t>
      </w:r>
      <w:r w:rsidR="00172599" w:rsidRPr="003B6C5B">
        <w:rPr>
          <w:rFonts w:ascii="Times New Roman" w:hAnsi="Times New Roman" w:cs="Times New Roman"/>
        </w:rPr>
        <w:t xml:space="preserve">between </w:t>
      </w:r>
      <w:r w:rsidR="00543036" w:rsidRPr="003B6C5B">
        <w:rPr>
          <w:rFonts w:ascii="Times New Roman" w:hAnsi="Times New Roman" w:cs="Times New Roman"/>
        </w:rPr>
        <w:t xml:space="preserve">the carbon and energy markets under </w:t>
      </w:r>
      <w:r w:rsidR="00172599" w:rsidRPr="003B6C5B">
        <w:rPr>
          <w:rFonts w:ascii="Times New Roman" w:hAnsi="Times New Roman" w:cs="Times New Roman"/>
        </w:rPr>
        <w:t>various</w:t>
      </w:r>
      <w:r w:rsidR="00543036" w:rsidRPr="003B6C5B">
        <w:rPr>
          <w:rFonts w:ascii="Times New Roman" w:hAnsi="Times New Roman" w:cs="Times New Roman"/>
        </w:rPr>
        <w:t xml:space="preserve"> market situations. </w:t>
      </w:r>
      <w:r w:rsidR="005348B7" w:rsidRPr="003B6C5B">
        <w:rPr>
          <w:rFonts w:ascii="Times New Roman" w:hAnsi="Times New Roman" w:cs="Times New Roman"/>
          <w:bCs/>
        </w:rPr>
        <w:t xml:space="preserve">This </w:t>
      </w:r>
      <w:r w:rsidR="00195066">
        <w:rPr>
          <w:rFonts w:ascii="Times New Roman" w:hAnsi="Times New Roman" w:cs="Times New Roman"/>
          <w:bCs/>
        </w:rPr>
        <w:t>could</w:t>
      </w:r>
      <w:r w:rsidR="00195066" w:rsidRPr="003B6C5B">
        <w:rPr>
          <w:rFonts w:ascii="Times New Roman" w:hAnsi="Times New Roman" w:cs="Times New Roman"/>
          <w:bCs/>
        </w:rPr>
        <w:t xml:space="preserve"> </w:t>
      </w:r>
      <w:r w:rsidR="005348B7" w:rsidRPr="003B6C5B">
        <w:rPr>
          <w:rFonts w:ascii="Times New Roman" w:hAnsi="Times New Roman" w:cs="Times New Roman"/>
          <w:bCs/>
        </w:rPr>
        <w:t xml:space="preserve">advance </w:t>
      </w:r>
      <w:r w:rsidR="00666D66" w:rsidRPr="003B6C5B">
        <w:rPr>
          <w:rFonts w:ascii="Times New Roman" w:hAnsi="Times New Roman" w:cs="Times New Roman"/>
          <w:bCs/>
        </w:rPr>
        <w:t xml:space="preserve">the </w:t>
      </w:r>
      <w:r w:rsidR="00A10872" w:rsidRPr="003B6C5B">
        <w:rPr>
          <w:rFonts w:ascii="Times New Roman" w:hAnsi="Times New Roman" w:cs="Times New Roman"/>
          <w:bCs/>
        </w:rPr>
        <w:t>existing</w:t>
      </w:r>
      <w:r w:rsidR="009B6D05" w:rsidRPr="003B6C5B">
        <w:rPr>
          <w:rFonts w:ascii="Times New Roman" w:hAnsi="Times New Roman" w:cs="Times New Roman"/>
          <w:bCs/>
        </w:rPr>
        <w:t xml:space="preserve"> studies which </w:t>
      </w:r>
      <w:r w:rsidR="00F351AE" w:rsidRPr="003B6C5B">
        <w:rPr>
          <w:rFonts w:ascii="Times New Roman" w:hAnsi="Times New Roman" w:cs="Times New Roman"/>
          <w:bCs/>
        </w:rPr>
        <w:t xml:space="preserve">only </w:t>
      </w:r>
      <w:r w:rsidR="00162B13">
        <w:rPr>
          <w:rFonts w:ascii="Times New Roman" w:hAnsi="Times New Roman" w:cs="Times New Roman"/>
          <w:bCs/>
        </w:rPr>
        <w:t xml:space="preserve">examine </w:t>
      </w:r>
      <w:r w:rsidR="005348B7" w:rsidRPr="003B6C5B">
        <w:rPr>
          <w:rFonts w:ascii="Times New Roman" w:hAnsi="Times New Roman" w:cs="Times New Roman"/>
          <w:bCs/>
        </w:rPr>
        <w:t xml:space="preserve">the </w:t>
      </w:r>
      <w:r w:rsidR="00666D66" w:rsidRPr="003B6C5B">
        <w:rPr>
          <w:rFonts w:ascii="Times New Roman" w:hAnsi="Times New Roman" w:cs="Times New Roman"/>
          <w:bCs/>
        </w:rPr>
        <w:t xml:space="preserve">structural breaks </w:t>
      </w:r>
      <w:r w:rsidR="00162B13">
        <w:rPr>
          <w:rFonts w:ascii="Times New Roman" w:hAnsi="Times New Roman" w:cs="Times New Roman"/>
          <w:bCs/>
        </w:rPr>
        <w:t>of individual carbon markets</w:t>
      </w:r>
      <w:r w:rsidR="005A1E57">
        <w:rPr>
          <w:rFonts w:ascii="Times New Roman" w:hAnsi="Times New Roman" w:cs="Times New Roman"/>
          <w:bCs/>
        </w:rPr>
        <w:t xml:space="preserve">, for example </w:t>
      </w:r>
      <w:r w:rsidR="00172599" w:rsidRPr="003B6C5B">
        <w:rPr>
          <w:rFonts w:ascii="Times New Roman" w:hAnsi="Times New Roman" w:cs="Times New Roman"/>
          <w:bCs/>
        </w:rPr>
        <w:t xml:space="preserve">Phase I and II </w:t>
      </w:r>
      <w:r w:rsidR="005348B7" w:rsidRPr="003B6C5B">
        <w:rPr>
          <w:rFonts w:ascii="Times New Roman" w:hAnsi="Times New Roman" w:cs="Times New Roman"/>
          <w:bCs/>
        </w:rPr>
        <w:t xml:space="preserve">of </w:t>
      </w:r>
      <w:r w:rsidR="00172599" w:rsidRPr="003B6C5B">
        <w:rPr>
          <w:rFonts w:ascii="Times New Roman" w:hAnsi="Times New Roman" w:cs="Times New Roman"/>
          <w:bCs/>
        </w:rPr>
        <w:t xml:space="preserve">the EU ETS </w:t>
      </w:r>
      <w:r w:rsidR="00666D66" w:rsidRPr="003B6C5B">
        <w:rPr>
          <w:rFonts w:ascii="Times New Roman" w:hAnsi="Times New Roman" w:cs="Times New Roman"/>
          <w:bCs/>
          <w:noProof/>
        </w:rPr>
        <w:t>(</w:t>
      </w:r>
      <w:r w:rsidR="00043977" w:rsidRPr="00613002">
        <w:rPr>
          <w:rFonts w:ascii="Times New Roman" w:hAnsi="Times New Roman" w:cs="Times New Roman"/>
          <w:bCs/>
          <w:i/>
          <w:noProof/>
        </w:rPr>
        <w:t>e.g</w:t>
      </w:r>
      <w:r w:rsidR="00043977" w:rsidRPr="003B6C5B">
        <w:rPr>
          <w:rFonts w:ascii="Times New Roman" w:hAnsi="Times New Roman" w:cs="Times New Roman"/>
          <w:bCs/>
          <w:noProof/>
        </w:rPr>
        <w:t>.,</w:t>
      </w:r>
      <w:r w:rsidR="00433535" w:rsidRPr="003B6C5B">
        <w:rPr>
          <w:rFonts w:ascii="Times New Roman" w:hAnsi="Times New Roman" w:cs="Times New Roman"/>
          <w:bCs/>
          <w:noProof/>
        </w:rPr>
        <w:t xml:space="preserve"> </w:t>
      </w:r>
      <w:r w:rsidR="00666D66" w:rsidRPr="003B6C5B">
        <w:rPr>
          <w:rFonts w:ascii="Times New Roman" w:hAnsi="Times New Roman" w:cs="Times New Roman"/>
          <w:bCs/>
          <w:noProof/>
        </w:rPr>
        <w:t>Alberola et al., 2008; Balcılar et al., 2016)</w:t>
      </w:r>
      <w:r w:rsidR="00666D66" w:rsidRPr="003B6C5B">
        <w:rPr>
          <w:rFonts w:ascii="Times New Roman" w:hAnsi="Times New Roman" w:cs="Times New Roman"/>
          <w:bCs/>
        </w:rPr>
        <w:t>.</w:t>
      </w:r>
      <w:r w:rsidR="00433535" w:rsidRPr="003B6C5B">
        <w:rPr>
          <w:rFonts w:ascii="Times New Roman" w:hAnsi="Times New Roman" w:cs="Times New Roman"/>
          <w:bCs/>
        </w:rPr>
        <w:t xml:space="preserve"> </w:t>
      </w:r>
    </w:p>
    <w:p w14:paraId="5FB50FB0" w14:textId="51309FE2" w:rsidR="00F443EA" w:rsidRPr="003B6C5B" w:rsidRDefault="00CD0529" w:rsidP="006724D6">
      <w:pPr>
        <w:pStyle w:val="NormalWeb"/>
        <w:spacing w:before="0" w:beforeAutospacing="0" w:after="0" w:afterAutospacing="0" w:line="480" w:lineRule="auto"/>
        <w:jc w:val="both"/>
        <w:rPr>
          <w:rFonts w:ascii="Times New Roman" w:hAnsi="Times New Roman" w:cs="Times New Roman"/>
          <w:noProof/>
        </w:rPr>
      </w:pPr>
      <w:r w:rsidRPr="003B6C5B">
        <w:rPr>
          <w:rFonts w:ascii="Times New Roman" w:hAnsi="Times New Roman" w:cs="Times New Roman"/>
          <w:noProof/>
          <w:lang w:val="en-GB" w:eastAsia="en-GB"/>
        </w:rPr>
        <w:lastRenderedPageBreak/>
        <w:drawing>
          <wp:inline distT="0" distB="0" distL="0" distR="0" wp14:anchorId="5172898D" wp14:editId="1F462005">
            <wp:extent cx="5278120" cy="644084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8">
                      <a:extLst>
                        <a:ext uri="{28A0092B-C50C-407E-A947-70E740481C1C}">
                          <a14:useLocalDpi xmlns:a14="http://schemas.microsoft.com/office/drawing/2010/main" val="0"/>
                        </a:ext>
                      </a:extLst>
                    </a:blip>
                    <a:srcRect b="2377"/>
                    <a:stretch/>
                  </pic:blipFill>
                  <pic:spPr bwMode="auto">
                    <a:xfrm>
                      <a:off x="0" y="0"/>
                      <a:ext cx="5278120" cy="6440847"/>
                    </a:xfrm>
                    <a:prstGeom prst="rect">
                      <a:avLst/>
                    </a:prstGeom>
                    <a:ln>
                      <a:noFill/>
                    </a:ln>
                    <a:extLst>
                      <a:ext uri="{53640926-AAD7-44D8-BBD7-CCE9431645EC}">
                        <a14:shadowObscured xmlns:a14="http://schemas.microsoft.com/office/drawing/2010/main"/>
                      </a:ext>
                    </a:extLst>
                  </pic:spPr>
                </pic:pic>
              </a:graphicData>
            </a:graphic>
          </wp:inline>
        </w:drawing>
      </w:r>
    </w:p>
    <w:p w14:paraId="4E2D0CB0" w14:textId="4A2EEE88" w:rsidR="00666D66" w:rsidRPr="003B6C5B" w:rsidRDefault="00666D66" w:rsidP="006724D6">
      <w:pPr>
        <w:pStyle w:val="NormalWeb"/>
        <w:spacing w:before="0" w:beforeAutospacing="0" w:after="0" w:afterAutospacing="0"/>
        <w:jc w:val="both"/>
        <w:rPr>
          <w:rFonts w:ascii="Times New Roman" w:hAnsi="Times New Roman" w:cs="Times New Roman"/>
          <w:b/>
        </w:rPr>
      </w:pPr>
      <w:r w:rsidRPr="003B6C5B">
        <w:rPr>
          <w:rFonts w:ascii="Times New Roman" w:hAnsi="Times New Roman" w:cs="Times New Roman"/>
          <w:b/>
        </w:rPr>
        <w:t xml:space="preserve">Figure </w:t>
      </w:r>
      <w:r w:rsidR="00FE0A0C">
        <w:rPr>
          <w:rFonts w:ascii="Times New Roman" w:hAnsi="Times New Roman" w:cs="Times New Roman"/>
          <w:b/>
        </w:rPr>
        <w:t>1</w:t>
      </w:r>
      <w:r w:rsidRPr="003B6C5B">
        <w:rPr>
          <w:rFonts w:ascii="Times New Roman" w:hAnsi="Times New Roman" w:cs="Times New Roman"/>
          <w:b/>
        </w:rPr>
        <w:t xml:space="preserve">. </w:t>
      </w:r>
      <w:r w:rsidR="00433535" w:rsidRPr="003B6C5B">
        <w:rPr>
          <w:rFonts w:ascii="Times New Roman" w:hAnsi="Times New Roman" w:cs="Times New Roman"/>
          <w:b/>
        </w:rPr>
        <w:t>The c</w:t>
      </w:r>
      <w:r w:rsidR="00776960" w:rsidRPr="003B6C5B">
        <w:rPr>
          <w:rFonts w:ascii="Times New Roman" w:hAnsi="Times New Roman" w:cs="Times New Roman"/>
          <w:b/>
        </w:rPr>
        <w:t>hange point</w:t>
      </w:r>
      <w:r w:rsidRPr="003B6C5B">
        <w:rPr>
          <w:rFonts w:ascii="Times New Roman" w:hAnsi="Times New Roman" w:cs="Times New Roman"/>
          <w:b/>
        </w:rPr>
        <w:t xml:space="preserve"> in </w:t>
      </w:r>
      <w:r w:rsidR="00734855">
        <w:rPr>
          <w:rFonts w:ascii="Times New Roman" w:hAnsi="Times New Roman" w:cs="Times New Roman"/>
          <w:b/>
        </w:rPr>
        <w:t xml:space="preserve">a </w:t>
      </w:r>
      <w:r w:rsidRPr="003B6C5B">
        <w:rPr>
          <w:rFonts w:ascii="Times New Roman" w:hAnsi="Times New Roman" w:cs="Times New Roman"/>
          <w:b/>
        </w:rPr>
        <w:t xml:space="preserve">quaternary system of </w:t>
      </w:r>
      <w:r w:rsidR="00776960" w:rsidRPr="003B6C5B">
        <w:rPr>
          <w:rFonts w:ascii="Times New Roman" w:hAnsi="Times New Roman" w:cs="Times New Roman"/>
          <w:b/>
        </w:rPr>
        <w:t>energy and carbon</w:t>
      </w:r>
      <w:r w:rsidRPr="003B6C5B">
        <w:rPr>
          <w:rFonts w:ascii="Times New Roman" w:hAnsi="Times New Roman" w:cs="Times New Roman"/>
          <w:b/>
        </w:rPr>
        <w:t>.</w:t>
      </w:r>
    </w:p>
    <w:p w14:paraId="314CA1B1" w14:textId="7798FCD1" w:rsidR="00666D66" w:rsidRPr="003B6C5B" w:rsidRDefault="00666D66" w:rsidP="003B6C5B">
      <w:pPr>
        <w:pStyle w:val="NormalWeb"/>
        <w:spacing w:before="0" w:beforeAutospacing="0" w:after="0" w:afterAutospacing="0"/>
        <w:jc w:val="both"/>
        <w:rPr>
          <w:rFonts w:ascii="Times New Roman" w:hAnsi="Times New Roman" w:cs="Times New Roman"/>
          <w:sz w:val="16"/>
          <w:szCs w:val="16"/>
        </w:rPr>
      </w:pPr>
      <w:r w:rsidRPr="003B6C5B">
        <w:rPr>
          <w:rFonts w:ascii="Times New Roman" w:hAnsi="Times New Roman" w:cs="Times New Roman"/>
          <w:sz w:val="16"/>
          <w:szCs w:val="16"/>
        </w:rPr>
        <w:t xml:space="preserve">Note: </w:t>
      </w:r>
      <w:r w:rsidRPr="003B6C5B">
        <w:rPr>
          <w:rFonts w:ascii="Times New Roman" w:hAnsi="Times New Roman" w:cs="Times New Roman"/>
          <w:noProof/>
          <w:sz w:val="16"/>
          <w:szCs w:val="16"/>
        </w:rPr>
        <w:t>Matteson and James</w:t>
      </w:r>
      <w:r w:rsidR="00776960" w:rsidRPr="003B6C5B">
        <w:rPr>
          <w:rFonts w:ascii="Times New Roman" w:hAnsi="Times New Roman" w:cs="Times New Roman"/>
          <w:noProof/>
          <w:sz w:val="16"/>
          <w:szCs w:val="16"/>
        </w:rPr>
        <w:t>’s</w:t>
      </w:r>
      <w:r w:rsidRPr="003B6C5B">
        <w:rPr>
          <w:rFonts w:ascii="Times New Roman" w:hAnsi="Times New Roman" w:cs="Times New Roman"/>
          <w:noProof/>
          <w:sz w:val="16"/>
          <w:szCs w:val="16"/>
        </w:rPr>
        <w:t xml:space="preserve"> (2014)</w:t>
      </w:r>
      <w:r w:rsidR="00776960" w:rsidRPr="003B6C5B">
        <w:rPr>
          <w:rFonts w:ascii="Times New Roman" w:hAnsi="Times New Roman" w:cs="Times New Roman"/>
          <w:noProof/>
          <w:sz w:val="16"/>
          <w:szCs w:val="16"/>
        </w:rPr>
        <w:t xml:space="preserve"> change point (</w:t>
      </w:r>
      <w:r w:rsidR="00043977" w:rsidRPr="003B6C5B">
        <w:rPr>
          <w:rFonts w:ascii="Times New Roman" w:hAnsi="Times New Roman" w:cs="Times New Roman"/>
          <w:noProof/>
          <w:sz w:val="16"/>
          <w:szCs w:val="16"/>
        </w:rPr>
        <w:t xml:space="preserve">September 15, </w:t>
      </w:r>
      <w:r w:rsidR="00776960" w:rsidRPr="003B6C5B">
        <w:rPr>
          <w:rFonts w:ascii="Times New Roman" w:hAnsi="Times New Roman" w:cs="Times New Roman"/>
          <w:noProof/>
          <w:sz w:val="16"/>
          <w:szCs w:val="16"/>
        </w:rPr>
        <w:t>2016) is</w:t>
      </w:r>
      <w:r w:rsidRPr="003B6C5B">
        <w:rPr>
          <w:rFonts w:ascii="Times New Roman" w:hAnsi="Times New Roman" w:cs="Times New Roman"/>
          <w:sz w:val="16"/>
          <w:szCs w:val="16"/>
        </w:rPr>
        <w:t xml:space="preserve"> marked in red.</w:t>
      </w:r>
      <w:r w:rsidR="009F06FC">
        <w:t xml:space="preserve"> </w:t>
      </w:r>
      <w:r w:rsidR="00E25401" w:rsidRPr="003B6C5B">
        <w:rPr>
          <w:rFonts w:ascii="Times New Roman" w:hAnsi="Times New Roman" w:cs="Times New Roman"/>
          <w:sz w:val="16"/>
          <w:szCs w:val="16"/>
        </w:rPr>
        <w:t xml:space="preserve">Since the price ranges of the four </w:t>
      </w:r>
      <w:r w:rsidR="009F06FC">
        <w:rPr>
          <w:rFonts w:ascii="Times New Roman" w:hAnsi="Times New Roman" w:cs="Times New Roman"/>
          <w:sz w:val="16"/>
          <w:szCs w:val="16"/>
        </w:rPr>
        <w:t>assets</w:t>
      </w:r>
      <w:r w:rsidR="009F06FC" w:rsidRPr="003B6C5B">
        <w:rPr>
          <w:rFonts w:ascii="Times New Roman" w:hAnsi="Times New Roman" w:cs="Times New Roman"/>
          <w:sz w:val="16"/>
          <w:szCs w:val="16"/>
        </w:rPr>
        <w:t xml:space="preserve"> </w:t>
      </w:r>
      <w:r w:rsidR="00E25401" w:rsidRPr="003B6C5B">
        <w:rPr>
          <w:rFonts w:ascii="Times New Roman" w:hAnsi="Times New Roman" w:cs="Times New Roman"/>
          <w:sz w:val="16"/>
          <w:szCs w:val="16"/>
        </w:rPr>
        <w:t>are very different, original prices are converted to normali</w:t>
      </w:r>
      <w:r w:rsidR="009F06FC">
        <w:rPr>
          <w:rFonts w:ascii="Times New Roman" w:hAnsi="Times New Roman" w:cs="Times New Roman"/>
          <w:sz w:val="16"/>
          <w:szCs w:val="16"/>
        </w:rPr>
        <w:t>s</w:t>
      </w:r>
      <w:r w:rsidR="00E25401" w:rsidRPr="003B6C5B">
        <w:rPr>
          <w:rFonts w:ascii="Times New Roman" w:hAnsi="Times New Roman" w:cs="Times New Roman"/>
          <w:sz w:val="16"/>
          <w:szCs w:val="16"/>
        </w:rPr>
        <w:t>ed prices</w:t>
      </w:r>
      <w:r w:rsidR="009F06FC">
        <w:rPr>
          <w:rFonts w:ascii="Times New Roman" w:hAnsi="Times New Roman" w:cs="Times New Roman"/>
          <w:sz w:val="16"/>
          <w:szCs w:val="16"/>
        </w:rPr>
        <w:t xml:space="preserve"> in the top graph</w:t>
      </w:r>
      <w:r w:rsidR="00E25401" w:rsidRPr="003B6C5B">
        <w:rPr>
          <w:rFonts w:ascii="Times New Roman" w:hAnsi="Times New Roman" w:cs="Times New Roman"/>
          <w:sz w:val="16"/>
          <w:szCs w:val="16"/>
        </w:rPr>
        <w:t xml:space="preserve">, allowing the prices of the assets to be uniformly </w:t>
      </w:r>
      <w:r w:rsidR="00A10872" w:rsidRPr="003B6C5B">
        <w:rPr>
          <w:rFonts w:ascii="Times New Roman" w:hAnsi="Times New Roman" w:cs="Times New Roman"/>
          <w:sz w:val="16"/>
          <w:szCs w:val="16"/>
        </w:rPr>
        <w:t>distributed</w:t>
      </w:r>
      <w:r w:rsidR="00E25401" w:rsidRPr="003B6C5B">
        <w:rPr>
          <w:rFonts w:ascii="Times New Roman" w:hAnsi="Times New Roman" w:cs="Times New Roman"/>
          <w:sz w:val="16"/>
          <w:szCs w:val="16"/>
        </w:rPr>
        <w:t xml:space="preserve"> between 0 and 1.</w:t>
      </w:r>
    </w:p>
    <w:p w14:paraId="63E3D066" w14:textId="4F4221B8" w:rsidR="00666D66" w:rsidRPr="003B6C5B" w:rsidRDefault="00666D66" w:rsidP="006724D6">
      <w:pPr>
        <w:pStyle w:val="NormalWeb"/>
        <w:spacing w:before="0" w:beforeAutospacing="0" w:after="0" w:afterAutospacing="0" w:line="480" w:lineRule="auto"/>
        <w:jc w:val="both"/>
        <w:rPr>
          <w:rFonts w:ascii="Times New Roman" w:hAnsi="Times New Roman" w:cs="Times New Roman"/>
        </w:rPr>
      </w:pPr>
    </w:p>
    <w:p w14:paraId="48F023F6" w14:textId="3CBE7C3C" w:rsidR="007D2E4C" w:rsidRPr="003B6C5B" w:rsidRDefault="00E25401" w:rsidP="006724D6">
      <w:pPr>
        <w:pStyle w:val="NormalWeb"/>
        <w:spacing w:before="0" w:beforeAutospacing="0" w:after="0" w:afterAutospacing="0" w:line="480" w:lineRule="auto"/>
        <w:ind w:firstLine="420"/>
        <w:jc w:val="both"/>
        <w:rPr>
          <w:rFonts w:ascii="Times New Roman" w:hAnsi="Times New Roman" w:cs="Times New Roman"/>
        </w:rPr>
      </w:pPr>
      <w:r w:rsidRPr="003B6C5B">
        <w:rPr>
          <w:rFonts w:ascii="Times New Roman" w:hAnsi="Times New Roman" w:cs="Times New Roman"/>
        </w:rPr>
        <w:t xml:space="preserve">Figure </w:t>
      </w:r>
      <w:r w:rsidR="00FE0A0C">
        <w:rPr>
          <w:rFonts w:ascii="Times New Roman" w:hAnsi="Times New Roman" w:cs="Times New Roman"/>
        </w:rPr>
        <w:t>1</w:t>
      </w:r>
      <w:r w:rsidRPr="003B6C5B">
        <w:rPr>
          <w:rFonts w:ascii="Times New Roman" w:hAnsi="Times New Roman" w:cs="Times New Roman"/>
        </w:rPr>
        <w:t xml:space="preserve"> </w:t>
      </w:r>
      <w:r w:rsidR="00881125" w:rsidRPr="003B6C5B">
        <w:rPr>
          <w:rFonts w:ascii="Times New Roman" w:hAnsi="Times New Roman" w:cs="Times New Roman"/>
        </w:rPr>
        <w:t xml:space="preserve">clearly </w:t>
      </w:r>
      <w:r w:rsidRPr="003B6C5B">
        <w:rPr>
          <w:rFonts w:ascii="Times New Roman" w:hAnsi="Times New Roman" w:cs="Times New Roman"/>
        </w:rPr>
        <w:t xml:space="preserve">shows the difference in </w:t>
      </w:r>
      <w:r w:rsidR="003F3799" w:rsidRPr="003B6C5B">
        <w:rPr>
          <w:rFonts w:ascii="Times New Roman" w:hAnsi="Times New Roman" w:cs="Times New Roman"/>
        </w:rPr>
        <w:t>price</w:t>
      </w:r>
      <w:r w:rsidR="00447001" w:rsidRPr="003B6C5B">
        <w:rPr>
          <w:rFonts w:ascii="Times New Roman" w:hAnsi="Times New Roman" w:cs="Times New Roman"/>
        </w:rPr>
        <w:t>s</w:t>
      </w:r>
      <w:r w:rsidR="003F3799" w:rsidRPr="003B6C5B">
        <w:rPr>
          <w:rFonts w:ascii="Times New Roman" w:hAnsi="Times New Roman" w:cs="Times New Roman"/>
        </w:rPr>
        <w:t xml:space="preserve"> and return</w:t>
      </w:r>
      <w:r w:rsidR="00F351AE" w:rsidRPr="003B6C5B">
        <w:rPr>
          <w:rFonts w:ascii="Times New Roman" w:hAnsi="Times New Roman" w:cs="Times New Roman"/>
        </w:rPr>
        <w:t>s</w:t>
      </w:r>
      <w:r w:rsidR="003F3799" w:rsidRPr="003B6C5B">
        <w:rPr>
          <w:rFonts w:ascii="Times New Roman" w:hAnsi="Times New Roman" w:cs="Times New Roman"/>
        </w:rPr>
        <w:t xml:space="preserve"> of carbon and </w:t>
      </w:r>
      <w:r w:rsidR="00A10872" w:rsidRPr="003B6C5B">
        <w:rPr>
          <w:rFonts w:ascii="Times New Roman" w:hAnsi="Times New Roman" w:cs="Times New Roman"/>
        </w:rPr>
        <w:t>energy</w:t>
      </w:r>
      <w:r w:rsidR="003F3799" w:rsidRPr="003B6C5B">
        <w:rPr>
          <w:rFonts w:ascii="Times New Roman" w:hAnsi="Times New Roman" w:cs="Times New Roman"/>
        </w:rPr>
        <w:t xml:space="preserve"> markets</w:t>
      </w:r>
      <w:r w:rsidR="00543036" w:rsidRPr="003B6C5B">
        <w:rPr>
          <w:rFonts w:ascii="Times New Roman" w:hAnsi="Times New Roman" w:cs="Times New Roman"/>
        </w:rPr>
        <w:t xml:space="preserve"> </w:t>
      </w:r>
      <w:r w:rsidR="00447001" w:rsidRPr="003B6C5B">
        <w:rPr>
          <w:rFonts w:ascii="Times New Roman" w:hAnsi="Times New Roman" w:cs="Times New Roman"/>
        </w:rPr>
        <w:t>between</w:t>
      </w:r>
      <w:r w:rsidR="00543036" w:rsidRPr="003B6C5B">
        <w:rPr>
          <w:rFonts w:ascii="Times New Roman" w:hAnsi="Times New Roman" w:cs="Times New Roman"/>
        </w:rPr>
        <w:t xml:space="preserve"> Stage 1 and Stage 2 which </w:t>
      </w:r>
      <w:r w:rsidR="00C54E3A" w:rsidRPr="003B6C5B">
        <w:rPr>
          <w:rFonts w:ascii="Times New Roman" w:hAnsi="Times New Roman" w:cs="Times New Roman"/>
        </w:rPr>
        <w:t>correspond to the time periods</w:t>
      </w:r>
      <w:r w:rsidR="00543036" w:rsidRPr="003B6C5B">
        <w:rPr>
          <w:rFonts w:ascii="Times New Roman" w:hAnsi="Times New Roman" w:cs="Times New Roman"/>
        </w:rPr>
        <w:t xml:space="preserve"> </w:t>
      </w:r>
      <w:r w:rsidRPr="003B6C5B">
        <w:rPr>
          <w:rFonts w:ascii="Times New Roman" w:hAnsi="Times New Roman" w:cs="Times New Roman"/>
        </w:rPr>
        <w:t xml:space="preserve">before and after </w:t>
      </w:r>
      <w:r w:rsidR="003F3799" w:rsidRPr="003B6C5B">
        <w:rPr>
          <w:rFonts w:ascii="Times New Roman" w:hAnsi="Times New Roman" w:cs="Times New Roman"/>
        </w:rPr>
        <w:t>the structural break</w:t>
      </w:r>
      <w:r w:rsidR="00F351AE" w:rsidRPr="003B6C5B">
        <w:rPr>
          <w:rFonts w:ascii="Times New Roman" w:hAnsi="Times New Roman" w:cs="Times New Roman"/>
        </w:rPr>
        <w:t>,</w:t>
      </w:r>
      <w:r w:rsidR="003F3799" w:rsidRPr="003B6C5B">
        <w:rPr>
          <w:rFonts w:ascii="Times New Roman" w:hAnsi="Times New Roman" w:cs="Times New Roman"/>
        </w:rPr>
        <w:t xml:space="preserve"> </w:t>
      </w:r>
      <w:r w:rsidR="003F3799" w:rsidRPr="00C75BC2">
        <w:rPr>
          <w:rFonts w:ascii="Times New Roman" w:hAnsi="Times New Roman" w:cs="Times New Roman"/>
          <w:i/>
        </w:rPr>
        <w:t>i.e.</w:t>
      </w:r>
      <w:r w:rsidR="003F3799" w:rsidRPr="003B6C5B">
        <w:rPr>
          <w:rFonts w:ascii="Times New Roman" w:hAnsi="Times New Roman" w:cs="Times New Roman"/>
        </w:rPr>
        <w:t xml:space="preserve"> </w:t>
      </w:r>
      <w:r w:rsidRPr="003B6C5B">
        <w:rPr>
          <w:rFonts w:ascii="Times New Roman" w:hAnsi="Times New Roman" w:cs="Times New Roman"/>
        </w:rPr>
        <w:t xml:space="preserve">September 15, 2016. </w:t>
      </w:r>
      <w:r w:rsidR="003F3799" w:rsidRPr="003B6C5B">
        <w:rPr>
          <w:rFonts w:ascii="Times New Roman" w:hAnsi="Times New Roman" w:cs="Times New Roman"/>
        </w:rPr>
        <w:t xml:space="preserve">The carbon price </w:t>
      </w:r>
      <w:r w:rsidR="00881125" w:rsidRPr="003B6C5B">
        <w:rPr>
          <w:rFonts w:ascii="Times New Roman" w:hAnsi="Times New Roman" w:cs="Times New Roman"/>
        </w:rPr>
        <w:t>stayed</w:t>
      </w:r>
      <w:r w:rsidR="003F3799" w:rsidRPr="003B6C5B">
        <w:rPr>
          <w:rFonts w:ascii="Times New Roman" w:hAnsi="Times New Roman" w:cs="Times New Roman"/>
        </w:rPr>
        <w:t xml:space="preserve"> in a relative stable and low level </w:t>
      </w:r>
      <w:r w:rsidR="00C54E3A" w:rsidRPr="003B6C5B">
        <w:rPr>
          <w:rFonts w:ascii="Times New Roman" w:hAnsi="Times New Roman" w:cs="Times New Roman"/>
        </w:rPr>
        <w:t>in Stage 1</w:t>
      </w:r>
      <w:r w:rsidR="00447001" w:rsidRPr="003B6C5B">
        <w:rPr>
          <w:rFonts w:ascii="Times New Roman" w:hAnsi="Times New Roman" w:cs="Times New Roman"/>
        </w:rPr>
        <w:t xml:space="preserve"> despite the free allocation of allowances</w:t>
      </w:r>
      <w:r w:rsidR="00623BB3" w:rsidRPr="003B6C5B">
        <w:rPr>
          <w:rFonts w:ascii="Times New Roman" w:hAnsi="Times New Roman" w:cs="Times New Roman"/>
        </w:rPr>
        <w:t xml:space="preserve"> was removed</w:t>
      </w:r>
      <w:r w:rsidR="00447001" w:rsidRPr="003B6C5B">
        <w:rPr>
          <w:rFonts w:ascii="Times New Roman" w:hAnsi="Times New Roman" w:cs="Times New Roman"/>
        </w:rPr>
        <w:t xml:space="preserve"> </w:t>
      </w:r>
      <w:r w:rsidR="00447001" w:rsidRPr="003B6C5B">
        <w:rPr>
          <w:rFonts w:ascii="Times New Roman" w:hAnsi="Times New Roman" w:cs="Times New Roman"/>
        </w:rPr>
        <w:lastRenderedPageBreak/>
        <w:t>in Phase III</w:t>
      </w:r>
      <w:r w:rsidR="00D76812" w:rsidRPr="003B6C5B">
        <w:rPr>
          <w:rFonts w:ascii="Times New Roman" w:hAnsi="Times New Roman" w:cs="Times New Roman"/>
        </w:rPr>
        <w:t>. This c</w:t>
      </w:r>
      <w:r w:rsidR="00543036" w:rsidRPr="003B6C5B">
        <w:rPr>
          <w:rFonts w:ascii="Times New Roman" w:hAnsi="Times New Roman" w:cs="Times New Roman"/>
        </w:rPr>
        <w:t>ould</w:t>
      </w:r>
      <w:r w:rsidR="00D76812" w:rsidRPr="003B6C5B">
        <w:rPr>
          <w:rFonts w:ascii="Times New Roman" w:hAnsi="Times New Roman" w:cs="Times New Roman"/>
        </w:rPr>
        <w:t xml:space="preserve"> attribute to </w:t>
      </w:r>
      <w:r w:rsidR="00447001" w:rsidRPr="003B6C5B">
        <w:rPr>
          <w:rFonts w:ascii="Times New Roman" w:hAnsi="Times New Roman" w:cs="Times New Roman"/>
        </w:rPr>
        <w:t>surplus supply</w:t>
      </w:r>
      <w:r w:rsidR="00623BB3" w:rsidRPr="003B6C5B">
        <w:rPr>
          <w:rFonts w:ascii="Times New Roman" w:hAnsi="Times New Roman" w:cs="Times New Roman"/>
        </w:rPr>
        <w:t xml:space="preserve"> brought forward from</w:t>
      </w:r>
      <w:r w:rsidR="00447001" w:rsidRPr="003B6C5B">
        <w:rPr>
          <w:rFonts w:ascii="Times New Roman" w:hAnsi="Times New Roman" w:cs="Times New Roman"/>
        </w:rPr>
        <w:t xml:space="preserve"> </w:t>
      </w:r>
      <w:r w:rsidRPr="003B6C5B">
        <w:rPr>
          <w:rFonts w:ascii="Times New Roman" w:hAnsi="Times New Roman" w:cs="Times New Roman"/>
        </w:rPr>
        <w:t xml:space="preserve">the large number of allowances </w:t>
      </w:r>
      <w:r w:rsidR="004F3A0B" w:rsidRPr="003B6C5B">
        <w:rPr>
          <w:rFonts w:ascii="Times New Roman" w:hAnsi="Times New Roman" w:cs="Times New Roman"/>
        </w:rPr>
        <w:t>banked</w:t>
      </w:r>
      <w:r w:rsidRPr="003B6C5B">
        <w:rPr>
          <w:rFonts w:ascii="Times New Roman" w:hAnsi="Times New Roman" w:cs="Times New Roman"/>
        </w:rPr>
        <w:t xml:space="preserve"> in Phase </w:t>
      </w:r>
      <w:r w:rsidR="009734E1" w:rsidRPr="003B6C5B">
        <w:rPr>
          <w:rFonts w:ascii="Times New Roman" w:hAnsi="Times New Roman" w:cs="Times New Roman"/>
        </w:rPr>
        <w:t xml:space="preserve">II. </w:t>
      </w:r>
      <w:r w:rsidR="00543036" w:rsidRPr="003B6C5B">
        <w:rPr>
          <w:rFonts w:ascii="Times New Roman" w:hAnsi="Times New Roman" w:cs="Times New Roman"/>
        </w:rPr>
        <w:t xml:space="preserve">During the same period, energy </w:t>
      </w:r>
      <w:proofErr w:type="gramStart"/>
      <w:r w:rsidR="00543036" w:rsidRPr="003B6C5B">
        <w:rPr>
          <w:rFonts w:ascii="Times New Roman" w:hAnsi="Times New Roman" w:cs="Times New Roman"/>
        </w:rPr>
        <w:t>prices  plummeted</w:t>
      </w:r>
      <w:proofErr w:type="gramEnd"/>
      <w:r w:rsidR="00543036" w:rsidRPr="003B6C5B">
        <w:rPr>
          <w:rFonts w:ascii="Times New Roman" w:hAnsi="Times New Roman" w:cs="Times New Roman"/>
        </w:rPr>
        <w:t xml:space="preserve"> which </w:t>
      </w:r>
      <w:r w:rsidR="00881125" w:rsidRPr="003B6C5B">
        <w:rPr>
          <w:rFonts w:ascii="Times New Roman" w:hAnsi="Times New Roman" w:cs="Times New Roman"/>
        </w:rPr>
        <w:t xml:space="preserve">was </w:t>
      </w:r>
      <w:r w:rsidR="005D746E">
        <w:rPr>
          <w:rFonts w:ascii="Times New Roman" w:hAnsi="Times New Roman" w:cs="Times New Roman"/>
        </w:rPr>
        <w:t xml:space="preserve">largely </w:t>
      </w:r>
      <w:r w:rsidR="00881125" w:rsidRPr="003B6C5B">
        <w:rPr>
          <w:rFonts w:ascii="Times New Roman" w:hAnsi="Times New Roman" w:cs="Times New Roman"/>
        </w:rPr>
        <w:t>influenced by</w:t>
      </w:r>
      <w:r w:rsidR="00543036" w:rsidRPr="003B6C5B">
        <w:rPr>
          <w:rFonts w:ascii="Times New Roman" w:hAnsi="Times New Roman" w:cs="Times New Roman"/>
        </w:rPr>
        <w:t xml:space="preserve"> </w:t>
      </w:r>
      <w:r w:rsidRPr="003B6C5B">
        <w:rPr>
          <w:rFonts w:ascii="Times New Roman" w:hAnsi="Times New Roman" w:cs="Times New Roman"/>
        </w:rPr>
        <w:t>th</w:t>
      </w:r>
      <w:r w:rsidR="00543036" w:rsidRPr="003B6C5B">
        <w:rPr>
          <w:rFonts w:ascii="Times New Roman" w:hAnsi="Times New Roman" w:cs="Times New Roman"/>
        </w:rPr>
        <w:t xml:space="preserve">e </w:t>
      </w:r>
      <w:r w:rsidR="0036076C" w:rsidRPr="003B6C5B">
        <w:rPr>
          <w:rFonts w:ascii="Times New Roman" w:hAnsi="Times New Roman" w:cs="Times New Roman"/>
        </w:rPr>
        <w:t>S</w:t>
      </w:r>
      <w:r w:rsidRPr="003B6C5B">
        <w:rPr>
          <w:rFonts w:ascii="Times New Roman" w:hAnsi="Times New Roman" w:cs="Times New Roman"/>
        </w:rPr>
        <w:t xml:space="preserve">hale </w:t>
      </w:r>
      <w:r w:rsidR="00F85B31">
        <w:rPr>
          <w:rFonts w:ascii="Times New Roman" w:hAnsi="Times New Roman" w:cs="Times New Roman"/>
        </w:rPr>
        <w:t>G</w:t>
      </w:r>
      <w:r w:rsidRPr="003B6C5B">
        <w:rPr>
          <w:rFonts w:ascii="Times New Roman" w:hAnsi="Times New Roman" w:cs="Times New Roman"/>
        </w:rPr>
        <w:t xml:space="preserve">as </w:t>
      </w:r>
      <w:r w:rsidR="00F85B31">
        <w:rPr>
          <w:rFonts w:ascii="Times New Roman" w:hAnsi="Times New Roman" w:cs="Times New Roman"/>
        </w:rPr>
        <w:t>R</w:t>
      </w:r>
      <w:r w:rsidRPr="003B6C5B">
        <w:rPr>
          <w:rFonts w:ascii="Times New Roman" w:hAnsi="Times New Roman" w:cs="Times New Roman"/>
        </w:rPr>
        <w:t>evolution</w:t>
      </w:r>
      <w:r w:rsidR="00D60B15" w:rsidRPr="003B6C5B">
        <w:rPr>
          <w:rFonts w:ascii="Times New Roman" w:hAnsi="Times New Roman" w:cs="Times New Roman"/>
        </w:rPr>
        <w:t xml:space="preserve">, the European </w:t>
      </w:r>
      <w:r w:rsidR="00F85B31">
        <w:rPr>
          <w:rFonts w:ascii="Times New Roman" w:hAnsi="Times New Roman" w:cs="Times New Roman"/>
        </w:rPr>
        <w:t>D</w:t>
      </w:r>
      <w:r w:rsidR="00D60B15" w:rsidRPr="003B6C5B">
        <w:rPr>
          <w:rFonts w:ascii="Times New Roman" w:hAnsi="Times New Roman" w:cs="Times New Roman"/>
        </w:rPr>
        <w:t xml:space="preserve">ebt </w:t>
      </w:r>
      <w:r w:rsidR="00F85B31">
        <w:rPr>
          <w:rFonts w:ascii="Times New Roman" w:hAnsi="Times New Roman" w:cs="Times New Roman"/>
        </w:rPr>
        <w:t>C</w:t>
      </w:r>
      <w:r w:rsidR="00D60B15" w:rsidRPr="003B6C5B">
        <w:rPr>
          <w:rFonts w:ascii="Times New Roman" w:hAnsi="Times New Roman" w:cs="Times New Roman"/>
        </w:rPr>
        <w:t>risis</w:t>
      </w:r>
      <w:r w:rsidR="00734855">
        <w:rPr>
          <w:rFonts w:ascii="Times New Roman" w:hAnsi="Times New Roman" w:cs="Times New Roman"/>
        </w:rPr>
        <w:t xml:space="preserve">, </w:t>
      </w:r>
      <w:r w:rsidR="00D60B15" w:rsidRPr="003B6C5B">
        <w:rPr>
          <w:rFonts w:ascii="Times New Roman" w:hAnsi="Times New Roman" w:cs="Times New Roman"/>
        </w:rPr>
        <w:t>Ukrain</w:t>
      </w:r>
      <w:r w:rsidR="00881125" w:rsidRPr="003B6C5B">
        <w:rPr>
          <w:rFonts w:ascii="Times New Roman" w:hAnsi="Times New Roman" w:cs="Times New Roman"/>
        </w:rPr>
        <w:t xml:space="preserve">ian </w:t>
      </w:r>
      <w:r w:rsidR="00F85B31">
        <w:rPr>
          <w:rFonts w:ascii="Times New Roman" w:hAnsi="Times New Roman" w:cs="Times New Roman"/>
        </w:rPr>
        <w:t>C</w:t>
      </w:r>
      <w:r w:rsidR="00881125" w:rsidRPr="003B6C5B">
        <w:rPr>
          <w:rFonts w:ascii="Times New Roman" w:hAnsi="Times New Roman" w:cs="Times New Roman"/>
        </w:rPr>
        <w:t>risis</w:t>
      </w:r>
      <w:r w:rsidR="00734855">
        <w:rPr>
          <w:rFonts w:ascii="Times New Roman" w:hAnsi="Times New Roman" w:cs="Times New Roman"/>
        </w:rPr>
        <w:t>, and so on</w:t>
      </w:r>
      <w:r w:rsidR="009A3A0C" w:rsidRPr="003B6C5B">
        <w:rPr>
          <w:rFonts w:ascii="Times New Roman" w:hAnsi="Times New Roman" w:cs="Times New Roman"/>
        </w:rPr>
        <w:t>.</w:t>
      </w:r>
      <w:r w:rsidRPr="003B6C5B">
        <w:rPr>
          <w:rFonts w:ascii="Times New Roman" w:hAnsi="Times New Roman" w:cs="Times New Roman"/>
        </w:rPr>
        <w:t xml:space="preserve"> </w:t>
      </w:r>
      <w:r w:rsidR="009A3A0C">
        <w:rPr>
          <w:rFonts w:ascii="Times New Roman" w:hAnsi="Times New Roman" w:cs="Times New Roman"/>
        </w:rPr>
        <w:t xml:space="preserve">The carbon and energy markets are slumped towards a bearish market in Stage 1. </w:t>
      </w:r>
    </w:p>
    <w:p w14:paraId="42B4CF28" w14:textId="6EE70B9B" w:rsidR="00F351AE" w:rsidRPr="003B6C5B" w:rsidRDefault="00895D5D" w:rsidP="007D2E4C">
      <w:pPr>
        <w:pStyle w:val="NormalWeb"/>
        <w:spacing w:before="0" w:beforeAutospacing="0" w:after="0" w:afterAutospacing="0" w:line="480" w:lineRule="auto"/>
        <w:ind w:firstLine="420"/>
        <w:jc w:val="both"/>
        <w:rPr>
          <w:rFonts w:ascii="Times New Roman" w:hAnsi="Times New Roman" w:cs="Times New Roman"/>
        </w:rPr>
      </w:pPr>
      <w:r w:rsidRPr="003B6C5B">
        <w:rPr>
          <w:rFonts w:ascii="Times New Roman" w:hAnsi="Times New Roman" w:cs="Times New Roman"/>
        </w:rPr>
        <w:t xml:space="preserve">In Stage 2, the EU ETS reforms </w:t>
      </w:r>
      <w:r w:rsidR="009A3A0C">
        <w:rPr>
          <w:rFonts w:ascii="Times New Roman" w:hAnsi="Times New Roman" w:cs="Times New Roman"/>
        </w:rPr>
        <w:t xml:space="preserve">has </w:t>
      </w:r>
      <w:r w:rsidRPr="003B6C5B">
        <w:rPr>
          <w:rFonts w:ascii="Times New Roman" w:hAnsi="Times New Roman" w:cs="Times New Roman"/>
        </w:rPr>
        <w:t xml:space="preserve">contributed significantly to the surge in carbon prices, while the </w:t>
      </w:r>
      <w:r w:rsidR="00A10872" w:rsidRPr="003B6C5B">
        <w:rPr>
          <w:rFonts w:ascii="Times New Roman" w:hAnsi="Times New Roman" w:cs="Times New Roman"/>
        </w:rPr>
        <w:t>energy</w:t>
      </w:r>
      <w:r w:rsidRPr="003B6C5B">
        <w:rPr>
          <w:rFonts w:ascii="Times New Roman" w:hAnsi="Times New Roman" w:cs="Times New Roman"/>
        </w:rPr>
        <w:t xml:space="preserve"> markets re</w:t>
      </w:r>
      <w:r w:rsidR="00B64930" w:rsidRPr="003B6C5B">
        <w:rPr>
          <w:rFonts w:ascii="Times New Roman" w:hAnsi="Times New Roman" w:cs="Times New Roman"/>
        </w:rPr>
        <w:t>verted</w:t>
      </w:r>
      <w:r w:rsidRPr="003B6C5B">
        <w:rPr>
          <w:rFonts w:ascii="Times New Roman" w:hAnsi="Times New Roman" w:cs="Times New Roman"/>
        </w:rPr>
        <w:t xml:space="preserve"> to high price levels and showed extraordinary volatility characteristics, especially for coal and natural gas.</w:t>
      </w:r>
      <w:r w:rsidR="0018607A" w:rsidRPr="003B6C5B">
        <w:rPr>
          <w:rFonts w:ascii="Times New Roman" w:hAnsi="Times New Roman" w:cs="Times New Roman"/>
        </w:rPr>
        <w:t xml:space="preserve"> </w:t>
      </w:r>
      <w:r w:rsidRPr="00613002">
        <w:rPr>
          <w:rFonts w:ascii="Times New Roman" w:hAnsi="Times New Roman" w:cs="Times New Roman"/>
        </w:rPr>
        <w:t>The</w:t>
      </w:r>
      <w:r w:rsidR="00C67142" w:rsidRPr="00613002">
        <w:rPr>
          <w:rFonts w:ascii="Times New Roman" w:hAnsi="Times New Roman" w:cs="Times New Roman"/>
        </w:rPr>
        <w:t>se factors</w:t>
      </w:r>
      <w:r w:rsidR="00994AF1" w:rsidRPr="00613002">
        <w:rPr>
          <w:rFonts w:ascii="Times New Roman" w:hAnsi="Times New Roman" w:cs="Times New Roman"/>
        </w:rPr>
        <w:t xml:space="preserve"> are</w:t>
      </w:r>
      <w:r w:rsidRPr="003B6C5B">
        <w:rPr>
          <w:rFonts w:ascii="Times New Roman" w:hAnsi="Times New Roman" w:cs="Times New Roman"/>
        </w:rPr>
        <w:t xml:space="preserve"> responsible for the sharp rise in the carbon market, especially as the breakpoint is close to September 10, 2015 when the MSR policy was proposed by European </w:t>
      </w:r>
      <w:r w:rsidR="00534305">
        <w:rPr>
          <w:rFonts w:ascii="Times New Roman" w:hAnsi="Times New Roman" w:cs="Times New Roman"/>
        </w:rPr>
        <w:t>Commission</w:t>
      </w:r>
      <w:r w:rsidRPr="003B6C5B">
        <w:rPr>
          <w:rFonts w:ascii="Times New Roman" w:hAnsi="Times New Roman" w:cs="Times New Roman"/>
        </w:rPr>
        <w:t xml:space="preserve">. </w:t>
      </w:r>
      <w:r w:rsidR="00F351AE" w:rsidRPr="003B6C5B">
        <w:rPr>
          <w:rFonts w:ascii="Times New Roman" w:hAnsi="Times New Roman" w:cs="Times New Roman"/>
        </w:rPr>
        <w:t>It can be said that the carbon market and energy prices are in a bullish market at Stage 2.</w:t>
      </w:r>
    </w:p>
    <w:p w14:paraId="751A70B9" w14:textId="2F055147" w:rsidR="00666D66" w:rsidRPr="003B6C5B" w:rsidRDefault="006659CB" w:rsidP="007D2E4C">
      <w:pPr>
        <w:pStyle w:val="NormalWeb"/>
        <w:spacing w:before="0" w:beforeAutospacing="0" w:after="0" w:afterAutospacing="0" w:line="480" w:lineRule="auto"/>
        <w:ind w:firstLine="420"/>
        <w:jc w:val="both"/>
        <w:rPr>
          <w:rFonts w:ascii="Times New Roman" w:hAnsi="Times New Roman" w:cs="Times New Roman"/>
        </w:rPr>
      </w:pPr>
      <w:r w:rsidRPr="003B6C5B">
        <w:rPr>
          <w:rFonts w:ascii="Times New Roman" w:hAnsi="Times New Roman" w:cs="Times New Roman"/>
        </w:rPr>
        <w:t>Table 2</w:t>
      </w:r>
      <w:r w:rsidR="0036076C" w:rsidRPr="003B6C5B">
        <w:rPr>
          <w:rFonts w:ascii="Times New Roman" w:hAnsi="Times New Roman" w:cs="Times New Roman"/>
        </w:rPr>
        <w:t xml:space="preserve"> summarises and compares the price movements of carbon and </w:t>
      </w:r>
      <w:r w:rsidR="00A10872" w:rsidRPr="003B6C5B">
        <w:rPr>
          <w:rFonts w:ascii="Times New Roman" w:hAnsi="Times New Roman" w:cs="Times New Roman"/>
        </w:rPr>
        <w:t>energy</w:t>
      </w:r>
      <w:r w:rsidR="0036076C" w:rsidRPr="003B6C5B">
        <w:rPr>
          <w:rFonts w:ascii="Times New Roman" w:hAnsi="Times New Roman" w:cs="Times New Roman"/>
        </w:rPr>
        <w:t xml:space="preserve"> assets </w:t>
      </w:r>
      <w:r w:rsidR="000F0BED" w:rsidRPr="003B6C5B">
        <w:rPr>
          <w:rFonts w:ascii="Times New Roman" w:hAnsi="Times New Roman" w:cs="Times New Roman"/>
        </w:rPr>
        <w:t xml:space="preserve">between </w:t>
      </w:r>
      <w:r w:rsidR="0036076C" w:rsidRPr="003B6C5B">
        <w:rPr>
          <w:rFonts w:ascii="Times New Roman" w:hAnsi="Times New Roman" w:cs="Times New Roman"/>
        </w:rPr>
        <w:t xml:space="preserve">the two stages. </w:t>
      </w:r>
      <w:r w:rsidR="005B78D1" w:rsidRPr="003B6C5B">
        <w:rPr>
          <w:rFonts w:ascii="Times New Roman" w:hAnsi="Times New Roman" w:cs="Times New Roman"/>
        </w:rPr>
        <w:t xml:space="preserve">By </w:t>
      </w:r>
      <w:r w:rsidR="003D118C">
        <w:rPr>
          <w:rFonts w:ascii="Times New Roman" w:hAnsi="Times New Roman" w:cs="Times New Roman"/>
        </w:rPr>
        <w:t>examining the spillovers of higher-order moments in</w:t>
      </w:r>
      <w:r w:rsidR="005B78D1" w:rsidRPr="003B6C5B">
        <w:rPr>
          <w:rFonts w:ascii="Times New Roman" w:hAnsi="Times New Roman" w:cs="Times New Roman"/>
        </w:rPr>
        <w:t xml:space="preserve"> Stage 1 and Stage 2</w:t>
      </w:r>
      <w:r w:rsidR="003D118C">
        <w:rPr>
          <w:rFonts w:ascii="Times New Roman" w:hAnsi="Times New Roman" w:cs="Times New Roman"/>
        </w:rPr>
        <w:t xml:space="preserve"> separately</w:t>
      </w:r>
      <w:r w:rsidR="005B78D1" w:rsidRPr="003B6C5B">
        <w:rPr>
          <w:rFonts w:ascii="Times New Roman" w:hAnsi="Times New Roman" w:cs="Times New Roman"/>
        </w:rPr>
        <w:t xml:space="preserve">, we </w:t>
      </w:r>
      <w:r w:rsidR="003D118C">
        <w:rPr>
          <w:rFonts w:ascii="Times New Roman" w:hAnsi="Times New Roman" w:cs="Times New Roman"/>
        </w:rPr>
        <w:t>will be able to find out</w:t>
      </w:r>
      <w:r w:rsidR="005B78D1" w:rsidRPr="003B6C5B">
        <w:rPr>
          <w:rFonts w:ascii="Times New Roman" w:hAnsi="Times New Roman" w:cs="Times New Roman"/>
        </w:rPr>
        <w:t xml:space="preserve"> whether the implementation of reform policies such as the MSR, and the recovery in carbon and energy prices</w:t>
      </w:r>
      <w:r w:rsidR="003D118C">
        <w:rPr>
          <w:rFonts w:ascii="Times New Roman" w:hAnsi="Times New Roman" w:cs="Times New Roman"/>
        </w:rPr>
        <w:t xml:space="preserve"> has an impact on the price transmission mechanism between the carbon and energy markets.  </w:t>
      </w:r>
    </w:p>
    <w:p w14:paraId="12636AD6" w14:textId="77777777" w:rsidR="00666D66" w:rsidRPr="003B6C5B" w:rsidRDefault="00666D66" w:rsidP="006724D6">
      <w:pPr>
        <w:pStyle w:val="NormalWeb"/>
        <w:spacing w:before="0" w:beforeAutospacing="0" w:after="0" w:afterAutospacing="0"/>
        <w:jc w:val="both"/>
        <w:rPr>
          <w:rFonts w:ascii="Times New Roman" w:hAnsi="Times New Roman" w:cs="Times New Roman"/>
          <w:b/>
          <w:lang w:val="en-GB"/>
        </w:rPr>
      </w:pPr>
      <w:r w:rsidRPr="003B6C5B">
        <w:rPr>
          <w:rFonts w:ascii="Times New Roman" w:hAnsi="Times New Roman" w:cs="Times New Roman"/>
          <w:b/>
        </w:rPr>
        <w:t xml:space="preserve">Table 2. </w:t>
      </w:r>
    </w:p>
    <w:p w14:paraId="0B065083" w14:textId="3EF175BE" w:rsidR="00666D66" w:rsidRPr="003B6C5B" w:rsidRDefault="00B64930" w:rsidP="00613002">
      <w:pPr>
        <w:pStyle w:val="NormalWeb"/>
        <w:spacing w:before="0" w:beforeAutospacing="0" w:after="0" w:afterAutospacing="0"/>
        <w:rPr>
          <w:rFonts w:ascii="Times New Roman" w:hAnsi="Times New Roman" w:cs="Times New Roman"/>
          <w:bCs/>
        </w:rPr>
      </w:pPr>
      <w:r w:rsidRPr="003B6C5B">
        <w:rPr>
          <w:rFonts w:ascii="Times New Roman" w:hAnsi="Times New Roman" w:cs="Times New Roman"/>
          <w:bCs/>
        </w:rPr>
        <w:t xml:space="preserve">Two </w:t>
      </w:r>
      <w:r w:rsidR="005509AA" w:rsidRPr="003B6C5B">
        <w:rPr>
          <w:rFonts w:ascii="Times New Roman" w:hAnsi="Times New Roman" w:cs="Times New Roman" w:hint="eastAsia"/>
          <w:bCs/>
        </w:rPr>
        <w:t>s</w:t>
      </w:r>
      <w:r w:rsidR="00666D66" w:rsidRPr="003B6C5B">
        <w:rPr>
          <w:rFonts w:ascii="Times New Roman" w:hAnsi="Times New Roman" w:cs="Times New Roman"/>
          <w:bCs/>
        </w:rPr>
        <w:t>tage</w:t>
      </w:r>
      <w:r w:rsidRPr="003B6C5B">
        <w:rPr>
          <w:rFonts w:ascii="Times New Roman" w:hAnsi="Times New Roman" w:cs="Times New Roman"/>
          <w:bCs/>
        </w:rPr>
        <w:t>s</w:t>
      </w:r>
      <w:r w:rsidR="00666D66" w:rsidRPr="003B6C5B">
        <w:rPr>
          <w:rFonts w:ascii="Times New Roman" w:hAnsi="Times New Roman" w:cs="Times New Roman"/>
          <w:bCs/>
        </w:rPr>
        <w:t xml:space="preserve"> in</w:t>
      </w:r>
      <w:r w:rsidRPr="003B6C5B">
        <w:rPr>
          <w:rFonts w:ascii="Times New Roman" w:hAnsi="Times New Roman" w:cs="Times New Roman"/>
          <w:bCs/>
        </w:rPr>
        <w:t xml:space="preserve"> Phase III </w:t>
      </w:r>
      <w:r w:rsidR="00F3404D">
        <w:rPr>
          <w:rFonts w:ascii="Times New Roman" w:hAnsi="Times New Roman" w:cs="Times New Roman"/>
          <w:bCs/>
        </w:rPr>
        <w:t xml:space="preserve">of the </w:t>
      </w:r>
      <w:r w:rsidR="00666D66" w:rsidRPr="003B6C5B">
        <w:rPr>
          <w:rFonts w:ascii="Times New Roman" w:hAnsi="Times New Roman" w:cs="Times New Roman"/>
          <w:bCs/>
        </w:rPr>
        <w:t>EU ETS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1268"/>
        <w:gridCol w:w="2962"/>
        <w:gridCol w:w="2341"/>
        <w:gridCol w:w="1124"/>
      </w:tblGrid>
      <w:tr w:rsidR="0036076C" w:rsidRPr="003B6C5B" w14:paraId="21060F77" w14:textId="00B496C5" w:rsidTr="003B6C5B">
        <w:tc>
          <w:tcPr>
            <w:tcW w:w="371" w:type="pct"/>
            <w:tcBorders>
              <w:top w:val="single" w:sz="12" w:space="0" w:color="auto"/>
              <w:bottom w:val="single" w:sz="4" w:space="0" w:color="auto"/>
            </w:tcBorders>
          </w:tcPr>
          <w:p w14:paraId="0C4B70FC" w14:textId="77777777"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Stage</w:t>
            </w:r>
          </w:p>
        </w:tc>
        <w:tc>
          <w:tcPr>
            <w:tcW w:w="763" w:type="pct"/>
            <w:tcBorders>
              <w:top w:val="single" w:sz="12" w:space="0" w:color="auto"/>
              <w:bottom w:val="single" w:sz="4" w:space="0" w:color="auto"/>
            </w:tcBorders>
          </w:tcPr>
          <w:p w14:paraId="453A1A49" w14:textId="77777777"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Period</w:t>
            </w:r>
          </w:p>
        </w:tc>
        <w:tc>
          <w:tcPr>
            <w:tcW w:w="1782" w:type="pct"/>
            <w:tcBorders>
              <w:top w:val="single" w:sz="12" w:space="0" w:color="auto"/>
              <w:bottom w:val="single" w:sz="4" w:space="0" w:color="auto"/>
            </w:tcBorders>
          </w:tcPr>
          <w:p w14:paraId="610F38D6" w14:textId="19538070"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E</w:t>
            </w:r>
            <w:r w:rsidRPr="003B6C5B">
              <w:rPr>
                <w:rFonts w:ascii="Times New Roman" w:hAnsi="Times New Roman" w:cs="Times New Roman" w:hint="eastAsia"/>
                <w:sz w:val="18"/>
                <w:szCs w:val="18"/>
              </w:rPr>
              <w:t>nergy</w:t>
            </w:r>
            <w:r w:rsidRPr="003B6C5B">
              <w:rPr>
                <w:rFonts w:ascii="Times New Roman" w:hAnsi="Times New Roman" w:cs="Times New Roman"/>
                <w:sz w:val="18"/>
                <w:szCs w:val="18"/>
              </w:rPr>
              <w:t xml:space="preserve"> </w:t>
            </w:r>
            <w:r w:rsidR="00623BB3" w:rsidRPr="003B6C5B">
              <w:rPr>
                <w:rFonts w:ascii="Times New Roman" w:hAnsi="Times New Roman" w:cs="Times New Roman"/>
                <w:sz w:val="18"/>
                <w:szCs w:val="18"/>
              </w:rPr>
              <w:t>market</w:t>
            </w:r>
          </w:p>
        </w:tc>
        <w:tc>
          <w:tcPr>
            <w:tcW w:w="1408" w:type="pct"/>
            <w:tcBorders>
              <w:top w:val="single" w:sz="12" w:space="0" w:color="auto"/>
              <w:bottom w:val="single" w:sz="4" w:space="0" w:color="auto"/>
            </w:tcBorders>
          </w:tcPr>
          <w:p w14:paraId="20044D2D" w14:textId="74ED9EA8"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hint="eastAsia"/>
                <w:sz w:val="18"/>
                <w:szCs w:val="18"/>
              </w:rPr>
              <w:t>Carbon</w:t>
            </w:r>
            <w:r w:rsidR="00623BB3" w:rsidRPr="003B6C5B">
              <w:rPr>
                <w:rFonts w:ascii="Times New Roman" w:hAnsi="Times New Roman" w:cs="Times New Roman"/>
                <w:sz w:val="18"/>
                <w:szCs w:val="18"/>
              </w:rPr>
              <w:t xml:space="preserve"> market</w:t>
            </w:r>
          </w:p>
        </w:tc>
        <w:tc>
          <w:tcPr>
            <w:tcW w:w="677" w:type="pct"/>
            <w:tcBorders>
              <w:top w:val="single" w:sz="12" w:space="0" w:color="auto"/>
              <w:bottom w:val="single" w:sz="4" w:space="0" w:color="auto"/>
            </w:tcBorders>
          </w:tcPr>
          <w:p w14:paraId="2B08AE47" w14:textId="1D817666"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Market condition</w:t>
            </w:r>
          </w:p>
        </w:tc>
      </w:tr>
      <w:tr w:rsidR="0036076C" w:rsidRPr="003B6C5B" w14:paraId="01F459AC" w14:textId="0712A1CE" w:rsidTr="003B6C5B">
        <w:tc>
          <w:tcPr>
            <w:tcW w:w="371" w:type="pct"/>
            <w:tcBorders>
              <w:top w:val="single" w:sz="4" w:space="0" w:color="auto"/>
            </w:tcBorders>
          </w:tcPr>
          <w:p w14:paraId="008C1D94" w14:textId="77777777" w:rsidR="0036076C" w:rsidRPr="003B6C5B" w:rsidRDefault="0036076C" w:rsidP="003B6C5B">
            <w:pPr>
              <w:pStyle w:val="NormalWeb"/>
              <w:spacing w:before="0" w:beforeAutospacing="0" w:after="0" w:afterAutospacing="0"/>
              <w:jc w:val="both"/>
              <w:rPr>
                <w:rFonts w:ascii="Times New Roman" w:hAnsi="Times New Roman" w:cs="Times New Roman"/>
                <w:b/>
                <w:bCs/>
                <w:sz w:val="18"/>
                <w:szCs w:val="18"/>
              </w:rPr>
            </w:pPr>
            <w:bookmarkStart w:id="9" w:name="_Hlk38704750"/>
            <w:r w:rsidRPr="003B6C5B">
              <w:rPr>
                <w:rFonts w:ascii="Times New Roman" w:hAnsi="Times New Roman" w:cs="Times New Roman"/>
                <w:b/>
                <w:bCs/>
                <w:sz w:val="18"/>
                <w:szCs w:val="18"/>
              </w:rPr>
              <w:t>1</w:t>
            </w:r>
          </w:p>
        </w:tc>
        <w:tc>
          <w:tcPr>
            <w:tcW w:w="763" w:type="pct"/>
            <w:tcBorders>
              <w:top w:val="single" w:sz="4" w:space="0" w:color="auto"/>
            </w:tcBorders>
          </w:tcPr>
          <w:p w14:paraId="1A5765F9" w14:textId="6E8A0AFD"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2013</w:t>
            </w:r>
            <w:r w:rsidRPr="003B6C5B">
              <w:rPr>
                <w:rFonts w:ascii="Times New Roman" w:hAnsi="Times New Roman" w:cs="Times New Roman" w:hint="eastAsia"/>
                <w:sz w:val="18"/>
                <w:szCs w:val="18"/>
              </w:rPr>
              <w:t>/</w:t>
            </w:r>
            <w:r w:rsidRPr="003B6C5B">
              <w:rPr>
                <w:rFonts w:ascii="Times New Roman" w:hAnsi="Times New Roman" w:cs="Times New Roman"/>
                <w:sz w:val="18"/>
                <w:szCs w:val="18"/>
              </w:rPr>
              <w:t>1/3-2016/9/15</w:t>
            </w:r>
          </w:p>
        </w:tc>
        <w:tc>
          <w:tcPr>
            <w:tcW w:w="1782" w:type="pct"/>
            <w:tcBorders>
              <w:top w:val="single" w:sz="4" w:space="0" w:color="auto"/>
            </w:tcBorders>
          </w:tcPr>
          <w:p w14:paraId="25EFC592" w14:textId="1E52F136"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Prices continue</w:t>
            </w:r>
            <w:r w:rsidR="00B64930" w:rsidRPr="003B6C5B">
              <w:rPr>
                <w:rFonts w:ascii="Times New Roman" w:hAnsi="Times New Roman" w:cs="Times New Roman"/>
                <w:sz w:val="18"/>
                <w:szCs w:val="18"/>
              </w:rPr>
              <w:t>d</w:t>
            </w:r>
            <w:r w:rsidRPr="003B6C5B">
              <w:rPr>
                <w:rFonts w:ascii="Times New Roman" w:hAnsi="Times New Roman" w:cs="Times New Roman"/>
                <w:sz w:val="18"/>
                <w:szCs w:val="18"/>
              </w:rPr>
              <w:t xml:space="preserve"> to plummet, particularly </w:t>
            </w:r>
            <w:r w:rsidR="00B64930" w:rsidRPr="003B6C5B">
              <w:rPr>
                <w:rFonts w:ascii="Times New Roman" w:hAnsi="Times New Roman" w:cs="Times New Roman"/>
                <w:sz w:val="18"/>
                <w:szCs w:val="18"/>
              </w:rPr>
              <w:t>due to the</w:t>
            </w:r>
            <w:r w:rsidRPr="003B6C5B">
              <w:rPr>
                <w:rFonts w:ascii="Times New Roman" w:hAnsi="Times New Roman" w:cs="Times New Roman"/>
                <w:sz w:val="18"/>
                <w:szCs w:val="18"/>
              </w:rPr>
              <w:t xml:space="preserve"> Shale </w:t>
            </w:r>
            <w:r w:rsidR="00F85B31">
              <w:rPr>
                <w:rFonts w:ascii="Times New Roman" w:hAnsi="Times New Roman" w:cs="Times New Roman"/>
                <w:sz w:val="18"/>
                <w:szCs w:val="18"/>
              </w:rPr>
              <w:t>G</w:t>
            </w:r>
            <w:r w:rsidRPr="003B6C5B">
              <w:rPr>
                <w:rFonts w:ascii="Times New Roman" w:hAnsi="Times New Roman" w:cs="Times New Roman"/>
                <w:sz w:val="18"/>
                <w:szCs w:val="18"/>
              </w:rPr>
              <w:t xml:space="preserve">as </w:t>
            </w:r>
            <w:r w:rsidR="00F85B31">
              <w:rPr>
                <w:rFonts w:ascii="Times New Roman" w:hAnsi="Times New Roman" w:cs="Times New Roman"/>
                <w:sz w:val="18"/>
                <w:szCs w:val="18"/>
              </w:rPr>
              <w:t>R</w:t>
            </w:r>
            <w:r w:rsidRPr="003B6C5B">
              <w:rPr>
                <w:rFonts w:ascii="Times New Roman" w:hAnsi="Times New Roman" w:cs="Times New Roman"/>
                <w:sz w:val="18"/>
                <w:szCs w:val="18"/>
              </w:rPr>
              <w:t>evolution</w:t>
            </w:r>
            <w:r w:rsidR="00F85B31">
              <w:rPr>
                <w:rFonts w:ascii="Times New Roman" w:hAnsi="Times New Roman" w:cs="Times New Roman"/>
                <w:sz w:val="18"/>
                <w:szCs w:val="18"/>
              </w:rPr>
              <w:t xml:space="preserve"> and so on</w:t>
            </w:r>
            <w:r w:rsidRPr="003B6C5B">
              <w:rPr>
                <w:rFonts w:ascii="Times New Roman" w:hAnsi="Times New Roman" w:cs="Times New Roman"/>
                <w:sz w:val="18"/>
                <w:szCs w:val="18"/>
              </w:rPr>
              <w:t>.</w:t>
            </w:r>
          </w:p>
        </w:tc>
        <w:tc>
          <w:tcPr>
            <w:tcW w:w="1408" w:type="pct"/>
            <w:tcBorders>
              <w:top w:val="single" w:sz="4" w:space="0" w:color="auto"/>
            </w:tcBorders>
          </w:tcPr>
          <w:p w14:paraId="7A7B3549" w14:textId="23CFE4E9"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Price</w:t>
            </w:r>
            <w:r w:rsidR="00B64930" w:rsidRPr="003B6C5B">
              <w:rPr>
                <w:rFonts w:ascii="Times New Roman" w:hAnsi="Times New Roman" w:cs="Times New Roman"/>
                <w:sz w:val="18"/>
                <w:szCs w:val="18"/>
              </w:rPr>
              <w:t>s</w:t>
            </w:r>
            <w:r w:rsidRPr="003B6C5B">
              <w:rPr>
                <w:rFonts w:ascii="Times New Roman" w:hAnsi="Times New Roman" w:cs="Times New Roman"/>
                <w:sz w:val="18"/>
                <w:szCs w:val="18"/>
              </w:rPr>
              <w:t xml:space="preserve"> </w:t>
            </w:r>
            <w:r w:rsidR="00B64930" w:rsidRPr="003B6C5B">
              <w:rPr>
                <w:rFonts w:ascii="Times New Roman" w:hAnsi="Times New Roman" w:cs="Times New Roman"/>
                <w:sz w:val="18"/>
                <w:szCs w:val="18"/>
              </w:rPr>
              <w:t xml:space="preserve">remained </w:t>
            </w:r>
            <w:r w:rsidRPr="003B6C5B">
              <w:rPr>
                <w:rFonts w:ascii="Times New Roman" w:hAnsi="Times New Roman" w:cs="Times New Roman"/>
                <w:sz w:val="18"/>
                <w:szCs w:val="18"/>
              </w:rPr>
              <w:t>very low around 10 EUR</w:t>
            </w:r>
            <w:r w:rsidR="00B64930" w:rsidRPr="003B6C5B">
              <w:rPr>
                <w:rFonts w:ascii="Times New Roman" w:hAnsi="Times New Roman" w:cs="Times New Roman"/>
                <w:sz w:val="18"/>
                <w:szCs w:val="18"/>
              </w:rPr>
              <w:t>.</w:t>
            </w:r>
            <w:r w:rsidRPr="003B6C5B">
              <w:rPr>
                <w:rStyle w:val="FootnoteReference"/>
                <w:rFonts w:ascii="Times New Roman" w:hAnsi="Times New Roman" w:cs="Times New Roman"/>
                <w:sz w:val="20"/>
                <w:szCs w:val="20"/>
              </w:rPr>
              <w:footnoteReference w:id="18"/>
            </w:r>
          </w:p>
        </w:tc>
        <w:tc>
          <w:tcPr>
            <w:tcW w:w="677" w:type="pct"/>
            <w:tcBorders>
              <w:top w:val="single" w:sz="4" w:space="0" w:color="auto"/>
            </w:tcBorders>
          </w:tcPr>
          <w:p w14:paraId="70D609CD" w14:textId="3373054E"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Bear</w:t>
            </w:r>
            <w:r w:rsidR="00623BB3" w:rsidRPr="003B6C5B">
              <w:rPr>
                <w:rFonts w:ascii="Times New Roman" w:hAnsi="Times New Roman" w:cs="Times New Roman"/>
                <w:sz w:val="18"/>
                <w:szCs w:val="18"/>
              </w:rPr>
              <w:t xml:space="preserve">ish </w:t>
            </w:r>
            <w:r w:rsidRPr="003B6C5B">
              <w:rPr>
                <w:rFonts w:ascii="Times New Roman" w:hAnsi="Times New Roman" w:cs="Times New Roman"/>
                <w:sz w:val="18"/>
                <w:szCs w:val="18"/>
              </w:rPr>
              <w:t>market</w:t>
            </w:r>
          </w:p>
        </w:tc>
      </w:tr>
      <w:tr w:rsidR="0036076C" w:rsidRPr="003B6C5B" w14:paraId="717DADF2" w14:textId="5E42FB3D" w:rsidTr="003B6C5B">
        <w:tc>
          <w:tcPr>
            <w:tcW w:w="371" w:type="pct"/>
            <w:tcBorders>
              <w:bottom w:val="single" w:sz="12" w:space="0" w:color="auto"/>
            </w:tcBorders>
          </w:tcPr>
          <w:p w14:paraId="4933FF2F" w14:textId="2B72BA35" w:rsidR="0036076C" w:rsidRPr="003B6C5B" w:rsidRDefault="0036076C" w:rsidP="003B6C5B">
            <w:pPr>
              <w:pStyle w:val="NormalWeb"/>
              <w:spacing w:before="0" w:beforeAutospacing="0" w:after="0" w:afterAutospacing="0"/>
              <w:jc w:val="both"/>
              <w:rPr>
                <w:rFonts w:ascii="Times New Roman" w:hAnsi="Times New Roman" w:cs="Times New Roman"/>
                <w:b/>
                <w:bCs/>
                <w:sz w:val="18"/>
                <w:szCs w:val="18"/>
              </w:rPr>
            </w:pPr>
            <w:r w:rsidRPr="003B6C5B">
              <w:rPr>
                <w:rFonts w:ascii="Times New Roman" w:hAnsi="Times New Roman" w:cs="Times New Roman" w:hint="eastAsia"/>
                <w:b/>
                <w:bCs/>
                <w:sz w:val="18"/>
                <w:szCs w:val="18"/>
              </w:rPr>
              <w:t>2</w:t>
            </w:r>
          </w:p>
        </w:tc>
        <w:tc>
          <w:tcPr>
            <w:tcW w:w="763" w:type="pct"/>
            <w:tcBorders>
              <w:bottom w:val="single" w:sz="12" w:space="0" w:color="auto"/>
            </w:tcBorders>
          </w:tcPr>
          <w:p w14:paraId="6AD18104" w14:textId="7E29066D"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2016/9/16-2019/11/1</w:t>
            </w:r>
          </w:p>
        </w:tc>
        <w:tc>
          <w:tcPr>
            <w:tcW w:w="1782" w:type="pct"/>
            <w:tcBorders>
              <w:bottom w:val="single" w:sz="12" w:space="0" w:color="auto"/>
            </w:tcBorders>
          </w:tcPr>
          <w:p w14:paraId="024F7995" w14:textId="1BB23423"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Prices have been volatile especially for coal and gas.</w:t>
            </w:r>
          </w:p>
        </w:tc>
        <w:tc>
          <w:tcPr>
            <w:tcW w:w="1408" w:type="pct"/>
            <w:tcBorders>
              <w:bottom w:val="single" w:sz="12" w:space="0" w:color="auto"/>
            </w:tcBorders>
          </w:tcPr>
          <w:p w14:paraId="3DF7F7CF" w14:textId="18A72E23" w:rsidR="0036076C" w:rsidRPr="003B6C5B"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Price</w:t>
            </w:r>
            <w:r w:rsidR="00B64930" w:rsidRPr="003B6C5B">
              <w:rPr>
                <w:rFonts w:ascii="Times New Roman" w:hAnsi="Times New Roman" w:cs="Times New Roman"/>
                <w:sz w:val="18"/>
                <w:szCs w:val="18"/>
              </w:rPr>
              <w:t>s</w:t>
            </w:r>
            <w:r w:rsidRPr="003B6C5B">
              <w:rPr>
                <w:rFonts w:ascii="Times New Roman" w:hAnsi="Times New Roman" w:cs="Times New Roman"/>
                <w:sz w:val="18"/>
                <w:szCs w:val="18"/>
              </w:rPr>
              <w:t xml:space="preserve"> ha</w:t>
            </w:r>
            <w:r w:rsidR="00B64930" w:rsidRPr="003B6C5B">
              <w:rPr>
                <w:rFonts w:ascii="Times New Roman" w:hAnsi="Times New Roman" w:cs="Times New Roman"/>
                <w:sz w:val="18"/>
                <w:szCs w:val="18"/>
              </w:rPr>
              <w:t>ve</w:t>
            </w:r>
            <w:r w:rsidRPr="003B6C5B">
              <w:rPr>
                <w:rFonts w:ascii="Times New Roman" w:hAnsi="Times New Roman" w:cs="Times New Roman"/>
                <w:sz w:val="18"/>
                <w:szCs w:val="18"/>
              </w:rPr>
              <w:t xml:space="preserve"> risen rapidly as a result of the carbon market reform</w:t>
            </w:r>
            <w:r w:rsidR="00B64930" w:rsidRPr="003B6C5B">
              <w:rPr>
                <w:rFonts w:ascii="Times New Roman" w:hAnsi="Times New Roman" w:cs="Times New Roman"/>
                <w:sz w:val="18"/>
                <w:szCs w:val="18"/>
              </w:rPr>
              <w:t>s</w:t>
            </w:r>
            <w:r w:rsidRPr="003B6C5B">
              <w:rPr>
                <w:rFonts w:ascii="Times New Roman" w:hAnsi="Times New Roman" w:cs="Times New Roman"/>
                <w:sz w:val="18"/>
                <w:szCs w:val="18"/>
              </w:rPr>
              <w:t>.</w:t>
            </w:r>
          </w:p>
        </w:tc>
        <w:tc>
          <w:tcPr>
            <w:tcW w:w="677" w:type="pct"/>
            <w:tcBorders>
              <w:bottom w:val="single" w:sz="12" w:space="0" w:color="auto"/>
            </w:tcBorders>
          </w:tcPr>
          <w:p w14:paraId="4AAD3BD6" w14:textId="60A1A5CB" w:rsidR="0036076C" w:rsidRPr="003B6C5B" w:rsidDel="0036076C" w:rsidRDefault="0036076C" w:rsidP="003B6C5B">
            <w:pPr>
              <w:pStyle w:val="NormalWeb"/>
              <w:spacing w:before="0" w:beforeAutospacing="0" w:after="0" w:afterAutospacing="0"/>
              <w:jc w:val="both"/>
              <w:rPr>
                <w:rFonts w:ascii="Times New Roman" w:hAnsi="Times New Roman" w:cs="Times New Roman"/>
                <w:sz w:val="18"/>
                <w:szCs w:val="18"/>
              </w:rPr>
            </w:pPr>
            <w:r w:rsidRPr="003B6C5B">
              <w:rPr>
                <w:rFonts w:ascii="Times New Roman" w:hAnsi="Times New Roman" w:cs="Times New Roman"/>
                <w:sz w:val="18"/>
                <w:szCs w:val="18"/>
              </w:rPr>
              <w:t>Bull</w:t>
            </w:r>
            <w:r w:rsidR="00623BB3" w:rsidRPr="003B6C5B">
              <w:rPr>
                <w:rFonts w:ascii="Times New Roman" w:hAnsi="Times New Roman" w:cs="Times New Roman"/>
                <w:sz w:val="18"/>
                <w:szCs w:val="18"/>
              </w:rPr>
              <w:t>ish</w:t>
            </w:r>
            <w:r w:rsidRPr="003B6C5B">
              <w:rPr>
                <w:rFonts w:ascii="Times New Roman" w:hAnsi="Times New Roman" w:cs="Times New Roman"/>
                <w:sz w:val="18"/>
                <w:szCs w:val="18"/>
              </w:rPr>
              <w:t xml:space="preserve"> market</w:t>
            </w:r>
          </w:p>
        </w:tc>
      </w:tr>
      <w:bookmarkEnd w:id="9"/>
    </w:tbl>
    <w:p w14:paraId="423B05A6" w14:textId="77777777" w:rsidR="00077C01" w:rsidRPr="003B6C5B" w:rsidRDefault="00077C01" w:rsidP="006724D6">
      <w:pPr>
        <w:pStyle w:val="NormalWeb"/>
        <w:spacing w:before="0" w:beforeAutospacing="0" w:after="0" w:afterAutospacing="0" w:line="480" w:lineRule="auto"/>
        <w:jc w:val="both"/>
        <w:rPr>
          <w:rFonts w:ascii="Times New Roman" w:hAnsi="Times New Roman" w:cs="Times New Roman"/>
        </w:rPr>
      </w:pPr>
    </w:p>
    <w:p w14:paraId="474430BC" w14:textId="6886EC79" w:rsidR="00A2313E" w:rsidRPr="003B6C5B" w:rsidRDefault="00CD08D7" w:rsidP="006724D6">
      <w:pPr>
        <w:pStyle w:val="Heading2"/>
        <w:spacing w:line="480" w:lineRule="auto"/>
        <w:jc w:val="both"/>
      </w:pPr>
      <w:r w:rsidRPr="003B6C5B">
        <w:lastRenderedPageBreak/>
        <w:t>5</w:t>
      </w:r>
      <w:r w:rsidR="00A2313E" w:rsidRPr="003B6C5B">
        <w:t xml:space="preserve">.2. </w:t>
      </w:r>
      <w:r w:rsidR="00E47599" w:rsidRPr="003B6C5B">
        <w:t>Short-run</w:t>
      </w:r>
      <w:r w:rsidR="00A2313E" w:rsidRPr="003B6C5B">
        <w:t xml:space="preserve"> </w:t>
      </w:r>
      <w:bookmarkEnd w:id="8"/>
      <w:r w:rsidR="00A10872" w:rsidRPr="003B6C5B">
        <w:t>spillovers</w:t>
      </w:r>
      <w:r w:rsidR="00B64930" w:rsidRPr="003B6C5B">
        <w:t xml:space="preserve"> of </w:t>
      </w:r>
      <w:r w:rsidR="00A2313E" w:rsidRPr="003B6C5B">
        <w:t xml:space="preserve">higher-order moments </w:t>
      </w:r>
    </w:p>
    <w:p w14:paraId="445FD6CA" w14:textId="23C35890" w:rsidR="0073314B" w:rsidRPr="003B6C5B" w:rsidRDefault="00655868" w:rsidP="007C7AE7">
      <w:pPr>
        <w:pStyle w:val="NormalWeb"/>
        <w:spacing w:before="0" w:beforeAutospacing="0" w:after="0" w:afterAutospacing="0" w:line="480" w:lineRule="auto"/>
        <w:ind w:firstLineChars="177" w:firstLine="425"/>
        <w:jc w:val="both"/>
        <w:rPr>
          <w:rFonts w:ascii="Times New Roman" w:hAnsi="Times New Roman" w:cs="Times New Roman"/>
        </w:rPr>
      </w:pPr>
      <w:r w:rsidRPr="003B6C5B">
        <w:rPr>
          <w:rFonts w:ascii="Times New Roman" w:hAnsi="Times New Roman" w:cs="Times New Roman"/>
        </w:rPr>
        <w:t xml:space="preserve">In this </w:t>
      </w:r>
      <w:r w:rsidR="0066695F" w:rsidRPr="003B6C5B">
        <w:rPr>
          <w:rFonts w:ascii="Times New Roman" w:hAnsi="Times New Roman" w:cs="Times New Roman"/>
        </w:rPr>
        <w:t>sub-</w:t>
      </w:r>
      <w:r w:rsidRPr="003B6C5B">
        <w:rPr>
          <w:rFonts w:ascii="Times New Roman" w:hAnsi="Times New Roman" w:cs="Times New Roman"/>
        </w:rPr>
        <w:t xml:space="preserve">section, we </w:t>
      </w:r>
      <w:r w:rsidR="0066695F" w:rsidRPr="003B6C5B">
        <w:rPr>
          <w:rFonts w:ascii="Times New Roman" w:hAnsi="Times New Roman" w:cs="Times New Roman"/>
        </w:rPr>
        <w:t xml:space="preserve">examine </w:t>
      </w:r>
      <w:r w:rsidR="00297C0C">
        <w:rPr>
          <w:rFonts w:ascii="Times New Roman" w:hAnsi="Times New Roman" w:cs="Times New Roman"/>
        </w:rPr>
        <w:t xml:space="preserve">the spillover of </w:t>
      </w:r>
      <w:r w:rsidR="0074501C" w:rsidRPr="003B6C5B">
        <w:rPr>
          <w:rFonts w:ascii="Times New Roman" w:hAnsi="Times New Roman" w:cs="Times New Roman"/>
        </w:rPr>
        <w:t>higher-order moments between</w:t>
      </w:r>
      <w:r w:rsidRPr="003B6C5B">
        <w:rPr>
          <w:rFonts w:ascii="Times New Roman" w:hAnsi="Times New Roman" w:cs="Times New Roman"/>
        </w:rPr>
        <w:t xml:space="preserve"> </w:t>
      </w:r>
      <w:r w:rsidR="00BA0A3A" w:rsidRPr="003B6C5B">
        <w:rPr>
          <w:rFonts w:ascii="Times New Roman" w:hAnsi="Times New Roman" w:cs="Times New Roman"/>
        </w:rPr>
        <w:t xml:space="preserve">the </w:t>
      </w:r>
      <w:r w:rsidRPr="003B6C5B">
        <w:rPr>
          <w:rFonts w:ascii="Times New Roman" w:hAnsi="Times New Roman" w:cs="Times New Roman"/>
        </w:rPr>
        <w:t>carbon and energy</w:t>
      </w:r>
      <w:r w:rsidR="0074501C" w:rsidRPr="003B6C5B">
        <w:rPr>
          <w:rFonts w:ascii="Times New Roman" w:hAnsi="Times New Roman" w:cs="Times New Roman"/>
        </w:rPr>
        <w:t xml:space="preserve"> </w:t>
      </w:r>
      <w:r w:rsidR="00BA0A3A" w:rsidRPr="003B6C5B">
        <w:rPr>
          <w:rFonts w:ascii="Times New Roman" w:hAnsi="Times New Roman" w:cs="Times New Roman"/>
        </w:rPr>
        <w:t>markets</w:t>
      </w:r>
      <w:r w:rsidR="0066695F" w:rsidRPr="003B6C5B">
        <w:rPr>
          <w:rFonts w:ascii="Times New Roman" w:hAnsi="Times New Roman" w:cs="Times New Roman"/>
        </w:rPr>
        <w:t xml:space="preserve"> at short-</w:t>
      </w:r>
      <w:proofErr w:type="gramStart"/>
      <w:r w:rsidR="0066695F" w:rsidRPr="003B6C5B">
        <w:rPr>
          <w:rFonts w:ascii="Times New Roman" w:hAnsi="Times New Roman" w:cs="Times New Roman"/>
        </w:rPr>
        <w:t>run(</w:t>
      </w:r>
      <w:proofErr w:type="gramEnd"/>
      <w:r w:rsidR="005B78D1" w:rsidRPr="003B6C5B">
        <w:rPr>
          <w:rFonts w:ascii="Times New Roman" w:hAnsi="Times New Roman" w:cs="Times New Roman"/>
        </w:rPr>
        <w:t>below 16 trading days</w:t>
      </w:r>
      <w:r w:rsidR="0066695F" w:rsidRPr="003B6C5B">
        <w:rPr>
          <w:rFonts w:ascii="Times New Roman" w:hAnsi="Times New Roman" w:cs="Times New Roman"/>
        </w:rPr>
        <w:t>)</w:t>
      </w:r>
      <w:r w:rsidRPr="003B6C5B">
        <w:rPr>
          <w:rFonts w:ascii="Times New Roman" w:hAnsi="Times New Roman" w:cs="Times New Roman"/>
        </w:rPr>
        <w:t xml:space="preserve">. </w:t>
      </w:r>
      <w:r w:rsidR="007C7AE7" w:rsidRPr="003B6C5B">
        <w:rPr>
          <w:rFonts w:ascii="Times New Roman" w:hAnsi="Times New Roman" w:cs="Times New Roman"/>
        </w:rPr>
        <w:t>Short-run skewness reflects the impact of unexpected market sentiment, such as geopolitical conflicts, on the probability of assets price movements</w:t>
      </w:r>
      <w:r w:rsidR="004B3230">
        <w:rPr>
          <w:rFonts w:ascii="Times New Roman" w:hAnsi="Times New Roman" w:cs="Times New Roman"/>
        </w:rPr>
        <w:t>.</w:t>
      </w:r>
      <w:r w:rsidR="004B3230" w:rsidRPr="003B6C5B">
        <w:rPr>
          <w:rFonts w:ascii="Times New Roman" w:hAnsi="Times New Roman" w:cs="Times New Roman"/>
        </w:rPr>
        <w:t xml:space="preserve"> </w:t>
      </w:r>
      <w:r w:rsidR="003A3CD0" w:rsidRPr="003B6C5B">
        <w:rPr>
          <w:rFonts w:ascii="Times New Roman" w:hAnsi="Times New Roman" w:cs="Times New Roman"/>
        </w:rPr>
        <w:t>In Stage 1, a</w:t>
      </w:r>
      <w:r w:rsidR="0066695F" w:rsidRPr="003B6C5B">
        <w:rPr>
          <w:rFonts w:ascii="Times New Roman" w:hAnsi="Times New Roman" w:cs="Times New Roman"/>
        </w:rPr>
        <w:t xml:space="preserve">s it shown in left panel of Figure </w:t>
      </w:r>
      <w:r w:rsidR="00FE0A0C">
        <w:rPr>
          <w:rFonts w:ascii="Times New Roman" w:hAnsi="Times New Roman" w:cs="Times New Roman"/>
        </w:rPr>
        <w:t>2</w:t>
      </w:r>
      <w:r w:rsidR="0066695F" w:rsidRPr="003B6C5B">
        <w:rPr>
          <w:rFonts w:ascii="Times New Roman" w:hAnsi="Times New Roman" w:cs="Times New Roman"/>
        </w:rPr>
        <w:t>,</w:t>
      </w:r>
      <w:r w:rsidR="00782BC1" w:rsidRPr="003B6C5B">
        <w:rPr>
          <w:rFonts w:ascii="Times New Roman" w:hAnsi="Times New Roman" w:cs="Times New Roman"/>
        </w:rPr>
        <w:t xml:space="preserve"> </w:t>
      </w:r>
      <w:r w:rsidR="0074501C" w:rsidRPr="003B6C5B">
        <w:rPr>
          <w:rFonts w:ascii="Times New Roman" w:hAnsi="Times New Roman" w:cs="Times New Roman"/>
        </w:rPr>
        <w:t xml:space="preserve">there </w:t>
      </w:r>
      <w:r w:rsidR="00CE557D" w:rsidRPr="003B6C5B">
        <w:rPr>
          <w:rFonts w:ascii="Times New Roman" w:hAnsi="Times New Roman" w:cs="Times New Roman"/>
        </w:rPr>
        <w:t>exist</w:t>
      </w:r>
      <w:r w:rsidR="007B7BE5">
        <w:rPr>
          <w:rFonts w:ascii="Times New Roman" w:hAnsi="Times New Roman" w:cs="Times New Roman"/>
        </w:rPr>
        <w:t>s</w:t>
      </w:r>
      <w:r w:rsidR="00CE557D" w:rsidRPr="003B6C5B">
        <w:rPr>
          <w:rFonts w:ascii="Times New Roman" w:hAnsi="Times New Roman" w:cs="Times New Roman"/>
        </w:rPr>
        <w:t xml:space="preserve"> </w:t>
      </w:r>
      <w:r w:rsidR="0074501C" w:rsidRPr="003B6C5B">
        <w:rPr>
          <w:rFonts w:ascii="Times New Roman" w:hAnsi="Times New Roman" w:cs="Times New Roman"/>
        </w:rPr>
        <w:t xml:space="preserve">a </w:t>
      </w:r>
      <w:r w:rsidR="00043FA4" w:rsidRPr="003B6C5B">
        <w:rPr>
          <w:rFonts w:ascii="Times New Roman" w:hAnsi="Times New Roman" w:cs="Times New Roman" w:hint="eastAsia"/>
        </w:rPr>
        <w:t>weak</w:t>
      </w:r>
      <w:r w:rsidR="0074501C" w:rsidRPr="003B6C5B">
        <w:rPr>
          <w:rFonts w:ascii="Times New Roman" w:hAnsi="Times New Roman" w:cs="Times New Roman"/>
        </w:rPr>
        <w:t xml:space="preserve"> skewness </w:t>
      </w:r>
      <w:r w:rsidR="00623BB3" w:rsidRPr="003B6C5B">
        <w:rPr>
          <w:rFonts w:ascii="Times New Roman" w:hAnsi="Times New Roman" w:cs="Times New Roman"/>
        </w:rPr>
        <w:t xml:space="preserve">and co-skewness </w:t>
      </w:r>
      <w:r w:rsidR="0074501C" w:rsidRPr="003B6C5B">
        <w:rPr>
          <w:rFonts w:ascii="Times New Roman" w:hAnsi="Times New Roman" w:cs="Times New Roman"/>
        </w:rPr>
        <w:t>spillover</w:t>
      </w:r>
      <w:r w:rsidR="00623BB3" w:rsidRPr="003B6C5B">
        <w:rPr>
          <w:rFonts w:ascii="Times New Roman" w:hAnsi="Times New Roman" w:cs="Times New Roman"/>
        </w:rPr>
        <w:t>s</w:t>
      </w:r>
      <w:r w:rsidR="0074501C" w:rsidRPr="003B6C5B">
        <w:rPr>
          <w:rFonts w:ascii="Times New Roman" w:hAnsi="Times New Roman" w:cs="Times New Roman"/>
        </w:rPr>
        <w:t xml:space="preserve"> </w:t>
      </w:r>
      <w:r w:rsidR="00623BB3" w:rsidRPr="003B6C5B">
        <w:rPr>
          <w:rFonts w:ascii="Times New Roman" w:hAnsi="Times New Roman" w:cs="Times New Roman"/>
        </w:rPr>
        <w:t xml:space="preserve">between the </w:t>
      </w:r>
      <w:r w:rsidR="0074501C" w:rsidRPr="003B6C5B">
        <w:rPr>
          <w:rFonts w:ascii="Times New Roman" w:hAnsi="Times New Roman" w:cs="Times New Roman"/>
        </w:rPr>
        <w:t>carbo</w:t>
      </w:r>
      <w:r w:rsidR="00043FA4" w:rsidRPr="003B6C5B">
        <w:rPr>
          <w:rFonts w:ascii="Times New Roman" w:hAnsi="Times New Roman" w:cs="Times New Roman" w:hint="eastAsia"/>
        </w:rPr>
        <w:t>n</w:t>
      </w:r>
      <w:r w:rsidR="00623BB3" w:rsidRPr="003B6C5B">
        <w:rPr>
          <w:rFonts w:ascii="Times New Roman" w:hAnsi="Times New Roman" w:cs="Times New Roman"/>
        </w:rPr>
        <w:t xml:space="preserve"> and </w:t>
      </w:r>
      <w:r w:rsidR="0074501C" w:rsidRPr="003B6C5B">
        <w:rPr>
          <w:rFonts w:ascii="Times New Roman" w:hAnsi="Times New Roman" w:cs="Times New Roman"/>
        </w:rPr>
        <w:t>energy market</w:t>
      </w:r>
      <w:r w:rsidR="00623BB3" w:rsidRPr="003B6C5B">
        <w:rPr>
          <w:rFonts w:ascii="Times New Roman" w:hAnsi="Times New Roman" w:cs="Times New Roman"/>
        </w:rPr>
        <w:t>s</w:t>
      </w:r>
      <w:r w:rsidR="00AC454A">
        <w:rPr>
          <w:rFonts w:ascii="Times New Roman" w:hAnsi="Times New Roman" w:cs="Times New Roman"/>
        </w:rPr>
        <w:t>,</w:t>
      </w:r>
      <w:r w:rsidR="0074501C" w:rsidRPr="003B6C5B">
        <w:rPr>
          <w:rFonts w:ascii="Times New Roman" w:hAnsi="Times New Roman" w:cs="Times New Roman"/>
        </w:rPr>
        <w:t xml:space="preserve"> </w:t>
      </w:r>
      <w:r w:rsidR="00BE58E2" w:rsidRPr="003B6C5B">
        <w:rPr>
          <w:rFonts w:ascii="Times New Roman" w:hAnsi="Times New Roman" w:cs="Times New Roman"/>
        </w:rPr>
        <w:t xml:space="preserve">the biggest </w:t>
      </w:r>
      <w:r w:rsidR="00AC454A">
        <w:rPr>
          <w:rFonts w:ascii="Times New Roman" w:hAnsi="Times New Roman" w:cs="Times New Roman"/>
        </w:rPr>
        <w:t xml:space="preserve">of these </w:t>
      </w:r>
      <w:r w:rsidR="00BE58E2" w:rsidRPr="003B6C5B">
        <w:rPr>
          <w:rFonts w:ascii="Times New Roman" w:hAnsi="Times New Roman" w:cs="Times New Roman"/>
        </w:rPr>
        <w:t>spillover</w:t>
      </w:r>
      <w:r w:rsidR="00AC454A">
        <w:rPr>
          <w:rFonts w:ascii="Times New Roman" w:hAnsi="Times New Roman" w:cs="Times New Roman"/>
        </w:rPr>
        <w:t>s</w:t>
      </w:r>
      <w:r w:rsidR="00BE58E2" w:rsidRPr="003B6C5B">
        <w:rPr>
          <w:rFonts w:ascii="Times New Roman" w:hAnsi="Times New Roman" w:cs="Times New Roman"/>
        </w:rPr>
        <w:t xml:space="preserve"> </w:t>
      </w:r>
      <w:r w:rsidR="00AC454A">
        <w:rPr>
          <w:rFonts w:ascii="Times New Roman" w:hAnsi="Times New Roman" w:cs="Times New Roman"/>
        </w:rPr>
        <w:t>is</w:t>
      </w:r>
      <w:r w:rsidR="00BE58E2" w:rsidRPr="003B6C5B">
        <w:rPr>
          <w:rFonts w:ascii="Times New Roman" w:hAnsi="Times New Roman" w:cs="Times New Roman"/>
        </w:rPr>
        <w:t xml:space="preserve"> 1.7%</w:t>
      </w:r>
      <w:r w:rsidR="00127B02">
        <w:rPr>
          <w:rFonts w:ascii="Times New Roman" w:hAnsi="Times New Roman" w:cs="Times New Roman"/>
        </w:rPr>
        <w:t xml:space="preserve"> </w:t>
      </w:r>
      <w:r w:rsidR="00127B02" w:rsidRPr="00613002">
        <w:rPr>
          <w:rFonts w:ascii="Times New Roman" w:hAnsi="Times New Roman" w:cs="Times New Roman"/>
        </w:rPr>
        <w:t>from S12</w:t>
      </w:r>
      <w:r w:rsidR="00AC454A" w:rsidRPr="00613002">
        <w:rPr>
          <w:rFonts w:ascii="Times New Roman" w:hAnsi="Times New Roman" w:cs="Times New Roman"/>
        </w:rPr>
        <w:t>4</w:t>
      </w:r>
      <w:r w:rsidR="00127B02" w:rsidRPr="00613002">
        <w:rPr>
          <w:rFonts w:ascii="Times New Roman" w:hAnsi="Times New Roman" w:cs="Times New Roman"/>
        </w:rPr>
        <w:t xml:space="preserve"> to S222</w:t>
      </w:r>
      <w:r w:rsidR="00CD5F73" w:rsidRPr="00534305">
        <w:rPr>
          <w:rFonts w:ascii="Times New Roman" w:hAnsi="Times New Roman" w:cs="Times New Roman"/>
        </w:rPr>
        <w:t xml:space="preserve">. </w:t>
      </w:r>
      <w:r w:rsidR="00F41AD2" w:rsidRPr="00534305">
        <w:rPr>
          <w:rFonts w:ascii="Times New Roman" w:hAnsi="Times New Roman" w:cs="Times New Roman"/>
        </w:rPr>
        <w:t>This</w:t>
      </w:r>
      <w:r w:rsidR="00F41AD2">
        <w:rPr>
          <w:rFonts w:ascii="Times New Roman" w:hAnsi="Times New Roman" w:cs="Times New Roman"/>
        </w:rPr>
        <w:t xml:space="preserve"> implies that </w:t>
      </w:r>
      <w:r w:rsidR="00F41AD2" w:rsidRPr="00F41AD2">
        <w:rPr>
          <w:rFonts w:ascii="Times New Roman" w:hAnsi="Times New Roman" w:cs="Times New Roman"/>
        </w:rPr>
        <w:t xml:space="preserve">the co-skewness of carbon, </w:t>
      </w:r>
      <w:r w:rsidR="00F41AD2" w:rsidRPr="00534305">
        <w:rPr>
          <w:rFonts w:ascii="Times New Roman" w:hAnsi="Times New Roman" w:cs="Times New Roman"/>
        </w:rPr>
        <w:t xml:space="preserve">coal and natural gas transmit 1.7% to the skewness </w:t>
      </w:r>
      <w:r w:rsidR="00AC454A" w:rsidRPr="00534305">
        <w:rPr>
          <w:rFonts w:ascii="Times New Roman" w:hAnsi="Times New Roman" w:cs="Times New Roman"/>
        </w:rPr>
        <w:t xml:space="preserve">variation </w:t>
      </w:r>
      <w:r w:rsidR="00F41AD2" w:rsidRPr="00534305">
        <w:rPr>
          <w:rFonts w:ascii="Times New Roman" w:hAnsi="Times New Roman" w:cs="Times New Roman"/>
        </w:rPr>
        <w:t xml:space="preserve">of </w:t>
      </w:r>
      <w:r w:rsidR="00AC454A" w:rsidRPr="00534305">
        <w:rPr>
          <w:rFonts w:ascii="Times New Roman" w:hAnsi="Times New Roman" w:cs="Times New Roman"/>
        </w:rPr>
        <w:t>coal market</w:t>
      </w:r>
      <w:r w:rsidR="00F41AD2" w:rsidRPr="00534305">
        <w:rPr>
          <w:rFonts w:ascii="Times New Roman" w:hAnsi="Times New Roman" w:cs="Times New Roman"/>
        </w:rPr>
        <w:t xml:space="preserve">. </w:t>
      </w:r>
      <w:r w:rsidR="00C56A2A" w:rsidRPr="00042485">
        <w:rPr>
          <w:rFonts w:ascii="Times New Roman" w:hAnsi="Times New Roman" w:cs="Times New Roman"/>
        </w:rPr>
        <w:t>T</w:t>
      </w:r>
      <w:r w:rsidR="008D0160" w:rsidRPr="00042485">
        <w:rPr>
          <w:rFonts w:ascii="Times New Roman" w:hAnsi="Times New Roman" w:cs="Times New Roman"/>
        </w:rPr>
        <w:t xml:space="preserve">he </w:t>
      </w:r>
      <w:r w:rsidR="00B5071F" w:rsidRPr="00042485">
        <w:rPr>
          <w:rFonts w:ascii="Times New Roman" w:hAnsi="Times New Roman" w:cs="Times New Roman"/>
        </w:rPr>
        <w:t xml:space="preserve">thickness </w:t>
      </w:r>
      <w:r w:rsidR="008D0160" w:rsidRPr="00042485">
        <w:rPr>
          <w:rFonts w:ascii="Times New Roman" w:hAnsi="Times New Roman" w:cs="Times New Roman"/>
        </w:rPr>
        <w:t>of the edges</w:t>
      </w:r>
      <w:r w:rsidR="00C56A2A" w:rsidRPr="00042485">
        <w:rPr>
          <w:rFonts w:ascii="Times New Roman" w:hAnsi="Times New Roman" w:cs="Times New Roman"/>
        </w:rPr>
        <w:t xml:space="preserve"> shows that</w:t>
      </w:r>
      <w:r w:rsidR="008D0160" w:rsidRPr="00042485">
        <w:rPr>
          <w:rFonts w:ascii="Times New Roman" w:hAnsi="Times New Roman" w:cs="Times New Roman"/>
        </w:rPr>
        <w:t xml:space="preserve"> that </w:t>
      </w:r>
      <w:r w:rsidR="0013585F" w:rsidRPr="00042485">
        <w:rPr>
          <w:rFonts w:ascii="Times New Roman" w:hAnsi="Times New Roman" w:cs="Times New Roman"/>
        </w:rPr>
        <w:t>the</w:t>
      </w:r>
      <w:r w:rsidR="00AF0950" w:rsidRPr="00042485">
        <w:rPr>
          <w:rFonts w:ascii="Times New Roman" w:hAnsi="Times New Roman" w:cs="Times New Roman"/>
        </w:rPr>
        <w:t xml:space="preserve"> </w:t>
      </w:r>
      <w:r w:rsidR="00637E6F" w:rsidRPr="00042485">
        <w:rPr>
          <w:rFonts w:ascii="Times New Roman" w:hAnsi="Times New Roman" w:cs="Times New Roman"/>
        </w:rPr>
        <w:t xml:space="preserve">short-run skewness spillover from </w:t>
      </w:r>
      <w:r w:rsidR="0013585F" w:rsidRPr="00042485">
        <w:rPr>
          <w:rFonts w:ascii="Times New Roman" w:hAnsi="Times New Roman" w:cs="Times New Roman"/>
        </w:rPr>
        <w:t xml:space="preserve">energy </w:t>
      </w:r>
      <w:r w:rsidR="00637E6F" w:rsidRPr="00042485">
        <w:rPr>
          <w:rFonts w:ascii="Times New Roman" w:hAnsi="Times New Roman" w:cs="Times New Roman"/>
        </w:rPr>
        <w:t xml:space="preserve">market to the carbon market </w:t>
      </w:r>
      <w:r w:rsidR="0013585F" w:rsidRPr="00042485">
        <w:rPr>
          <w:rFonts w:ascii="Times New Roman" w:hAnsi="Times New Roman" w:cs="Times New Roman"/>
        </w:rPr>
        <w:t xml:space="preserve">is not significant </w:t>
      </w:r>
      <w:r w:rsidR="00637E6F" w:rsidRPr="00042485">
        <w:rPr>
          <w:rFonts w:ascii="Times New Roman" w:hAnsi="Times New Roman" w:cs="Times New Roman"/>
        </w:rPr>
        <w:t xml:space="preserve">in </w:t>
      </w:r>
      <w:r w:rsidR="00C56A2A" w:rsidRPr="00042485">
        <w:rPr>
          <w:rFonts w:ascii="Times New Roman" w:hAnsi="Times New Roman" w:cs="Times New Roman"/>
        </w:rPr>
        <w:t>S</w:t>
      </w:r>
      <w:r w:rsidR="00637E6F" w:rsidRPr="00042485">
        <w:rPr>
          <w:rFonts w:ascii="Times New Roman" w:hAnsi="Times New Roman" w:cs="Times New Roman"/>
        </w:rPr>
        <w:t>tage 1.</w:t>
      </w:r>
      <w:r w:rsidR="00043FA4" w:rsidRPr="00A15868">
        <w:rPr>
          <w:rFonts w:ascii="Times New Roman" w:hAnsi="Times New Roman" w:cs="Times New Roman"/>
        </w:rPr>
        <w:t xml:space="preserve"> </w:t>
      </w:r>
      <w:r w:rsidR="00AF0950" w:rsidRPr="00A15868">
        <w:rPr>
          <w:rFonts w:ascii="Times New Roman" w:hAnsi="Times New Roman" w:cs="Times New Roman"/>
        </w:rPr>
        <w:t>T</w:t>
      </w:r>
      <w:r w:rsidR="000E0C53" w:rsidRPr="00705D41">
        <w:rPr>
          <w:rFonts w:ascii="Times New Roman" w:hAnsi="Times New Roman" w:cs="Times New Roman"/>
        </w:rPr>
        <w:t>he short-term skewness spillover</w:t>
      </w:r>
      <w:r w:rsidR="00AF0950" w:rsidRPr="00042485">
        <w:rPr>
          <w:rFonts w:ascii="Times New Roman" w:hAnsi="Times New Roman" w:cs="Times New Roman"/>
        </w:rPr>
        <w:t>s</w:t>
      </w:r>
      <w:r w:rsidR="000E0C53" w:rsidRPr="003B6C5B">
        <w:rPr>
          <w:rFonts w:ascii="Times New Roman" w:hAnsi="Times New Roman" w:cs="Times New Roman"/>
        </w:rPr>
        <w:t xml:space="preserve"> from the carbon market to the crude oil and natural gas markets </w:t>
      </w:r>
      <w:r w:rsidR="00AF0950">
        <w:rPr>
          <w:rFonts w:ascii="Times New Roman" w:hAnsi="Times New Roman" w:cs="Times New Roman"/>
        </w:rPr>
        <w:t>are</w:t>
      </w:r>
      <w:r w:rsidR="00AF0950" w:rsidRPr="003B6C5B">
        <w:rPr>
          <w:rFonts w:ascii="Times New Roman" w:hAnsi="Times New Roman" w:cs="Times New Roman"/>
        </w:rPr>
        <w:t xml:space="preserve"> </w:t>
      </w:r>
      <w:r w:rsidR="000E0C53" w:rsidRPr="003B6C5B">
        <w:rPr>
          <w:rFonts w:ascii="Times New Roman" w:hAnsi="Times New Roman" w:cs="Times New Roman"/>
        </w:rPr>
        <w:t xml:space="preserve">weak. </w:t>
      </w:r>
      <w:r w:rsidR="00641644">
        <w:rPr>
          <w:rFonts w:ascii="Times New Roman" w:hAnsi="Times New Roman" w:cs="Times New Roman"/>
        </w:rPr>
        <w:t xml:space="preserve">As discussed in the sub-section 5.1, the carbon and </w:t>
      </w:r>
      <w:r w:rsidR="005A51F3">
        <w:rPr>
          <w:rFonts w:ascii="Times New Roman" w:hAnsi="Times New Roman" w:cs="Times New Roman"/>
        </w:rPr>
        <w:t>energy</w:t>
      </w:r>
      <w:r w:rsidR="00641644">
        <w:rPr>
          <w:rFonts w:ascii="Times New Roman" w:hAnsi="Times New Roman" w:cs="Times New Roman"/>
        </w:rPr>
        <w:t xml:space="preserve"> markets were in a bearish market condition in Stage 1. Hence the weak </w:t>
      </w:r>
      <w:r w:rsidR="007C7AE7" w:rsidRPr="003B6C5B">
        <w:rPr>
          <w:rFonts w:ascii="Times New Roman" w:hAnsi="Times New Roman" w:cs="Times New Roman"/>
        </w:rPr>
        <w:t>skewness and co-skewness spillovers</w:t>
      </w:r>
      <w:r w:rsidR="00E2335A">
        <w:rPr>
          <w:rFonts w:ascii="Times New Roman" w:hAnsi="Times New Roman" w:cs="Times New Roman"/>
        </w:rPr>
        <w:t xml:space="preserve"> </w:t>
      </w:r>
      <w:r w:rsidR="00641644">
        <w:rPr>
          <w:rFonts w:ascii="Times New Roman" w:hAnsi="Times New Roman" w:cs="Times New Roman"/>
        </w:rPr>
        <w:t>implies</w:t>
      </w:r>
      <w:r w:rsidR="00641644" w:rsidRPr="003B6C5B">
        <w:rPr>
          <w:rFonts w:ascii="Times New Roman" w:hAnsi="Times New Roman" w:cs="Times New Roman"/>
        </w:rPr>
        <w:t xml:space="preserve"> </w:t>
      </w:r>
      <w:r w:rsidR="007C7AE7" w:rsidRPr="003B6C5B">
        <w:rPr>
          <w:rFonts w:ascii="Times New Roman" w:hAnsi="Times New Roman" w:cs="Times New Roman"/>
        </w:rPr>
        <w:t xml:space="preserve">that the </w:t>
      </w:r>
      <w:r w:rsidR="00641644">
        <w:rPr>
          <w:rFonts w:ascii="Times New Roman" w:hAnsi="Times New Roman" w:cs="Times New Roman"/>
        </w:rPr>
        <w:t>left</w:t>
      </w:r>
      <w:r w:rsidR="007C7AE7" w:rsidRPr="003B6C5B">
        <w:rPr>
          <w:rFonts w:ascii="Times New Roman" w:hAnsi="Times New Roman" w:cs="Times New Roman"/>
        </w:rPr>
        <w:t xml:space="preserve"> skewness of the energy </w:t>
      </w:r>
      <w:r w:rsidR="00641644">
        <w:rPr>
          <w:rFonts w:ascii="Times New Roman" w:hAnsi="Times New Roman" w:cs="Times New Roman"/>
        </w:rPr>
        <w:t xml:space="preserve">assets prices were </w:t>
      </w:r>
      <w:r w:rsidR="00641644" w:rsidRPr="0039605E">
        <w:rPr>
          <w:rFonts w:ascii="Times New Roman" w:hAnsi="Times New Roman" w:cs="Times New Roman"/>
        </w:rPr>
        <w:t xml:space="preserve">not </w:t>
      </w:r>
      <w:r w:rsidR="0039605E" w:rsidRPr="00613002">
        <w:rPr>
          <w:rFonts w:ascii="Times New Roman" w:hAnsi="Times New Roman" w:cs="Times New Roman"/>
        </w:rPr>
        <w:t>substantially</w:t>
      </w:r>
      <w:r w:rsidR="00677B63">
        <w:rPr>
          <w:rFonts w:ascii="Times New Roman" w:hAnsi="Times New Roman" w:cs="Times New Roman"/>
        </w:rPr>
        <w:t xml:space="preserve"> </w:t>
      </w:r>
      <w:r w:rsidR="00641644">
        <w:rPr>
          <w:rFonts w:ascii="Times New Roman" w:hAnsi="Times New Roman" w:cs="Times New Roman"/>
        </w:rPr>
        <w:t>affected by</w:t>
      </w:r>
      <w:r w:rsidR="00641644" w:rsidRPr="003B6C5B">
        <w:rPr>
          <w:rFonts w:ascii="Times New Roman" w:hAnsi="Times New Roman" w:cs="Times New Roman"/>
        </w:rPr>
        <w:t xml:space="preserve"> </w:t>
      </w:r>
      <w:r w:rsidR="00B5071F">
        <w:rPr>
          <w:rFonts w:ascii="Times New Roman" w:hAnsi="Times New Roman" w:cs="Times New Roman"/>
        </w:rPr>
        <w:t xml:space="preserve">the carbon market, and vice versa. </w:t>
      </w:r>
      <w:r w:rsidR="00E2335A">
        <w:rPr>
          <w:rFonts w:ascii="Times New Roman" w:hAnsi="Times New Roman" w:cs="Times New Roman"/>
        </w:rPr>
        <w:t xml:space="preserve"> </w:t>
      </w:r>
    </w:p>
    <w:p w14:paraId="26C0C7EA" w14:textId="77777777" w:rsidR="0074501C" w:rsidRPr="003B6C5B" w:rsidRDefault="0074501C" w:rsidP="006724D6">
      <w:pPr>
        <w:pStyle w:val="NormalWeb"/>
        <w:spacing w:before="0" w:beforeAutospacing="0" w:after="0" w:afterAutospacing="0" w:line="480" w:lineRule="auto"/>
        <w:jc w:val="both"/>
        <w:rPr>
          <w:rFonts w:ascii="Times New Roman" w:hAnsi="Times New Roman" w:cs="Times New Roman"/>
        </w:rPr>
      </w:pPr>
      <w:r w:rsidRPr="003B6C5B">
        <w:rPr>
          <w:rFonts w:ascii="Times New Roman" w:hAnsi="Times New Roman" w:cs="Times New Roman"/>
          <w:noProof/>
          <w:lang w:val="en-GB" w:eastAsia="en-GB"/>
        </w:rPr>
        <w:drawing>
          <wp:inline distT="0" distB="0" distL="0" distR="0" wp14:anchorId="6EAC9F78" wp14:editId="6F6EA76A">
            <wp:extent cx="5278120" cy="3089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8120" cy="3089910"/>
                    </a:xfrm>
                    <a:prstGeom prst="rect">
                      <a:avLst/>
                    </a:prstGeom>
                  </pic:spPr>
                </pic:pic>
              </a:graphicData>
            </a:graphic>
          </wp:inline>
        </w:drawing>
      </w:r>
    </w:p>
    <w:p w14:paraId="4CC214CE" w14:textId="757CDF78" w:rsidR="0074501C" w:rsidRPr="003B6C5B" w:rsidRDefault="0074501C" w:rsidP="006724D6">
      <w:pPr>
        <w:tabs>
          <w:tab w:val="left" w:pos="7513"/>
        </w:tabs>
        <w:spacing w:line="480" w:lineRule="auto"/>
        <w:jc w:val="both"/>
        <w:rPr>
          <w:b/>
        </w:rPr>
      </w:pPr>
      <w:r w:rsidRPr="003B6C5B">
        <w:rPr>
          <w:b/>
        </w:rPr>
        <w:t xml:space="preserve">Figure </w:t>
      </w:r>
      <w:r w:rsidR="00FE0A0C">
        <w:rPr>
          <w:b/>
        </w:rPr>
        <w:t>2</w:t>
      </w:r>
      <w:r w:rsidRPr="003B6C5B">
        <w:rPr>
          <w:b/>
        </w:rPr>
        <w:t xml:space="preserve">. </w:t>
      </w:r>
      <w:r w:rsidR="00D358DD" w:rsidRPr="003B6C5B">
        <w:rPr>
          <w:b/>
        </w:rPr>
        <w:t>Short-run</w:t>
      </w:r>
      <w:r w:rsidRPr="003B6C5B">
        <w:rPr>
          <w:b/>
        </w:rPr>
        <w:t xml:space="preserve"> skewness spillover</w:t>
      </w:r>
      <w:r w:rsidR="00D358DD" w:rsidRPr="003B6C5B">
        <w:rPr>
          <w:b/>
        </w:rPr>
        <w:t xml:space="preserve"> between </w:t>
      </w:r>
      <w:r w:rsidR="003A3CD0" w:rsidRPr="003B6C5B">
        <w:rPr>
          <w:b/>
        </w:rPr>
        <w:t xml:space="preserve">the </w:t>
      </w:r>
      <w:r w:rsidR="00D358DD" w:rsidRPr="003B6C5B">
        <w:rPr>
          <w:b/>
        </w:rPr>
        <w:t>carbon and energy markets.</w:t>
      </w:r>
    </w:p>
    <w:p w14:paraId="248C8826" w14:textId="3CA4849A" w:rsidR="005B78D1" w:rsidRPr="003B6C5B" w:rsidRDefault="005B78D1" w:rsidP="003B6C5B">
      <w:pPr>
        <w:pStyle w:val="NormalWeb"/>
        <w:spacing w:before="0" w:beforeAutospacing="0" w:after="0" w:afterAutospacing="0" w:line="360" w:lineRule="auto"/>
        <w:jc w:val="both"/>
        <w:rPr>
          <w:rFonts w:ascii="Times New Roman" w:hAnsi="Times New Roman" w:cs="Times New Roman"/>
          <w:sz w:val="16"/>
          <w:szCs w:val="16"/>
        </w:rPr>
      </w:pPr>
      <w:r w:rsidRPr="003B6C5B">
        <w:rPr>
          <w:rFonts w:ascii="Times New Roman" w:hAnsi="Times New Roman" w:cs="Times New Roman"/>
          <w:sz w:val="16"/>
          <w:szCs w:val="16"/>
        </w:rPr>
        <w:lastRenderedPageBreak/>
        <w:t xml:space="preserve">Note: This figure </w:t>
      </w:r>
      <w:r w:rsidR="00127B02">
        <w:rPr>
          <w:rFonts w:ascii="Times New Roman" w:hAnsi="Times New Roman" w:cs="Times New Roman"/>
          <w:sz w:val="16"/>
          <w:szCs w:val="16"/>
        </w:rPr>
        <w:t>present</w:t>
      </w:r>
      <w:r w:rsidR="00127B02" w:rsidRPr="003B6C5B">
        <w:rPr>
          <w:rFonts w:ascii="Times New Roman" w:hAnsi="Times New Roman" w:cs="Times New Roman"/>
          <w:sz w:val="16"/>
          <w:szCs w:val="16"/>
        </w:rPr>
        <w:t xml:space="preserve">s </w:t>
      </w:r>
      <w:r w:rsidRPr="003B6C5B">
        <w:rPr>
          <w:rFonts w:ascii="Times New Roman" w:hAnsi="Times New Roman" w:cs="Times New Roman"/>
          <w:sz w:val="16"/>
          <w:szCs w:val="16"/>
        </w:rPr>
        <w:t xml:space="preserve">the skewness spillover index. Each asset is presented by “1”, “2”, “3” and “4”, whereby “1” denotes the carbon market, “2” denotes the coal market, “3” denotes the gas market, </w:t>
      </w:r>
      <w:r w:rsidR="009734E1">
        <w:rPr>
          <w:rFonts w:ascii="Times New Roman" w:hAnsi="Times New Roman" w:cs="Times New Roman"/>
          <w:sz w:val="16"/>
          <w:szCs w:val="16"/>
        </w:rPr>
        <w:t xml:space="preserve">and </w:t>
      </w:r>
      <w:r w:rsidRPr="003B6C5B">
        <w:rPr>
          <w:rFonts w:ascii="Times New Roman" w:hAnsi="Times New Roman" w:cs="Times New Roman"/>
          <w:sz w:val="16"/>
          <w:szCs w:val="16"/>
        </w:rPr>
        <w:t xml:space="preserve">“4” denotes the oil market. S123 denotes </w:t>
      </w:r>
      <w:r w:rsidRPr="003B6C5B">
        <w:rPr>
          <w:rFonts w:ascii="Times New Roman" w:hAnsi="Times New Roman" w:cs="Times New Roman" w:hint="eastAsia"/>
          <w:sz w:val="16"/>
          <w:szCs w:val="16"/>
        </w:rPr>
        <w:t>the</w:t>
      </w:r>
      <w:r w:rsidRPr="003B6C5B">
        <w:rPr>
          <w:rFonts w:ascii="Times New Roman" w:hAnsi="Times New Roman" w:cs="Times New Roman"/>
          <w:sz w:val="16"/>
          <w:szCs w:val="16"/>
        </w:rPr>
        <w:t xml:space="preserve"> co-</w:t>
      </w:r>
      <w:r w:rsidRPr="003B6C5B">
        <w:rPr>
          <w:rFonts w:ascii="Times New Roman" w:hAnsi="Times New Roman" w:cs="Times New Roman" w:hint="eastAsia"/>
          <w:sz w:val="16"/>
          <w:szCs w:val="16"/>
        </w:rPr>
        <w:t>skewness</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of</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carbon,</w:t>
      </w:r>
      <w:r w:rsidRPr="003B6C5B">
        <w:rPr>
          <w:rFonts w:ascii="Times New Roman" w:hAnsi="Times New Roman" w:cs="Times New Roman"/>
          <w:sz w:val="16"/>
          <w:szCs w:val="16"/>
        </w:rPr>
        <w:t xml:space="preserve"> </w:t>
      </w:r>
      <w:proofErr w:type="gramStart"/>
      <w:r w:rsidRPr="003B6C5B">
        <w:rPr>
          <w:rFonts w:ascii="Times New Roman" w:hAnsi="Times New Roman" w:cs="Times New Roman"/>
          <w:sz w:val="16"/>
          <w:szCs w:val="16"/>
        </w:rPr>
        <w:t>coal</w:t>
      </w:r>
      <w:proofErr w:type="gramEnd"/>
      <w:r w:rsidRPr="003B6C5B">
        <w:rPr>
          <w:rFonts w:ascii="Times New Roman" w:hAnsi="Times New Roman" w:cs="Times New Roman"/>
          <w:sz w:val="16"/>
          <w:szCs w:val="16"/>
        </w:rPr>
        <w:t xml:space="preserve"> and natural gas. S111 refers to the skewness of carbon. The specific definitions can refer to Eq. (2). The thickness of the edge represents the size of the spillover. An edge whose colour is the same as that of the node represents the spillover from one node (of the same colour) to another node. For display purposes, we have marked the top ten edges with the </w:t>
      </w:r>
      <w:r w:rsidR="00F41AD2">
        <w:rPr>
          <w:rFonts w:ascii="Times New Roman" w:hAnsi="Times New Roman" w:cs="Times New Roman"/>
          <w:sz w:val="16"/>
          <w:szCs w:val="16"/>
        </w:rPr>
        <w:t>highest</w:t>
      </w:r>
      <w:r w:rsidR="009734E1">
        <w:rPr>
          <w:rFonts w:ascii="Times New Roman" w:hAnsi="Times New Roman" w:cs="Times New Roman"/>
          <w:sz w:val="16"/>
          <w:szCs w:val="16"/>
        </w:rPr>
        <w:t xml:space="preserve"> spillover</w:t>
      </w:r>
      <w:r w:rsidR="003C14B6">
        <w:rPr>
          <w:rFonts w:ascii="Times New Roman" w:hAnsi="Times New Roman" w:cs="Times New Roman"/>
          <w:sz w:val="16"/>
          <w:szCs w:val="16"/>
        </w:rPr>
        <w:t xml:space="preserve"> in %</w:t>
      </w:r>
      <w:r w:rsidR="00D161A3" w:rsidRPr="003B6C5B">
        <w:rPr>
          <w:rFonts w:ascii="Times New Roman" w:hAnsi="Times New Roman" w:cs="Times New Roman"/>
          <w:sz w:val="16"/>
          <w:szCs w:val="16"/>
        </w:rPr>
        <w:t>, which is calculate</w:t>
      </w:r>
      <w:r w:rsidR="003C14B6">
        <w:rPr>
          <w:rFonts w:ascii="Times New Roman" w:hAnsi="Times New Roman" w:cs="Times New Roman"/>
          <w:sz w:val="16"/>
          <w:szCs w:val="16"/>
        </w:rPr>
        <w:t>d</w:t>
      </w:r>
      <w:r w:rsidR="00D161A3" w:rsidRPr="003B6C5B">
        <w:rPr>
          <w:rFonts w:ascii="Times New Roman" w:hAnsi="Times New Roman" w:cs="Times New Roman"/>
          <w:sz w:val="16"/>
          <w:szCs w:val="16"/>
        </w:rPr>
        <w:t xml:space="preserve"> by Eq</w:t>
      </w:r>
      <w:r w:rsidR="00D17188" w:rsidRPr="003B6C5B">
        <w:rPr>
          <w:rFonts w:ascii="Times New Roman" w:hAnsi="Times New Roman" w:cs="Times New Roman"/>
          <w:sz w:val="16"/>
          <w:szCs w:val="16"/>
        </w:rPr>
        <w:t>. (</w:t>
      </w:r>
      <w:r w:rsidR="003C14B6">
        <w:rPr>
          <w:rFonts w:ascii="Times New Roman" w:hAnsi="Times New Roman" w:cs="Times New Roman"/>
          <w:sz w:val="16"/>
          <w:szCs w:val="16"/>
        </w:rPr>
        <w:t>6)</w:t>
      </w:r>
      <w:r w:rsidRPr="003B6C5B">
        <w:rPr>
          <w:rFonts w:ascii="Times New Roman" w:hAnsi="Times New Roman" w:cs="Times New Roman"/>
          <w:sz w:val="16"/>
          <w:szCs w:val="16"/>
        </w:rPr>
        <w:t>.</w:t>
      </w:r>
    </w:p>
    <w:p w14:paraId="425964CA" w14:textId="560C3748" w:rsidR="00A2313E" w:rsidRPr="003B6C5B" w:rsidRDefault="00A2313E" w:rsidP="006724D6">
      <w:pPr>
        <w:pStyle w:val="NormalWeb"/>
        <w:spacing w:before="0" w:beforeAutospacing="0" w:after="0" w:afterAutospacing="0" w:line="480" w:lineRule="auto"/>
        <w:ind w:firstLineChars="177" w:firstLine="425"/>
        <w:jc w:val="both"/>
        <w:rPr>
          <w:rFonts w:ascii="Times New Roman" w:hAnsi="Times New Roman" w:cs="Times New Roman"/>
        </w:rPr>
      </w:pPr>
    </w:p>
    <w:p w14:paraId="6B3D4CF7" w14:textId="54BDF8DF" w:rsidR="00A2313E" w:rsidRPr="003B6C5B" w:rsidRDefault="00A56D24" w:rsidP="007E7835">
      <w:pPr>
        <w:pStyle w:val="NormalWeb"/>
        <w:spacing w:before="0" w:beforeAutospacing="0" w:after="0" w:afterAutospacing="0" w:line="480" w:lineRule="auto"/>
        <w:ind w:firstLineChars="177" w:firstLine="425"/>
        <w:jc w:val="both"/>
        <w:rPr>
          <w:rFonts w:ascii="Times New Roman" w:hAnsi="Times New Roman" w:cs="Times New Roman"/>
        </w:rPr>
      </w:pPr>
      <w:bookmarkStart w:id="10" w:name="_Hlk67384123"/>
      <w:r w:rsidRPr="003B6C5B">
        <w:rPr>
          <w:rFonts w:ascii="Times New Roman" w:hAnsi="Times New Roman" w:cs="Times New Roman"/>
        </w:rPr>
        <w:t>T</w:t>
      </w:r>
      <w:r w:rsidR="0066695F" w:rsidRPr="003B6C5B">
        <w:rPr>
          <w:rFonts w:ascii="Times New Roman" w:hAnsi="Times New Roman" w:cs="Times New Roman"/>
        </w:rPr>
        <w:t xml:space="preserve">he </w:t>
      </w:r>
      <w:r w:rsidR="00156A58" w:rsidRPr="003B6C5B">
        <w:rPr>
          <w:rFonts w:ascii="Times New Roman" w:hAnsi="Times New Roman" w:cs="Times New Roman"/>
        </w:rPr>
        <w:t>recent</w:t>
      </w:r>
      <w:r w:rsidR="001E5434">
        <w:rPr>
          <w:rFonts w:ascii="Times New Roman" w:hAnsi="Times New Roman" w:cs="Times New Roman"/>
        </w:rPr>
        <w:t xml:space="preserve"> </w:t>
      </w:r>
      <w:r w:rsidR="0075402F">
        <w:rPr>
          <w:rFonts w:ascii="Times New Roman" w:hAnsi="Times New Roman" w:cs="Times New Roman"/>
        </w:rPr>
        <w:t>implementation</w:t>
      </w:r>
      <w:r w:rsidR="001E5434">
        <w:rPr>
          <w:rFonts w:ascii="Times New Roman" w:hAnsi="Times New Roman" w:cs="Times New Roman"/>
        </w:rPr>
        <w:t xml:space="preserve"> of the </w:t>
      </w:r>
      <w:r w:rsidR="0006583B" w:rsidRPr="00613002">
        <w:rPr>
          <w:rFonts w:ascii="Times New Roman" w:hAnsi="Times New Roman" w:cs="Times New Roman"/>
        </w:rPr>
        <w:t>MSR and LRF</w:t>
      </w:r>
      <w:r w:rsidR="0066695F" w:rsidRPr="00613002">
        <w:rPr>
          <w:rFonts w:ascii="Times New Roman" w:hAnsi="Times New Roman" w:cs="Times New Roman"/>
        </w:rPr>
        <w:t xml:space="preserve"> </w:t>
      </w:r>
      <w:r w:rsidR="001E5434" w:rsidRPr="00613002">
        <w:rPr>
          <w:rFonts w:ascii="Times New Roman" w:hAnsi="Times New Roman" w:cs="Times New Roman"/>
        </w:rPr>
        <w:t xml:space="preserve">policies </w:t>
      </w:r>
      <w:r w:rsidR="00156A58" w:rsidRPr="00613002">
        <w:rPr>
          <w:rFonts w:ascii="Times New Roman" w:hAnsi="Times New Roman" w:cs="Times New Roman"/>
        </w:rPr>
        <w:t>falls in</w:t>
      </w:r>
      <w:r w:rsidR="0066695F" w:rsidRPr="00613002">
        <w:rPr>
          <w:rFonts w:ascii="Times New Roman" w:hAnsi="Times New Roman" w:cs="Times New Roman"/>
        </w:rPr>
        <w:t xml:space="preserve"> Stage 2,</w:t>
      </w:r>
      <w:r w:rsidR="0066695F" w:rsidRPr="003B6C5B">
        <w:rPr>
          <w:rFonts w:ascii="Times New Roman" w:hAnsi="Times New Roman" w:cs="Times New Roman"/>
        </w:rPr>
        <w:t xml:space="preserve"> thus the </w:t>
      </w:r>
      <w:r w:rsidR="00B026A6" w:rsidRPr="003B6C5B">
        <w:rPr>
          <w:rFonts w:ascii="Times New Roman" w:hAnsi="Times New Roman" w:cs="Times New Roman"/>
        </w:rPr>
        <w:t xml:space="preserve">spillovers of </w:t>
      </w:r>
      <w:r w:rsidR="0066695F" w:rsidRPr="003B6C5B">
        <w:rPr>
          <w:rFonts w:ascii="Times New Roman" w:hAnsi="Times New Roman" w:cs="Times New Roman"/>
        </w:rPr>
        <w:t>higher-order moment</w:t>
      </w:r>
      <w:r w:rsidR="00B026A6" w:rsidRPr="003B6C5B">
        <w:rPr>
          <w:rFonts w:ascii="Times New Roman" w:hAnsi="Times New Roman" w:cs="Times New Roman"/>
        </w:rPr>
        <w:t>s</w:t>
      </w:r>
      <w:r w:rsidR="0066695F" w:rsidRPr="003B6C5B">
        <w:rPr>
          <w:rFonts w:ascii="Times New Roman" w:hAnsi="Times New Roman" w:cs="Times New Roman"/>
        </w:rPr>
        <w:t xml:space="preserve"> between the carbon and the energy market </w:t>
      </w:r>
      <w:r w:rsidR="00156A58" w:rsidRPr="003B6C5B">
        <w:rPr>
          <w:rFonts w:ascii="Times New Roman" w:hAnsi="Times New Roman" w:cs="Times New Roman"/>
        </w:rPr>
        <w:t>of</w:t>
      </w:r>
      <w:r w:rsidR="0066695F" w:rsidRPr="003B6C5B">
        <w:rPr>
          <w:rFonts w:ascii="Times New Roman" w:hAnsi="Times New Roman" w:cs="Times New Roman"/>
        </w:rPr>
        <w:t xml:space="preserve"> </w:t>
      </w:r>
      <w:r w:rsidR="00B026A6" w:rsidRPr="003B6C5B">
        <w:rPr>
          <w:rFonts w:ascii="Times New Roman" w:hAnsi="Times New Roman" w:cs="Times New Roman"/>
        </w:rPr>
        <w:t>this</w:t>
      </w:r>
      <w:r w:rsidR="0066695F" w:rsidRPr="003B6C5B">
        <w:rPr>
          <w:rFonts w:ascii="Times New Roman" w:hAnsi="Times New Roman" w:cs="Times New Roman"/>
        </w:rPr>
        <w:t xml:space="preserve"> </w:t>
      </w:r>
      <w:r w:rsidR="00156A58" w:rsidRPr="003B6C5B">
        <w:rPr>
          <w:rFonts w:ascii="Times New Roman" w:hAnsi="Times New Roman" w:cs="Times New Roman"/>
        </w:rPr>
        <w:t xml:space="preserve">stage </w:t>
      </w:r>
      <w:r w:rsidR="001B3BFE">
        <w:rPr>
          <w:rFonts w:ascii="Times New Roman" w:hAnsi="Times New Roman" w:cs="Times New Roman"/>
        </w:rPr>
        <w:t>could uncover</w:t>
      </w:r>
      <w:r w:rsidR="0066695F" w:rsidRPr="003B6C5B">
        <w:rPr>
          <w:rFonts w:ascii="Times New Roman" w:hAnsi="Times New Roman" w:cs="Times New Roman"/>
        </w:rPr>
        <w:t xml:space="preserve"> the spillover transmission </w:t>
      </w:r>
      <w:r w:rsidR="00263F8A">
        <w:rPr>
          <w:rFonts w:ascii="Times New Roman" w:hAnsi="Times New Roman" w:cs="Times New Roman"/>
        </w:rPr>
        <w:t>a</w:t>
      </w:r>
      <w:r w:rsidR="0066695F" w:rsidRPr="003B6C5B">
        <w:rPr>
          <w:rFonts w:ascii="Times New Roman" w:hAnsi="Times New Roman" w:cs="Times New Roman"/>
        </w:rPr>
        <w:t>cross the markets after the reform</w:t>
      </w:r>
      <w:r w:rsidR="0066695F" w:rsidRPr="003B6C5B">
        <w:rPr>
          <w:rStyle w:val="FootnoteReference"/>
          <w:rFonts w:ascii="Times New Roman" w:hAnsi="Times New Roman" w:cs="Times New Roman"/>
        </w:rPr>
        <w:footnoteReference w:id="19"/>
      </w:r>
      <w:r w:rsidR="0066695F" w:rsidRPr="003B6C5B">
        <w:rPr>
          <w:rFonts w:ascii="Times New Roman" w:hAnsi="Times New Roman" w:cs="Times New Roman"/>
        </w:rPr>
        <w:t>.</w:t>
      </w:r>
      <w:r w:rsidR="00B026A6" w:rsidRPr="003B6C5B">
        <w:rPr>
          <w:rFonts w:ascii="Times New Roman" w:hAnsi="Times New Roman" w:cs="Times New Roman"/>
        </w:rPr>
        <w:t xml:space="preserve"> </w:t>
      </w:r>
      <w:r w:rsidR="00987817" w:rsidRPr="00AB4470">
        <w:rPr>
          <w:rFonts w:ascii="Times New Roman" w:hAnsi="Times New Roman" w:cs="Times New Roman"/>
        </w:rPr>
        <w:t xml:space="preserve">Surprisingly, </w:t>
      </w:r>
      <w:r w:rsidR="00BD50B5" w:rsidRPr="00AB4470">
        <w:rPr>
          <w:rFonts w:ascii="Times New Roman" w:hAnsi="Times New Roman" w:cs="Times New Roman"/>
        </w:rPr>
        <w:t xml:space="preserve">the </w:t>
      </w:r>
      <w:r w:rsidR="0039605E" w:rsidRPr="00AB4470">
        <w:rPr>
          <w:rFonts w:ascii="Times New Roman" w:hAnsi="Times New Roman" w:cs="Times New Roman"/>
        </w:rPr>
        <w:t xml:space="preserve">total </w:t>
      </w:r>
      <w:r w:rsidR="00BD61CA" w:rsidRPr="00AB4470">
        <w:rPr>
          <w:rFonts w:ascii="Times New Roman" w:hAnsi="Times New Roman" w:cs="Times New Roman"/>
        </w:rPr>
        <w:t>sum</w:t>
      </w:r>
      <w:r w:rsidR="00BD50B5" w:rsidRPr="00AB4470">
        <w:rPr>
          <w:rFonts w:ascii="Times New Roman" w:hAnsi="Times New Roman" w:cs="Times New Roman"/>
        </w:rPr>
        <w:t xml:space="preserve"> of </w:t>
      </w:r>
      <w:r w:rsidR="0039605E" w:rsidRPr="00AB4470">
        <w:rPr>
          <w:rFonts w:ascii="Times New Roman" w:hAnsi="Times New Roman" w:cs="Times New Roman"/>
        </w:rPr>
        <w:t xml:space="preserve">short-run skewness </w:t>
      </w:r>
      <w:r w:rsidR="00BD50B5" w:rsidRPr="00AB4470">
        <w:rPr>
          <w:rFonts w:ascii="Times New Roman" w:hAnsi="Times New Roman" w:cs="Times New Roman"/>
        </w:rPr>
        <w:t xml:space="preserve">is </w:t>
      </w:r>
      <w:r w:rsidR="00987817" w:rsidRPr="00AB4470">
        <w:rPr>
          <w:rFonts w:ascii="Times New Roman" w:hAnsi="Times New Roman" w:cs="Times New Roman"/>
        </w:rPr>
        <w:t>slightly</w:t>
      </w:r>
      <w:r w:rsidR="007A7FE0" w:rsidRPr="00AB4470">
        <w:rPr>
          <w:rFonts w:ascii="Times New Roman" w:hAnsi="Times New Roman" w:cs="Times New Roman"/>
        </w:rPr>
        <w:t xml:space="preserve"> more </w:t>
      </w:r>
      <w:r w:rsidR="00BD50B5" w:rsidRPr="00AB4470">
        <w:rPr>
          <w:rFonts w:ascii="Times New Roman" w:hAnsi="Times New Roman" w:cs="Times New Roman"/>
        </w:rPr>
        <w:t>modest</w:t>
      </w:r>
      <w:r w:rsidR="007A7FE0" w:rsidRPr="00AB4470">
        <w:rPr>
          <w:rFonts w:ascii="Times New Roman" w:hAnsi="Times New Roman" w:cs="Times New Roman"/>
        </w:rPr>
        <w:t xml:space="preserve"> compared </w:t>
      </w:r>
      <w:r w:rsidR="00B026A6" w:rsidRPr="00AB4470">
        <w:rPr>
          <w:rFonts w:ascii="Times New Roman" w:hAnsi="Times New Roman" w:cs="Times New Roman"/>
        </w:rPr>
        <w:t>S</w:t>
      </w:r>
      <w:r w:rsidR="007A7FE0" w:rsidRPr="00AB4470">
        <w:rPr>
          <w:rFonts w:ascii="Times New Roman" w:hAnsi="Times New Roman" w:cs="Times New Roman"/>
        </w:rPr>
        <w:t>tage 1</w:t>
      </w:r>
      <w:r w:rsidR="00BD61CA" w:rsidRPr="00AB4470">
        <w:rPr>
          <w:rFonts w:ascii="Times New Roman" w:hAnsi="Times New Roman" w:cs="Times New Roman"/>
        </w:rPr>
        <w:t xml:space="preserve"> despite </w:t>
      </w:r>
      <w:r w:rsidR="00AB78AD" w:rsidRPr="00AB4470">
        <w:rPr>
          <w:rFonts w:ascii="Times New Roman" w:hAnsi="Times New Roman" w:cs="Times New Roman"/>
        </w:rPr>
        <w:t xml:space="preserve">both the carbon and energy markets had high price volatility and </w:t>
      </w:r>
      <w:r w:rsidR="006D0F41" w:rsidRPr="00AB4470">
        <w:rPr>
          <w:rFonts w:ascii="Times New Roman" w:hAnsi="Times New Roman" w:cs="Times New Roman"/>
        </w:rPr>
        <w:t xml:space="preserve">in particular, the price of EUA </w:t>
      </w:r>
      <w:r w:rsidR="00AB4470" w:rsidRPr="00AB4470">
        <w:rPr>
          <w:rFonts w:ascii="Times New Roman" w:hAnsi="Times New Roman" w:cs="Times New Roman"/>
        </w:rPr>
        <w:t>rises rapidly</w:t>
      </w:r>
      <w:r w:rsidR="00AB4470">
        <w:rPr>
          <w:rFonts w:ascii="Times New Roman" w:hAnsi="Times New Roman" w:cs="Times New Roman"/>
        </w:rPr>
        <w:t xml:space="preserve"> </w:t>
      </w:r>
      <w:r w:rsidR="00AB78AD" w:rsidRPr="00AB4470">
        <w:rPr>
          <w:rFonts w:ascii="Times New Roman" w:hAnsi="Times New Roman" w:cs="Times New Roman"/>
        </w:rPr>
        <w:t>in Stage 2</w:t>
      </w:r>
      <w:r w:rsidR="00BD50B5" w:rsidRPr="003B6C5B">
        <w:rPr>
          <w:rFonts w:ascii="Times New Roman" w:hAnsi="Times New Roman" w:cs="Times New Roman"/>
        </w:rPr>
        <w:t>.</w:t>
      </w:r>
      <w:r w:rsidR="007E7835" w:rsidRPr="003B6C5B">
        <w:rPr>
          <w:rFonts w:ascii="Times New Roman" w:hAnsi="Times New Roman" w:cs="Times New Roman"/>
        </w:rPr>
        <w:t xml:space="preserve"> To note that the skewness spillover transmission between coal and carbon is relative stronger compared to other pairs. This could </w:t>
      </w:r>
      <w:r w:rsidR="001B3BFE">
        <w:rPr>
          <w:rFonts w:ascii="Times New Roman" w:hAnsi="Times New Roman" w:cs="Times New Roman"/>
        </w:rPr>
        <w:t>relate</w:t>
      </w:r>
      <w:r w:rsidR="007E7835" w:rsidRPr="003B6C5B">
        <w:rPr>
          <w:rFonts w:ascii="Times New Roman" w:hAnsi="Times New Roman" w:cs="Times New Roman"/>
        </w:rPr>
        <w:t xml:space="preserve"> to the fact that many carbon emitting industries mainly consume coal, and thus t</w:t>
      </w:r>
      <w:r w:rsidR="00B026A6" w:rsidRPr="003B6C5B">
        <w:rPr>
          <w:rFonts w:ascii="Times New Roman" w:hAnsi="Times New Roman" w:cs="Times New Roman"/>
        </w:rPr>
        <w:t xml:space="preserve">he </w:t>
      </w:r>
      <w:r w:rsidR="003430A0" w:rsidRPr="003B6C5B">
        <w:rPr>
          <w:rFonts w:ascii="Times New Roman" w:hAnsi="Times New Roman" w:cs="Times New Roman"/>
        </w:rPr>
        <w:t xml:space="preserve">market news of </w:t>
      </w:r>
      <w:r w:rsidR="007E7835" w:rsidRPr="003B6C5B">
        <w:rPr>
          <w:rFonts w:ascii="Times New Roman" w:hAnsi="Times New Roman" w:cs="Times New Roman"/>
        </w:rPr>
        <w:t xml:space="preserve">carbon emission </w:t>
      </w:r>
      <w:r w:rsidR="003430A0" w:rsidRPr="003B6C5B">
        <w:rPr>
          <w:rFonts w:ascii="Times New Roman" w:hAnsi="Times New Roman" w:cs="Times New Roman"/>
        </w:rPr>
        <w:t xml:space="preserve">policy reforms such as MSR </w:t>
      </w:r>
      <w:r w:rsidR="00D73110">
        <w:rPr>
          <w:rFonts w:ascii="Times New Roman" w:hAnsi="Times New Roman" w:cs="Times New Roman"/>
        </w:rPr>
        <w:t>could</w:t>
      </w:r>
      <w:r w:rsidR="00D73110" w:rsidRPr="003B6C5B">
        <w:rPr>
          <w:rFonts w:ascii="Times New Roman" w:hAnsi="Times New Roman" w:cs="Times New Roman"/>
        </w:rPr>
        <w:t xml:space="preserve"> </w:t>
      </w:r>
      <w:r w:rsidR="003430A0" w:rsidRPr="003B6C5B">
        <w:rPr>
          <w:rFonts w:ascii="Times New Roman" w:hAnsi="Times New Roman" w:cs="Times New Roman"/>
        </w:rPr>
        <w:t xml:space="preserve">have a short-term impact on </w:t>
      </w:r>
      <w:r w:rsidR="007E7835" w:rsidRPr="003B6C5B">
        <w:rPr>
          <w:rFonts w:ascii="Times New Roman" w:hAnsi="Times New Roman" w:cs="Times New Roman"/>
        </w:rPr>
        <w:t xml:space="preserve">the skewness of </w:t>
      </w:r>
      <w:r w:rsidR="003430A0" w:rsidRPr="003B6C5B">
        <w:rPr>
          <w:rFonts w:ascii="Times New Roman" w:hAnsi="Times New Roman" w:cs="Times New Roman"/>
        </w:rPr>
        <w:t>coal price.</w:t>
      </w:r>
      <w:r w:rsidR="00E11CB7" w:rsidRPr="003B6C5B">
        <w:rPr>
          <w:rFonts w:ascii="Times New Roman" w:hAnsi="Times New Roman" w:cs="Times New Roman"/>
        </w:rPr>
        <w:t xml:space="preserve"> </w:t>
      </w:r>
      <w:proofErr w:type="gramStart"/>
      <w:r w:rsidR="009317C4">
        <w:rPr>
          <w:rFonts w:ascii="Times New Roman" w:hAnsi="Times New Roman" w:cs="Times New Roman"/>
        </w:rPr>
        <w:t>However</w:t>
      </w:r>
      <w:proofErr w:type="gramEnd"/>
      <w:r w:rsidR="009317C4">
        <w:rPr>
          <w:rFonts w:ascii="Times New Roman" w:hAnsi="Times New Roman" w:cs="Times New Roman"/>
        </w:rPr>
        <w:t xml:space="preserve"> there is lack of interaction between t</w:t>
      </w:r>
      <w:r w:rsidR="009317C4" w:rsidRPr="003B6C5B">
        <w:rPr>
          <w:rFonts w:ascii="Times New Roman" w:hAnsi="Times New Roman" w:cs="Times New Roman"/>
        </w:rPr>
        <w:t>he electricity</w:t>
      </w:r>
      <w:r w:rsidR="009317C4">
        <w:rPr>
          <w:rFonts w:ascii="Times New Roman" w:hAnsi="Times New Roman" w:cs="Times New Roman"/>
        </w:rPr>
        <w:t xml:space="preserve"> and carbon as</w:t>
      </w:r>
      <w:r w:rsidR="009317C4" w:rsidRPr="003B6C5B">
        <w:rPr>
          <w:rFonts w:ascii="Times New Roman" w:hAnsi="Times New Roman" w:cs="Times New Roman"/>
        </w:rPr>
        <w:t xml:space="preserve"> plants </w:t>
      </w:r>
      <w:r w:rsidR="009317C4">
        <w:rPr>
          <w:rFonts w:ascii="Times New Roman" w:hAnsi="Times New Roman" w:cs="Times New Roman"/>
        </w:rPr>
        <w:t xml:space="preserve">are less </w:t>
      </w:r>
      <w:r w:rsidR="005A51F3">
        <w:rPr>
          <w:rFonts w:ascii="Times New Roman" w:hAnsi="Times New Roman" w:cs="Times New Roman"/>
        </w:rPr>
        <w:t>motivated</w:t>
      </w:r>
      <w:r w:rsidR="009317C4">
        <w:rPr>
          <w:rFonts w:ascii="Times New Roman" w:hAnsi="Times New Roman" w:cs="Times New Roman"/>
        </w:rPr>
        <w:t xml:space="preserve"> </w:t>
      </w:r>
      <w:r w:rsidR="009317C4" w:rsidRPr="003B6C5B">
        <w:rPr>
          <w:rFonts w:ascii="Times New Roman" w:hAnsi="Times New Roman" w:cs="Times New Roman"/>
        </w:rPr>
        <w:t>to change their energy consumption structure at short-run timescales</w:t>
      </w:r>
      <w:r w:rsidR="009317C4">
        <w:rPr>
          <w:rFonts w:ascii="Times New Roman" w:hAnsi="Times New Roman" w:cs="Times New Roman"/>
        </w:rPr>
        <w:t xml:space="preserve"> when carbon prices rise</w:t>
      </w:r>
      <w:r w:rsidR="009317C4" w:rsidRPr="003B6C5B">
        <w:rPr>
          <w:rFonts w:ascii="Times New Roman" w:hAnsi="Times New Roman" w:cs="Times New Roman"/>
        </w:rPr>
        <w:t>.</w:t>
      </w:r>
      <w:r w:rsidR="009317C4">
        <w:rPr>
          <w:rFonts w:ascii="Times New Roman" w:hAnsi="Times New Roman" w:cs="Times New Roman"/>
        </w:rPr>
        <w:t xml:space="preserve"> T</w:t>
      </w:r>
      <w:r w:rsidR="00E11CB7" w:rsidRPr="003B6C5B">
        <w:rPr>
          <w:rFonts w:ascii="Times New Roman" w:hAnsi="Times New Roman" w:cs="Times New Roman"/>
        </w:rPr>
        <w:t xml:space="preserve">he benefits gained by </w:t>
      </w:r>
      <w:proofErr w:type="gramStart"/>
      <w:r w:rsidR="00E11CB7" w:rsidRPr="003B6C5B">
        <w:rPr>
          <w:rFonts w:ascii="Times New Roman" w:hAnsi="Times New Roman" w:cs="Times New Roman"/>
        </w:rPr>
        <w:t>a</w:t>
      </w:r>
      <w:proofErr w:type="gramEnd"/>
      <w:r w:rsidR="00F351AE" w:rsidRPr="003B6C5B">
        <w:rPr>
          <w:rFonts w:ascii="Times New Roman" w:hAnsi="Times New Roman" w:cs="Times New Roman"/>
        </w:rPr>
        <w:t xml:space="preserve"> electricity</w:t>
      </w:r>
      <w:r w:rsidR="00E11CB7" w:rsidRPr="003B6C5B">
        <w:rPr>
          <w:rFonts w:ascii="Times New Roman" w:hAnsi="Times New Roman" w:cs="Times New Roman"/>
        </w:rPr>
        <w:t xml:space="preserve"> plant shutting down a coal generator in favor of a gas generator are far less than the costs incurred by a plant shutdown.</w:t>
      </w:r>
    </w:p>
    <w:bookmarkEnd w:id="10"/>
    <w:p w14:paraId="19952221" w14:textId="6A9CFB90" w:rsidR="00A2313E" w:rsidRPr="003B6C5B" w:rsidRDefault="00F327AF" w:rsidP="006724D6">
      <w:pPr>
        <w:spacing w:line="480" w:lineRule="auto"/>
        <w:jc w:val="both"/>
      </w:pPr>
      <w:r w:rsidRPr="003B6C5B">
        <w:rPr>
          <w:noProof/>
          <w:lang w:val="en-GB" w:eastAsia="en-GB"/>
        </w:rPr>
        <w:lastRenderedPageBreak/>
        <w:drawing>
          <wp:inline distT="0" distB="0" distL="0" distR="0" wp14:anchorId="236BA193" wp14:editId="3EDBEF4F">
            <wp:extent cx="5278120" cy="28740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2874010"/>
                    </a:xfrm>
                    <a:prstGeom prst="rect">
                      <a:avLst/>
                    </a:prstGeom>
                  </pic:spPr>
                </pic:pic>
              </a:graphicData>
            </a:graphic>
          </wp:inline>
        </w:drawing>
      </w:r>
    </w:p>
    <w:p w14:paraId="4BDB940A" w14:textId="53F9B9B1" w:rsidR="00D358DD" w:rsidRPr="003B6C5B" w:rsidRDefault="00D358DD" w:rsidP="006724D6">
      <w:pPr>
        <w:tabs>
          <w:tab w:val="left" w:pos="7513"/>
        </w:tabs>
        <w:spacing w:line="480" w:lineRule="auto"/>
        <w:jc w:val="both"/>
        <w:rPr>
          <w:b/>
        </w:rPr>
      </w:pPr>
      <w:r w:rsidRPr="003B6C5B">
        <w:rPr>
          <w:b/>
        </w:rPr>
        <w:t xml:space="preserve">Figure </w:t>
      </w:r>
      <w:r w:rsidR="00FE0A0C">
        <w:rPr>
          <w:b/>
        </w:rPr>
        <w:t>3</w:t>
      </w:r>
      <w:r w:rsidRPr="003B6C5B">
        <w:rPr>
          <w:b/>
        </w:rPr>
        <w:t>. Short-run kurtosis spillover between carbon and energy markets.</w:t>
      </w:r>
    </w:p>
    <w:p w14:paraId="3ADAF61B" w14:textId="795DCD45" w:rsidR="005B78D1" w:rsidRPr="003B6C5B" w:rsidRDefault="005B78D1" w:rsidP="003B6C5B">
      <w:pPr>
        <w:pStyle w:val="NormalWeb"/>
        <w:spacing w:before="0" w:beforeAutospacing="0" w:after="0" w:afterAutospacing="0" w:line="360" w:lineRule="auto"/>
        <w:jc w:val="both"/>
        <w:rPr>
          <w:rFonts w:ascii="Times New Roman" w:hAnsi="Times New Roman" w:cs="Times New Roman"/>
          <w:sz w:val="16"/>
          <w:szCs w:val="16"/>
        </w:rPr>
      </w:pPr>
      <w:r w:rsidRPr="003B6C5B">
        <w:rPr>
          <w:rFonts w:ascii="Times New Roman" w:hAnsi="Times New Roman" w:cs="Times New Roman"/>
          <w:sz w:val="16"/>
          <w:szCs w:val="16"/>
        </w:rPr>
        <w:t xml:space="preserve">Note: This figure </w:t>
      </w:r>
      <w:r w:rsidR="002C5441">
        <w:rPr>
          <w:rFonts w:ascii="Times New Roman" w:hAnsi="Times New Roman" w:cs="Times New Roman"/>
          <w:sz w:val="16"/>
          <w:szCs w:val="16"/>
        </w:rPr>
        <w:t>present</w:t>
      </w:r>
      <w:r w:rsidR="002C5441" w:rsidRPr="003B6C5B">
        <w:rPr>
          <w:rFonts w:ascii="Times New Roman" w:hAnsi="Times New Roman" w:cs="Times New Roman"/>
          <w:sz w:val="16"/>
          <w:szCs w:val="16"/>
        </w:rPr>
        <w:t xml:space="preserve">s </w:t>
      </w:r>
      <w:r w:rsidRPr="003B6C5B">
        <w:rPr>
          <w:rFonts w:ascii="Times New Roman" w:hAnsi="Times New Roman" w:cs="Times New Roman"/>
          <w:sz w:val="16"/>
          <w:szCs w:val="16"/>
        </w:rPr>
        <w:t xml:space="preserve">the </w:t>
      </w:r>
      <w:r w:rsidR="00F26AB6" w:rsidRPr="0075402F">
        <w:rPr>
          <w:rFonts w:ascii="Times New Roman" w:hAnsi="Times New Roman" w:cs="Times New Roman"/>
          <w:sz w:val="16"/>
          <w:szCs w:val="16"/>
        </w:rPr>
        <w:t>kurtosis</w:t>
      </w:r>
      <w:r w:rsidR="00F26AB6">
        <w:rPr>
          <w:rFonts w:ascii="Times New Roman" w:hAnsi="Times New Roman" w:cs="Times New Roman"/>
          <w:sz w:val="16"/>
          <w:szCs w:val="16"/>
        </w:rPr>
        <w:t xml:space="preserve"> </w:t>
      </w:r>
      <w:r w:rsidRPr="003B6C5B">
        <w:rPr>
          <w:rFonts w:ascii="Times New Roman" w:hAnsi="Times New Roman" w:cs="Times New Roman"/>
          <w:sz w:val="16"/>
          <w:szCs w:val="16"/>
        </w:rPr>
        <w:t>spillover index. Each asset is presented by “1</w:t>
      </w:r>
      <w:proofErr w:type="gramStart"/>
      <w:r w:rsidRPr="003B6C5B">
        <w:rPr>
          <w:rFonts w:ascii="Times New Roman" w:hAnsi="Times New Roman" w:cs="Times New Roman"/>
          <w:sz w:val="16"/>
          <w:szCs w:val="16"/>
        </w:rPr>
        <w:t>,”“</w:t>
      </w:r>
      <w:proofErr w:type="gramEnd"/>
      <w:r w:rsidRPr="003B6C5B">
        <w:rPr>
          <w:rFonts w:ascii="Times New Roman" w:hAnsi="Times New Roman" w:cs="Times New Roman"/>
          <w:sz w:val="16"/>
          <w:szCs w:val="16"/>
        </w:rPr>
        <w:t xml:space="preserve">2,” “3,” and “4,” whereby “1” refers to the carbon market, “2” refers to the coal market, “3” refers to the gas market, “4” refers to the oil market. S1234 denotes </w:t>
      </w:r>
      <w:r w:rsidRPr="003B6C5B">
        <w:rPr>
          <w:rFonts w:ascii="Times New Roman" w:hAnsi="Times New Roman" w:cs="Times New Roman" w:hint="eastAsia"/>
          <w:sz w:val="16"/>
          <w:szCs w:val="16"/>
        </w:rPr>
        <w:t>the</w:t>
      </w:r>
      <w:r w:rsidRPr="003B6C5B">
        <w:rPr>
          <w:rFonts w:ascii="Times New Roman" w:hAnsi="Times New Roman" w:cs="Times New Roman"/>
          <w:sz w:val="16"/>
          <w:szCs w:val="16"/>
        </w:rPr>
        <w:t xml:space="preserve"> co-kurtosis </w:t>
      </w:r>
      <w:r w:rsidRPr="003B6C5B">
        <w:rPr>
          <w:rFonts w:ascii="Times New Roman" w:hAnsi="Times New Roman" w:cs="Times New Roman" w:hint="eastAsia"/>
          <w:sz w:val="16"/>
          <w:szCs w:val="16"/>
        </w:rPr>
        <w:t>between</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the</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portfolio</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of</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carbon,</w:t>
      </w:r>
      <w:r w:rsidRPr="003B6C5B">
        <w:rPr>
          <w:rFonts w:ascii="Times New Roman" w:hAnsi="Times New Roman" w:cs="Times New Roman"/>
          <w:sz w:val="16"/>
          <w:szCs w:val="16"/>
        </w:rPr>
        <w:t xml:space="preserve"> coal, natural </w:t>
      </w:r>
      <w:proofErr w:type="gramStart"/>
      <w:r w:rsidRPr="003B6C5B">
        <w:rPr>
          <w:rFonts w:ascii="Times New Roman" w:hAnsi="Times New Roman" w:cs="Times New Roman"/>
          <w:sz w:val="16"/>
          <w:szCs w:val="16"/>
        </w:rPr>
        <w:t>gas</w:t>
      </w:r>
      <w:proofErr w:type="gramEnd"/>
      <w:r w:rsidRPr="003B6C5B">
        <w:rPr>
          <w:rFonts w:ascii="Times New Roman" w:hAnsi="Times New Roman" w:cs="Times New Roman"/>
          <w:sz w:val="16"/>
          <w:szCs w:val="16"/>
        </w:rPr>
        <w:t xml:space="preserve"> and oil. </w:t>
      </w:r>
      <w:r w:rsidR="00D161A3" w:rsidRPr="003B6C5B">
        <w:rPr>
          <w:rFonts w:ascii="Times New Roman" w:hAnsi="Times New Roman" w:cs="Times New Roman"/>
          <w:sz w:val="16"/>
          <w:szCs w:val="16"/>
        </w:rPr>
        <w:t>K</w:t>
      </w:r>
      <w:r w:rsidRPr="003B6C5B">
        <w:rPr>
          <w:rFonts w:ascii="Times New Roman" w:hAnsi="Times New Roman" w:cs="Times New Roman"/>
          <w:sz w:val="16"/>
          <w:szCs w:val="16"/>
        </w:rPr>
        <w:t xml:space="preserve">1111 refers to the kurtosis of carbon. For the co-kurtosis </w:t>
      </w:r>
      <w:r w:rsidRPr="003B6C5B">
        <w:rPr>
          <w:rFonts w:ascii="Times New Roman" w:hAnsi="Times New Roman" w:cs="Times New Roman" w:hint="eastAsia"/>
          <w:sz w:val="16"/>
          <w:szCs w:val="16"/>
        </w:rPr>
        <w:t>of</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carbon</w:t>
      </w:r>
      <w:r w:rsidRPr="003B6C5B">
        <w:rPr>
          <w:rFonts w:ascii="Times New Roman" w:hAnsi="Times New Roman" w:cs="Times New Roman"/>
          <w:sz w:val="16"/>
          <w:szCs w:val="16"/>
        </w:rPr>
        <w:t xml:space="preserve"> and coal, there are three definitions as K1122, K1112, and K1222. I</w:t>
      </w:r>
      <w:r w:rsidRPr="003B6C5B">
        <w:rPr>
          <w:rFonts w:ascii="Times New Roman" w:hAnsi="Times New Roman" w:cs="Times New Roman" w:hint="eastAsia"/>
          <w:sz w:val="16"/>
          <w:szCs w:val="16"/>
        </w:rPr>
        <w:t>n</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kurtosis</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spillover</w:t>
      </w:r>
      <w:r w:rsidRPr="003B6C5B">
        <w:rPr>
          <w:rFonts w:ascii="Times New Roman" w:hAnsi="Times New Roman" w:cs="Times New Roman"/>
          <w:sz w:val="16"/>
          <w:szCs w:val="16"/>
        </w:rPr>
        <w:t xml:space="preserve"> </w:t>
      </w:r>
      <w:r w:rsidRPr="003B6C5B">
        <w:rPr>
          <w:rFonts w:ascii="Times New Roman" w:hAnsi="Times New Roman" w:cs="Times New Roman" w:hint="eastAsia"/>
          <w:sz w:val="16"/>
          <w:szCs w:val="16"/>
        </w:rPr>
        <w:t>analysis</w:t>
      </w:r>
      <w:r w:rsidRPr="003B6C5B">
        <w:rPr>
          <w:rFonts w:ascii="Times New Roman" w:hAnsi="Times New Roman" w:cs="Times New Roman"/>
          <w:sz w:val="16"/>
          <w:szCs w:val="16"/>
        </w:rPr>
        <w:t>, we select K1122 as the optimal term reflecting the co-kurtosis between carbon and coal. The same applies to K1144 and K1133. The specific definition</w:t>
      </w:r>
      <w:r w:rsidR="00F26AB6">
        <w:rPr>
          <w:rFonts w:ascii="Times New Roman" w:hAnsi="Times New Roman" w:cs="Times New Roman"/>
          <w:sz w:val="16"/>
          <w:szCs w:val="16"/>
        </w:rPr>
        <w:t>s</w:t>
      </w:r>
      <w:r w:rsidRPr="003B6C5B">
        <w:rPr>
          <w:rFonts w:ascii="Times New Roman" w:hAnsi="Times New Roman" w:cs="Times New Roman"/>
          <w:sz w:val="16"/>
          <w:szCs w:val="16"/>
        </w:rPr>
        <w:t xml:space="preserve"> can refer to Eq. (</w:t>
      </w:r>
      <w:r w:rsidR="00AB4470">
        <w:rPr>
          <w:rFonts w:ascii="Times New Roman" w:hAnsi="Times New Roman" w:cs="Times New Roman"/>
          <w:sz w:val="16"/>
          <w:szCs w:val="16"/>
        </w:rPr>
        <w:t>3</w:t>
      </w:r>
      <w:r w:rsidRPr="003B6C5B">
        <w:rPr>
          <w:rFonts w:ascii="Times New Roman" w:hAnsi="Times New Roman" w:cs="Times New Roman"/>
          <w:sz w:val="16"/>
          <w:szCs w:val="16"/>
        </w:rPr>
        <w:t xml:space="preserve">). An edge whose colour is the same as that of the node represents the spillover from one node (of the same colour) to another node. For display purposes, we have marked the top ten edges with the </w:t>
      </w:r>
      <w:r w:rsidR="00F26AB6">
        <w:rPr>
          <w:rFonts w:ascii="Times New Roman" w:hAnsi="Times New Roman" w:cs="Times New Roman"/>
          <w:sz w:val="16"/>
          <w:szCs w:val="16"/>
        </w:rPr>
        <w:t xml:space="preserve">highest </w:t>
      </w:r>
      <w:r w:rsidRPr="003B6C5B">
        <w:rPr>
          <w:rFonts w:ascii="Times New Roman" w:hAnsi="Times New Roman" w:cs="Times New Roman"/>
          <w:sz w:val="16"/>
          <w:szCs w:val="16"/>
        </w:rPr>
        <w:t xml:space="preserve">amount of </w:t>
      </w:r>
      <w:r w:rsidR="00F26AB6" w:rsidRPr="00F26AB6">
        <w:rPr>
          <w:rFonts w:ascii="Times New Roman" w:hAnsi="Times New Roman" w:cs="Times New Roman"/>
          <w:sz w:val="16"/>
          <w:szCs w:val="16"/>
        </w:rPr>
        <w:t xml:space="preserve">we have marked the top ten </w:t>
      </w:r>
      <w:r w:rsidR="00F26AB6" w:rsidRPr="009F48D8">
        <w:rPr>
          <w:rFonts w:ascii="Times New Roman" w:hAnsi="Times New Roman" w:cs="Times New Roman"/>
          <w:sz w:val="16"/>
          <w:szCs w:val="16"/>
        </w:rPr>
        <w:t>edges</w:t>
      </w:r>
      <w:r w:rsidR="00F26AB6" w:rsidRPr="00F26AB6">
        <w:rPr>
          <w:rFonts w:ascii="Times New Roman" w:hAnsi="Times New Roman" w:cs="Times New Roman"/>
          <w:sz w:val="16"/>
          <w:szCs w:val="16"/>
        </w:rPr>
        <w:t xml:space="preserve"> with the highest spillover in %, which is calculated by </w:t>
      </w:r>
      <w:r w:rsidR="00F26AB6" w:rsidRPr="0075402F">
        <w:rPr>
          <w:rFonts w:ascii="Times New Roman" w:hAnsi="Times New Roman" w:cs="Times New Roman"/>
          <w:sz w:val="16"/>
          <w:szCs w:val="16"/>
        </w:rPr>
        <w:t>Eq. (6).</w:t>
      </w:r>
    </w:p>
    <w:p w14:paraId="479C4064" w14:textId="7C6AFA46" w:rsidR="00A2313E" w:rsidRPr="003B6C5B" w:rsidRDefault="00A2313E" w:rsidP="006724D6">
      <w:pPr>
        <w:pStyle w:val="NormalWeb"/>
        <w:spacing w:before="0" w:beforeAutospacing="0" w:after="0" w:afterAutospacing="0" w:line="480" w:lineRule="auto"/>
        <w:ind w:firstLineChars="177" w:firstLine="425"/>
        <w:jc w:val="both"/>
        <w:rPr>
          <w:rFonts w:ascii="Times New Roman" w:hAnsi="Times New Roman" w:cs="Times New Roman"/>
        </w:rPr>
      </w:pPr>
    </w:p>
    <w:p w14:paraId="5E8B00A2" w14:textId="1D5183C3" w:rsidR="00107B06" w:rsidRPr="003B6C5B" w:rsidRDefault="000323B1" w:rsidP="003E78E3">
      <w:pPr>
        <w:pStyle w:val="NormalWeb"/>
        <w:spacing w:before="0" w:beforeAutospacing="0" w:after="0" w:afterAutospacing="0" w:line="480" w:lineRule="auto"/>
        <w:ind w:firstLineChars="177" w:firstLine="425"/>
        <w:jc w:val="both"/>
        <w:rPr>
          <w:rFonts w:ascii="Times New Roman" w:hAnsi="Times New Roman" w:cs="Times New Roman"/>
        </w:rPr>
      </w:pPr>
      <w:bookmarkStart w:id="11" w:name="_Hlk67384236"/>
      <w:r w:rsidRPr="003B6C5B">
        <w:rPr>
          <w:rFonts w:ascii="Times New Roman" w:hAnsi="Times New Roman" w:cs="Times New Roman"/>
        </w:rPr>
        <w:t>Kurtosis spillover</w:t>
      </w:r>
      <w:r w:rsidR="00CD1DCF" w:rsidRPr="003B6C5B">
        <w:rPr>
          <w:rFonts w:ascii="Times New Roman" w:hAnsi="Times New Roman" w:cs="Times New Roman"/>
        </w:rPr>
        <w:t xml:space="preserve"> </w:t>
      </w:r>
      <w:r w:rsidR="005A51F3">
        <w:rPr>
          <w:rFonts w:ascii="Times New Roman" w:hAnsi="Times New Roman" w:cs="Times New Roman"/>
        </w:rPr>
        <w:t>involves</w:t>
      </w:r>
      <w:r w:rsidR="00023559" w:rsidRPr="003B6C5B">
        <w:rPr>
          <w:rFonts w:ascii="Times New Roman" w:hAnsi="Times New Roman" w:cs="Times New Roman"/>
        </w:rPr>
        <w:t xml:space="preserve"> </w:t>
      </w:r>
      <w:r w:rsidR="00CD1DCF" w:rsidRPr="003B6C5B">
        <w:rPr>
          <w:rFonts w:ascii="Times New Roman" w:hAnsi="Times New Roman" w:cs="Times New Roman"/>
        </w:rPr>
        <w:t>the fourth-order moment which indicates</w:t>
      </w:r>
      <w:r w:rsidRPr="003B6C5B">
        <w:rPr>
          <w:rFonts w:ascii="Times New Roman" w:hAnsi="Times New Roman" w:cs="Times New Roman"/>
        </w:rPr>
        <w:t xml:space="preserve"> </w:t>
      </w:r>
      <w:r w:rsidR="00CD1DCF" w:rsidRPr="003B6C5B">
        <w:rPr>
          <w:rFonts w:ascii="Times New Roman" w:hAnsi="Times New Roman" w:cs="Times New Roman"/>
        </w:rPr>
        <w:t>how</w:t>
      </w:r>
      <w:r w:rsidRPr="003B6C5B">
        <w:rPr>
          <w:rFonts w:ascii="Times New Roman" w:hAnsi="Times New Roman" w:cs="Times New Roman"/>
        </w:rPr>
        <w:t xml:space="preserve"> the probability of extreme </w:t>
      </w:r>
      <w:r w:rsidR="00720D2E" w:rsidRPr="003B6C5B">
        <w:rPr>
          <w:rFonts w:ascii="Times New Roman" w:hAnsi="Times New Roman" w:cs="Times New Roman"/>
        </w:rPr>
        <w:t>returns</w:t>
      </w:r>
      <w:r w:rsidRPr="003B6C5B">
        <w:rPr>
          <w:rFonts w:ascii="Times New Roman" w:hAnsi="Times New Roman" w:cs="Times New Roman"/>
        </w:rPr>
        <w:t xml:space="preserve"> occurrence of one asset affects that of another </w:t>
      </w:r>
      <w:r w:rsidR="009F245B" w:rsidRPr="003B6C5B">
        <w:rPr>
          <w:rFonts w:ascii="Times New Roman" w:hAnsi="Times New Roman" w:cs="Times New Roman"/>
        </w:rPr>
        <w:t xml:space="preserve">asset. </w:t>
      </w:r>
      <w:r w:rsidR="006A56A2" w:rsidRPr="003B6C5B">
        <w:rPr>
          <w:rFonts w:ascii="Times New Roman" w:hAnsi="Times New Roman" w:cs="Times New Roman"/>
        </w:rPr>
        <w:t xml:space="preserve">The left panel of Figure </w:t>
      </w:r>
      <w:r w:rsidR="00FE0A0C">
        <w:rPr>
          <w:rFonts w:ascii="Times New Roman" w:hAnsi="Times New Roman" w:cs="Times New Roman"/>
        </w:rPr>
        <w:t>3</w:t>
      </w:r>
      <w:r w:rsidR="006A56A2" w:rsidRPr="003B6C5B">
        <w:rPr>
          <w:rFonts w:ascii="Times New Roman" w:hAnsi="Times New Roman" w:cs="Times New Roman"/>
        </w:rPr>
        <w:t xml:space="preserve"> shows that </w:t>
      </w:r>
      <w:r w:rsidR="00F04B20" w:rsidRPr="003B6C5B">
        <w:rPr>
          <w:rFonts w:ascii="Times New Roman" w:hAnsi="Times New Roman" w:cs="Times New Roman"/>
        </w:rPr>
        <w:t>the carbon and energy markets have low degree of short-run kurtosis spillover in Stage 1</w:t>
      </w:r>
      <w:r w:rsidR="006A56A2" w:rsidRPr="003B6C5B">
        <w:rPr>
          <w:rFonts w:ascii="Times New Roman" w:hAnsi="Times New Roman" w:cs="Times New Roman"/>
        </w:rPr>
        <w:t xml:space="preserve">, with its highest </w:t>
      </w:r>
      <w:r w:rsidRPr="00B502DC">
        <w:rPr>
          <w:rFonts w:ascii="Times New Roman" w:hAnsi="Times New Roman" w:cs="Times New Roman"/>
        </w:rPr>
        <w:t>magnitude</w:t>
      </w:r>
      <w:r w:rsidR="006A56A2" w:rsidRPr="003B6C5B">
        <w:rPr>
          <w:rFonts w:ascii="Times New Roman" w:hAnsi="Times New Roman" w:cs="Times New Roman"/>
        </w:rPr>
        <w:t xml:space="preserve"> </w:t>
      </w:r>
      <w:r w:rsidR="00CE24AD">
        <w:rPr>
          <w:rFonts w:ascii="Times New Roman" w:hAnsi="Times New Roman" w:cs="Times New Roman"/>
        </w:rPr>
        <w:t>of 1.8</w:t>
      </w:r>
      <w:r w:rsidR="006A56A2" w:rsidRPr="003B6C5B">
        <w:rPr>
          <w:rFonts w:ascii="Times New Roman" w:hAnsi="Times New Roman" w:cs="Times New Roman" w:hint="eastAsia"/>
        </w:rPr>
        <w:t>%</w:t>
      </w:r>
      <w:r w:rsidRPr="003B6C5B">
        <w:rPr>
          <w:rFonts w:ascii="Times New Roman" w:hAnsi="Times New Roman" w:cs="Times New Roman"/>
        </w:rPr>
        <w:t xml:space="preserve">, which is spillover </w:t>
      </w:r>
      <w:r w:rsidRPr="00B502DC">
        <w:rPr>
          <w:rFonts w:ascii="Times New Roman" w:hAnsi="Times New Roman" w:cs="Times New Roman"/>
        </w:rPr>
        <w:t xml:space="preserve">from the </w:t>
      </w:r>
      <w:r w:rsidR="00720D2E" w:rsidRPr="00B502DC">
        <w:rPr>
          <w:rFonts w:ascii="Times New Roman" w:hAnsi="Times New Roman" w:cs="Times New Roman"/>
        </w:rPr>
        <w:t>K1144</w:t>
      </w:r>
      <w:r w:rsidRPr="00B502DC">
        <w:rPr>
          <w:rFonts w:ascii="Times New Roman" w:hAnsi="Times New Roman" w:cs="Times New Roman"/>
        </w:rPr>
        <w:t xml:space="preserve"> </w:t>
      </w:r>
      <w:r w:rsidR="009F48D8">
        <w:rPr>
          <w:rFonts w:ascii="Times New Roman" w:hAnsi="Times New Roman" w:cs="Times New Roman"/>
        </w:rPr>
        <w:t>to</w:t>
      </w:r>
      <w:r w:rsidR="009F48D8" w:rsidRPr="00B502DC">
        <w:rPr>
          <w:rFonts w:ascii="Times New Roman" w:hAnsi="Times New Roman" w:cs="Times New Roman"/>
        </w:rPr>
        <w:t xml:space="preserve"> </w:t>
      </w:r>
      <w:r w:rsidR="00720D2E" w:rsidRPr="00B502DC">
        <w:rPr>
          <w:rFonts w:ascii="Times New Roman" w:hAnsi="Times New Roman" w:cs="Times New Roman"/>
        </w:rPr>
        <w:t>K1111</w:t>
      </w:r>
      <w:r w:rsidRPr="003B6C5B">
        <w:rPr>
          <w:rFonts w:ascii="Times New Roman" w:hAnsi="Times New Roman" w:cs="Times New Roman"/>
        </w:rPr>
        <w:t xml:space="preserve">. </w:t>
      </w:r>
      <w:r w:rsidR="00B83A4E">
        <w:rPr>
          <w:rFonts w:ascii="Times New Roman" w:hAnsi="Times New Roman" w:cs="Times New Roman"/>
        </w:rPr>
        <w:t>As discussed in the sub-section 5.1, t</w:t>
      </w:r>
      <w:r w:rsidR="00843BEB">
        <w:rPr>
          <w:rFonts w:ascii="Times New Roman" w:hAnsi="Times New Roman" w:cs="Times New Roman"/>
        </w:rPr>
        <w:t xml:space="preserve">he decline of </w:t>
      </w:r>
      <w:r w:rsidR="00107B06" w:rsidRPr="003B6C5B">
        <w:rPr>
          <w:rFonts w:ascii="Times New Roman" w:hAnsi="Times New Roman" w:cs="Times New Roman"/>
        </w:rPr>
        <w:t xml:space="preserve">energy prices is </w:t>
      </w:r>
      <w:r w:rsidR="00076D51">
        <w:rPr>
          <w:rFonts w:ascii="Times New Roman" w:hAnsi="Times New Roman" w:cs="Times New Roman"/>
        </w:rPr>
        <w:t>strongly associated with the</w:t>
      </w:r>
      <w:r w:rsidR="00107B06" w:rsidRPr="003B6C5B">
        <w:rPr>
          <w:rFonts w:ascii="Times New Roman" w:hAnsi="Times New Roman" w:cs="Times New Roman"/>
        </w:rPr>
        <w:t xml:space="preserve"> long-run supply and demand</w:t>
      </w:r>
      <w:r w:rsidR="00F47936" w:rsidRPr="003B6C5B">
        <w:rPr>
          <w:rFonts w:ascii="Times New Roman" w:hAnsi="Times New Roman" w:cs="Times New Roman"/>
        </w:rPr>
        <w:t xml:space="preserve"> </w:t>
      </w:r>
      <w:r w:rsidR="00F578B3" w:rsidRPr="003B6C5B">
        <w:rPr>
          <w:rFonts w:ascii="Times New Roman" w:hAnsi="Times New Roman" w:cs="Times New Roman"/>
        </w:rPr>
        <w:t xml:space="preserve">of </w:t>
      </w:r>
      <w:r w:rsidR="009F48D8">
        <w:rPr>
          <w:rFonts w:ascii="Times New Roman" w:hAnsi="Times New Roman" w:cs="Times New Roman"/>
        </w:rPr>
        <w:t xml:space="preserve">the </w:t>
      </w:r>
      <w:r w:rsidR="00BC17BF" w:rsidRPr="003B6C5B">
        <w:rPr>
          <w:rFonts w:ascii="Times New Roman" w:hAnsi="Times New Roman" w:cs="Times New Roman"/>
        </w:rPr>
        <w:t xml:space="preserve">energy </w:t>
      </w:r>
      <w:r w:rsidR="00E7417B" w:rsidRPr="003B6C5B">
        <w:rPr>
          <w:rFonts w:ascii="Times New Roman" w:hAnsi="Times New Roman" w:cs="Times New Roman"/>
        </w:rPr>
        <w:t>market</w:t>
      </w:r>
      <w:r w:rsidR="00F578B3" w:rsidRPr="003B6C5B">
        <w:rPr>
          <w:rFonts w:ascii="Times New Roman" w:hAnsi="Times New Roman" w:cs="Times New Roman"/>
        </w:rPr>
        <w:t>.</w:t>
      </w:r>
      <w:r w:rsidR="00107B06" w:rsidRPr="003B6C5B">
        <w:rPr>
          <w:rFonts w:ascii="Times New Roman" w:hAnsi="Times New Roman" w:cs="Times New Roman"/>
        </w:rPr>
        <w:t xml:space="preserve"> </w:t>
      </w:r>
      <w:r w:rsidR="00076D51">
        <w:rPr>
          <w:rFonts w:ascii="Times New Roman" w:hAnsi="Times New Roman" w:cs="Times New Roman"/>
        </w:rPr>
        <w:t>For example, t</w:t>
      </w:r>
      <w:r w:rsidR="00107B06" w:rsidRPr="003B6C5B">
        <w:rPr>
          <w:rFonts w:ascii="Times New Roman" w:hAnsi="Times New Roman" w:cs="Times New Roman"/>
        </w:rPr>
        <w:t xml:space="preserve">he </w:t>
      </w:r>
      <w:r w:rsidR="00F578B3" w:rsidRPr="003B6C5B">
        <w:rPr>
          <w:rFonts w:ascii="Times New Roman" w:hAnsi="Times New Roman" w:cs="Times New Roman"/>
        </w:rPr>
        <w:t>S</w:t>
      </w:r>
      <w:r w:rsidR="00107B06" w:rsidRPr="003B6C5B">
        <w:rPr>
          <w:rFonts w:ascii="Times New Roman" w:hAnsi="Times New Roman" w:cs="Times New Roman"/>
        </w:rPr>
        <w:t xml:space="preserve">hale </w:t>
      </w:r>
      <w:r w:rsidR="00F85B31">
        <w:rPr>
          <w:rFonts w:ascii="Times New Roman" w:hAnsi="Times New Roman" w:cs="Times New Roman"/>
        </w:rPr>
        <w:t>G</w:t>
      </w:r>
      <w:r w:rsidR="00107B06" w:rsidRPr="003B6C5B">
        <w:rPr>
          <w:rFonts w:ascii="Times New Roman" w:hAnsi="Times New Roman" w:cs="Times New Roman"/>
        </w:rPr>
        <w:t xml:space="preserve">as </w:t>
      </w:r>
      <w:r w:rsidR="00F85B31">
        <w:rPr>
          <w:rFonts w:ascii="Times New Roman" w:hAnsi="Times New Roman" w:cs="Times New Roman"/>
        </w:rPr>
        <w:t>R</w:t>
      </w:r>
      <w:r w:rsidR="00107B06" w:rsidRPr="003B6C5B">
        <w:rPr>
          <w:rFonts w:ascii="Times New Roman" w:hAnsi="Times New Roman" w:cs="Times New Roman"/>
        </w:rPr>
        <w:t xml:space="preserve">evolution has made the US a major energy exporter, and a </w:t>
      </w:r>
      <w:r w:rsidR="00076D51">
        <w:rPr>
          <w:rFonts w:ascii="Times New Roman" w:hAnsi="Times New Roman" w:cs="Times New Roman"/>
        </w:rPr>
        <w:t>substantial</w:t>
      </w:r>
      <w:r w:rsidR="00107B06" w:rsidRPr="003B6C5B">
        <w:rPr>
          <w:rFonts w:ascii="Times New Roman" w:hAnsi="Times New Roman" w:cs="Times New Roman"/>
        </w:rPr>
        <w:t xml:space="preserve"> increase in crude oil supply has been the dominant factor for the decline in </w:t>
      </w:r>
      <w:r w:rsidR="00B83A4E">
        <w:rPr>
          <w:rFonts w:ascii="Times New Roman" w:hAnsi="Times New Roman" w:cs="Times New Roman"/>
        </w:rPr>
        <w:t xml:space="preserve">all </w:t>
      </w:r>
      <w:r w:rsidR="00107B06" w:rsidRPr="003B6C5B">
        <w:rPr>
          <w:rFonts w:ascii="Times New Roman" w:hAnsi="Times New Roman" w:cs="Times New Roman"/>
        </w:rPr>
        <w:t xml:space="preserve">energy prices. As a result, </w:t>
      </w:r>
      <w:r w:rsidR="00B83A4E">
        <w:rPr>
          <w:rFonts w:ascii="Times New Roman" w:hAnsi="Times New Roman" w:cs="Times New Roman"/>
        </w:rPr>
        <w:t xml:space="preserve">any </w:t>
      </w:r>
      <w:r w:rsidR="00107B06" w:rsidRPr="003B6C5B">
        <w:rPr>
          <w:rFonts w:ascii="Times New Roman" w:hAnsi="Times New Roman" w:cs="Times New Roman"/>
        </w:rPr>
        <w:t xml:space="preserve">price changes </w:t>
      </w:r>
      <w:r w:rsidR="00B83A4E">
        <w:rPr>
          <w:rFonts w:ascii="Times New Roman" w:hAnsi="Times New Roman" w:cs="Times New Roman"/>
        </w:rPr>
        <w:t xml:space="preserve">due to short-run shocks </w:t>
      </w:r>
      <w:r w:rsidR="00107B06" w:rsidRPr="003B6C5B">
        <w:rPr>
          <w:rFonts w:ascii="Times New Roman" w:hAnsi="Times New Roman" w:cs="Times New Roman"/>
        </w:rPr>
        <w:t xml:space="preserve">do not </w:t>
      </w:r>
      <w:r w:rsidR="00B83A4E">
        <w:rPr>
          <w:rFonts w:ascii="Times New Roman" w:hAnsi="Times New Roman" w:cs="Times New Roman"/>
        </w:rPr>
        <w:t>contribute to</w:t>
      </w:r>
      <w:r w:rsidR="00107B06" w:rsidRPr="003B6C5B">
        <w:rPr>
          <w:rFonts w:ascii="Times New Roman" w:hAnsi="Times New Roman" w:cs="Times New Roman"/>
        </w:rPr>
        <w:t xml:space="preserve"> kurtosis spillover between the carbon and energy markets.</w:t>
      </w:r>
      <w:r w:rsidR="003E78E3">
        <w:rPr>
          <w:rFonts w:ascii="Times New Roman" w:hAnsi="Times New Roman" w:cs="Times New Roman"/>
        </w:rPr>
        <w:t xml:space="preserve"> </w:t>
      </w:r>
      <w:r w:rsidR="00107B06" w:rsidRPr="003B6C5B">
        <w:rPr>
          <w:rFonts w:ascii="Times New Roman" w:hAnsi="Times New Roman" w:cs="Times New Roman"/>
        </w:rPr>
        <w:t xml:space="preserve">In </w:t>
      </w:r>
      <w:r w:rsidR="00803DCC">
        <w:rPr>
          <w:rFonts w:ascii="Times New Roman" w:hAnsi="Times New Roman" w:cs="Times New Roman"/>
        </w:rPr>
        <w:t>Stage 2</w:t>
      </w:r>
      <w:r w:rsidR="003E78E3">
        <w:rPr>
          <w:rFonts w:ascii="Times New Roman" w:hAnsi="Times New Roman" w:cs="Times New Roman"/>
        </w:rPr>
        <w:t xml:space="preserve"> </w:t>
      </w:r>
      <w:r w:rsidR="00107B06" w:rsidRPr="003B6C5B">
        <w:rPr>
          <w:rFonts w:ascii="Times New Roman" w:hAnsi="Times New Roman" w:cs="Times New Roman"/>
        </w:rPr>
        <w:t xml:space="preserve">the short-run kurtosis spillover became </w:t>
      </w:r>
      <w:r w:rsidR="00803DCC">
        <w:rPr>
          <w:rFonts w:ascii="Times New Roman" w:hAnsi="Times New Roman" w:cs="Times New Roman"/>
        </w:rPr>
        <w:t xml:space="preserve">weaker </w:t>
      </w:r>
      <w:r w:rsidR="00E7417B" w:rsidRPr="003B6C5B">
        <w:rPr>
          <w:rFonts w:ascii="Times New Roman" w:hAnsi="Times New Roman" w:cs="Times New Roman"/>
        </w:rPr>
        <w:t xml:space="preserve">as </w:t>
      </w:r>
      <w:r w:rsidR="00107B06" w:rsidRPr="00613002">
        <w:rPr>
          <w:rFonts w:ascii="Times New Roman" w:hAnsi="Times New Roman" w:cs="Times New Roman"/>
        </w:rPr>
        <w:t>magnitudes</w:t>
      </w:r>
      <w:r w:rsidR="00107B06" w:rsidRPr="00B93243">
        <w:rPr>
          <w:rFonts w:ascii="Times New Roman" w:hAnsi="Times New Roman" w:cs="Times New Roman"/>
        </w:rPr>
        <w:t xml:space="preserve"> of kurtosis</w:t>
      </w:r>
      <w:r w:rsidR="00107B06" w:rsidRPr="003B6C5B">
        <w:rPr>
          <w:rFonts w:ascii="Times New Roman" w:hAnsi="Times New Roman" w:cs="Times New Roman"/>
        </w:rPr>
        <w:t xml:space="preserve"> spillover</w:t>
      </w:r>
      <w:r w:rsidR="00E7417B" w:rsidRPr="003B6C5B">
        <w:rPr>
          <w:rFonts w:ascii="Times New Roman" w:hAnsi="Times New Roman" w:cs="Times New Roman"/>
        </w:rPr>
        <w:t>s</w:t>
      </w:r>
      <w:r w:rsidR="00107B06" w:rsidRPr="003B6C5B">
        <w:rPr>
          <w:rFonts w:ascii="Times New Roman" w:hAnsi="Times New Roman" w:cs="Times New Roman"/>
        </w:rPr>
        <w:t xml:space="preserve"> </w:t>
      </w:r>
      <w:r w:rsidR="00107B06" w:rsidRPr="003B6C5B">
        <w:rPr>
          <w:rFonts w:ascii="Times New Roman" w:hAnsi="Times New Roman" w:cs="Times New Roman"/>
        </w:rPr>
        <w:lastRenderedPageBreak/>
        <w:t>are less than 1</w:t>
      </w:r>
      <w:r w:rsidR="00E7417B" w:rsidRPr="003B6C5B">
        <w:rPr>
          <w:rFonts w:ascii="Times New Roman" w:hAnsi="Times New Roman" w:cs="Times New Roman"/>
        </w:rPr>
        <w:t>%</w:t>
      </w:r>
      <w:r w:rsidR="00803DCC">
        <w:rPr>
          <w:rFonts w:ascii="Times New Roman" w:hAnsi="Times New Roman" w:cs="Times New Roman"/>
        </w:rPr>
        <w:t>. This</w:t>
      </w:r>
      <w:r w:rsidR="00E7417B" w:rsidRPr="003B6C5B">
        <w:rPr>
          <w:rFonts w:ascii="Times New Roman" w:hAnsi="Times New Roman" w:cs="Times New Roman"/>
        </w:rPr>
        <w:t xml:space="preserve"> </w:t>
      </w:r>
      <w:r w:rsidR="00803DCC" w:rsidRPr="003B6C5B">
        <w:rPr>
          <w:rFonts w:ascii="Times New Roman" w:hAnsi="Times New Roman" w:cs="Times New Roman"/>
        </w:rPr>
        <w:t>impl</w:t>
      </w:r>
      <w:r w:rsidR="00803DCC">
        <w:rPr>
          <w:rFonts w:ascii="Times New Roman" w:hAnsi="Times New Roman" w:cs="Times New Roman"/>
        </w:rPr>
        <w:t>ies</w:t>
      </w:r>
      <w:r w:rsidR="00803DCC" w:rsidRPr="003B6C5B">
        <w:rPr>
          <w:rFonts w:ascii="Times New Roman" w:hAnsi="Times New Roman" w:cs="Times New Roman"/>
        </w:rPr>
        <w:t xml:space="preserve"> </w:t>
      </w:r>
      <w:r w:rsidR="00107B06" w:rsidRPr="003B6C5B">
        <w:rPr>
          <w:rFonts w:ascii="Times New Roman" w:hAnsi="Times New Roman" w:cs="Times New Roman"/>
        </w:rPr>
        <w:t>that high carbon prices do not</w:t>
      </w:r>
      <w:r w:rsidR="00803DCC">
        <w:rPr>
          <w:rFonts w:ascii="Times New Roman" w:hAnsi="Times New Roman" w:cs="Times New Roman"/>
        </w:rPr>
        <w:t xml:space="preserve"> seem to</w:t>
      </w:r>
      <w:r w:rsidR="00107B06" w:rsidRPr="003B6C5B">
        <w:rPr>
          <w:rFonts w:ascii="Times New Roman" w:hAnsi="Times New Roman" w:cs="Times New Roman"/>
        </w:rPr>
        <w:t xml:space="preserve"> influence the short-run kurtosis in the energy markets and vice versa.</w:t>
      </w:r>
      <w:bookmarkEnd w:id="11"/>
    </w:p>
    <w:p w14:paraId="15A4226B" w14:textId="1F027E36" w:rsidR="00107B06" w:rsidRPr="00613002" w:rsidRDefault="00E7417B" w:rsidP="006724D6">
      <w:pPr>
        <w:pStyle w:val="NormalWeb"/>
        <w:spacing w:before="0" w:beforeAutospacing="0" w:after="0" w:afterAutospacing="0" w:line="480" w:lineRule="auto"/>
        <w:ind w:firstLineChars="177" w:firstLine="425"/>
        <w:jc w:val="both"/>
        <w:rPr>
          <w:rFonts w:ascii="Times New Roman" w:hAnsi="Times New Roman" w:cs="Times New Roman"/>
        </w:rPr>
      </w:pPr>
      <w:bookmarkStart w:id="12" w:name="_Hlk67384288"/>
      <w:r w:rsidRPr="003B6C5B">
        <w:rPr>
          <w:rFonts w:ascii="Times New Roman" w:hAnsi="Times New Roman" w:cs="Times New Roman"/>
        </w:rPr>
        <w:t>In summary</w:t>
      </w:r>
      <w:r w:rsidRPr="003B6C5B">
        <w:rPr>
          <w:rFonts w:ascii="Times New Roman" w:hAnsi="Times New Roman" w:cs="Times New Roman" w:hint="eastAsia"/>
        </w:rPr>
        <w:t>,</w:t>
      </w:r>
      <w:r w:rsidRPr="003B6C5B">
        <w:rPr>
          <w:rFonts w:ascii="Times New Roman" w:hAnsi="Times New Roman" w:cs="Times New Roman"/>
        </w:rPr>
        <w:t xml:space="preserve"> we report that </w:t>
      </w:r>
      <w:r w:rsidR="00107B06" w:rsidRPr="003B6C5B">
        <w:rPr>
          <w:rFonts w:ascii="Times New Roman" w:hAnsi="Times New Roman" w:cs="Times New Roman"/>
        </w:rPr>
        <w:t xml:space="preserve">the spillovers in the higher-order moments between the carbon and energy markets </w:t>
      </w:r>
      <w:r w:rsidR="00BA08BC">
        <w:rPr>
          <w:rFonts w:ascii="Times New Roman" w:hAnsi="Times New Roman" w:cs="Times New Roman"/>
        </w:rPr>
        <w:t>at</w:t>
      </w:r>
      <w:r w:rsidR="00803DCC">
        <w:rPr>
          <w:rFonts w:ascii="Times New Roman" w:hAnsi="Times New Roman" w:cs="Times New Roman"/>
        </w:rPr>
        <w:t xml:space="preserve"> </w:t>
      </w:r>
      <w:r w:rsidR="00803DCC" w:rsidRPr="003B6C5B">
        <w:rPr>
          <w:rFonts w:ascii="Times New Roman" w:hAnsi="Times New Roman" w:cs="Times New Roman"/>
        </w:rPr>
        <w:t xml:space="preserve">the short-run timescales </w:t>
      </w:r>
      <w:r w:rsidR="001C166C">
        <w:rPr>
          <w:rFonts w:ascii="Times New Roman" w:hAnsi="Times New Roman" w:cs="Times New Roman"/>
        </w:rPr>
        <w:t>are</w:t>
      </w:r>
      <w:r w:rsidR="00107B06" w:rsidRPr="003B6C5B">
        <w:rPr>
          <w:rFonts w:ascii="Times New Roman" w:hAnsi="Times New Roman" w:cs="Times New Roman"/>
        </w:rPr>
        <w:t xml:space="preserve"> weak, </w:t>
      </w:r>
      <w:r w:rsidR="00E36F2A" w:rsidRPr="003B6C5B">
        <w:rPr>
          <w:rFonts w:ascii="Times New Roman" w:hAnsi="Times New Roman" w:cs="Times New Roman"/>
        </w:rPr>
        <w:t xml:space="preserve">despite </w:t>
      </w:r>
      <w:r w:rsidRPr="003B6C5B">
        <w:rPr>
          <w:rFonts w:ascii="Times New Roman" w:hAnsi="Times New Roman" w:cs="Times New Roman"/>
        </w:rPr>
        <w:t xml:space="preserve">the </w:t>
      </w:r>
      <w:r w:rsidR="009F245B" w:rsidRPr="003B6C5B">
        <w:rPr>
          <w:rFonts w:ascii="Times New Roman" w:hAnsi="Times New Roman" w:cs="Times New Roman"/>
        </w:rPr>
        <w:t>potential</w:t>
      </w:r>
      <w:r w:rsidRPr="003B6C5B">
        <w:rPr>
          <w:rFonts w:ascii="Times New Roman" w:hAnsi="Times New Roman" w:cs="Times New Roman"/>
        </w:rPr>
        <w:t xml:space="preserve"> impactful</w:t>
      </w:r>
      <w:r w:rsidR="007E25D1" w:rsidRPr="003B6C5B">
        <w:rPr>
          <w:rFonts w:ascii="Times New Roman" w:hAnsi="Times New Roman" w:cs="Times New Roman"/>
        </w:rPr>
        <w:t xml:space="preserve"> </w:t>
      </w:r>
      <w:r w:rsidRPr="003B6C5B">
        <w:rPr>
          <w:rFonts w:ascii="Times New Roman" w:hAnsi="Times New Roman" w:cs="Times New Roman"/>
        </w:rPr>
        <w:t>drivers</w:t>
      </w:r>
      <w:r w:rsidR="007E25D1" w:rsidRPr="003B6C5B">
        <w:rPr>
          <w:rFonts w:ascii="Times New Roman" w:hAnsi="Times New Roman" w:cs="Times New Roman"/>
        </w:rPr>
        <w:t xml:space="preserve"> of spillovers</w:t>
      </w:r>
      <w:r w:rsidRPr="003B6C5B">
        <w:rPr>
          <w:rFonts w:ascii="Times New Roman" w:hAnsi="Times New Roman" w:cs="Times New Roman"/>
        </w:rPr>
        <w:t xml:space="preserve"> </w:t>
      </w:r>
      <w:r w:rsidR="007E25D1" w:rsidRPr="003B6C5B">
        <w:rPr>
          <w:rFonts w:ascii="Times New Roman" w:hAnsi="Times New Roman" w:cs="Times New Roman"/>
        </w:rPr>
        <w:t xml:space="preserve">such </w:t>
      </w:r>
      <w:r w:rsidR="007E25D1" w:rsidRPr="00613002">
        <w:rPr>
          <w:rFonts w:ascii="Times New Roman" w:hAnsi="Times New Roman" w:cs="Times New Roman"/>
        </w:rPr>
        <w:t xml:space="preserve">as </w:t>
      </w:r>
      <w:r w:rsidR="009F245B" w:rsidRPr="00613002">
        <w:rPr>
          <w:rFonts w:ascii="Times New Roman" w:hAnsi="Times New Roman" w:cs="Times New Roman"/>
        </w:rPr>
        <w:t>implementation</w:t>
      </w:r>
      <w:r w:rsidR="00107B06" w:rsidRPr="00613002">
        <w:rPr>
          <w:rFonts w:ascii="Times New Roman" w:hAnsi="Times New Roman" w:cs="Times New Roman"/>
        </w:rPr>
        <w:t xml:space="preserve"> of reform policies in the carbon market</w:t>
      </w:r>
      <w:r w:rsidRPr="00613002">
        <w:rPr>
          <w:rFonts w:ascii="Times New Roman" w:hAnsi="Times New Roman" w:cs="Times New Roman"/>
        </w:rPr>
        <w:t xml:space="preserve"> </w:t>
      </w:r>
      <w:r w:rsidR="00107B06" w:rsidRPr="00613002">
        <w:rPr>
          <w:rFonts w:ascii="Times New Roman" w:hAnsi="Times New Roman" w:cs="Times New Roman"/>
        </w:rPr>
        <w:t xml:space="preserve">and the </w:t>
      </w:r>
      <w:r w:rsidR="00B93243" w:rsidRPr="00613002">
        <w:rPr>
          <w:rFonts w:ascii="Times New Roman" w:hAnsi="Times New Roman" w:cs="Times New Roman"/>
        </w:rPr>
        <w:t>price rising in carbon</w:t>
      </w:r>
      <w:r w:rsidR="00107B06" w:rsidRPr="00613002">
        <w:rPr>
          <w:rFonts w:ascii="Times New Roman" w:hAnsi="Times New Roman" w:cs="Times New Roman"/>
        </w:rPr>
        <w:t>. This finding</w:t>
      </w:r>
      <w:r w:rsidR="00107B06" w:rsidRPr="003B6C5B">
        <w:rPr>
          <w:rFonts w:ascii="Times New Roman" w:hAnsi="Times New Roman" w:cs="Times New Roman"/>
        </w:rPr>
        <w:t xml:space="preserve"> expands our knowledge of the short-run nature of the drivers of the carbon market. </w:t>
      </w:r>
      <w:r w:rsidR="003F2EAC">
        <w:rPr>
          <w:rFonts w:ascii="Times New Roman" w:hAnsi="Times New Roman" w:cs="Times New Roman"/>
        </w:rPr>
        <w:t>N</w:t>
      </w:r>
      <w:r w:rsidR="00107B06" w:rsidRPr="003B6C5B">
        <w:rPr>
          <w:rFonts w:ascii="Times New Roman" w:hAnsi="Times New Roman" w:cs="Times New Roman"/>
        </w:rPr>
        <w:t xml:space="preserve">umber of studies </w:t>
      </w:r>
      <w:r w:rsidR="00E81CDB" w:rsidRPr="003B6C5B">
        <w:rPr>
          <w:rFonts w:ascii="Times New Roman" w:hAnsi="Times New Roman" w:cs="Times New Roman"/>
        </w:rPr>
        <w:t xml:space="preserve">such as </w:t>
      </w:r>
      <w:r w:rsidR="00EA3FF6" w:rsidRPr="003B6C5B">
        <w:rPr>
          <w:rFonts w:ascii="Times New Roman" w:hAnsi="Times New Roman" w:cs="Times New Roman"/>
        </w:rPr>
        <w:t>Keppler and Mansanet-Bataller (2010), Zhu et al. (2019</w:t>
      </w:r>
      <w:r w:rsidR="00E81CDB" w:rsidRPr="003B6C5B">
        <w:rPr>
          <w:rFonts w:ascii="Times New Roman" w:hAnsi="Times New Roman" w:cs="Times New Roman"/>
        </w:rPr>
        <w:t xml:space="preserve">) </w:t>
      </w:r>
      <w:r w:rsidR="00107B06" w:rsidRPr="003B6C5B">
        <w:rPr>
          <w:rFonts w:ascii="Times New Roman" w:hAnsi="Times New Roman" w:cs="Times New Roman"/>
        </w:rPr>
        <w:t xml:space="preserve">found a short-run impact of energy </w:t>
      </w:r>
      <w:r w:rsidR="00E337D7">
        <w:rPr>
          <w:rFonts w:ascii="Times New Roman" w:hAnsi="Times New Roman" w:cs="Times New Roman"/>
        </w:rPr>
        <w:t>markets</w:t>
      </w:r>
      <w:r w:rsidR="00E337D7" w:rsidRPr="003B6C5B">
        <w:rPr>
          <w:rFonts w:ascii="Times New Roman" w:hAnsi="Times New Roman" w:cs="Times New Roman"/>
        </w:rPr>
        <w:t xml:space="preserve"> </w:t>
      </w:r>
      <w:r w:rsidR="00107B06" w:rsidRPr="003B6C5B">
        <w:rPr>
          <w:rFonts w:ascii="Times New Roman" w:hAnsi="Times New Roman" w:cs="Times New Roman"/>
        </w:rPr>
        <w:t xml:space="preserve">on </w:t>
      </w:r>
      <w:r w:rsidR="00E337D7">
        <w:rPr>
          <w:rFonts w:ascii="Times New Roman" w:hAnsi="Times New Roman" w:cs="Times New Roman"/>
        </w:rPr>
        <w:t xml:space="preserve">the </w:t>
      </w:r>
      <w:r w:rsidR="00107B06" w:rsidRPr="003B6C5B">
        <w:rPr>
          <w:rFonts w:ascii="Times New Roman" w:hAnsi="Times New Roman" w:cs="Times New Roman"/>
        </w:rPr>
        <w:t>carbon</w:t>
      </w:r>
      <w:r w:rsidR="00E337D7">
        <w:rPr>
          <w:rFonts w:ascii="Times New Roman" w:hAnsi="Times New Roman" w:cs="Times New Roman"/>
        </w:rPr>
        <w:t xml:space="preserve"> market</w:t>
      </w:r>
      <w:r w:rsidR="003F2EAC">
        <w:rPr>
          <w:rFonts w:ascii="Times New Roman" w:hAnsi="Times New Roman" w:cs="Times New Roman"/>
        </w:rPr>
        <w:t>. To advance this area of research, o</w:t>
      </w:r>
      <w:r w:rsidR="00107B06" w:rsidRPr="003B6C5B">
        <w:rPr>
          <w:rFonts w:ascii="Times New Roman" w:hAnsi="Times New Roman" w:cs="Times New Roman"/>
        </w:rPr>
        <w:t xml:space="preserve">ur findings </w:t>
      </w:r>
      <w:r w:rsidR="003F2EAC">
        <w:rPr>
          <w:rFonts w:ascii="Times New Roman" w:hAnsi="Times New Roman" w:cs="Times New Roman"/>
        </w:rPr>
        <w:t>evidence</w:t>
      </w:r>
      <w:r w:rsidR="003F2EAC" w:rsidRPr="003B6C5B">
        <w:rPr>
          <w:rFonts w:ascii="Times New Roman" w:hAnsi="Times New Roman" w:cs="Times New Roman"/>
        </w:rPr>
        <w:t xml:space="preserve"> </w:t>
      </w:r>
      <w:r w:rsidR="00107B06" w:rsidRPr="003B6C5B">
        <w:rPr>
          <w:rFonts w:ascii="Times New Roman" w:hAnsi="Times New Roman" w:cs="Times New Roman"/>
        </w:rPr>
        <w:t xml:space="preserve">the seeming inability of energy </w:t>
      </w:r>
      <w:r w:rsidR="00533FDB">
        <w:rPr>
          <w:rFonts w:ascii="Times New Roman" w:hAnsi="Times New Roman" w:cs="Times New Roman"/>
        </w:rPr>
        <w:t>assets</w:t>
      </w:r>
      <w:r w:rsidR="00533FDB" w:rsidRPr="003B6C5B">
        <w:rPr>
          <w:rFonts w:ascii="Times New Roman" w:hAnsi="Times New Roman" w:cs="Times New Roman"/>
        </w:rPr>
        <w:t xml:space="preserve"> </w:t>
      </w:r>
      <w:r w:rsidR="00107B06" w:rsidRPr="003B6C5B">
        <w:rPr>
          <w:rFonts w:ascii="Times New Roman" w:hAnsi="Times New Roman" w:cs="Times New Roman"/>
        </w:rPr>
        <w:t xml:space="preserve">to drive </w:t>
      </w:r>
      <w:r w:rsidR="00184D3D">
        <w:rPr>
          <w:rFonts w:ascii="Times New Roman" w:hAnsi="Times New Roman" w:cs="Times New Roman"/>
        </w:rPr>
        <w:t xml:space="preserve">the </w:t>
      </w:r>
      <w:r w:rsidR="00BA08BC">
        <w:rPr>
          <w:rFonts w:ascii="Times New Roman" w:hAnsi="Times New Roman" w:cs="Times New Roman"/>
        </w:rPr>
        <w:t xml:space="preserve">asymmetric </w:t>
      </w:r>
      <w:r w:rsidR="003F2EAC" w:rsidRPr="00613002">
        <w:rPr>
          <w:rFonts w:ascii="Times New Roman" w:hAnsi="Times New Roman" w:cs="Times New Roman"/>
        </w:rPr>
        <w:t xml:space="preserve">fat-tailed return distributions </w:t>
      </w:r>
      <w:r w:rsidR="00BA08BC" w:rsidRPr="00613002">
        <w:rPr>
          <w:rFonts w:ascii="Times New Roman" w:hAnsi="Times New Roman" w:cs="Times New Roman"/>
        </w:rPr>
        <w:t xml:space="preserve">of </w:t>
      </w:r>
      <w:r w:rsidR="00107B06" w:rsidRPr="00613002">
        <w:rPr>
          <w:rFonts w:ascii="Times New Roman" w:hAnsi="Times New Roman" w:cs="Times New Roman"/>
        </w:rPr>
        <w:t xml:space="preserve">carbon prices </w:t>
      </w:r>
      <w:r w:rsidR="003F2EAC" w:rsidRPr="00613002">
        <w:rPr>
          <w:rFonts w:ascii="Times New Roman" w:hAnsi="Times New Roman" w:cs="Times New Roman"/>
        </w:rPr>
        <w:t xml:space="preserve">at </w:t>
      </w:r>
      <w:r w:rsidR="00107B06" w:rsidRPr="00613002">
        <w:rPr>
          <w:rFonts w:ascii="Times New Roman" w:hAnsi="Times New Roman" w:cs="Times New Roman"/>
        </w:rPr>
        <w:t>the short-run timescales.</w:t>
      </w:r>
      <w:bookmarkEnd w:id="12"/>
      <w:r w:rsidR="00E11CB7" w:rsidRPr="00613002">
        <w:rPr>
          <w:rFonts w:ascii="Times New Roman" w:hAnsi="Times New Roman" w:cs="Times New Roman"/>
        </w:rPr>
        <w:t xml:space="preserve"> </w:t>
      </w:r>
    </w:p>
    <w:p w14:paraId="2E68F0FB" w14:textId="7B1C5F47" w:rsidR="00325478" w:rsidRPr="003B6C5B" w:rsidRDefault="00184D3D" w:rsidP="003B6C5B">
      <w:pPr>
        <w:pStyle w:val="NormalWeb"/>
        <w:spacing w:before="0" w:beforeAutospacing="0" w:after="0" w:afterAutospacing="0" w:line="480" w:lineRule="auto"/>
        <w:ind w:firstLineChars="177" w:firstLine="425"/>
        <w:jc w:val="both"/>
        <w:rPr>
          <w:rFonts w:ascii="Times New Roman" w:hAnsi="Times New Roman" w:cs="Times New Roman"/>
        </w:rPr>
      </w:pPr>
      <w:r w:rsidRPr="00613002">
        <w:rPr>
          <w:rFonts w:ascii="Times New Roman" w:hAnsi="Times New Roman" w:cs="Times New Roman"/>
        </w:rPr>
        <w:t>The previous studies</w:t>
      </w:r>
      <w:r w:rsidR="00325478" w:rsidRPr="00613002">
        <w:rPr>
          <w:rFonts w:ascii="Times New Roman" w:hAnsi="Times New Roman" w:cs="Times New Roman"/>
        </w:rPr>
        <w:t xml:space="preserve"> such as Ji et al. (2018) and Geng et al. (2021)</w:t>
      </w:r>
      <w:r w:rsidRPr="00613002">
        <w:rPr>
          <w:rFonts w:ascii="Times New Roman" w:hAnsi="Times New Roman" w:cs="Times New Roman"/>
        </w:rPr>
        <w:t xml:space="preserve"> do </w:t>
      </w:r>
      <w:r w:rsidR="00325478" w:rsidRPr="00613002">
        <w:rPr>
          <w:rFonts w:ascii="Times New Roman" w:hAnsi="Times New Roman" w:cs="Times New Roman"/>
        </w:rPr>
        <w:t xml:space="preserve">not consider </w:t>
      </w:r>
      <w:r w:rsidR="00C72E1B" w:rsidRPr="00613002">
        <w:rPr>
          <w:rFonts w:ascii="Times New Roman" w:hAnsi="Times New Roman" w:cs="Times New Roman"/>
        </w:rPr>
        <w:t>co-moment</w:t>
      </w:r>
      <w:r w:rsidRPr="00613002">
        <w:rPr>
          <w:rFonts w:ascii="Times New Roman" w:hAnsi="Times New Roman" w:cs="Times New Roman"/>
        </w:rPr>
        <w:t xml:space="preserve"> of higher-order moments.</w:t>
      </w:r>
      <w:r w:rsidR="00325478" w:rsidRPr="00613002">
        <w:rPr>
          <w:rFonts w:ascii="Times New Roman" w:hAnsi="Times New Roman" w:cs="Times New Roman"/>
        </w:rPr>
        <w:t xml:space="preserve"> </w:t>
      </w:r>
      <w:r w:rsidRPr="00613002">
        <w:rPr>
          <w:rFonts w:ascii="Times New Roman" w:hAnsi="Times New Roman" w:cs="Times New Roman"/>
        </w:rPr>
        <w:t>As pointed out in the section 2,</w:t>
      </w:r>
      <w:r>
        <w:rPr>
          <w:rFonts w:ascii="Times New Roman" w:hAnsi="Times New Roman" w:cs="Times New Roman"/>
        </w:rPr>
        <w:t xml:space="preserve"> the neglect of the co-</w:t>
      </w:r>
      <w:r w:rsidR="00C72E1B">
        <w:rPr>
          <w:rFonts w:ascii="Times New Roman" w:hAnsi="Times New Roman" w:cs="Times New Roman"/>
        </w:rPr>
        <w:t>moment</w:t>
      </w:r>
      <w:r>
        <w:rPr>
          <w:rFonts w:ascii="Times New Roman" w:hAnsi="Times New Roman" w:cs="Times New Roman"/>
        </w:rPr>
        <w:t xml:space="preserve"> of higher-order moments will make </w:t>
      </w:r>
      <w:r w:rsidR="00C72E1B">
        <w:rPr>
          <w:rFonts w:ascii="Times New Roman" w:hAnsi="Times New Roman" w:cs="Times New Roman"/>
        </w:rPr>
        <w:t>empirical</w:t>
      </w:r>
      <w:r>
        <w:rPr>
          <w:rFonts w:ascii="Times New Roman" w:hAnsi="Times New Roman" w:cs="Times New Roman"/>
        </w:rPr>
        <w:t xml:space="preserve"> studies less </w:t>
      </w:r>
      <w:r w:rsidR="00C72E1B">
        <w:rPr>
          <w:rFonts w:ascii="Times New Roman" w:hAnsi="Times New Roman" w:cs="Times New Roman"/>
        </w:rPr>
        <w:t>rigorous</w:t>
      </w:r>
      <w:r>
        <w:rPr>
          <w:rFonts w:ascii="Times New Roman" w:hAnsi="Times New Roman" w:cs="Times New Roman"/>
        </w:rPr>
        <w:t xml:space="preserve">. </w:t>
      </w:r>
      <w:r w:rsidR="004C19A5">
        <w:rPr>
          <w:rFonts w:ascii="Times New Roman" w:hAnsi="Times New Roman" w:cs="Times New Roman"/>
        </w:rPr>
        <w:t xml:space="preserve">Specifically, spillovers of the co-skewness and co-kurtosis </w:t>
      </w:r>
      <w:r w:rsidR="00325478" w:rsidRPr="003B6C5B">
        <w:rPr>
          <w:rFonts w:ascii="Times New Roman" w:hAnsi="Times New Roman" w:cs="Times New Roman"/>
        </w:rPr>
        <w:t>are assigned to individual skewness/kurtosis terms (</w:t>
      </w:r>
      <w:r w:rsidR="00325478" w:rsidRPr="003B6C5B">
        <w:rPr>
          <w:rFonts w:ascii="Times New Roman" w:hAnsi="Times New Roman" w:cs="Times New Roman"/>
          <w:i/>
          <w:iCs/>
        </w:rPr>
        <w:t>e</w:t>
      </w:r>
      <w:r w:rsidR="00325478" w:rsidRPr="003B6C5B">
        <w:rPr>
          <w:rFonts w:ascii="Times New Roman" w:hAnsi="Times New Roman" w:cs="Times New Roman"/>
        </w:rPr>
        <w:t>.</w:t>
      </w:r>
      <w:r w:rsidR="00325478" w:rsidRPr="003B6C5B">
        <w:rPr>
          <w:rFonts w:ascii="Times New Roman" w:hAnsi="Times New Roman" w:cs="Times New Roman"/>
          <w:i/>
          <w:iCs/>
        </w:rPr>
        <w:t>g</w:t>
      </w:r>
      <w:r w:rsidR="00325478" w:rsidRPr="003B6C5B">
        <w:rPr>
          <w:rFonts w:ascii="Times New Roman" w:hAnsi="Times New Roman" w:cs="Times New Roman"/>
        </w:rPr>
        <w:t>., S222 or K3333)</w:t>
      </w:r>
      <w:r w:rsidR="004C19A5">
        <w:rPr>
          <w:rFonts w:ascii="Times New Roman" w:hAnsi="Times New Roman" w:cs="Times New Roman"/>
        </w:rPr>
        <w:t xml:space="preserve"> </w:t>
      </w:r>
      <w:r w:rsidR="004C19A5" w:rsidRPr="00542A94">
        <w:rPr>
          <w:rFonts w:ascii="Times New Roman" w:hAnsi="Times New Roman" w:cs="Times New Roman"/>
        </w:rPr>
        <w:t>when the co-moment is ignored. This</w:t>
      </w:r>
      <w:r w:rsidR="00325478" w:rsidRPr="00542A94">
        <w:rPr>
          <w:rFonts w:ascii="Times New Roman" w:hAnsi="Times New Roman" w:cs="Times New Roman"/>
        </w:rPr>
        <w:t xml:space="preserve"> may </w:t>
      </w:r>
      <w:r w:rsidR="004C19A5" w:rsidRPr="00542A94">
        <w:rPr>
          <w:rFonts w:ascii="Times New Roman" w:hAnsi="Times New Roman" w:cs="Times New Roman"/>
        </w:rPr>
        <w:t>mislead</w:t>
      </w:r>
      <w:r w:rsidR="00325478" w:rsidRPr="00542A94">
        <w:rPr>
          <w:rFonts w:ascii="Times New Roman" w:hAnsi="Times New Roman" w:cs="Times New Roman"/>
        </w:rPr>
        <w:t xml:space="preserve"> </w:t>
      </w:r>
      <w:r w:rsidR="004C19A5" w:rsidRPr="00542A94">
        <w:rPr>
          <w:rFonts w:ascii="Times New Roman" w:hAnsi="Times New Roman" w:cs="Times New Roman"/>
        </w:rPr>
        <w:t>us into overestimating or underestimating</w:t>
      </w:r>
      <w:r w:rsidR="00325478" w:rsidRPr="00542A94">
        <w:rPr>
          <w:rFonts w:ascii="Times New Roman" w:hAnsi="Times New Roman" w:cs="Times New Roman"/>
        </w:rPr>
        <w:t xml:space="preserve"> </w:t>
      </w:r>
      <w:r w:rsidR="004C19A5" w:rsidRPr="00542A94">
        <w:rPr>
          <w:rFonts w:ascii="Times New Roman" w:hAnsi="Times New Roman" w:cs="Times New Roman"/>
        </w:rPr>
        <w:t xml:space="preserve">the spillovers of </w:t>
      </w:r>
      <w:r w:rsidR="00325478" w:rsidRPr="00542A94">
        <w:rPr>
          <w:rFonts w:ascii="Times New Roman" w:hAnsi="Times New Roman" w:cs="Times New Roman"/>
        </w:rPr>
        <w:t>higher-order moments between the carbon and energy markets.</w:t>
      </w:r>
      <w:r w:rsidR="00325478" w:rsidRPr="003B6C5B">
        <w:t xml:space="preserve"> </w:t>
      </w:r>
      <w:proofErr w:type="gramStart"/>
      <w:r w:rsidR="00D64181">
        <w:rPr>
          <w:rFonts w:ascii="Times New Roman" w:hAnsi="Times New Roman" w:cs="Times New Roman"/>
        </w:rPr>
        <w:t>However</w:t>
      </w:r>
      <w:proofErr w:type="gramEnd"/>
      <w:r w:rsidR="00D64181" w:rsidRPr="003B6C5B">
        <w:rPr>
          <w:rFonts w:ascii="Times New Roman" w:hAnsi="Times New Roman" w:cs="Times New Roman"/>
        </w:rPr>
        <w:t xml:space="preserve"> </w:t>
      </w:r>
      <w:r w:rsidR="00325478" w:rsidRPr="003B6C5B">
        <w:rPr>
          <w:rFonts w:ascii="Times New Roman" w:hAnsi="Times New Roman" w:cs="Times New Roman"/>
        </w:rPr>
        <w:t xml:space="preserve">the </w:t>
      </w:r>
      <w:r w:rsidR="00677B63">
        <w:rPr>
          <w:rFonts w:ascii="Times New Roman" w:hAnsi="Times New Roman" w:cs="Times New Roman"/>
        </w:rPr>
        <w:t>relatively</w:t>
      </w:r>
      <w:r w:rsidR="00CE24AD">
        <w:rPr>
          <w:rFonts w:ascii="Times New Roman" w:hAnsi="Times New Roman" w:cs="Times New Roman"/>
        </w:rPr>
        <w:t xml:space="preserve"> </w:t>
      </w:r>
      <w:r w:rsidR="00325478" w:rsidRPr="003B6C5B">
        <w:rPr>
          <w:rFonts w:ascii="Times New Roman" w:hAnsi="Times New Roman" w:cs="Times New Roman"/>
        </w:rPr>
        <w:t xml:space="preserve">weak </w:t>
      </w:r>
      <w:r w:rsidR="00D64181">
        <w:rPr>
          <w:rFonts w:ascii="Times New Roman" w:hAnsi="Times New Roman" w:cs="Times New Roman"/>
        </w:rPr>
        <w:t>co-moment</w:t>
      </w:r>
      <w:r w:rsidR="00D64181" w:rsidRPr="003B6C5B">
        <w:rPr>
          <w:rFonts w:ascii="Times New Roman" w:hAnsi="Times New Roman" w:cs="Times New Roman"/>
        </w:rPr>
        <w:t xml:space="preserve"> </w:t>
      </w:r>
      <w:r w:rsidR="00D64181">
        <w:rPr>
          <w:rFonts w:ascii="Times New Roman" w:hAnsi="Times New Roman" w:cs="Times New Roman"/>
        </w:rPr>
        <w:t xml:space="preserve">of </w:t>
      </w:r>
      <w:r w:rsidR="00325478" w:rsidRPr="003B6C5B">
        <w:rPr>
          <w:rFonts w:ascii="Times New Roman" w:hAnsi="Times New Roman" w:cs="Times New Roman"/>
        </w:rPr>
        <w:t xml:space="preserve">higher-order </w:t>
      </w:r>
      <w:r w:rsidR="00D64181">
        <w:rPr>
          <w:rFonts w:ascii="Times New Roman" w:hAnsi="Times New Roman" w:cs="Times New Roman"/>
        </w:rPr>
        <w:t xml:space="preserve">moments </w:t>
      </w:r>
      <w:r w:rsidR="00325478" w:rsidRPr="003B6C5B">
        <w:rPr>
          <w:rFonts w:ascii="Times New Roman" w:hAnsi="Times New Roman" w:cs="Times New Roman"/>
        </w:rPr>
        <w:t xml:space="preserve">shown in Figure </w:t>
      </w:r>
      <w:r w:rsidR="00FE0A0C">
        <w:rPr>
          <w:rFonts w:ascii="Times New Roman" w:hAnsi="Times New Roman" w:cs="Times New Roman"/>
        </w:rPr>
        <w:t>2</w:t>
      </w:r>
      <w:r w:rsidR="00325478" w:rsidRPr="003B6C5B">
        <w:rPr>
          <w:rFonts w:ascii="Times New Roman" w:hAnsi="Times New Roman" w:cs="Times New Roman"/>
        </w:rPr>
        <w:t xml:space="preserve"> and Figure </w:t>
      </w:r>
      <w:r w:rsidR="00FE0A0C">
        <w:rPr>
          <w:rFonts w:ascii="Times New Roman" w:hAnsi="Times New Roman" w:cs="Times New Roman"/>
        </w:rPr>
        <w:t>3</w:t>
      </w:r>
      <w:r w:rsidR="00D64181">
        <w:rPr>
          <w:rFonts w:ascii="Times New Roman" w:hAnsi="Times New Roman" w:cs="Times New Roman"/>
        </w:rPr>
        <w:t xml:space="preserve"> could be </w:t>
      </w:r>
      <w:r w:rsidR="00325478" w:rsidRPr="003B6C5B">
        <w:rPr>
          <w:rFonts w:ascii="Times New Roman" w:hAnsi="Times New Roman" w:cs="Times New Roman"/>
        </w:rPr>
        <w:t xml:space="preserve">beneficial </w:t>
      </w:r>
      <w:r w:rsidR="00D64181">
        <w:rPr>
          <w:rFonts w:ascii="Times New Roman" w:hAnsi="Times New Roman" w:cs="Times New Roman"/>
        </w:rPr>
        <w:t xml:space="preserve">for investors to </w:t>
      </w:r>
      <w:r w:rsidR="00325478" w:rsidRPr="003B6C5B">
        <w:rPr>
          <w:rFonts w:ascii="Times New Roman" w:hAnsi="Times New Roman" w:cs="Times New Roman"/>
        </w:rPr>
        <w:t xml:space="preserve">hedge </w:t>
      </w:r>
      <w:r w:rsidR="00D64181">
        <w:rPr>
          <w:rFonts w:ascii="Times New Roman" w:hAnsi="Times New Roman" w:cs="Times New Roman"/>
        </w:rPr>
        <w:t xml:space="preserve">exposure to the risk of </w:t>
      </w:r>
      <w:r w:rsidR="00325478" w:rsidRPr="003B6C5B">
        <w:rPr>
          <w:rFonts w:ascii="Times New Roman" w:hAnsi="Times New Roman" w:cs="Times New Roman"/>
        </w:rPr>
        <w:t xml:space="preserve">the higher-order moments between energy and carbon assets. </w:t>
      </w:r>
      <w:r w:rsidR="009F245B">
        <w:rPr>
          <w:rFonts w:ascii="Times New Roman" w:hAnsi="Times New Roman" w:cs="Times New Roman"/>
        </w:rPr>
        <w:t>W</w:t>
      </w:r>
      <w:r w:rsidR="00325478" w:rsidRPr="003B6C5B">
        <w:rPr>
          <w:rFonts w:ascii="Times New Roman" w:hAnsi="Times New Roman" w:cs="Times New Roman"/>
        </w:rPr>
        <w:t xml:space="preserve">e will continue this discussion in </w:t>
      </w:r>
      <w:r w:rsidR="009F245B">
        <w:rPr>
          <w:rFonts w:ascii="Times New Roman" w:hAnsi="Times New Roman" w:cs="Times New Roman"/>
        </w:rPr>
        <w:t xml:space="preserve">the </w:t>
      </w:r>
      <w:r w:rsidR="00325478" w:rsidRPr="003B6C5B">
        <w:rPr>
          <w:rFonts w:ascii="Times New Roman" w:hAnsi="Times New Roman" w:cs="Times New Roman"/>
        </w:rPr>
        <w:t>sub-section 5.</w:t>
      </w:r>
      <w:r w:rsidR="003F0EB5">
        <w:rPr>
          <w:rFonts w:ascii="Times New Roman" w:hAnsi="Times New Roman" w:cs="Times New Roman"/>
        </w:rPr>
        <w:t>4</w:t>
      </w:r>
      <w:r w:rsidR="00325478" w:rsidRPr="003B6C5B">
        <w:rPr>
          <w:rFonts w:ascii="Times New Roman" w:hAnsi="Times New Roman" w:cs="Times New Roman"/>
        </w:rPr>
        <w:t>.</w:t>
      </w:r>
    </w:p>
    <w:p w14:paraId="41376855" w14:textId="77777777" w:rsidR="00107B06" w:rsidRPr="003B6C5B" w:rsidRDefault="00107B06" w:rsidP="006724D6">
      <w:pPr>
        <w:pStyle w:val="Heading2"/>
        <w:spacing w:line="480" w:lineRule="auto"/>
        <w:jc w:val="both"/>
      </w:pPr>
      <w:r w:rsidRPr="003B6C5B">
        <w:t>5.3. Long-run spillovers in higher-order moments</w:t>
      </w:r>
    </w:p>
    <w:p w14:paraId="738D8FB0" w14:textId="593AFDB6" w:rsidR="00107B06" w:rsidRPr="003B6C5B" w:rsidRDefault="00BE7B72" w:rsidP="006724D6">
      <w:pPr>
        <w:pStyle w:val="NormalWeb"/>
        <w:spacing w:before="0" w:beforeAutospacing="0" w:after="0" w:afterAutospacing="0" w:line="480" w:lineRule="auto"/>
        <w:ind w:firstLineChars="177" w:firstLine="425"/>
        <w:jc w:val="both"/>
        <w:rPr>
          <w:rFonts w:ascii="Times New Roman" w:hAnsi="Times New Roman" w:cs="Times New Roman"/>
        </w:rPr>
      </w:pPr>
      <w:bookmarkStart w:id="13" w:name="_Hlk67384390"/>
      <w:r w:rsidRPr="003B6C5B">
        <w:rPr>
          <w:rFonts w:ascii="Times New Roman" w:hAnsi="Times New Roman" w:cs="Times New Roman"/>
        </w:rPr>
        <w:t xml:space="preserve">The </w:t>
      </w:r>
      <w:r w:rsidR="00107B06" w:rsidRPr="003B6C5B">
        <w:rPr>
          <w:rFonts w:ascii="Times New Roman" w:hAnsi="Times New Roman" w:cs="Times New Roman"/>
        </w:rPr>
        <w:t xml:space="preserve">left panel of Figure </w:t>
      </w:r>
      <w:r w:rsidR="00FE0A0C">
        <w:rPr>
          <w:rFonts w:ascii="Times New Roman" w:hAnsi="Times New Roman" w:cs="Times New Roman"/>
        </w:rPr>
        <w:t>4</w:t>
      </w:r>
      <w:r w:rsidRPr="003B6C5B">
        <w:rPr>
          <w:rFonts w:ascii="Times New Roman" w:hAnsi="Times New Roman" w:cs="Times New Roman"/>
        </w:rPr>
        <w:t xml:space="preserve"> shows </w:t>
      </w:r>
      <w:r w:rsidR="00107B06" w:rsidRPr="003B6C5B">
        <w:rPr>
          <w:rFonts w:ascii="Times New Roman" w:hAnsi="Times New Roman" w:cs="Times New Roman"/>
        </w:rPr>
        <w:t xml:space="preserve">the long-run skewness spillover is </w:t>
      </w:r>
      <w:r w:rsidR="002D3A0F" w:rsidRPr="003B6C5B">
        <w:rPr>
          <w:rFonts w:ascii="Times New Roman" w:hAnsi="Times New Roman" w:cs="Times New Roman"/>
        </w:rPr>
        <w:t>notably</w:t>
      </w:r>
      <w:r w:rsidR="00107B06" w:rsidRPr="003B6C5B">
        <w:rPr>
          <w:rFonts w:ascii="Times New Roman" w:hAnsi="Times New Roman" w:cs="Times New Roman"/>
        </w:rPr>
        <w:t xml:space="preserve"> stronger than the short-run case</w:t>
      </w:r>
      <w:r w:rsidR="002D3A0F">
        <w:rPr>
          <w:rFonts w:ascii="Times New Roman" w:hAnsi="Times New Roman" w:cs="Times New Roman"/>
        </w:rPr>
        <w:t xml:space="preserve"> in</w:t>
      </w:r>
      <w:r w:rsidR="002D3A0F" w:rsidRPr="003B6C5B">
        <w:rPr>
          <w:rFonts w:ascii="Times New Roman" w:hAnsi="Times New Roman" w:cs="Times New Roman"/>
        </w:rPr>
        <w:t xml:space="preserve"> Stage 1</w:t>
      </w:r>
      <w:r w:rsidR="00107B06" w:rsidRPr="003B6C5B">
        <w:rPr>
          <w:rFonts w:ascii="Times New Roman" w:hAnsi="Times New Roman" w:cs="Times New Roman"/>
        </w:rPr>
        <w:t xml:space="preserve">. </w:t>
      </w:r>
      <w:r w:rsidR="001F79FD">
        <w:rPr>
          <w:rFonts w:ascii="Times New Roman" w:hAnsi="Times New Roman" w:cs="Times New Roman"/>
        </w:rPr>
        <w:t>T</w:t>
      </w:r>
      <w:r w:rsidR="00107B06" w:rsidRPr="003B6C5B">
        <w:rPr>
          <w:rFonts w:ascii="Times New Roman" w:hAnsi="Times New Roman" w:cs="Times New Roman"/>
        </w:rPr>
        <w:t xml:space="preserve">he source of skewness spillover is not only from </w:t>
      </w:r>
      <w:r w:rsidR="00107B06" w:rsidRPr="003B6C5B">
        <w:rPr>
          <w:rFonts w:ascii="Times New Roman" w:hAnsi="Times New Roman" w:cs="Times New Roman"/>
        </w:rPr>
        <w:lastRenderedPageBreak/>
        <w:t xml:space="preserve">the co-skewness between the carbon and energy market but also from individual energy markets. </w:t>
      </w:r>
      <w:r w:rsidR="001F79FD">
        <w:rPr>
          <w:rFonts w:ascii="Times New Roman" w:hAnsi="Times New Roman" w:cs="Times New Roman"/>
        </w:rPr>
        <w:t>For example,</w:t>
      </w:r>
      <w:r w:rsidR="00CF4DC7" w:rsidRPr="003B6C5B">
        <w:rPr>
          <w:rFonts w:ascii="Times New Roman" w:hAnsi="Times New Roman" w:cs="Times New Roman"/>
        </w:rPr>
        <w:t xml:space="preserve"> </w:t>
      </w:r>
      <w:r w:rsidR="00107B06" w:rsidRPr="003B6C5B">
        <w:rPr>
          <w:rFonts w:ascii="Times New Roman" w:hAnsi="Times New Roman" w:cs="Times New Roman"/>
        </w:rPr>
        <w:t xml:space="preserve">the oil market </w:t>
      </w:r>
      <w:r w:rsidR="00107B06" w:rsidRPr="00613002">
        <w:rPr>
          <w:rFonts w:ascii="Times New Roman" w:hAnsi="Times New Roman" w:cs="Times New Roman"/>
        </w:rPr>
        <w:t>contributes 11.8% skewness spillover</w:t>
      </w:r>
      <w:r w:rsidR="00107B06" w:rsidRPr="003B6C5B">
        <w:rPr>
          <w:rFonts w:ascii="Times New Roman" w:hAnsi="Times New Roman" w:cs="Times New Roman"/>
        </w:rPr>
        <w:t xml:space="preserve"> on the carbon market</w:t>
      </w:r>
      <w:r w:rsidR="003F0EB5">
        <w:rPr>
          <w:rFonts w:ascii="Times New Roman" w:hAnsi="Times New Roman" w:cs="Times New Roman"/>
        </w:rPr>
        <w:t>. T</w:t>
      </w:r>
      <w:r w:rsidR="00936A27" w:rsidRPr="003B6C5B">
        <w:rPr>
          <w:rFonts w:ascii="Times New Roman" w:hAnsi="Times New Roman" w:cs="Times New Roman"/>
        </w:rPr>
        <w:t xml:space="preserve">here </w:t>
      </w:r>
      <w:r w:rsidR="003F0EB5">
        <w:rPr>
          <w:rFonts w:ascii="Times New Roman" w:hAnsi="Times New Roman" w:cs="Times New Roman"/>
        </w:rPr>
        <w:t xml:space="preserve">is </w:t>
      </w:r>
      <w:r w:rsidR="00936A27" w:rsidRPr="003B6C5B">
        <w:rPr>
          <w:rFonts w:ascii="Times New Roman" w:hAnsi="Times New Roman" w:cs="Times New Roman"/>
        </w:rPr>
        <w:t>a</w:t>
      </w:r>
      <w:r w:rsidR="00107B06" w:rsidRPr="003B6C5B">
        <w:rPr>
          <w:rFonts w:ascii="Times New Roman" w:hAnsi="Times New Roman" w:cs="Times New Roman"/>
        </w:rPr>
        <w:t xml:space="preserve"> downward trend in crude oil prices </w:t>
      </w:r>
      <w:r w:rsidR="00936A27" w:rsidRPr="003B6C5B">
        <w:rPr>
          <w:rFonts w:ascii="Times New Roman" w:hAnsi="Times New Roman" w:cs="Times New Roman"/>
        </w:rPr>
        <w:t>in Stage</w:t>
      </w:r>
      <w:r w:rsidR="003F0EB5">
        <w:rPr>
          <w:rFonts w:ascii="Times New Roman" w:hAnsi="Times New Roman" w:cs="Times New Roman"/>
        </w:rPr>
        <w:t>, a</w:t>
      </w:r>
      <w:r w:rsidR="003F0EB5" w:rsidRPr="003B6C5B">
        <w:rPr>
          <w:rFonts w:ascii="Times New Roman" w:hAnsi="Times New Roman" w:cs="Times New Roman"/>
        </w:rPr>
        <w:t>s seen in Figure 1,</w:t>
      </w:r>
      <w:r w:rsidR="00936A27" w:rsidRPr="003B6C5B">
        <w:rPr>
          <w:rFonts w:ascii="Times New Roman" w:hAnsi="Times New Roman" w:cs="Times New Roman"/>
        </w:rPr>
        <w:t xml:space="preserve"> </w:t>
      </w:r>
      <w:r w:rsidR="00DB1432" w:rsidRPr="003B6C5B">
        <w:rPr>
          <w:rFonts w:ascii="Times New Roman" w:hAnsi="Times New Roman" w:cs="Times New Roman"/>
        </w:rPr>
        <w:t xml:space="preserve">which </w:t>
      </w:r>
      <w:r w:rsidR="00936A27" w:rsidRPr="003B6C5B">
        <w:rPr>
          <w:rFonts w:ascii="Times New Roman" w:hAnsi="Times New Roman" w:cs="Times New Roman"/>
        </w:rPr>
        <w:t xml:space="preserve">could </w:t>
      </w:r>
      <w:r w:rsidR="00DB1432" w:rsidRPr="003B6C5B">
        <w:rPr>
          <w:rFonts w:ascii="Times New Roman" w:hAnsi="Times New Roman" w:cs="Times New Roman"/>
        </w:rPr>
        <w:t xml:space="preserve">motivate carbon emitters </w:t>
      </w:r>
      <w:r w:rsidR="00107B06" w:rsidRPr="003B6C5B">
        <w:rPr>
          <w:rFonts w:ascii="Times New Roman" w:hAnsi="Times New Roman" w:cs="Times New Roman"/>
        </w:rPr>
        <w:t xml:space="preserve">to use crude oil as a raw material for production in a longer timescale, thus contributing to the increase in carbon prices. </w:t>
      </w:r>
      <w:r w:rsidR="00936A27" w:rsidRPr="003B6C5B">
        <w:rPr>
          <w:rFonts w:ascii="Times New Roman" w:hAnsi="Times New Roman" w:cs="Times New Roman"/>
        </w:rPr>
        <w:t xml:space="preserve">Since this is a </w:t>
      </w:r>
      <w:r w:rsidR="009F245B" w:rsidRPr="003B6C5B">
        <w:rPr>
          <w:rFonts w:ascii="Times New Roman" w:hAnsi="Times New Roman" w:cs="Times New Roman"/>
        </w:rPr>
        <w:t>fundamental</w:t>
      </w:r>
      <w:r w:rsidR="00936A27" w:rsidRPr="003B6C5B">
        <w:rPr>
          <w:rFonts w:ascii="Times New Roman" w:hAnsi="Times New Roman" w:cs="Times New Roman"/>
        </w:rPr>
        <w:t xml:space="preserve"> supply of demand change at long-run time scale, </w:t>
      </w:r>
      <w:r w:rsidR="00107B06" w:rsidRPr="003B6C5B">
        <w:rPr>
          <w:rFonts w:ascii="Times New Roman" w:hAnsi="Times New Roman" w:cs="Times New Roman"/>
        </w:rPr>
        <w:t xml:space="preserve">the negative skewness coefficient of the crude oil market </w:t>
      </w:r>
      <w:r w:rsidR="00936A27" w:rsidRPr="003B6C5B">
        <w:rPr>
          <w:rFonts w:ascii="Times New Roman" w:hAnsi="Times New Roman" w:cs="Times New Roman"/>
        </w:rPr>
        <w:t xml:space="preserve">adversely </w:t>
      </w:r>
      <w:proofErr w:type="gramStart"/>
      <w:r w:rsidR="00936A27" w:rsidRPr="003B6C5B">
        <w:rPr>
          <w:rFonts w:ascii="Times New Roman" w:hAnsi="Times New Roman" w:cs="Times New Roman"/>
        </w:rPr>
        <w:t>affect</w:t>
      </w:r>
      <w:proofErr w:type="gramEnd"/>
      <w:r w:rsidR="00936A27" w:rsidRPr="003B6C5B">
        <w:rPr>
          <w:rFonts w:ascii="Times New Roman" w:hAnsi="Times New Roman" w:cs="Times New Roman"/>
        </w:rPr>
        <w:t xml:space="preserve"> </w:t>
      </w:r>
      <w:r w:rsidR="00107B06" w:rsidRPr="003B6C5B">
        <w:rPr>
          <w:rFonts w:ascii="Times New Roman" w:hAnsi="Times New Roman" w:cs="Times New Roman"/>
        </w:rPr>
        <w:t>the carbon price.</w:t>
      </w:r>
      <w:r w:rsidR="00107B06" w:rsidRPr="003B6C5B">
        <w:t xml:space="preserve"> </w:t>
      </w:r>
      <w:r w:rsidR="00107B06" w:rsidRPr="003B6C5B">
        <w:rPr>
          <w:rFonts w:ascii="Times New Roman" w:hAnsi="Times New Roman" w:cs="Times New Roman"/>
        </w:rPr>
        <w:t xml:space="preserve">As coal and natural gas are oil indexed, the long-run decline in crude oil prices makes energy assets cheaper, and </w:t>
      </w:r>
      <w:r w:rsidR="00C5763C" w:rsidRPr="003B6C5B">
        <w:rPr>
          <w:rFonts w:ascii="Times New Roman" w:hAnsi="Times New Roman" w:cs="Times New Roman"/>
        </w:rPr>
        <w:t xml:space="preserve">consumers of coal and gas </w:t>
      </w:r>
      <w:r w:rsidR="00107B06" w:rsidRPr="003B6C5B">
        <w:rPr>
          <w:rFonts w:ascii="Times New Roman" w:hAnsi="Times New Roman" w:cs="Times New Roman"/>
        </w:rPr>
        <w:t xml:space="preserve">will </w:t>
      </w:r>
      <w:r w:rsidR="00F47936" w:rsidRPr="003B6C5B">
        <w:rPr>
          <w:rFonts w:ascii="Times New Roman" w:hAnsi="Times New Roman" w:cs="Times New Roman"/>
        </w:rPr>
        <w:t xml:space="preserve">take </w:t>
      </w:r>
      <w:r w:rsidR="00107B06" w:rsidRPr="003B6C5B">
        <w:rPr>
          <w:rFonts w:ascii="Times New Roman" w:hAnsi="Times New Roman" w:cs="Times New Roman"/>
        </w:rPr>
        <w:t xml:space="preserve">advantages of </w:t>
      </w:r>
      <w:r w:rsidR="0039057C" w:rsidRPr="003B6C5B">
        <w:rPr>
          <w:rFonts w:ascii="Times New Roman" w:hAnsi="Times New Roman" w:cs="Times New Roman"/>
        </w:rPr>
        <w:t xml:space="preserve">the </w:t>
      </w:r>
      <w:r w:rsidR="00C5763C" w:rsidRPr="003B6C5B">
        <w:rPr>
          <w:rFonts w:ascii="Times New Roman" w:hAnsi="Times New Roman" w:cs="Times New Roman"/>
        </w:rPr>
        <w:t>decreasing</w:t>
      </w:r>
      <w:r w:rsidR="0039057C" w:rsidRPr="003B6C5B">
        <w:rPr>
          <w:rFonts w:ascii="Times New Roman" w:hAnsi="Times New Roman" w:cs="Times New Roman"/>
        </w:rPr>
        <w:t xml:space="preserve"> </w:t>
      </w:r>
      <w:r w:rsidR="00C5763C" w:rsidRPr="003B6C5B">
        <w:rPr>
          <w:rFonts w:ascii="Times New Roman" w:hAnsi="Times New Roman" w:cs="Times New Roman"/>
        </w:rPr>
        <w:t xml:space="preserve">oil </w:t>
      </w:r>
      <w:r w:rsidR="00F47936" w:rsidRPr="003B6C5B">
        <w:rPr>
          <w:rFonts w:ascii="Times New Roman" w:hAnsi="Times New Roman" w:cs="Times New Roman"/>
        </w:rPr>
        <w:t xml:space="preserve">price by </w:t>
      </w:r>
      <w:r w:rsidR="00107B06" w:rsidRPr="003B6C5B">
        <w:rPr>
          <w:rFonts w:ascii="Times New Roman" w:hAnsi="Times New Roman" w:cs="Times New Roman"/>
        </w:rPr>
        <w:t xml:space="preserve">changing the structure of energy consumption, thus increasing </w:t>
      </w:r>
      <w:r w:rsidR="001F79FD">
        <w:rPr>
          <w:rFonts w:ascii="Times New Roman" w:hAnsi="Times New Roman" w:cs="Times New Roman"/>
        </w:rPr>
        <w:t xml:space="preserve">carbon </w:t>
      </w:r>
      <w:proofErr w:type="gramStart"/>
      <w:r w:rsidR="001F79FD">
        <w:rPr>
          <w:rFonts w:ascii="Times New Roman" w:hAnsi="Times New Roman" w:cs="Times New Roman"/>
        </w:rPr>
        <w:t>emission</w:t>
      </w:r>
      <w:proofErr w:type="gramEnd"/>
      <w:r w:rsidR="00107B06" w:rsidRPr="003B6C5B">
        <w:rPr>
          <w:rFonts w:ascii="Times New Roman" w:hAnsi="Times New Roman" w:cs="Times New Roman"/>
        </w:rPr>
        <w:t xml:space="preserve"> and contributing to the change in carbon prices</w:t>
      </w:r>
      <w:r w:rsidR="00F47936" w:rsidRPr="003B6C5B">
        <w:rPr>
          <w:rFonts w:ascii="Times New Roman" w:hAnsi="Times New Roman" w:cs="Times New Roman"/>
        </w:rPr>
        <w:t xml:space="preserve"> in long-run.</w:t>
      </w:r>
      <w:r w:rsidR="00107B06" w:rsidRPr="003B6C5B">
        <w:rPr>
          <w:rFonts w:ascii="Times New Roman" w:hAnsi="Times New Roman" w:cs="Times New Roman"/>
        </w:rPr>
        <w:t xml:space="preserve"> </w:t>
      </w:r>
    </w:p>
    <w:p w14:paraId="18CE37B8" w14:textId="5D13C199" w:rsidR="00107B06" w:rsidRPr="003B6C5B" w:rsidRDefault="00107B06" w:rsidP="006724D6">
      <w:pPr>
        <w:pStyle w:val="NormalWeb"/>
        <w:spacing w:before="0" w:beforeAutospacing="0" w:after="0" w:afterAutospacing="0" w:line="480" w:lineRule="auto"/>
        <w:ind w:firstLineChars="177" w:firstLine="425"/>
        <w:jc w:val="both"/>
        <w:rPr>
          <w:rFonts w:ascii="Times New Roman" w:hAnsi="Times New Roman" w:cs="Times New Roman"/>
        </w:rPr>
      </w:pPr>
      <w:r w:rsidRPr="003B6C5B">
        <w:rPr>
          <w:rFonts w:ascii="Times New Roman" w:hAnsi="Times New Roman" w:cs="Times New Roman"/>
        </w:rPr>
        <w:t xml:space="preserve">In </w:t>
      </w:r>
      <w:r w:rsidR="0039057C" w:rsidRPr="003B6C5B">
        <w:rPr>
          <w:rFonts w:ascii="Times New Roman" w:hAnsi="Times New Roman" w:cs="Times New Roman"/>
        </w:rPr>
        <w:t xml:space="preserve">Stage </w:t>
      </w:r>
      <w:r w:rsidRPr="003B6C5B">
        <w:rPr>
          <w:rFonts w:ascii="Times New Roman" w:hAnsi="Times New Roman" w:cs="Times New Roman"/>
        </w:rPr>
        <w:t xml:space="preserve">2, the </w:t>
      </w:r>
      <w:r w:rsidR="00C5763C" w:rsidRPr="003B6C5B">
        <w:rPr>
          <w:rFonts w:ascii="Times New Roman" w:hAnsi="Times New Roman" w:cs="Times New Roman"/>
        </w:rPr>
        <w:t>co-</w:t>
      </w:r>
      <w:r w:rsidRPr="003B6C5B">
        <w:rPr>
          <w:rFonts w:ascii="Times New Roman" w:hAnsi="Times New Roman" w:cs="Times New Roman"/>
        </w:rPr>
        <w:t>skewness between the carbon and energy markets bursts into huge spillover effects</w:t>
      </w:r>
      <w:r w:rsidR="0028418B">
        <w:rPr>
          <w:rFonts w:ascii="Times New Roman" w:hAnsi="Times New Roman" w:cs="Times New Roman"/>
        </w:rPr>
        <w:t xml:space="preserve"> for example the spillovers from S134 to S124 is 33.6% as shown in </w:t>
      </w:r>
      <w:r w:rsidR="0028418B" w:rsidRPr="003B6C5B">
        <w:rPr>
          <w:rFonts w:ascii="Times New Roman" w:hAnsi="Times New Roman" w:cs="Times New Roman"/>
        </w:rPr>
        <w:t xml:space="preserve">the </w:t>
      </w:r>
      <w:r w:rsidR="0028418B">
        <w:rPr>
          <w:rFonts w:ascii="Times New Roman" w:hAnsi="Times New Roman" w:cs="Times New Roman"/>
        </w:rPr>
        <w:t>right</w:t>
      </w:r>
      <w:r w:rsidR="0028418B" w:rsidRPr="003B6C5B">
        <w:rPr>
          <w:rFonts w:ascii="Times New Roman" w:hAnsi="Times New Roman" w:cs="Times New Roman"/>
        </w:rPr>
        <w:t xml:space="preserve"> panel of Figure </w:t>
      </w:r>
      <w:r w:rsidR="0028418B">
        <w:rPr>
          <w:rFonts w:ascii="Times New Roman" w:hAnsi="Times New Roman" w:cs="Times New Roman"/>
        </w:rPr>
        <w:t>4</w:t>
      </w:r>
      <w:r w:rsidR="0028418B" w:rsidRPr="003B6C5B">
        <w:rPr>
          <w:rFonts w:ascii="Times New Roman" w:hAnsi="Times New Roman" w:cs="Times New Roman"/>
        </w:rPr>
        <w:t>.</w:t>
      </w:r>
      <w:r w:rsidR="0028418B">
        <w:rPr>
          <w:rFonts w:ascii="Times New Roman" w:hAnsi="Times New Roman" w:cs="Times New Roman"/>
        </w:rPr>
        <w:t xml:space="preserve"> </w:t>
      </w:r>
      <w:r w:rsidR="002C47C9" w:rsidRPr="003B6C5B">
        <w:rPr>
          <w:rFonts w:ascii="Times New Roman" w:hAnsi="Times New Roman" w:cs="Times New Roman"/>
        </w:rPr>
        <w:t>Evidently</w:t>
      </w:r>
      <w:r w:rsidRPr="003B6C5B">
        <w:rPr>
          <w:rFonts w:ascii="Times New Roman" w:hAnsi="Times New Roman" w:cs="Times New Roman"/>
        </w:rPr>
        <w:t xml:space="preserve"> the long-run skewness </w:t>
      </w:r>
      <w:r w:rsidR="00C248D3" w:rsidRPr="003B6C5B">
        <w:rPr>
          <w:rFonts w:ascii="Times New Roman" w:hAnsi="Times New Roman" w:cs="Times New Roman"/>
        </w:rPr>
        <w:t xml:space="preserve">transmission </w:t>
      </w:r>
      <w:r w:rsidRPr="003B6C5B">
        <w:rPr>
          <w:rFonts w:ascii="Times New Roman" w:hAnsi="Times New Roman" w:cs="Times New Roman"/>
        </w:rPr>
        <w:t xml:space="preserve">of the carbon market becomes stronger. </w:t>
      </w:r>
      <w:r w:rsidR="00B140E3">
        <w:rPr>
          <w:rFonts w:ascii="Times New Roman" w:hAnsi="Times New Roman" w:cs="Times New Roman"/>
        </w:rPr>
        <w:t>Furthermore</w:t>
      </w:r>
      <w:r w:rsidRPr="003B6C5B">
        <w:rPr>
          <w:rFonts w:ascii="Times New Roman" w:hAnsi="Times New Roman" w:cs="Times New Roman"/>
        </w:rPr>
        <w:t xml:space="preserve">, the carbon market profoundly affects the asymmetric up and down probabilities of the coal market and has a </w:t>
      </w:r>
      <w:r w:rsidR="00157410" w:rsidRPr="003B6C5B">
        <w:rPr>
          <w:rFonts w:ascii="Times New Roman" w:hAnsi="Times New Roman" w:cs="Times New Roman"/>
        </w:rPr>
        <w:t>steering</w:t>
      </w:r>
      <w:r w:rsidRPr="003B6C5B">
        <w:rPr>
          <w:rFonts w:ascii="Times New Roman" w:hAnsi="Times New Roman" w:cs="Times New Roman"/>
        </w:rPr>
        <w:t xml:space="preserve"> spillover effect on the gas market</w:t>
      </w:r>
      <w:r w:rsidR="0028418B">
        <w:rPr>
          <w:rFonts w:ascii="Times New Roman" w:hAnsi="Times New Roman" w:cs="Times New Roman"/>
        </w:rPr>
        <w:t xml:space="preserve"> </w:t>
      </w:r>
      <w:r w:rsidR="0028418B" w:rsidRPr="00542A94">
        <w:rPr>
          <w:rFonts w:ascii="Times New Roman" w:hAnsi="Times New Roman" w:cs="Times New Roman"/>
          <w:i/>
        </w:rPr>
        <w:t>i.e.</w:t>
      </w:r>
      <w:r w:rsidR="0028418B">
        <w:rPr>
          <w:rFonts w:ascii="Times New Roman" w:hAnsi="Times New Roman" w:cs="Times New Roman"/>
        </w:rPr>
        <w:t xml:space="preserve"> the carbon market </w:t>
      </w:r>
      <w:r w:rsidR="00D04956">
        <w:rPr>
          <w:rFonts w:ascii="Times New Roman" w:hAnsi="Times New Roman" w:cs="Times New Roman"/>
        </w:rPr>
        <w:t>dominately</w:t>
      </w:r>
      <w:r w:rsidR="0028418B">
        <w:rPr>
          <w:rFonts w:ascii="Times New Roman" w:hAnsi="Times New Roman" w:cs="Times New Roman"/>
        </w:rPr>
        <w:t xml:space="preserve"> transmits 18.7% to coal market.</w:t>
      </w:r>
    </w:p>
    <w:bookmarkEnd w:id="13"/>
    <w:p w14:paraId="3A3C4D29" w14:textId="77777777" w:rsidR="00107B06" w:rsidRPr="003B6C5B" w:rsidRDefault="00107B06" w:rsidP="006724D6">
      <w:pPr>
        <w:pStyle w:val="NormalWeb"/>
        <w:spacing w:before="0" w:beforeAutospacing="0" w:after="0" w:afterAutospacing="0" w:line="480" w:lineRule="auto"/>
        <w:jc w:val="both"/>
        <w:rPr>
          <w:rFonts w:ascii="Times New Roman" w:hAnsi="Times New Roman" w:cs="Times New Roman"/>
        </w:rPr>
      </w:pPr>
      <w:r w:rsidRPr="003B6C5B">
        <w:rPr>
          <w:rFonts w:ascii="Times New Roman" w:hAnsi="Times New Roman" w:cs="Times New Roman"/>
          <w:noProof/>
          <w:lang w:val="en-GB" w:eastAsia="en-GB"/>
        </w:rPr>
        <w:lastRenderedPageBreak/>
        <w:drawing>
          <wp:inline distT="0" distB="0" distL="0" distR="0" wp14:anchorId="74F27EBD" wp14:editId="15F4FD97">
            <wp:extent cx="5278120" cy="2874010"/>
            <wp:effectExtent l="0" t="0" r="0" b="25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2874010"/>
                    </a:xfrm>
                    <a:prstGeom prst="rect">
                      <a:avLst/>
                    </a:prstGeom>
                  </pic:spPr>
                </pic:pic>
              </a:graphicData>
            </a:graphic>
          </wp:inline>
        </w:drawing>
      </w:r>
    </w:p>
    <w:p w14:paraId="3668E407" w14:textId="1B78CD14" w:rsidR="00107B06" w:rsidRPr="003B6C5B" w:rsidRDefault="00107B06" w:rsidP="003B6C5B">
      <w:pPr>
        <w:tabs>
          <w:tab w:val="left" w:pos="7513"/>
        </w:tabs>
        <w:spacing w:line="480" w:lineRule="auto"/>
        <w:jc w:val="center"/>
        <w:rPr>
          <w:b/>
        </w:rPr>
      </w:pPr>
      <w:r w:rsidRPr="003B6C5B">
        <w:rPr>
          <w:b/>
        </w:rPr>
        <w:t xml:space="preserve">Figure </w:t>
      </w:r>
      <w:r w:rsidR="00FE0A0C">
        <w:rPr>
          <w:b/>
        </w:rPr>
        <w:t>4</w:t>
      </w:r>
      <w:r w:rsidRPr="003B6C5B">
        <w:rPr>
          <w:b/>
        </w:rPr>
        <w:t>. Long-run skewness</w:t>
      </w:r>
      <w:r w:rsidR="00325478" w:rsidRPr="003B6C5B">
        <w:rPr>
          <w:b/>
        </w:rPr>
        <w:t>-coskewness</w:t>
      </w:r>
      <w:r w:rsidRPr="003B6C5B">
        <w:rPr>
          <w:b/>
        </w:rPr>
        <w:t xml:space="preserve"> spillover between carbon and energy markets.</w:t>
      </w:r>
    </w:p>
    <w:p w14:paraId="7100BAFB" w14:textId="1B8EC5C9" w:rsidR="00107B06" w:rsidRPr="003B6C5B" w:rsidRDefault="00107B06" w:rsidP="006724D6">
      <w:pPr>
        <w:pStyle w:val="NormalWeb"/>
        <w:spacing w:before="0" w:beforeAutospacing="0" w:after="0" w:afterAutospacing="0" w:line="480" w:lineRule="auto"/>
        <w:jc w:val="both"/>
        <w:rPr>
          <w:rFonts w:ascii="Times New Roman" w:hAnsi="Times New Roman" w:cs="Times New Roman"/>
          <w:sz w:val="16"/>
          <w:szCs w:val="16"/>
        </w:rPr>
      </w:pPr>
      <w:r w:rsidRPr="003B6C5B">
        <w:rPr>
          <w:rFonts w:ascii="Times New Roman" w:hAnsi="Times New Roman" w:cs="Times New Roman"/>
          <w:sz w:val="16"/>
          <w:szCs w:val="16"/>
        </w:rPr>
        <w:t xml:space="preserve">Note: See Figure </w:t>
      </w:r>
      <w:r w:rsidR="00FE0A0C">
        <w:rPr>
          <w:rFonts w:ascii="Times New Roman" w:hAnsi="Times New Roman" w:cs="Times New Roman"/>
          <w:sz w:val="16"/>
          <w:szCs w:val="16"/>
        </w:rPr>
        <w:t>2</w:t>
      </w:r>
      <w:r w:rsidRPr="003B6C5B">
        <w:rPr>
          <w:rFonts w:ascii="Times New Roman" w:hAnsi="Times New Roman" w:cs="Times New Roman"/>
          <w:sz w:val="16"/>
          <w:szCs w:val="16"/>
        </w:rPr>
        <w:t xml:space="preserve">. </w:t>
      </w:r>
    </w:p>
    <w:p w14:paraId="4412123D" w14:textId="77777777" w:rsidR="00107B06" w:rsidRPr="003B6C5B" w:rsidRDefault="00107B06" w:rsidP="006724D6">
      <w:pPr>
        <w:tabs>
          <w:tab w:val="left" w:pos="7513"/>
        </w:tabs>
        <w:spacing w:line="480" w:lineRule="auto"/>
        <w:jc w:val="both"/>
        <w:rPr>
          <w:b/>
        </w:rPr>
      </w:pPr>
    </w:p>
    <w:p w14:paraId="04528D19" w14:textId="311190E6" w:rsidR="00107B06" w:rsidRPr="003B6C5B" w:rsidRDefault="00107B06" w:rsidP="006724D6">
      <w:pPr>
        <w:pStyle w:val="NormalWeb"/>
        <w:spacing w:before="0" w:beforeAutospacing="0" w:after="0" w:afterAutospacing="0" w:line="480" w:lineRule="auto"/>
        <w:ind w:firstLineChars="177" w:firstLine="425"/>
        <w:jc w:val="both"/>
        <w:rPr>
          <w:rFonts w:ascii="Times New Roman" w:hAnsi="Times New Roman" w:cs="Times New Roman"/>
        </w:rPr>
      </w:pPr>
      <w:r w:rsidRPr="003B6C5B">
        <w:rPr>
          <w:rFonts w:ascii="Times New Roman" w:hAnsi="Times New Roman" w:cs="Times New Roman"/>
        </w:rPr>
        <w:t xml:space="preserve">The long-run kurtosis spillover reveals the extent to which the carbon market affects extreme returns in the energy markets, and vice versa. </w:t>
      </w:r>
      <w:r w:rsidR="009505F9" w:rsidRPr="003B6C5B">
        <w:rPr>
          <w:rFonts w:ascii="Times New Roman" w:hAnsi="Times New Roman" w:cs="Times New Roman"/>
        </w:rPr>
        <w:t xml:space="preserve">The left panel of </w:t>
      </w:r>
      <w:r w:rsidRPr="003B6C5B">
        <w:rPr>
          <w:rFonts w:ascii="Times New Roman" w:hAnsi="Times New Roman" w:cs="Times New Roman"/>
        </w:rPr>
        <w:t xml:space="preserve">Figure </w:t>
      </w:r>
      <w:r w:rsidR="00FE0A0C">
        <w:rPr>
          <w:rFonts w:ascii="Times New Roman" w:hAnsi="Times New Roman" w:cs="Times New Roman"/>
        </w:rPr>
        <w:t>5</w:t>
      </w:r>
      <w:r w:rsidR="009505F9" w:rsidRPr="003B6C5B">
        <w:rPr>
          <w:rFonts w:ascii="Times New Roman" w:hAnsi="Times New Roman" w:cs="Times New Roman"/>
        </w:rPr>
        <w:t xml:space="preserve"> shows that </w:t>
      </w:r>
      <w:r w:rsidRPr="003B6C5B">
        <w:rPr>
          <w:rFonts w:ascii="Times New Roman" w:hAnsi="Times New Roman" w:cs="Times New Roman"/>
        </w:rPr>
        <w:t xml:space="preserve">the carbon market receives a </w:t>
      </w:r>
      <w:r w:rsidR="009505F9" w:rsidRPr="003B6C5B">
        <w:rPr>
          <w:rFonts w:ascii="Times New Roman" w:hAnsi="Times New Roman" w:cs="Times New Roman"/>
        </w:rPr>
        <w:t xml:space="preserve">considerable </w:t>
      </w:r>
      <w:r w:rsidRPr="003B6C5B">
        <w:rPr>
          <w:rFonts w:ascii="Times New Roman" w:hAnsi="Times New Roman" w:cs="Times New Roman"/>
        </w:rPr>
        <w:t>amount of long-run kurtosis from the individual energy market</w:t>
      </w:r>
      <w:r w:rsidR="009505F9" w:rsidRPr="003B6C5B">
        <w:rPr>
          <w:rFonts w:ascii="Times New Roman" w:hAnsi="Times New Roman" w:cs="Times New Roman"/>
        </w:rPr>
        <w:t xml:space="preserve"> during Stage 1. </w:t>
      </w:r>
      <w:bookmarkStart w:id="14" w:name="_Hlk67384486"/>
      <w:r w:rsidR="009505F9" w:rsidRPr="003B6C5B">
        <w:rPr>
          <w:rFonts w:ascii="Times New Roman" w:hAnsi="Times New Roman" w:cs="Times New Roman"/>
        </w:rPr>
        <w:t>This</w:t>
      </w:r>
      <w:r w:rsidRPr="003B6C5B">
        <w:rPr>
          <w:rFonts w:ascii="Times New Roman" w:hAnsi="Times New Roman" w:cs="Times New Roman"/>
        </w:rPr>
        <w:t xml:space="preserve"> </w:t>
      </w:r>
      <w:r w:rsidR="009505F9" w:rsidRPr="003B6C5B">
        <w:rPr>
          <w:rFonts w:ascii="Times New Roman" w:hAnsi="Times New Roman" w:cs="Times New Roman"/>
        </w:rPr>
        <w:t>indicates</w:t>
      </w:r>
      <w:r w:rsidRPr="003B6C5B">
        <w:rPr>
          <w:rFonts w:ascii="Times New Roman" w:hAnsi="Times New Roman" w:cs="Times New Roman"/>
        </w:rPr>
        <w:t xml:space="preserve"> that the long-term extreme price </w:t>
      </w:r>
      <w:r w:rsidR="009505F9" w:rsidRPr="003B6C5B">
        <w:rPr>
          <w:rFonts w:ascii="Times New Roman" w:hAnsi="Times New Roman" w:cs="Times New Roman"/>
        </w:rPr>
        <w:t xml:space="preserve">movement </w:t>
      </w:r>
      <w:r w:rsidRPr="003B6C5B">
        <w:rPr>
          <w:rFonts w:ascii="Times New Roman" w:hAnsi="Times New Roman" w:cs="Times New Roman"/>
        </w:rPr>
        <w:t xml:space="preserve">of the carbon market is subject to </w:t>
      </w:r>
      <w:r w:rsidR="006B0D60" w:rsidRPr="003B6C5B">
        <w:rPr>
          <w:rFonts w:ascii="Times New Roman" w:hAnsi="Times New Roman" w:cs="Times New Roman"/>
        </w:rPr>
        <w:t xml:space="preserve">changes in </w:t>
      </w:r>
      <w:r w:rsidRPr="003B6C5B">
        <w:rPr>
          <w:rFonts w:ascii="Times New Roman" w:hAnsi="Times New Roman" w:cs="Times New Roman"/>
        </w:rPr>
        <w:t xml:space="preserve">the energy market. However, this situation reversed during </w:t>
      </w:r>
      <w:r w:rsidR="00536F60" w:rsidRPr="003B6C5B">
        <w:rPr>
          <w:rFonts w:ascii="Times New Roman" w:hAnsi="Times New Roman" w:cs="Times New Roman"/>
        </w:rPr>
        <w:t>S</w:t>
      </w:r>
      <w:r w:rsidRPr="003B6C5B">
        <w:rPr>
          <w:rFonts w:ascii="Times New Roman" w:hAnsi="Times New Roman" w:cs="Times New Roman"/>
        </w:rPr>
        <w:t>tage 2</w:t>
      </w:r>
      <w:r w:rsidR="007D4FB8" w:rsidRPr="003B6C5B">
        <w:rPr>
          <w:rFonts w:ascii="Times New Roman" w:hAnsi="Times New Roman" w:cs="Times New Roman"/>
        </w:rPr>
        <w:t xml:space="preserve">. </w:t>
      </w:r>
      <w:r w:rsidRPr="003B6C5B">
        <w:rPr>
          <w:rFonts w:ascii="Times New Roman" w:hAnsi="Times New Roman" w:cs="Times New Roman"/>
        </w:rPr>
        <w:t>In addition to the coal market, the carbon market had a net impact on the emergence of extreme prices in the crude oil and natural gas markets.</w:t>
      </w:r>
      <w:r w:rsidRPr="003B6C5B">
        <w:t xml:space="preserve"> </w:t>
      </w:r>
      <w:r w:rsidRPr="003B6C5B">
        <w:rPr>
          <w:rFonts w:ascii="Times New Roman" w:hAnsi="Times New Roman" w:cs="Times New Roman"/>
        </w:rPr>
        <w:t xml:space="preserve">This </w:t>
      </w:r>
      <w:r w:rsidR="00A723BB">
        <w:rPr>
          <w:rFonts w:ascii="Times New Roman" w:hAnsi="Times New Roman" w:cs="Times New Roman"/>
        </w:rPr>
        <w:t>finding</w:t>
      </w:r>
      <w:r w:rsidR="00A723BB" w:rsidRPr="003B6C5B">
        <w:rPr>
          <w:rFonts w:ascii="Times New Roman" w:hAnsi="Times New Roman" w:cs="Times New Roman"/>
        </w:rPr>
        <w:t xml:space="preserve"> </w:t>
      </w:r>
      <w:r w:rsidR="00895259">
        <w:rPr>
          <w:rFonts w:ascii="Times New Roman" w:hAnsi="Times New Roman" w:cs="Times New Roman"/>
        </w:rPr>
        <w:t>implies</w:t>
      </w:r>
      <w:r w:rsidRPr="003B6C5B">
        <w:rPr>
          <w:rFonts w:ascii="Times New Roman" w:hAnsi="Times New Roman" w:cs="Times New Roman"/>
        </w:rPr>
        <w:t xml:space="preserve"> that the carbon market price leadership bec</w:t>
      </w:r>
      <w:r w:rsidR="00A723BB">
        <w:rPr>
          <w:rFonts w:ascii="Times New Roman" w:hAnsi="Times New Roman" w:cs="Times New Roman"/>
        </w:rPr>
        <w:t>o</w:t>
      </w:r>
      <w:r w:rsidRPr="003B6C5B">
        <w:rPr>
          <w:rFonts w:ascii="Times New Roman" w:hAnsi="Times New Roman" w:cs="Times New Roman"/>
        </w:rPr>
        <w:t>me stronger</w:t>
      </w:r>
      <w:r w:rsidR="007D4FB8" w:rsidRPr="003B6C5B">
        <w:rPr>
          <w:rFonts w:ascii="Times New Roman" w:hAnsi="Times New Roman" w:cs="Times New Roman"/>
        </w:rPr>
        <w:t xml:space="preserve"> in Stage 2. This is </w:t>
      </w:r>
      <w:r w:rsidR="00A723BB">
        <w:rPr>
          <w:rFonts w:ascii="Times New Roman" w:hAnsi="Times New Roman" w:cs="Times New Roman"/>
        </w:rPr>
        <w:t xml:space="preserve">maybe </w:t>
      </w:r>
      <w:r w:rsidR="000D4976">
        <w:rPr>
          <w:rFonts w:ascii="Times New Roman" w:hAnsi="Times New Roman" w:cs="Times New Roman"/>
        </w:rPr>
        <w:t>largely</w:t>
      </w:r>
      <w:r w:rsidR="00A723BB">
        <w:rPr>
          <w:rFonts w:ascii="Times New Roman" w:hAnsi="Times New Roman" w:cs="Times New Roman"/>
        </w:rPr>
        <w:t xml:space="preserve"> related</w:t>
      </w:r>
      <w:r w:rsidR="007D4FB8" w:rsidRPr="003B6C5B">
        <w:rPr>
          <w:rFonts w:ascii="Times New Roman" w:hAnsi="Times New Roman" w:cs="Times New Roman"/>
        </w:rPr>
        <w:t xml:space="preserve"> to the high carbon prices triggered by the reforms</w:t>
      </w:r>
      <w:r w:rsidR="00A723BB">
        <w:rPr>
          <w:rFonts w:ascii="Times New Roman" w:hAnsi="Times New Roman" w:cs="Times New Roman"/>
        </w:rPr>
        <w:t xml:space="preserve"> in Phase III of the EU ETS. </w:t>
      </w:r>
      <w:bookmarkEnd w:id="14"/>
    </w:p>
    <w:p w14:paraId="6DFBB0E0" w14:textId="77777777" w:rsidR="00107B06" w:rsidRPr="003B6C5B" w:rsidRDefault="00107B06" w:rsidP="006724D6">
      <w:pPr>
        <w:pStyle w:val="NormalWeb"/>
        <w:spacing w:before="0" w:beforeAutospacing="0" w:after="0" w:afterAutospacing="0" w:line="480" w:lineRule="auto"/>
        <w:jc w:val="both"/>
        <w:rPr>
          <w:rFonts w:ascii="Times New Roman" w:hAnsi="Times New Roman" w:cs="Times New Roman"/>
        </w:rPr>
      </w:pPr>
      <w:r w:rsidRPr="003B6C5B">
        <w:rPr>
          <w:rFonts w:ascii="Times New Roman" w:hAnsi="Times New Roman" w:cs="Times New Roman"/>
          <w:noProof/>
          <w:lang w:val="en-GB" w:eastAsia="en-GB"/>
        </w:rPr>
        <w:lastRenderedPageBreak/>
        <w:drawing>
          <wp:inline distT="0" distB="0" distL="0" distR="0" wp14:anchorId="72B1571B" wp14:editId="18678B11">
            <wp:extent cx="5278120" cy="2874010"/>
            <wp:effectExtent l="0" t="0" r="0" b="25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2874010"/>
                    </a:xfrm>
                    <a:prstGeom prst="rect">
                      <a:avLst/>
                    </a:prstGeom>
                  </pic:spPr>
                </pic:pic>
              </a:graphicData>
            </a:graphic>
          </wp:inline>
        </w:drawing>
      </w:r>
    </w:p>
    <w:p w14:paraId="6BBD7570" w14:textId="5882EDB7" w:rsidR="00107B06" w:rsidRPr="003B6C5B" w:rsidRDefault="00107B06" w:rsidP="003B6C5B">
      <w:pPr>
        <w:tabs>
          <w:tab w:val="left" w:pos="7513"/>
        </w:tabs>
        <w:spacing w:line="480" w:lineRule="auto"/>
        <w:jc w:val="center"/>
        <w:rPr>
          <w:b/>
        </w:rPr>
      </w:pPr>
      <w:r w:rsidRPr="003B6C5B">
        <w:rPr>
          <w:b/>
        </w:rPr>
        <w:t xml:space="preserve">Figure </w:t>
      </w:r>
      <w:r w:rsidR="00FE0A0C">
        <w:rPr>
          <w:b/>
        </w:rPr>
        <w:t>5</w:t>
      </w:r>
      <w:r w:rsidRPr="003B6C5B">
        <w:rPr>
          <w:b/>
        </w:rPr>
        <w:t>. Long-run kurtosis</w:t>
      </w:r>
      <w:r w:rsidR="00325478" w:rsidRPr="003B6C5B">
        <w:rPr>
          <w:b/>
        </w:rPr>
        <w:t>-co-kurtosis</w:t>
      </w:r>
      <w:r w:rsidRPr="003B6C5B">
        <w:rPr>
          <w:b/>
        </w:rPr>
        <w:t xml:space="preserve"> spillover between </w:t>
      </w:r>
      <w:r w:rsidR="00BF5E70" w:rsidRPr="003B6C5B">
        <w:rPr>
          <w:b/>
        </w:rPr>
        <w:t xml:space="preserve">the </w:t>
      </w:r>
      <w:r w:rsidRPr="003B6C5B">
        <w:rPr>
          <w:b/>
        </w:rPr>
        <w:t>carbon and energy markets.</w:t>
      </w:r>
    </w:p>
    <w:p w14:paraId="5E4F3176" w14:textId="41EDB3DE" w:rsidR="00107B06" w:rsidRPr="003B6C5B" w:rsidRDefault="00107B06" w:rsidP="006724D6">
      <w:pPr>
        <w:pStyle w:val="NormalWeb"/>
        <w:spacing w:before="0" w:beforeAutospacing="0" w:after="0" w:afterAutospacing="0" w:line="480" w:lineRule="auto"/>
        <w:jc w:val="both"/>
        <w:rPr>
          <w:rFonts w:ascii="Times New Roman" w:hAnsi="Times New Roman" w:cs="Times New Roman"/>
          <w:sz w:val="16"/>
          <w:szCs w:val="16"/>
        </w:rPr>
      </w:pPr>
      <w:r w:rsidRPr="003B6C5B">
        <w:rPr>
          <w:rFonts w:ascii="Times New Roman" w:hAnsi="Times New Roman" w:cs="Times New Roman"/>
          <w:sz w:val="16"/>
          <w:szCs w:val="16"/>
        </w:rPr>
        <w:t xml:space="preserve">Note: See Figure </w:t>
      </w:r>
      <w:r w:rsidR="00FE0A0C">
        <w:rPr>
          <w:rFonts w:ascii="Times New Roman" w:hAnsi="Times New Roman" w:cs="Times New Roman"/>
          <w:sz w:val="16"/>
          <w:szCs w:val="16"/>
        </w:rPr>
        <w:t>3</w:t>
      </w:r>
      <w:r w:rsidRPr="003B6C5B">
        <w:rPr>
          <w:rFonts w:ascii="Times New Roman" w:hAnsi="Times New Roman" w:cs="Times New Roman"/>
          <w:sz w:val="16"/>
          <w:szCs w:val="16"/>
        </w:rPr>
        <w:t>.</w:t>
      </w:r>
    </w:p>
    <w:p w14:paraId="1F296BBD" w14:textId="77777777" w:rsidR="00107B06" w:rsidRPr="003B6C5B" w:rsidRDefault="00107B06" w:rsidP="006724D6">
      <w:pPr>
        <w:pStyle w:val="NormalWeb"/>
        <w:spacing w:before="0" w:beforeAutospacing="0" w:after="0" w:afterAutospacing="0" w:line="480" w:lineRule="auto"/>
        <w:jc w:val="both"/>
        <w:rPr>
          <w:rFonts w:ascii="Times New Roman" w:hAnsi="Times New Roman" w:cs="Times New Roman"/>
          <w:sz w:val="16"/>
          <w:szCs w:val="16"/>
        </w:rPr>
      </w:pPr>
    </w:p>
    <w:p w14:paraId="67540109" w14:textId="6DE9B0D9" w:rsidR="007D4FB8" w:rsidRPr="003B6C5B" w:rsidRDefault="00107B06" w:rsidP="007D4FB8">
      <w:pPr>
        <w:pStyle w:val="NormalWeb"/>
        <w:spacing w:before="0" w:beforeAutospacing="0" w:after="0" w:afterAutospacing="0" w:line="480" w:lineRule="auto"/>
        <w:ind w:firstLine="420"/>
        <w:jc w:val="both"/>
        <w:rPr>
          <w:rFonts w:ascii="Times New Roman" w:hAnsi="Times New Roman" w:cs="Times New Roman"/>
        </w:rPr>
      </w:pPr>
      <w:bookmarkStart w:id="15" w:name="_Hlk67384506"/>
      <w:r w:rsidRPr="003B6C5B">
        <w:rPr>
          <w:rFonts w:ascii="Times New Roman" w:hAnsi="Times New Roman" w:cs="Times New Roman"/>
        </w:rPr>
        <w:t xml:space="preserve">Evidently, </w:t>
      </w:r>
      <w:r w:rsidR="007F55F9" w:rsidRPr="003B6C5B">
        <w:rPr>
          <w:rFonts w:ascii="Times New Roman" w:hAnsi="Times New Roman" w:cs="Times New Roman"/>
        </w:rPr>
        <w:t xml:space="preserve">the long-run transmission intensity of skewness and kurtosis of the carbon market on energy assets has been strengthened after the implementation of MSR and other policies </w:t>
      </w:r>
      <w:r w:rsidRPr="003B6C5B">
        <w:rPr>
          <w:rFonts w:ascii="Times New Roman" w:hAnsi="Times New Roman" w:cs="Times New Roman"/>
        </w:rPr>
        <w:t xml:space="preserve">especially during </w:t>
      </w:r>
      <w:r w:rsidR="007D3DE9" w:rsidRPr="003B6C5B">
        <w:rPr>
          <w:rFonts w:ascii="Times New Roman" w:hAnsi="Times New Roman" w:cs="Times New Roman"/>
        </w:rPr>
        <w:t xml:space="preserve">Stage </w:t>
      </w:r>
      <w:r w:rsidRPr="003B6C5B">
        <w:rPr>
          <w:rFonts w:ascii="Times New Roman" w:hAnsi="Times New Roman" w:cs="Times New Roman"/>
        </w:rPr>
        <w:t>2</w:t>
      </w:r>
      <w:r w:rsidR="007F55F9" w:rsidRPr="003B6C5B">
        <w:rPr>
          <w:rFonts w:ascii="Times New Roman" w:hAnsi="Times New Roman" w:cs="Times New Roman"/>
        </w:rPr>
        <w:t xml:space="preserve">. </w:t>
      </w:r>
      <w:r w:rsidRPr="003B6C5B">
        <w:rPr>
          <w:rFonts w:ascii="Times New Roman" w:hAnsi="Times New Roman" w:cs="Times New Roman"/>
        </w:rPr>
        <w:t xml:space="preserve">This responds to </w:t>
      </w:r>
      <w:r w:rsidR="00BA5075" w:rsidRPr="003B6C5B">
        <w:rPr>
          <w:rFonts w:ascii="Times New Roman" w:hAnsi="Times New Roman" w:cs="Times New Roman"/>
        </w:rPr>
        <w:t xml:space="preserve">concerns of some members in the academic community </w:t>
      </w:r>
      <w:r w:rsidRPr="003B6C5B">
        <w:rPr>
          <w:rFonts w:ascii="Times New Roman" w:hAnsi="Times New Roman" w:cs="Times New Roman"/>
        </w:rPr>
        <w:t xml:space="preserve">about the "water-bed effect" </w:t>
      </w:r>
      <w:r w:rsidR="00474F7A">
        <w:rPr>
          <w:rFonts w:ascii="Times New Roman" w:hAnsi="Times New Roman" w:cs="Times New Roman"/>
        </w:rPr>
        <w:t xml:space="preserve">which </w:t>
      </w:r>
      <w:r w:rsidR="000D4976">
        <w:rPr>
          <w:rFonts w:ascii="Times New Roman" w:hAnsi="Times New Roman" w:cs="Times New Roman"/>
        </w:rPr>
        <w:t xml:space="preserve">may reduce the effectiveness of the EU ETS. </w:t>
      </w:r>
      <w:r w:rsidR="00742803" w:rsidRPr="003B6C5B">
        <w:rPr>
          <w:rFonts w:ascii="Times New Roman" w:hAnsi="Times New Roman" w:cs="Times New Roman"/>
        </w:rPr>
        <w:t>Keppler and Mansanet-Bataller</w:t>
      </w:r>
      <w:r w:rsidR="00742803">
        <w:rPr>
          <w:rFonts w:ascii="Times New Roman" w:hAnsi="Times New Roman" w:cs="Times New Roman"/>
        </w:rPr>
        <w:t xml:space="preserve"> (</w:t>
      </w:r>
      <w:r w:rsidR="00742803" w:rsidRPr="003B6C5B">
        <w:rPr>
          <w:rFonts w:ascii="Times New Roman" w:hAnsi="Times New Roman" w:cs="Times New Roman"/>
        </w:rPr>
        <w:t>2010</w:t>
      </w:r>
      <w:r w:rsidR="00742803">
        <w:rPr>
          <w:rFonts w:ascii="Times New Roman" w:hAnsi="Times New Roman" w:cs="Times New Roman"/>
        </w:rPr>
        <w:t xml:space="preserve">) claimed that </w:t>
      </w:r>
      <w:r w:rsidR="00784192">
        <w:rPr>
          <w:rFonts w:ascii="Times New Roman" w:hAnsi="Times New Roman" w:cs="Times New Roman"/>
        </w:rPr>
        <w:t xml:space="preserve">the carbon price in Phase I and Phase II of the </w:t>
      </w:r>
      <w:r w:rsidR="00742803">
        <w:rPr>
          <w:rFonts w:ascii="Times New Roman" w:hAnsi="Times New Roman" w:cs="Times New Roman"/>
        </w:rPr>
        <w:t>EU ETS</w:t>
      </w:r>
      <w:r w:rsidR="00FD2FA0" w:rsidRPr="003B6C5B">
        <w:rPr>
          <w:rFonts w:ascii="Times New Roman" w:hAnsi="Times New Roman" w:cs="Times New Roman"/>
        </w:rPr>
        <w:t xml:space="preserve"> </w:t>
      </w:r>
      <w:r w:rsidR="00784192">
        <w:rPr>
          <w:rFonts w:ascii="Times New Roman" w:hAnsi="Times New Roman" w:cs="Times New Roman"/>
        </w:rPr>
        <w:t xml:space="preserve">was affected by the </w:t>
      </w:r>
      <w:r w:rsidR="002021CF">
        <w:rPr>
          <w:rFonts w:ascii="Times New Roman" w:hAnsi="Times New Roman" w:cs="Times New Roman"/>
        </w:rPr>
        <w:t>energy</w:t>
      </w:r>
      <w:r w:rsidR="00784192">
        <w:rPr>
          <w:rFonts w:ascii="Times New Roman" w:hAnsi="Times New Roman" w:cs="Times New Roman"/>
        </w:rPr>
        <w:t xml:space="preserve"> markets</w:t>
      </w:r>
      <w:r w:rsidR="00FD2FA0">
        <w:rPr>
          <w:rFonts w:ascii="Times New Roman" w:hAnsi="Times New Roman" w:cs="Times New Roman"/>
        </w:rPr>
        <w:t>.</w:t>
      </w:r>
      <w:r w:rsidR="00FD2FA0" w:rsidRPr="003B6C5B">
        <w:rPr>
          <w:rFonts w:ascii="Times New Roman" w:hAnsi="Times New Roman" w:cs="Times New Roman"/>
        </w:rPr>
        <w:t xml:space="preserve"> </w:t>
      </w:r>
      <w:r w:rsidR="00E64D53">
        <w:rPr>
          <w:rFonts w:ascii="Times New Roman" w:hAnsi="Times New Roman" w:cs="Times New Roman"/>
        </w:rPr>
        <w:t xml:space="preserve">Our findings support that </w:t>
      </w:r>
      <w:r w:rsidRPr="003B6C5B">
        <w:rPr>
          <w:rFonts w:ascii="Times New Roman" w:hAnsi="Times New Roman" w:cs="Times New Roman"/>
        </w:rPr>
        <w:t xml:space="preserve">the carbon market </w:t>
      </w:r>
      <w:proofErr w:type="gramStart"/>
      <w:r w:rsidR="00E64D53">
        <w:rPr>
          <w:rFonts w:ascii="Times New Roman" w:hAnsi="Times New Roman" w:cs="Times New Roman"/>
        </w:rPr>
        <w:t>is able to</w:t>
      </w:r>
      <w:proofErr w:type="gramEnd"/>
      <w:r w:rsidR="00E64D53">
        <w:rPr>
          <w:rFonts w:ascii="Times New Roman" w:hAnsi="Times New Roman" w:cs="Times New Roman"/>
        </w:rPr>
        <w:t xml:space="preserve"> </w:t>
      </w:r>
      <w:r w:rsidR="00E11823" w:rsidRPr="003B6C5B">
        <w:rPr>
          <w:rFonts w:ascii="Times New Roman" w:hAnsi="Times New Roman" w:cs="Times New Roman"/>
        </w:rPr>
        <w:t>transmit</w:t>
      </w:r>
      <w:r w:rsidRPr="003B6C5B">
        <w:rPr>
          <w:rFonts w:ascii="Times New Roman" w:hAnsi="Times New Roman" w:cs="Times New Roman"/>
        </w:rPr>
        <w:t xml:space="preserve"> price information to the energy market</w:t>
      </w:r>
      <w:r w:rsidR="00E64D53">
        <w:rPr>
          <w:rFonts w:ascii="Times New Roman" w:hAnsi="Times New Roman" w:cs="Times New Roman"/>
        </w:rPr>
        <w:t xml:space="preserve"> in terms of higher-order moments</w:t>
      </w:r>
      <w:r w:rsidRPr="003B6C5B">
        <w:rPr>
          <w:rFonts w:ascii="Times New Roman" w:hAnsi="Times New Roman" w:cs="Times New Roman"/>
        </w:rPr>
        <w:t xml:space="preserve">. The </w:t>
      </w:r>
      <w:r w:rsidR="004A5918" w:rsidRPr="003B6C5B">
        <w:rPr>
          <w:rFonts w:ascii="Times New Roman" w:hAnsi="Times New Roman" w:cs="Times New Roman"/>
        </w:rPr>
        <w:t xml:space="preserve">strong </w:t>
      </w:r>
      <w:r w:rsidRPr="003B6C5B">
        <w:rPr>
          <w:rFonts w:ascii="Times New Roman" w:hAnsi="Times New Roman" w:cs="Times New Roman"/>
        </w:rPr>
        <w:t xml:space="preserve">long-run spillovers in higher-order moments between the energy and carbon portfolio </w:t>
      </w:r>
      <w:r w:rsidR="00DA54F0" w:rsidRPr="003B6C5B">
        <w:rPr>
          <w:rFonts w:ascii="Times New Roman" w:hAnsi="Times New Roman" w:cs="Times New Roman"/>
        </w:rPr>
        <w:t>suggest</w:t>
      </w:r>
      <w:r w:rsidRPr="003B6C5B">
        <w:rPr>
          <w:rFonts w:ascii="Times New Roman" w:hAnsi="Times New Roman" w:cs="Times New Roman"/>
        </w:rPr>
        <w:t xml:space="preserve"> </w:t>
      </w:r>
      <w:r w:rsidR="00EC52B8" w:rsidRPr="003B6C5B">
        <w:rPr>
          <w:rFonts w:ascii="Times New Roman" w:hAnsi="Times New Roman" w:cs="Times New Roman"/>
        </w:rPr>
        <w:t xml:space="preserve">that </w:t>
      </w:r>
      <w:r w:rsidRPr="003B6C5B">
        <w:rPr>
          <w:rFonts w:ascii="Times New Roman" w:hAnsi="Times New Roman" w:cs="Times New Roman"/>
        </w:rPr>
        <w:t xml:space="preserve">investors </w:t>
      </w:r>
      <w:r w:rsidR="00DA54F0" w:rsidRPr="003B6C5B">
        <w:rPr>
          <w:rFonts w:ascii="Times New Roman" w:hAnsi="Times New Roman" w:cs="Times New Roman"/>
        </w:rPr>
        <w:t xml:space="preserve">should </w:t>
      </w:r>
      <w:r w:rsidRPr="003B6C5B">
        <w:rPr>
          <w:rFonts w:ascii="Times New Roman" w:hAnsi="Times New Roman" w:cs="Times New Roman"/>
        </w:rPr>
        <w:t xml:space="preserve">focus on asymmetric price </w:t>
      </w:r>
      <w:r w:rsidR="00EC52B8" w:rsidRPr="003B6C5B">
        <w:rPr>
          <w:rFonts w:ascii="Times New Roman" w:hAnsi="Times New Roman" w:cs="Times New Roman"/>
        </w:rPr>
        <w:t>movements</w:t>
      </w:r>
      <w:r w:rsidRPr="003B6C5B">
        <w:rPr>
          <w:rFonts w:ascii="Times New Roman" w:hAnsi="Times New Roman" w:cs="Times New Roman"/>
        </w:rPr>
        <w:t xml:space="preserve"> as well as </w:t>
      </w:r>
      <w:r w:rsidR="00EC52B8" w:rsidRPr="003B6C5B">
        <w:rPr>
          <w:rFonts w:ascii="Times New Roman" w:hAnsi="Times New Roman" w:cs="Times New Roman"/>
        </w:rPr>
        <w:t xml:space="preserve">risk of </w:t>
      </w:r>
      <w:r w:rsidRPr="003B6C5B">
        <w:rPr>
          <w:rFonts w:ascii="Times New Roman" w:hAnsi="Times New Roman" w:cs="Times New Roman"/>
        </w:rPr>
        <w:t xml:space="preserve">extreme price </w:t>
      </w:r>
      <w:r w:rsidR="00DA54F0" w:rsidRPr="003B6C5B">
        <w:rPr>
          <w:rFonts w:ascii="Times New Roman" w:hAnsi="Times New Roman" w:cs="Times New Roman"/>
        </w:rPr>
        <w:t>when constructing a carbon-energy markets portfolio.</w:t>
      </w:r>
      <w:bookmarkEnd w:id="15"/>
      <w:r w:rsidR="00DA54F0" w:rsidRPr="003B6C5B">
        <w:rPr>
          <w:rFonts w:ascii="Times New Roman" w:hAnsi="Times New Roman" w:cs="Times New Roman"/>
        </w:rPr>
        <w:t xml:space="preserve"> </w:t>
      </w:r>
    </w:p>
    <w:p w14:paraId="2C518D5E" w14:textId="15B894DD" w:rsidR="007D4FB8" w:rsidRPr="003B6C5B" w:rsidRDefault="00160326" w:rsidP="006724D6">
      <w:pPr>
        <w:pStyle w:val="NormalWeb"/>
        <w:spacing w:before="0" w:beforeAutospacing="0" w:after="0" w:afterAutospacing="0" w:line="480" w:lineRule="auto"/>
        <w:ind w:firstLine="420"/>
        <w:jc w:val="both"/>
        <w:rPr>
          <w:rFonts w:ascii="Times New Roman" w:hAnsi="Times New Roman" w:cs="Times New Roman"/>
        </w:rPr>
      </w:pPr>
      <w:r w:rsidRPr="003B6C5B">
        <w:rPr>
          <w:rFonts w:ascii="Times New Roman" w:hAnsi="Times New Roman" w:cs="Times New Roman"/>
        </w:rPr>
        <w:t xml:space="preserve">The manifestation of significant spillover of higher-order moments </w:t>
      </w:r>
      <w:r w:rsidR="00722E14">
        <w:rPr>
          <w:rFonts w:ascii="Times New Roman" w:hAnsi="Times New Roman" w:cs="Times New Roman"/>
        </w:rPr>
        <w:t xml:space="preserve">at </w:t>
      </w:r>
      <w:r w:rsidR="00722E14" w:rsidRPr="003B6C5B">
        <w:rPr>
          <w:rFonts w:ascii="Times New Roman" w:hAnsi="Times New Roman" w:cs="Times New Roman"/>
        </w:rPr>
        <w:t xml:space="preserve">long-run </w:t>
      </w:r>
      <w:r w:rsidR="00CE289A" w:rsidRPr="003B6C5B">
        <w:rPr>
          <w:rFonts w:ascii="Times New Roman" w:hAnsi="Times New Roman" w:cs="Times New Roman"/>
        </w:rPr>
        <w:t>is</w:t>
      </w:r>
      <w:r w:rsidRPr="003B6C5B">
        <w:rPr>
          <w:rFonts w:ascii="Times New Roman" w:hAnsi="Times New Roman" w:cs="Times New Roman"/>
        </w:rPr>
        <w:t xml:space="preserve"> an extension of the findings of Zhu et al. (2019), whereby they document the long-run </w:t>
      </w:r>
      <w:proofErr w:type="gramStart"/>
      <w:r w:rsidRPr="003B6C5B">
        <w:rPr>
          <w:rFonts w:ascii="Times New Roman" w:hAnsi="Times New Roman" w:cs="Times New Roman"/>
        </w:rPr>
        <w:lastRenderedPageBreak/>
        <w:t>returns(</w:t>
      </w:r>
      <w:proofErr w:type="gramEnd"/>
      <w:r w:rsidRPr="003B6C5B">
        <w:rPr>
          <w:rFonts w:ascii="Times New Roman" w:hAnsi="Times New Roman" w:cs="Times New Roman"/>
        </w:rPr>
        <w:t>the first-order moment) drivers of carbon markets</w:t>
      </w:r>
      <w:r w:rsidR="00722E14">
        <w:rPr>
          <w:rFonts w:ascii="Times New Roman" w:hAnsi="Times New Roman" w:cs="Times New Roman"/>
        </w:rPr>
        <w:t xml:space="preserve"> include </w:t>
      </w:r>
      <w:r w:rsidR="00722E14" w:rsidRPr="00722E14">
        <w:rPr>
          <w:rFonts w:ascii="Times New Roman" w:hAnsi="Times New Roman" w:cs="Times New Roman"/>
        </w:rPr>
        <w:t>coal, oil and gas</w:t>
      </w:r>
      <w:r w:rsidRPr="003B6C5B">
        <w:rPr>
          <w:rFonts w:ascii="Times New Roman" w:hAnsi="Times New Roman" w:cs="Times New Roman"/>
        </w:rPr>
        <w:t xml:space="preserve">. </w:t>
      </w:r>
      <w:r w:rsidR="00CE289A" w:rsidRPr="003B6C5B">
        <w:rPr>
          <w:rFonts w:ascii="Times New Roman" w:hAnsi="Times New Roman" w:cs="Times New Roman"/>
        </w:rPr>
        <w:t xml:space="preserve">After </w:t>
      </w:r>
      <w:r w:rsidR="008F5EE1">
        <w:rPr>
          <w:rFonts w:ascii="Times New Roman" w:hAnsi="Times New Roman" w:cs="Times New Roman"/>
        </w:rPr>
        <w:t>removing</w:t>
      </w:r>
      <w:r w:rsidR="00CE289A" w:rsidRPr="003B6C5B">
        <w:rPr>
          <w:rFonts w:ascii="Times New Roman" w:hAnsi="Times New Roman" w:cs="Times New Roman"/>
        </w:rPr>
        <w:t xml:space="preserve"> the effects of </w:t>
      </w:r>
      <w:r w:rsidR="00C72E1B">
        <w:rPr>
          <w:rFonts w:ascii="Times New Roman" w:hAnsi="Times New Roman" w:cs="Times New Roman"/>
        </w:rPr>
        <w:t>co-moment</w:t>
      </w:r>
      <w:r w:rsidR="00CE289A" w:rsidRPr="003B6C5B">
        <w:rPr>
          <w:rFonts w:ascii="Times New Roman" w:hAnsi="Times New Roman" w:cs="Times New Roman"/>
        </w:rPr>
        <w:t>, we still find a strong long-run higher-order moment spillover between energy and carbon markets.</w:t>
      </w:r>
      <w:r w:rsidR="002A5222" w:rsidRPr="003B6C5B">
        <w:rPr>
          <w:rFonts w:ascii="Times New Roman" w:hAnsi="Times New Roman" w:cs="Times New Roman"/>
        </w:rPr>
        <w:t xml:space="preserve"> </w:t>
      </w:r>
      <w:r w:rsidR="002021CF">
        <w:rPr>
          <w:rFonts w:ascii="Times New Roman" w:hAnsi="Times New Roman" w:cs="Times New Roman"/>
        </w:rPr>
        <w:t xml:space="preserve">The </w:t>
      </w:r>
      <w:r w:rsidR="002021CF" w:rsidRPr="002021CF">
        <w:rPr>
          <w:rFonts w:ascii="Times New Roman" w:hAnsi="Times New Roman" w:cs="Times New Roman"/>
        </w:rPr>
        <w:t>heterogeneity in the interplay of higher-order moments between the carbon and energy markets at short- and long-run timescales</w:t>
      </w:r>
      <w:r w:rsidR="002021CF">
        <w:rPr>
          <w:rFonts w:ascii="Times New Roman" w:hAnsi="Times New Roman" w:cs="Times New Roman"/>
        </w:rPr>
        <w:t xml:space="preserve"> inspire us to </w:t>
      </w:r>
      <w:r w:rsidR="002A5222" w:rsidRPr="003B6C5B">
        <w:rPr>
          <w:rFonts w:ascii="Times New Roman" w:hAnsi="Times New Roman" w:cs="Times New Roman"/>
        </w:rPr>
        <w:t>construct a portfolio of carbon and energy markets</w:t>
      </w:r>
      <w:r w:rsidR="002021CF">
        <w:rPr>
          <w:rFonts w:ascii="Times New Roman" w:hAnsi="Times New Roman" w:cs="Times New Roman"/>
        </w:rPr>
        <w:t xml:space="preserve"> to allow investors to hedge risk exposure of spillover of higher-order moments in the subsequent sub-section</w:t>
      </w:r>
      <w:r w:rsidR="0091659D">
        <w:rPr>
          <w:rFonts w:ascii="Times New Roman" w:hAnsi="Times New Roman" w:cs="Times New Roman"/>
        </w:rPr>
        <w:t>.</w:t>
      </w:r>
    </w:p>
    <w:p w14:paraId="06702ABB" w14:textId="50B0C9D4" w:rsidR="00215748" w:rsidRDefault="00107B06" w:rsidP="006724D6">
      <w:pPr>
        <w:pStyle w:val="Heading2"/>
        <w:spacing w:line="480" w:lineRule="auto"/>
        <w:jc w:val="both"/>
      </w:pPr>
      <w:r w:rsidRPr="003B6C5B">
        <w:t xml:space="preserve">5.4. </w:t>
      </w:r>
      <w:r w:rsidR="00363E9F">
        <w:t>Portfolio risk management with</w:t>
      </w:r>
      <w:r w:rsidR="00FB387E">
        <w:t xml:space="preserve"> multiscale</w:t>
      </w:r>
      <w:r w:rsidR="00363E9F">
        <w:t xml:space="preserve"> higher-order co-moments</w:t>
      </w:r>
    </w:p>
    <w:p w14:paraId="52AADE88" w14:textId="1C603E9B" w:rsidR="00821B45" w:rsidRDefault="003543CC" w:rsidP="004E3C44">
      <w:pPr>
        <w:spacing w:line="480" w:lineRule="auto"/>
        <w:ind w:firstLineChars="200" w:firstLine="480"/>
        <w:jc w:val="both"/>
      </w:pPr>
      <w:r>
        <w:t xml:space="preserve">Here we apply the previous findings into portfolio risk management. </w:t>
      </w:r>
      <w:r w:rsidR="00215748">
        <w:t xml:space="preserve">Sub-section 5.2 and 5.3 </w:t>
      </w:r>
      <w:r w:rsidR="00B01F18">
        <w:t>report</w:t>
      </w:r>
      <w:r w:rsidR="00215748">
        <w:t>s</w:t>
      </w:r>
      <w:r w:rsidR="00B01F18">
        <w:t xml:space="preserve"> that</w:t>
      </w:r>
      <w:r w:rsidR="00FD7822" w:rsidRPr="003B6C5B">
        <w:t xml:space="preserve"> </w:t>
      </w:r>
      <w:r w:rsidR="00B01F18">
        <w:t xml:space="preserve">weak </w:t>
      </w:r>
      <w:r w:rsidR="000914B7" w:rsidRPr="003B6C5B">
        <w:t>higher-order moments interplay</w:t>
      </w:r>
      <w:r w:rsidR="00107B06" w:rsidRPr="003B6C5B">
        <w:t xml:space="preserve"> between the energy and carbon markets </w:t>
      </w:r>
      <w:r w:rsidR="00215748">
        <w:t xml:space="preserve">in the </w:t>
      </w:r>
      <w:r w:rsidR="00B01F18">
        <w:t>short-run</w:t>
      </w:r>
      <w:r w:rsidR="00C0332A">
        <w:t xml:space="preserve"> and such </w:t>
      </w:r>
      <w:r w:rsidR="00D04956">
        <w:t>interactions</w:t>
      </w:r>
      <w:r w:rsidR="00C0332A">
        <w:t xml:space="preserve"> enhanced at long-run timescale</w:t>
      </w:r>
      <w:r>
        <w:t>.</w:t>
      </w:r>
      <w:r w:rsidR="00C0332A">
        <w:t xml:space="preserve"> </w:t>
      </w:r>
      <w:r>
        <w:t>We use programming (P6) to compute the optimal portfolio weights hedging against higher-order moments risk in carbon and energy markets.</w:t>
      </w:r>
    </w:p>
    <w:p w14:paraId="15DEDA86" w14:textId="793A14B9" w:rsidR="00E81FB3" w:rsidRPr="004E3C44" w:rsidRDefault="00215748" w:rsidP="004E3C44">
      <w:pPr>
        <w:spacing w:line="480" w:lineRule="auto"/>
        <w:ind w:firstLineChars="200" w:firstLine="480"/>
        <w:jc w:val="both"/>
      </w:pPr>
      <w:bookmarkStart w:id="16" w:name="_Hlk67384956"/>
      <w:r w:rsidRPr="003B6C5B">
        <w:t xml:space="preserve">Figure </w:t>
      </w:r>
      <w:r>
        <w:t xml:space="preserve">7 shows </w:t>
      </w:r>
      <w:r w:rsidR="00E81FB3" w:rsidRPr="003B6C5B">
        <w:t xml:space="preserve">the </w:t>
      </w:r>
      <w:r w:rsidR="003543CC">
        <w:t xml:space="preserve">out-of-sample </w:t>
      </w:r>
      <w:r w:rsidR="00E81FB3" w:rsidRPr="003B6C5B">
        <w:t>portfolio wealth chart for high-order moments hedging strategy</w:t>
      </w:r>
      <w:r>
        <w:t xml:space="preserve"> in </w:t>
      </w:r>
      <w:r w:rsidRPr="003B6C5B">
        <w:t>the short-run</w:t>
      </w:r>
      <w:r w:rsidR="00E81FB3" w:rsidRPr="003B6C5B">
        <w:t xml:space="preserve"> </w:t>
      </w:r>
      <w:r w:rsidR="003543CC">
        <w:t>by programming (P6)</w:t>
      </w:r>
      <w:r w:rsidR="00E81FB3" w:rsidRPr="003B6C5B">
        <w:t>. The advantage of the skewness and kurtosis hedging frameworks is significantly improved than that of naive strategy (</w:t>
      </w:r>
      <w:r w:rsidR="00E81FB3" w:rsidRPr="00BE3927">
        <w:rPr>
          <w:i/>
          <w:iCs/>
        </w:rPr>
        <w:t>i.e.</w:t>
      </w:r>
      <w:r w:rsidR="00E81FB3" w:rsidRPr="003B6C5B">
        <w:t>, the equal-weight strategy)</w:t>
      </w:r>
      <w:r w:rsidR="00B502DC">
        <w:t>.</w:t>
      </w:r>
      <w:r w:rsidR="00E81FB3" w:rsidRPr="003B6C5B">
        <w:t xml:space="preserve"> The weak short-run higher-order spillover (especially </w:t>
      </w:r>
      <w:r w:rsidR="00E81FB3">
        <w:t>co-moment</w:t>
      </w:r>
      <w:r w:rsidR="00E81FB3" w:rsidRPr="003B6C5B">
        <w:t>) is a direct result of the weak interdependence between energy and carbon at higher</w:t>
      </w:r>
      <w:r w:rsidR="003543CC">
        <w:t>-</w:t>
      </w:r>
      <w:r w:rsidR="00E81FB3" w:rsidRPr="003B6C5B">
        <w:t xml:space="preserve">order moments. This is precisely the reason why the asset portfolio (hedging higher-order moments) constructed in this study works well. </w:t>
      </w:r>
      <w:r w:rsidR="00C0332A">
        <w:t>T</w:t>
      </w:r>
      <w:r w:rsidR="00C0332A" w:rsidRPr="003B6C5B">
        <w:t xml:space="preserve">he weak spillovers in higher-order moments enable investors to better use the carbon market to </w:t>
      </w:r>
      <w:r w:rsidR="00C0332A">
        <w:t>manage and diversify risk</w:t>
      </w:r>
      <w:r w:rsidR="00C0332A" w:rsidRPr="003B6C5B">
        <w:t xml:space="preserve"> in higher-order moments of the energy markets. </w:t>
      </w:r>
      <w:r w:rsidR="00B502DC" w:rsidRPr="003B6C5B">
        <w:t xml:space="preserve">At </w:t>
      </w:r>
      <w:r w:rsidR="00B502DC">
        <w:t xml:space="preserve">the </w:t>
      </w:r>
      <w:r w:rsidR="00B502DC" w:rsidRPr="003B6C5B">
        <w:t>long</w:t>
      </w:r>
      <w:r w:rsidR="00B502DC">
        <w:t>-run</w:t>
      </w:r>
      <w:r w:rsidR="00B502DC" w:rsidRPr="003B6C5B">
        <w:t xml:space="preserve"> timescales, the optimal portfolio wealth considering skewness-kurtosis does not seem to outperform the naive strategy</w:t>
      </w:r>
      <w:r w:rsidR="003543CC">
        <w:t xml:space="preserve"> </w:t>
      </w:r>
      <w:r>
        <w:t>(</w:t>
      </w:r>
      <w:r w:rsidR="00B502DC" w:rsidRPr="003B6C5B">
        <w:t>as much as it does at short timescales</w:t>
      </w:r>
      <w:r>
        <w:t>) a</w:t>
      </w:r>
      <w:r w:rsidR="00B502DC" w:rsidRPr="003B6C5B">
        <w:t>s the higher-</w:t>
      </w:r>
      <w:r w:rsidR="00B502DC" w:rsidRPr="003B6C5B">
        <w:lastRenderedPageBreak/>
        <w:t>order moment spillovers between carbon and energy markets are strong</w:t>
      </w:r>
      <w:r w:rsidR="00B502DC">
        <w:t>er</w:t>
      </w:r>
      <w:r w:rsidR="00B502DC" w:rsidRPr="003B6C5B">
        <w:t xml:space="preserve"> at </w:t>
      </w:r>
      <w:r w:rsidR="00B502DC">
        <w:t xml:space="preserve">the </w:t>
      </w:r>
      <w:r w:rsidR="00B502DC" w:rsidRPr="003B6C5B">
        <w:t>long</w:t>
      </w:r>
      <w:r w:rsidR="00B502DC">
        <w:t>-run</w:t>
      </w:r>
      <w:r w:rsidR="00B502DC" w:rsidRPr="003B6C5B">
        <w:t xml:space="preserve"> timescales</w:t>
      </w:r>
      <w:r>
        <w:t xml:space="preserve"> </w:t>
      </w:r>
      <w:r w:rsidRPr="00821B45">
        <w:t>which</w:t>
      </w:r>
      <w:r w:rsidR="00B502DC" w:rsidRPr="00821B45">
        <w:t xml:space="preserve"> </w:t>
      </w:r>
      <w:r w:rsidR="00B502DC" w:rsidRPr="00542A94">
        <w:t>do not facilitate the construction of portfolio</w:t>
      </w:r>
      <w:r w:rsidR="00B502DC" w:rsidRPr="00821B45">
        <w:t xml:space="preserve"> hed</w:t>
      </w:r>
      <w:r w:rsidR="00B502DC" w:rsidRPr="003B6C5B">
        <w:t>ging against higher-order moments risk (</w:t>
      </w:r>
      <w:r w:rsidR="00B502DC" w:rsidRPr="00B502DC">
        <w:rPr>
          <w:i/>
          <w:iCs/>
        </w:rPr>
        <w:t>i.e.</w:t>
      </w:r>
      <w:r w:rsidR="00B502DC" w:rsidRPr="003B6C5B">
        <w:t xml:space="preserve"> asymmetric and fat-tailed risk)</w:t>
      </w:r>
      <w:r w:rsidR="00B502DC">
        <w:rPr>
          <w:rStyle w:val="FootnoteReference"/>
        </w:rPr>
        <w:footnoteReference w:id="20"/>
      </w:r>
      <w:r w:rsidR="00B502DC" w:rsidRPr="003B6C5B">
        <w:t>.</w:t>
      </w:r>
      <w:bookmarkEnd w:id="16"/>
      <w:r w:rsidR="00B502DC" w:rsidRPr="003B6C5B">
        <w:t xml:space="preserve"> </w:t>
      </w:r>
    </w:p>
    <w:p w14:paraId="73E378AF" w14:textId="1255EBA0" w:rsidR="00107B06" w:rsidRPr="003B6C5B" w:rsidRDefault="00954393" w:rsidP="006724D6">
      <w:pPr>
        <w:spacing w:line="480" w:lineRule="auto"/>
        <w:jc w:val="both"/>
      </w:pPr>
      <w:r>
        <w:rPr>
          <w:noProof/>
        </w:rPr>
        <w:drawing>
          <wp:inline distT="0" distB="0" distL="0" distR="0" wp14:anchorId="23B1EBF8" wp14:editId="2E398E79">
            <wp:extent cx="5278120" cy="28149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2814955"/>
                    </a:xfrm>
                    <a:prstGeom prst="rect">
                      <a:avLst/>
                    </a:prstGeom>
                  </pic:spPr>
                </pic:pic>
              </a:graphicData>
            </a:graphic>
          </wp:inline>
        </w:drawing>
      </w:r>
    </w:p>
    <w:p w14:paraId="7899C6FC" w14:textId="053D11C6" w:rsidR="00107B06" w:rsidRPr="003B6C5B" w:rsidRDefault="00107B06" w:rsidP="003B6C5B">
      <w:pPr>
        <w:tabs>
          <w:tab w:val="left" w:pos="7513"/>
        </w:tabs>
        <w:spacing w:line="480" w:lineRule="auto"/>
        <w:jc w:val="center"/>
        <w:rPr>
          <w:b/>
        </w:rPr>
      </w:pPr>
      <w:r w:rsidRPr="003B6C5B">
        <w:rPr>
          <w:b/>
        </w:rPr>
        <w:t xml:space="preserve">Figure </w:t>
      </w:r>
      <w:r w:rsidR="00FE0A0C">
        <w:rPr>
          <w:b/>
        </w:rPr>
        <w:t>7</w:t>
      </w:r>
      <w:r w:rsidRPr="003B6C5B">
        <w:rPr>
          <w:b/>
        </w:rPr>
        <w:t>. out-of-sample higher-order moments optimal portfolio performance.</w:t>
      </w:r>
    </w:p>
    <w:p w14:paraId="4C906D3F" w14:textId="79A3BAA8" w:rsidR="0068435F" w:rsidRPr="003B6C5B" w:rsidRDefault="00107B06" w:rsidP="003B6C5B">
      <w:pPr>
        <w:pStyle w:val="NormalWeb"/>
        <w:spacing w:before="0" w:beforeAutospacing="0" w:after="0" w:afterAutospacing="0" w:line="360" w:lineRule="auto"/>
        <w:jc w:val="both"/>
        <w:rPr>
          <w:rFonts w:ascii="Times New Roman" w:hAnsi="Times New Roman" w:cs="Times New Roman"/>
          <w:sz w:val="16"/>
          <w:szCs w:val="16"/>
        </w:rPr>
      </w:pPr>
      <w:r w:rsidRPr="003B6C5B">
        <w:rPr>
          <w:rFonts w:ascii="Times New Roman" w:hAnsi="Times New Roman" w:cs="Times New Roman"/>
          <w:sz w:val="16"/>
          <w:szCs w:val="16"/>
        </w:rPr>
        <w:t>Note: The optimal portfolio accumulation wealth plot is an initial investment of $1. The plot is based on the results of the out-of-sample portfolio back-testing. The portfolio returns are obtained based on a two-step procedure. We use a fixed rolling window of 99 days length at time t to predict the higher order moments of the asset sample at time t+1, that is, we predict the out-of-sample higher order moments at 1618 days using 1717 days of sample data. We then employ program</w:t>
      </w:r>
      <w:r w:rsidR="003543CC">
        <w:rPr>
          <w:rFonts w:ascii="Times New Roman" w:hAnsi="Times New Roman" w:cs="Times New Roman"/>
          <w:sz w:val="16"/>
          <w:szCs w:val="16"/>
        </w:rPr>
        <w:t>ming</w:t>
      </w:r>
      <w:r w:rsidRPr="003B6C5B">
        <w:rPr>
          <w:rFonts w:ascii="Times New Roman" w:hAnsi="Times New Roman" w:cs="Times New Roman"/>
          <w:sz w:val="16"/>
          <w:szCs w:val="16"/>
        </w:rPr>
        <w:t xml:space="preserve"> (</w:t>
      </w:r>
      <w:r w:rsidR="003543CC">
        <w:rPr>
          <w:rFonts w:ascii="Times New Roman" w:hAnsi="Times New Roman" w:cs="Times New Roman"/>
          <w:sz w:val="16"/>
          <w:szCs w:val="16"/>
        </w:rPr>
        <w:t>P6</w:t>
      </w:r>
      <w:r w:rsidRPr="003B6C5B">
        <w:rPr>
          <w:rFonts w:ascii="Times New Roman" w:hAnsi="Times New Roman" w:cs="Times New Roman"/>
          <w:sz w:val="16"/>
          <w:szCs w:val="16"/>
        </w:rPr>
        <w:t xml:space="preserve">) for calculating the optimal weights and use the real returns data to derive Figure </w:t>
      </w:r>
      <w:r w:rsidR="00FE0A0C">
        <w:rPr>
          <w:rFonts w:ascii="Times New Roman" w:hAnsi="Times New Roman" w:cs="Times New Roman"/>
          <w:sz w:val="16"/>
          <w:szCs w:val="16"/>
        </w:rPr>
        <w:t>7</w:t>
      </w:r>
      <w:r w:rsidRPr="003B6C5B">
        <w:rPr>
          <w:rFonts w:ascii="Times New Roman" w:hAnsi="Times New Roman" w:cs="Times New Roman"/>
          <w:sz w:val="16"/>
          <w:szCs w:val="16"/>
        </w:rPr>
        <w:t xml:space="preserve">. “Naïve weight” refers to equal weight of 0.25 for all time. “Optimal weight,” “Optimal weight - 2” refers to the program </w:t>
      </w:r>
      <w:r w:rsidR="009F245B" w:rsidRPr="003B6C5B">
        <w:rPr>
          <w:rFonts w:ascii="Times New Roman" w:hAnsi="Times New Roman" w:cs="Times New Roman"/>
          <w:sz w:val="16"/>
          <w:szCs w:val="16"/>
        </w:rPr>
        <w:t>P (</w:t>
      </w:r>
      <w:r w:rsidRPr="003B6C5B">
        <w:rPr>
          <w:rFonts w:ascii="Times New Roman" w:hAnsi="Times New Roman" w:cs="Times New Roman"/>
          <w:sz w:val="16"/>
          <w:szCs w:val="16"/>
        </w:rPr>
        <w:t xml:space="preserve">6) with </w:t>
      </w:r>
      <m:oMath>
        <m:r>
          <w:rPr>
            <w:rFonts w:ascii="Cambria Math" w:hAnsi="Cambria Math" w:cs="Times New Roman"/>
            <w:sz w:val="16"/>
            <w:szCs w:val="16"/>
          </w:rPr>
          <m:t>λ</m:t>
        </m:r>
        <m:r>
          <m:rPr>
            <m:sty m:val="p"/>
          </m:rPr>
          <w:rPr>
            <w:rFonts w:ascii="Cambria Math" w:hAnsi="Cambria Math" w:cs="Times New Roman"/>
            <w:sz w:val="16"/>
            <w:szCs w:val="16"/>
          </w:rPr>
          <m:t>=</m:t>
        </m:r>
        <m:d>
          <m:dPr>
            <m:ctrlPr>
              <w:rPr>
                <w:rFonts w:ascii="Cambria Math" w:hAnsi="Cambria Math" w:cs="Times New Roman"/>
                <w:sz w:val="16"/>
                <w:szCs w:val="16"/>
              </w:rPr>
            </m:ctrlPr>
          </m:dPr>
          <m:e>
            <m:r>
              <m:rPr>
                <m:sty m:val="p"/>
              </m:rPr>
              <w:rPr>
                <w:rFonts w:ascii="Cambria Math" w:hAnsi="Cambria Math" w:cs="Times New Roman"/>
                <w:sz w:val="16"/>
                <w:szCs w:val="16"/>
              </w:rPr>
              <m:t>1,1,1,1</m:t>
            </m:r>
          </m:e>
        </m:d>
        <m:r>
          <m:rPr>
            <m:sty m:val="p"/>
          </m:rPr>
          <w:rPr>
            <w:rFonts w:ascii="Cambria Math" w:hAnsi="Cambria Math" w:cs="Times New Roman"/>
            <w:sz w:val="16"/>
            <w:szCs w:val="16"/>
          </w:rPr>
          <m:t xml:space="preserve">' </m:t>
        </m:r>
      </m:oMath>
      <w:r w:rsidRPr="003B6C5B">
        <w:rPr>
          <w:rFonts w:ascii="Times New Roman" w:hAnsi="Times New Roman" w:cs="Times New Roman"/>
          <w:sz w:val="16"/>
          <w:szCs w:val="16"/>
        </w:rPr>
        <w:t xml:space="preserve">and </w:t>
      </w:r>
      <m:oMath>
        <m:d>
          <m:dPr>
            <m:ctrlPr>
              <w:rPr>
                <w:rFonts w:ascii="Cambria Math" w:hAnsi="Cambria Math" w:cs="Times New Roman"/>
                <w:sz w:val="16"/>
                <w:szCs w:val="16"/>
              </w:rPr>
            </m:ctrlPr>
          </m:dPr>
          <m:e>
            <m:r>
              <m:rPr>
                <m:sty m:val="p"/>
              </m:rPr>
              <w:rPr>
                <w:rFonts w:ascii="Cambria Math" w:hAnsi="Cambria Math" w:cs="Times New Roman"/>
                <w:sz w:val="16"/>
                <w:szCs w:val="16"/>
              </w:rPr>
              <m:t>1,0,1,1</m:t>
            </m:r>
          </m:e>
        </m:d>
        <m:r>
          <m:rPr>
            <m:sty m:val="p"/>
          </m:rPr>
          <w:rPr>
            <w:rFonts w:ascii="Cambria Math" w:hAnsi="Cambria Math" w:cs="Times New Roman"/>
            <w:sz w:val="16"/>
            <w:szCs w:val="16"/>
          </w:rPr>
          <m:t>'</m:t>
        </m:r>
      </m:oMath>
      <w:r w:rsidR="0068435F" w:rsidRPr="003B6C5B">
        <w:rPr>
          <w:rFonts w:ascii="Times New Roman" w:hAnsi="Times New Roman" w:cs="Times New Roman" w:hint="eastAsia"/>
          <w:sz w:val="16"/>
          <w:szCs w:val="16"/>
        </w:rPr>
        <w:t xml:space="preserve"> </w:t>
      </w:r>
      <w:r w:rsidR="0068435F" w:rsidRPr="003B6C5B">
        <w:rPr>
          <w:rFonts w:ascii="Times New Roman" w:hAnsi="Times New Roman" w:cs="Times New Roman"/>
          <w:sz w:val="16"/>
          <w:szCs w:val="16"/>
        </w:rPr>
        <w:t>in programming (P6)</w:t>
      </w:r>
      <w:r w:rsidRPr="003B6C5B">
        <w:rPr>
          <w:rFonts w:ascii="Times New Roman" w:hAnsi="Times New Roman" w:cs="Times New Roman"/>
          <w:sz w:val="16"/>
          <w:szCs w:val="16"/>
        </w:rPr>
        <w:t>.</w:t>
      </w:r>
    </w:p>
    <w:p w14:paraId="08F5ACB3" w14:textId="2CE592ED" w:rsidR="00107B06" w:rsidRPr="003B6C5B" w:rsidRDefault="00107B06" w:rsidP="00B502DC">
      <w:pPr>
        <w:pStyle w:val="Heading1"/>
        <w:numPr>
          <w:ilvl w:val="0"/>
          <w:numId w:val="1"/>
        </w:numPr>
        <w:spacing w:before="260" w:after="260" w:line="480" w:lineRule="auto"/>
        <w:ind w:left="357" w:hanging="357"/>
        <w:jc w:val="both"/>
        <w:rPr>
          <w:sz w:val="24"/>
          <w:szCs w:val="24"/>
        </w:rPr>
      </w:pPr>
      <w:r w:rsidRPr="00B502DC">
        <w:rPr>
          <w:sz w:val="24"/>
          <w:szCs w:val="24"/>
        </w:rPr>
        <w:t>Conclusion and policy implications</w:t>
      </w:r>
    </w:p>
    <w:p w14:paraId="53EF0E0B" w14:textId="070644E0" w:rsidR="00107B06" w:rsidRPr="003B6C5B" w:rsidRDefault="0094109E" w:rsidP="006724D6">
      <w:pPr>
        <w:pStyle w:val="NormalWeb"/>
        <w:spacing w:before="0" w:beforeAutospacing="0" w:after="0" w:afterAutospacing="0" w:line="480" w:lineRule="auto"/>
        <w:ind w:firstLineChars="200" w:firstLine="480"/>
        <w:jc w:val="both"/>
        <w:rPr>
          <w:rFonts w:ascii="Times New Roman" w:hAnsi="Times New Roman" w:cs="Times New Roman"/>
        </w:rPr>
      </w:pPr>
      <w:r>
        <w:rPr>
          <w:rFonts w:ascii="Times New Roman" w:hAnsi="Times New Roman" w:cs="Times New Roman"/>
        </w:rPr>
        <w:t xml:space="preserve"> T</w:t>
      </w:r>
      <w:r w:rsidRPr="00B502DC">
        <w:rPr>
          <w:rFonts w:ascii="Times New Roman" w:hAnsi="Times New Roman" w:cs="Times New Roman"/>
        </w:rPr>
        <w:t xml:space="preserve">he </w:t>
      </w:r>
      <w:r>
        <w:rPr>
          <w:rFonts w:ascii="Times New Roman" w:hAnsi="Times New Roman" w:cs="Times New Roman"/>
        </w:rPr>
        <w:t xml:space="preserve">new price </w:t>
      </w:r>
      <w:r w:rsidRPr="004D700C">
        <w:rPr>
          <w:rFonts w:ascii="Times New Roman" w:hAnsi="Times New Roman" w:cs="Times New Roman"/>
        </w:rPr>
        <w:t>trajector</w:t>
      </w:r>
      <w:r>
        <w:rPr>
          <w:rFonts w:ascii="Times New Roman" w:hAnsi="Times New Roman" w:cs="Times New Roman"/>
        </w:rPr>
        <w:t>ies</w:t>
      </w:r>
      <w:r w:rsidRPr="00B502DC">
        <w:rPr>
          <w:rFonts w:ascii="Times New Roman" w:hAnsi="Times New Roman" w:cs="Times New Roman"/>
        </w:rPr>
        <w:t xml:space="preserve"> </w:t>
      </w:r>
      <w:r>
        <w:rPr>
          <w:rFonts w:ascii="Times New Roman" w:hAnsi="Times New Roman" w:cs="Times New Roman"/>
        </w:rPr>
        <w:t xml:space="preserve">and the polices implemented in the carbon and energy markets make Phase III of EU ETS complicated to understand. </w:t>
      </w:r>
      <w:r w:rsidR="00433661" w:rsidRPr="00B502DC">
        <w:rPr>
          <w:rFonts w:ascii="Times New Roman" w:hAnsi="Times New Roman" w:cs="Times New Roman"/>
        </w:rPr>
        <w:t>T</w:t>
      </w:r>
      <w:r w:rsidR="00713502">
        <w:rPr>
          <w:rFonts w:ascii="Times New Roman" w:hAnsi="Times New Roman" w:cs="Times New Roman"/>
        </w:rPr>
        <w:t>his study contributes to the literature by examining the spillovers of higher-order moments between the carbon and energy markets and a multiscale analysis enable us to reveal the</w:t>
      </w:r>
      <w:r w:rsidR="00713502" w:rsidRPr="003B6C5B">
        <w:rPr>
          <w:rFonts w:ascii="Times New Roman" w:hAnsi="Times New Roman" w:cs="Times New Roman"/>
        </w:rPr>
        <w:t xml:space="preserve"> heterogeneity in </w:t>
      </w:r>
      <w:r w:rsidR="00713502">
        <w:rPr>
          <w:rFonts w:ascii="Times New Roman" w:hAnsi="Times New Roman" w:cs="Times New Roman"/>
        </w:rPr>
        <w:t xml:space="preserve">different time </w:t>
      </w:r>
      <w:r w:rsidR="003F32F3">
        <w:rPr>
          <w:rFonts w:ascii="Times New Roman" w:hAnsi="Times New Roman" w:cs="Times New Roman"/>
        </w:rPr>
        <w:t>frequencies</w:t>
      </w:r>
      <w:r w:rsidR="00713502">
        <w:rPr>
          <w:rFonts w:ascii="Times New Roman" w:hAnsi="Times New Roman" w:cs="Times New Roman"/>
        </w:rPr>
        <w:t xml:space="preserve">. </w:t>
      </w:r>
      <w:r w:rsidR="00390CAA">
        <w:rPr>
          <w:rFonts w:ascii="Times New Roman" w:hAnsi="Times New Roman" w:cs="Times New Roman"/>
        </w:rPr>
        <w:t xml:space="preserve">We also demonstrate </w:t>
      </w:r>
      <w:r w:rsidR="008C2875">
        <w:rPr>
          <w:rFonts w:ascii="Times New Roman" w:hAnsi="Times New Roman" w:cs="Times New Roman"/>
        </w:rPr>
        <w:t>a</w:t>
      </w:r>
      <w:r>
        <w:rPr>
          <w:rFonts w:ascii="Times New Roman" w:hAnsi="Times New Roman" w:cs="Times New Roman"/>
        </w:rPr>
        <w:t>n</w:t>
      </w:r>
      <w:r w:rsidR="008C2875">
        <w:rPr>
          <w:rFonts w:ascii="Times New Roman" w:hAnsi="Times New Roman" w:cs="Times New Roman"/>
        </w:rPr>
        <w:t xml:space="preserve"> application of </w:t>
      </w:r>
      <w:r w:rsidR="008C2875">
        <w:rPr>
          <w:rFonts w:ascii="Times New Roman" w:hAnsi="Times New Roman" w:cs="Times New Roman"/>
        </w:rPr>
        <w:lastRenderedPageBreak/>
        <w:t>p</w:t>
      </w:r>
      <w:r w:rsidR="008C2875" w:rsidRPr="008C2875">
        <w:rPr>
          <w:rFonts w:ascii="Times New Roman" w:hAnsi="Times New Roman" w:cs="Times New Roman"/>
        </w:rPr>
        <w:t xml:space="preserve">ortfolio risk management </w:t>
      </w:r>
      <w:r>
        <w:rPr>
          <w:rFonts w:ascii="Times New Roman" w:hAnsi="Times New Roman" w:cs="Times New Roman"/>
        </w:rPr>
        <w:t xml:space="preserve">strategy </w:t>
      </w:r>
      <w:r w:rsidR="008C2875" w:rsidRPr="008C2875">
        <w:rPr>
          <w:rFonts w:ascii="Times New Roman" w:hAnsi="Times New Roman" w:cs="Times New Roman"/>
        </w:rPr>
        <w:t>with multiscale higher-order co-moments</w:t>
      </w:r>
      <w:r w:rsidR="00390CAA">
        <w:rPr>
          <w:rFonts w:ascii="Times New Roman" w:hAnsi="Times New Roman" w:cs="Times New Roman"/>
        </w:rPr>
        <w:t xml:space="preserve">. </w:t>
      </w:r>
      <w:proofErr w:type="gramStart"/>
      <w:r>
        <w:rPr>
          <w:rFonts w:ascii="Times New Roman" w:hAnsi="Times New Roman" w:cs="Times New Roman"/>
        </w:rPr>
        <w:t>This  application</w:t>
      </w:r>
      <w:proofErr w:type="gramEnd"/>
      <w:r>
        <w:rPr>
          <w:rFonts w:ascii="Times New Roman" w:hAnsi="Times New Roman" w:cs="Times New Roman"/>
        </w:rPr>
        <w:t xml:space="preserve"> demonstrates that t</w:t>
      </w:r>
      <w:r w:rsidR="00390CAA">
        <w:rPr>
          <w:rFonts w:ascii="Times New Roman" w:hAnsi="Times New Roman" w:cs="Times New Roman"/>
        </w:rPr>
        <w:t>he</w:t>
      </w:r>
      <w:r w:rsidR="00390CAA" w:rsidRPr="003B6C5B">
        <w:rPr>
          <w:rFonts w:ascii="Times New Roman" w:hAnsi="Times New Roman" w:cs="Times New Roman"/>
        </w:rPr>
        <w:t xml:space="preserve"> heterogeneity </w:t>
      </w:r>
      <w:r w:rsidR="00390CAA">
        <w:rPr>
          <w:rFonts w:ascii="Times New Roman" w:hAnsi="Times New Roman" w:cs="Times New Roman"/>
        </w:rPr>
        <w:t>of spillovers of higher-order moments allows investors with different time horizon to manage and diversify risk</w:t>
      </w:r>
      <w:r w:rsidR="00B474E3">
        <w:rPr>
          <w:rFonts w:ascii="Times New Roman" w:hAnsi="Times New Roman" w:cs="Times New Roman"/>
        </w:rPr>
        <w:t>.</w:t>
      </w:r>
    </w:p>
    <w:p w14:paraId="14FA8C9F" w14:textId="203BA3FF" w:rsidR="00107B06" w:rsidRPr="003B6C5B" w:rsidRDefault="00433661" w:rsidP="006724D6">
      <w:pPr>
        <w:pStyle w:val="NormalWeb"/>
        <w:spacing w:before="0" w:beforeAutospacing="0" w:after="0" w:afterAutospacing="0" w:line="480" w:lineRule="auto"/>
        <w:ind w:firstLineChars="200" w:firstLine="480"/>
        <w:jc w:val="both"/>
        <w:rPr>
          <w:rFonts w:ascii="Times New Roman" w:hAnsi="Times New Roman" w:cs="Times New Roman"/>
        </w:rPr>
      </w:pPr>
      <w:r>
        <w:rPr>
          <w:rFonts w:ascii="Times New Roman" w:hAnsi="Times New Roman" w:cs="Times New Roman"/>
        </w:rPr>
        <w:t xml:space="preserve">We </w:t>
      </w:r>
      <w:r w:rsidR="00F156EB">
        <w:rPr>
          <w:rFonts w:ascii="Times New Roman" w:hAnsi="Times New Roman" w:cs="Times New Roman"/>
        </w:rPr>
        <w:t>detect</w:t>
      </w:r>
      <w:r>
        <w:rPr>
          <w:rFonts w:ascii="Times New Roman" w:hAnsi="Times New Roman" w:cs="Times New Roman"/>
        </w:rPr>
        <w:t xml:space="preserve"> a </w:t>
      </w:r>
      <w:r w:rsidR="008036A4">
        <w:rPr>
          <w:rFonts w:ascii="Times New Roman" w:hAnsi="Times New Roman" w:cs="Times New Roman"/>
        </w:rPr>
        <w:t>critical</w:t>
      </w:r>
      <w:r w:rsidR="00107B06" w:rsidRPr="003B6C5B">
        <w:rPr>
          <w:rFonts w:ascii="Times New Roman" w:hAnsi="Times New Roman" w:cs="Times New Roman"/>
        </w:rPr>
        <w:t xml:space="preserve"> breakpoint </w:t>
      </w:r>
      <w:r w:rsidR="00550BC3" w:rsidRPr="003B6C5B">
        <w:rPr>
          <w:rFonts w:ascii="Times New Roman" w:hAnsi="Times New Roman" w:cs="Times New Roman"/>
        </w:rPr>
        <w:t xml:space="preserve">of carbon and energy </w:t>
      </w:r>
      <w:r>
        <w:rPr>
          <w:rFonts w:ascii="Times New Roman" w:hAnsi="Times New Roman" w:cs="Times New Roman"/>
        </w:rPr>
        <w:t>markets</w:t>
      </w:r>
      <w:r w:rsidR="003F32F3">
        <w:rPr>
          <w:rFonts w:ascii="Times New Roman" w:hAnsi="Times New Roman" w:cs="Times New Roman"/>
        </w:rPr>
        <w:t xml:space="preserve">, </w:t>
      </w:r>
      <w:r w:rsidR="008036A4">
        <w:rPr>
          <w:rFonts w:ascii="Times New Roman" w:hAnsi="Times New Roman" w:cs="Times New Roman"/>
        </w:rPr>
        <w:t>September 15</w:t>
      </w:r>
      <w:r w:rsidR="009151E7">
        <w:rPr>
          <w:rFonts w:ascii="Times New Roman" w:hAnsi="Times New Roman" w:cs="Times New Roman"/>
        </w:rPr>
        <w:t>, 2016</w:t>
      </w:r>
      <w:r w:rsidR="003F32F3">
        <w:rPr>
          <w:rFonts w:ascii="Times New Roman" w:hAnsi="Times New Roman" w:cs="Times New Roman"/>
        </w:rPr>
        <w:t>, which</w:t>
      </w:r>
      <w:r>
        <w:rPr>
          <w:rFonts w:ascii="Times New Roman" w:hAnsi="Times New Roman" w:cs="Times New Roman"/>
        </w:rPr>
        <w:t xml:space="preserve"> </w:t>
      </w:r>
      <w:r w:rsidR="00F156EB">
        <w:rPr>
          <w:rFonts w:ascii="Times New Roman" w:hAnsi="Times New Roman" w:cs="Times New Roman"/>
        </w:rPr>
        <w:t>divide</w:t>
      </w:r>
      <w:r w:rsidR="003F32F3">
        <w:rPr>
          <w:rFonts w:ascii="Times New Roman" w:hAnsi="Times New Roman" w:cs="Times New Roman"/>
        </w:rPr>
        <w:t>s</w:t>
      </w:r>
      <w:r w:rsidR="00F156EB">
        <w:rPr>
          <w:rFonts w:ascii="Times New Roman" w:hAnsi="Times New Roman" w:cs="Times New Roman"/>
        </w:rPr>
        <w:t xml:space="preserve"> </w:t>
      </w:r>
      <w:r w:rsidR="008036A4">
        <w:rPr>
          <w:rFonts w:ascii="Times New Roman" w:hAnsi="Times New Roman" w:cs="Times New Roman"/>
        </w:rPr>
        <w:t>Phase III into two stages</w:t>
      </w:r>
      <w:r w:rsidR="001C7EFE">
        <w:rPr>
          <w:rFonts w:ascii="Times New Roman" w:hAnsi="Times New Roman" w:cs="Times New Roman"/>
        </w:rPr>
        <w:t xml:space="preserve">. </w:t>
      </w:r>
      <w:r w:rsidR="005F0E85">
        <w:rPr>
          <w:rFonts w:ascii="Times New Roman" w:hAnsi="Times New Roman" w:cs="Times New Roman"/>
        </w:rPr>
        <w:t xml:space="preserve">The </w:t>
      </w:r>
      <w:r w:rsidR="00A4684A" w:rsidRPr="003B6C5B">
        <w:rPr>
          <w:rFonts w:ascii="Times New Roman" w:hAnsi="Times New Roman" w:cs="Times New Roman"/>
        </w:rPr>
        <w:t xml:space="preserve">carbon </w:t>
      </w:r>
      <w:r w:rsidR="00A4684A">
        <w:rPr>
          <w:rFonts w:ascii="Times New Roman" w:hAnsi="Times New Roman" w:cs="Times New Roman"/>
        </w:rPr>
        <w:t xml:space="preserve">and </w:t>
      </w:r>
      <w:r w:rsidR="007837F2">
        <w:rPr>
          <w:rFonts w:ascii="Times New Roman" w:hAnsi="Times New Roman" w:cs="Times New Roman"/>
        </w:rPr>
        <w:t>energy</w:t>
      </w:r>
      <w:r w:rsidR="00A4684A">
        <w:rPr>
          <w:rFonts w:ascii="Times New Roman" w:hAnsi="Times New Roman" w:cs="Times New Roman"/>
        </w:rPr>
        <w:t xml:space="preserve"> </w:t>
      </w:r>
      <w:r w:rsidR="00A4684A" w:rsidRPr="003B6C5B">
        <w:rPr>
          <w:rFonts w:ascii="Times New Roman" w:hAnsi="Times New Roman" w:cs="Times New Roman"/>
        </w:rPr>
        <w:t xml:space="preserve">markets </w:t>
      </w:r>
      <w:r w:rsidR="005F0E85">
        <w:rPr>
          <w:rFonts w:ascii="Times New Roman" w:hAnsi="Times New Roman" w:cs="Times New Roman"/>
        </w:rPr>
        <w:t xml:space="preserve">have bearish movements before the breakpoint, and this period is </w:t>
      </w:r>
      <w:proofErr w:type="gramStart"/>
      <w:r w:rsidR="005F0E85">
        <w:rPr>
          <w:rFonts w:ascii="Times New Roman" w:hAnsi="Times New Roman" w:cs="Times New Roman"/>
        </w:rPr>
        <w:t>defines</w:t>
      </w:r>
      <w:proofErr w:type="gramEnd"/>
      <w:r w:rsidR="005F0E85">
        <w:rPr>
          <w:rFonts w:ascii="Times New Roman" w:hAnsi="Times New Roman" w:cs="Times New Roman"/>
        </w:rPr>
        <w:t xml:space="preserve"> as Stage 1. </w:t>
      </w:r>
      <w:r w:rsidR="001C7EFE">
        <w:rPr>
          <w:rFonts w:ascii="Times New Roman" w:hAnsi="Times New Roman" w:cs="Times New Roman"/>
        </w:rPr>
        <w:t xml:space="preserve">Stage 2 </w:t>
      </w:r>
      <w:r w:rsidR="005F0E85">
        <w:rPr>
          <w:rFonts w:ascii="Times New Roman" w:hAnsi="Times New Roman" w:cs="Times New Roman"/>
        </w:rPr>
        <w:t xml:space="preserve">covers </w:t>
      </w:r>
      <w:r w:rsidR="001C7EFE">
        <w:rPr>
          <w:rFonts w:ascii="Times New Roman" w:hAnsi="Times New Roman" w:cs="Times New Roman"/>
        </w:rPr>
        <w:t xml:space="preserve">the </w:t>
      </w:r>
      <w:r w:rsidR="007968EE">
        <w:rPr>
          <w:rFonts w:ascii="Times New Roman" w:hAnsi="Times New Roman" w:cs="Times New Roman"/>
        </w:rPr>
        <w:t xml:space="preserve">period </w:t>
      </w:r>
      <w:r w:rsidR="005F0E85">
        <w:rPr>
          <w:rFonts w:ascii="Times New Roman" w:hAnsi="Times New Roman" w:cs="Times New Roman"/>
        </w:rPr>
        <w:t xml:space="preserve">after the breakpoint, and during this stage </w:t>
      </w:r>
      <w:r w:rsidR="001C7EFE">
        <w:rPr>
          <w:rFonts w:ascii="Times New Roman" w:hAnsi="Times New Roman" w:cs="Times New Roman"/>
        </w:rPr>
        <w:t xml:space="preserve">the carbon and </w:t>
      </w:r>
      <w:r w:rsidR="0078299E">
        <w:rPr>
          <w:rFonts w:ascii="Times New Roman" w:hAnsi="Times New Roman" w:cs="Times New Roman"/>
        </w:rPr>
        <w:t>energy</w:t>
      </w:r>
      <w:r w:rsidR="001C7EFE">
        <w:rPr>
          <w:rFonts w:ascii="Times New Roman" w:hAnsi="Times New Roman" w:cs="Times New Roman"/>
        </w:rPr>
        <w:t xml:space="preserve"> market</w:t>
      </w:r>
      <w:r w:rsidR="005F0E85">
        <w:rPr>
          <w:rFonts w:ascii="Times New Roman" w:hAnsi="Times New Roman" w:cs="Times New Roman"/>
        </w:rPr>
        <w:t>s</w:t>
      </w:r>
      <w:r w:rsidR="007968EE">
        <w:rPr>
          <w:rFonts w:ascii="Times New Roman" w:hAnsi="Times New Roman" w:cs="Times New Roman"/>
        </w:rPr>
        <w:t xml:space="preserve"> </w:t>
      </w:r>
      <w:r w:rsidR="005F0E85">
        <w:rPr>
          <w:rFonts w:ascii="Times New Roman" w:hAnsi="Times New Roman" w:cs="Times New Roman"/>
        </w:rPr>
        <w:t>follow overall bullish movements</w:t>
      </w:r>
      <w:r w:rsidR="001C7EFE">
        <w:rPr>
          <w:rFonts w:ascii="Times New Roman" w:hAnsi="Times New Roman" w:cs="Times New Roman"/>
        </w:rPr>
        <w:t xml:space="preserve">. The </w:t>
      </w:r>
      <w:r w:rsidR="00F156EB">
        <w:rPr>
          <w:rFonts w:ascii="Times New Roman" w:hAnsi="Times New Roman" w:cs="Times New Roman"/>
        </w:rPr>
        <w:t xml:space="preserve">division </w:t>
      </w:r>
      <w:r w:rsidR="001C7EFE">
        <w:rPr>
          <w:rFonts w:ascii="Times New Roman" w:hAnsi="Times New Roman" w:cs="Times New Roman"/>
        </w:rPr>
        <w:t xml:space="preserve">of Phase III </w:t>
      </w:r>
      <w:r>
        <w:rPr>
          <w:rFonts w:ascii="Times New Roman" w:hAnsi="Times New Roman" w:cs="Times New Roman"/>
        </w:rPr>
        <w:t>help</w:t>
      </w:r>
      <w:r w:rsidR="00806CD3">
        <w:rPr>
          <w:rFonts w:ascii="Times New Roman" w:hAnsi="Times New Roman" w:cs="Times New Roman"/>
        </w:rPr>
        <w:t>s</w:t>
      </w:r>
      <w:r>
        <w:rPr>
          <w:rFonts w:ascii="Times New Roman" w:hAnsi="Times New Roman" w:cs="Times New Roman"/>
        </w:rPr>
        <w:t xml:space="preserve"> </w:t>
      </w:r>
      <w:r w:rsidR="001C7EFE">
        <w:rPr>
          <w:rFonts w:ascii="Times New Roman" w:hAnsi="Times New Roman" w:cs="Times New Roman"/>
        </w:rPr>
        <w:t xml:space="preserve">us thoroughly analyse the interplay between the carbon and energy markets according to different market </w:t>
      </w:r>
      <w:r w:rsidR="00B70D3B">
        <w:rPr>
          <w:rFonts w:ascii="Times New Roman" w:hAnsi="Times New Roman" w:cs="Times New Roman"/>
        </w:rPr>
        <w:t>status</w:t>
      </w:r>
      <w:r w:rsidR="001C7EFE">
        <w:rPr>
          <w:rFonts w:ascii="Times New Roman" w:hAnsi="Times New Roman" w:cs="Times New Roman"/>
        </w:rPr>
        <w:t xml:space="preserve">. </w:t>
      </w:r>
    </w:p>
    <w:p w14:paraId="6AF17452" w14:textId="5A642140" w:rsidR="00107B06" w:rsidRPr="003B6C5B" w:rsidRDefault="00107B06" w:rsidP="00342122">
      <w:pPr>
        <w:pStyle w:val="NormalWeb"/>
        <w:spacing w:before="0" w:beforeAutospacing="0" w:after="0" w:afterAutospacing="0" w:line="480" w:lineRule="auto"/>
        <w:ind w:firstLineChars="200" w:firstLine="480"/>
        <w:jc w:val="both"/>
        <w:rPr>
          <w:rFonts w:ascii="Times New Roman" w:hAnsi="Times New Roman" w:cs="Times New Roman"/>
        </w:rPr>
      </w:pPr>
      <w:r w:rsidRPr="003B6C5B">
        <w:rPr>
          <w:rFonts w:ascii="Times New Roman" w:hAnsi="Times New Roman" w:cs="Times New Roman"/>
        </w:rPr>
        <w:t xml:space="preserve">The spillovers in higher-order moments between </w:t>
      </w:r>
      <w:r w:rsidR="009E574C">
        <w:rPr>
          <w:rFonts w:ascii="Times New Roman" w:hAnsi="Times New Roman" w:cs="Times New Roman"/>
        </w:rPr>
        <w:t xml:space="preserve">the </w:t>
      </w:r>
      <w:r w:rsidRPr="003B6C5B">
        <w:rPr>
          <w:rFonts w:ascii="Times New Roman" w:hAnsi="Times New Roman" w:cs="Times New Roman"/>
        </w:rPr>
        <w:t>energy and carbon markets are weak at short-run timescales (</w:t>
      </w:r>
      <w:r w:rsidR="00A440F7">
        <w:rPr>
          <w:rFonts w:ascii="Times New Roman" w:hAnsi="Times New Roman" w:cs="Times New Roman"/>
        </w:rPr>
        <w:t xml:space="preserve">period </w:t>
      </w:r>
      <w:r w:rsidRPr="003B6C5B">
        <w:rPr>
          <w:rFonts w:ascii="Times New Roman" w:hAnsi="Times New Roman" w:cs="Times New Roman"/>
        </w:rPr>
        <w:t xml:space="preserve">less than 16 trading days). This shows that the probability of asymmetric </w:t>
      </w:r>
      <w:r w:rsidR="00A82173">
        <w:rPr>
          <w:rFonts w:ascii="Times New Roman" w:hAnsi="Times New Roman" w:cs="Times New Roman"/>
        </w:rPr>
        <w:t xml:space="preserve">changes in carbon price and </w:t>
      </w:r>
      <w:r w:rsidR="00A82173" w:rsidRPr="003B6C5B">
        <w:rPr>
          <w:rFonts w:ascii="Times New Roman" w:hAnsi="Times New Roman" w:cs="Times New Roman"/>
        </w:rPr>
        <w:t xml:space="preserve">the emergence of extreme prices </w:t>
      </w:r>
      <w:r w:rsidR="00A82173">
        <w:rPr>
          <w:rFonts w:ascii="Times New Roman" w:hAnsi="Times New Roman" w:cs="Times New Roman"/>
        </w:rPr>
        <w:t>hardly affect</w:t>
      </w:r>
      <w:r w:rsidR="009E574C">
        <w:rPr>
          <w:rFonts w:ascii="Times New Roman" w:hAnsi="Times New Roman" w:cs="Times New Roman"/>
        </w:rPr>
        <w:t xml:space="preserve"> the </w:t>
      </w:r>
      <w:r w:rsidR="0078299E">
        <w:rPr>
          <w:rFonts w:ascii="Times New Roman" w:hAnsi="Times New Roman" w:cs="Times New Roman"/>
        </w:rPr>
        <w:t>energy</w:t>
      </w:r>
      <w:r w:rsidR="009E574C">
        <w:rPr>
          <w:rFonts w:ascii="Times New Roman" w:hAnsi="Times New Roman" w:cs="Times New Roman"/>
        </w:rPr>
        <w:t xml:space="preserve"> market</w:t>
      </w:r>
      <w:r w:rsidR="00A82173">
        <w:rPr>
          <w:rFonts w:ascii="Times New Roman" w:hAnsi="Times New Roman" w:cs="Times New Roman"/>
        </w:rPr>
        <w:t xml:space="preserve"> in short-run</w:t>
      </w:r>
      <w:r w:rsidR="009E574C">
        <w:rPr>
          <w:rFonts w:ascii="Times New Roman" w:hAnsi="Times New Roman" w:cs="Times New Roman"/>
        </w:rPr>
        <w:t>.</w:t>
      </w:r>
      <w:r w:rsidRPr="003B6C5B">
        <w:rPr>
          <w:rFonts w:ascii="Times New Roman" w:hAnsi="Times New Roman" w:cs="Times New Roman"/>
        </w:rPr>
        <w:t xml:space="preserve"> </w:t>
      </w:r>
      <w:r w:rsidR="00421634">
        <w:rPr>
          <w:rFonts w:ascii="Times New Roman" w:hAnsi="Times New Roman" w:cs="Times New Roman"/>
        </w:rPr>
        <w:t>Likewise</w:t>
      </w:r>
      <w:r w:rsidRPr="003B6C5B">
        <w:rPr>
          <w:rFonts w:ascii="Times New Roman" w:hAnsi="Times New Roman" w:cs="Times New Roman"/>
        </w:rPr>
        <w:t xml:space="preserve">, the </w:t>
      </w:r>
      <w:r w:rsidR="0078299E">
        <w:rPr>
          <w:rFonts w:ascii="Times New Roman" w:hAnsi="Times New Roman" w:cs="Times New Roman"/>
        </w:rPr>
        <w:t xml:space="preserve">higher-order moments of energy assets are not </w:t>
      </w:r>
      <w:r w:rsidR="006A7725">
        <w:rPr>
          <w:rFonts w:ascii="Times New Roman" w:hAnsi="Times New Roman" w:cs="Times New Roman"/>
        </w:rPr>
        <w:t xml:space="preserve">significantly </w:t>
      </w:r>
      <w:r w:rsidR="0078299E">
        <w:rPr>
          <w:rFonts w:ascii="Times New Roman" w:hAnsi="Times New Roman" w:cs="Times New Roman"/>
        </w:rPr>
        <w:t>affected by</w:t>
      </w:r>
      <w:r w:rsidRPr="003B6C5B">
        <w:rPr>
          <w:rFonts w:ascii="Times New Roman" w:hAnsi="Times New Roman" w:cs="Times New Roman"/>
        </w:rPr>
        <w:t xml:space="preserve"> the carbon market</w:t>
      </w:r>
      <w:r w:rsidR="004D0219">
        <w:rPr>
          <w:rFonts w:ascii="Times New Roman" w:hAnsi="Times New Roman" w:cs="Times New Roman"/>
        </w:rPr>
        <w:t xml:space="preserve"> at short-run timescales</w:t>
      </w:r>
      <w:r w:rsidRPr="003B6C5B">
        <w:rPr>
          <w:rFonts w:ascii="Times New Roman" w:hAnsi="Times New Roman" w:cs="Times New Roman"/>
        </w:rPr>
        <w:t>.</w:t>
      </w:r>
      <w:r w:rsidR="00F63D0E" w:rsidRPr="00B502DC">
        <w:rPr>
          <w:rFonts w:ascii="Times New Roman" w:hAnsi="Times New Roman" w:cs="Times New Roman"/>
        </w:rPr>
        <w:t xml:space="preserve"> </w:t>
      </w:r>
      <w:r w:rsidRPr="003B6C5B">
        <w:rPr>
          <w:rFonts w:ascii="Times New Roman" w:hAnsi="Times New Roman" w:cs="Times New Roman"/>
        </w:rPr>
        <w:t xml:space="preserve">The </w:t>
      </w:r>
      <w:r w:rsidR="006D0EE3">
        <w:rPr>
          <w:rFonts w:ascii="Times New Roman" w:hAnsi="Times New Roman" w:cs="Times New Roman"/>
        </w:rPr>
        <w:t>spillovers of co-</w:t>
      </w:r>
      <w:r w:rsidR="00D05380">
        <w:rPr>
          <w:rFonts w:ascii="Times New Roman" w:hAnsi="Times New Roman" w:cs="Times New Roman"/>
        </w:rPr>
        <w:t>skewness</w:t>
      </w:r>
      <w:r w:rsidR="006D0EE3">
        <w:rPr>
          <w:rFonts w:ascii="Times New Roman" w:hAnsi="Times New Roman" w:cs="Times New Roman"/>
        </w:rPr>
        <w:t xml:space="preserve"> of </w:t>
      </w:r>
      <w:r w:rsidRPr="003B6C5B">
        <w:rPr>
          <w:rFonts w:ascii="Times New Roman" w:hAnsi="Times New Roman" w:cs="Times New Roman"/>
        </w:rPr>
        <w:t>between the carbon market and the energy market’s asset is also relatively small.</w:t>
      </w:r>
      <w:r w:rsidR="006D0EE3" w:rsidRPr="006D0EE3">
        <w:rPr>
          <w:rFonts w:ascii="Times New Roman" w:hAnsi="Times New Roman" w:cs="Times New Roman"/>
        </w:rPr>
        <w:t xml:space="preserve"> </w:t>
      </w:r>
      <w:r w:rsidR="006D0EE3">
        <w:rPr>
          <w:rFonts w:ascii="Times New Roman" w:hAnsi="Times New Roman" w:cs="Times New Roman"/>
        </w:rPr>
        <w:t xml:space="preserve">The weak </w:t>
      </w:r>
      <w:r w:rsidR="006D0EE3" w:rsidRPr="003B6C5B">
        <w:rPr>
          <w:rFonts w:ascii="Times New Roman" w:hAnsi="Times New Roman" w:cs="Times New Roman"/>
        </w:rPr>
        <w:t>skewness and co-skewness spillovers</w:t>
      </w:r>
      <w:r w:rsidR="006D0EE3">
        <w:rPr>
          <w:rFonts w:ascii="Times New Roman" w:hAnsi="Times New Roman" w:cs="Times New Roman"/>
        </w:rPr>
        <w:t xml:space="preserve"> implies</w:t>
      </w:r>
      <w:r w:rsidR="006D0EE3" w:rsidRPr="003B6C5B">
        <w:rPr>
          <w:rFonts w:ascii="Times New Roman" w:hAnsi="Times New Roman" w:cs="Times New Roman"/>
        </w:rPr>
        <w:t xml:space="preserve"> that the </w:t>
      </w:r>
      <w:r w:rsidR="006D0EE3">
        <w:rPr>
          <w:rFonts w:ascii="Times New Roman" w:hAnsi="Times New Roman" w:cs="Times New Roman"/>
        </w:rPr>
        <w:t>left</w:t>
      </w:r>
      <w:r w:rsidR="006D0EE3" w:rsidRPr="003B6C5B">
        <w:rPr>
          <w:rFonts w:ascii="Times New Roman" w:hAnsi="Times New Roman" w:cs="Times New Roman"/>
        </w:rPr>
        <w:t xml:space="preserve"> skewness of the energy </w:t>
      </w:r>
      <w:r w:rsidR="006D0EE3">
        <w:rPr>
          <w:rFonts w:ascii="Times New Roman" w:hAnsi="Times New Roman" w:cs="Times New Roman"/>
        </w:rPr>
        <w:t xml:space="preserve">assets prices </w:t>
      </w:r>
      <w:proofErr w:type="gramStart"/>
      <w:r w:rsidR="008A330F">
        <w:rPr>
          <w:rFonts w:ascii="Times New Roman" w:hAnsi="Times New Roman" w:cs="Times New Roman"/>
        </w:rPr>
        <w:t>are</w:t>
      </w:r>
      <w:proofErr w:type="gramEnd"/>
      <w:r w:rsidR="006D0EE3">
        <w:rPr>
          <w:rFonts w:ascii="Times New Roman" w:hAnsi="Times New Roman" w:cs="Times New Roman"/>
        </w:rPr>
        <w:t xml:space="preserve"> not </w:t>
      </w:r>
      <w:r w:rsidR="006A7725">
        <w:rPr>
          <w:rFonts w:ascii="Times New Roman" w:hAnsi="Times New Roman" w:cs="Times New Roman"/>
        </w:rPr>
        <w:t xml:space="preserve">likely to be </w:t>
      </w:r>
      <w:r w:rsidR="006D0EE3">
        <w:rPr>
          <w:rFonts w:ascii="Times New Roman" w:hAnsi="Times New Roman" w:cs="Times New Roman"/>
        </w:rPr>
        <w:t>affected by</w:t>
      </w:r>
      <w:r w:rsidR="006D0EE3" w:rsidRPr="003B6C5B">
        <w:rPr>
          <w:rFonts w:ascii="Times New Roman" w:hAnsi="Times New Roman" w:cs="Times New Roman"/>
        </w:rPr>
        <w:t xml:space="preserve"> short-run </w:t>
      </w:r>
      <w:r w:rsidR="006D0EE3">
        <w:rPr>
          <w:rFonts w:ascii="Times New Roman" w:hAnsi="Times New Roman" w:cs="Times New Roman"/>
        </w:rPr>
        <w:t xml:space="preserve">shocks </w:t>
      </w:r>
      <w:r w:rsidR="00C02FFE">
        <w:rPr>
          <w:rFonts w:ascii="Times New Roman" w:hAnsi="Times New Roman" w:cs="Times New Roman"/>
        </w:rPr>
        <w:t xml:space="preserve">such as political sentiments </w:t>
      </w:r>
      <w:r w:rsidR="006D0EE3">
        <w:rPr>
          <w:rFonts w:ascii="Times New Roman" w:hAnsi="Times New Roman" w:cs="Times New Roman"/>
        </w:rPr>
        <w:t xml:space="preserve">but long-run macroeconomic factors such as the Shale </w:t>
      </w:r>
      <w:r w:rsidR="00FE483D">
        <w:rPr>
          <w:rFonts w:ascii="Times New Roman" w:hAnsi="Times New Roman" w:cs="Times New Roman"/>
        </w:rPr>
        <w:t>r</w:t>
      </w:r>
      <w:r w:rsidR="006D0EE3">
        <w:rPr>
          <w:rFonts w:ascii="Times New Roman" w:hAnsi="Times New Roman" w:cs="Times New Roman"/>
        </w:rPr>
        <w:t>evolution</w:t>
      </w:r>
      <w:r w:rsidR="00D05380">
        <w:rPr>
          <w:rFonts w:ascii="Times New Roman" w:hAnsi="Times New Roman" w:cs="Times New Roman"/>
        </w:rPr>
        <w:t>.</w:t>
      </w:r>
      <w:r w:rsidR="00342122" w:rsidRPr="00342122">
        <w:rPr>
          <w:rFonts w:ascii="Times New Roman" w:hAnsi="Times New Roman" w:cs="Times New Roman"/>
        </w:rPr>
        <w:t xml:space="preserve"> </w:t>
      </w:r>
    </w:p>
    <w:p w14:paraId="4C084F58" w14:textId="60D0DEB6" w:rsidR="00107B06" w:rsidRPr="003B6C5B" w:rsidRDefault="00107B06" w:rsidP="002E1D64">
      <w:pPr>
        <w:pStyle w:val="NormalWeb"/>
        <w:spacing w:before="0" w:beforeAutospacing="0" w:after="0" w:afterAutospacing="0" w:line="480" w:lineRule="auto"/>
        <w:ind w:firstLineChars="200" w:firstLine="480"/>
        <w:jc w:val="both"/>
        <w:rPr>
          <w:rFonts w:ascii="Times New Roman" w:hAnsi="Times New Roman" w:cs="Times New Roman"/>
        </w:rPr>
      </w:pPr>
      <w:r w:rsidRPr="003B6C5B">
        <w:rPr>
          <w:rFonts w:ascii="Times New Roman" w:hAnsi="Times New Roman" w:cs="Times New Roman"/>
        </w:rPr>
        <w:t>At the long-run timescales (</w:t>
      </w:r>
      <w:r w:rsidR="00A440F7">
        <w:rPr>
          <w:rFonts w:ascii="Times New Roman" w:hAnsi="Times New Roman" w:cs="Times New Roman"/>
        </w:rPr>
        <w:t>over</w:t>
      </w:r>
      <w:r w:rsidRPr="003B6C5B">
        <w:rPr>
          <w:rFonts w:ascii="Times New Roman" w:hAnsi="Times New Roman" w:cs="Times New Roman"/>
        </w:rPr>
        <w:t xml:space="preserve"> 16 trading days), the </w:t>
      </w:r>
      <w:r w:rsidR="00D05380">
        <w:rPr>
          <w:rFonts w:ascii="Times New Roman" w:hAnsi="Times New Roman" w:cs="Times New Roman"/>
        </w:rPr>
        <w:t>strength</w:t>
      </w:r>
      <w:r w:rsidR="00D05380" w:rsidRPr="003B6C5B">
        <w:rPr>
          <w:rFonts w:ascii="Times New Roman" w:hAnsi="Times New Roman" w:cs="Times New Roman"/>
        </w:rPr>
        <w:t xml:space="preserve"> </w:t>
      </w:r>
      <w:r w:rsidRPr="003B6C5B">
        <w:rPr>
          <w:rFonts w:ascii="Times New Roman" w:hAnsi="Times New Roman" w:cs="Times New Roman"/>
        </w:rPr>
        <w:t xml:space="preserve">of the spillovers in higher-order moments between the carbon and energy markets increases </w:t>
      </w:r>
      <w:r w:rsidR="008138F3">
        <w:rPr>
          <w:rFonts w:ascii="Times New Roman" w:hAnsi="Times New Roman" w:cs="Times New Roman"/>
        </w:rPr>
        <w:t>by a large extent</w:t>
      </w:r>
      <w:r w:rsidRPr="003B6C5B">
        <w:rPr>
          <w:rFonts w:ascii="Times New Roman" w:hAnsi="Times New Roman" w:cs="Times New Roman"/>
        </w:rPr>
        <w:t xml:space="preserve">. The spillovers in higher-order moments from the carbon and energy markets during </w:t>
      </w:r>
      <w:r w:rsidR="008138F3">
        <w:rPr>
          <w:rFonts w:ascii="Times New Roman" w:hAnsi="Times New Roman" w:cs="Times New Roman"/>
        </w:rPr>
        <w:t>S</w:t>
      </w:r>
      <w:r w:rsidRPr="003B6C5B">
        <w:rPr>
          <w:rFonts w:ascii="Times New Roman" w:hAnsi="Times New Roman" w:cs="Times New Roman"/>
        </w:rPr>
        <w:t xml:space="preserve">tage 2 are </w:t>
      </w:r>
      <w:r w:rsidR="00914EE7">
        <w:rPr>
          <w:rFonts w:ascii="Times New Roman" w:hAnsi="Times New Roman" w:cs="Times New Roman"/>
        </w:rPr>
        <w:t>much stronger</w:t>
      </w:r>
      <w:r w:rsidRPr="003B6C5B">
        <w:rPr>
          <w:rFonts w:ascii="Times New Roman" w:hAnsi="Times New Roman" w:cs="Times New Roman"/>
        </w:rPr>
        <w:t xml:space="preserve"> than </w:t>
      </w:r>
      <w:r w:rsidR="00914EE7">
        <w:rPr>
          <w:rFonts w:ascii="Times New Roman" w:hAnsi="Times New Roman" w:cs="Times New Roman"/>
        </w:rPr>
        <w:t>that of</w:t>
      </w:r>
      <w:r w:rsidRPr="003B6C5B">
        <w:rPr>
          <w:rFonts w:ascii="Times New Roman" w:hAnsi="Times New Roman" w:cs="Times New Roman"/>
        </w:rPr>
        <w:t xml:space="preserve"> </w:t>
      </w:r>
      <w:r w:rsidR="008138F3">
        <w:rPr>
          <w:rFonts w:ascii="Times New Roman" w:hAnsi="Times New Roman" w:cs="Times New Roman"/>
        </w:rPr>
        <w:t>S</w:t>
      </w:r>
      <w:r w:rsidRPr="003B6C5B">
        <w:rPr>
          <w:rFonts w:ascii="Times New Roman" w:hAnsi="Times New Roman" w:cs="Times New Roman"/>
        </w:rPr>
        <w:t xml:space="preserve">tage 1. </w:t>
      </w:r>
      <w:r w:rsidR="00C338DC">
        <w:rPr>
          <w:rFonts w:ascii="Times New Roman" w:hAnsi="Times New Roman" w:cs="Times New Roman"/>
        </w:rPr>
        <w:t>This indicates that p</w:t>
      </w:r>
      <w:r w:rsidRPr="003B6C5B">
        <w:rPr>
          <w:rFonts w:ascii="Times New Roman" w:hAnsi="Times New Roman" w:cs="Times New Roman"/>
        </w:rPr>
        <w:t xml:space="preserve">rice movements in the carbon market </w:t>
      </w:r>
      <w:r w:rsidR="00914EE7">
        <w:rPr>
          <w:rFonts w:ascii="Times New Roman" w:hAnsi="Times New Roman" w:cs="Times New Roman"/>
        </w:rPr>
        <w:t>largely</w:t>
      </w:r>
      <w:r w:rsidR="00A106B7" w:rsidRPr="003B6C5B">
        <w:rPr>
          <w:rFonts w:ascii="Times New Roman" w:hAnsi="Times New Roman" w:cs="Times New Roman"/>
        </w:rPr>
        <w:t xml:space="preserve"> </w:t>
      </w:r>
      <w:r w:rsidRPr="003B6C5B">
        <w:rPr>
          <w:rFonts w:ascii="Times New Roman" w:hAnsi="Times New Roman" w:cs="Times New Roman"/>
        </w:rPr>
        <w:t xml:space="preserve">affect the probability of asymmetric increases </w:t>
      </w:r>
      <w:r w:rsidRPr="003B6C5B">
        <w:rPr>
          <w:rFonts w:ascii="Times New Roman" w:hAnsi="Times New Roman" w:cs="Times New Roman"/>
        </w:rPr>
        <w:lastRenderedPageBreak/>
        <w:t xml:space="preserve">and decreases in other energy markets during </w:t>
      </w:r>
      <w:r w:rsidR="00C338DC">
        <w:rPr>
          <w:rFonts w:ascii="Times New Roman" w:hAnsi="Times New Roman" w:cs="Times New Roman"/>
        </w:rPr>
        <w:t>S</w:t>
      </w:r>
      <w:r w:rsidRPr="003B6C5B">
        <w:rPr>
          <w:rFonts w:ascii="Times New Roman" w:hAnsi="Times New Roman" w:cs="Times New Roman"/>
        </w:rPr>
        <w:t xml:space="preserve">tage 2. </w:t>
      </w:r>
      <w:r w:rsidR="00870823">
        <w:rPr>
          <w:rFonts w:ascii="Times New Roman" w:hAnsi="Times New Roman" w:cs="Times New Roman"/>
        </w:rPr>
        <w:t>The enhanced</w:t>
      </w:r>
      <w:r w:rsidR="00870823" w:rsidRPr="003B6C5B">
        <w:rPr>
          <w:rFonts w:ascii="Times New Roman" w:hAnsi="Times New Roman" w:cs="Times New Roman"/>
        </w:rPr>
        <w:t xml:space="preserve"> long-run transmission of skewness and kurtosis of the carbon market on energy assets </w:t>
      </w:r>
      <w:r w:rsidR="00870823">
        <w:rPr>
          <w:rFonts w:ascii="Times New Roman" w:hAnsi="Times New Roman" w:cs="Times New Roman"/>
        </w:rPr>
        <w:t xml:space="preserve">could </w:t>
      </w:r>
      <w:r w:rsidR="00C338DC">
        <w:rPr>
          <w:rFonts w:ascii="Times New Roman" w:hAnsi="Times New Roman" w:cs="Times New Roman"/>
        </w:rPr>
        <w:t xml:space="preserve">attribute to </w:t>
      </w:r>
      <w:r w:rsidR="00870823" w:rsidRPr="003B6C5B">
        <w:rPr>
          <w:rFonts w:ascii="Times New Roman" w:hAnsi="Times New Roman" w:cs="Times New Roman"/>
        </w:rPr>
        <w:t>the implementation of MSR and other policies during Stage 2</w:t>
      </w:r>
      <w:r w:rsidR="00284822">
        <w:rPr>
          <w:rFonts w:ascii="Times New Roman" w:hAnsi="Times New Roman" w:cs="Times New Roman"/>
        </w:rPr>
        <w:t xml:space="preserve"> which reduce the surplus EUA </w:t>
      </w:r>
      <w:r w:rsidR="00C338DC">
        <w:rPr>
          <w:rFonts w:ascii="Times New Roman" w:hAnsi="Times New Roman" w:cs="Times New Roman"/>
        </w:rPr>
        <w:t>banked f</w:t>
      </w:r>
      <w:r w:rsidR="00284822">
        <w:rPr>
          <w:rFonts w:ascii="Times New Roman" w:hAnsi="Times New Roman" w:cs="Times New Roman"/>
        </w:rPr>
        <w:t>rom Phase I and II</w:t>
      </w:r>
      <w:r w:rsidR="00870823" w:rsidRPr="003B6C5B">
        <w:rPr>
          <w:rFonts w:ascii="Times New Roman" w:hAnsi="Times New Roman" w:cs="Times New Roman"/>
        </w:rPr>
        <w:t>.</w:t>
      </w:r>
      <w:r w:rsidR="00284822">
        <w:rPr>
          <w:rFonts w:ascii="Times New Roman" w:hAnsi="Times New Roman" w:cs="Times New Roman"/>
        </w:rPr>
        <w:t xml:space="preserve"> </w:t>
      </w:r>
      <w:r w:rsidR="00914EE7">
        <w:rPr>
          <w:rFonts w:ascii="Times New Roman" w:hAnsi="Times New Roman" w:cs="Times New Roman"/>
        </w:rPr>
        <w:t>T</w:t>
      </w:r>
      <w:r w:rsidR="00284822">
        <w:rPr>
          <w:rFonts w:ascii="Times New Roman" w:hAnsi="Times New Roman" w:cs="Times New Roman"/>
        </w:rPr>
        <w:t xml:space="preserve">he </w:t>
      </w:r>
      <w:r w:rsidR="00C634AA" w:rsidRPr="00C634AA">
        <w:rPr>
          <w:rFonts w:ascii="Times New Roman" w:hAnsi="Times New Roman" w:cs="Times New Roman"/>
        </w:rPr>
        <w:t xml:space="preserve">auctions </w:t>
      </w:r>
      <w:r w:rsidR="00C634AA">
        <w:rPr>
          <w:rFonts w:ascii="Times New Roman" w:hAnsi="Times New Roman" w:cs="Times New Roman"/>
        </w:rPr>
        <w:t>become</w:t>
      </w:r>
      <w:r w:rsidR="00C634AA" w:rsidRPr="00C634AA">
        <w:rPr>
          <w:rFonts w:ascii="Times New Roman" w:hAnsi="Times New Roman" w:cs="Times New Roman"/>
        </w:rPr>
        <w:t xml:space="preserve"> the default method for allocating quotas </w:t>
      </w:r>
      <w:r w:rsidR="00C634AA">
        <w:rPr>
          <w:rFonts w:ascii="Times New Roman" w:hAnsi="Times New Roman" w:cs="Times New Roman"/>
        </w:rPr>
        <w:t>(</w:t>
      </w:r>
      <w:r w:rsidR="00C634AA" w:rsidRPr="00C634AA">
        <w:rPr>
          <w:rFonts w:ascii="Times New Roman" w:hAnsi="Times New Roman" w:cs="Times New Roman"/>
        </w:rPr>
        <w:t>rather than free allocation)</w:t>
      </w:r>
      <w:r w:rsidR="00C634AA">
        <w:rPr>
          <w:rFonts w:ascii="Times New Roman" w:hAnsi="Times New Roman" w:cs="Times New Roman"/>
        </w:rPr>
        <w:t xml:space="preserve"> in Phase III</w:t>
      </w:r>
      <w:r w:rsidR="00914EE7">
        <w:rPr>
          <w:rFonts w:ascii="Times New Roman" w:hAnsi="Times New Roman" w:cs="Times New Roman"/>
        </w:rPr>
        <w:t>, this</w:t>
      </w:r>
      <w:r w:rsidR="00C634AA">
        <w:rPr>
          <w:rFonts w:ascii="Times New Roman" w:hAnsi="Times New Roman" w:cs="Times New Roman"/>
        </w:rPr>
        <w:t xml:space="preserve"> could also </w:t>
      </w:r>
      <w:r w:rsidR="00D04956">
        <w:rPr>
          <w:rFonts w:ascii="Times New Roman" w:hAnsi="Times New Roman" w:cs="Times New Roman"/>
        </w:rPr>
        <w:t>improve</w:t>
      </w:r>
      <w:r w:rsidR="00C634AA">
        <w:rPr>
          <w:rFonts w:ascii="Times New Roman" w:hAnsi="Times New Roman" w:cs="Times New Roman"/>
        </w:rPr>
        <w:t xml:space="preserve"> the </w:t>
      </w:r>
      <w:r w:rsidR="00F8223D">
        <w:rPr>
          <w:rFonts w:ascii="Times New Roman" w:hAnsi="Times New Roman" w:cs="Times New Roman"/>
        </w:rPr>
        <w:t xml:space="preserve">carbon market efficiency with a proper supply of demand mechanism in placed. </w:t>
      </w:r>
      <w:r w:rsidR="002E1D64">
        <w:rPr>
          <w:rFonts w:ascii="Times New Roman" w:hAnsi="Times New Roman" w:cs="Times New Roman"/>
        </w:rPr>
        <w:t xml:space="preserve">Our findings support that </w:t>
      </w:r>
      <w:r w:rsidR="002E1D64" w:rsidRPr="003B6C5B">
        <w:rPr>
          <w:rFonts w:ascii="Times New Roman" w:hAnsi="Times New Roman" w:cs="Times New Roman"/>
        </w:rPr>
        <w:t xml:space="preserve">the carbon market </w:t>
      </w:r>
      <w:proofErr w:type="gramStart"/>
      <w:r w:rsidR="002E1D64">
        <w:rPr>
          <w:rFonts w:ascii="Times New Roman" w:hAnsi="Times New Roman" w:cs="Times New Roman"/>
        </w:rPr>
        <w:t>is able to</w:t>
      </w:r>
      <w:proofErr w:type="gramEnd"/>
      <w:r w:rsidR="002E1D64">
        <w:rPr>
          <w:rFonts w:ascii="Times New Roman" w:hAnsi="Times New Roman" w:cs="Times New Roman"/>
        </w:rPr>
        <w:t xml:space="preserve"> </w:t>
      </w:r>
      <w:r w:rsidR="002E1D64" w:rsidRPr="003B6C5B">
        <w:rPr>
          <w:rFonts w:ascii="Times New Roman" w:hAnsi="Times New Roman" w:cs="Times New Roman"/>
        </w:rPr>
        <w:t>transmit price information to the energy market</w:t>
      </w:r>
      <w:r w:rsidR="002E1D64">
        <w:rPr>
          <w:rFonts w:ascii="Times New Roman" w:hAnsi="Times New Roman" w:cs="Times New Roman"/>
        </w:rPr>
        <w:t xml:space="preserve"> in terms of higher-order moments</w:t>
      </w:r>
      <w:r w:rsidR="002E1D64" w:rsidRPr="003B6C5B">
        <w:rPr>
          <w:rFonts w:ascii="Times New Roman" w:hAnsi="Times New Roman" w:cs="Times New Roman"/>
        </w:rPr>
        <w:t>.</w:t>
      </w:r>
      <w:r w:rsidR="002E1D64">
        <w:rPr>
          <w:rFonts w:ascii="Times New Roman" w:hAnsi="Times New Roman" w:cs="Times New Roman"/>
        </w:rPr>
        <w:t xml:space="preserve"> This </w:t>
      </w:r>
      <w:r w:rsidR="009151E7" w:rsidRPr="003B6C5B">
        <w:rPr>
          <w:rFonts w:ascii="Times New Roman" w:hAnsi="Times New Roman" w:cs="Times New Roman"/>
        </w:rPr>
        <w:t xml:space="preserve">responds to concerns of some members in the academic community about the </w:t>
      </w:r>
      <w:r w:rsidR="009151E7">
        <w:rPr>
          <w:rFonts w:ascii="Times New Roman" w:hAnsi="Times New Roman" w:cs="Times New Roman"/>
        </w:rPr>
        <w:t>“</w:t>
      </w:r>
      <w:r w:rsidR="009151E7" w:rsidRPr="003B6C5B">
        <w:rPr>
          <w:rFonts w:ascii="Times New Roman" w:hAnsi="Times New Roman" w:cs="Times New Roman"/>
        </w:rPr>
        <w:t>water-bed effect</w:t>
      </w:r>
      <w:r w:rsidR="009151E7">
        <w:rPr>
          <w:rFonts w:ascii="Times New Roman" w:hAnsi="Times New Roman" w:cs="Times New Roman"/>
        </w:rPr>
        <w:t>”</w:t>
      </w:r>
      <w:r w:rsidR="009151E7" w:rsidRPr="003B6C5B">
        <w:rPr>
          <w:rFonts w:ascii="Times New Roman" w:hAnsi="Times New Roman" w:cs="Times New Roman"/>
        </w:rPr>
        <w:t xml:space="preserve"> </w:t>
      </w:r>
      <w:r w:rsidR="009151E7">
        <w:rPr>
          <w:rFonts w:ascii="Times New Roman" w:hAnsi="Times New Roman" w:cs="Times New Roman"/>
        </w:rPr>
        <w:t xml:space="preserve">which may reduce the effectiveness of the EU ETS. </w:t>
      </w:r>
    </w:p>
    <w:p w14:paraId="75D8CFFD" w14:textId="52F7E023" w:rsidR="00107B06" w:rsidRPr="003B6C5B" w:rsidRDefault="002E1D64" w:rsidP="006724D6">
      <w:pPr>
        <w:pStyle w:val="NormalWeb"/>
        <w:spacing w:before="0" w:beforeAutospacing="0" w:after="0" w:afterAutospacing="0" w:line="480" w:lineRule="auto"/>
        <w:ind w:firstLineChars="200" w:firstLine="480"/>
        <w:jc w:val="both"/>
        <w:rPr>
          <w:rFonts w:ascii="Times New Roman" w:hAnsi="Times New Roman" w:cs="Times New Roman"/>
        </w:rPr>
      </w:pPr>
      <w:r>
        <w:rPr>
          <w:rFonts w:ascii="Times New Roman" w:hAnsi="Times New Roman" w:cs="Times New Roman"/>
        </w:rPr>
        <w:t>The portfolio construction</w:t>
      </w:r>
      <w:r w:rsidR="00107B06" w:rsidRPr="003B6C5B">
        <w:rPr>
          <w:rFonts w:ascii="Times New Roman" w:hAnsi="Times New Roman" w:cs="Times New Roman"/>
        </w:rPr>
        <w:t xml:space="preserve"> </w:t>
      </w:r>
      <w:r>
        <w:rPr>
          <w:rFonts w:ascii="Times New Roman" w:hAnsi="Times New Roman" w:cs="Times New Roman"/>
        </w:rPr>
        <w:t xml:space="preserve">with </w:t>
      </w:r>
      <w:r w:rsidR="00711DA3">
        <w:rPr>
          <w:rFonts w:ascii="Times New Roman" w:hAnsi="Times New Roman" w:cs="Times New Roman"/>
        </w:rPr>
        <w:t xml:space="preserve">carbon and energy </w:t>
      </w:r>
      <w:r w:rsidR="00107B06" w:rsidRPr="003B6C5B">
        <w:rPr>
          <w:rFonts w:ascii="Times New Roman" w:hAnsi="Times New Roman" w:cs="Times New Roman"/>
        </w:rPr>
        <w:t>asset</w:t>
      </w:r>
      <w:r>
        <w:rPr>
          <w:rFonts w:ascii="Times New Roman" w:hAnsi="Times New Roman" w:cs="Times New Roman"/>
        </w:rPr>
        <w:t>s</w:t>
      </w:r>
      <w:r w:rsidR="00107B06" w:rsidRPr="003B6C5B">
        <w:rPr>
          <w:rFonts w:ascii="Times New Roman" w:hAnsi="Times New Roman" w:cs="Times New Roman"/>
        </w:rPr>
        <w:t xml:space="preserve"> </w:t>
      </w:r>
      <w:r>
        <w:rPr>
          <w:rFonts w:ascii="Times New Roman" w:hAnsi="Times New Roman" w:cs="Times New Roman"/>
        </w:rPr>
        <w:t xml:space="preserve">shows us </w:t>
      </w:r>
      <w:r w:rsidR="00711DA3">
        <w:rPr>
          <w:rFonts w:ascii="Times New Roman" w:hAnsi="Times New Roman" w:cs="Times New Roman"/>
        </w:rPr>
        <w:t>the investment implications of risk spillovers of higher-orders moments</w:t>
      </w:r>
      <w:r w:rsidR="00C952F3">
        <w:rPr>
          <w:rFonts w:ascii="Times New Roman" w:hAnsi="Times New Roman" w:cs="Times New Roman"/>
        </w:rPr>
        <w:t xml:space="preserve"> at different timescales</w:t>
      </w:r>
      <w:r w:rsidR="00711DA3">
        <w:rPr>
          <w:rFonts w:ascii="Times New Roman" w:hAnsi="Times New Roman" w:cs="Times New Roman"/>
        </w:rPr>
        <w:t xml:space="preserve">. </w:t>
      </w:r>
      <w:r w:rsidR="00C952F3">
        <w:rPr>
          <w:rFonts w:ascii="Times New Roman" w:hAnsi="Times New Roman" w:cs="Times New Roman"/>
        </w:rPr>
        <w:t xml:space="preserve">Our findings report that </w:t>
      </w:r>
      <w:r w:rsidR="003A0BF0">
        <w:rPr>
          <w:rFonts w:ascii="Times New Roman" w:hAnsi="Times New Roman" w:cs="Times New Roman"/>
        </w:rPr>
        <w:t xml:space="preserve">the </w:t>
      </w:r>
      <w:r w:rsidR="00C952F3">
        <w:rPr>
          <w:rFonts w:ascii="Times New Roman" w:hAnsi="Times New Roman" w:cs="Times New Roman"/>
        </w:rPr>
        <w:t>portfolio performance improves when we</w:t>
      </w:r>
      <w:r w:rsidR="003E632E" w:rsidRPr="003B6C5B">
        <w:rPr>
          <w:rFonts w:ascii="Times New Roman" w:hAnsi="Times New Roman" w:cs="Times New Roman"/>
        </w:rPr>
        <w:t xml:space="preserve"> </w:t>
      </w:r>
      <w:r w:rsidR="00C952F3">
        <w:rPr>
          <w:rFonts w:ascii="Times New Roman" w:hAnsi="Times New Roman" w:cs="Times New Roman"/>
        </w:rPr>
        <w:t>long</w:t>
      </w:r>
      <w:r w:rsidR="00107B06" w:rsidRPr="003B6C5B">
        <w:rPr>
          <w:rFonts w:ascii="Times New Roman" w:hAnsi="Times New Roman" w:cs="Times New Roman"/>
        </w:rPr>
        <w:t xml:space="preserve"> the carbon allowance </w:t>
      </w:r>
      <w:r w:rsidR="00C952F3">
        <w:rPr>
          <w:rFonts w:ascii="Times New Roman" w:hAnsi="Times New Roman" w:cs="Times New Roman"/>
        </w:rPr>
        <w:t>i</w:t>
      </w:r>
      <w:r w:rsidR="00C952F3" w:rsidRPr="003B6C5B">
        <w:rPr>
          <w:rFonts w:ascii="Times New Roman" w:hAnsi="Times New Roman" w:cs="Times New Roman"/>
        </w:rPr>
        <w:t xml:space="preserve">n short investment </w:t>
      </w:r>
      <w:r w:rsidR="00C952F3">
        <w:rPr>
          <w:rFonts w:ascii="Times New Roman" w:hAnsi="Times New Roman" w:cs="Times New Roman"/>
        </w:rPr>
        <w:t>horizon</w:t>
      </w:r>
      <w:r w:rsidR="003E632E">
        <w:rPr>
          <w:rFonts w:ascii="Times New Roman" w:hAnsi="Times New Roman" w:cs="Times New Roman"/>
        </w:rPr>
        <w:t>.</w:t>
      </w:r>
      <w:r w:rsidR="00107B06" w:rsidRPr="003B6C5B">
        <w:rPr>
          <w:rFonts w:ascii="Times New Roman" w:hAnsi="Times New Roman" w:cs="Times New Roman"/>
        </w:rPr>
        <w:t xml:space="preserve"> However, </w:t>
      </w:r>
      <w:r w:rsidR="003A0BF0">
        <w:rPr>
          <w:rFonts w:ascii="Times New Roman" w:hAnsi="Times New Roman" w:cs="Times New Roman"/>
        </w:rPr>
        <w:t xml:space="preserve">the long-run </w:t>
      </w:r>
      <w:r w:rsidR="00107B06" w:rsidRPr="003B6C5B">
        <w:rPr>
          <w:rFonts w:ascii="Times New Roman" w:hAnsi="Times New Roman" w:cs="Times New Roman"/>
        </w:rPr>
        <w:t>the optimal strategy in higher-order moments is less effective</w:t>
      </w:r>
      <w:r w:rsidR="007837F2">
        <w:rPr>
          <w:rFonts w:ascii="Times New Roman" w:hAnsi="Times New Roman" w:cs="Times New Roman"/>
        </w:rPr>
        <w:t xml:space="preserve"> as evidenced by the less satisfying portfolio performance</w:t>
      </w:r>
      <w:r w:rsidR="003E632E">
        <w:rPr>
          <w:rFonts w:ascii="Times New Roman" w:hAnsi="Times New Roman" w:cs="Times New Roman"/>
        </w:rPr>
        <w:t xml:space="preserve">. It is apparently due to the fact the spillover effects are </w:t>
      </w:r>
      <w:r w:rsidR="003A0BF0">
        <w:rPr>
          <w:rFonts w:ascii="Times New Roman" w:hAnsi="Times New Roman" w:cs="Times New Roman"/>
        </w:rPr>
        <w:t xml:space="preserve">considerably </w:t>
      </w:r>
      <w:r w:rsidR="003E632E">
        <w:rPr>
          <w:rFonts w:ascii="Times New Roman" w:hAnsi="Times New Roman" w:cs="Times New Roman"/>
        </w:rPr>
        <w:t xml:space="preserve">stronger in long-run and thus </w:t>
      </w:r>
      <w:r w:rsidR="00FE3631">
        <w:rPr>
          <w:rFonts w:ascii="Times New Roman" w:hAnsi="Times New Roman" w:cs="Times New Roman"/>
        </w:rPr>
        <w:t xml:space="preserve">leads a </w:t>
      </w:r>
      <w:r w:rsidR="00FE3631" w:rsidRPr="00FE3631">
        <w:rPr>
          <w:rFonts w:ascii="Times New Roman" w:hAnsi="Times New Roman" w:cs="Times New Roman"/>
        </w:rPr>
        <w:t>diminished</w:t>
      </w:r>
      <w:r w:rsidR="00FE3631">
        <w:rPr>
          <w:rFonts w:ascii="Times New Roman" w:hAnsi="Times New Roman" w:cs="Times New Roman"/>
        </w:rPr>
        <w:t xml:space="preserve"> risk diversification. </w:t>
      </w:r>
    </w:p>
    <w:p w14:paraId="19B001C4" w14:textId="705D5F6D" w:rsidR="00107B06" w:rsidRPr="003B6C5B" w:rsidRDefault="00FD21F4" w:rsidP="006724D6">
      <w:pPr>
        <w:pStyle w:val="NormalWeb"/>
        <w:spacing w:before="0" w:beforeAutospacing="0" w:after="0" w:afterAutospacing="0" w:line="480" w:lineRule="auto"/>
        <w:ind w:firstLineChars="200" w:firstLine="480"/>
        <w:jc w:val="both"/>
        <w:rPr>
          <w:rFonts w:ascii="Times New Roman" w:hAnsi="Times New Roman" w:cs="Times New Roman"/>
        </w:rPr>
      </w:pPr>
      <w:r>
        <w:rPr>
          <w:rFonts w:ascii="Times New Roman" w:hAnsi="Times New Roman" w:cs="Times New Roman"/>
        </w:rPr>
        <w:t xml:space="preserve">This study </w:t>
      </w:r>
      <w:r w:rsidR="0019782B">
        <w:rPr>
          <w:rFonts w:ascii="Times New Roman" w:hAnsi="Times New Roman" w:cs="Times New Roman"/>
        </w:rPr>
        <w:t xml:space="preserve">reminds </w:t>
      </w:r>
      <w:r>
        <w:rPr>
          <w:rFonts w:ascii="Times New Roman" w:hAnsi="Times New Roman" w:cs="Times New Roman"/>
        </w:rPr>
        <w:t>p</w:t>
      </w:r>
      <w:r w:rsidR="00107B06" w:rsidRPr="003B6C5B">
        <w:rPr>
          <w:rFonts w:ascii="Times New Roman" w:hAnsi="Times New Roman" w:cs="Times New Roman"/>
        </w:rPr>
        <w:t xml:space="preserve">olicymakers </w:t>
      </w:r>
      <w:r w:rsidR="00F32287">
        <w:rPr>
          <w:rFonts w:ascii="Times New Roman" w:hAnsi="Times New Roman" w:cs="Times New Roman"/>
        </w:rPr>
        <w:t xml:space="preserve">should </w:t>
      </w:r>
      <w:r w:rsidR="00E02B56">
        <w:rPr>
          <w:rFonts w:ascii="Times New Roman" w:hAnsi="Times New Roman" w:cs="Times New Roman"/>
        </w:rPr>
        <w:t>acknowledge</w:t>
      </w:r>
      <w:r w:rsidR="00107B06" w:rsidRPr="003B6C5B">
        <w:rPr>
          <w:rFonts w:ascii="Times New Roman" w:hAnsi="Times New Roman" w:cs="Times New Roman"/>
        </w:rPr>
        <w:t xml:space="preserve"> that the inter</w:t>
      </w:r>
      <w:r w:rsidR="00E02B56">
        <w:rPr>
          <w:rFonts w:ascii="Times New Roman" w:hAnsi="Times New Roman" w:cs="Times New Roman"/>
        </w:rPr>
        <w:t>play</w:t>
      </w:r>
      <w:r w:rsidR="00107B06" w:rsidRPr="003B6C5B">
        <w:rPr>
          <w:rFonts w:ascii="Times New Roman" w:hAnsi="Times New Roman" w:cs="Times New Roman"/>
        </w:rPr>
        <w:t xml:space="preserve"> between the carbon and energy markets </w:t>
      </w:r>
      <w:r w:rsidR="00267B03">
        <w:rPr>
          <w:rFonts w:ascii="Times New Roman" w:hAnsi="Times New Roman" w:cs="Times New Roman"/>
        </w:rPr>
        <w:t>is not restricted to</w:t>
      </w:r>
      <w:r w:rsidR="00F32287">
        <w:rPr>
          <w:rFonts w:ascii="Times New Roman" w:hAnsi="Times New Roman" w:cs="Times New Roman"/>
        </w:rPr>
        <w:t xml:space="preserve"> the </w:t>
      </w:r>
      <w:r w:rsidR="00267B03">
        <w:rPr>
          <w:rFonts w:ascii="Times New Roman" w:hAnsi="Times New Roman" w:cs="Times New Roman"/>
        </w:rPr>
        <w:t>spillovers of price and volatility</w:t>
      </w:r>
      <w:r w:rsidR="0019782B">
        <w:rPr>
          <w:rFonts w:ascii="Times New Roman" w:hAnsi="Times New Roman" w:cs="Times New Roman"/>
        </w:rPr>
        <w:t>, i</w:t>
      </w:r>
      <w:r w:rsidR="00EA4A52">
        <w:rPr>
          <w:rFonts w:ascii="Times New Roman" w:hAnsi="Times New Roman" w:cs="Times New Roman"/>
        </w:rPr>
        <w:t xml:space="preserve">t is </w:t>
      </w:r>
      <w:r w:rsidR="007837F2">
        <w:rPr>
          <w:rFonts w:ascii="Times New Roman" w:hAnsi="Times New Roman" w:cs="Times New Roman"/>
        </w:rPr>
        <w:t>important</w:t>
      </w:r>
      <w:r w:rsidR="00EA4A52">
        <w:rPr>
          <w:rFonts w:ascii="Times New Roman" w:hAnsi="Times New Roman" w:cs="Times New Roman"/>
        </w:rPr>
        <w:t xml:space="preserve"> to</w:t>
      </w:r>
      <w:r w:rsidR="00F32287">
        <w:rPr>
          <w:rFonts w:ascii="Times New Roman" w:hAnsi="Times New Roman" w:cs="Times New Roman"/>
        </w:rPr>
        <w:t xml:space="preserve"> consid</w:t>
      </w:r>
      <w:r w:rsidR="00EA4A52">
        <w:rPr>
          <w:rFonts w:ascii="Times New Roman" w:hAnsi="Times New Roman" w:cs="Times New Roman"/>
        </w:rPr>
        <w:t xml:space="preserve">er </w:t>
      </w:r>
      <w:r w:rsidR="00F32287">
        <w:rPr>
          <w:rFonts w:ascii="Times New Roman" w:hAnsi="Times New Roman" w:cs="Times New Roman"/>
        </w:rPr>
        <w:t>the</w:t>
      </w:r>
      <w:r w:rsidR="00107B06" w:rsidRPr="003B6C5B">
        <w:rPr>
          <w:rFonts w:ascii="Times New Roman" w:hAnsi="Times New Roman" w:cs="Times New Roman"/>
        </w:rPr>
        <w:t xml:space="preserve"> </w:t>
      </w:r>
      <w:r w:rsidR="0006493B">
        <w:rPr>
          <w:rFonts w:ascii="Times New Roman" w:hAnsi="Times New Roman" w:cs="Times New Roman"/>
        </w:rPr>
        <w:t xml:space="preserve">how </w:t>
      </w:r>
      <w:r w:rsidR="00107B06" w:rsidRPr="003B6C5B">
        <w:rPr>
          <w:rFonts w:ascii="Times New Roman" w:hAnsi="Times New Roman" w:cs="Times New Roman"/>
        </w:rPr>
        <w:t xml:space="preserve">the probability of asymmetric increases and decreases </w:t>
      </w:r>
      <w:r w:rsidR="0006493B">
        <w:rPr>
          <w:rFonts w:ascii="Times New Roman" w:hAnsi="Times New Roman" w:cs="Times New Roman"/>
        </w:rPr>
        <w:t>of carbon price</w:t>
      </w:r>
      <w:r>
        <w:rPr>
          <w:rFonts w:ascii="Times New Roman" w:hAnsi="Times New Roman" w:cs="Times New Roman"/>
        </w:rPr>
        <w:t>, and</w:t>
      </w:r>
      <w:r w:rsidR="00107B06" w:rsidRPr="003B6C5B">
        <w:rPr>
          <w:rFonts w:ascii="Times New Roman" w:hAnsi="Times New Roman" w:cs="Times New Roman"/>
        </w:rPr>
        <w:t xml:space="preserve"> the probability of extreme </w:t>
      </w:r>
      <w:r w:rsidR="0006493B">
        <w:rPr>
          <w:rFonts w:ascii="Times New Roman" w:hAnsi="Times New Roman" w:cs="Times New Roman"/>
        </w:rPr>
        <w:t xml:space="preserve">carbon </w:t>
      </w:r>
      <w:r w:rsidR="00107B06" w:rsidRPr="003B6C5B">
        <w:rPr>
          <w:rFonts w:ascii="Times New Roman" w:hAnsi="Times New Roman" w:cs="Times New Roman"/>
        </w:rPr>
        <w:t>prices</w:t>
      </w:r>
      <w:r w:rsidR="0006493B">
        <w:rPr>
          <w:rFonts w:ascii="Times New Roman" w:hAnsi="Times New Roman" w:cs="Times New Roman"/>
        </w:rPr>
        <w:t xml:space="preserve"> affect energy prices, and vice versa</w:t>
      </w:r>
      <w:r w:rsidR="00107B06" w:rsidRPr="003B6C5B">
        <w:rPr>
          <w:rFonts w:ascii="Times New Roman" w:hAnsi="Times New Roman" w:cs="Times New Roman"/>
        </w:rPr>
        <w:t xml:space="preserve">. </w:t>
      </w:r>
      <w:r w:rsidR="0063416C">
        <w:rPr>
          <w:rFonts w:ascii="Times New Roman" w:hAnsi="Times New Roman" w:cs="Times New Roman"/>
        </w:rPr>
        <w:t xml:space="preserve">The previous study report disappointing findings that there is lack of leadership of the </w:t>
      </w:r>
      <w:r w:rsidR="006D460F">
        <w:rPr>
          <w:rFonts w:ascii="Times New Roman" w:hAnsi="Times New Roman" w:cs="Times New Roman"/>
        </w:rPr>
        <w:t>EU ETS</w:t>
      </w:r>
      <w:r w:rsidR="0063416C">
        <w:rPr>
          <w:rFonts w:ascii="Times New Roman" w:hAnsi="Times New Roman" w:cs="Times New Roman"/>
        </w:rPr>
        <w:t xml:space="preserve"> to energy markets by merely examining the </w:t>
      </w:r>
      <w:r w:rsidR="006D460F">
        <w:rPr>
          <w:rFonts w:ascii="Times New Roman" w:hAnsi="Times New Roman" w:cs="Times New Roman"/>
        </w:rPr>
        <w:t xml:space="preserve">interplay between </w:t>
      </w:r>
      <w:r w:rsidR="0063416C">
        <w:rPr>
          <w:rFonts w:ascii="Times New Roman" w:hAnsi="Times New Roman" w:cs="Times New Roman"/>
        </w:rPr>
        <w:t>price</w:t>
      </w:r>
      <w:r w:rsidR="006D460F">
        <w:rPr>
          <w:rFonts w:ascii="Times New Roman" w:hAnsi="Times New Roman" w:cs="Times New Roman"/>
        </w:rPr>
        <w:t>s</w:t>
      </w:r>
      <w:r w:rsidR="0063416C">
        <w:rPr>
          <w:rFonts w:ascii="Times New Roman" w:hAnsi="Times New Roman" w:cs="Times New Roman"/>
        </w:rPr>
        <w:t xml:space="preserve"> or </w:t>
      </w:r>
      <w:r w:rsidR="006D460F">
        <w:rPr>
          <w:rFonts w:ascii="Times New Roman" w:hAnsi="Times New Roman" w:cs="Times New Roman"/>
        </w:rPr>
        <w:t xml:space="preserve">price </w:t>
      </w:r>
      <w:r w:rsidR="00677B63">
        <w:rPr>
          <w:rFonts w:ascii="Times New Roman" w:hAnsi="Times New Roman" w:cs="Times New Roman"/>
        </w:rPr>
        <w:t>volatilities</w:t>
      </w:r>
      <w:r w:rsidR="006D460F">
        <w:rPr>
          <w:rFonts w:ascii="Times New Roman" w:hAnsi="Times New Roman" w:cs="Times New Roman"/>
        </w:rPr>
        <w:t xml:space="preserve"> of the carbon and </w:t>
      </w:r>
      <w:r w:rsidR="00677B63">
        <w:rPr>
          <w:rFonts w:ascii="Times New Roman" w:hAnsi="Times New Roman" w:cs="Times New Roman"/>
        </w:rPr>
        <w:t>energy</w:t>
      </w:r>
      <w:r w:rsidR="006D460F">
        <w:rPr>
          <w:rFonts w:ascii="Times New Roman" w:hAnsi="Times New Roman" w:cs="Times New Roman"/>
        </w:rPr>
        <w:t xml:space="preserve"> markets</w:t>
      </w:r>
      <w:r w:rsidR="0063416C">
        <w:rPr>
          <w:rFonts w:ascii="Times New Roman" w:hAnsi="Times New Roman" w:cs="Times New Roman"/>
        </w:rPr>
        <w:t xml:space="preserve">. </w:t>
      </w:r>
      <w:r w:rsidR="00F83C85">
        <w:rPr>
          <w:rFonts w:ascii="Times New Roman" w:hAnsi="Times New Roman" w:cs="Times New Roman"/>
        </w:rPr>
        <w:t xml:space="preserve">Our results </w:t>
      </w:r>
      <w:r w:rsidR="0063416C">
        <w:rPr>
          <w:rFonts w:ascii="Times New Roman" w:hAnsi="Times New Roman" w:cs="Times New Roman"/>
        </w:rPr>
        <w:t>offer new perspective</w:t>
      </w:r>
      <w:r w:rsidR="00CB7AAC">
        <w:rPr>
          <w:rFonts w:ascii="Times New Roman" w:hAnsi="Times New Roman" w:cs="Times New Roman"/>
        </w:rPr>
        <w:t xml:space="preserve">, that is </w:t>
      </w:r>
      <w:r w:rsidR="00F83C85">
        <w:rPr>
          <w:rFonts w:ascii="Times New Roman" w:hAnsi="Times New Roman" w:cs="Times New Roman"/>
        </w:rPr>
        <w:t>p</w:t>
      </w:r>
      <w:r w:rsidR="00107B06" w:rsidRPr="003B6C5B">
        <w:rPr>
          <w:rFonts w:ascii="Times New Roman" w:hAnsi="Times New Roman" w:cs="Times New Roman"/>
        </w:rPr>
        <w:t xml:space="preserve">olicymakers should not only </w:t>
      </w:r>
      <w:r w:rsidR="00CB7AAC">
        <w:rPr>
          <w:rFonts w:ascii="Times New Roman" w:hAnsi="Times New Roman" w:cs="Times New Roman"/>
        </w:rPr>
        <w:t>purely focus</w:t>
      </w:r>
      <w:r w:rsidR="00107B06" w:rsidRPr="003B6C5B">
        <w:rPr>
          <w:rFonts w:ascii="Times New Roman" w:hAnsi="Times New Roman" w:cs="Times New Roman"/>
        </w:rPr>
        <w:t xml:space="preserve"> </w:t>
      </w:r>
      <w:r w:rsidR="008F1747">
        <w:rPr>
          <w:rFonts w:ascii="Times New Roman" w:hAnsi="Times New Roman" w:cs="Times New Roman"/>
        </w:rPr>
        <w:t xml:space="preserve">on </w:t>
      </w:r>
      <w:r w:rsidR="00107B06" w:rsidRPr="003B6C5B">
        <w:rPr>
          <w:rFonts w:ascii="Times New Roman" w:hAnsi="Times New Roman" w:cs="Times New Roman"/>
        </w:rPr>
        <w:t xml:space="preserve">the general level </w:t>
      </w:r>
      <w:r w:rsidR="00107B06" w:rsidRPr="003B6C5B">
        <w:rPr>
          <w:rFonts w:ascii="Times New Roman" w:hAnsi="Times New Roman" w:cs="Times New Roman"/>
        </w:rPr>
        <w:lastRenderedPageBreak/>
        <w:t xml:space="preserve">of price signaling, but also the systemic risk to energy markets </w:t>
      </w:r>
      <w:proofErr w:type="gramStart"/>
      <w:r w:rsidR="00F83C85">
        <w:rPr>
          <w:rFonts w:ascii="Times New Roman" w:hAnsi="Times New Roman" w:cs="Times New Roman"/>
        </w:rPr>
        <w:t>in light of</w:t>
      </w:r>
      <w:proofErr w:type="gramEnd"/>
      <w:r w:rsidR="00F83C85">
        <w:rPr>
          <w:rFonts w:ascii="Times New Roman" w:hAnsi="Times New Roman" w:cs="Times New Roman"/>
        </w:rPr>
        <w:t xml:space="preserve"> the significant spillovers of higher-order moments in the carbon and </w:t>
      </w:r>
      <w:r w:rsidR="0063416C">
        <w:rPr>
          <w:rFonts w:ascii="Times New Roman" w:hAnsi="Times New Roman" w:cs="Times New Roman"/>
        </w:rPr>
        <w:t>energy</w:t>
      </w:r>
      <w:r w:rsidR="00F83C85">
        <w:rPr>
          <w:rFonts w:ascii="Times New Roman" w:hAnsi="Times New Roman" w:cs="Times New Roman"/>
        </w:rPr>
        <w:t xml:space="preserve"> markets. </w:t>
      </w:r>
    </w:p>
    <w:p w14:paraId="10408290" w14:textId="45A332DC" w:rsidR="00107B06" w:rsidRPr="003B6C5B" w:rsidRDefault="0049296B" w:rsidP="006724D6">
      <w:pPr>
        <w:pStyle w:val="NormalWeb"/>
        <w:spacing w:before="0" w:beforeAutospacing="0" w:after="0" w:afterAutospacing="0" w:line="480" w:lineRule="auto"/>
        <w:ind w:firstLineChars="200" w:firstLine="480"/>
        <w:jc w:val="both"/>
        <w:rPr>
          <w:rFonts w:ascii="Times New Roman" w:hAnsi="Times New Roman" w:cs="Times New Roman"/>
        </w:rPr>
      </w:pPr>
      <w:r>
        <w:rPr>
          <w:rFonts w:ascii="Times New Roman" w:hAnsi="Times New Roman" w:cs="Times New Roman"/>
        </w:rPr>
        <w:t>One</w:t>
      </w:r>
      <w:r w:rsidR="00107B06" w:rsidRPr="003B6C5B">
        <w:rPr>
          <w:rFonts w:ascii="Times New Roman" w:hAnsi="Times New Roman" w:cs="Times New Roman"/>
        </w:rPr>
        <w:t xml:space="preserve"> criticism of the EU ETS market is its "waterbed effect," which can distort the long-term price of the EU ETS (Perino, 2018; Rosendahl, 2019). This study shows that the EU ETS </w:t>
      </w:r>
      <w:r w:rsidR="00594BD3">
        <w:rPr>
          <w:rFonts w:ascii="Times New Roman" w:hAnsi="Times New Roman" w:cs="Times New Roman"/>
        </w:rPr>
        <w:t>releases</w:t>
      </w:r>
      <w:r w:rsidR="00107B06" w:rsidRPr="003B6C5B">
        <w:rPr>
          <w:rFonts w:ascii="Times New Roman" w:hAnsi="Times New Roman" w:cs="Times New Roman"/>
        </w:rPr>
        <w:t xml:space="preserve"> </w:t>
      </w:r>
      <w:r w:rsidR="00594BD3">
        <w:rPr>
          <w:rFonts w:ascii="Times New Roman" w:hAnsi="Times New Roman" w:cs="Times New Roman"/>
        </w:rPr>
        <w:t>strong</w:t>
      </w:r>
      <w:r w:rsidR="00107B06" w:rsidRPr="003B6C5B">
        <w:rPr>
          <w:rFonts w:ascii="Times New Roman" w:hAnsi="Times New Roman" w:cs="Times New Roman"/>
        </w:rPr>
        <w:t xml:space="preserve"> price signals to the energy market when the market is </w:t>
      </w:r>
      <w:r w:rsidR="00594BD3">
        <w:rPr>
          <w:rFonts w:ascii="Times New Roman" w:hAnsi="Times New Roman" w:cs="Times New Roman"/>
        </w:rPr>
        <w:t xml:space="preserve">at long-run, </w:t>
      </w:r>
      <w:r w:rsidR="007D4339">
        <w:rPr>
          <w:rFonts w:ascii="Times New Roman" w:hAnsi="Times New Roman" w:cs="Times New Roman"/>
        </w:rPr>
        <w:t>particularly</w:t>
      </w:r>
      <w:r w:rsidR="00594BD3">
        <w:rPr>
          <w:rFonts w:ascii="Times New Roman" w:hAnsi="Times New Roman" w:cs="Times New Roman"/>
        </w:rPr>
        <w:t xml:space="preserve"> in bullish market</w:t>
      </w:r>
      <w:r w:rsidR="00107B06" w:rsidRPr="003B6C5B">
        <w:rPr>
          <w:rFonts w:ascii="Times New Roman" w:hAnsi="Times New Roman" w:cs="Times New Roman"/>
        </w:rPr>
        <w:t>. The energy market also influences the price characteristics in higher-order moments of the carbon market at long timescales. This suggests that despite the "waterbed effect", information on the probability of asymmetric increases or decreases and the probability of extreme prices still actively transmit between the two markets</w:t>
      </w:r>
      <w:r w:rsidR="00594BD3">
        <w:rPr>
          <w:rFonts w:ascii="Times New Roman" w:hAnsi="Times New Roman" w:cs="Times New Roman"/>
        </w:rPr>
        <w:t xml:space="preserve"> </w:t>
      </w:r>
      <w:r w:rsidR="00594BD3" w:rsidRPr="00594BD3">
        <w:rPr>
          <w:rFonts w:ascii="Times New Roman" w:hAnsi="Times New Roman" w:cs="Times New Roman"/>
        </w:rPr>
        <w:t>in long-run scale.</w:t>
      </w:r>
      <w:r w:rsidR="00107B06" w:rsidRPr="003B6C5B">
        <w:rPr>
          <w:rFonts w:ascii="Times New Roman" w:hAnsi="Times New Roman" w:cs="Times New Roman"/>
        </w:rPr>
        <w:t xml:space="preserve"> </w:t>
      </w:r>
    </w:p>
    <w:p w14:paraId="12467B8A" w14:textId="4C5C4964" w:rsidR="00A750B9" w:rsidRPr="003B6C5B" w:rsidRDefault="003F32F3" w:rsidP="006724D6">
      <w:pPr>
        <w:pStyle w:val="NormalWeb"/>
        <w:spacing w:before="0" w:beforeAutospacing="0" w:after="0" w:afterAutospacing="0" w:line="480" w:lineRule="auto"/>
        <w:ind w:firstLineChars="200" w:firstLine="480"/>
        <w:jc w:val="both"/>
        <w:rPr>
          <w:rFonts w:ascii="Times New Roman" w:hAnsi="Times New Roman" w:cs="Times New Roman"/>
        </w:rPr>
      </w:pPr>
      <w:r>
        <w:rPr>
          <w:rFonts w:ascii="Times New Roman" w:hAnsi="Times New Roman" w:cs="Times New Roman"/>
        </w:rPr>
        <w:t>The empirical</w:t>
      </w:r>
      <w:r w:rsidR="00155010">
        <w:rPr>
          <w:rFonts w:ascii="Times New Roman" w:hAnsi="Times New Roman" w:cs="Times New Roman"/>
        </w:rPr>
        <w:t xml:space="preserve"> results</w:t>
      </w:r>
      <w:r w:rsidR="00107B06" w:rsidRPr="003B6C5B">
        <w:rPr>
          <w:rFonts w:ascii="Times New Roman" w:hAnsi="Times New Roman" w:cs="Times New Roman"/>
        </w:rPr>
        <w:t xml:space="preserve"> </w:t>
      </w:r>
      <w:r>
        <w:rPr>
          <w:rFonts w:ascii="Times New Roman" w:hAnsi="Times New Roman" w:cs="Times New Roman"/>
        </w:rPr>
        <w:t>show</w:t>
      </w:r>
      <w:r w:rsidR="00A17439">
        <w:rPr>
          <w:rFonts w:ascii="Times New Roman" w:hAnsi="Times New Roman" w:cs="Times New Roman"/>
        </w:rPr>
        <w:t xml:space="preserve"> </w:t>
      </w:r>
      <w:r w:rsidR="00155010">
        <w:rPr>
          <w:rFonts w:ascii="Times New Roman" w:hAnsi="Times New Roman" w:cs="Times New Roman"/>
        </w:rPr>
        <w:t>that</w:t>
      </w:r>
      <w:r w:rsidR="00107B06" w:rsidRPr="003B6C5B">
        <w:rPr>
          <w:rFonts w:ascii="Times New Roman" w:hAnsi="Times New Roman" w:cs="Times New Roman"/>
        </w:rPr>
        <w:t xml:space="preserve"> changes in carbon prices do not appear to affect the risk in higher-order moments in the energy markets </w:t>
      </w:r>
      <w:r>
        <w:rPr>
          <w:rFonts w:ascii="Times New Roman" w:hAnsi="Times New Roman" w:cs="Times New Roman"/>
        </w:rPr>
        <w:t>at</w:t>
      </w:r>
      <w:r w:rsidR="00107B06" w:rsidRPr="003B6C5B">
        <w:rPr>
          <w:rFonts w:ascii="Times New Roman" w:hAnsi="Times New Roman" w:cs="Times New Roman"/>
        </w:rPr>
        <w:t xml:space="preserve"> the shor</w:t>
      </w:r>
      <w:r>
        <w:rPr>
          <w:rFonts w:ascii="Times New Roman" w:hAnsi="Times New Roman" w:cs="Times New Roman"/>
        </w:rPr>
        <w:t>t-run timescales. This</w:t>
      </w:r>
      <w:r w:rsidR="00107B06" w:rsidRPr="003B6C5B">
        <w:rPr>
          <w:rFonts w:ascii="Times New Roman" w:hAnsi="Times New Roman" w:cs="Times New Roman"/>
        </w:rPr>
        <w:t xml:space="preserve"> </w:t>
      </w:r>
      <w:r>
        <w:rPr>
          <w:rFonts w:ascii="Times New Roman" w:hAnsi="Times New Roman" w:cs="Times New Roman"/>
        </w:rPr>
        <w:t>suggests</w:t>
      </w:r>
      <w:r w:rsidR="00107B06" w:rsidRPr="003B6C5B">
        <w:rPr>
          <w:rFonts w:ascii="Times New Roman" w:hAnsi="Times New Roman" w:cs="Times New Roman"/>
        </w:rPr>
        <w:t xml:space="preserve"> that policymakers </w:t>
      </w:r>
      <w:r w:rsidR="00EA4CC0">
        <w:rPr>
          <w:rFonts w:ascii="Times New Roman" w:hAnsi="Times New Roman" w:cs="Times New Roman"/>
        </w:rPr>
        <w:t xml:space="preserve">do not have to </w:t>
      </w:r>
      <w:r>
        <w:rPr>
          <w:rFonts w:ascii="Times New Roman" w:hAnsi="Times New Roman" w:cs="Times New Roman"/>
        </w:rPr>
        <w:t xml:space="preserve">immediately </w:t>
      </w:r>
      <w:r w:rsidR="00F55616">
        <w:rPr>
          <w:rFonts w:ascii="Times New Roman" w:hAnsi="Times New Roman" w:cs="Times New Roman"/>
        </w:rPr>
        <w:t xml:space="preserve">react to each short-term shocks of </w:t>
      </w:r>
      <w:r w:rsidR="00515D79">
        <w:rPr>
          <w:rFonts w:ascii="Times New Roman" w:hAnsi="Times New Roman" w:cs="Times New Roman"/>
        </w:rPr>
        <w:t>energy</w:t>
      </w:r>
      <w:r w:rsidR="00F55616">
        <w:rPr>
          <w:rFonts w:ascii="Times New Roman" w:hAnsi="Times New Roman" w:cs="Times New Roman"/>
        </w:rPr>
        <w:t xml:space="preserve"> market</w:t>
      </w:r>
      <w:r w:rsidR="00107B06" w:rsidRPr="003B6C5B">
        <w:rPr>
          <w:rFonts w:ascii="Times New Roman" w:hAnsi="Times New Roman" w:cs="Times New Roman"/>
        </w:rPr>
        <w:t>. In contrast, the spillovers in higher-order moments in the energy market from rising carbon prices is evident</w:t>
      </w:r>
      <w:r w:rsidR="00515D79">
        <w:rPr>
          <w:rFonts w:ascii="Times New Roman" w:hAnsi="Times New Roman" w:cs="Times New Roman"/>
        </w:rPr>
        <w:t xml:space="preserve"> </w:t>
      </w:r>
      <w:r w:rsidR="00515D79" w:rsidRPr="003B6C5B">
        <w:rPr>
          <w:rFonts w:ascii="Times New Roman" w:hAnsi="Times New Roman" w:cs="Times New Roman"/>
        </w:rPr>
        <w:t>in the long term</w:t>
      </w:r>
      <w:r w:rsidR="00107B06" w:rsidRPr="003B6C5B">
        <w:rPr>
          <w:rFonts w:ascii="Times New Roman" w:hAnsi="Times New Roman" w:cs="Times New Roman"/>
        </w:rPr>
        <w:t xml:space="preserve">. As mentioned earlier, the spillovers in higher-order moments contain not only price </w:t>
      </w:r>
      <w:r w:rsidR="00107B06" w:rsidRPr="00042485">
        <w:rPr>
          <w:rFonts w:ascii="Times New Roman" w:hAnsi="Times New Roman" w:cs="Times New Roman"/>
        </w:rPr>
        <w:t xml:space="preserve">signals but also </w:t>
      </w:r>
      <w:r w:rsidR="00EA4CC0" w:rsidRPr="00042485">
        <w:rPr>
          <w:rFonts w:ascii="Times New Roman" w:hAnsi="Times New Roman" w:cs="Times New Roman"/>
        </w:rPr>
        <w:t xml:space="preserve">systemic </w:t>
      </w:r>
      <w:r w:rsidR="00107B06" w:rsidRPr="00042485">
        <w:rPr>
          <w:rFonts w:ascii="Times New Roman" w:hAnsi="Times New Roman" w:cs="Times New Roman"/>
        </w:rPr>
        <w:t>risks.</w:t>
      </w:r>
      <w:r w:rsidR="00107B06" w:rsidRPr="003B6C5B">
        <w:rPr>
          <w:rFonts w:ascii="Times New Roman" w:hAnsi="Times New Roman" w:cs="Times New Roman"/>
        </w:rPr>
        <w:t xml:space="preserve"> </w:t>
      </w:r>
      <w:r w:rsidR="00515D79">
        <w:rPr>
          <w:rFonts w:ascii="Times New Roman" w:hAnsi="Times New Roman" w:cs="Times New Roman"/>
        </w:rPr>
        <w:t>Therefore, w</w:t>
      </w:r>
      <w:r w:rsidR="00107B06" w:rsidRPr="003B6C5B">
        <w:rPr>
          <w:rFonts w:ascii="Times New Roman" w:hAnsi="Times New Roman" w:cs="Times New Roman"/>
        </w:rPr>
        <w:t xml:space="preserve">e suggest that policy makers </w:t>
      </w:r>
      <w:r w:rsidR="00EA4CC0">
        <w:rPr>
          <w:rFonts w:ascii="Times New Roman" w:hAnsi="Times New Roman" w:cs="Times New Roman"/>
        </w:rPr>
        <w:t>should</w:t>
      </w:r>
      <w:r w:rsidR="00107B06" w:rsidRPr="003B6C5B">
        <w:rPr>
          <w:rFonts w:ascii="Times New Roman" w:hAnsi="Times New Roman" w:cs="Times New Roman"/>
        </w:rPr>
        <w:t xml:space="preserve"> allow carbon prices to </w:t>
      </w:r>
      <w:r w:rsidR="00515D79">
        <w:rPr>
          <w:rFonts w:ascii="Times New Roman" w:hAnsi="Times New Roman" w:cs="Times New Roman"/>
        </w:rPr>
        <w:t>increase gradually</w:t>
      </w:r>
      <w:r w:rsidR="00107B06" w:rsidRPr="003B6C5B">
        <w:rPr>
          <w:rFonts w:ascii="Times New Roman" w:hAnsi="Times New Roman" w:cs="Times New Roman"/>
        </w:rPr>
        <w:t xml:space="preserve"> </w:t>
      </w:r>
      <w:r w:rsidR="00515D79">
        <w:rPr>
          <w:rFonts w:ascii="Times New Roman" w:hAnsi="Times New Roman" w:cs="Times New Roman"/>
        </w:rPr>
        <w:t>in the next phase, namely, Phase I</w:t>
      </w:r>
      <w:r w:rsidR="00A17439">
        <w:rPr>
          <w:rFonts w:ascii="Times New Roman" w:hAnsi="Times New Roman" w:cs="Times New Roman"/>
        </w:rPr>
        <w:t>V.</w:t>
      </w:r>
      <w:r w:rsidR="00F95A8F" w:rsidRPr="003B6C5B">
        <w:rPr>
          <w:rFonts w:ascii="Times New Roman" w:hAnsi="Times New Roman" w:cs="Times New Roman"/>
        </w:rPr>
        <w:t xml:space="preserve"> </w:t>
      </w:r>
      <w:r w:rsidR="00A17439">
        <w:rPr>
          <w:rFonts w:ascii="Times New Roman" w:hAnsi="Times New Roman" w:cs="Times New Roman"/>
        </w:rPr>
        <w:t xml:space="preserve">The EU ETS </w:t>
      </w:r>
      <w:r w:rsidR="00F95A8F" w:rsidRPr="003B6C5B">
        <w:rPr>
          <w:rFonts w:ascii="Times New Roman" w:hAnsi="Times New Roman" w:cs="Times New Roman"/>
        </w:rPr>
        <w:t xml:space="preserve">policy makers </w:t>
      </w:r>
      <w:r w:rsidR="00A17439">
        <w:rPr>
          <w:rFonts w:ascii="Times New Roman" w:hAnsi="Times New Roman" w:cs="Times New Roman"/>
        </w:rPr>
        <w:t xml:space="preserve">may </w:t>
      </w:r>
      <w:r w:rsidR="008508ED">
        <w:rPr>
          <w:rFonts w:ascii="Times New Roman" w:hAnsi="Times New Roman" w:cs="Times New Roman"/>
        </w:rPr>
        <w:t>also want</w:t>
      </w:r>
      <w:r w:rsidR="00A17439">
        <w:rPr>
          <w:rFonts w:ascii="Times New Roman" w:hAnsi="Times New Roman" w:cs="Times New Roman"/>
        </w:rPr>
        <w:t xml:space="preserve"> to prioritise</w:t>
      </w:r>
      <w:r w:rsidR="00F95A8F" w:rsidRPr="003B6C5B">
        <w:rPr>
          <w:rFonts w:ascii="Times New Roman" w:hAnsi="Times New Roman" w:cs="Times New Roman"/>
        </w:rPr>
        <w:t xml:space="preserve"> cap adjustment </w:t>
      </w:r>
      <w:r w:rsidR="008508ED">
        <w:rPr>
          <w:rFonts w:ascii="Times New Roman" w:hAnsi="Times New Roman" w:cs="Times New Roman"/>
        </w:rPr>
        <w:t xml:space="preserve">and </w:t>
      </w:r>
      <w:r w:rsidR="008508ED" w:rsidRPr="00986F6D">
        <w:rPr>
          <w:rFonts w:ascii="Times New Roman" w:hAnsi="Times New Roman" w:cs="Times New Roman"/>
        </w:rPr>
        <w:t>the banking policy</w:t>
      </w:r>
      <w:r w:rsidR="008508ED" w:rsidRPr="003B6C5B">
        <w:rPr>
          <w:rFonts w:ascii="Times New Roman" w:hAnsi="Times New Roman" w:cs="Times New Roman"/>
        </w:rPr>
        <w:t xml:space="preserve"> </w:t>
      </w:r>
      <w:r w:rsidR="00F95A8F" w:rsidRPr="003B6C5B">
        <w:rPr>
          <w:rFonts w:ascii="Times New Roman" w:hAnsi="Times New Roman" w:cs="Times New Roman"/>
        </w:rPr>
        <w:t xml:space="preserve">in the discussions on structural reform of the EU </w:t>
      </w:r>
      <w:r w:rsidR="00A17439">
        <w:rPr>
          <w:rFonts w:ascii="Times New Roman" w:hAnsi="Times New Roman" w:cs="Times New Roman"/>
        </w:rPr>
        <w:t>carbon market in</w:t>
      </w:r>
      <w:r w:rsidR="001E593E">
        <w:rPr>
          <w:rFonts w:ascii="Times New Roman" w:hAnsi="Times New Roman" w:cs="Times New Roman"/>
        </w:rPr>
        <w:t xml:space="preserve"> </w:t>
      </w:r>
      <w:r w:rsidR="00F95A8F" w:rsidRPr="003B6C5B">
        <w:rPr>
          <w:rFonts w:ascii="Times New Roman" w:hAnsi="Times New Roman" w:cs="Times New Roman"/>
        </w:rPr>
        <w:t>Phase IV</w:t>
      </w:r>
      <w:r w:rsidR="001E593E">
        <w:rPr>
          <w:rFonts w:ascii="Times New Roman" w:hAnsi="Times New Roman" w:cs="Times New Roman"/>
        </w:rPr>
        <w:t xml:space="preserve">. </w:t>
      </w:r>
      <w:r w:rsidR="0039294E" w:rsidRPr="003B6C5B">
        <w:rPr>
          <w:rFonts w:ascii="Times New Roman" w:hAnsi="Times New Roman" w:cs="Times New Roman"/>
        </w:rPr>
        <w:t xml:space="preserve">Our research contributes similar insights to the construction of carbon markets in </w:t>
      </w:r>
      <w:r w:rsidR="00A17439">
        <w:rPr>
          <w:rFonts w:ascii="Times New Roman" w:hAnsi="Times New Roman" w:cs="Times New Roman"/>
        </w:rPr>
        <w:t xml:space="preserve">the </w:t>
      </w:r>
      <w:r w:rsidR="0039294E" w:rsidRPr="003B6C5B">
        <w:rPr>
          <w:rFonts w:ascii="Times New Roman" w:hAnsi="Times New Roman" w:cs="Times New Roman"/>
        </w:rPr>
        <w:t>emerging markets such as China (</w:t>
      </w:r>
      <w:r w:rsidR="00874476" w:rsidRPr="003B6C5B">
        <w:rPr>
          <w:rFonts w:ascii="Times New Roman" w:hAnsi="Times New Roman" w:cs="Times New Roman"/>
        </w:rPr>
        <w:t>Zhou et al., 2019; Zhou et al., 2020</w:t>
      </w:r>
      <w:r w:rsidR="0039294E" w:rsidRPr="003B6C5B">
        <w:rPr>
          <w:rFonts w:ascii="Times New Roman" w:hAnsi="Times New Roman" w:cs="Times New Roman"/>
        </w:rPr>
        <w:t>).</w:t>
      </w:r>
    </w:p>
    <w:p w14:paraId="1843C022" w14:textId="5F2E5EEA" w:rsidR="00A2313E" w:rsidRPr="003B6C5B" w:rsidRDefault="00A2313E" w:rsidP="006724D6">
      <w:pPr>
        <w:pStyle w:val="Heading1"/>
        <w:spacing w:before="260" w:after="260" w:line="480" w:lineRule="auto"/>
        <w:jc w:val="both"/>
        <w:rPr>
          <w:rFonts w:eastAsiaTheme="minorEastAsia"/>
          <w:sz w:val="24"/>
          <w:szCs w:val="24"/>
        </w:rPr>
      </w:pPr>
      <w:r w:rsidRPr="003B6C5B">
        <w:rPr>
          <w:rFonts w:eastAsiaTheme="minorEastAsia"/>
          <w:sz w:val="24"/>
          <w:szCs w:val="24"/>
        </w:rPr>
        <w:lastRenderedPageBreak/>
        <w:t>Reference</w:t>
      </w:r>
      <w:r w:rsidR="009B6D05" w:rsidRPr="003B6C5B">
        <w:rPr>
          <w:rFonts w:eastAsiaTheme="minorEastAsia"/>
          <w:sz w:val="24"/>
          <w:szCs w:val="24"/>
        </w:rPr>
        <w:t>s</w:t>
      </w:r>
    </w:p>
    <w:p w14:paraId="7A2E99E9" w14:textId="1CC6B79E" w:rsidR="00A2313E" w:rsidRPr="003B6C5B" w:rsidRDefault="00A2313E" w:rsidP="006724D6">
      <w:pPr>
        <w:pStyle w:val="EndNoteBibliography"/>
        <w:spacing w:line="480" w:lineRule="auto"/>
        <w:ind w:left="720" w:hanging="720"/>
        <w:jc w:val="both"/>
      </w:pPr>
      <w:r w:rsidRPr="003B6C5B">
        <w:t xml:space="preserve">Aatola, P., Ollikainen, M., &amp; Toppinen, A. (2013). Price determination in the EU ETS market: Theory and econometric analysis with market fundamentals. </w:t>
      </w:r>
      <w:r w:rsidRPr="003B6C5B">
        <w:rPr>
          <w:i/>
        </w:rPr>
        <w:t>Energy Economics, 36</w:t>
      </w:r>
      <w:r w:rsidRPr="003B6C5B">
        <w:t>, 380-395.</w:t>
      </w:r>
    </w:p>
    <w:p w14:paraId="147D9DED" w14:textId="5130EAC1" w:rsidR="00A2313E" w:rsidRPr="003B6C5B" w:rsidRDefault="00A2313E" w:rsidP="006724D6">
      <w:pPr>
        <w:pStyle w:val="EndNoteBibliography"/>
        <w:spacing w:line="480" w:lineRule="auto"/>
        <w:ind w:left="720" w:hanging="720"/>
        <w:jc w:val="both"/>
      </w:pPr>
      <w:r w:rsidRPr="003B6C5B">
        <w:t xml:space="preserve">Alberola, E., Chevallier, J., &amp; Chèze, B. t. (2008). Price drivers and structural breaks in European carbon prices 2005–2007. </w:t>
      </w:r>
      <w:r w:rsidRPr="003B6C5B">
        <w:rPr>
          <w:i/>
        </w:rPr>
        <w:t>Energy Policy, 36</w:t>
      </w:r>
      <w:r w:rsidRPr="003B6C5B">
        <w:t xml:space="preserve">(2), 787-797. </w:t>
      </w:r>
    </w:p>
    <w:p w14:paraId="5CAABEF6" w14:textId="24CEA2B5" w:rsidR="00AE403E" w:rsidRPr="003B6C5B" w:rsidRDefault="00AE403E" w:rsidP="006724D6">
      <w:pPr>
        <w:pStyle w:val="EndNoteBibliography"/>
        <w:spacing w:line="480" w:lineRule="auto"/>
        <w:ind w:left="720" w:hanging="720"/>
        <w:jc w:val="both"/>
      </w:pPr>
      <w:r w:rsidRPr="003B6C5B">
        <w:rPr>
          <w:shd w:val="clear" w:color="auto" w:fill="FFFFFF"/>
        </w:rPr>
        <w:t>Anke, C. P., Hobbie, H., Schreiber, S., &amp; Möst, D. (2020). Coal phase-outs and carbon prices: Interactions between EU emission trading and national carbon mitigation policies. </w:t>
      </w:r>
      <w:r w:rsidRPr="003B6C5B">
        <w:rPr>
          <w:i/>
          <w:iCs/>
          <w:shd w:val="clear" w:color="auto" w:fill="FFFFFF"/>
        </w:rPr>
        <w:t>Energy Policy</w:t>
      </w:r>
      <w:r w:rsidRPr="003B6C5B">
        <w:rPr>
          <w:shd w:val="clear" w:color="auto" w:fill="FFFFFF"/>
        </w:rPr>
        <w:t>, </w:t>
      </w:r>
      <w:r w:rsidRPr="003B6C5B">
        <w:rPr>
          <w:i/>
          <w:iCs/>
          <w:shd w:val="clear" w:color="auto" w:fill="FFFFFF"/>
        </w:rPr>
        <w:t>144</w:t>
      </w:r>
      <w:r w:rsidRPr="003B6C5B">
        <w:rPr>
          <w:shd w:val="clear" w:color="auto" w:fill="FFFFFF"/>
        </w:rPr>
        <w:t>, 111647.</w:t>
      </w:r>
    </w:p>
    <w:p w14:paraId="719DBBB9" w14:textId="0D105A18" w:rsidR="00A2313E" w:rsidRPr="003B6C5B" w:rsidRDefault="00A2313E" w:rsidP="006724D6">
      <w:pPr>
        <w:pStyle w:val="EndNoteBibliography"/>
        <w:spacing w:line="480" w:lineRule="auto"/>
        <w:ind w:left="720" w:hanging="720"/>
        <w:jc w:val="both"/>
      </w:pPr>
      <w:r w:rsidRPr="003B6C5B">
        <w:t xml:space="preserve">Apergis, N., &amp; Lau, M. C. K. (2015). Structural breaks and electricity prices: Further evidence on the role of climate policy uncertainties in the Australian electricity market. </w:t>
      </w:r>
      <w:r w:rsidRPr="003B6C5B">
        <w:rPr>
          <w:i/>
        </w:rPr>
        <w:t>Energy Economics, 52</w:t>
      </w:r>
      <w:r w:rsidRPr="003B6C5B">
        <w:t xml:space="preserve">, 176-182. </w:t>
      </w:r>
    </w:p>
    <w:p w14:paraId="7A89BE27" w14:textId="219D5063" w:rsidR="00A2313E" w:rsidRPr="003B6C5B" w:rsidRDefault="00A2313E" w:rsidP="006724D6">
      <w:pPr>
        <w:pStyle w:val="EndNoteBibliography"/>
        <w:spacing w:line="480" w:lineRule="auto"/>
        <w:ind w:left="720" w:hanging="720"/>
        <w:jc w:val="both"/>
      </w:pPr>
      <w:r w:rsidRPr="003B6C5B">
        <w:t xml:space="preserve">Balcılar, M., Demirer, R., Hammoudeh, S., &amp; Nguyen, D. K. (2016). Risk spillovers across the energy and carbon markets and hedging strategies for carbon risk. </w:t>
      </w:r>
      <w:r w:rsidRPr="003B6C5B">
        <w:rPr>
          <w:i/>
        </w:rPr>
        <w:t>Energy Economics, 54</w:t>
      </w:r>
      <w:r w:rsidRPr="003B6C5B">
        <w:t>, 159-172.</w:t>
      </w:r>
    </w:p>
    <w:p w14:paraId="1150DD53" w14:textId="2B219ED6" w:rsidR="00A2313E" w:rsidRPr="003B6C5B" w:rsidRDefault="00A2313E" w:rsidP="006724D6">
      <w:pPr>
        <w:pStyle w:val="EndNoteBibliography"/>
        <w:spacing w:line="480" w:lineRule="auto"/>
        <w:ind w:left="720" w:hanging="720"/>
        <w:jc w:val="both"/>
      </w:pPr>
      <w:r w:rsidRPr="003B6C5B">
        <w:t xml:space="preserve">Bali, T. G., Mo, H., &amp; Tang, Y. (2008). The role of autoregressive conditional skewness and kurtosis in the estimation of conditional VaR. </w:t>
      </w:r>
      <w:r w:rsidRPr="003B6C5B">
        <w:rPr>
          <w:i/>
        </w:rPr>
        <w:t>Journal of Banking &amp; Finance, 32</w:t>
      </w:r>
      <w:r w:rsidRPr="003B6C5B">
        <w:t xml:space="preserve">(2), 269-282. </w:t>
      </w:r>
    </w:p>
    <w:p w14:paraId="5E895DDD" w14:textId="73A0775E" w:rsidR="00A2313E" w:rsidRPr="003B6C5B" w:rsidRDefault="00A2313E" w:rsidP="006724D6">
      <w:pPr>
        <w:pStyle w:val="EndNoteBibliography"/>
        <w:spacing w:line="480" w:lineRule="auto"/>
        <w:ind w:left="720" w:hanging="720"/>
        <w:jc w:val="both"/>
      </w:pPr>
      <w:r w:rsidRPr="003B6C5B">
        <w:t xml:space="preserve">Baruník, J., &amp; Křehlík, T. (2018). Measuring the Frequency Dynamics of Financial Connectedness and Systemic Risk. </w:t>
      </w:r>
      <w:r w:rsidRPr="003B6C5B">
        <w:rPr>
          <w:i/>
        </w:rPr>
        <w:t>Journal of Financial Econometrics, 16</w:t>
      </w:r>
      <w:r w:rsidRPr="003B6C5B">
        <w:t xml:space="preserve">(2), 271-296. </w:t>
      </w:r>
    </w:p>
    <w:p w14:paraId="56E2D282" w14:textId="359B3BBA" w:rsidR="00A2313E" w:rsidRPr="003B6C5B" w:rsidRDefault="00A2313E" w:rsidP="006724D6">
      <w:pPr>
        <w:pStyle w:val="EndNoteBibliography"/>
        <w:spacing w:line="480" w:lineRule="auto"/>
        <w:ind w:left="720" w:hanging="720"/>
        <w:jc w:val="both"/>
      </w:pPr>
      <w:r w:rsidRPr="003B6C5B">
        <w:t xml:space="preserve">Bel, G., &amp; Joseph, S. (2015). Emission abatement: Untangling the impacts of the EU ETS and the economic crisis. </w:t>
      </w:r>
      <w:r w:rsidRPr="003B6C5B">
        <w:rPr>
          <w:i/>
        </w:rPr>
        <w:t>Energy Economics, 49</w:t>
      </w:r>
      <w:r w:rsidRPr="003B6C5B">
        <w:t xml:space="preserve">, 531-539. </w:t>
      </w:r>
    </w:p>
    <w:p w14:paraId="56B29C4B" w14:textId="375B9D85" w:rsidR="00A2313E" w:rsidRPr="003B6C5B" w:rsidRDefault="00A2313E" w:rsidP="006724D6">
      <w:pPr>
        <w:pStyle w:val="EndNoteBibliography"/>
        <w:spacing w:line="480" w:lineRule="auto"/>
        <w:ind w:left="720" w:hanging="720"/>
        <w:jc w:val="both"/>
      </w:pPr>
      <w:r w:rsidRPr="003B6C5B">
        <w:lastRenderedPageBreak/>
        <w:t xml:space="preserve">Bocklet, J., Hintermayer, M., Schmidt, L., &amp; Wildgrube, T. (2019). The reformed EU ETS - Intertemporal emission trading with restricted banking. </w:t>
      </w:r>
      <w:r w:rsidRPr="003B6C5B">
        <w:rPr>
          <w:i/>
        </w:rPr>
        <w:t>Energy Economics, 84</w:t>
      </w:r>
      <w:r w:rsidRPr="003B6C5B">
        <w:t>, 104486.</w:t>
      </w:r>
    </w:p>
    <w:p w14:paraId="1D22C5A3" w14:textId="25BFD3C4" w:rsidR="00A2313E" w:rsidRPr="003B6C5B" w:rsidRDefault="00A2313E" w:rsidP="006724D6">
      <w:pPr>
        <w:pStyle w:val="EndNoteBibliography"/>
        <w:spacing w:line="480" w:lineRule="auto"/>
        <w:ind w:left="720" w:hanging="720"/>
        <w:jc w:val="both"/>
      </w:pPr>
      <w:r w:rsidRPr="003B6C5B">
        <w:t xml:space="preserve">Brooks, C., Burke, S. P., Heravi, S., &amp; Persand, G. (2005). Autoregressive Conditional Kurtosis. </w:t>
      </w:r>
      <w:r w:rsidRPr="003B6C5B">
        <w:rPr>
          <w:i/>
        </w:rPr>
        <w:t>Journal of Financial Econometrics, 3</w:t>
      </w:r>
      <w:r w:rsidRPr="003B6C5B">
        <w:t>(3), 399-421.</w:t>
      </w:r>
    </w:p>
    <w:p w14:paraId="4B2BDF25" w14:textId="79730668" w:rsidR="008669B0" w:rsidRPr="003B6C5B" w:rsidRDefault="008669B0" w:rsidP="006724D6">
      <w:pPr>
        <w:pStyle w:val="EndNoteBibliography"/>
        <w:spacing w:line="480" w:lineRule="auto"/>
        <w:ind w:left="720" w:hanging="720"/>
        <w:jc w:val="both"/>
      </w:pPr>
      <w:bookmarkStart w:id="17" w:name="_Hlk53492379"/>
      <w:r w:rsidRPr="003B6C5B">
        <w:rPr>
          <w:shd w:val="clear" w:color="auto" w:fill="FFFFFF"/>
        </w:rPr>
        <w:t xml:space="preserve">Bruninx, K., Ovaere, M., &amp; Delarue, E. (2020). </w:t>
      </w:r>
      <w:bookmarkEnd w:id="17"/>
      <w:r w:rsidRPr="003B6C5B">
        <w:rPr>
          <w:shd w:val="clear" w:color="auto" w:fill="FFFFFF"/>
        </w:rPr>
        <w:t>The long-term impact of the market stability reserve on the EU emission trading system. </w:t>
      </w:r>
      <w:r w:rsidRPr="003B6C5B">
        <w:rPr>
          <w:i/>
          <w:iCs/>
          <w:shd w:val="clear" w:color="auto" w:fill="FFFFFF"/>
        </w:rPr>
        <w:t>Energy Economics</w:t>
      </w:r>
      <w:r w:rsidRPr="003B6C5B">
        <w:rPr>
          <w:shd w:val="clear" w:color="auto" w:fill="FFFFFF"/>
        </w:rPr>
        <w:t>, 104746.</w:t>
      </w:r>
    </w:p>
    <w:p w14:paraId="5A04B044" w14:textId="09CAC178" w:rsidR="00A2313E" w:rsidRPr="003B6C5B" w:rsidRDefault="00A2313E" w:rsidP="006724D6">
      <w:pPr>
        <w:pStyle w:val="EndNoteBibliography"/>
        <w:spacing w:line="480" w:lineRule="auto"/>
        <w:ind w:left="720" w:hanging="720"/>
        <w:jc w:val="both"/>
      </w:pPr>
      <w:r w:rsidRPr="003B6C5B">
        <w:t>Bunn, D. W., &amp; Fezzi, C. (2007). Interaction of European carbon trading and energy prices.</w:t>
      </w:r>
    </w:p>
    <w:p w14:paraId="426CDCB4" w14:textId="5C692CEF" w:rsidR="00B9533B" w:rsidRPr="003B6C5B" w:rsidRDefault="00B9533B" w:rsidP="006724D6">
      <w:pPr>
        <w:pStyle w:val="EndNoteBibliography"/>
        <w:spacing w:line="480" w:lineRule="auto"/>
        <w:ind w:left="720" w:hanging="720"/>
        <w:jc w:val="both"/>
        <w:rPr>
          <w:shd w:val="clear" w:color="auto" w:fill="FFFFFF"/>
        </w:rPr>
      </w:pPr>
      <w:r w:rsidRPr="003B6C5B">
        <w:rPr>
          <w:shd w:val="clear" w:color="auto" w:fill="FFFFFF"/>
        </w:rPr>
        <w:t>Chaton, C., Creti, A., &amp; Sanin, M. E. (2018). Assessing the implementation of the Market Stability Reserve. </w:t>
      </w:r>
      <w:r w:rsidRPr="003B6C5B">
        <w:rPr>
          <w:i/>
          <w:iCs/>
          <w:shd w:val="clear" w:color="auto" w:fill="FFFFFF"/>
        </w:rPr>
        <w:t>Energy policy</w:t>
      </w:r>
      <w:r w:rsidRPr="003B6C5B">
        <w:rPr>
          <w:shd w:val="clear" w:color="auto" w:fill="FFFFFF"/>
        </w:rPr>
        <w:t>, </w:t>
      </w:r>
      <w:r w:rsidRPr="003B6C5B">
        <w:rPr>
          <w:i/>
          <w:iCs/>
          <w:shd w:val="clear" w:color="auto" w:fill="FFFFFF"/>
        </w:rPr>
        <w:t>118</w:t>
      </w:r>
      <w:r w:rsidRPr="003B6C5B">
        <w:rPr>
          <w:shd w:val="clear" w:color="auto" w:fill="FFFFFF"/>
        </w:rPr>
        <w:t>, 642-654.</w:t>
      </w:r>
    </w:p>
    <w:p w14:paraId="5388E1EC" w14:textId="5A9A85A0" w:rsidR="00A2313E" w:rsidRPr="003B6C5B" w:rsidRDefault="00A2313E" w:rsidP="006724D6">
      <w:pPr>
        <w:pStyle w:val="EndNoteBibliography"/>
        <w:spacing w:line="480" w:lineRule="auto"/>
        <w:ind w:left="720" w:hanging="720"/>
        <w:jc w:val="both"/>
      </w:pPr>
      <w:r w:rsidRPr="003B6C5B">
        <w:t xml:space="preserve">Chevallier, J. (2009). Carbon futures and macroeconomic risk factors: A view from the EU ETS. </w:t>
      </w:r>
      <w:r w:rsidRPr="003B6C5B">
        <w:rPr>
          <w:i/>
        </w:rPr>
        <w:t>Energy Economics, 31</w:t>
      </w:r>
      <w:r w:rsidRPr="003B6C5B">
        <w:t>(4), 614-625.</w:t>
      </w:r>
    </w:p>
    <w:p w14:paraId="45500835" w14:textId="5A116793" w:rsidR="00A2313E" w:rsidRPr="003B6C5B" w:rsidRDefault="00A2313E" w:rsidP="006724D6">
      <w:pPr>
        <w:pStyle w:val="EndNoteBibliography"/>
        <w:spacing w:line="480" w:lineRule="auto"/>
        <w:ind w:left="720" w:hanging="720"/>
        <w:jc w:val="both"/>
      </w:pPr>
      <w:r w:rsidRPr="003B6C5B">
        <w:t xml:space="preserve">Chevallier, J. (2011a). Detecting instability in the volatility of carbon prices. </w:t>
      </w:r>
      <w:r w:rsidRPr="003B6C5B">
        <w:rPr>
          <w:i/>
        </w:rPr>
        <w:t>Energy Economics, 33</w:t>
      </w:r>
      <w:r w:rsidRPr="003B6C5B">
        <w:t>(1), 99-110.</w:t>
      </w:r>
    </w:p>
    <w:p w14:paraId="2A57A6A8" w14:textId="77777777" w:rsidR="00A2313E" w:rsidRPr="003B6C5B" w:rsidRDefault="00A2313E" w:rsidP="006724D6">
      <w:pPr>
        <w:pStyle w:val="EndNoteBibliography"/>
        <w:spacing w:line="480" w:lineRule="auto"/>
        <w:ind w:left="720" w:hanging="720"/>
        <w:jc w:val="both"/>
      </w:pPr>
      <w:r w:rsidRPr="003B6C5B">
        <w:t xml:space="preserve">Chevallier, J. (2011b). </w:t>
      </w:r>
      <w:r w:rsidRPr="003B6C5B">
        <w:rPr>
          <w:i/>
        </w:rPr>
        <w:t>Econometric analysis of carbon markets: the European Union emissions trading scheme and the clean development mechanism</w:t>
      </w:r>
      <w:r w:rsidRPr="003B6C5B">
        <w:t>: Springer Science &amp; Business Media.</w:t>
      </w:r>
    </w:p>
    <w:p w14:paraId="692838DE" w14:textId="5BFC07B1" w:rsidR="00A2313E" w:rsidRPr="003B6C5B" w:rsidRDefault="00A2313E" w:rsidP="006724D6">
      <w:pPr>
        <w:pStyle w:val="EndNoteBibliography"/>
        <w:spacing w:line="480" w:lineRule="auto"/>
        <w:ind w:left="720" w:hanging="720"/>
        <w:jc w:val="both"/>
      </w:pPr>
      <w:r w:rsidRPr="003B6C5B">
        <w:t xml:space="preserve">Chevallier, J. (2012). Time-varying correlations in oil, gas and CO2 prices: an application using BEKK, CCC and DCC-MGARCH models. </w:t>
      </w:r>
      <w:r w:rsidRPr="003B6C5B">
        <w:rPr>
          <w:i/>
        </w:rPr>
        <w:t>Applied Economics, 44</w:t>
      </w:r>
      <w:r w:rsidRPr="003B6C5B">
        <w:t>(32), 4257-4274.</w:t>
      </w:r>
    </w:p>
    <w:p w14:paraId="471A797C" w14:textId="0C14E07D" w:rsidR="00A2313E" w:rsidRPr="003B6C5B" w:rsidRDefault="00A2313E" w:rsidP="006724D6">
      <w:pPr>
        <w:pStyle w:val="EndNoteBibliography"/>
        <w:spacing w:line="480" w:lineRule="auto"/>
        <w:ind w:left="720" w:hanging="720"/>
        <w:jc w:val="both"/>
      </w:pPr>
      <w:r w:rsidRPr="003B6C5B">
        <w:t xml:space="preserve">Chevallier, J., Khuong Nguyen, D., &amp; Carlos Reboredo, J. (2019). A conditional dependence approach to CO2-energy price relationships. </w:t>
      </w:r>
      <w:r w:rsidRPr="003B6C5B">
        <w:rPr>
          <w:i/>
        </w:rPr>
        <w:t>Energy Economics, 81</w:t>
      </w:r>
      <w:r w:rsidRPr="003B6C5B">
        <w:t>, 812-821.</w:t>
      </w:r>
    </w:p>
    <w:p w14:paraId="17F4D6FB" w14:textId="0CA5F564" w:rsidR="00026D4B" w:rsidRDefault="00026D4B" w:rsidP="006724D6">
      <w:pPr>
        <w:pStyle w:val="EndNoteBibliography"/>
        <w:spacing w:line="480" w:lineRule="auto"/>
        <w:ind w:left="720" w:hanging="720"/>
        <w:jc w:val="both"/>
        <w:rPr>
          <w:rFonts w:eastAsia="Microsoft YaHei"/>
          <w:color w:val="000000"/>
          <w:shd w:val="clear" w:color="auto" w:fill="FFFFFF"/>
        </w:rPr>
      </w:pPr>
      <w:r w:rsidRPr="003B6C5B">
        <w:rPr>
          <w:rFonts w:eastAsia="Microsoft YaHei"/>
          <w:color w:val="000000"/>
          <w:shd w:val="clear" w:color="auto" w:fill="FFFFFF"/>
        </w:rPr>
        <w:lastRenderedPageBreak/>
        <w:t>Chevallier, J. , Stéphane Goutte, Ji, Q. , &amp; Guesmi, K. (2021). Green finance and the restructuring of the oil-gas-coal business model under carbon asset stranding constraints. </w:t>
      </w:r>
      <w:r w:rsidRPr="003B6C5B">
        <w:rPr>
          <w:rFonts w:eastAsia="Microsoft YaHei"/>
          <w:i/>
          <w:iCs/>
          <w:color w:val="000000"/>
          <w:shd w:val="clear" w:color="auto" w:fill="FFFFFF"/>
        </w:rPr>
        <w:t>Energy Policy,</w:t>
      </w:r>
      <w:r w:rsidRPr="003B6C5B">
        <w:rPr>
          <w:rFonts w:eastAsia="Microsoft YaHei"/>
          <w:color w:val="000000"/>
          <w:shd w:val="clear" w:color="auto" w:fill="FFFFFF"/>
        </w:rPr>
        <w:t> </w:t>
      </w:r>
      <w:r w:rsidRPr="003B6C5B">
        <w:rPr>
          <w:rFonts w:eastAsia="Microsoft YaHei"/>
          <w:i/>
          <w:iCs/>
          <w:color w:val="000000"/>
          <w:shd w:val="clear" w:color="auto" w:fill="FFFFFF"/>
        </w:rPr>
        <w:t>149</w:t>
      </w:r>
      <w:r w:rsidRPr="003B6C5B">
        <w:rPr>
          <w:rFonts w:eastAsia="Microsoft YaHei"/>
          <w:color w:val="000000"/>
          <w:shd w:val="clear" w:color="auto" w:fill="FFFFFF"/>
        </w:rPr>
        <w:t>, 112055.</w:t>
      </w:r>
    </w:p>
    <w:p w14:paraId="55C3B78C" w14:textId="522E3334" w:rsidR="00C75BC2" w:rsidRPr="00C75BC2" w:rsidRDefault="00C75BC2" w:rsidP="006724D6">
      <w:pPr>
        <w:pStyle w:val="EndNoteBibliography"/>
        <w:spacing w:line="480" w:lineRule="auto"/>
        <w:ind w:left="720" w:hanging="720"/>
        <w:jc w:val="both"/>
      </w:pPr>
      <w:r w:rsidRPr="00B502DC">
        <w:rPr>
          <w:color w:val="222222"/>
          <w:shd w:val="clear" w:color="auto" w:fill="FFFFFF"/>
        </w:rPr>
        <w:t>Christoffersen, P., Fournier, M., Jacobs, K., &amp; Karoui, M. (2021). Option-Based Estimation of the Price of Coskewness and Cokurtosis Risk. </w:t>
      </w:r>
      <w:r w:rsidRPr="00B502DC">
        <w:rPr>
          <w:i/>
          <w:iCs/>
          <w:color w:val="222222"/>
          <w:shd w:val="clear" w:color="auto" w:fill="FFFFFF"/>
        </w:rPr>
        <w:t>Journal of Financial and Quantitative Analysis</w:t>
      </w:r>
      <w:r w:rsidRPr="00B502DC">
        <w:rPr>
          <w:color w:val="222222"/>
          <w:shd w:val="clear" w:color="auto" w:fill="FFFFFF"/>
        </w:rPr>
        <w:t>, </w:t>
      </w:r>
      <w:r w:rsidRPr="00B502DC">
        <w:rPr>
          <w:i/>
          <w:iCs/>
          <w:color w:val="222222"/>
          <w:shd w:val="clear" w:color="auto" w:fill="FFFFFF"/>
        </w:rPr>
        <w:t>56</w:t>
      </w:r>
      <w:r w:rsidRPr="00B502DC">
        <w:rPr>
          <w:color w:val="222222"/>
          <w:shd w:val="clear" w:color="auto" w:fill="FFFFFF"/>
        </w:rPr>
        <w:t>(1), 65-91.</w:t>
      </w:r>
    </w:p>
    <w:p w14:paraId="5DB365E8" w14:textId="53E84854" w:rsidR="00A2313E" w:rsidRPr="003B6C5B" w:rsidRDefault="00A2313E" w:rsidP="006724D6">
      <w:pPr>
        <w:pStyle w:val="EndNoteBibliography"/>
        <w:spacing w:line="480" w:lineRule="auto"/>
        <w:ind w:left="720" w:hanging="720"/>
        <w:jc w:val="both"/>
      </w:pPr>
      <w:r w:rsidRPr="003B6C5B">
        <w:t xml:space="preserve">Christiansen, A. C., Arvanitakis, A., Tangen, K., &amp; Hasselknippe, H. (2005). Price determinants in the EU emissions trading scheme. </w:t>
      </w:r>
      <w:r w:rsidRPr="003B6C5B">
        <w:rPr>
          <w:i/>
        </w:rPr>
        <w:t>Climate Policy, 5</w:t>
      </w:r>
      <w:r w:rsidRPr="003B6C5B">
        <w:t>(1), 15-30.</w:t>
      </w:r>
    </w:p>
    <w:p w14:paraId="21DCFC83" w14:textId="5B3E69BF" w:rsidR="00A2313E" w:rsidRPr="003B6C5B" w:rsidRDefault="00A2313E" w:rsidP="006724D6">
      <w:pPr>
        <w:pStyle w:val="EndNoteBibliography"/>
        <w:spacing w:line="480" w:lineRule="auto"/>
        <w:ind w:left="720" w:hanging="720"/>
        <w:jc w:val="both"/>
      </w:pPr>
      <w:r w:rsidRPr="003B6C5B">
        <w:t xml:space="preserve">Creti, A., Jouvet, P.-A., &amp; Mignon, V. (2012). Carbon price drivers: Phase I versus Phase II equilibrium? </w:t>
      </w:r>
      <w:r w:rsidRPr="003B6C5B">
        <w:rPr>
          <w:i/>
        </w:rPr>
        <w:t>Energy Economics, 34</w:t>
      </w:r>
      <w:r w:rsidRPr="003B6C5B">
        <w:t xml:space="preserve">(1), 327-334. </w:t>
      </w:r>
    </w:p>
    <w:p w14:paraId="35CFE710" w14:textId="046B9F81" w:rsidR="00A2313E" w:rsidRPr="003B6C5B" w:rsidRDefault="00A2313E" w:rsidP="006724D6">
      <w:pPr>
        <w:pStyle w:val="EndNoteBibliography"/>
        <w:spacing w:line="480" w:lineRule="auto"/>
        <w:ind w:left="720" w:hanging="720"/>
        <w:jc w:val="both"/>
      </w:pPr>
      <w:r w:rsidRPr="003B6C5B">
        <w:t xml:space="preserve">Dai, X., Wang, Q., Zha, D., &amp; Zhou, D. (2020). Multi-scale dependence structure and risk contagion between oil, gold, and US exchange rate: A wavelet-based vine-copula approach. </w:t>
      </w:r>
      <w:r w:rsidRPr="003B6C5B">
        <w:rPr>
          <w:i/>
        </w:rPr>
        <w:t>Energy Economics, 88</w:t>
      </w:r>
      <w:r w:rsidRPr="003B6C5B">
        <w:t xml:space="preserve">, 104774. </w:t>
      </w:r>
    </w:p>
    <w:p w14:paraId="03E01081" w14:textId="73C7D738" w:rsidR="00A2313E" w:rsidRPr="003B6C5B" w:rsidRDefault="00A2313E" w:rsidP="006724D6">
      <w:pPr>
        <w:pStyle w:val="EndNoteBibliography"/>
        <w:spacing w:line="480" w:lineRule="auto"/>
        <w:ind w:left="720" w:hanging="720"/>
        <w:jc w:val="both"/>
      </w:pPr>
      <w:r w:rsidRPr="003B6C5B">
        <w:t xml:space="preserve">Diebold, F. X., &amp; Yilmaz, K. (2012). Better to give than to receive: Predictive directional measurement of volatility spillovers. </w:t>
      </w:r>
      <w:r w:rsidRPr="003B6C5B">
        <w:rPr>
          <w:i/>
        </w:rPr>
        <w:t>International Journal of Forecasting, 28</w:t>
      </w:r>
      <w:r w:rsidRPr="003B6C5B">
        <w:t>(1), 57-66.</w:t>
      </w:r>
    </w:p>
    <w:p w14:paraId="741278C1" w14:textId="07B27525" w:rsidR="00781752" w:rsidRPr="00B502DC" w:rsidRDefault="00F4720B" w:rsidP="00475786">
      <w:pPr>
        <w:pStyle w:val="EndNoteBibliography"/>
        <w:spacing w:line="480" w:lineRule="auto"/>
        <w:ind w:left="720" w:hanging="720"/>
        <w:jc w:val="both"/>
        <w:rPr>
          <w:rFonts w:eastAsiaTheme="minorEastAsia"/>
          <w:shd w:val="clear" w:color="auto" w:fill="FFFFFF"/>
        </w:rPr>
      </w:pPr>
      <w:r w:rsidRPr="003B6C5B">
        <w:rPr>
          <w:shd w:val="clear" w:color="auto" w:fill="FFFFFF"/>
        </w:rPr>
        <w:t>Duan, K., Ren, X., Shi, Y., Mishra, T., &amp; Yan, C. (2021). The marginal impacts of energy prices on carbon price variations: Evidence from a quantile-on-quantile approach. </w:t>
      </w:r>
      <w:r w:rsidRPr="003B6C5B">
        <w:rPr>
          <w:i/>
          <w:iCs/>
          <w:shd w:val="clear" w:color="auto" w:fill="FFFFFF"/>
        </w:rPr>
        <w:t>Energy Economics</w:t>
      </w:r>
      <w:r w:rsidRPr="003B6C5B">
        <w:rPr>
          <w:shd w:val="clear" w:color="auto" w:fill="FFFFFF"/>
        </w:rPr>
        <w:t>, </w:t>
      </w:r>
      <w:r w:rsidRPr="003B6C5B">
        <w:rPr>
          <w:i/>
          <w:iCs/>
          <w:shd w:val="clear" w:color="auto" w:fill="FFFFFF"/>
        </w:rPr>
        <w:t>95</w:t>
      </w:r>
      <w:r w:rsidRPr="003B6C5B">
        <w:rPr>
          <w:shd w:val="clear" w:color="auto" w:fill="FFFFFF"/>
        </w:rPr>
        <w:t>, 105131.</w:t>
      </w:r>
    </w:p>
    <w:p w14:paraId="3A0CB590" w14:textId="42B093F6" w:rsidR="00E07E83" w:rsidRPr="00B502DC" w:rsidRDefault="00E07E83" w:rsidP="009A0978">
      <w:pPr>
        <w:pStyle w:val="EndNoteBibliography"/>
        <w:spacing w:line="480" w:lineRule="auto"/>
        <w:ind w:left="720" w:hanging="720"/>
        <w:jc w:val="both"/>
        <w:rPr>
          <w:rFonts w:eastAsiaTheme="minorEastAsia"/>
          <w:shd w:val="clear" w:color="auto" w:fill="FFFFFF"/>
        </w:rPr>
      </w:pPr>
      <w:r w:rsidRPr="00EB4D12">
        <w:rPr>
          <w:shd w:val="clear" w:color="auto" w:fill="FFFFFF"/>
        </w:rPr>
        <w:t>European Commission.</w:t>
      </w:r>
      <w:r>
        <w:rPr>
          <w:shd w:val="clear" w:color="auto" w:fill="FFFFFF"/>
        </w:rPr>
        <w:t xml:space="preserve"> </w:t>
      </w:r>
      <w:r w:rsidRPr="00217E55">
        <w:rPr>
          <w:shd w:val="clear" w:color="auto" w:fill="FFFFFF"/>
        </w:rPr>
        <w:t>(2017, Feb</w:t>
      </w:r>
      <w:r>
        <w:rPr>
          <w:shd w:val="clear" w:color="auto" w:fill="FFFFFF"/>
        </w:rPr>
        <w:t>ruary</w:t>
      </w:r>
      <w:r w:rsidRPr="00217E55">
        <w:rPr>
          <w:shd w:val="clear" w:color="auto" w:fill="FFFFFF"/>
        </w:rPr>
        <w:t xml:space="preserve"> 16).</w:t>
      </w:r>
      <w:r w:rsidRPr="00EB4D12">
        <w:rPr>
          <w:shd w:val="clear" w:color="auto" w:fill="FFFFFF"/>
        </w:rPr>
        <w:t xml:space="preserve"> EU Emissions Trading System (EU ETS). </w:t>
      </w:r>
      <w:r w:rsidRPr="00217E55">
        <w:rPr>
          <w:shd w:val="clear" w:color="auto" w:fill="FFFFFF"/>
        </w:rPr>
        <w:t>Retrueved from https://ec.europa.eu/clima/policies/ets_en</w:t>
      </w:r>
      <w:r>
        <w:rPr>
          <w:shd w:val="clear" w:color="auto" w:fill="FFFFFF"/>
        </w:rPr>
        <w:t>.</w:t>
      </w:r>
    </w:p>
    <w:p w14:paraId="45E5E779" w14:textId="4417A28E" w:rsidR="00A2313E" w:rsidRPr="003B6C5B" w:rsidRDefault="00A2313E" w:rsidP="006724D6">
      <w:pPr>
        <w:pStyle w:val="EndNoteBibliography"/>
        <w:spacing w:line="480" w:lineRule="auto"/>
        <w:ind w:left="720" w:hanging="720"/>
        <w:jc w:val="both"/>
      </w:pPr>
      <w:r w:rsidRPr="003B6C5B">
        <w:t xml:space="preserve">Ewing, B. T., &amp; Malik, F. (2005). Re-examining the asymmetric predictability of conditional variances: The role of sudden changes in variance. </w:t>
      </w:r>
      <w:r w:rsidRPr="003B6C5B">
        <w:rPr>
          <w:i/>
        </w:rPr>
        <w:t>Journal of Banking &amp; Finance, 29</w:t>
      </w:r>
      <w:r w:rsidRPr="003B6C5B">
        <w:t xml:space="preserve">(10), 2655-2673. </w:t>
      </w:r>
    </w:p>
    <w:p w14:paraId="44147924" w14:textId="150AA874" w:rsidR="00E07E83" w:rsidRPr="00B502DC" w:rsidRDefault="00CA190B" w:rsidP="009A0978">
      <w:pPr>
        <w:pStyle w:val="EndNoteBibliography"/>
        <w:spacing w:line="480" w:lineRule="auto"/>
        <w:ind w:left="720" w:hanging="720"/>
        <w:jc w:val="both"/>
        <w:rPr>
          <w:rFonts w:eastAsiaTheme="minorEastAsia"/>
          <w:shd w:val="clear" w:color="auto" w:fill="FFFFFF"/>
        </w:rPr>
      </w:pPr>
      <w:r w:rsidRPr="003B6C5B">
        <w:rPr>
          <w:shd w:val="clear" w:color="auto" w:fill="FFFFFF"/>
        </w:rPr>
        <w:lastRenderedPageBreak/>
        <w:t>Ewing, B. T., &amp; Malik, F. (2010). Estimating volatility persistence in oil prices under structural breaks. </w:t>
      </w:r>
      <w:r w:rsidRPr="003B6C5B">
        <w:rPr>
          <w:i/>
          <w:iCs/>
          <w:shd w:val="clear" w:color="auto" w:fill="FFFFFF"/>
        </w:rPr>
        <w:t>Financial Review</w:t>
      </w:r>
      <w:r w:rsidRPr="003B6C5B">
        <w:rPr>
          <w:shd w:val="clear" w:color="auto" w:fill="FFFFFF"/>
        </w:rPr>
        <w:t>, </w:t>
      </w:r>
      <w:r w:rsidRPr="003B6C5B">
        <w:rPr>
          <w:i/>
          <w:iCs/>
          <w:shd w:val="clear" w:color="auto" w:fill="FFFFFF"/>
        </w:rPr>
        <w:t>45</w:t>
      </w:r>
      <w:r w:rsidRPr="003B6C5B">
        <w:rPr>
          <w:shd w:val="clear" w:color="auto" w:fill="FFFFFF"/>
        </w:rPr>
        <w:t>(4), 1011-1023.</w:t>
      </w:r>
    </w:p>
    <w:p w14:paraId="077C321A" w14:textId="4DC81F52" w:rsidR="00A2313E" w:rsidRPr="003B6C5B" w:rsidRDefault="00A2313E" w:rsidP="006724D6">
      <w:pPr>
        <w:pStyle w:val="EndNoteBibliography"/>
        <w:spacing w:line="480" w:lineRule="auto"/>
        <w:ind w:left="720" w:hanging="720"/>
        <w:jc w:val="both"/>
      </w:pPr>
      <w:r w:rsidRPr="003B6C5B">
        <w:t xml:space="preserve">Feng, Z.-H., Zou, L.-L., &amp; Wei, Y.-M. (2011). Carbon price volatility: Evidence from EU ETS. </w:t>
      </w:r>
      <w:r w:rsidRPr="003B6C5B">
        <w:rPr>
          <w:i/>
        </w:rPr>
        <w:t>Applied Energy, 88</w:t>
      </w:r>
      <w:r w:rsidRPr="003B6C5B">
        <w:t xml:space="preserve">(3), 590-598. </w:t>
      </w:r>
    </w:p>
    <w:p w14:paraId="429AB642" w14:textId="11667A1D" w:rsidR="00A2313E" w:rsidRPr="003B6C5B" w:rsidRDefault="00A2313E" w:rsidP="006724D6">
      <w:pPr>
        <w:pStyle w:val="EndNoteBibliography"/>
        <w:spacing w:line="480" w:lineRule="auto"/>
        <w:ind w:left="720" w:hanging="720"/>
        <w:jc w:val="both"/>
      </w:pPr>
      <w:r w:rsidRPr="003B6C5B">
        <w:t xml:space="preserve">Fernandez-Perez, A., Frijns, B., Fuertes, A.-M., &amp; Miffre, J. (2018). The skewness of commodity futures returns. </w:t>
      </w:r>
      <w:r w:rsidRPr="003B6C5B">
        <w:rPr>
          <w:i/>
        </w:rPr>
        <w:t>Journal of Banking &amp; Finance, 86</w:t>
      </w:r>
      <w:r w:rsidRPr="003B6C5B">
        <w:t xml:space="preserve">, 143-158. </w:t>
      </w:r>
    </w:p>
    <w:p w14:paraId="169E77F2" w14:textId="271AC562" w:rsidR="00A2313E" w:rsidRPr="003B6C5B" w:rsidRDefault="00A2313E" w:rsidP="006724D6">
      <w:pPr>
        <w:pStyle w:val="EndNoteBibliography"/>
        <w:spacing w:line="480" w:lineRule="auto"/>
        <w:ind w:left="720" w:hanging="720"/>
        <w:jc w:val="both"/>
      </w:pPr>
      <w:r w:rsidRPr="003B6C5B">
        <w:t xml:space="preserve">Finta, M. A., &amp; Aboura, S. (2020). Risk premium spillovers among stock markets: Evidence from higher-order moments. </w:t>
      </w:r>
      <w:r w:rsidRPr="003B6C5B">
        <w:rPr>
          <w:i/>
        </w:rPr>
        <w:t>Journal of Financial Markets</w:t>
      </w:r>
      <w:r w:rsidRPr="003B6C5B">
        <w:t>, 100533.</w:t>
      </w:r>
    </w:p>
    <w:p w14:paraId="4912FBDF" w14:textId="40B47C2E" w:rsidR="00026D4B" w:rsidRPr="003B6C5B" w:rsidRDefault="00026D4B" w:rsidP="006724D6">
      <w:pPr>
        <w:pStyle w:val="EndNoteBibliography"/>
        <w:spacing w:line="480" w:lineRule="auto"/>
        <w:ind w:left="720" w:hanging="720"/>
        <w:jc w:val="both"/>
      </w:pPr>
      <w:r w:rsidRPr="003B6C5B">
        <w:rPr>
          <w:shd w:val="clear" w:color="auto" w:fill="FFFFFF"/>
        </w:rPr>
        <w:t>Geng, J. B., Chen, F. R., Ji, Q., &amp; Liu, B. Y. (2020). Network connectedness between natural gas markets, uncertainty and stock markets. </w:t>
      </w:r>
      <w:r w:rsidRPr="003B6C5B">
        <w:rPr>
          <w:i/>
          <w:iCs/>
          <w:shd w:val="clear" w:color="auto" w:fill="FFFFFF"/>
        </w:rPr>
        <w:t>Energy Economics</w:t>
      </w:r>
      <w:r w:rsidRPr="003B6C5B">
        <w:rPr>
          <w:shd w:val="clear" w:color="auto" w:fill="FFFFFF"/>
        </w:rPr>
        <w:t>, 105001.</w:t>
      </w:r>
    </w:p>
    <w:p w14:paraId="586C3802" w14:textId="0C339090" w:rsidR="00A2313E" w:rsidRPr="003B6C5B" w:rsidRDefault="00A2313E" w:rsidP="006724D6">
      <w:pPr>
        <w:pStyle w:val="EndNoteBibliography"/>
        <w:spacing w:line="480" w:lineRule="auto"/>
        <w:ind w:left="720" w:hanging="720"/>
        <w:jc w:val="both"/>
      </w:pPr>
      <w:r w:rsidRPr="003B6C5B">
        <w:t xml:space="preserve">Gil-Alana, L. A., Gupta, R., &amp; de Gracia, F. P. (2016). Modeling persistence of carbon emission allowance prices. </w:t>
      </w:r>
      <w:r w:rsidRPr="003B6C5B">
        <w:rPr>
          <w:i/>
        </w:rPr>
        <w:t>Renewable and Sustainable Energy Reviews, 55</w:t>
      </w:r>
      <w:r w:rsidRPr="003B6C5B">
        <w:t>, 221-226.</w:t>
      </w:r>
    </w:p>
    <w:p w14:paraId="404D3ECE" w14:textId="26F217DB" w:rsidR="00B873EE" w:rsidRPr="003B6C5B" w:rsidRDefault="00B873EE" w:rsidP="006724D6">
      <w:pPr>
        <w:pStyle w:val="EndNoteBibliography"/>
        <w:spacing w:line="480" w:lineRule="auto"/>
        <w:ind w:left="720" w:hanging="720"/>
        <w:jc w:val="both"/>
      </w:pPr>
      <w:r w:rsidRPr="003B6C5B">
        <w:rPr>
          <w:shd w:val="clear" w:color="auto" w:fill="FFFFFF"/>
        </w:rPr>
        <w:t>Harvey, C. R., Liechty, J. C., Liechty, M. W., &amp; Müller, P. (2010). Portfolio selection with higher moments. </w:t>
      </w:r>
      <w:r w:rsidRPr="003B6C5B">
        <w:rPr>
          <w:i/>
          <w:iCs/>
          <w:shd w:val="clear" w:color="auto" w:fill="FFFFFF"/>
        </w:rPr>
        <w:t>Quantitative Finance</w:t>
      </w:r>
      <w:r w:rsidRPr="003B6C5B">
        <w:rPr>
          <w:shd w:val="clear" w:color="auto" w:fill="FFFFFF"/>
        </w:rPr>
        <w:t>, </w:t>
      </w:r>
      <w:r w:rsidRPr="003B6C5B">
        <w:rPr>
          <w:i/>
          <w:iCs/>
          <w:shd w:val="clear" w:color="auto" w:fill="FFFFFF"/>
        </w:rPr>
        <w:t>10</w:t>
      </w:r>
      <w:r w:rsidRPr="003B6C5B">
        <w:rPr>
          <w:shd w:val="clear" w:color="auto" w:fill="FFFFFF"/>
        </w:rPr>
        <w:t>(5), 469-485.</w:t>
      </w:r>
    </w:p>
    <w:p w14:paraId="67F15C91" w14:textId="64F61286" w:rsidR="00AE031E" w:rsidRPr="003B6C5B" w:rsidRDefault="00AE031E" w:rsidP="006724D6">
      <w:pPr>
        <w:pStyle w:val="EndNoteBibliography"/>
        <w:spacing w:line="480" w:lineRule="auto"/>
        <w:ind w:left="720" w:hanging="720"/>
        <w:jc w:val="both"/>
      </w:pPr>
      <w:r w:rsidRPr="003B6C5B">
        <w:rPr>
          <w:shd w:val="clear" w:color="auto" w:fill="FFFFFF"/>
        </w:rPr>
        <w:t>Hammoudeh, S., Nguyen, D. K., &amp; Sousa, R. M. (2014). Energy prices and CO2 emission allowance prices: A quantile regression approach. </w:t>
      </w:r>
      <w:r w:rsidRPr="003B6C5B">
        <w:rPr>
          <w:i/>
          <w:iCs/>
          <w:shd w:val="clear" w:color="auto" w:fill="FFFFFF"/>
        </w:rPr>
        <w:t>Energy Policy</w:t>
      </w:r>
      <w:r w:rsidRPr="003B6C5B">
        <w:rPr>
          <w:shd w:val="clear" w:color="auto" w:fill="FFFFFF"/>
        </w:rPr>
        <w:t>, </w:t>
      </w:r>
      <w:r w:rsidRPr="003B6C5B">
        <w:rPr>
          <w:i/>
          <w:iCs/>
          <w:shd w:val="clear" w:color="auto" w:fill="FFFFFF"/>
        </w:rPr>
        <w:t>70</w:t>
      </w:r>
      <w:r w:rsidRPr="003B6C5B">
        <w:rPr>
          <w:shd w:val="clear" w:color="auto" w:fill="FFFFFF"/>
        </w:rPr>
        <w:t>, 201-206.</w:t>
      </w:r>
    </w:p>
    <w:p w14:paraId="7F38F730" w14:textId="15F8ADD9" w:rsidR="00A2313E" w:rsidRPr="003B6C5B" w:rsidRDefault="00A2313E" w:rsidP="006724D6">
      <w:pPr>
        <w:pStyle w:val="EndNoteBibliography"/>
        <w:spacing w:line="480" w:lineRule="auto"/>
        <w:ind w:left="720" w:hanging="720"/>
        <w:jc w:val="both"/>
      </w:pPr>
      <w:r w:rsidRPr="003B6C5B">
        <w:t xml:space="preserve">Hammoudeh, S., Lahiani, A., Nguyen, D. K., &amp; Sousa, R. M. (2015). An empirical analysis of energy cost pass-through to CO2 emission prices. </w:t>
      </w:r>
      <w:r w:rsidRPr="003B6C5B">
        <w:rPr>
          <w:i/>
        </w:rPr>
        <w:t>Energy Economics, 49</w:t>
      </w:r>
      <w:r w:rsidRPr="003B6C5B">
        <w:t>, 149-156.</w:t>
      </w:r>
    </w:p>
    <w:p w14:paraId="00321655" w14:textId="4B63D4DE" w:rsidR="00511315" w:rsidRPr="003B6C5B" w:rsidRDefault="00511315" w:rsidP="006724D6">
      <w:pPr>
        <w:pStyle w:val="EndNoteBibliography"/>
        <w:spacing w:line="480" w:lineRule="auto"/>
        <w:ind w:left="720" w:hanging="720"/>
        <w:jc w:val="both"/>
      </w:pPr>
      <w:r w:rsidRPr="003B6C5B">
        <w:rPr>
          <w:shd w:val="clear" w:color="auto" w:fill="FFFFFF"/>
        </w:rPr>
        <w:t>Hammoudeh, S., Nguyen, D. K., &amp; Sousa, R. M. (2014). What explain the short-term dynamics of the prices of CO2 emissions?. </w:t>
      </w:r>
      <w:r w:rsidRPr="003B6C5B">
        <w:rPr>
          <w:i/>
          <w:iCs/>
          <w:shd w:val="clear" w:color="auto" w:fill="FFFFFF"/>
        </w:rPr>
        <w:t>Energy Economics</w:t>
      </w:r>
      <w:r w:rsidRPr="003B6C5B">
        <w:rPr>
          <w:shd w:val="clear" w:color="auto" w:fill="FFFFFF"/>
        </w:rPr>
        <w:t>, </w:t>
      </w:r>
      <w:r w:rsidRPr="003B6C5B">
        <w:rPr>
          <w:i/>
          <w:iCs/>
          <w:shd w:val="clear" w:color="auto" w:fill="FFFFFF"/>
        </w:rPr>
        <w:t>46</w:t>
      </w:r>
      <w:r w:rsidRPr="003B6C5B">
        <w:rPr>
          <w:shd w:val="clear" w:color="auto" w:fill="FFFFFF"/>
        </w:rPr>
        <w:t>, 122-135.</w:t>
      </w:r>
    </w:p>
    <w:p w14:paraId="13EE8E0D" w14:textId="1FD6E43E" w:rsidR="000179E3" w:rsidRPr="003B6C5B" w:rsidRDefault="000179E3" w:rsidP="006724D6">
      <w:pPr>
        <w:pStyle w:val="EndNoteBibliography"/>
        <w:spacing w:line="480" w:lineRule="auto"/>
        <w:ind w:left="720" w:hanging="720"/>
        <w:jc w:val="both"/>
      </w:pPr>
      <w:r w:rsidRPr="003B6C5B">
        <w:rPr>
          <w:shd w:val="clear" w:color="auto" w:fill="FFFFFF"/>
        </w:rPr>
        <w:lastRenderedPageBreak/>
        <w:t>Hepburn, C., Neuhoff, K., Acworth, W., Burtraw, D., &amp; Jotzo, F. (2016). The economics of the EU ETS market stability reserve. </w:t>
      </w:r>
      <w:r w:rsidRPr="003B6C5B">
        <w:rPr>
          <w:i/>
          <w:iCs/>
          <w:shd w:val="clear" w:color="auto" w:fill="FFFFFF"/>
        </w:rPr>
        <w:t>Journal of Environmental Economics and Management</w:t>
      </w:r>
      <w:r w:rsidRPr="003B6C5B">
        <w:rPr>
          <w:shd w:val="clear" w:color="auto" w:fill="FFFFFF"/>
        </w:rPr>
        <w:t>, </w:t>
      </w:r>
      <w:r w:rsidRPr="003B6C5B">
        <w:rPr>
          <w:i/>
          <w:iCs/>
          <w:shd w:val="clear" w:color="auto" w:fill="FFFFFF"/>
        </w:rPr>
        <w:t>100</w:t>
      </w:r>
      <w:r w:rsidRPr="003B6C5B">
        <w:rPr>
          <w:shd w:val="clear" w:color="auto" w:fill="FFFFFF"/>
        </w:rPr>
        <w:t>(80), 1-5.</w:t>
      </w:r>
    </w:p>
    <w:p w14:paraId="476FD6C3" w14:textId="335F51D9" w:rsidR="00A2313E" w:rsidRPr="003B6C5B" w:rsidRDefault="00A2313E" w:rsidP="006724D6">
      <w:pPr>
        <w:pStyle w:val="EndNoteBibliography"/>
        <w:spacing w:line="480" w:lineRule="auto"/>
        <w:ind w:left="720" w:hanging="720"/>
        <w:jc w:val="both"/>
      </w:pPr>
      <w:r w:rsidRPr="003B6C5B">
        <w:t xml:space="preserve">Hintermann, B. (2010). Allowance price drivers in the first phase of the EU ETS. </w:t>
      </w:r>
      <w:r w:rsidRPr="003B6C5B">
        <w:rPr>
          <w:i/>
        </w:rPr>
        <w:t>Journal of Environmental Economics and Management, 59</w:t>
      </w:r>
      <w:r w:rsidRPr="003B6C5B">
        <w:t>(1), 43-56.</w:t>
      </w:r>
    </w:p>
    <w:p w14:paraId="6AD3AEAC" w14:textId="066B93CC" w:rsidR="00AE403E" w:rsidRDefault="00AE403E" w:rsidP="006724D6">
      <w:pPr>
        <w:pStyle w:val="EndNoteBibliography"/>
        <w:spacing w:line="480" w:lineRule="auto"/>
        <w:ind w:left="720" w:hanging="720"/>
        <w:jc w:val="both"/>
        <w:rPr>
          <w:shd w:val="clear" w:color="auto" w:fill="FFFFFF"/>
        </w:rPr>
      </w:pPr>
      <w:r w:rsidRPr="003B6C5B">
        <w:rPr>
          <w:shd w:val="clear" w:color="auto" w:fill="FFFFFF"/>
        </w:rPr>
        <w:t>Hintermayer, M. (2020). A carbon price floor in the reformed EU ETS: Design matters!. </w:t>
      </w:r>
      <w:r w:rsidRPr="003B6C5B">
        <w:rPr>
          <w:i/>
          <w:iCs/>
          <w:shd w:val="clear" w:color="auto" w:fill="FFFFFF"/>
        </w:rPr>
        <w:t>Energy Policy</w:t>
      </w:r>
      <w:r w:rsidRPr="003B6C5B">
        <w:rPr>
          <w:shd w:val="clear" w:color="auto" w:fill="FFFFFF"/>
        </w:rPr>
        <w:t>, </w:t>
      </w:r>
      <w:r w:rsidRPr="003B6C5B">
        <w:rPr>
          <w:i/>
          <w:iCs/>
          <w:shd w:val="clear" w:color="auto" w:fill="FFFFFF"/>
        </w:rPr>
        <w:t>147</w:t>
      </w:r>
      <w:r w:rsidRPr="003B6C5B">
        <w:rPr>
          <w:shd w:val="clear" w:color="auto" w:fill="FFFFFF"/>
        </w:rPr>
        <w:t>, 111905.</w:t>
      </w:r>
    </w:p>
    <w:p w14:paraId="6811B3DA" w14:textId="239E2DF4" w:rsidR="005E0746" w:rsidRPr="00C75BC2" w:rsidRDefault="005E0746" w:rsidP="006724D6">
      <w:pPr>
        <w:pStyle w:val="EndNoteBibliography"/>
        <w:spacing w:line="480" w:lineRule="auto"/>
        <w:ind w:left="720" w:hanging="720"/>
        <w:jc w:val="both"/>
        <w:rPr>
          <w:shd w:val="clear" w:color="auto" w:fill="FFFFFF"/>
        </w:rPr>
      </w:pPr>
      <w:r w:rsidRPr="00B502DC">
        <w:rPr>
          <w:color w:val="222222"/>
          <w:shd w:val="clear" w:color="auto" w:fill="FFFFFF"/>
        </w:rPr>
        <w:t>Hobbie, H., Schmidt, M., &amp; Möst, D. (2019). Windfall profits in the power sector during phase III of the EU ETS: Interplay and effects of renewables and carbon prices. </w:t>
      </w:r>
      <w:r w:rsidRPr="00B502DC">
        <w:rPr>
          <w:i/>
          <w:iCs/>
          <w:color w:val="222222"/>
          <w:shd w:val="clear" w:color="auto" w:fill="FFFFFF"/>
        </w:rPr>
        <w:t>Journal of Cleaner Production</w:t>
      </w:r>
      <w:r w:rsidRPr="00B502DC">
        <w:rPr>
          <w:color w:val="222222"/>
          <w:shd w:val="clear" w:color="auto" w:fill="FFFFFF"/>
        </w:rPr>
        <w:t>, </w:t>
      </w:r>
      <w:r w:rsidRPr="00B502DC">
        <w:rPr>
          <w:i/>
          <w:iCs/>
          <w:color w:val="222222"/>
          <w:shd w:val="clear" w:color="auto" w:fill="FFFFFF"/>
        </w:rPr>
        <w:t>240</w:t>
      </w:r>
      <w:r w:rsidRPr="00B502DC">
        <w:rPr>
          <w:color w:val="222222"/>
          <w:shd w:val="clear" w:color="auto" w:fill="FFFFFF"/>
        </w:rPr>
        <w:t>, 118066.</w:t>
      </w:r>
    </w:p>
    <w:p w14:paraId="6192EB75" w14:textId="0891353E" w:rsidR="00A80831" w:rsidRPr="003B6C5B" w:rsidRDefault="00A80831" w:rsidP="006724D6">
      <w:pPr>
        <w:pStyle w:val="EndNoteBibliography"/>
        <w:spacing w:line="480" w:lineRule="auto"/>
        <w:ind w:left="720" w:hanging="720"/>
        <w:jc w:val="both"/>
      </w:pPr>
      <w:r w:rsidRPr="003B6C5B">
        <w:rPr>
          <w:shd w:val="clear" w:color="auto" w:fill="FFFFFF"/>
        </w:rPr>
        <w:t>Hu, M., Zhang, D., Ji, Q., &amp; Wei, L. (2020). Macro factors and the realized volatility of commodities: a dynamic network analysis. </w:t>
      </w:r>
      <w:r w:rsidRPr="003B6C5B">
        <w:rPr>
          <w:i/>
          <w:iCs/>
          <w:shd w:val="clear" w:color="auto" w:fill="FFFFFF"/>
        </w:rPr>
        <w:t>Resources Policy</w:t>
      </w:r>
      <w:r w:rsidRPr="003B6C5B">
        <w:rPr>
          <w:shd w:val="clear" w:color="auto" w:fill="FFFFFF"/>
        </w:rPr>
        <w:t>, </w:t>
      </w:r>
      <w:r w:rsidRPr="003B6C5B">
        <w:rPr>
          <w:i/>
          <w:iCs/>
          <w:shd w:val="clear" w:color="auto" w:fill="FFFFFF"/>
        </w:rPr>
        <w:t>68</w:t>
      </w:r>
      <w:r w:rsidRPr="003B6C5B">
        <w:rPr>
          <w:shd w:val="clear" w:color="auto" w:fill="FFFFFF"/>
        </w:rPr>
        <w:t>, 101813.</w:t>
      </w:r>
    </w:p>
    <w:p w14:paraId="2E32BDD2" w14:textId="1721A0BF" w:rsidR="005E0746" w:rsidRPr="00B502DC" w:rsidRDefault="00391FA7" w:rsidP="00C75BC2">
      <w:pPr>
        <w:pStyle w:val="EndNoteBibliography"/>
        <w:spacing w:line="480" w:lineRule="auto"/>
        <w:ind w:left="720" w:hanging="720"/>
        <w:jc w:val="both"/>
        <w:rPr>
          <w:rFonts w:eastAsiaTheme="minorEastAsia"/>
          <w:shd w:val="clear" w:color="auto" w:fill="FFFFFF"/>
        </w:rPr>
      </w:pPr>
      <w:r w:rsidRPr="003B6C5B">
        <w:rPr>
          <w:shd w:val="clear" w:color="auto" w:fill="FFFFFF"/>
        </w:rPr>
        <w:t>Huang, Y., Dai, X., Wang, Q., &amp; Zhou, D. (2021). A hybrid model for carbon price forecasting using GARCH and long short-term memory network. </w:t>
      </w:r>
      <w:r w:rsidRPr="003B6C5B">
        <w:rPr>
          <w:i/>
          <w:iCs/>
          <w:shd w:val="clear" w:color="auto" w:fill="FFFFFF"/>
        </w:rPr>
        <w:t>Applied Energy</w:t>
      </w:r>
      <w:r w:rsidRPr="003B6C5B">
        <w:rPr>
          <w:shd w:val="clear" w:color="auto" w:fill="FFFFFF"/>
        </w:rPr>
        <w:t>, </w:t>
      </w:r>
      <w:r w:rsidRPr="003B6C5B">
        <w:rPr>
          <w:i/>
          <w:iCs/>
          <w:shd w:val="clear" w:color="auto" w:fill="FFFFFF"/>
        </w:rPr>
        <w:t>285</w:t>
      </w:r>
      <w:r w:rsidRPr="003B6C5B">
        <w:rPr>
          <w:shd w:val="clear" w:color="auto" w:fill="FFFFFF"/>
        </w:rPr>
        <w:t>, 116485.</w:t>
      </w:r>
    </w:p>
    <w:p w14:paraId="08CB2CA5" w14:textId="6DA85E4B" w:rsidR="00781752" w:rsidRDefault="00781752">
      <w:pPr>
        <w:pStyle w:val="EndNoteBibliography"/>
        <w:wordWrap w:val="0"/>
        <w:spacing w:line="480" w:lineRule="auto"/>
        <w:ind w:left="720" w:hanging="720"/>
        <w:jc w:val="both"/>
      </w:pPr>
      <w:r>
        <w:t xml:space="preserve">International Carbon Action Partnership. (n.d.). </w:t>
      </w:r>
      <w:r w:rsidRPr="00B502DC">
        <w:t>Allocation</w:t>
      </w:r>
      <w:r>
        <w:t>. Retrieved March</w:t>
      </w:r>
      <w:r w:rsidRPr="00781752">
        <w:t xml:space="preserve"> 9, 2020, </w:t>
      </w:r>
      <w:r>
        <w:t xml:space="preserve">from </w:t>
      </w:r>
      <w:hyperlink r:id="rId14" w:history="1">
        <w:r w:rsidRPr="00781752">
          <w:rPr>
            <w:rStyle w:val="Hyperlink"/>
          </w:rPr>
          <w:t>https://icapcarbonaction.com/en/allocation</w:t>
        </w:r>
      </w:hyperlink>
      <w:r>
        <w:t xml:space="preserve">. </w:t>
      </w:r>
    </w:p>
    <w:p w14:paraId="6F3642DA" w14:textId="1AEEFEF8" w:rsidR="00475786" w:rsidRPr="00B502DC" w:rsidRDefault="00475786" w:rsidP="00B502DC">
      <w:pPr>
        <w:pStyle w:val="EndNoteBibliography"/>
        <w:wordWrap w:val="0"/>
        <w:spacing w:line="480" w:lineRule="auto"/>
        <w:ind w:left="720" w:hanging="720"/>
        <w:jc w:val="both"/>
        <w:rPr>
          <w:rFonts w:eastAsiaTheme="minorEastAsia"/>
        </w:rPr>
      </w:pPr>
      <w:r w:rsidRPr="00B502DC">
        <w:t>Intercontinental Exchange.</w:t>
      </w:r>
      <w:r w:rsidRPr="00475786">
        <w:t xml:space="preserve"> </w:t>
      </w:r>
      <w:r>
        <w:t>(n.d.).</w:t>
      </w:r>
      <w:r w:rsidRPr="00B502DC">
        <w:t xml:space="preserve"> EUA Futures.</w:t>
      </w:r>
      <w:r>
        <w:t xml:space="preserve"> Retrieved March</w:t>
      </w:r>
      <w:r w:rsidRPr="00781752">
        <w:t xml:space="preserve"> 9, 2020, </w:t>
      </w:r>
      <w:r>
        <w:t>from</w:t>
      </w:r>
      <w:r w:rsidRPr="00475786">
        <w:t xml:space="preserve"> </w:t>
      </w:r>
      <w:hyperlink r:id="rId15" w:history="1">
        <w:r w:rsidRPr="00475786">
          <w:rPr>
            <w:rStyle w:val="Hyperlink"/>
          </w:rPr>
          <w:t>https://www.theice.com/products/197/EUA-Futures</w:t>
        </w:r>
      </w:hyperlink>
      <w:r>
        <w:rPr>
          <w:rFonts w:ascii="SimSun" w:eastAsia="SimSun" w:hAnsi="SimSun" w:cs="SimSun" w:hint="eastAsia"/>
        </w:rPr>
        <w:t>.</w:t>
      </w:r>
      <w:r w:rsidRPr="00B502DC">
        <w:t xml:space="preserve"> </w:t>
      </w:r>
    </w:p>
    <w:p w14:paraId="22132018" w14:textId="23F86AC5" w:rsidR="004F636C" w:rsidRPr="00B502DC" w:rsidRDefault="00E07E83" w:rsidP="00B502DC">
      <w:pPr>
        <w:pStyle w:val="EndNoteBibliography"/>
        <w:wordWrap w:val="0"/>
        <w:spacing w:line="480" w:lineRule="auto"/>
        <w:ind w:left="720" w:hanging="720"/>
        <w:jc w:val="both"/>
        <w:rPr>
          <w:rFonts w:ascii="SimSun" w:eastAsia="SimSun" w:hAnsi="SimSun" w:cs="SimSun"/>
        </w:rPr>
      </w:pPr>
      <w:r w:rsidRPr="00E733DF">
        <w:t>International Energy Agency</w:t>
      </w:r>
      <w:r>
        <w:t>.</w:t>
      </w:r>
      <w:r w:rsidRPr="006657D2">
        <w:t xml:space="preserve"> (2020)</w:t>
      </w:r>
      <w:r>
        <w:t>.</w:t>
      </w:r>
      <w:r w:rsidRPr="006657D2">
        <w:t xml:space="preserve"> Implementing Effective Emissions Trading Systems, IEA, Paris</w:t>
      </w:r>
      <w:r>
        <w:t>. Retrieved from</w:t>
      </w:r>
      <w:r w:rsidRPr="006657D2">
        <w:t xml:space="preserve"> </w:t>
      </w:r>
      <w:hyperlink r:id="rId16" w:history="1">
        <w:r w:rsidR="004F636C" w:rsidRPr="002C1CD4">
          <w:rPr>
            <w:rStyle w:val="Hyperlink"/>
          </w:rPr>
          <w:t>https://www.iea.org/reports/implementing-effective-emissions-trading-systems</w:t>
        </w:r>
      </w:hyperlink>
      <w:r>
        <w:rPr>
          <w:rFonts w:ascii="SimSun" w:eastAsia="SimSun" w:hAnsi="SimSun" w:cs="SimSun" w:hint="eastAsia"/>
        </w:rPr>
        <w:t>.</w:t>
      </w:r>
    </w:p>
    <w:p w14:paraId="3A28414F" w14:textId="2584DE5C" w:rsidR="00F85B31" w:rsidRPr="00F85B31" w:rsidRDefault="00272FD9" w:rsidP="00F85B31">
      <w:pPr>
        <w:pStyle w:val="EndNoteBibliography"/>
        <w:spacing w:line="480" w:lineRule="auto"/>
        <w:ind w:left="720" w:hanging="720"/>
        <w:jc w:val="both"/>
        <w:rPr>
          <w:rFonts w:eastAsiaTheme="minorEastAsia"/>
        </w:rPr>
      </w:pPr>
      <w:r w:rsidRPr="003B6C5B">
        <w:rPr>
          <w:shd w:val="clear" w:color="auto" w:fill="FFFFFF"/>
        </w:rPr>
        <w:t>Ji, Q., Zhang, D., &amp; Geng, J. B. (2018). Information linkage, dynamic spillovers in prices and volatility between the carbon and energy markets. </w:t>
      </w:r>
      <w:r w:rsidRPr="003B6C5B">
        <w:rPr>
          <w:i/>
          <w:iCs/>
          <w:shd w:val="clear" w:color="auto" w:fill="FFFFFF"/>
        </w:rPr>
        <w:t>Journal of Cleaner Production</w:t>
      </w:r>
      <w:r w:rsidRPr="003B6C5B">
        <w:rPr>
          <w:shd w:val="clear" w:color="auto" w:fill="FFFFFF"/>
        </w:rPr>
        <w:t>, </w:t>
      </w:r>
      <w:r w:rsidRPr="003B6C5B">
        <w:rPr>
          <w:i/>
          <w:iCs/>
          <w:shd w:val="clear" w:color="auto" w:fill="FFFFFF"/>
        </w:rPr>
        <w:t>198</w:t>
      </w:r>
      <w:r w:rsidRPr="003B6C5B">
        <w:rPr>
          <w:shd w:val="clear" w:color="auto" w:fill="FFFFFF"/>
        </w:rPr>
        <w:t>, 972-978.</w:t>
      </w:r>
      <w:r w:rsidRPr="003B6C5B">
        <w:t xml:space="preserve"> </w:t>
      </w:r>
    </w:p>
    <w:p w14:paraId="12A3E97D" w14:textId="027825BC" w:rsidR="00A2313E" w:rsidRDefault="00A2313E" w:rsidP="006724D6">
      <w:pPr>
        <w:pStyle w:val="EndNoteBibliography"/>
        <w:spacing w:line="480" w:lineRule="auto"/>
        <w:ind w:left="720" w:hanging="720"/>
        <w:jc w:val="both"/>
      </w:pPr>
      <w:r w:rsidRPr="003B6C5B">
        <w:t xml:space="preserve">Keppler, J. H., &amp; Mansanet-Bataller, M. (2010). Causalities between CO2, electricity, and other energy variables during phase I and phase II of the EU ETS. </w:t>
      </w:r>
      <w:r w:rsidRPr="003B6C5B">
        <w:rPr>
          <w:i/>
        </w:rPr>
        <w:t>Energy Policy, 38</w:t>
      </w:r>
      <w:r w:rsidRPr="003B6C5B">
        <w:t>(7), 3329-3341.</w:t>
      </w:r>
    </w:p>
    <w:p w14:paraId="564C4814" w14:textId="6662AC71" w:rsidR="00F85B31" w:rsidRPr="00F85B31" w:rsidRDefault="00F85B31" w:rsidP="006724D6">
      <w:pPr>
        <w:pStyle w:val="EndNoteBibliography"/>
        <w:spacing w:line="480" w:lineRule="auto"/>
        <w:ind w:left="720" w:hanging="720"/>
        <w:jc w:val="both"/>
      </w:pPr>
      <w:r w:rsidRPr="00F85B31">
        <w:rPr>
          <w:color w:val="222222"/>
          <w:shd w:val="clear" w:color="auto" w:fill="FFFFFF"/>
        </w:rPr>
        <w:t>Kollenberg, S., &amp; Taschini, L. (2016). Emissions trading systems with cap adjustments. </w:t>
      </w:r>
      <w:r w:rsidRPr="00F85B31">
        <w:rPr>
          <w:i/>
          <w:iCs/>
          <w:color w:val="222222"/>
          <w:shd w:val="clear" w:color="auto" w:fill="FFFFFF"/>
        </w:rPr>
        <w:t>Journal of Environmental Economics and Management</w:t>
      </w:r>
      <w:r w:rsidRPr="00F85B31">
        <w:rPr>
          <w:color w:val="222222"/>
          <w:shd w:val="clear" w:color="auto" w:fill="FFFFFF"/>
        </w:rPr>
        <w:t>, </w:t>
      </w:r>
      <w:r w:rsidRPr="00F85B31">
        <w:rPr>
          <w:i/>
          <w:iCs/>
          <w:color w:val="222222"/>
          <w:shd w:val="clear" w:color="auto" w:fill="FFFFFF"/>
        </w:rPr>
        <w:t>80</w:t>
      </w:r>
      <w:r w:rsidRPr="00F85B31">
        <w:rPr>
          <w:color w:val="222222"/>
          <w:shd w:val="clear" w:color="auto" w:fill="FFFFFF"/>
        </w:rPr>
        <w:t>, 20-36.</w:t>
      </w:r>
    </w:p>
    <w:p w14:paraId="41418590" w14:textId="7565D819" w:rsidR="00511315" w:rsidRDefault="00A92214" w:rsidP="006724D6">
      <w:pPr>
        <w:pStyle w:val="EndNoteBibliography"/>
        <w:spacing w:line="480" w:lineRule="auto"/>
        <w:ind w:left="720" w:hanging="720"/>
        <w:jc w:val="both"/>
        <w:rPr>
          <w:shd w:val="clear" w:color="auto" w:fill="FFFFFF"/>
        </w:rPr>
      </w:pPr>
      <w:r w:rsidRPr="003B6C5B">
        <w:rPr>
          <w:shd w:val="clear" w:color="auto" w:fill="FFFFFF"/>
        </w:rPr>
        <w:t>Lai, K. K., Yu, L., &amp; Wang, S. (2006, June). Mean-variance-skewness-kurtosis-based portfolio optimization. In </w:t>
      </w:r>
      <w:r w:rsidRPr="003B6C5B">
        <w:rPr>
          <w:i/>
          <w:iCs/>
          <w:shd w:val="clear" w:color="auto" w:fill="FFFFFF"/>
        </w:rPr>
        <w:t>First International Multi-Symposiums on Computer and Computational Sciences (IMSCCS'06)</w:t>
      </w:r>
      <w:r w:rsidRPr="003B6C5B">
        <w:rPr>
          <w:shd w:val="clear" w:color="auto" w:fill="FFFFFF"/>
        </w:rPr>
        <w:t> (Vol. 2, pp. 292-297). IEEE.</w:t>
      </w:r>
    </w:p>
    <w:p w14:paraId="5F203EC7" w14:textId="7646A871" w:rsidR="00C75BC2" w:rsidRPr="00C75BC2" w:rsidRDefault="00C75BC2" w:rsidP="006724D6">
      <w:pPr>
        <w:pStyle w:val="EndNoteBibliography"/>
        <w:spacing w:line="480" w:lineRule="auto"/>
        <w:ind w:left="720" w:hanging="720"/>
        <w:jc w:val="both"/>
        <w:rPr>
          <w:shd w:val="clear" w:color="auto" w:fill="FFFFFF"/>
        </w:rPr>
      </w:pPr>
      <w:r w:rsidRPr="00B502DC">
        <w:rPr>
          <w:color w:val="222222"/>
          <w:shd w:val="clear" w:color="auto" w:fill="FFFFFF"/>
        </w:rPr>
        <w:t>Langlois, H. (2020). Measuring skewness premia. </w:t>
      </w:r>
      <w:r w:rsidRPr="00B502DC">
        <w:rPr>
          <w:i/>
          <w:iCs/>
          <w:color w:val="222222"/>
          <w:shd w:val="clear" w:color="auto" w:fill="FFFFFF"/>
        </w:rPr>
        <w:t>Journal of Financial Economics</w:t>
      </w:r>
      <w:r w:rsidRPr="00B502DC">
        <w:rPr>
          <w:color w:val="222222"/>
          <w:shd w:val="clear" w:color="auto" w:fill="FFFFFF"/>
        </w:rPr>
        <w:t>, </w:t>
      </w:r>
      <w:r w:rsidRPr="00B502DC">
        <w:rPr>
          <w:i/>
          <w:iCs/>
          <w:color w:val="222222"/>
          <w:shd w:val="clear" w:color="auto" w:fill="FFFFFF"/>
        </w:rPr>
        <w:t>135</w:t>
      </w:r>
      <w:r w:rsidRPr="00B502DC">
        <w:rPr>
          <w:color w:val="222222"/>
          <w:shd w:val="clear" w:color="auto" w:fill="FFFFFF"/>
        </w:rPr>
        <w:t>(2), 399-424.</w:t>
      </w:r>
    </w:p>
    <w:p w14:paraId="1F36FF86" w14:textId="3C69AD80" w:rsidR="00A2313E" w:rsidRPr="003B6C5B" w:rsidRDefault="00A2313E" w:rsidP="006724D6">
      <w:pPr>
        <w:pStyle w:val="EndNoteBibliography"/>
        <w:spacing w:line="480" w:lineRule="auto"/>
        <w:ind w:left="720" w:hanging="720"/>
        <w:jc w:val="both"/>
      </w:pPr>
      <w:r w:rsidRPr="003B6C5B">
        <w:t xml:space="preserve">Lau, M. C. K., Vigne, S. A., Wang, S., &amp; Yarovaya, L. (2017). Return spillovers between white precious metal ETFs: The role of oil, gold, and global equity. </w:t>
      </w:r>
      <w:r w:rsidRPr="003B6C5B">
        <w:rPr>
          <w:i/>
        </w:rPr>
        <w:t>International Review of Financial Analysis, 52</w:t>
      </w:r>
      <w:r w:rsidRPr="003B6C5B">
        <w:t xml:space="preserve">, 316-332. </w:t>
      </w:r>
    </w:p>
    <w:p w14:paraId="1BF57A12" w14:textId="417141AD" w:rsidR="00A2313E" w:rsidRPr="003B6C5B" w:rsidRDefault="00A2313E" w:rsidP="006724D6">
      <w:pPr>
        <w:pStyle w:val="EndNoteBibliography"/>
        <w:spacing w:line="480" w:lineRule="auto"/>
        <w:ind w:left="720" w:hanging="720"/>
        <w:jc w:val="both"/>
      </w:pPr>
      <w:r w:rsidRPr="003B6C5B">
        <w:t xml:space="preserve">Lutz, B. J., Pigorsch, U., &amp; Rotfuß, W. (2013). Nonlinearity in cap-and-trade systems: The EUA price and its fundamentals. </w:t>
      </w:r>
      <w:r w:rsidRPr="003B6C5B">
        <w:rPr>
          <w:i/>
        </w:rPr>
        <w:t>Energy Economics, 40</w:t>
      </w:r>
      <w:r w:rsidRPr="003B6C5B">
        <w:t xml:space="preserve">, 222-232. </w:t>
      </w:r>
    </w:p>
    <w:p w14:paraId="30F15EE4" w14:textId="50C4B21C" w:rsidR="00910B54" w:rsidRPr="003B6C5B" w:rsidRDefault="00910B54" w:rsidP="006724D6">
      <w:pPr>
        <w:pStyle w:val="EndNoteBibliography"/>
        <w:spacing w:line="480" w:lineRule="auto"/>
        <w:ind w:left="720" w:hanging="720"/>
        <w:jc w:val="both"/>
        <w:rPr>
          <w:shd w:val="clear" w:color="auto" w:fill="FFFFFF"/>
        </w:rPr>
      </w:pPr>
      <w:r w:rsidRPr="003B6C5B">
        <w:rPr>
          <w:shd w:val="clear" w:color="auto" w:fill="FFFFFF"/>
        </w:rPr>
        <w:t>Luo, C., &amp; Wu, D. (2016). Environment and economic risk: An analysis of carbon emission market and portfolio management. </w:t>
      </w:r>
      <w:r w:rsidRPr="003B6C5B">
        <w:rPr>
          <w:i/>
          <w:iCs/>
          <w:shd w:val="clear" w:color="auto" w:fill="FFFFFF"/>
        </w:rPr>
        <w:t>Environmental research</w:t>
      </w:r>
      <w:r w:rsidRPr="003B6C5B">
        <w:rPr>
          <w:shd w:val="clear" w:color="auto" w:fill="FFFFFF"/>
        </w:rPr>
        <w:t>, </w:t>
      </w:r>
      <w:r w:rsidRPr="003B6C5B">
        <w:rPr>
          <w:i/>
          <w:iCs/>
          <w:shd w:val="clear" w:color="auto" w:fill="FFFFFF"/>
        </w:rPr>
        <w:t>149</w:t>
      </w:r>
      <w:r w:rsidRPr="003B6C5B">
        <w:rPr>
          <w:shd w:val="clear" w:color="auto" w:fill="FFFFFF"/>
        </w:rPr>
        <w:t>, 297-301.</w:t>
      </w:r>
    </w:p>
    <w:p w14:paraId="24F1AD2C" w14:textId="0E850404" w:rsidR="00CD08D7" w:rsidRPr="003B6C5B" w:rsidRDefault="00CD08D7" w:rsidP="006724D6">
      <w:pPr>
        <w:pStyle w:val="EndNoteBibliography"/>
        <w:spacing w:line="480" w:lineRule="auto"/>
        <w:ind w:left="720" w:hanging="720"/>
        <w:jc w:val="both"/>
      </w:pPr>
      <w:r w:rsidRPr="003B6C5B">
        <w:t>Ma, Y. R. , Ji, Q. , Wu, F. , &amp; Pan, J. (2021). Financialization, idiosyncratic information and commodity co-movements.</w:t>
      </w:r>
      <w:r w:rsidRPr="003B6C5B">
        <w:rPr>
          <w:i/>
          <w:iCs/>
        </w:rPr>
        <w:t xml:space="preserve"> Energy Economics</w:t>
      </w:r>
      <w:r w:rsidRPr="003B6C5B">
        <w:t>, 94, 105083.</w:t>
      </w:r>
    </w:p>
    <w:p w14:paraId="3358B578" w14:textId="7259624B" w:rsidR="00A2313E" w:rsidRPr="003B6C5B" w:rsidRDefault="00F34C42" w:rsidP="006724D6">
      <w:pPr>
        <w:pStyle w:val="EndNoteBibliography"/>
        <w:spacing w:line="480" w:lineRule="auto"/>
        <w:ind w:left="720" w:hanging="720"/>
        <w:jc w:val="both"/>
      </w:pPr>
      <w:r w:rsidRPr="003B6C5B">
        <w:rPr>
          <w:shd w:val="clear" w:color="auto" w:fill="FFFFFF"/>
        </w:rPr>
        <w:t>Mansanet-Bataller, M., Pardo, A., &amp; Valor, E. (2007). CO2 prices, energy and weather. </w:t>
      </w:r>
      <w:r w:rsidRPr="003B6C5B">
        <w:rPr>
          <w:i/>
          <w:iCs/>
          <w:shd w:val="clear" w:color="auto" w:fill="FFFFFF"/>
        </w:rPr>
        <w:t>The Energy Journal</w:t>
      </w:r>
      <w:r w:rsidRPr="003B6C5B">
        <w:rPr>
          <w:shd w:val="clear" w:color="auto" w:fill="FFFFFF"/>
        </w:rPr>
        <w:t>, </w:t>
      </w:r>
      <w:r w:rsidRPr="003B6C5B">
        <w:rPr>
          <w:i/>
          <w:iCs/>
          <w:shd w:val="clear" w:color="auto" w:fill="FFFFFF"/>
        </w:rPr>
        <w:t>28</w:t>
      </w:r>
      <w:r w:rsidRPr="003B6C5B">
        <w:rPr>
          <w:shd w:val="clear" w:color="auto" w:fill="FFFFFF"/>
        </w:rPr>
        <w:t>(3).</w:t>
      </w:r>
      <w:r w:rsidR="00A2313E" w:rsidRPr="003B6C5B">
        <w:t xml:space="preserve"> </w:t>
      </w:r>
    </w:p>
    <w:p w14:paraId="6D368785" w14:textId="1E1EDA8E" w:rsidR="00A2313E" w:rsidRPr="003B6C5B" w:rsidRDefault="00A2313E" w:rsidP="006724D6">
      <w:pPr>
        <w:pStyle w:val="EndNoteBibliography"/>
        <w:spacing w:line="480" w:lineRule="auto"/>
        <w:ind w:left="720" w:hanging="720"/>
        <w:jc w:val="both"/>
      </w:pPr>
      <w:r w:rsidRPr="003B6C5B">
        <w:t xml:space="preserve">Marimoutou, V., &amp; Soury, M. (2015). Energy markets and CO2 emissions: Analysis by stochastic copula autoregressive model. </w:t>
      </w:r>
      <w:r w:rsidRPr="003B6C5B">
        <w:rPr>
          <w:i/>
        </w:rPr>
        <w:t>Energy, 88</w:t>
      </w:r>
      <w:r w:rsidRPr="003B6C5B">
        <w:t xml:space="preserve">, 417-429. </w:t>
      </w:r>
    </w:p>
    <w:p w14:paraId="5FF9EBBB" w14:textId="291EAD97" w:rsidR="00A2313E" w:rsidRPr="003B6C5B" w:rsidRDefault="00A2313E" w:rsidP="006724D6">
      <w:pPr>
        <w:pStyle w:val="EndNoteBibliography"/>
        <w:spacing w:line="480" w:lineRule="auto"/>
        <w:ind w:left="720" w:hanging="720"/>
        <w:jc w:val="both"/>
      </w:pPr>
      <w:r w:rsidRPr="003B6C5B">
        <w:t xml:space="preserve">Matteson, D. S., &amp; James, N. A. (2014). A Nonparametric Approach for Multiple Change Point Analysis of Multivariate Data. </w:t>
      </w:r>
      <w:r w:rsidRPr="003B6C5B">
        <w:rPr>
          <w:i/>
        </w:rPr>
        <w:t>Journal of the American Statistical Association</w:t>
      </w:r>
      <w:r w:rsidR="00BB065F" w:rsidRPr="003B6C5B">
        <w:rPr>
          <w:i/>
        </w:rPr>
        <w:t>,</w:t>
      </w:r>
      <w:r w:rsidRPr="003B6C5B">
        <w:rPr>
          <w:i/>
        </w:rPr>
        <w:t xml:space="preserve"> 109</w:t>
      </w:r>
      <w:r w:rsidRPr="003B6C5B">
        <w:t>(505), 334-345.</w:t>
      </w:r>
    </w:p>
    <w:p w14:paraId="18F64E01" w14:textId="27FE4DEA" w:rsidR="00BE77C6" w:rsidRPr="003B6C5B" w:rsidRDefault="00BE77C6" w:rsidP="006724D6">
      <w:pPr>
        <w:pStyle w:val="EndNoteBibliography"/>
        <w:spacing w:line="480" w:lineRule="auto"/>
        <w:ind w:left="720" w:hanging="720"/>
        <w:jc w:val="both"/>
      </w:pPr>
      <w:r w:rsidRPr="003B6C5B">
        <w:rPr>
          <w:shd w:val="clear" w:color="auto" w:fill="FFFFFF"/>
        </w:rPr>
        <w:t>Medina, V., &amp; Pardo, A. (2013). Is the EUA a new asset class?. </w:t>
      </w:r>
      <w:r w:rsidRPr="003B6C5B">
        <w:rPr>
          <w:i/>
          <w:iCs/>
          <w:shd w:val="clear" w:color="auto" w:fill="FFFFFF"/>
        </w:rPr>
        <w:t>Quantitative Finance</w:t>
      </w:r>
      <w:r w:rsidRPr="003B6C5B">
        <w:rPr>
          <w:shd w:val="clear" w:color="auto" w:fill="FFFFFF"/>
        </w:rPr>
        <w:t>, </w:t>
      </w:r>
      <w:r w:rsidRPr="003B6C5B">
        <w:rPr>
          <w:i/>
          <w:iCs/>
          <w:shd w:val="clear" w:color="auto" w:fill="FFFFFF"/>
        </w:rPr>
        <w:t>13</w:t>
      </w:r>
      <w:r w:rsidRPr="003B6C5B">
        <w:rPr>
          <w:shd w:val="clear" w:color="auto" w:fill="FFFFFF"/>
        </w:rPr>
        <w:t>(4), 637-653.</w:t>
      </w:r>
    </w:p>
    <w:p w14:paraId="750AC7C7" w14:textId="5A491F83" w:rsidR="00A2313E" w:rsidRPr="003B6C5B" w:rsidRDefault="00A2313E" w:rsidP="006724D6">
      <w:pPr>
        <w:pStyle w:val="EndNoteBibliography"/>
        <w:spacing w:line="480" w:lineRule="auto"/>
        <w:ind w:left="720" w:hanging="720"/>
        <w:jc w:val="both"/>
      </w:pPr>
      <w:r w:rsidRPr="003B6C5B">
        <w:t xml:space="preserve">Ortas, E., &amp; Álvarez, I. (2016). The efficacy of the European Union Emissions Trading Scheme: depicting the co-movement of carbon assets and energy commodities through wavelet decomposition. </w:t>
      </w:r>
      <w:r w:rsidRPr="003B6C5B">
        <w:rPr>
          <w:i/>
        </w:rPr>
        <w:t>Journal of Cleaner Production, 116</w:t>
      </w:r>
      <w:r w:rsidRPr="003B6C5B">
        <w:t xml:space="preserve">, 40-49. </w:t>
      </w:r>
    </w:p>
    <w:p w14:paraId="424ABF67" w14:textId="6463DB62" w:rsidR="001B325A" w:rsidRPr="003B6C5B" w:rsidRDefault="001B325A" w:rsidP="006724D6">
      <w:pPr>
        <w:pStyle w:val="EndNoteBibliography"/>
        <w:spacing w:line="480" w:lineRule="auto"/>
        <w:ind w:left="720" w:hanging="720"/>
        <w:jc w:val="both"/>
      </w:pPr>
      <w:bookmarkStart w:id="18" w:name="_Hlk66034619"/>
      <w:r w:rsidRPr="003B6C5B">
        <w:rPr>
          <w:shd w:val="clear" w:color="auto" w:fill="FFFFFF"/>
        </w:rPr>
        <w:t>Perino, G. (2018).</w:t>
      </w:r>
      <w:bookmarkEnd w:id="18"/>
      <w:r w:rsidRPr="003B6C5B">
        <w:rPr>
          <w:shd w:val="clear" w:color="auto" w:fill="FFFFFF"/>
        </w:rPr>
        <w:t xml:space="preserve"> New EU ETS Phase 4 rules temporarily puncture waterbed. </w:t>
      </w:r>
      <w:r w:rsidRPr="003B6C5B">
        <w:rPr>
          <w:i/>
          <w:iCs/>
          <w:shd w:val="clear" w:color="auto" w:fill="FFFFFF"/>
        </w:rPr>
        <w:t>Nature Climate Change</w:t>
      </w:r>
      <w:r w:rsidRPr="003B6C5B">
        <w:rPr>
          <w:shd w:val="clear" w:color="auto" w:fill="FFFFFF"/>
        </w:rPr>
        <w:t>, </w:t>
      </w:r>
      <w:r w:rsidRPr="003B6C5B">
        <w:rPr>
          <w:i/>
          <w:iCs/>
          <w:shd w:val="clear" w:color="auto" w:fill="FFFFFF"/>
        </w:rPr>
        <w:t>8</w:t>
      </w:r>
      <w:r w:rsidRPr="003B6C5B">
        <w:rPr>
          <w:shd w:val="clear" w:color="auto" w:fill="FFFFFF"/>
        </w:rPr>
        <w:t>(4), 262-264.</w:t>
      </w:r>
    </w:p>
    <w:p w14:paraId="125B69CE" w14:textId="49E48377" w:rsidR="000179E3" w:rsidRPr="003B6C5B" w:rsidRDefault="000179E3" w:rsidP="006724D6">
      <w:pPr>
        <w:pStyle w:val="EndNoteBibliography"/>
        <w:spacing w:line="480" w:lineRule="auto"/>
        <w:ind w:left="720" w:hanging="720"/>
        <w:jc w:val="both"/>
      </w:pPr>
      <w:r w:rsidRPr="003B6C5B">
        <w:rPr>
          <w:shd w:val="clear" w:color="auto" w:fill="FFFFFF"/>
        </w:rPr>
        <w:t>Perino, G., &amp; Willner, M. (2016). Procrastinating reform: The impact of the market stability reserve on the EU ETS. </w:t>
      </w:r>
      <w:r w:rsidRPr="003B6C5B">
        <w:rPr>
          <w:i/>
          <w:iCs/>
          <w:shd w:val="clear" w:color="auto" w:fill="FFFFFF"/>
        </w:rPr>
        <w:t>Journal of Environmental Economics and Management</w:t>
      </w:r>
      <w:r w:rsidRPr="003B6C5B">
        <w:rPr>
          <w:shd w:val="clear" w:color="auto" w:fill="FFFFFF"/>
        </w:rPr>
        <w:t>, </w:t>
      </w:r>
      <w:r w:rsidRPr="003B6C5B">
        <w:rPr>
          <w:i/>
          <w:iCs/>
          <w:shd w:val="clear" w:color="auto" w:fill="FFFFFF"/>
        </w:rPr>
        <w:t>80</w:t>
      </w:r>
      <w:r w:rsidRPr="003B6C5B">
        <w:rPr>
          <w:shd w:val="clear" w:color="auto" w:fill="FFFFFF"/>
        </w:rPr>
        <w:t>, 37-52.</w:t>
      </w:r>
    </w:p>
    <w:p w14:paraId="399F0B97" w14:textId="25ACB6B1" w:rsidR="00A2313E" w:rsidRPr="003B6C5B" w:rsidRDefault="00A2313E" w:rsidP="006724D6">
      <w:pPr>
        <w:pStyle w:val="EndNoteBibliography"/>
        <w:spacing w:line="480" w:lineRule="auto"/>
        <w:ind w:left="720" w:hanging="720"/>
        <w:jc w:val="both"/>
      </w:pPr>
      <w:r w:rsidRPr="003B6C5B">
        <w:t xml:space="preserve">Reboredo, J. C. (2013). Modeling EU allowances and oil market interdependence. Implications for portfolio management. </w:t>
      </w:r>
      <w:r w:rsidRPr="003B6C5B">
        <w:rPr>
          <w:i/>
        </w:rPr>
        <w:t>Energy Economics, 36</w:t>
      </w:r>
      <w:r w:rsidRPr="003B6C5B">
        <w:t>, 471-480.</w:t>
      </w:r>
    </w:p>
    <w:p w14:paraId="258C61B8" w14:textId="6C5E1DE7" w:rsidR="00A2313E" w:rsidRPr="003B6C5B" w:rsidRDefault="00A2313E" w:rsidP="006724D6">
      <w:pPr>
        <w:pStyle w:val="EndNoteBibliography"/>
        <w:spacing w:line="480" w:lineRule="auto"/>
        <w:ind w:left="720" w:hanging="720"/>
        <w:jc w:val="both"/>
      </w:pPr>
      <w:r w:rsidRPr="003B6C5B">
        <w:t xml:space="preserve">Reboredo, J. C. (2014). Volatility spillovers between the oil market and the European Union carbon emission market. </w:t>
      </w:r>
      <w:r w:rsidRPr="003B6C5B">
        <w:rPr>
          <w:i/>
        </w:rPr>
        <w:t>Economic Modelling, 36</w:t>
      </w:r>
      <w:r w:rsidRPr="003B6C5B">
        <w:t>, 229-234.</w:t>
      </w:r>
    </w:p>
    <w:p w14:paraId="514F63A5" w14:textId="5CD34AE1" w:rsidR="001B325A" w:rsidRPr="003B6C5B" w:rsidRDefault="001B325A" w:rsidP="006724D6">
      <w:pPr>
        <w:pStyle w:val="EndNoteBibliography"/>
        <w:spacing w:line="480" w:lineRule="auto"/>
        <w:ind w:left="720" w:hanging="720"/>
        <w:jc w:val="both"/>
        <w:rPr>
          <w:shd w:val="clear" w:color="auto" w:fill="FFFFFF"/>
        </w:rPr>
      </w:pPr>
      <w:r w:rsidRPr="003B6C5B">
        <w:rPr>
          <w:shd w:val="clear" w:color="auto" w:fill="FFFFFF"/>
        </w:rPr>
        <w:t>Rosendahl, K. E. (2019). EU ETS and the waterbed effect. </w:t>
      </w:r>
      <w:r w:rsidRPr="003B6C5B">
        <w:rPr>
          <w:i/>
          <w:iCs/>
          <w:shd w:val="clear" w:color="auto" w:fill="FFFFFF"/>
        </w:rPr>
        <w:t>Nature Climate Change</w:t>
      </w:r>
      <w:r w:rsidRPr="003B6C5B">
        <w:rPr>
          <w:shd w:val="clear" w:color="auto" w:fill="FFFFFF"/>
        </w:rPr>
        <w:t>, </w:t>
      </w:r>
      <w:r w:rsidRPr="003B6C5B">
        <w:rPr>
          <w:i/>
          <w:iCs/>
          <w:shd w:val="clear" w:color="auto" w:fill="FFFFFF"/>
        </w:rPr>
        <w:t>9</w:t>
      </w:r>
      <w:r w:rsidRPr="003B6C5B">
        <w:rPr>
          <w:shd w:val="clear" w:color="auto" w:fill="FFFFFF"/>
        </w:rPr>
        <w:t>(10), 734-735.</w:t>
      </w:r>
    </w:p>
    <w:p w14:paraId="30EC73BA" w14:textId="53EFD341" w:rsidR="00B9565E" w:rsidRPr="003B6C5B" w:rsidRDefault="00B9565E" w:rsidP="006724D6">
      <w:pPr>
        <w:pStyle w:val="EndNoteBibliography"/>
        <w:spacing w:line="480" w:lineRule="auto"/>
        <w:ind w:left="720" w:hanging="720"/>
        <w:jc w:val="both"/>
      </w:pPr>
      <w:r w:rsidRPr="003B6C5B">
        <w:rPr>
          <w:shd w:val="clear" w:color="auto" w:fill="FFFFFF"/>
        </w:rPr>
        <w:t>Tan, X. P., &amp; Wang, X. Y. (2017). Dependence changes between the carbon price and its fundamentals: A quantile regression approach. </w:t>
      </w:r>
      <w:r w:rsidRPr="003B6C5B">
        <w:rPr>
          <w:i/>
          <w:iCs/>
          <w:shd w:val="clear" w:color="auto" w:fill="FFFFFF"/>
        </w:rPr>
        <w:t>Applied Energy</w:t>
      </w:r>
      <w:r w:rsidRPr="003B6C5B">
        <w:rPr>
          <w:shd w:val="clear" w:color="auto" w:fill="FFFFFF"/>
        </w:rPr>
        <w:t>, </w:t>
      </w:r>
      <w:r w:rsidRPr="003B6C5B">
        <w:rPr>
          <w:i/>
          <w:iCs/>
          <w:shd w:val="clear" w:color="auto" w:fill="FFFFFF"/>
        </w:rPr>
        <w:t>190</w:t>
      </w:r>
      <w:r w:rsidRPr="003B6C5B">
        <w:rPr>
          <w:shd w:val="clear" w:color="auto" w:fill="FFFFFF"/>
        </w:rPr>
        <w:t>, 306-325.</w:t>
      </w:r>
    </w:p>
    <w:p w14:paraId="432D10F1" w14:textId="1F04A3F4" w:rsidR="00A2313E" w:rsidRPr="003B6C5B" w:rsidRDefault="00A2313E" w:rsidP="006724D6">
      <w:pPr>
        <w:pStyle w:val="EndNoteBibliography"/>
        <w:spacing w:line="480" w:lineRule="auto"/>
        <w:ind w:left="720" w:hanging="720"/>
        <w:jc w:val="both"/>
      </w:pPr>
      <w:r w:rsidRPr="003B6C5B">
        <w:t xml:space="preserve">Uddin, G. S., Hernandez, J. A., Shahzad, S. J. H., &amp; Hedström, A. (2018). Multivariate dependence and spillover effects across energy commodities and diversification potentials of carbon assets. </w:t>
      </w:r>
      <w:r w:rsidRPr="003B6C5B">
        <w:rPr>
          <w:i/>
        </w:rPr>
        <w:t>Energy Economics, 71</w:t>
      </w:r>
      <w:r w:rsidRPr="003B6C5B">
        <w:t xml:space="preserve">, 35-46. </w:t>
      </w:r>
    </w:p>
    <w:p w14:paraId="101281A3" w14:textId="55387C5B" w:rsidR="00702D11" w:rsidRPr="003B6C5B" w:rsidRDefault="00702D11" w:rsidP="006724D6">
      <w:pPr>
        <w:pStyle w:val="EndNoteBibliography"/>
        <w:spacing w:line="480" w:lineRule="auto"/>
        <w:ind w:left="720" w:hanging="720"/>
        <w:jc w:val="both"/>
      </w:pPr>
      <w:r w:rsidRPr="003B6C5B">
        <w:rPr>
          <w:shd w:val="clear" w:color="auto" w:fill="FFFFFF"/>
        </w:rPr>
        <w:t>Van den Bergh, K., Delarue, E., &amp; D'haeseleer, W. (2013). Impact of renewables deployment on the CO2 price and the CO2 emissions in the European electricity sector. </w:t>
      </w:r>
      <w:r w:rsidRPr="003B6C5B">
        <w:rPr>
          <w:i/>
          <w:iCs/>
          <w:shd w:val="clear" w:color="auto" w:fill="FFFFFF"/>
        </w:rPr>
        <w:t>Energy Policy</w:t>
      </w:r>
      <w:r w:rsidRPr="003B6C5B">
        <w:rPr>
          <w:shd w:val="clear" w:color="auto" w:fill="FFFFFF"/>
        </w:rPr>
        <w:t>, </w:t>
      </w:r>
      <w:r w:rsidRPr="003B6C5B">
        <w:rPr>
          <w:i/>
          <w:iCs/>
          <w:shd w:val="clear" w:color="auto" w:fill="FFFFFF"/>
        </w:rPr>
        <w:t>63</w:t>
      </w:r>
      <w:r w:rsidRPr="003B6C5B">
        <w:rPr>
          <w:shd w:val="clear" w:color="auto" w:fill="FFFFFF"/>
        </w:rPr>
        <w:t>, 1021-1031.</w:t>
      </w:r>
    </w:p>
    <w:p w14:paraId="30F55934" w14:textId="4AEC2CE8" w:rsidR="00A2313E" w:rsidRPr="003B6C5B" w:rsidRDefault="00A2313E" w:rsidP="006724D6">
      <w:pPr>
        <w:pStyle w:val="EndNoteBibliography"/>
        <w:spacing w:line="480" w:lineRule="auto"/>
        <w:ind w:left="720" w:hanging="720"/>
        <w:jc w:val="both"/>
      </w:pPr>
      <w:r w:rsidRPr="003B6C5B">
        <w:t xml:space="preserve">Wang, Q., Dai, X., &amp; Zhou, D. (2020). Dynamic Correlation and Risk Contagion Between </w:t>
      </w:r>
      <w:r w:rsidR="00D1220C" w:rsidRPr="003B6C5B">
        <w:t>“</w:t>
      </w:r>
      <w:r w:rsidRPr="003B6C5B">
        <w:t>Black</w:t>
      </w:r>
      <w:r w:rsidR="00D1220C" w:rsidRPr="003B6C5B">
        <w:t>”</w:t>
      </w:r>
      <w:r w:rsidRPr="003B6C5B">
        <w:t xml:space="preserve"> Futures in China: A Multi-scale Variational Mode Decomposition Approach. </w:t>
      </w:r>
      <w:r w:rsidRPr="003B6C5B">
        <w:rPr>
          <w:i/>
        </w:rPr>
        <w:t>Computational Economics, 55</w:t>
      </w:r>
      <w:r w:rsidRPr="003B6C5B">
        <w:t xml:space="preserve">(4), 1117-1150. </w:t>
      </w:r>
    </w:p>
    <w:p w14:paraId="07099A4C" w14:textId="15DF6E7A" w:rsidR="00A2313E" w:rsidRPr="003B6C5B" w:rsidRDefault="00A2313E" w:rsidP="006724D6">
      <w:pPr>
        <w:pStyle w:val="EndNoteBibliography"/>
        <w:spacing w:line="480" w:lineRule="auto"/>
        <w:ind w:left="720" w:hanging="720"/>
        <w:jc w:val="both"/>
      </w:pPr>
      <w:r w:rsidRPr="003B6C5B">
        <w:t xml:space="preserve">Yu, L., Li, J., Tang, L., &amp; Wang, S. (2015). Linear and nonlinear Granger causality investigation between carbon market and crude oil market: A multi-scale approach. </w:t>
      </w:r>
      <w:r w:rsidRPr="003B6C5B">
        <w:rPr>
          <w:i/>
        </w:rPr>
        <w:t>Energy Economics, 51</w:t>
      </w:r>
      <w:r w:rsidRPr="003B6C5B">
        <w:t>, 300-311.</w:t>
      </w:r>
    </w:p>
    <w:p w14:paraId="0914A711" w14:textId="13C3861E" w:rsidR="00A2313E" w:rsidRPr="003B6C5B" w:rsidRDefault="00A2313E" w:rsidP="006724D6">
      <w:pPr>
        <w:pStyle w:val="EndNoteBibliography"/>
        <w:spacing w:line="480" w:lineRule="auto"/>
        <w:ind w:left="720" w:hanging="720"/>
        <w:jc w:val="both"/>
      </w:pPr>
      <w:r w:rsidRPr="003B6C5B">
        <w:t xml:space="preserve">Zhang, Y.-J., &amp; Sun, Y.-F. (2016). The dynamic volatility spillover between European carbon trading market and fossil energy market. </w:t>
      </w:r>
      <w:r w:rsidRPr="003B6C5B">
        <w:rPr>
          <w:i/>
        </w:rPr>
        <w:t>Journal of Cleaner Production, 112</w:t>
      </w:r>
      <w:r w:rsidRPr="003B6C5B">
        <w:t>, 2654-2663</w:t>
      </w:r>
      <w:r w:rsidR="00F035F7" w:rsidRPr="003B6C5B">
        <w:t>.</w:t>
      </w:r>
    </w:p>
    <w:p w14:paraId="7719211F" w14:textId="77777777" w:rsidR="00874476" w:rsidRPr="003B6C5B" w:rsidRDefault="00874476" w:rsidP="00874476">
      <w:pPr>
        <w:pStyle w:val="EndNoteBibliography"/>
        <w:spacing w:line="480" w:lineRule="auto"/>
        <w:ind w:left="720" w:hanging="720"/>
        <w:jc w:val="both"/>
        <w:rPr>
          <w:color w:val="222222"/>
          <w:shd w:val="clear" w:color="auto" w:fill="FFFFFF"/>
        </w:rPr>
      </w:pPr>
      <w:r w:rsidRPr="003B6C5B">
        <w:rPr>
          <w:color w:val="222222"/>
          <w:shd w:val="clear" w:color="auto" w:fill="FFFFFF"/>
        </w:rPr>
        <w:t>Zhou, B., Zhang, C., Song, H., &amp; Wang, Q. (2019). How does emission trading reduce China's carbon intensity? An exploration using a decomposition and difference-in-differences approach. </w:t>
      </w:r>
      <w:r w:rsidRPr="003B6C5B">
        <w:rPr>
          <w:i/>
          <w:iCs/>
          <w:color w:val="222222"/>
          <w:shd w:val="clear" w:color="auto" w:fill="FFFFFF"/>
        </w:rPr>
        <w:t>Science of the total environment</w:t>
      </w:r>
      <w:r w:rsidRPr="003B6C5B">
        <w:rPr>
          <w:color w:val="222222"/>
          <w:shd w:val="clear" w:color="auto" w:fill="FFFFFF"/>
        </w:rPr>
        <w:t>, </w:t>
      </w:r>
      <w:r w:rsidRPr="003B6C5B">
        <w:rPr>
          <w:i/>
          <w:iCs/>
          <w:color w:val="222222"/>
          <w:shd w:val="clear" w:color="auto" w:fill="FFFFFF"/>
        </w:rPr>
        <w:t>676</w:t>
      </w:r>
      <w:r w:rsidRPr="003B6C5B">
        <w:rPr>
          <w:color w:val="222222"/>
          <w:shd w:val="clear" w:color="auto" w:fill="FFFFFF"/>
        </w:rPr>
        <w:t>, 514-523.</w:t>
      </w:r>
    </w:p>
    <w:p w14:paraId="4EFCF3B5" w14:textId="0D911A9F" w:rsidR="00874476" w:rsidRPr="003B6C5B" w:rsidRDefault="00874476" w:rsidP="003B6C5B">
      <w:pPr>
        <w:pStyle w:val="EndNoteBibliography"/>
        <w:spacing w:line="480" w:lineRule="auto"/>
        <w:ind w:left="720" w:hanging="720"/>
        <w:jc w:val="both"/>
        <w:rPr>
          <w:rFonts w:eastAsiaTheme="minorEastAsia"/>
        </w:rPr>
      </w:pPr>
      <w:r w:rsidRPr="003B6C5B">
        <w:rPr>
          <w:color w:val="222222"/>
          <w:shd w:val="clear" w:color="auto" w:fill="FFFFFF"/>
        </w:rPr>
        <w:t>Zhou, B., Zhang, C., Wang, Q., &amp; Zhou, D. (2020). Does emission trading lead to carbon leakage in China? Direction and channel identifications. </w:t>
      </w:r>
      <w:r w:rsidRPr="003B6C5B">
        <w:rPr>
          <w:i/>
          <w:iCs/>
          <w:color w:val="222222"/>
          <w:shd w:val="clear" w:color="auto" w:fill="FFFFFF"/>
        </w:rPr>
        <w:t>Renewable and Sustainable Energy Reviews</w:t>
      </w:r>
      <w:r w:rsidRPr="003B6C5B">
        <w:rPr>
          <w:color w:val="222222"/>
          <w:shd w:val="clear" w:color="auto" w:fill="FFFFFF"/>
        </w:rPr>
        <w:t>, </w:t>
      </w:r>
      <w:r w:rsidRPr="003B6C5B">
        <w:rPr>
          <w:i/>
          <w:iCs/>
          <w:color w:val="222222"/>
          <w:shd w:val="clear" w:color="auto" w:fill="FFFFFF"/>
        </w:rPr>
        <w:t>132</w:t>
      </w:r>
      <w:r w:rsidRPr="003B6C5B">
        <w:rPr>
          <w:color w:val="222222"/>
          <w:shd w:val="clear" w:color="auto" w:fill="FFFFFF"/>
        </w:rPr>
        <w:t>, 110090.</w:t>
      </w:r>
    </w:p>
    <w:p w14:paraId="03008C16" w14:textId="5BF111FA" w:rsidR="006848E4" w:rsidRPr="003B6C5B" w:rsidRDefault="006848E4" w:rsidP="006724D6">
      <w:pPr>
        <w:pStyle w:val="EndNoteBibliography"/>
        <w:spacing w:line="480" w:lineRule="auto"/>
        <w:ind w:left="720" w:hanging="720"/>
        <w:jc w:val="both"/>
      </w:pPr>
      <w:r w:rsidRPr="003B6C5B">
        <w:rPr>
          <w:shd w:val="clear" w:color="auto" w:fill="FFFFFF"/>
        </w:rPr>
        <w:t>Zhu, B., Han, D., Chevallier, J., &amp; Wei, Y. M. (2017). Dynamic multiscale interactions between European carbon and electricity markets during 2005–2016. </w:t>
      </w:r>
      <w:r w:rsidRPr="003B6C5B">
        <w:rPr>
          <w:i/>
          <w:iCs/>
          <w:shd w:val="clear" w:color="auto" w:fill="FFFFFF"/>
        </w:rPr>
        <w:t>Energy Policy</w:t>
      </w:r>
      <w:r w:rsidRPr="003B6C5B">
        <w:rPr>
          <w:shd w:val="clear" w:color="auto" w:fill="FFFFFF"/>
        </w:rPr>
        <w:t>, </w:t>
      </w:r>
      <w:r w:rsidRPr="003B6C5B">
        <w:rPr>
          <w:i/>
          <w:iCs/>
          <w:shd w:val="clear" w:color="auto" w:fill="FFFFFF"/>
        </w:rPr>
        <w:t>107</w:t>
      </w:r>
      <w:r w:rsidRPr="003B6C5B">
        <w:rPr>
          <w:shd w:val="clear" w:color="auto" w:fill="FFFFFF"/>
        </w:rPr>
        <w:t>, 309-322.</w:t>
      </w:r>
    </w:p>
    <w:p w14:paraId="2A7AF223" w14:textId="1CFDB348" w:rsidR="00A2313E" w:rsidRPr="003B6C5B" w:rsidRDefault="00A2313E" w:rsidP="006724D6">
      <w:pPr>
        <w:pStyle w:val="EndNoteBibliography"/>
        <w:spacing w:line="480" w:lineRule="auto"/>
        <w:ind w:left="720" w:hanging="720"/>
        <w:jc w:val="both"/>
      </w:pPr>
      <w:r w:rsidRPr="003B6C5B">
        <w:t xml:space="preserve">Zhu, B., Wang, P., Chevallier, J., &amp; Wei, Y. (2015). Carbon Price Analysis Using Empirical Mode Decomposition. </w:t>
      </w:r>
      <w:r w:rsidRPr="003B6C5B">
        <w:rPr>
          <w:i/>
        </w:rPr>
        <w:t>Computational Economics, 45</w:t>
      </w:r>
      <w:r w:rsidRPr="003B6C5B">
        <w:t xml:space="preserve">(2), 195-206. </w:t>
      </w:r>
    </w:p>
    <w:p w14:paraId="00F7DCC8" w14:textId="79A21504" w:rsidR="00874476" w:rsidRPr="003B6C5B" w:rsidRDefault="00A2313E" w:rsidP="003B6C5B">
      <w:pPr>
        <w:pStyle w:val="EndNoteBibliography"/>
        <w:spacing w:line="480" w:lineRule="auto"/>
        <w:ind w:left="720" w:hanging="720"/>
        <w:jc w:val="both"/>
        <w:rPr>
          <w:rFonts w:eastAsiaTheme="minorEastAsia"/>
        </w:rPr>
      </w:pPr>
      <w:bookmarkStart w:id="19" w:name="_Hlk66127741"/>
      <w:r w:rsidRPr="003B6C5B">
        <w:t>Zhu, B</w:t>
      </w:r>
      <w:bookmarkEnd w:id="19"/>
      <w:r w:rsidRPr="003B6C5B">
        <w:t>., Ye, S., Han, D., Wang, P., He, K., Wei, Y.-M., &amp; Xie, R. (2019). A multi</w:t>
      </w:r>
      <w:r w:rsidR="00AC0222" w:rsidRPr="003B6C5B">
        <w:t>-</w:t>
      </w:r>
      <w:r w:rsidRPr="003B6C5B">
        <w:t xml:space="preserve">scale analysis for carbon price drivers. </w:t>
      </w:r>
      <w:r w:rsidRPr="003B6C5B">
        <w:rPr>
          <w:i/>
        </w:rPr>
        <w:t>Energy Economics, 78</w:t>
      </w:r>
      <w:r w:rsidRPr="003B6C5B">
        <w:t>, 202-216.</w:t>
      </w:r>
    </w:p>
    <w:sectPr w:rsidR="00874476" w:rsidRPr="003B6C5B" w:rsidSect="0045542F">
      <w:footerReference w:type="default" r:id="rId17"/>
      <w:pgSz w:w="11906" w:h="16838" w:code="9"/>
      <w:pgMar w:top="1440" w:right="1797" w:bottom="1440" w:left="1797"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F4F14" w14:textId="77777777" w:rsidR="0029500C" w:rsidRDefault="0029500C" w:rsidP="00A2313E">
      <w:r>
        <w:separator/>
      </w:r>
    </w:p>
    <w:p w14:paraId="50C966A4" w14:textId="77777777" w:rsidR="0029500C" w:rsidRDefault="0029500C"/>
  </w:endnote>
  <w:endnote w:type="continuationSeparator" w:id="0">
    <w:p w14:paraId="3E21ABBE" w14:textId="77777777" w:rsidR="0029500C" w:rsidRDefault="0029500C" w:rsidP="00A2313E">
      <w:r>
        <w:continuationSeparator/>
      </w:r>
    </w:p>
    <w:p w14:paraId="2CC66ABF" w14:textId="77777777" w:rsidR="0029500C" w:rsidRDefault="0029500C"/>
  </w:endnote>
  <w:endnote w:type="continuationNotice" w:id="1">
    <w:p w14:paraId="5875D0C7" w14:textId="77777777" w:rsidR="0029500C" w:rsidRDefault="00295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745453"/>
      <w:docPartObj>
        <w:docPartGallery w:val="Page Numbers (Bottom of Page)"/>
        <w:docPartUnique/>
      </w:docPartObj>
    </w:sdtPr>
    <w:sdtEndPr/>
    <w:sdtContent>
      <w:p w14:paraId="543D7382" w14:textId="151EE0FC" w:rsidR="001C166C" w:rsidRDefault="001C166C">
        <w:pPr>
          <w:pStyle w:val="Footer"/>
          <w:jc w:val="center"/>
        </w:pPr>
        <w:r>
          <w:fldChar w:fldCharType="begin"/>
        </w:r>
        <w:r>
          <w:instrText>PAGE   \* MERGEFORMAT</w:instrText>
        </w:r>
        <w:r>
          <w:fldChar w:fldCharType="separate"/>
        </w:r>
        <w:r w:rsidRPr="00AF1ECE">
          <w:rPr>
            <w:noProof/>
            <w:lang w:val="zh-CN"/>
          </w:rPr>
          <w:t>43</w:t>
        </w:r>
        <w:r>
          <w:fldChar w:fldCharType="end"/>
        </w:r>
      </w:p>
    </w:sdtContent>
  </w:sdt>
  <w:p w14:paraId="730B4026" w14:textId="77777777" w:rsidR="001C166C" w:rsidRDefault="001C1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F06A9" w14:textId="77777777" w:rsidR="0029500C" w:rsidRDefault="0029500C" w:rsidP="00A2313E">
      <w:r>
        <w:separator/>
      </w:r>
    </w:p>
    <w:p w14:paraId="04CF4D13" w14:textId="77777777" w:rsidR="0029500C" w:rsidRDefault="0029500C"/>
  </w:footnote>
  <w:footnote w:type="continuationSeparator" w:id="0">
    <w:p w14:paraId="06C64DA7" w14:textId="77777777" w:rsidR="0029500C" w:rsidRDefault="0029500C" w:rsidP="00A2313E">
      <w:r>
        <w:continuationSeparator/>
      </w:r>
    </w:p>
    <w:p w14:paraId="009DAD74" w14:textId="77777777" w:rsidR="0029500C" w:rsidRDefault="0029500C"/>
  </w:footnote>
  <w:footnote w:type="continuationNotice" w:id="1">
    <w:p w14:paraId="639C163C" w14:textId="77777777" w:rsidR="0029500C" w:rsidRDefault="0029500C"/>
  </w:footnote>
  <w:footnote w:id="2">
    <w:p w14:paraId="1894587B" w14:textId="0A5F344D" w:rsidR="001C166C" w:rsidRPr="00D46E00" w:rsidRDefault="001C166C" w:rsidP="009B27C2">
      <w:pPr>
        <w:pStyle w:val="FootnoteText"/>
        <w:jc w:val="both"/>
      </w:pPr>
      <w:r>
        <w:rPr>
          <w:rStyle w:val="FootnoteReference"/>
        </w:rPr>
        <w:footnoteRef/>
      </w:r>
      <w:r>
        <w:t xml:space="preserve"> The </w:t>
      </w:r>
      <w:r w:rsidRPr="009B27C2">
        <w:t>EU ETS is organi</w:t>
      </w:r>
      <w:r>
        <w:t>s</w:t>
      </w:r>
      <w:r w:rsidRPr="009B27C2">
        <w:t xml:space="preserve">ed in four phases: Phase I was considered as a ‘trial period’ in 2005–2007; Phase II coincided with the period of Kyoto Protocol commitment in 2008–2012; Phase III runs in 2013–2020 to help meet the European mitigation target of green gas emissions by 20% in </w:t>
      </w:r>
      <w:r w:rsidRPr="00BD4255">
        <w:t xml:space="preserve">2020 </w:t>
      </w:r>
      <w:r w:rsidRPr="003B6C5B">
        <w:t xml:space="preserve">in contrast </w:t>
      </w:r>
      <w:r w:rsidRPr="00BD4255">
        <w:t>to</w:t>
      </w:r>
      <w:r w:rsidRPr="009B27C2">
        <w:t xml:space="preserve"> 1990</w:t>
      </w:r>
      <w:r>
        <w:t xml:space="preserve"> (</w:t>
      </w:r>
      <w:r w:rsidRPr="00EB4D12">
        <w:rPr>
          <w:shd w:val="clear" w:color="auto" w:fill="FFFFFF"/>
        </w:rPr>
        <w:t>European Commission</w:t>
      </w:r>
      <w:r>
        <w:rPr>
          <w:shd w:val="clear" w:color="auto" w:fill="FFFFFF"/>
        </w:rPr>
        <w:t xml:space="preserve">, </w:t>
      </w:r>
      <w:r w:rsidRPr="00217E55">
        <w:rPr>
          <w:shd w:val="clear" w:color="auto" w:fill="FFFFFF"/>
        </w:rPr>
        <w:t>2017)</w:t>
      </w:r>
      <w:r w:rsidRPr="00D46E00">
        <w:t>.</w:t>
      </w:r>
    </w:p>
  </w:footnote>
  <w:footnote w:id="3">
    <w:p w14:paraId="66E539F2" w14:textId="1DB6FE38" w:rsidR="001C166C" w:rsidRPr="00D46E00" w:rsidRDefault="001C166C" w:rsidP="009B27C2">
      <w:pPr>
        <w:pStyle w:val="FootnoteText"/>
        <w:jc w:val="both"/>
      </w:pPr>
      <w:r w:rsidRPr="00D46E00">
        <w:rPr>
          <w:rStyle w:val="FootnoteReference"/>
        </w:rPr>
        <w:footnoteRef/>
      </w:r>
      <w:r w:rsidRPr="00D46E00">
        <w:t xml:space="preserve"> The </w:t>
      </w:r>
      <w:r w:rsidRPr="00D46E00">
        <w:rPr>
          <w:shd w:val="clear" w:color="auto" w:fill="FFFFFF"/>
        </w:rPr>
        <w:t xml:space="preserve">European Allowance (EUA), the unit of compliance, has even been </w:t>
      </w:r>
      <w:r w:rsidRPr="00613002">
        <w:rPr>
          <w:color w:val="000000" w:themeColor="text1"/>
          <w:shd w:val="clear" w:color="auto" w:fill="FFFFFF"/>
        </w:rPr>
        <w:t xml:space="preserve">hovering under </w:t>
      </w:r>
      <w:r w:rsidRPr="00D46E00">
        <w:rPr>
          <w:shd w:val="clear" w:color="auto" w:fill="FFFFFF"/>
        </w:rPr>
        <w:t>€10 before 2016.</w:t>
      </w:r>
      <w:r w:rsidRPr="00D46E00">
        <w:rPr>
          <w:rFonts w:eastAsia="SimSun" w:hint="eastAsia"/>
        </w:rPr>
        <w:t xml:space="preserve"> </w:t>
      </w:r>
      <w:r w:rsidRPr="00D46E00">
        <w:t xml:space="preserve">The EUA price of EU ETS increased steadily and rose to </w:t>
      </w:r>
      <w:r w:rsidRPr="00D46E00">
        <w:rPr>
          <w:shd w:val="clear" w:color="auto" w:fill="FFFFFF"/>
        </w:rPr>
        <w:t>€</w:t>
      </w:r>
      <w:r>
        <w:t>42</w:t>
      </w:r>
      <w:r w:rsidRPr="00D46E00">
        <w:t xml:space="preserve"> </w:t>
      </w:r>
      <w:r>
        <w:t xml:space="preserve"> in 2020</w:t>
      </w:r>
      <w:r w:rsidRPr="00D46E00">
        <w:t xml:space="preserve"> (</w:t>
      </w:r>
      <w:r w:rsidRPr="00366939">
        <w:t>Intercontinental Exchange</w:t>
      </w:r>
      <w:r>
        <w:t>,</w:t>
      </w:r>
      <w:r w:rsidRPr="00475786">
        <w:t xml:space="preserve"> </w:t>
      </w:r>
      <w:r>
        <w:t>n.d.</w:t>
      </w:r>
      <w:r w:rsidRPr="00D46E00">
        <w:t>).</w:t>
      </w:r>
    </w:p>
  </w:footnote>
  <w:footnote w:id="4">
    <w:p w14:paraId="008F0C26" w14:textId="04BED48E" w:rsidR="001C166C" w:rsidRPr="003B6C5B" w:rsidRDefault="001C166C" w:rsidP="0047258B">
      <w:pPr>
        <w:pStyle w:val="FootnoteText"/>
        <w:jc w:val="both"/>
        <w:rPr>
          <w:lang w:val="en-GB"/>
        </w:rPr>
      </w:pPr>
      <w:r w:rsidRPr="00D46E00">
        <w:rPr>
          <w:rStyle w:val="FootnoteReference"/>
        </w:rPr>
        <w:footnoteRef/>
      </w:r>
      <w:r w:rsidRPr="00D46E00">
        <w:t xml:space="preserve"> At least </w:t>
      </w:r>
      <w:r>
        <w:t>90</w:t>
      </w:r>
      <w:r w:rsidRPr="00D46E00">
        <w:t>% of the allowances were allocated to emitters for fre</w:t>
      </w:r>
      <w:r>
        <w:t xml:space="preserve">e </w:t>
      </w:r>
      <w:r w:rsidRPr="00D46E00">
        <w:t>in Phase I</w:t>
      </w:r>
      <w:r>
        <w:t>/</w:t>
      </w:r>
      <w:r w:rsidRPr="00B502DC">
        <w:t>II</w:t>
      </w:r>
      <w:r w:rsidRPr="00D46E00">
        <w:t xml:space="preserve"> of the </w:t>
      </w:r>
      <w:r w:rsidRPr="00D46E00">
        <w:rPr>
          <w:rFonts w:hint="eastAsia"/>
        </w:rPr>
        <w:t>EU</w:t>
      </w:r>
      <w:r w:rsidRPr="00D46E00">
        <w:t xml:space="preserve"> </w:t>
      </w:r>
      <w:r w:rsidRPr="00D46E00">
        <w:rPr>
          <w:rFonts w:hint="eastAsia"/>
        </w:rPr>
        <w:t>ETS</w:t>
      </w:r>
      <w:r w:rsidRPr="00D46E00">
        <w:t xml:space="preserve"> and </w:t>
      </w:r>
      <w:r w:rsidRPr="00B502DC">
        <w:t xml:space="preserve">about </w:t>
      </w:r>
      <w:r w:rsidRPr="00D46E00">
        <w:t xml:space="preserve">90% in </w:t>
      </w:r>
      <w:r w:rsidRPr="00D46E00">
        <w:rPr>
          <w:rFonts w:hint="eastAsia"/>
        </w:rPr>
        <w:t>Phase</w:t>
      </w:r>
      <w:r w:rsidRPr="00D46E00">
        <w:t xml:space="preserve"> </w:t>
      </w:r>
      <w:r w:rsidRPr="00D46E00">
        <w:rPr>
          <w:rFonts w:hint="eastAsia"/>
        </w:rPr>
        <w:t>II</w:t>
      </w:r>
      <w:r>
        <w:t xml:space="preserve"> (International Carbon Action Partnership, n.d.)</w:t>
      </w:r>
      <w:r w:rsidRPr="00D46E00">
        <w:t xml:space="preserve">. </w:t>
      </w:r>
      <w:r w:rsidRPr="005E0746">
        <w:t xml:space="preserve">The resulting "windfall profits" in the power sector directly distort market competition, thereby distorting the </w:t>
      </w:r>
      <w:r>
        <w:t>interplay between</w:t>
      </w:r>
      <w:r w:rsidRPr="005E0746">
        <w:t xml:space="preserve"> energy and carbon assets. At the beginning </w:t>
      </w:r>
      <w:r w:rsidRPr="005E0746">
        <w:t xml:space="preserve">of  </w:t>
      </w:r>
      <w:r>
        <w:t>P</w:t>
      </w:r>
      <w:r w:rsidRPr="005E0746">
        <w:t>hase</w:t>
      </w:r>
      <w:r>
        <w:t xml:space="preserve"> III</w:t>
      </w:r>
      <w:r w:rsidRPr="005E0746">
        <w:t xml:space="preserve"> of the EU </w:t>
      </w:r>
      <w:r>
        <w:t>ETS</w:t>
      </w:r>
      <w:r w:rsidRPr="005E0746">
        <w:t>, the shift to an auction-based distribution system was one of the main purposes of eliminating windfall profits</w:t>
      </w:r>
      <w:r>
        <w:t xml:space="preserve"> (</w:t>
      </w:r>
      <w:r w:rsidRPr="00B502DC">
        <w:t>Hobbie</w:t>
      </w:r>
      <w:r>
        <w:t xml:space="preserve"> et al., </w:t>
      </w:r>
      <w:r w:rsidRPr="00B502DC">
        <w:t xml:space="preserve">2019). </w:t>
      </w:r>
    </w:p>
  </w:footnote>
  <w:footnote w:id="5">
    <w:p w14:paraId="4116513E" w14:textId="795596E1" w:rsidR="001C166C" w:rsidRPr="003E38BD" w:rsidRDefault="001C166C" w:rsidP="003E38BD">
      <w:pPr>
        <w:pStyle w:val="FootnoteText"/>
        <w:jc w:val="both"/>
        <w:rPr>
          <w:rFonts w:eastAsiaTheme="minorEastAsia"/>
        </w:rPr>
      </w:pPr>
      <w:r>
        <w:rPr>
          <w:rStyle w:val="FootnoteReference"/>
        </w:rPr>
        <w:footnoteRef/>
      </w:r>
      <w:r>
        <w:t xml:space="preserve"> </w:t>
      </w:r>
      <w:r w:rsidRPr="003E38BD">
        <w:t>The MSR was proposed in 2015 by the European Commission to address the surplus of unused allowances which have been accumulated from Phase I and Phase II, and to improve the EU ETSs resilience to shocks.</w:t>
      </w:r>
    </w:p>
  </w:footnote>
  <w:footnote w:id="6">
    <w:p w14:paraId="54B72758" w14:textId="3A4065F8" w:rsidR="001C166C" w:rsidRPr="00973D3B" w:rsidRDefault="001C166C" w:rsidP="009A0978">
      <w:pPr>
        <w:pStyle w:val="FootnoteText"/>
        <w:jc w:val="both"/>
      </w:pPr>
      <w:r>
        <w:rPr>
          <w:rStyle w:val="FootnoteReference"/>
        </w:rPr>
        <w:footnoteRef/>
      </w:r>
      <w:r>
        <w:t xml:space="preserve"> </w:t>
      </w:r>
      <w:r w:rsidRPr="004A7DFC">
        <w:t xml:space="preserve">The "waterbed effect" means that the reduction of carbon emissions in one area (time) will contribute to carbon emissions in another area </w:t>
      </w:r>
      <w:r>
        <w:t xml:space="preserve">or </w:t>
      </w:r>
      <w:r w:rsidRPr="004A7DFC">
        <w:t>time.</w:t>
      </w:r>
    </w:p>
  </w:footnote>
  <w:footnote w:id="7">
    <w:p w14:paraId="683CB070" w14:textId="6DA06F97" w:rsidR="001C166C" w:rsidRPr="00357DE0" w:rsidRDefault="001C166C" w:rsidP="00EE10D8">
      <w:pPr>
        <w:pStyle w:val="FootnoteText"/>
        <w:jc w:val="both"/>
        <w:rPr>
          <w:rFonts w:eastAsiaTheme="minorEastAsia"/>
        </w:rPr>
      </w:pPr>
      <w:r w:rsidRPr="003543CC">
        <w:rPr>
          <w:rStyle w:val="FootnoteReference"/>
        </w:rPr>
        <w:footnoteRef/>
      </w:r>
      <w:r w:rsidRPr="003543CC">
        <w:t xml:space="preserve"> Perino and Willner (2016, 2017) stress that the MSR does little to incentivize abatement if it is allowance preserving. Chaton et al. (2018), on the other hand, point out that the MSR by substituting for private banking efforts, can lead to a collapse in present-day allowance prices. Despite its purported shortcomings, Kollenberg and Taschini (2016) argue</w:t>
      </w:r>
      <w:r>
        <w:t>s</w:t>
      </w:r>
      <w:r w:rsidRPr="003543CC">
        <w:t xml:space="preserve"> that MSR improves the performance of the EU ETS</w:t>
      </w:r>
      <w:r>
        <w:t xml:space="preserve"> and</w:t>
      </w:r>
      <w:r w:rsidRPr="003543CC">
        <w:t xml:space="preserve"> suggest</w:t>
      </w:r>
      <w:r>
        <w:t>s</w:t>
      </w:r>
      <w:r w:rsidRPr="003543CC">
        <w:t xml:space="preserve"> ways to make the MSR fully flexible and responsive to shocks.</w:t>
      </w:r>
    </w:p>
  </w:footnote>
  <w:footnote w:id="8">
    <w:p w14:paraId="252A8015" w14:textId="77777777" w:rsidR="001C166C" w:rsidRDefault="001C166C" w:rsidP="006848E4">
      <w:pPr>
        <w:pStyle w:val="FootnoteText"/>
        <w:jc w:val="both"/>
      </w:pPr>
      <w:r>
        <w:rPr>
          <w:rStyle w:val="FootnoteReference"/>
        </w:rPr>
        <w:footnoteRef/>
      </w:r>
      <w:r>
        <w:t xml:space="preserve"> The third-order moment is the skewness of one asset revealing the financial instability information. The negative skewness implies the higher probability in a price drop and vice versa.</w:t>
      </w:r>
      <w:r>
        <w:rPr>
          <w:rFonts w:hint="eastAsia"/>
        </w:rPr>
        <w:t xml:space="preserve"> </w:t>
      </w:r>
      <w:r>
        <w:t xml:space="preserve">Moreover, the fourth-order moment, the kurtosis of one asset, shows the tail and peak feature of one asset distribution. A high kurtosis suggests that asset returns have a “fat tail,” implying the high probability of extreme price </w:t>
      </w:r>
      <w:r w:rsidRPr="00842492">
        <w:rPr>
          <w:iCs/>
          <w:noProof/>
        </w:rPr>
        <w:t>(Bali</w:t>
      </w:r>
      <w:r>
        <w:rPr>
          <w:iCs/>
          <w:noProof/>
        </w:rPr>
        <w:t xml:space="preserve"> et al.</w:t>
      </w:r>
      <w:r w:rsidRPr="00842492">
        <w:rPr>
          <w:iCs/>
          <w:noProof/>
        </w:rPr>
        <w:t>, 2008)</w:t>
      </w:r>
      <w:r>
        <w:t>.</w:t>
      </w:r>
    </w:p>
  </w:footnote>
  <w:footnote w:id="9">
    <w:p w14:paraId="348E4EF1" w14:textId="77777777" w:rsidR="001C166C" w:rsidRPr="003265FF" w:rsidRDefault="001C166C" w:rsidP="00EE10D8">
      <w:pPr>
        <w:pStyle w:val="FootnoteText"/>
        <w:jc w:val="both"/>
        <w:rPr>
          <w:rFonts w:eastAsiaTheme="minorEastAsia"/>
        </w:rPr>
      </w:pPr>
      <w:r w:rsidRPr="00D46E00">
        <w:rPr>
          <w:rStyle w:val="FootnoteReference"/>
        </w:rPr>
        <w:footnoteRef/>
      </w:r>
      <w:r w:rsidRPr="00D46E00">
        <w:t xml:space="preserve"> The empirical analysis has vividly documented that both carbon and energy prices show distinct patterns under different timescales (Dai et al., 2020; Huang et al., 2021; Wang et al., 2020), and there is evidence of timescale heterogeneity in the mean-based or non-linear interplay between the carbon and energy markets (Yu et al., 2015; Zhu et al., 2015). See Section 2.</w:t>
      </w:r>
    </w:p>
  </w:footnote>
  <w:footnote w:id="10">
    <w:p w14:paraId="52773E24" w14:textId="77777777" w:rsidR="001C166C" w:rsidRPr="003642F6" w:rsidRDefault="001C166C" w:rsidP="00EE10D8">
      <w:pPr>
        <w:pStyle w:val="FootnoteText"/>
      </w:pPr>
      <w:r>
        <w:rPr>
          <w:rStyle w:val="FootnoteReference"/>
        </w:rPr>
        <w:footnoteRef/>
      </w:r>
      <w:r>
        <w:t xml:space="preserve"> In Section 2, we discuss the characteristics in detail.</w:t>
      </w:r>
    </w:p>
  </w:footnote>
  <w:footnote w:id="11">
    <w:p w14:paraId="5E084C47" w14:textId="66873580" w:rsidR="001C166C" w:rsidRPr="003B6C5B" w:rsidRDefault="001C166C">
      <w:pPr>
        <w:pStyle w:val="FootnoteText"/>
        <w:rPr>
          <w:rFonts w:eastAsiaTheme="minorEastAsia"/>
        </w:rPr>
      </w:pPr>
      <w:r>
        <w:rPr>
          <w:rStyle w:val="FootnoteReference"/>
        </w:rPr>
        <w:footnoteRef/>
      </w:r>
      <w:r>
        <w:t xml:space="preserve"> See </w:t>
      </w:r>
      <w:r>
        <w:rPr>
          <w:noProof/>
        </w:rPr>
        <w:t>Alberola et al. (2008), Balcılar et al. (2016), Chevallier (2011a), Feng et al. (2011), Lutz et al. (2013), and Zhang et al. (2008)</w:t>
      </w:r>
    </w:p>
  </w:footnote>
  <w:footnote w:id="12">
    <w:p w14:paraId="02EAF8D2" w14:textId="3C7F3CFC" w:rsidR="001C166C" w:rsidRPr="00042485" w:rsidRDefault="001C166C">
      <w:pPr>
        <w:pStyle w:val="FootnoteText"/>
        <w:rPr>
          <w:rFonts w:eastAsiaTheme="minorEastAsia"/>
        </w:rPr>
      </w:pPr>
      <w:r>
        <w:rPr>
          <w:rStyle w:val="FootnoteReference"/>
        </w:rPr>
        <w:footnoteRef/>
      </w:r>
      <w:r>
        <w:t xml:space="preserve"> </w:t>
      </w:r>
      <w:r w:rsidRPr="007A68FD">
        <w:t xml:space="preserve">where </w:t>
      </w:r>
      <m:oMath>
        <m:acc>
          <m:accPr>
            <m:ctrlPr>
              <w:rPr>
                <w:rFonts w:ascii="Cambria Math" w:hAnsi="Cambria Math"/>
              </w:rPr>
            </m:ctrlPr>
          </m:accPr>
          <m:e>
            <m:r>
              <m:rPr>
                <m:scr m:val="script"/>
                <m:sty m:val="p"/>
              </m:rPr>
              <w:rPr>
                <w:rFonts w:ascii="Cambria Math" w:hAnsi="Cambria Math"/>
              </w:rPr>
              <m:t>E</m:t>
            </m:r>
          </m:e>
        </m:acc>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Y</m:t>
            </m:r>
          </m:e>
          <m:sub>
            <m:r>
              <w:rPr>
                <w:rFonts w:ascii="Cambria Math" w:hAnsi="Cambria Math"/>
              </w:rPr>
              <m:t>m</m:t>
            </m:r>
          </m:sub>
        </m:sSub>
        <m:r>
          <m:rPr>
            <m:sty m:val="p"/>
          </m:rPr>
          <w:rPr>
            <w:rFonts w:ascii="Cambria Math" w:hAnsi="Cambria Math"/>
          </w:rPr>
          <m:t>;</m:t>
        </m:r>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mn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j</m:t>
                            </m:r>
                          </m:sub>
                        </m:sSub>
                      </m:e>
                    </m:d>
                  </m:e>
                  <m:sup>
                    <m:r>
                      <w:rPr>
                        <w:rFonts w:ascii="Cambria Math" w:hAnsi="Cambria Math"/>
                      </w:rPr>
                      <m:t>α</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r>
                      <m:rPr>
                        <m:sty m:val="p"/>
                      </m:rPr>
                      <w:rPr>
                        <w:rFonts w:ascii="Cambria Math" w:hAnsi="Cambria Math"/>
                      </w:rPr>
                      <m:t>)</m:t>
                    </m:r>
                  </m:e>
                  <m:sup>
                    <m:r>
                      <m:rPr>
                        <m:sty m:val="p"/>
                      </m:rPr>
                      <w:rPr>
                        <w:rFonts w:ascii="Cambria Math" w:hAnsi="Cambria Math"/>
                      </w:rPr>
                      <m:t>-1</m:t>
                    </m:r>
                  </m:sup>
                </m:sSup>
              </m:e>
            </m:nary>
          </m:e>
        </m:nary>
        <m:nary>
          <m:naryPr>
            <m:chr m:val="∑"/>
            <m:limLoc m:val="undOvr"/>
            <m:supHide m:val="1"/>
            <m:ctrlPr>
              <w:rPr>
                <w:rFonts w:ascii="Cambria Math" w:hAnsi="Cambria Math"/>
              </w:rPr>
            </m:ctrlPr>
          </m:naryPr>
          <m:sub>
            <m:r>
              <m:rPr>
                <m:sty m:val="p"/>
              </m:rPr>
              <w:rPr>
                <w:rFonts w:ascii="Cambria Math" w:hAnsi="Cambria Math"/>
              </w:rPr>
              <m:t>1≤</m:t>
            </m:r>
            <m:r>
              <w:rPr>
                <w:rFonts w:ascii="Cambria Math" w:hAnsi="Cambria Math"/>
              </w:rPr>
              <m:t>i</m:t>
            </m:r>
            <m:r>
              <m:rPr>
                <m:sty m:val="p"/>
              </m:rPr>
              <w:rPr>
                <w:rFonts w:ascii="Cambria Math" w:hAnsi="Cambria Math"/>
              </w:rPr>
              <m:t>&lt;</m:t>
            </m:r>
            <m:r>
              <w:rPr>
                <w:rFonts w:ascii="Cambria Math" w:hAnsi="Cambria Math"/>
              </w:rPr>
              <m:t>k</m:t>
            </m:r>
            <m:r>
              <m:rPr>
                <m:sty m:val="p"/>
              </m:rPr>
              <w:rPr>
                <w:rFonts w:ascii="Cambria Math" w:hAnsi="Cambria Math"/>
              </w:rPr>
              <m:t>≤</m:t>
            </m:r>
            <m:r>
              <w:rPr>
                <w:rFonts w:ascii="Cambria Math" w:hAnsi="Cambria Math"/>
              </w:rPr>
              <m:t>n</m:t>
            </m:r>
          </m:sub>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k</m:t>
                        </m:r>
                      </m:sub>
                    </m:sSub>
                  </m:e>
                </m:d>
              </m:e>
              <m:sup>
                <m:r>
                  <w:rPr>
                    <w:rFonts w:ascii="Cambria Math" w:hAnsi="Cambria Math"/>
                  </w:rPr>
                  <m:t>α</m:t>
                </m:r>
              </m:sup>
            </m:sSup>
          </m:e>
        </m:nary>
        <m:r>
          <m:rPr>
            <m:sty m:val="p"/>
          </m:rPr>
          <w:rPr>
            <w:rFonts w:ascii="Cambria Math" w:hAnsi="Cambria Math"/>
          </w:rPr>
          <m:t>-</m:t>
        </m:r>
        <m:sSup>
          <m:sSupPr>
            <m:ctrlPr>
              <w:rPr>
                <w:rFonts w:ascii="Cambria Math" w:hAnsi="Cambria Math"/>
              </w:rPr>
            </m:ctrlPr>
          </m:sSupPr>
          <m:e>
            <m:r>
              <m:rPr>
                <m:sty m:val="p"/>
              </m:rPr>
              <w:rPr>
                <w:rFonts w:ascii="Cambria Math" w:hAnsi="Cambria Math"/>
              </w:rPr>
              <m:t>(</m:t>
            </m:r>
            <m:m>
              <m:mPr>
                <m:mcs>
                  <m:mc>
                    <m:mcPr>
                      <m:count m:val="1"/>
                      <m:mcJc m:val="center"/>
                    </m:mcPr>
                  </m:mc>
                </m:mcs>
                <m:ctrlPr>
                  <w:rPr>
                    <w:rFonts w:ascii="Cambria Math" w:hAnsi="Cambria Math"/>
                  </w:rPr>
                </m:ctrlPr>
              </m:mPr>
              <m:mr>
                <m:e>
                  <m:r>
                    <w:rPr>
                      <w:rFonts w:ascii="Cambria Math" w:hAnsi="Cambria Math"/>
                    </w:rPr>
                    <m:t>n</m:t>
                  </m:r>
                </m:e>
              </m:mr>
              <m:mr>
                <m:e>
                  <m:r>
                    <m:rPr>
                      <m:sty m:val="p"/>
                    </m:rPr>
                    <w:rPr>
                      <w:rFonts w:ascii="Cambria Math" w:hAnsi="Cambria Math"/>
                    </w:rPr>
                    <m:t>2</m:t>
                  </m:r>
                </m:e>
              </m:mr>
            </m:m>
            <m:r>
              <m:rPr>
                <m:sty m:val="p"/>
              </m:rPr>
              <w:rPr>
                <w:rFonts w:ascii="Cambria Math" w:hAnsi="Cambria Math"/>
              </w:rPr>
              <m:t>)</m:t>
            </m:r>
          </m:e>
          <m:sup>
            <m:r>
              <m:rPr>
                <m:sty m:val="p"/>
              </m:rPr>
              <w:rPr>
                <w:rFonts w:ascii="Cambria Math" w:hAnsi="Cambria Math"/>
              </w:rPr>
              <m:t>-1</m:t>
            </m:r>
          </m:sup>
        </m:sSup>
        <m:nary>
          <m:naryPr>
            <m:chr m:val="∑"/>
            <m:limLoc m:val="undOvr"/>
            <m:supHide m:val="1"/>
            <m:ctrlPr>
              <w:rPr>
                <w:rFonts w:ascii="Cambria Math" w:hAnsi="Cambria Math"/>
              </w:rPr>
            </m:ctrlPr>
          </m:naryPr>
          <m:sub>
            <m:r>
              <m:rPr>
                <m:sty m:val="p"/>
              </m:rPr>
              <w:rPr>
                <w:rFonts w:ascii="Cambria Math" w:hAnsi="Cambria Math"/>
              </w:rPr>
              <m:t>1≤</m:t>
            </m:r>
            <m:r>
              <w:rPr>
                <w:rFonts w:ascii="Cambria Math" w:hAnsi="Cambria Math"/>
              </w:rPr>
              <m:t>j</m:t>
            </m:r>
            <m:r>
              <m:rPr>
                <m:sty m:val="p"/>
              </m:rPr>
              <w:rPr>
                <w:rFonts w:ascii="Cambria Math" w:hAnsi="Cambria Math"/>
              </w:rPr>
              <m:t>&lt;</m:t>
            </m:r>
            <m:r>
              <w:rPr>
                <w:rFonts w:ascii="Cambria Math" w:hAnsi="Cambria Math"/>
              </w:rPr>
              <m:t>k</m:t>
            </m:r>
            <m:r>
              <m:rPr>
                <m:sty m:val="p"/>
              </m:rPr>
              <w:rPr>
                <w:rFonts w:ascii="Cambria Math" w:hAnsi="Cambria Math"/>
              </w:rPr>
              <m:t>≤</m:t>
            </m:r>
            <m:r>
              <w:rPr>
                <w:rFonts w:ascii="Cambria Math" w:hAnsi="Cambria Math"/>
              </w:rPr>
              <m:t>m</m:t>
            </m:r>
          </m:sub>
          <m:sup/>
          <m:e>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e>
              <m:sup>
                <m:r>
                  <w:rPr>
                    <w:rFonts w:ascii="Cambria Math" w:hAnsi="Cambria Math"/>
                  </w:rPr>
                  <m:t>α</m:t>
                </m:r>
              </m:sup>
            </m:sSup>
          </m:e>
        </m:nary>
      </m:oMath>
      <w:r>
        <w:rPr>
          <w:rFonts w:eastAsiaTheme="minorEastAsia" w:hint="eastAsia"/>
        </w:rPr>
        <w:t>.</w:t>
      </w:r>
    </w:p>
  </w:footnote>
  <w:footnote w:id="13">
    <w:p w14:paraId="50245DEE" w14:textId="3D8AA550" w:rsidR="001C166C" w:rsidRPr="00BC6B49" w:rsidRDefault="001C166C">
      <w:pPr>
        <w:pStyle w:val="FootnoteText"/>
        <w:rPr>
          <w:rFonts w:eastAsiaTheme="minorEastAsia"/>
        </w:rPr>
      </w:pPr>
      <w:r>
        <w:rPr>
          <w:rStyle w:val="FootnoteReference"/>
        </w:rPr>
        <w:footnoteRef/>
      </w:r>
      <w:r>
        <w:t xml:space="preserve"> </w:t>
      </w:r>
      <m:oMath>
        <m:r>
          <m:rPr>
            <m:sty m:val="b"/>
          </m:rPr>
          <w:rPr>
            <w:rFonts w:ascii="Cambria Math" w:hAnsi="Cambria Math"/>
          </w:rPr>
          <m:t>C</m:t>
        </m:r>
        <m:r>
          <m:rPr>
            <m:sty m:val="p"/>
          </m:rPr>
          <w:rPr>
            <w:rFonts w:ascii="Cambria Math" w:hAnsi="Cambria Math"/>
          </w:rPr>
          <m:t>(</m:t>
        </m:r>
        <m:r>
          <w:rPr>
            <w:rFonts w:ascii="Cambria Math" w:hAnsi="Cambria Math"/>
          </w:rPr>
          <m:t>L</m:t>
        </m:r>
        <m:r>
          <m:rPr>
            <m:sty m:val="p"/>
          </m:rPr>
          <w:rPr>
            <w:rFonts w:ascii="Cambria Math" w:hAnsi="Cambria Math"/>
          </w:rPr>
          <m:t>)=</m:t>
        </m:r>
        <m:sSub>
          <m:sSubPr>
            <m:ctrlPr>
              <w:rPr>
                <w:rFonts w:ascii="Cambria Math" w:hAnsi="Cambria Math"/>
              </w:rPr>
            </m:ctrlPr>
          </m:sSubPr>
          <m:e>
            <m:r>
              <m:rPr>
                <m:sty m:val="b"/>
              </m:rPr>
              <w:rPr>
                <w:rFonts w:ascii="Cambria Math" w:hAnsi="Cambria Math"/>
              </w:rPr>
              <m:t>I</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C</m:t>
            </m:r>
          </m:e>
          <m:sub>
            <m:r>
              <m:rPr>
                <m:sty m:val="p"/>
              </m:rPr>
              <w:rPr>
                <w:rFonts w:ascii="Cambria Math" w:hAnsi="Cambria Math"/>
              </w:rPr>
              <m:t>1</m:t>
            </m:r>
          </m:sub>
        </m:sSub>
        <m:r>
          <w:rPr>
            <w:rFonts w:ascii="Cambria Math" w:hAnsi="Cambria Math"/>
          </w:rPr>
          <m:t>L</m:t>
        </m:r>
        <m:r>
          <m:rPr>
            <m:sty m:val="p"/>
          </m:rPr>
          <w:rPr>
            <w:rFonts w:ascii="Cambria Math" w:hAnsi="Cambria Math"/>
          </w:rPr>
          <m:t>+</m:t>
        </m:r>
        <m:sSub>
          <m:sSubPr>
            <m:ctrlPr>
              <w:rPr>
                <w:rFonts w:ascii="Cambria Math" w:hAnsi="Cambria Math"/>
              </w:rPr>
            </m:ctrlPr>
          </m:sSubPr>
          <m:e>
            <m:r>
              <m:rPr>
                <m:sty m:val="b"/>
              </m:rPr>
              <w:rPr>
                <w:rFonts w:ascii="Cambria Math" w:hAnsi="Cambria Math"/>
              </w:rPr>
              <m:t>C</m:t>
            </m:r>
          </m:e>
          <m:sub>
            <m:r>
              <m:rPr>
                <m:sty m:val="p"/>
              </m:rPr>
              <w:rPr>
                <w:rFonts w:ascii="Cambria Math" w:hAnsi="Cambria Math"/>
              </w:rPr>
              <m:t>2</m:t>
            </m:r>
          </m:sub>
        </m:sSub>
        <m:sSup>
          <m:sSupPr>
            <m:ctrlPr>
              <w:rPr>
                <w:rFonts w:ascii="Cambria Math" w:hAnsi="Cambria Math"/>
              </w:rPr>
            </m:ctrlPr>
          </m:sSupPr>
          <m:e>
            <m:r>
              <w:rPr>
                <w:rFonts w:ascii="Cambria Math" w:hAnsi="Cambria Math"/>
              </w:rPr>
              <m:t>L</m:t>
            </m:r>
          </m:e>
          <m:sup>
            <m:r>
              <m:rPr>
                <m:sty m:val="p"/>
              </m:rPr>
              <w:rPr>
                <w:rFonts w:ascii="Cambria Math" w:hAnsi="Cambria Math"/>
              </w:rPr>
              <m:t>2</m:t>
            </m:r>
          </m:sup>
        </m:sSup>
        <m:r>
          <m:rPr>
            <m:sty m:val="p"/>
          </m:rPr>
          <w:rPr>
            <w:rFonts w:ascii="Cambria Math" w:hAnsi="Cambria Math"/>
          </w:rPr>
          <m:t>+...</m:t>
        </m:r>
      </m:oMath>
      <w:r w:rsidRPr="00842492">
        <w:t xml:space="preserve"> is </w:t>
      </w:r>
      <m:oMath>
        <m:r>
          <m:rPr>
            <m:sty m:val="p"/>
          </m:rPr>
          <w:rPr>
            <w:rFonts w:ascii="Cambria Math" w:hAnsi="Cambria Math"/>
          </w:rPr>
          <m:t>∞</m:t>
        </m:r>
      </m:oMath>
      <w:r w:rsidRPr="00842492">
        <w:t xml:space="preserve">-th order </w:t>
      </w:r>
      <m:oMath>
        <m:r>
          <w:rPr>
            <w:rFonts w:ascii="Cambria Math" w:hAnsi="Cambria Math"/>
          </w:rPr>
          <m:t>n</m:t>
        </m:r>
      </m:oMath>
      <w:r w:rsidRPr="00842492">
        <w:t>x</w:t>
      </w:r>
      <m:oMath>
        <m:r>
          <w:rPr>
            <w:rFonts w:ascii="Cambria Math" w:hAnsi="Cambria Math"/>
          </w:rPr>
          <m:t>n</m:t>
        </m:r>
      </m:oMath>
      <w:r w:rsidRPr="00842492">
        <w:t xml:space="preserve"> lag-polynomial, </w:t>
      </w:r>
      <m:oMath>
        <m:sSub>
          <m:sSubPr>
            <m:ctrlPr>
              <w:rPr>
                <w:rFonts w:ascii="Cambria Math" w:hAnsi="Cambria Math"/>
              </w:rPr>
            </m:ctrlPr>
          </m:sSubPr>
          <m:e>
            <m:r>
              <m:rPr>
                <m:sty m:val="b"/>
              </m:rPr>
              <w:rPr>
                <w:rFonts w:ascii="Cambria Math" w:hAnsi="Cambria Math"/>
              </w:rPr>
              <m:t>C</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B</m:t>
            </m:r>
          </m:e>
          <m:sub>
            <m:r>
              <m:rPr>
                <m:sty m:val="p"/>
              </m:rPr>
              <w:rPr>
                <w:rFonts w:ascii="Cambria Math" w:hAnsi="Cambria Math"/>
              </w:rPr>
              <m:t>1</m:t>
            </m:r>
          </m:sub>
        </m:sSub>
        <m:sSub>
          <m:sSubPr>
            <m:ctrlPr>
              <w:rPr>
                <w:rFonts w:ascii="Cambria Math" w:hAnsi="Cambria Math"/>
              </w:rPr>
            </m:ctrlPr>
          </m:sSubPr>
          <m:e>
            <m:r>
              <m:rPr>
                <m:sty m:val="b"/>
              </m:rPr>
              <w:rPr>
                <w:rFonts w:ascii="Cambria Math" w:hAnsi="Cambria Math"/>
              </w:rPr>
              <m:t>C</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B</m:t>
            </m:r>
          </m:e>
          <m:sub>
            <m:r>
              <m:rPr>
                <m:sty m:val="p"/>
              </m:rPr>
              <w:rPr>
                <w:rFonts w:ascii="Cambria Math" w:hAnsi="Cambria Math"/>
              </w:rPr>
              <m:t>1</m:t>
            </m:r>
          </m:sub>
        </m:sSub>
        <m:sSub>
          <m:sSubPr>
            <m:ctrlPr>
              <w:rPr>
                <w:rFonts w:ascii="Cambria Math" w:hAnsi="Cambria Math"/>
              </w:rPr>
            </m:ctrlPr>
          </m:sSubPr>
          <m:e>
            <m:r>
              <m:rPr>
                <m:sty m:val="b"/>
              </m:rPr>
              <w:rPr>
                <w:rFonts w:ascii="Cambria Math" w:hAnsi="Cambria Math"/>
              </w:rPr>
              <m:t>C</m:t>
            </m:r>
          </m:e>
          <m:sub>
            <m:r>
              <w:rPr>
                <w:rFonts w:ascii="Cambria Math" w:hAnsi="Cambria Math"/>
              </w:rPr>
              <m:t>k</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B</m:t>
            </m:r>
          </m:e>
          <m:sub>
            <m:r>
              <w:rPr>
                <w:rFonts w:ascii="Cambria Math" w:hAnsi="Cambria Math"/>
              </w:rPr>
              <m:t>p</m:t>
            </m:r>
          </m:sub>
        </m:sSub>
        <m:sSub>
          <m:sSubPr>
            <m:ctrlPr>
              <w:rPr>
                <w:rFonts w:ascii="Cambria Math" w:hAnsi="Cambria Math"/>
              </w:rPr>
            </m:ctrlPr>
          </m:sSubPr>
          <m:e>
            <m:r>
              <m:rPr>
                <m:sty m:val="b"/>
              </m:rPr>
              <w:rPr>
                <w:rFonts w:ascii="Cambria Math" w:hAnsi="Cambria Math"/>
              </w:rPr>
              <m:t>C</m:t>
            </m:r>
          </m:e>
          <m:sub>
            <m:r>
              <w:rPr>
                <w:rFonts w:ascii="Cambria Math" w:hAnsi="Cambria Math"/>
              </w:rPr>
              <m:t>k</m:t>
            </m:r>
            <m:r>
              <m:rPr>
                <m:sty m:val="p"/>
              </m:rPr>
              <w:rPr>
                <w:rFonts w:ascii="Cambria Math" w:hAnsi="Cambria Math"/>
              </w:rPr>
              <m:t>-</m:t>
            </m:r>
            <m:r>
              <w:rPr>
                <w:rFonts w:ascii="Cambria Math" w:hAnsi="Cambria Math"/>
              </w:rPr>
              <m:t>p</m:t>
            </m:r>
          </m:sub>
        </m:sSub>
      </m:oMath>
      <w:r w:rsidRPr="00842492">
        <w:t>(</w:t>
      </w:r>
      <m:oMath>
        <m:sSub>
          <m:sSubPr>
            <m:ctrlPr>
              <w:rPr>
                <w:rFonts w:ascii="Cambria Math" w:hAnsi="Cambria Math"/>
              </w:rPr>
            </m:ctrlPr>
          </m:sSubPr>
          <m:e>
            <m:r>
              <m:rPr>
                <m:sty m:val="b"/>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I</m:t>
            </m:r>
          </m:e>
          <m:sub>
            <m:r>
              <w:rPr>
                <w:rFonts w:ascii="Cambria Math" w:hAnsi="Cambria Math"/>
              </w:rPr>
              <m:t>n</m:t>
            </m:r>
          </m:sub>
        </m:sSub>
      </m:oMath>
      <w:r w:rsidRPr="00842492">
        <w:t xml:space="preserve">), and </w:t>
      </w:r>
      <m:oMath>
        <m:sSub>
          <m:sSubPr>
            <m:ctrlPr>
              <w:rPr>
                <w:rFonts w:ascii="Cambria Math" w:hAnsi="Cambria Math"/>
              </w:rPr>
            </m:ctrlPr>
          </m:sSubPr>
          <m:e>
            <m:r>
              <m:rPr>
                <m:sty m:val="b"/>
              </m:rPr>
              <w:rPr>
                <w:rFonts w:ascii="Cambria Math" w:hAnsi="Cambria Math"/>
              </w:rPr>
              <m:t>ϵ</m:t>
            </m:r>
          </m:e>
          <m:sub>
            <m:r>
              <w:rPr>
                <w:rFonts w:ascii="Cambria Math" w:hAnsi="Cambria Math"/>
              </w:rPr>
              <m:t>t</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d</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Σ</m:t>
        </m:r>
        <m:r>
          <m:rPr>
            <m:sty m:val="p"/>
          </m:rPr>
          <w:rPr>
            <w:rFonts w:ascii="Cambria Math" w:hAnsi="Cambria Math"/>
          </w:rPr>
          <m:t>)</m:t>
        </m:r>
      </m:oMath>
      <w:r>
        <w:t xml:space="preserve">, and </w:t>
      </w:r>
      <m:oMath>
        <m:sSubSup>
          <m:sSubSupPr>
            <m:ctrlPr>
              <w:rPr>
                <w:rFonts w:ascii="Cambria Math" w:hAnsi="Cambria Math"/>
              </w:rPr>
            </m:ctrlPr>
          </m:sSubSupPr>
          <m:e>
            <m:r>
              <w:rPr>
                <w:rFonts w:ascii="Cambria Math" w:hAnsi="Cambria Math"/>
              </w:rPr>
              <m:t>θ</m:t>
            </m:r>
          </m:e>
          <m:sub>
            <m:r>
              <w:rPr>
                <w:rFonts w:ascii="Cambria Math" w:hAnsi="Cambria Math"/>
              </w:rPr>
              <m:t>i</m:t>
            </m:r>
            <m:r>
              <m:rPr>
                <m:sty m:val="p"/>
              </m:rPr>
              <w:rPr>
                <w:rFonts w:ascii="Cambria Math" w:hAnsi="Cambria Math"/>
              </w:rPr>
              <m:t>,</m:t>
            </m:r>
            <m:r>
              <w:rPr>
                <w:rFonts w:ascii="Cambria Math" w:hAnsi="Cambria Math"/>
              </w:rPr>
              <m:t>j</m:t>
            </m:r>
          </m:sub>
          <m:sup>
            <m:r>
              <w:rPr>
                <w:rFonts w:ascii="Cambria Math" w:hAnsi="Cambria Math"/>
              </w:rPr>
              <m:t>DY</m:t>
            </m:r>
          </m:sup>
        </m:sSubSup>
        <m:r>
          <m:rPr>
            <m:sty m:val="p"/>
          </m:rPr>
          <w:rPr>
            <w:rFonts w:ascii="Cambria Math" w:hAnsi="Cambria Math"/>
          </w:rPr>
          <m:t>(</m:t>
        </m:r>
        <m:r>
          <w:rPr>
            <w:rFonts w:ascii="Cambria Math" w:hAnsi="Cambria Math"/>
          </w:rPr>
          <m:t>H</m:t>
        </m:r>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σ</m:t>
                </m:r>
              </m:e>
              <m:sub>
                <m:r>
                  <w:rPr>
                    <w:rFonts w:ascii="Cambria Math" w:hAnsi="Cambria Math"/>
                  </w:rPr>
                  <m:t>jj</m:t>
                </m:r>
              </m:sub>
              <m:sup>
                <m:r>
                  <m:rPr>
                    <m:sty m:val="p"/>
                  </m:rPr>
                  <w:rPr>
                    <w:rFonts w:ascii="Cambria Math" w:hAnsi="Cambria Math"/>
                  </w:rPr>
                  <m:t>-1</m:t>
                </m:r>
              </m:sup>
            </m:sSubSup>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o</m:t>
                </m:r>
              </m:sub>
              <m:sup>
                <m:r>
                  <w:rPr>
                    <w:rFonts w:ascii="Cambria Math" w:hAnsi="Cambria Math"/>
                  </w:rPr>
                  <m:t>H</m:t>
                </m:r>
                <m:r>
                  <m:rPr>
                    <m:sty m:val="p"/>
                  </m:rPr>
                  <w:rPr>
                    <w:rFonts w:ascii="Cambria Math" w:hAnsi="Cambria Math"/>
                  </w:rPr>
                  <m:t>-1</m:t>
                </m:r>
              </m:sup>
              <m:e>
                <m:r>
                  <m:rPr>
                    <m:sty m:val="p"/>
                  </m:rPr>
                  <w:rPr>
                    <w:rFonts w:ascii="Cambria Math" w:hAnsi="Cambria Math"/>
                  </w:rPr>
                  <m:t>(</m:t>
                </m:r>
              </m:e>
            </m:nary>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C</m:t>
                </m:r>
              </m:e>
              <m:sub>
                <m:r>
                  <w:rPr>
                    <w:rFonts w:ascii="Cambria Math" w:hAnsi="Cambria Math"/>
                  </w:rPr>
                  <m:t>k</m:t>
                </m:r>
              </m:sub>
            </m:sSub>
            <m:r>
              <m:rPr>
                <m:sty m:val="b"/>
              </m:rPr>
              <w:rPr>
                <w:rFonts w:ascii="Cambria Math" w:hAnsi="Cambria Math"/>
              </w:rPr>
              <m:t>Σ</m:t>
            </m:r>
            <m:sSub>
              <m:sSubPr>
                <m:ctrlPr>
                  <w:rPr>
                    <w:rFonts w:ascii="Cambria Math" w:hAnsi="Cambria Math"/>
                  </w:rPr>
                </m:ctrlPr>
              </m:sSubPr>
              <m:e>
                <m:r>
                  <w:rPr>
                    <w:rFonts w:ascii="Cambria Math" w:hAnsi="Cambria Math"/>
                  </w:rPr>
                  <m:t>e</m:t>
                </m:r>
              </m:e>
              <m:sub>
                <m:r>
                  <w:rPr>
                    <w:rFonts w:ascii="Cambria Math" w:hAnsi="Cambria Math"/>
                  </w:rPr>
                  <m:t>j</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nary>
              <m:naryPr>
                <m:chr m:val="∑"/>
                <m:limLoc m:val="undOvr"/>
                <m:ctrlPr>
                  <w:rPr>
                    <w:rFonts w:ascii="Cambria Math" w:hAnsi="Cambria Math"/>
                  </w:rPr>
                </m:ctrlPr>
              </m:naryPr>
              <m:sub>
                <m:r>
                  <w:rPr>
                    <w:rFonts w:ascii="Cambria Math" w:hAnsi="Cambria Math"/>
                  </w:rPr>
                  <m:t>k</m:t>
                </m:r>
                <m:r>
                  <m:rPr>
                    <m:sty m:val="p"/>
                  </m:rPr>
                  <w:rPr>
                    <w:rFonts w:ascii="Cambria Math" w:hAnsi="Cambria Math"/>
                  </w:rPr>
                  <m:t>=0</m:t>
                </m:r>
              </m:sub>
              <m:sup>
                <m:r>
                  <w:rPr>
                    <w:rFonts w:ascii="Cambria Math" w:hAnsi="Cambria Math"/>
                  </w:rPr>
                  <m:t>H</m:t>
                </m:r>
                <m:r>
                  <m:rPr>
                    <m:sty m:val="p"/>
                  </m:rPr>
                  <w:rPr>
                    <w:rFonts w:ascii="Cambria Math" w:hAnsi="Cambria Math"/>
                  </w:rPr>
                  <m:t>-1</m:t>
                </m:r>
              </m:sup>
              <m:e>
                <m:r>
                  <m:rPr>
                    <m:sty m:val="p"/>
                  </m:rPr>
                  <w:rPr>
                    <w:rFonts w:ascii="Cambria Math" w:hAnsi="Cambria Math"/>
                  </w:rPr>
                  <m:t>(</m:t>
                </m:r>
              </m:e>
            </m:nary>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C</m:t>
                </m:r>
              </m:e>
              <m:sub>
                <m:r>
                  <w:rPr>
                    <w:rFonts w:ascii="Cambria Math" w:hAnsi="Cambria Math"/>
                  </w:rPr>
                  <m:t>k</m:t>
                </m:r>
              </m:sub>
            </m:sSub>
            <m:r>
              <m:rPr>
                <m:sty m:val="b"/>
              </m:rPr>
              <w:rPr>
                <w:rFonts w:ascii="Cambria Math" w:hAnsi="Cambria Math"/>
              </w:rPr>
              <m:t>Σ</m:t>
            </m:r>
            <m:sSub>
              <m:sSubPr>
                <m:ctrlPr>
                  <w:rPr>
                    <w:rFonts w:ascii="Cambria Math" w:hAnsi="Cambria Math"/>
                  </w:rPr>
                </m:ctrlPr>
              </m:sSubPr>
              <m:e>
                <m:r>
                  <m:rPr>
                    <m:sty m:val="b"/>
                  </m:rPr>
                  <w:rPr>
                    <w:rFonts w:ascii="Cambria Math" w:hAnsi="Cambria Math"/>
                  </w:rPr>
                  <m:t>C</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den>
        </m:f>
      </m:oMath>
      <w:r>
        <w:rPr>
          <w:rFonts w:eastAsiaTheme="minorEastAsia" w:hint="eastAsia"/>
        </w:rPr>
        <w:t>.</w:t>
      </w:r>
    </w:p>
  </w:footnote>
  <w:footnote w:id="14">
    <w:p w14:paraId="5DC093B7" w14:textId="209B0C78" w:rsidR="001C166C" w:rsidRPr="00BC6B49" w:rsidRDefault="001C166C">
      <w:pPr>
        <w:pStyle w:val="FootnoteText"/>
        <w:rPr>
          <w:rFonts w:eastAsiaTheme="minorEastAsia"/>
        </w:rPr>
      </w:pPr>
      <w:r>
        <w:rPr>
          <w:rStyle w:val="FootnoteReference"/>
        </w:rPr>
        <w:footnoteRef/>
      </w:r>
      <w:r>
        <w:t xml:space="preserve"> </w:t>
      </w:r>
      <m:oMath>
        <m:r>
          <w:rPr>
            <w:rFonts w:ascii="Cambria Math" w:hAnsi="Cambria Math"/>
          </w:rPr>
          <m:t>i</m:t>
        </m:r>
      </m:oMath>
      <w:r w:rsidRPr="003B6C5B">
        <w:t xml:space="preserve"> is a unit imaginary number and </w:t>
      </w:r>
      <m:oMath>
        <m:r>
          <w:rPr>
            <w:rFonts w:ascii="Cambria Math" w:hAnsi="Cambria Math"/>
          </w:rPr>
          <m:t>ω</m:t>
        </m:r>
      </m:oMath>
      <w:r w:rsidRPr="003B6C5B">
        <w:t xml:space="preserve"> is </w:t>
      </w:r>
      <w:r w:rsidRPr="003B6C5B">
        <w:t>frequency</w:t>
      </w:r>
      <w:r>
        <w:t>.</w:t>
      </w:r>
    </w:p>
  </w:footnote>
  <w:footnote w:id="15">
    <w:p w14:paraId="3E9282C9" w14:textId="69BB5CDE" w:rsidR="001C166C" w:rsidRPr="002E6FC3" w:rsidRDefault="001C166C" w:rsidP="002E6FC3">
      <w:pPr>
        <w:pStyle w:val="FootnoteText"/>
        <w:jc w:val="both"/>
      </w:pPr>
      <w:r>
        <w:rPr>
          <w:rStyle w:val="FootnoteReference"/>
        </w:rPr>
        <w:footnoteRef/>
      </w:r>
      <w:r>
        <w:t xml:space="preserve"> </w:t>
      </w:r>
      <w:r w:rsidRPr="002E6FC3">
        <w:t xml:space="preserve">Although we have chosen futures data as a proxy for </w:t>
      </w:r>
      <w:r>
        <w:t xml:space="preserve">the </w:t>
      </w:r>
      <w:r w:rsidRPr="002E6FC3">
        <w:t>so-called partial assets, our research is not aimed at speculators, but rather at the major players in the energy and carbon markets. This includes</w:t>
      </w:r>
      <w:r>
        <w:t xml:space="preserve"> power</w:t>
      </w:r>
      <w:r w:rsidRPr="002E6FC3">
        <w:t xml:space="preserve"> plants and generators, </w:t>
      </w:r>
      <w:r>
        <w:t>that</w:t>
      </w:r>
      <w:r w:rsidRPr="002E6FC3">
        <w:t xml:space="preserve"> mostly holders of spot assets</w:t>
      </w:r>
      <w:r>
        <w:t>; therefore</w:t>
      </w:r>
      <w:r w:rsidRPr="002E6FC3">
        <w:t xml:space="preserve"> we have imposed restrictions that do not allow short</w:t>
      </w:r>
      <w:r>
        <w:t xml:space="preserve"> selling. </w:t>
      </w:r>
    </w:p>
  </w:footnote>
  <w:footnote w:id="16">
    <w:p w14:paraId="6BA4AB1A" w14:textId="37C12A32" w:rsidR="001C166C" w:rsidRPr="00391DD7" w:rsidRDefault="001C166C" w:rsidP="00391DD7">
      <w:pPr>
        <w:pStyle w:val="FootnoteText"/>
        <w:jc w:val="both"/>
      </w:pPr>
      <w:r>
        <w:rPr>
          <w:rStyle w:val="FootnoteReference"/>
        </w:rPr>
        <w:footnoteRef/>
      </w:r>
      <w:r>
        <w:t xml:space="preserve"> </w:t>
      </w:r>
      <w:r w:rsidRPr="00391DD7">
        <w:t xml:space="preserve">The price series </w:t>
      </w:r>
      <w:r>
        <w:t xml:space="preserve">of </w:t>
      </w:r>
      <w:r w:rsidRPr="00391DD7">
        <w:t>four assets are converted into USD in order to exclude the effects of foreign exchange by the daily EUR/USD exchange rate.</w:t>
      </w:r>
    </w:p>
  </w:footnote>
  <w:footnote w:id="17">
    <w:p w14:paraId="44C74886" w14:textId="02B7D909" w:rsidR="001C166C" w:rsidRPr="00BF71A0" w:rsidRDefault="001C166C" w:rsidP="00BF71A0">
      <w:pPr>
        <w:pStyle w:val="FootnoteText"/>
        <w:jc w:val="both"/>
      </w:pPr>
      <w:r>
        <w:rPr>
          <w:rStyle w:val="FootnoteReference"/>
        </w:rPr>
        <w:footnoteRef/>
      </w:r>
      <w:r>
        <w:t xml:space="preserve"> </w:t>
      </w:r>
      <w:r w:rsidRPr="00BF71A0">
        <w:t>Although some studies have considered spread price</w:t>
      </w:r>
      <w:r>
        <w:t xml:space="preserve"> </w:t>
      </w:r>
      <w:r w:rsidRPr="00BF71A0">
        <w:t>and electricity prices as part of the energy sectors, this study ha</w:t>
      </w:r>
      <w:r>
        <w:t>s</w:t>
      </w:r>
      <w:r w:rsidRPr="00BF71A0">
        <w:t xml:space="preserve"> not selected them given </w:t>
      </w:r>
      <w:r>
        <w:t>as</w:t>
      </w:r>
      <w:r w:rsidRPr="00BF71A0">
        <w:t xml:space="preserve"> crude oil refining products, such as heating oil, and cruises have highly consistent price trajectories</w:t>
      </w:r>
      <w:r>
        <w:t xml:space="preserve"> </w:t>
      </w:r>
      <w:r w:rsidRPr="00BF71A0">
        <w:t xml:space="preserve">(Keppler and Mansanet-Bataller, 2010). Moreover, using renewable energy companies’ stock index as a proxy for renewable energy prices has a particular bias because the stock price will be more affected by other factors, not just the carbon market. </w:t>
      </w:r>
      <w:r>
        <w:t>In addition</w:t>
      </w:r>
      <w:r w:rsidRPr="00BF71A0">
        <w:t>, electricity markets across Europe are not uniform, there is no leading electricity price, and the switch price or spread price can be considered as a linear combination of coal and gas (Chevallier et al., 2019).</w:t>
      </w:r>
    </w:p>
  </w:footnote>
  <w:footnote w:id="18">
    <w:p w14:paraId="3276A114" w14:textId="2857BE29" w:rsidR="001C166C" w:rsidRPr="00F34C42" w:rsidRDefault="001C166C" w:rsidP="00BA0A3A">
      <w:pPr>
        <w:pStyle w:val="FootnoteText"/>
        <w:jc w:val="both"/>
      </w:pPr>
      <w:r>
        <w:rPr>
          <w:rStyle w:val="FootnoteReference"/>
        </w:rPr>
        <w:footnoteRef/>
      </w:r>
      <w:r>
        <w:t xml:space="preserve"> A</w:t>
      </w:r>
      <w:r w:rsidRPr="00842492">
        <w:t xml:space="preserve"> large amount of </w:t>
      </w:r>
      <w:r>
        <w:t xml:space="preserve">the </w:t>
      </w:r>
      <w:r w:rsidRPr="00842492">
        <w:t xml:space="preserve">EUA credits have been banked from Phase II to Phase III. </w:t>
      </w:r>
      <w:r>
        <w:t>Besides</w:t>
      </w:r>
      <w:r w:rsidRPr="00842492">
        <w:t xml:space="preserve">, there are still </w:t>
      </w:r>
      <w:r>
        <w:t>many oversupply</w:t>
      </w:r>
      <w:r w:rsidRPr="00842492">
        <w:t xml:space="preserve"> allowances that are given to emitters for free, whereby </w:t>
      </w:r>
      <w:r>
        <w:t xml:space="preserve">these </w:t>
      </w:r>
      <w:r w:rsidRPr="00842492">
        <w:t>two reasons</w:t>
      </w:r>
      <w:r>
        <w:t xml:space="preserve"> contribute to</w:t>
      </w:r>
      <w:r w:rsidRPr="00842492">
        <w:t xml:space="preserve"> </w:t>
      </w:r>
      <w:r>
        <w:t xml:space="preserve">the EUA </w:t>
      </w:r>
      <w:r w:rsidRPr="00842492">
        <w:t>price</w:t>
      </w:r>
      <w:r>
        <w:t>s</w:t>
      </w:r>
      <w:r w:rsidRPr="00842492">
        <w:t xml:space="preserve"> plummeting.</w:t>
      </w:r>
    </w:p>
  </w:footnote>
  <w:footnote w:id="19">
    <w:p w14:paraId="16AAB5DF" w14:textId="0E64D416" w:rsidR="001C166C" w:rsidRPr="00D60B15" w:rsidRDefault="001C166C" w:rsidP="0066695F">
      <w:pPr>
        <w:pStyle w:val="FootnoteText"/>
      </w:pPr>
      <w:r>
        <w:rPr>
          <w:rStyle w:val="FootnoteReference"/>
        </w:rPr>
        <w:footnoteRef/>
      </w:r>
      <w:r>
        <w:t xml:space="preserve"> </w:t>
      </w:r>
      <w:r w:rsidRPr="00B502DC">
        <w:t>Including the political agreements which have strengthened the MSR and increased Linear Reduction Factor</w:t>
      </w:r>
      <w:r w:rsidRPr="00B502DC" w:rsidDel="005B78D1">
        <w:t xml:space="preserve"> </w:t>
      </w:r>
      <w:r w:rsidRPr="00B502DC">
        <w:t>in 2017.</w:t>
      </w:r>
    </w:p>
  </w:footnote>
  <w:footnote w:id="20">
    <w:p w14:paraId="26C8AB14" w14:textId="08BFE28E" w:rsidR="001C166C" w:rsidRPr="00B502DC" w:rsidRDefault="001C166C" w:rsidP="00B502DC">
      <w:pPr>
        <w:pStyle w:val="FootnoteText"/>
        <w:rPr>
          <w:rFonts w:eastAsiaTheme="minorEastAsia"/>
        </w:rPr>
      </w:pPr>
      <w:r>
        <w:rPr>
          <w:rStyle w:val="FootnoteReference"/>
        </w:rPr>
        <w:footnoteRef/>
      </w:r>
      <w:r>
        <w:t xml:space="preserve"> </w:t>
      </w:r>
      <w:r w:rsidRPr="00B502DC">
        <w:t xml:space="preserve">It </w:t>
      </w:r>
      <w:r>
        <w:t xml:space="preserve">makes logical sense, </w:t>
      </w:r>
      <w:r w:rsidRPr="00B502DC">
        <w:t>if we assume that the higher order moment spillover between energy and carbon reaches 100%, then no matter how much weights are adjusted it will not help.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0E45CC"/>
    <w:multiLevelType w:val="hybridMultilevel"/>
    <w:tmpl w:val="E5581B88"/>
    <w:lvl w:ilvl="0" w:tplc="580AD5C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DE5B1E"/>
    <w:multiLevelType w:val="multilevel"/>
    <w:tmpl w:val="5DDE5B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5E373B68"/>
    <w:multiLevelType w:val="hybridMultilevel"/>
    <w:tmpl w:val="7F3ECA34"/>
    <w:lvl w:ilvl="0" w:tplc="D05A9DEC">
      <w:start w:val="1"/>
      <w:numFmt w:val="decimal"/>
      <w:lvlText w:val="%1)"/>
      <w:lvlJc w:val="left"/>
      <w:pPr>
        <w:ind w:left="900" w:hanging="420"/>
      </w:pPr>
      <w:rPr>
        <w:rFonts w:ascii="Times New Roman" w:eastAsia="DengXian" w:hAnsi="Times New Roman" w:cs="Times New Roman"/>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4096" w:nlCheck="1" w:checkStyle="1"/>
  <w:activeWritingStyle w:appName="MSWord" w:lang="en-GB" w:vendorID="64" w:dllVersion="4096" w:nlCheck="1" w:checkStyle="0"/>
  <w:activeWritingStyle w:appName="MSWord" w:lang="zh-CN" w:vendorID="64" w:dllVersion="0" w:nlCheck="1" w:checkStyle="1"/>
  <w:activeWritingStyle w:appName="MSWord" w:lang="en-US" w:vendorID="64" w:dllVersion="6" w:nlCheck="1" w:checkStyle="1"/>
  <w:activeWritingStyle w:appName="MSWord" w:lang="en-GB" w:vendorID="64" w:dllVersion="6"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2NzE2MjM0MjcwNTZS0lEKTi0uzszPAykwsawFAK6RDtwtAAAA"/>
    <w:docVar w:name="EN.InstantFormat" w:val="&lt;ENInstantFormat&gt;&lt;Enabled&gt;1&lt;/Enabled&gt;&lt;ScanUnformatted&gt;1&lt;/ScanUnformatted&gt;&lt;ScanChanges&gt;1&lt;/ScanChanges&gt;&lt;Suspended&gt;1&lt;/Suspended&gt;&lt;/ENInstantFormat&gt;"/>
  </w:docVars>
  <w:rsids>
    <w:rsidRoot w:val="00A2313E"/>
    <w:rsid w:val="00001F6C"/>
    <w:rsid w:val="00003F7A"/>
    <w:rsid w:val="00011616"/>
    <w:rsid w:val="000135E3"/>
    <w:rsid w:val="00014657"/>
    <w:rsid w:val="00015315"/>
    <w:rsid w:val="00015FE7"/>
    <w:rsid w:val="000179E3"/>
    <w:rsid w:val="00020024"/>
    <w:rsid w:val="00020A19"/>
    <w:rsid w:val="00020EFE"/>
    <w:rsid w:val="00023559"/>
    <w:rsid w:val="000235A6"/>
    <w:rsid w:val="0002591D"/>
    <w:rsid w:val="00026D4B"/>
    <w:rsid w:val="00027898"/>
    <w:rsid w:val="000323B1"/>
    <w:rsid w:val="00042485"/>
    <w:rsid w:val="00042880"/>
    <w:rsid w:val="00043483"/>
    <w:rsid w:val="00043977"/>
    <w:rsid w:val="00043FA4"/>
    <w:rsid w:val="000455DB"/>
    <w:rsid w:val="00046625"/>
    <w:rsid w:val="00046A9C"/>
    <w:rsid w:val="0005062C"/>
    <w:rsid w:val="000507A2"/>
    <w:rsid w:val="00050BEF"/>
    <w:rsid w:val="00054E81"/>
    <w:rsid w:val="000551C0"/>
    <w:rsid w:val="000554C4"/>
    <w:rsid w:val="00055FA7"/>
    <w:rsid w:val="000568A8"/>
    <w:rsid w:val="000611D8"/>
    <w:rsid w:val="000617AF"/>
    <w:rsid w:val="00063FE9"/>
    <w:rsid w:val="0006493B"/>
    <w:rsid w:val="0006583B"/>
    <w:rsid w:val="000679DC"/>
    <w:rsid w:val="00067B5B"/>
    <w:rsid w:val="00067C95"/>
    <w:rsid w:val="00071AC4"/>
    <w:rsid w:val="00072ABE"/>
    <w:rsid w:val="00072AF1"/>
    <w:rsid w:val="00073378"/>
    <w:rsid w:val="0007687F"/>
    <w:rsid w:val="00076D51"/>
    <w:rsid w:val="00077171"/>
    <w:rsid w:val="00077330"/>
    <w:rsid w:val="00077C01"/>
    <w:rsid w:val="000812B7"/>
    <w:rsid w:val="0008277B"/>
    <w:rsid w:val="00082D41"/>
    <w:rsid w:val="000914B7"/>
    <w:rsid w:val="00093D2A"/>
    <w:rsid w:val="000942D4"/>
    <w:rsid w:val="000A6EC0"/>
    <w:rsid w:val="000B00CF"/>
    <w:rsid w:val="000B2255"/>
    <w:rsid w:val="000B26F3"/>
    <w:rsid w:val="000B45C1"/>
    <w:rsid w:val="000B59E0"/>
    <w:rsid w:val="000B6708"/>
    <w:rsid w:val="000B7711"/>
    <w:rsid w:val="000C10F4"/>
    <w:rsid w:val="000C19C8"/>
    <w:rsid w:val="000C1F06"/>
    <w:rsid w:val="000C24C7"/>
    <w:rsid w:val="000C33EB"/>
    <w:rsid w:val="000D3055"/>
    <w:rsid w:val="000D3746"/>
    <w:rsid w:val="000D4976"/>
    <w:rsid w:val="000D563D"/>
    <w:rsid w:val="000D5EC1"/>
    <w:rsid w:val="000D5F32"/>
    <w:rsid w:val="000D7E94"/>
    <w:rsid w:val="000E09E8"/>
    <w:rsid w:val="000E0C53"/>
    <w:rsid w:val="000E285B"/>
    <w:rsid w:val="000E546A"/>
    <w:rsid w:val="000E5A02"/>
    <w:rsid w:val="000F0BED"/>
    <w:rsid w:val="000F0F8B"/>
    <w:rsid w:val="000F50C0"/>
    <w:rsid w:val="000F66D0"/>
    <w:rsid w:val="000F7E2C"/>
    <w:rsid w:val="001018E8"/>
    <w:rsid w:val="00103C80"/>
    <w:rsid w:val="001045F0"/>
    <w:rsid w:val="00104D0A"/>
    <w:rsid w:val="00107B06"/>
    <w:rsid w:val="00107FA8"/>
    <w:rsid w:val="00112CE8"/>
    <w:rsid w:val="0011332E"/>
    <w:rsid w:val="00113C72"/>
    <w:rsid w:val="0011588C"/>
    <w:rsid w:val="001160F5"/>
    <w:rsid w:val="00120AB3"/>
    <w:rsid w:val="00122375"/>
    <w:rsid w:val="00123383"/>
    <w:rsid w:val="00127B02"/>
    <w:rsid w:val="00131E68"/>
    <w:rsid w:val="0013388E"/>
    <w:rsid w:val="0013390C"/>
    <w:rsid w:val="001345D4"/>
    <w:rsid w:val="0013466E"/>
    <w:rsid w:val="00134E0D"/>
    <w:rsid w:val="0013585F"/>
    <w:rsid w:val="0013729B"/>
    <w:rsid w:val="001429D8"/>
    <w:rsid w:val="00142F3E"/>
    <w:rsid w:val="00150AB6"/>
    <w:rsid w:val="00150FD0"/>
    <w:rsid w:val="001527FB"/>
    <w:rsid w:val="00155010"/>
    <w:rsid w:val="00155D63"/>
    <w:rsid w:val="00156A58"/>
    <w:rsid w:val="00157410"/>
    <w:rsid w:val="001578FC"/>
    <w:rsid w:val="00160326"/>
    <w:rsid w:val="00160DE4"/>
    <w:rsid w:val="00161D61"/>
    <w:rsid w:val="00162B13"/>
    <w:rsid w:val="00164711"/>
    <w:rsid w:val="00165A5E"/>
    <w:rsid w:val="00172599"/>
    <w:rsid w:val="00172CB7"/>
    <w:rsid w:val="00180D7E"/>
    <w:rsid w:val="00182EB0"/>
    <w:rsid w:val="001830B3"/>
    <w:rsid w:val="001831F8"/>
    <w:rsid w:val="00184D3D"/>
    <w:rsid w:val="00184F96"/>
    <w:rsid w:val="0018607A"/>
    <w:rsid w:val="0019040A"/>
    <w:rsid w:val="00192336"/>
    <w:rsid w:val="001925FC"/>
    <w:rsid w:val="00195066"/>
    <w:rsid w:val="001962EE"/>
    <w:rsid w:val="0019782B"/>
    <w:rsid w:val="001A0C78"/>
    <w:rsid w:val="001A354A"/>
    <w:rsid w:val="001A3C31"/>
    <w:rsid w:val="001A608D"/>
    <w:rsid w:val="001A6A32"/>
    <w:rsid w:val="001A717D"/>
    <w:rsid w:val="001B1510"/>
    <w:rsid w:val="001B258E"/>
    <w:rsid w:val="001B3108"/>
    <w:rsid w:val="001B325A"/>
    <w:rsid w:val="001B33DF"/>
    <w:rsid w:val="001B3BFE"/>
    <w:rsid w:val="001B6EB2"/>
    <w:rsid w:val="001C166C"/>
    <w:rsid w:val="001C193A"/>
    <w:rsid w:val="001C3195"/>
    <w:rsid w:val="001C76A0"/>
    <w:rsid w:val="001C7EFE"/>
    <w:rsid w:val="001D174F"/>
    <w:rsid w:val="001D2C19"/>
    <w:rsid w:val="001D3393"/>
    <w:rsid w:val="001E149D"/>
    <w:rsid w:val="001E2456"/>
    <w:rsid w:val="001E5434"/>
    <w:rsid w:val="001E57C8"/>
    <w:rsid w:val="001E593E"/>
    <w:rsid w:val="001F35FF"/>
    <w:rsid w:val="001F517D"/>
    <w:rsid w:val="001F5F38"/>
    <w:rsid w:val="001F661D"/>
    <w:rsid w:val="001F79FD"/>
    <w:rsid w:val="001F7B44"/>
    <w:rsid w:val="00200052"/>
    <w:rsid w:val="002015C5"/>
    <w:rsid w:val="002021CF"/>
    <w:rsid w:val="0020430F"/>
    <w:rsid w:val="002124A2"/>
    <w:rsid w:val="00215748"/>
    <w:rsid w:val="00216078"/>
    <w:rsid w:val="0022069B"/>
    <w:rsid w:val="002264B6"/>
    <w:rsid w:val="00227746"/>
    <w:rsid w:val="00232250"/>
    <w:rsid w:val="00232663"/>
    <w:rsid w:val="0023384B"/>
    <w:rsid w:val="00234005"/>
    <w:rsid w:val="00234518"/>
    <w:rsid w:val="00235AA3"/>
    <w:rsid w:val="00236019"/>
    <w:rsid w:val="0023630C"/>
    <w:rsid w:val="00237265"/>
    <w:rsid w:val="002373D3"/>
    <w:rsid w:val="00237E58"/>
    <w:rsid w:val="00241D57"/>
    <w:rsid w:val="002470F4"/>
    <w:rsid w:val="00250A4A"/>
    <w:rsid w:val="00251509"/>
    <w:rsid w:val="00254142"/>
    <w:rsid w:val="002572A0"/>
    <w:rsid w:val="00260142"/>
    <w:rsid w:val="0026051C"/>
    <w:rsid w:val="002628B9"/>
    <w:rsid w:val="00262BDA"/>
    <w:rsid w:val="00262DC8"/>
    <w:rsid w:val="002631F5"/>
    <w:rsid w:val="00263F8A"/>
    <w:rsid w:val="00267B03"/>
    <w:rsid w:val="0027128F"/>
    <w:rsid w:val="00272FD9"/>
    <w:rsid w:val="00274649"/>
    <w:rsid w:val="00280A5E"/>
    <w:rsid w:val="00280D5D"/>
    <w:rsid w:val="00281900"/>
    <w:rsid w:val="002834EC"/>
    <w:rsid w:val="00283886"/>
    <w:rsid w:val="0028418B"/>
    <w:rsid w:val="00284822"/>
    <w:rsid w:val="00290872"/>
    <w:rsid w:val="0029500C"/>
    <w:rsid w:val="00297C0C"/>
    <w:rsid w:val="002A5222"/>
    <w:rsid w:val="002A5283"/>
    <w:rsid w:val="002A6C59"/>
    <w:rsid w:val="002A73B2"/>
    <w:rsid w:val="002A77B7"/>
    <w:rsid w:val="002B27B3"/>
    <w:rsid w:val="002B6BA7"/>
    <w:rsid w:val="002C47C9"/>
    <w:rsid w:val="002C5441"/>
    <w:rsid w:val="002C69F8"/>
    <w:rsid w:val="002D26F6"/>
    <w:rsid w:val="002D2716"/>
    <w:rsid w:val="002D39E3"/>
    <w:rsid w:val="002D3A0F"/>
    <w:rsid w:val="002D55F8"/>
    <w:rsid w:val="002D67DC"/>
    <w:rsid w:val="002D6E6A"/>
    <w:rsid w:val="002E1D64"/>
    <w:rsid w:val="002E2EDB"/>
    <w:rsid w:val="002E33EC"/>
    <w:rsid w:val="002E3422"/>
    <w:rsid w:val="002E68F2"/>
    <w:rsid w:val="002E6FC3"/>
    <w:rsid w:val="002F0396"/>
    <w:rsid w:val="002F18CF"/>
    <w:rsid w:val="002F2CBB"/>
    <w:rsid w:val="002F542D"/>
    <w:rsid w:val="002F602A"/>
    <w:rsid w:val="002F72FD"/>
    <w:rsid w:val="00302A41"/>
    <w:rsid w:val="0030709A"/>
    <w:rsid w:val="00307885"/>
    <w:rsid w:val="00307C35"/>
    <w:rsid w:val="003113B5"/>
    <w:rsid w:val="0031294A"/>
    <w:rsid w:val="00314B55"/>
    <w:rsid w:val="00321D0C"/>
    <w:rsid w:val="00325478"/>
    <w:rsid w:val="003311C3"/>
    <w:rsid w:val="003314A5"/>
    <w:rsid w:val="00337407"/>
    <w:rsid w:val="00340620"/>
    <w:rsid w:val="00342122"/>
    <w:rsid w:val="003430A0"/>
    <w:rsid w:val="00343E1B"/>
    <w:rsid w:val="003448BC"/>
    <w:rsid w:val="003449D1"/>
    <w:rsid w:val="00345F33"/>
    <w:rsid w:val="003515D2"/>
    <w:rsid w:val="00352651"/>
    <w:rsid w:val="00352A59"/>
    <w:rsid w:val="003543CC"/>
    <w:rsid w:val="003552EE"/>
    <w:rsid w:val="0036076C"/>
    <w:rsid w:val="00362141"/>
    <w:rsid w:val="00363D5C"/>
    <w:rsid w:val="00363E9F"/>
    <w:rsid w:val="003642F6"/>
    <w:rsid w:val="00366BEB"/>
    <w:rsid w:val="00375A9B"/>
    <w:rsid w:val="00376252"/>
    <w:rsid w:val="003762E6"/>
    <w:rsid w:val="003807DB"/>
    <w:rsid w:val="00383D88"/>
    <w:rsid w:val="00385830"/>
    <w:rsid w:val="0039057C"/>
    <w:rsid w:val="00390CAA"/>
    <w:rsid w:val="00390F0E"/>
    <w:rsid w:val="00391DD7"/>
    <w:rsid w:val="00391FA7"/>
    <w:rsid w:val="0039294E"/>
    <w:rsid w:val="0039605E"/>
    <w:rsid w:val="00397353"/>
    <w:rsid w:val="003A0BF0"/>
    <w:rsid w:val="003A2BA2"/>
    <w:rsid w:val="003A3CD0"/>
    <w:rsid w:val="003A5541"/>
    <w:rsid w:val="003B1FB5"/>
    <w:rsid w:val="003B393A"/>
    <w:rsid w:val="003B4B1B"/>
    <w:rsid w:val="003B6C5B"/>
    <w:rsid w:val="003B733E"/>
    <w:rsid w:val="003C008D"/>
    <w:rsid w:val="003C03F4"/>
    <w:rsid w:val="003C0463"/>
    <w:rsid w:val="003C14B6"/>
    <w:rsid w:val="003C3C80"/>
    <w:rsid w:val="003C7990"/>
    <w:rsid w:val="003C7C02"/>
    <w:rsid w:val="003D118C"/>
    <w:rsid w:val="003D1661"/>
    <w:rsid w:val="003D2970"/>
    <w:rsid w:val="003E0B53"/>
    <w:rsid w:val="003E13EF"/>
    <w:rsid w:val="003E2045"/>
    <w:rsid w:val="003E3230"/>
    <w:rsid w:val="003E38BD"/>
    <w:rsid w:val="003E46BD"/>
    <w:rsid w:val="003E5652"/>
    <w:rsid w:val="003E632E"/>
    <w:rsid w:val="003E6AE4"/>
    <w:rsid w:val="003E78E3"/>
    <w:rsid w:val="003F093A"/>
    <w:rsid w:val="003F0EB5"/>
    <w:rsid w:val="003F0F2A"/>
    <w:rsid w:val="003F2EAC"/>
    <w:rsid w:val="003F32F3"/>
    <w:rsid w:val="003F3799"/>
    <w:rsid w:val="003F3F49"/>
    <w:rsid w:val="003F5863"/>
    <w:rsid w:val="00404364"/>
    <w:rsid w:val="00415B61"/>
    <w:rsid w:val="00417C24"/>
    <w:rsid w:val="00421634"/>
    <w:rsid w:val="004225BB"/>
    <w:rsid w:val="00422BFD"/>
    <w:rsid w:val="0042374C"/>
    <w:rsid w:val="00430682"/>
    <w:rsid w:val="00433535"/>
    <w:rsid w:val="00433661"/>
    <w:rsid w:val="00433C64"/>
    <w:rsid w:val="0043591F"/>
    <w:rsid w:val="00435BBC"/>
    <w:rsid w:val="00436305"/>
    <w:rsid w:val="004366FC"/>
    <w:rsid w:val="00437BB4"/>
    <w:rsid w:val="00440766"/>
    <w:rsid w:val="004456E5"/>
    <w:rsid w:val="00447001"/>
    <w:rsid w:val="004500A5"/>
    <w:rsid w:val="00452B38"/>
    <w:rsid w:val="0045542F"/>
    <w:rsid w:val="00464782"/>
    <w:rsid w:val="004657ED"/>
    <w:rsid w:val="00465C73"/>
    <w:rsid w:val="0047209C"/>
    <w:rsid w:val="0047258B"/>
    <w:rsid w:val="00474CC6"/>
    <w:rsid w:val="00474F7A"/>
    <w:rsid w:val="00475786"/>
    <w:rsid w:val="004773D5"/>
    <w:rsid w:val="00482B6A"/>
    <w:rsid w:val="0048581B"/>
    <w:rsid w:val="00485A9A"/>
    <w:rsid w:val="00487D4B"/>
    <w:rsid w:val="0049296B"/>
    <w:rsid w:val="004948DC"/>
    <w:rsid w:val="00495622"/>
    <w:rsid w:val="004A1A48"/>
    <w:rsid w:val="004A5918"/>
    <w:rsid w:val="004A75D9"/>
    <w:rsid w:val="004A7D63"/>
    <w:rsid w:val="004A7DFC"/>
    <w:rsid w:val="004B3230"/>
    <w:rsid w:val="004C19A5"/>
    <w:rsid w:val="004C670B"/>
    <w:rsid w:val="004C7793"/>
    <w:rsid w:val="004D0219"/>
    <w:rsid w:val="004D21D7"/>
    <w:rsid w:val="004D700C"/>
    <w:rsid w:val="004E2C1A"/>
    <w:rsid w:val="004E3C44"/>
    <w:rsid w:val="004F29A7"/>
    <w:rsid w:val="004F3A0B"/>
    <w:rsid w:val="004F636C"/>
    <w:rsid w:val="004F6524"/>
    <w:rsid w:val="004F7C61"/>
    <w:rsid w:val="00504B6F"/>
    <w:rsid w:val="00510C23"/>
    <w:rsid w:val="00511315"/>
    <w:rsid w:val="00511E88"/>
    <w:rsid w:val="00515044"/>
    <w:rsid w:val="00515D79"/>
    <w:rsid w:val="005169E8"/>
    <w:rsid w:val="005174C0"/>
    <w:rsid w:val="00517B30"/>
    <w:rsid w:val="00523B5B"/>
    <w:rsid w:val="005250BC"/>
    <w:rsid w:val="00533FDB"/>
    <w:rsid w:val="00534305"/>
    <w:rsid w:val="00534686"/>
    <w:rsid w:val="0053474D"/>
    <w:rsid w:val="005348B7"/>
    <w:rsid w:val="005369F7"/>
    <w:rsid w:val="00536F60"/>
    <w:rsid w:val="005376BD"/>
    <w:rsid w:val="00537D19"/>
    <w:rsid w:val="00540AE7"/>
    <w:rsid w:val="00542A94"/>
    <w:rsid w:val="00543036"/>
    <w:rsid w:val="00543739"/>
    <w:rsid w:val="00543912"/>
    <w:rsid w:val="00550982"/>
    <w:rsid w:val="005509AA"/>
    <w:rsid w:val="00550BC3"/>
    <w:rsid w:val="0055182B"/>
    <w:rsid w:val="00555895"/>
    <w:rsid w:val="0056480B"/>
    <w:rsid w:val="00567585"/>
    <w:rsid w:val="0057304F"/>
    <w:rsid w:val="0057328E"/>
    <w:rsid w:val="005820DF"/>
    <w:rsid w:val="005860F4"/>
    <w:rsid w:val="0059433B"/>
    <w:rsid w:val="00594A00"/>
    <w:rsid w:val="00594BD3"/>
    <w:rsid w:val="0059665D"/>
    <w:rsid w:val="005A1E57"/>
    <w:rsid w:val="005A2980"/>
    <w:rsid w:val="005A51F3"/>
    <w:rsid w:val="005A68F9"/>
    <w:rsid w:val="005A6940"/>
    <w:rsid w:val="005B3DEB"/>
    <w:rsid w:val="005B4D2F"/>
    <w:rsid w:val="005B69A9"/>
    <w:rsid w:val="005B78D1"/>
    <w:rsid w:val="005B7DED"/>
    <w:rsid w:val="005C168D"/>
    <w:rsid w:val="005C1C8B"/>
    <w:rsid w:val="005C3FA3"/>
    <w:rsid w:val="005C50BB"/>
    <w:rsid w:val="005C63A5"/>
    <w:rsid w:val="005C70B4"/>
    <w:rsid w:val="005C7D85"/>
    <w:rsid w:val="005D2ED6"/>
    <w:rsid w:val="005D34F9"/>
    <w:rsid w:val="005D71C0"/>
    <w:rsid w:val="005D746E"/>
    <w:rsid w:val="005E0746"/>
    <w:rsid w:val="005E529C"/>
    <w:rsid w:val="005F0E85"/>
    <w:rsid w:val="00605052"/>
    <w:rsid w:val="006114F9"/>
    <w:rsid w:val="00611ED8"/>
    <w:rsid w:val="00613002"/>
    <w:rsid w:val="00613DA6"/>
    <w:rsid w:val="00616B1E"/>
    <w:rsid w:val="00620080"/>
    <w:rsid w:val="006200C7"/>
    <w:rsid w:val="00620519"/>
    <w:rsid w:val="00623BB3"/>
    <w:rsid w:val="00624292"/>
    <w:rsid w:val="006248E6"/>
    <w:rsid w:val="0062578F"/>
    <w:rsid w:val="00627217"/>
    <w:rsid w:val="0063416C"/>
    <w:rsid w:val="006349B3"/>
    <w:rsid w:val="006369A2"/>
    <w:rsid w:val="00637D97"/>
    <w:rsid w:val="00637E6F"/>
    <w:rsid w:val="0064054F"/>
    <w:rsid w:val="00640D85"/>
    <w:rsid w:val="00641028"/>
    <w:rsid w:val="00641644"/>
    <w:rsid w:val="00643526"/>
    <w:rsid w:val="0064448E"/>
    <w:rsid w:val="00651C8D"/>
    <w:rsid w:val="00651ED9"/>
    <w:rsid w:val="006520D7"/>
    <w:rsid w:val="00655868"/>
    <w:rsid w:val="006569FD"/>
    <w:rsid w:val="0065761A"/>
    <w:rsid w:val="006654BC"/>
    <w:rsid w:val="006659CB"/>
    <w:rsid w:val="0066695F"/>
    <w:rsid w:val="00666D66"/>
    <w:rsid w:val="006724D6"/>
    <w:rsid w:val="00673562"/>
    <w:rsid w:val="006758BE"/>
    <w:rsid w:val="00677B63"/>
    <w:rsid w:val="00682488"/>
    <w:rsid w:val="0068435F"/>
    <w:rsid w:val="006848E4"/>
    <w:rsid w:val="006859C1"/>
    <w:rsid w:val="006862D4"/>
    <w:rsid w:val="006875B2"/>
    <w:rsid w:val="006915F7"/>
    <w:rsid w:val="00694CA4"/>
    <w:rsid w:val="006950EB"/>
    <w:rsid w:val="0069519E"/>
    <w:rsid w:val="0069754F"/>
    <w:rsid w:val="006A1333"/>
    <w:rsid w:val="006A56A2"/>
    <w:rsid w:val="006A6A88"/>
    <w:rsid w:val="006A7725"/>
    <w:rsid w:val="006A7B09"/>
    <w:rsid w:val="006B0D60"/>
    <w:rsid w:val="006C29DD"/>
    <w:rsid w:val="006C57FD"/>
    <w:rsid w:val="006C5F34"/>
    <w:rsid w:val="006C67C9"/>
    <w:rsid w:val="006D0EE3"/>
    <w:rsid w:val="006D0F41"/>
    <w:rsid w:val="006D1E87"/>
    <w:rsid w:val="006D460F"/>
    <w:rsid w:val="006E5C1B"/>
    <w:rsid w:val="006F0148"/>
    <w:rsid w:val="006F4E27"/>
    <w:rsid w:val="006F5DAC"/>
    <w:rsid w:val="006F6B3F"/>
    <w:rsid w:val="006F7781"/>
    <w:rsid w:val="00702D11"/>
    <w:rsid w:val="00702F4C"/>
    <w:rsid w:val="00705942"/>
    <w:rsid w:val="00705D41"/>
    <w:rsid w:val="0070667E"/>
    <w:rsid w:val="007073B6"/>
    <w:rsid w:val="00707E5D"/>
    <w:rsid w:val="007110EC"/>
    <w:rsid w:val="00711DA3"/>
    <w:rsid w:val="00713502"/>
    <w:rsid w:val="00714A76"/>
    <w:rsid w:val="0071639D"/>
    <w:rsid w:val="00717162"/>
    <w:rsid w:val="00717CD6"/>
    <w:rsid w:val="00720CC3"/>
    <w:rsid w:val="00720D2E"/>
    <w:rsid w:val="0072292A"/>
    <w:rsid w:val="00722E14"/>
    <w:rsid w:val="00722FF8"/>
    <w:rsid w:val="00723B51"/>
    <w:rsid w:val="00723D93"/>
    <w:rsid w:val="00724F6A"/>
    <w:rsid w:val="00726A40"/>
    <w:rsid w:val="0073030C"/>
    <w:rsid w:val="00732EDF"/>
    <w:rsid w:val="0073314B"/>
    <w:rsid w:val="00734855"/>
    <w:rsid w:val="00735FC7"/>
    <w:rsid w:val="007377D9"/>
    <w:rsid w:val="00742803"/>
    <w:rsid w:val="00742D31"/>
    <w:rsid w:val="00743869"/>
    <w:rsid w:val="0074501C"/>
    <w:rsid w:val="007452CD"/>
    <w:rsid w:val="00745752"/>
    <w:rsid w:val="00746108"/>
    <w:rsid w:val="00747DA0"/>
    <w:rsid w:val="0075402F"/>
    <w:rsid w:val="00755F79"/>
    <w:rsid w:val="00756130"/>
    <w:rsid w:val="007575B6"/>
    <w:rsid w:val="00760B56"/>
    <w:rsid w:val="007615BB"/>
    <w:rsid w:val="007726C7"/>
    <w:rsid w:val="007744D3"/>
    <w:rsid w:val="00774639"/>
    <w:rsid w:val="00776960"/>
    <w:rsid w:val="00781752"/>
    <w:rsid w:val="0078299E"/>
    <w:rsid w:val="00782BC1"/>
    <w:rsid w:val="007837F2"/>
    <w:rsid w:val="00784192"/>
    <w:rsid w:val="00784A48"/>
    <w:rsid w:val="007853D1"/>
    <w:rsid w:val="00790083"/>
    <w:rsid w:val="0079086E"/>
    <w:rsid w:val="007908A6"/>
    <w:rsid w:val="007909EE"/>
    <w:rsid w:val="007929F8"/>
    <w:rsid w:val="007959A3"/>
    <w:rsid w:val="007968EE"/>
    <w:rsid w:val="007A1112"/>
    <w:rsid w:val="007A68FD"/>
    <w:rsid w:val="007A7FE0"/>
    <w:rsid w:val="007B1ED3"/>
    <w:rsid w:val="007B461D"/>
    <w:rsid w:val="007B6905"/>
    <w:rsid w:val="007B7BE5"/>
    <w:rsid w:val="007C0CED"/>
    <w:rsid w:val="007C1383"/>
    <w:rsid w:val="007C1FFE"/>
    <w:rsid w:val="007C2763"/>
    <w:rsid w:val="007C60FB"/>
    <w:rsid w:val="007C7AE7"/>
    <w:rsid w:val="007D0A52"/>
    <w:rsid w:val="007D0B96"/>
    <w:rsid w:val="007D186A"/>
    <w:rsid w:val="007D2E4C"/>
    <w:rsid w:val="007D3DE9"/>
    <w:rsid w:val="007D4319"/>
    <w:rsid w:val="007D4339"/>
    <w:rsid w:val="007D4FB8"/>
    <w:rsid w:val="007D52D6"/>
    <w:rsid w:val="007E0B50"/>
    <w:rsid w:val="007E25D1"/>
    <w:rsid w:val="007E3F79"/>
    <w:rsid w:val="007E5473"/>
    <w:rsid w:val="007E6DBF"/>
    <w:rsid w:val="007E7835"/>
    <w:rsid w:val="007F1924"/>
    <w:rsid w:val="007F2921"/>
    <w:rsid w:val="007F498E"/>
    <w:rsid w:val="007F55F9"/>
    <w:rsid w:val="007F68E3"/>
    <w:rsid w:val="007F6BD0"/>
    <w:rsid w:val="007F7E56"/>
    <w:rsid w:val="00803165"/>
    <w:rsid w:val="008036A4"/>
    <w:rsid w:val="00803DCC"/>
    <w:rsid w:val="0080623E"/>
    <w:rsid w:val="00806CD3"/>
    <w:rsid w:val="00807884"/>
    <w:rsid w:val="00811DAF"/>
    <w:rsid w:val="00812772"/>
    <w:rsid w:val="008138F3"/>
    <w:rsid w:val="00815218"/>
    <w:rsid w:val="00815BA4"/>
    <w:rsid w:val="00816E02"/>
    <w:rsid w:val="00820E43"/>
    <w:rsid w:val="00821B45"/>
    <w:rsid w:val="0082293A"/>
    <w:rsid w:val="0082363F"/>
    <w:rsid w:val="00826EC4"/>
    <w:rsid w:val="00831571"/>
    <w:rsid w:val="008353E1"/>
    <w:rsid w:val="00843BEB"/>
    <w:rsid w:val="00844FC8"/>
    <w:rsid w:val="00845462"/>
    <w:rsid w:val="008456FC"/>
    <w:rsid w:val="00845A1E"/>
    <w:rsid w:val="008508ED"/>
    <w:rsid w:val="0085602B"/>
    <w:rsid w:val="008563C8"/>
    <w:rsid w:val="00856446"/>
    <w:rsid w:val="00856585"/>
    <w:rsid w:val="0086108D"/>
    <w:rsid w:val="00862709"/>
    <w:rsid w:val="0086358D"/>
    <w:rsid w:val="008669B0"/>
    <w:rsid w:val="00870823"/>
    <w:rsid w:val="008730BC"/>
    <w:rsid w:val="00873C9F"/>
    <w:rsid w:val="00873F0F"/>
    <w:rsid w:val="00874476"/>
    <w:rsid w:val="00876028"/>
    <w:rsid w:val="008800A3"/>
    <w:rsid w:val="008805A4"/>
    <w:rsid w:val="00881125"/>
    <w:rsid w:val="00881738"/>
    <w:rsid w:val="00887CA6"/>
    <w:rsid w:val="00895259"/>
    <w:rsid w:val="00895D5D"/>
    <w:rsid w:val="008A2266"/>
    <w:rsid w:val="008A330F"/>
    <w:rsid w:val="008A7DC4"/>
    <w:rsid w:val="008A7EDA"/>
    <w:rsid w:val="008A7FED"/>
    <w:rsid w:val="008B2466"/>
    <w:rsid w:val="008B2D15"/>
    <w:rsid w:val="008C2875"/>
    <w:rsid w:val="008C59A6"/>
    <w:rsid w:val="008C7B1E"/>
    <w:rsid w:val="008D0160"/>
    <w:rsid w:val="008D0718"/>
    <w:rsid w:val="008D26B1"/>
    <w:rsid w:val="008D2C72"/>
    <w:rsid w:val="008D37B9"/>
    <w:rsid w:val="008D4558"/>
    <w:rsid w:val="008E06E5"/>
    <w:rsid w:val="008E2A2D"/>
    <w:rsid w:val="008E4B3A"/>
    <w:rsid w:val="008E50BA"/>
    <w:rsid w:val="008F1747"/>
    <w:rsid w:val="008F5E9B"/>
    <w:rsid w:val="008F5EE1"/>
    <w:rsid w:val="008F732C"/>
    <w:rsid w:val="009009E4"/>
    <w:rsid w:val="00910B54"/>
    <w:rsid w:val="0091278E"/>
    <w:rsid w:val="00914EE7"/>
    <w:rsid w:val="009151E7"/>
    <w:rsid w:val="00915F07"/>
    <w:rsid w:val="0091659D"/>
    <w:rsid w:val="00922487"/>
    <w:rsid w:val="00922630"/>
    <w:rsid w:val="009256A4"/>
    <w:rsid w:val="0093109F"/>
    <w:rsid w:val="009312BF"/>
    <w:rsid w:val="009317C4"/>
    <w:rsid w:val="00933202"/>
    <w:rsid w:val="009332B2"/>
    <w:rsid w:val="00934AD6"/>
    <w:rsid w:val="009365E8"/>
    <w:rsid w:val="00936A27"/>
    <w:rsid w:val="0094109E"/>
    <w:rsid w:val="00942BDC"/>
    <w:rsid w:val="0094525E"/>
    <w:rsid w:val="009505F9"/>
    <w:rsid w:val="009513FF"/>
    <w:rsid w:val="00954393"/>
    <w:rsid w:val="009571ED"/>
    <w:rsid w:val="00957871"/>
    <w:rsid w:val="00957A25"/>
    <w:rsid w:val="00957F8D"/>
    <w:rsid w:val="00960DD9"/>
    <w:rsid w:val="00962D40"/>
    <w:rsid w:val="00963FDA"/>
    <w:rsid w:val="0096548B"/>
    <w:rsid w:val="00970304"/>
    <w:rsid w:val="00970933"/>
    <w:rsid w:val="00971B1C"/>
    <w:rsid w:val="00972B02"/>
    <w:rsid w:val="009734E1"/>
    <w:rsid w:val="00973D3B"/>
    <w:rsid w:val="009768AD"/>
    <w:rsid w:val="00980023"/>
    <w:rsid w:val="00983318"/>
    <w:rsid w:val="00985C93"/>
    <w:rsid w:val="00985E1F"/>
    <w:rsid w:val="00986FB6"/>
    <w:rsid w:val="009873B0"/>
    <w:rsid w:val="00987817"/>
    <w:rsid w:val="0099024D"/>
    <w:rsid w:val="00994AF1"/>
    <w:rsid w:val="009A0978"/>
    <w:rsid w:val="009A3A0C"/>
    <w:rsid w:val="009A4E12"/>
    <w:rsid w:val="009B2282"/>
    <w:rsid w:val="009B27C2"/>
    <w:rsid w:val="009B5340"/>
    <w:rsid w:val="009B5CCD"/>
    <w:rsid w:val="009B6D05"/>
    <w:rsid w:val="009C074A"/>
    <w:rsid w:val="009C4DE3"/>
    <w:rsid w:val="009C5894"/>
    <w:rsid w:val="009D4738"/>
    <w:rsid w:val="009D7BEF"/>
    <w:rsid w:val="009E1903"/>
    <w:rsid w:val="009E2A1D"/>
    <w:rsid w:val="009E4A26"/>
    <w:rsid w:val="009E574C"/>
    <w:rsid w:val="009F06FC"/>
    <w:rsid w:val="009F1A78"/>
    <w:rsid w:val="009F245B"/>
    <w:rsid w:val="009F4898"/>
    <w:rsid w:val="009F48AE"/>
    <w:rsid w:val="009F48D8"/>
    <w:rsid w:val="009F78F5"/>
    <w:rsid w:val="00A00E3C"/>
    <w:rsid w:val="00A01FDA"/>
    <w:rsid w:val="00A053CF"/>
    <w:rsid w:val="00A106B7"/>
    <w:rsid w:val="00A10872"/>
    <w:rsid w:val="00A15868"/>
    <w:rsid w:val="00A17439"/>
    <w:rsid w:val="00A17ADD"/>
    <w:rsid w:val="00A204BF"/>
    <w:rsid w:val="00A21674"/>
    <w:rsid w:val="00A2292C"/>
    <w:rsid w:val="00A22A56"/>
    <w:rsid w:val="00A2313E"/>
    <w:rsid w:val="00A23265"/>
    <w:rsid w:val="00A247E8"/>
    <w:rsid w:val="00A27C3A"/>
    <w:rsid w:val="00A302AE"/>
    <w:rsid w:val="00A327AB"/>
    <w:rsid w:val="00A3591A"/>
    <w:rsid w:val="00A369C9"/>
    <w:rsid w:val="00A40591"/>
    <w:rsid w:val="00A40665"/>
    <w:rsid w:val="00A41EEA"/>
    <w:rsid w:val="00A440F7"/>
    <w:rsid w:val="00A448A5"/>
    <w:rsid w:val="00A4684A"/>
    <w:rsid w:val="00A52335"/>
    <w:rsid w:val="00A5460B"/>
    <w:rsid w:val="00A56D24"/>
    <w:rsid w:val="00A62396"/>
    <w:rsid w:val="00A64713"/>
    <w:rsid w:val="00A66408"/>
    <w:rsid w:val="00A674D3"/>
    <w:rsid w:val="00A67A80"/>
    <w:rsid w:val="00A67E21"/>
    <w:rsid w:val="00A723BB"/>
    <w:rsid w:val="00A7324E"/>
    <w:rsid w:val="00A737C3"/>
    <w:rsid w:val="00A750B9"/>
    <w:rsid w:val="00A752AA"/>
    <w:rsid w:val="00A80831"/>
    <w:rsid w:val="00A811C2"/>
    <w:rsid w:val="00A82173"/>
    <w:rsid w:val="00A840B8"/>
    <w:rsid w:val="00A84C7F"/>
    <w:rsid w:val="00A8732D"/>
    <w:rsid w:val="00A92214"/>
    <w:rsid w:val="00A94B76"/>
    <w:rsid w:val="00A97618"/>
    <w:rsid w:val="00AA293F"/>
    <w:rsid w:val="00AA672F"/>
    <w:rsid w:val="00AB439E"/>
    <w:rsid w:val="00AB4470"/>
    <w:rsid w:val="00AB5025"/>
    <w:rsid w:val="00AB78AD"/>
    <w:rsid w:val="00AC0222"/>
    <w:rsid w:val="00AC454A"/>
    <w:rsid w:val="00AE031E"/>
    <w:rsid w:val="00AE0CD2"/>
    <w:rsid w:val="00AE403E"/>
    <w:rsid w:val="00AE7FC3"/>
    <w:rsid w:val="00AF0950"/>
    <w:rsid w:val="00AF1ECE"/>
    <w:rsid w:val="00B01F18"/>
    <w:rsid w:val="00B026A6"/>
    <w:rsid w:val="00B04A79"/>
    <w:rsid w:val="00B06D5B"/>
    <w:rsid w:val="00B1089F"/>
    <w:rsid w:val="00B10993"/>
    <w:rsid w:val="00B10CA4"/>
    <w:rsid w:val="00B11687"/>
    <w:rsid w:val="00B11FA9"/>
    <w:rsid w:val="00B140E3"/>
    <w:rsid w:val="00B1501E"/>
    <w:rsid w:val="00B1587D"/>
    <w:rsid w:val="00B163B9"/>
    <w:rsid w:val="00B17A43"/>
    <w:rsid w:val="00B30A90"/>
    <w:rsid w:val="00B30D72"/>
    <w:rsid w:val="00B3120A"/>
    <w:rsid w:val="00B344C9"/>
    <w:rsid w:val="00B37CC5"/>
    <w:rsid w:val="00B44CC3"/>
    <w:rsid w:val="00B46E6B"/>
    <w:rsid w:val="00B474E3"/>
    <w:rsid w:val="00B477E4"/>
    <w:rsid w:val="00B502DC"/>
    <w:rsid w:val="00B5071F"/>
    <w:rsid w:val="00B5107E"/>
    <w:rsid w:val="00B551B0"/>
    <w:rsid w:val="00B55AC2"/>
    <w:rsid w:val="00B62419"/>
    <w:rsid w:val="00B64930"/>
    <w:rsid w:val="00B70D3B"/>
    <w:rsid w:val="00B724CB"/>
    <w:rsid w:val="00B73389"/>
    <w:rsid w:val="00B73533"/>
    <w:rsid w:val="00B8027F"/>
    <w:rsid w:val="00B81DF6"/>
    <w:rsid w:val="00B83A4E"/>
    <w:rsid w:val="00B873EE"/>
    <w:rsid w:val="00B90683"/>
    <w:rsid w:val="00B93243"/>
    <w:rsid w:val="00B9487E"/>
    <w:rsid w:val="00B9533B"/>
    <w:rsid w:val="00B95647"/>
    <w:rsid w:val="00B9565E"/>
    <w:rsid w:val="00BA08BC"/>
    <w:rsid w:val="00BA0A3A"/>
    <w:rsid w:val="00BA47B0"/>
    <w:rsid w:val="00BA5075"/>
    <w:rsid w:val="00BA54F5"/>
    <w:rsid w:val="00BB065F"/>
    <w:rsid w:val="00BB45AE"/>
    <w:rsid w:val="00BB47C9"/>
    <w:rsid w:val="00BB5149"/>
    <w:rsid w:val="00BB53FF"/>
    <w:rsid w:val="00BB5DFC"/>
    <w:rsid w:val="00BB75C0"/>
    <w:rsid w:val="00BB7AA6"/>
    <w:rsid w:val="00BB7B48"/>
    <w:rsid w:val="00BC0854"/>
    <w:rsid w:val="00BC17BF"/>
    <w:rsid w:val="00BC21AF"/>
    <w:rsid w:val="00BC2C10"/>
    <w:rsid w:val="00BC5C93"/>
    <w:rsid w:val="00BC6B49"/>
    <w:rsid w:val="00BD0624"/>
    <w:rsid w:val="00BD2604"/>
    <w:rsid w:val="00BD4255"/>
    <w:rsid w:val="00BD48E7"/>
    <w:rsid w:val="00BD50B5"/>
    <w:rsid w:val="00BD5C42"/>
    <w:rsid w:val="00BD5F72"/>
    <w:rsid w:val="00BD61CA"/>
    <w:rsid w:val="00BD714A"/>
    <w:rsid w:val="00BE0BE4"/>
    <w:rsid w:val="00BE2092"/>
    <w:rsid w:val="00BE3E8A"/>
    <w:rsid w:val="00BE58E2"/>
    <w:rsid w:val="00BE7387"/>
    <w:rsid w:val="00BE77C2"/>
    <w:rsid w:val="00BE77C6"/>
    <w:rsid w:val="00BE7B72"/>
    <w:rsid w:val="00BE7C8E"/>
    <w:rsid w:val="00BF063F"/>
    <w:rsid w:val="00BF5E70"/>
    <w:rsid w:val="00BF5E9F"/>
    <w:rsid w:val="00BF71A0"/>
    <w:rsid w:val="00C000ED"/>
    <w:rsid w:val="00C02FFE"/>
    <w:rsid w:val="00C0332A"/>
    <w:rsid w:val="00C12E87"/>
    <w:rsid w:val="00C165FD"/>
    <w:rsid w:val="00C17995"/>
    <w:rsid w:val="00C17E8E"/>
    <w:rsid w:val="00C21CC6"/>
    <w:rsid w:val="00C248D3"/>
    <w:rsid w:val="00C24AF3"/>
    <w:rsid w:val="00C24F1E"/>
    <w:rsid w:val="00C251D5"/>
    <w:rsid w:val="00C252B3"/>
    <w:rsid w:val="00C252F2"/>
    <w:rsid w:val="00C26A4D"/>
    <w:rsid w:val="00C27640"/>
    <w:rsid w:val="00C27871"/>
    <w:rsid w:val="00C338DC"/>
    <w:rsid w:val="00C33A75"/>
    <w:rsid w:val="00C368ED"/>
    <w:rsid w:val="00C40348"/>
    <w:rsid w:val="00C4142B"/>
    <w:rsid w:val="00C41D21"/>
    <w:rsid w:val="00C4295F"/>
    <w:rsid w:val="00C54E3A"/>
    <w:rsid w:val="00C554D5"/>
    <w:rsid w:val="00C55B4C"/>
    <w:rsid w:val="00C56A2A"/>
    <w:rsid w:val="00C5763C"/>
    <w:rsid w:val="00C604C7"/>
    <w:rsid w:val="00C634AA"/>
    <w:rsid w:val="00C67142"/>
    <w:rsid w:val="00C703AD"/>
    <w:rsid w:val="00C72E1B"/>
    <w:rsid w:val="00C74C92"/>
    <w:rsid w:val="00C75BC2"/>
    <w:rsid w:val="00C76722"/>
    <w:rsid w:val="00C80278"/>
    <w:rsid w:val="00C80A73"/>
    <w:rsid w:val="00C86173"/>
    <w:rsid w:val="00C927D6"/>
    <w:rsid w:val="00C92D83"/>
    <w:rsid w:val="00C92F61"/>
    <w:rsid w:val="00C93009"/>
    <w:rsid w:val="00C937AD"/>
    <w:rsid w:val="00C93F84"/>
    <w:rsid w:val="00C952F3"/>
    <w:rsid w:val="00C955DC"/>
    <w:rsid w:val="00C96316"/>
    <w:rsid w:val="00C973E1"/>
    <w:rsid w:val="00CA190B"/>
    <w:rsid w:val="00CB2F90"/>
    <w:rsid w:val="00CB4B1D"/>
    <w:rsid w:val="00CB79F5"/>
    <w:rsid w:val="00CB7AAC"/>
    <w:rsid w:val="00CB7D89"/>
    <w:rsid w:val="00CC07BA"/>
    <w:rsid w:val="00CC53E7"/>
    <w:rsid w:val="00CD0529"/>
    <w:rsid w:val="00CD08D7"/>
    <w:rsid w:val="00CD0CAF"/>
    <w:rsid w:val="00CD1DCF"/>
    <w:rsid w:val="00CD32E7"/>
    <w:rsid w:val="00CD57D0"/>
    <w:rsid w:val="00CD5F73"/>
    <w:rsid w:val="00CD7EFA"/>
    <w:rsid w:val="00CE0600"/>
    <w:rsid w:val="00CE0FCD"/>
    <w:rsid w:val="00CE17C2"/>
    <w:rsid w:val="00CE24AD"/>
    <w:rsid w:val="00CE289A"/>
    <w:rsid w:val="00CE557D"/>
    <w:rsid w:val="00CE6747"/>
    <w:rsid w:val="00CE70BB"/>
    <w:rsid w:val="00CF05AF"/>
    <w:rsid w:val="00CF0B51"/>
    <w:rsid w:val="00CF15F6"/>
    <w:rsid w:val="00CF194B"/>
    <w:rsid w:val="00CF44EF"/>
    <w:rsid w:val="00CF4D8A"/>
    <w:rsid w:val="00CF4DC7"/>
    <w:rsid w:val="00CF659B"/>
    <w:rsid w:val="00D01992"/>
    <w:rsid w:val="00D021A0"/>
    <w:rsid w:val="00D02B60"/>
    <w:rsid w:val="00D04906"/>
    <w:rsid w:val="00D04956"/>
    <w:rsid w:val="00D04F29"/>
    <w:rsid w:val="00D05380"/>
    <w:rsid w:val="00D068DF"/>
    <w:rsid w:val="00D1220C"/>
    <w:rsid w:val="00D1364C"/>
    <w:rsid w:val="00D13EF2"/>
    <w:rsid w:val="00D13FD2"/>
    <w:rsid w:val="00D161A3"/>
    <w:rsid w:val="00D17188"/>
    <w:rsid w:val="00D17DB3"/>
    <w:rsid w:val="00D211C2"/>
    <w:rsid w:val="00D21686"/>
    <w:rsid w:val="00D27B68"/>
    <w:rsid w:val="00D349FD"/>
    <w:rsid w:val="00D34D33"/>
    <w:rsid w:val="00D3551B"/>
    <w:rsid w:val="00D358DD"/>
    <w:rsid w:val="00D44664"/>
    <w:rsid w:val="00D46332"/>
    <w:rsid w:val="00D46E00"/>
    <w:rsid w:val="00D53395"/>
    <w:rsid w:val="00D60B15"/>
    <w:rsid w:val="00D6303F"/>
    <w:rsid w:val="00D637C2"/>
    <w:rsid w:val="00D64181"/>
    <w:rsid w:val="00D67BF5"/>
    <w:rsid w:val="00D71E38"/>
    <w:rsid w:val="00D73110"/>
    <w:rsid w:val="00D74D41"/>
    <w:rsid w:val="00D76812"/>
    <w:rsid w:val="00D77926"/>
    <w:rsid w:val="00D7798C"/>
    <w:rsid w:val="00D77EFC"/>
    <w:rsid w:val="00D86763"/>
    <w:rsid w:val="00D92A4B"/>
    <w:rsid w:val="00D9312B"/>
    <w:rsid w:val="00D9320F"/>
    <w:rsid w:val="00D948D1"/>
    <w:rsid w:val="00D95121"/>
    <w:rsid w:val="00D96099"/>
    <w:rsid w:val="00D96327"/>
    <w:rsid w:val="00DA12D1"/>
    <w:rsid w:val="00DA1EBD"/>
    <w:rsid w:val="00DA2104"/>
    <w:rsid w:val="00DA2703"/>
    <w:rsid w:val="00DA3C1F"/>
    <w:rsid w:val="00DA54F0"/>
    <w:rsid w:val="00DB1432"/>
    <w:rsid w:val="00DB5753"/>
    <w:rsid w:val="00DC15BC"/>
    <w:rsid w:val="00DC3414"/>
    <w:rsid w:val="00DD1BC4"/>
    <w:rsid w:val="00DD7A7B"/>
    <w:rsid w:val="00DE14DA"/>
    <w:rsid w:val="00DE1599"/>
    <w:rsid w:val="00DE1640"/>
    <w:rsid w:val="00DE32EF"/>
    <w:rsid w:val="00DE6BE8"/>
    <w:rsid w:val="00DF716F"/>
    <w:rsid w:val="00E028B0"/>
    <w:rsid w:val="00E02B56"/>
    <w:rsid w:val="00E07E83"/>
    <w:rsid w:val="00E11823"/>
    <w:rsid w:val="00E11CB7"/>
    <w:rsid w:val="00E12885"/>
    <w:rsid w:val="00E1289D"/>
    <w:rsid w:val="00E12B0F"/>
    <w:rsid w:val="00E1526C"/>
    <w:rsid w:val="00E15743"/>
    <w:rsid w:val="00E15D14"/>
    <w:rsid w:val="00E2112D"/>
    <w:rsid w:val="00E224BA"/>
    <w:rsid w:val="00E2335A"/>
    <w:rsid w:val="00E23E48"/>
    <w:rsid w:val="00E25401"/>
    <w:rsid w:val="00E267CC"/>
    <w:rsid w:val="00E278C6"/>
    <w:rsid w:val="00E3031D"/>
    <w:rsid w:val="00E317A6"/>
    <w:rsid w:val="00E326F2"/>
    <w:rsid w:val="00E32C43"/>
    <w:rsid w:val="00E337D7"/>
    <w:rsid w:val="00E34064"/>
    <w:rsid w:val="00E36F2A"/>
    <w:rsid w:val="00E400A4"/>
    <w:rsid w:val="00E41486"/>
    <w:rsid w:val="00E46F7E"/>
    <w:rsid w:val="00E47599"/>
    <w:rsid w:val="00E504CF"/>
    <w:rsid w:val="00E51993"/>
    <w:rsid w:val="00E522C5"/>
    <w:rsid w:val="00E53B05"/>
    <w:rsid w:val="00E5588E"/>
    <w:rsid w:val="00E566D9"/>
    <w:rsid w:val="00E6078E"/>
    <w:rsid w:val="00E6109E"/>
    <w:rsid w:val="00E6259A"/>
    <w:rsid w:val="00E62E8B"/>
    <w:rsid w:val="00E63EF0"/>
    <w:rsid w:val="00E64D53"/>
    <w:rsid w:val="00E70BFC"/>
    <w:rsid w:val="00E724EA"/>
    <w:rsid w:val="00E72F93"/>
    <w:rsid w:val="00E7417B"/>
    <w:rsid w:val="00E75249"/>
    <w:rsid w:val="00E81CDB"/>
    <w:rsid w:val="00E81FB3"/>
    <w:rsid w:val="00E81FFB"/>
    <w:rsid w:val="00E84583"/>
    <w:rsid w:val="00E91662"/>
    <w:rsid w:val="00E9190F"/>
    <w:rsid w:val="00E94CDA"/>
    <w:rsid w:val="00E96255"/>
    <w:rsid w:val="00EA3FF6"/>
    <w:rsid w:val="00EA4A52"/>
    <w:rsid w:val="00EA4CC0"/>
    <w:rsid w:val="00EB5C84"/>
    <w:rsid w:val="00EB75F9"/>
    <w:rsid w:val="00EB769F"/>
    <w:rsid w:val="00EC0608"/>
    <w:rsid w:val="00EC3872"/>
    <w:rsid w:val="00EC52B8"/>
    <w:rsid w:val="00EC69BC"/>
    <w:rsid w:val="00ED07A7"/>
    <w:rsid w:val="00ED0F26"/>
    <w:rsid w:val="00ED2EC9"/>
    <w:rsid w:val="00ED457B"/>
    <w:rsid w:val="00ED5860"/>
    <w:rsid w:val="00EE0F49"/>
    <w:rsid w:val="00EE10D8"/>
    <w:rsid w:val="00EE2274"/>
    <w:rsid w:val="00EE2A5A"/>
    <w:rsid w:val="00EE5C17"/>
    <w:rsid w:val="00EE68CF"/>
    <w:rsid w:val="00EF2B16"/>
    <w:rsid w:val="00EF4B6E"/>
    <w:rsid w:val="00EF521C"/>
    <w:rsid w:val="00F003C5"/>
    <w:rsid w:val="00F0143F"/>
    <w:rsid w:val="00F035F7"/>
    <w:rsid w:val="00F03975"/>
    <w:rsid w:val="00F04B20"/>
    <w:rsid w:val="00F066DE"/>
    <w:rsid w:val="00F0719A"/>
    <w:rsid w:val="00F07488"/>
    <w:rsid w:val="00F11169"/>
    <w:rsid w:val="00F12295"/>
    <w:rsid w:val="00F14663"/>
    <w:rsid w:val="00F148AC"/>
    <w:rsid w:val="00F15659"/>
    <w:rsid w:val="00F156EB"/>
    <w:rsid w:val="00F17785"/>
    <w:rsid w:val="00F22598"/>
    <w:rsid w:val="00F26AB6"/>
    <w:rsid w:val="00F316BD"/>
    <w:rsid w:val="00F32287"/>
    <w:rsid w:val="00F327AF"/>
    <w:rsid w:val="00F3404D"/>
    <w:rsid w:val="00F34C42"/>
    <w:rsid w:val="00F351AE"/>
    <w:rsid w:val="00F36095"/>
    <w:rsid w:val="00F41AD2"/>
    <w:rsid w:val="00F4388B"/>
    <w:rsid w:val="00F43A1D"/>
    <w:rsid w:val="00F443EA"/>
    <w:rsid w:val="00F44D54"/>
    <w:rsid w:val="00F4720B"/>
    <w:rsid w:val="00F47936"/>
    <w:rsid w:val="00F51967"/>
    <w:rsid w:val="00F51B03"/>
    <w:rsid w:val="00F52062"/>
    <w:rsid w:val="00F549D0"/>
    <w:rsid w:val="00F55616"/>
    <w:rsid w:val="00F578B3"/>
    <w:rsid w:val="00F62C46"/>
    <w:rsid w:val="00F63D0E"/>
    <w:rsid w:val="00F64C67"/>
    <w:rsid w:val="00F65BA3"/>
    <w:rsid w:val="00F73A2B"/>
    <w:rsid w:val="00F73BCF"/>
    <w:rsid w:val="00F75B6B"/>
    <w:rsid w:val="00F75C69"/>
    <w:rsid w:val="00F80741"/>
    <w:rsid w:val="00F820DD"/>
    <w:rsid w:val="00F8221D"/>
    <w:rsid w:val="00F8223D"/>
    <w:rsid w:val="00F83C85"/>
    <w:rsid w:val="00F83FE8"/>
    <w:rsid w:val="00F85B31"/>
    <w:rsid w:val="00F90FC5"/>
    <w:rsid w:val="00F92F96"/>
    <w:rsid w:val="00F93A21"/>
    <w:rsid w:val="00F95A8F"/>
    <w:rsid w:val="00F975B6"/>
    <w:rsid w:val="00FA0748"/>
    <w:rsid w:val="00FA106A"/>
    <w:rsid w:val="00FA2E65"/>
    <w:rsid w:val="00FA7A89"/>
    <w:rsid w:val="00FB387E"/>
    <w:rsid w:val="00FB6CA9"/>
    <w:rsid w:val="00FC557F"/>
    <w:rsid w:val="00FC706A"/>
    <w:rsid w:val="00FC7959"/>
    <w:rsid w:val="00FD06EC"/>
    <w:rsid w:val="00FD21F4"/>
    <w:rsid w:val="00FD2FA0"/>
    <w:rsid w:val="00FD7822"/>
    <w:rsid w:val="00FD7902"/>
    <w:rsid w:val="00FE0A0C"/>
    <w:rsid w:val="00FE0C17"/>
    <w:rsid w:val="00FE1BA9"/>
    <w:rsid w:val="00FE1EE9"/>
    <w:rsid w:val="00FE3631"/>
    <w:rsid w:val="00FE483D"/>
    <w:rsid w:val="00FE58FA"/>
    <w:rsid w:val="00FE6119"/>
    <w:rsid w:val="00FE6BD0"/>
    <w:rsid w:val="00FE7BFC"/>
    <w:rsid w:val="00FF192C"/>
    <w:rsid w:val="00FF1D6D"/>
    <w:rsid w:val="00FF2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AD1AD4"/>
  <w15:chartTrackingRefBased/>
  <w15:docId w15:val="{42706FE5-E4A9-47F7-B722-5FC5CA4E5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DCF"/>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A2313E"/>
    <w:pPr>
      <w:keepNext/>
      <w:keepLines/>
      <w:spacing w:after="80" w:line="240" w:lineRule="exact"/>
      <w:outlineLvl w:val="0"/>
    </w:pPr>
    <w:rPr>
      <w:b/>
      <w:bCs/>
      <w:kern w:val="44"/>
      <w:sz w:val="20"/>
      <w:szCs w:val="44"/>
    </w:rPr>
  </w:style>
  <w:style w:type="paragraph" w:styleId="Heading2">
    <w:name w:val="heading 2"/>
    <w:basedOn w:val="Normal"/>
    <w:next w:val="Normal"/>
    <w:link w:val="Heading2Char"/>
    <w:autoRedefine/>
    <w:uiPriority w:val="9"/>
    <w:unhideWhenUsed/>
    <w:qFormat/>
    <w:rsid w:val="00A2313E"/>
    <w:pPr>
      <w:keepNext/>
      <w:keepLines/>
      <w:spacing w:before="260" w:after="260" w:line="240" w:lineRule="exact"/>
      <w:outlineLvl w:val="1"/>
    </w:pPr>
    <w:rPr>
      <w:rFonts w:cstheme="majorBidi"/>
      <w:bCs/>
      <w:i/>
      <w:szCs w:val="32"/>
    </w:rPr>
  </w:style>
  <w:style w:type="paragraph" w:styleId="Heading3">
    <w:name w:val="heading 3"/>
    <w:basedOn w:val="Normal"/>
    <w:next w:val="Normal"/>
    <w:link w:val="Heading3Char"/>
    <w:uiPriority w:val="9"/>
    <w:semiHidden/>
    <w:unhideWhenUsed/>
    <w:qFormat/>
    <w:rsid w:val="007B461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2313E"/>
    <w:rPr>
      <w:rFonts w:ascii="Times New Roman" w:eastAsia="Times New Roman" w:hAnsi="Times New Roman" w:cs="Times New Roman"/>
      <w:b/>
      <w:bCs/>
      <w:color w:val="222222"/>
      <w:kern w:val="44"/>
      <w:sz w:val="20"/>
      <w:szCs w:val="44"/>
    </w:rPr>
  </w:style>
  <w:style w:type="character" w:customStyle="1" w:styleId="Heading2Char">
    <w:name w:val="Heading 2 Char"/>
    <w:basedOn w:val="DefaultParagraphFont"/>
    <w:link w:val="Heading2"/>
    <w:uiPriority w:val="9"/>
    <w:qFormat/>
    <w:rsid w:val="00A2313E"/>
    <w:rPr>
      <w:rFonts w:ascii="Times New Roman" w:eastAsia="Times New Roman" w:hAnsi="Times New Roman" w:cstheme="majorBidi"/>
      <w:bCs/>
      <w:i/>
      <w:color w:val="222222"/>
      <w:sz w:val="24"/>
      <w:szCs w:val="32"/>
    </w:rPr>
  </w:style>
  <w:style w:type="paragraph" w:styleId="Header">
    <w:name w:val="header"/>
    <w:basedOn w:val="Normal"/>
    <w:link w:val="HeaderChar"/>
    <w:uiPriority w:val="99"/>
    <w:unhideWhenUsed/>
    <w:rsid w:val="00A2313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2313E"/>
    <w:rPr>
      <w:rFonts w:ascii="Times New Roman" w:hAnsi="Times New Roman" w:cs="Times New Roman"/>
      <w:color w:val="222222"/>
      <w:sz w:val="18"/>
      <w:szCs w:val="18"/>
    </w:rPr>
  </w:style>
  <w:style w:type="paragraph" w:styleId="Footer">
    <w:name w:val="footer"/>
    <w:basedOn w:val="Normal"/>
    <w:link w:val="FooterChar"/>
    <w:uiPriority w:val="99"/>
    <w:unhideWhenUsed/>
    <w:rsid w:val="00A2313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2313E"/>
    <w:rPr>
      <w:rFonts w:ascii="Times New Roman" w:hAnsi="Times New Roman" w:cs="Times New Roman"/>
      <w:color w:val="222222"/>
      <w:sz w:val="18"/>
      <w:szCs w:val="18"/>
    </w:rPr>
  </w:style>
  <w:style w:type="paragraph" w:styleId="BalloonText">
    <w:name w:val="Balloon Text"/>
    <w:basedOn w:val="Normal"/>
    <w:link w:val="BalloonTextChar"/>
    <w:uiPriority w:val="99"/>
    <w:semiHidden/>
    <w:unhideWhenUsed/>
    <w:rsid w:val="00A2313E"/>
    <w:rPr>
      <w:sz w:val="18"/>
      <w:szCs w:val="18"/>
    </w:rPr>
  </w:style>
  <w:style w:type="character" w:customStyle="1" w:styleId="BalloonTextChar">
    <w:name w:val="Balloon Text Char"/>
    <w:basedOn w:val="DefaultParagraphFont"/>
    <w:link w:val="BalloonText"/>
    <w:uiPriority w:val="99"/>
    <w:semiHidden/>
    <w:rsid w:val="00A2313E"/>
    <w:rPr>
      <w:rFonts w:ascii="Times New Roman" w:hAnsi="Times New Roman" w:cs="Times New Roman"/>
      <w:color w:val="222222"/>
      <w:sz w:val="18"/>
      <w:szCs w:val="18"/>
    </w:rPr>
  </w:style>
  <w:style w:type="paragraph" w:customStyle="1" w:styleId="EndNoteBibliographyTitle">
    <w:name w:val="EndNote Bibliography Title"/>
    <w:basedOn w:val="Normal"/>
    <w:link w:val="EndNoteBibliographyTitle0"/>
    <w:rsid w:val="00A2313E"/>
    <w:pPr>
      <w:jc w:val="center"/>
    </w:pPr>
    <w:rPr>
      <w:noProof/>
    </w:rPr>
  </w:style>
  <w:style w:type="character" w:customStyle="1" w:styleId="EndNoteBibliographyTitle0">
    <w:name w:val="EndNote Bibliography Title 字符"/>
    <w:basedOn w:val="DefaultParagraphFont"/>
    <w:link w:val="EndNoteBibliographyTitle"/>
    <w:rsid w:val="00A2313E"/>
    <w:rPr>
      <w:rFonts w:ascii="Times New Roman" w:hAnsi="Times New Roman" w:cs="Times New Roman"/>
      <w:noProof/>
      <w:color w:val="222222"/>
      <w:sz w:val="24"/>
      <w:szCs w:val="24"/>
    </w:rPr>
  </w:style>
  <w:style w:type="paragraph" w:customStyle="1" w:styleId="EndNoteBibliography">
    <w:name w:val="EndNote Bibliography"/>
    <w:basedOn w:val="Normal"/>
    <w:link w:val="EndNoteBibliography0"/>
    <w:rsid w:val="00A2313E"/>
    <w:rPr>
      <w:noProof/>
    </w:rPr>
  </w:style>
  <w:style w:type="character" w:customStyle="1" w:styleId="EndNoteBibliography0">
    <w:name w:val="EndNote Bibliography 字符"/>
    <w:basedOn w:val="DefaultParagraphFont"/>
    <w:link w:val="EndNoteBibliography"/>
    <w:rsid w:val="00A2313E"/>
    <w:rPr>
      <w:rFonts w:ascii="Times New Roman" w:hAnsi="Times New Roman" w:cs="Times New Roman"/>
      <w:noProof/>
      <w:color w:val="222222"/>
      <w:sz w:val="24"/>
      <w:szCs w:val="24"/>
    </w:rPr>
  </w:style>
  <w:style w:type="character" w:styleId="Hyperlink">
    <w:name w:val="Hyperlink"/>
    <w:basedOn w:val="DefaultParagraphFont"/>
    <w:uiPriority w:val="99"/>
    <w:unhideWhenUsed/>
    <w:rsid w:val="00A2313E"/>
    <w:rPr>
      <w:color w:val="0563C1" w:themeColor="hyperlink"/>
      <w:u w:val="single"/>
    </w:rPr>
  </w:style>
  <w:style w:type="character" w:customStyle="1" w:styleId="UnresolvedMention1">
    <w:name w:val="Unresolved Mention1"/>
    <w:basedOn w:val="DefaultParagraphFont"/>
    <w:uiPriority w:val="99"/>
    <w:semiHidden/>
    <w:unhideWhenUsed/>
    <w:rsid w:val="00A2313E"/>
    <w:rPr>
      <w:color w:val="605E5C"/>
      <w:shd w:val="clear" w:color="auto" w:fill="E1DFDD"/>
    </w:rPr>
  </w:style>
  <w:style w:type="paragraph" w:customStyle="1" w:styleId="EndNoteCategoryHeading">
    <w:name w:val="EndNote Category Heading"/>
    <w:basedOn w:val="Normal"/>
    <w:link w:val="EndNoteCategoryHeading0"/>
    <w:rsid w:val="00A2313E"/>
    <w:pPr>
      <w:spacing w:before="120" w:after="120"/>
    </w:pPr>
  </w:style>
  <w:style w:type="character" w:customStyle="1" w:styleId="EndNoteCategoryHeading0">
    <w:name w:val="EndNote Category Heading 字符"/>
    <w:basedOn w:val="DefaultParagraphFont"/>
    <w:link w:val="EndNoteCategoryHeading"/>
    <w:rsid w:val="00A2313E"/>
    <w:rPr>
      <w:rFonts w:ascii="Times New Roman" w:hAnsi="Times New Roman" w:cs="Times New Roman"/>
      <w:color w:val="222222"/>
      <w:sz w:val="24"/>
      <w:szCs w:val="24"/>
    </w:rPr>
  </w:style>
  <w:style w:type="paragraph" w:customStyle="1" w:styleId="EndNoteCategoryTitle">
    <w:name w:val="EndNote Category Title"/>
    <w:basedOn w:val="Normal"/>
    <w:link w:val="EndNoteCategoryTitle0"/>
    <w:rsid w:val="00A2313E"/>
    <w:pPr>
      <w:spacing w:before="120" w:after="120"/>
      <w:jc w:val="center"/>
    </w:pPr>
  </w:style>
  <w:style w:type="character" w:customStyle="1" w:styleId="EndNoteCategoryTitle0">
    <w:name w:val="EndNote Category Title 字符"/>
    <w:basedOn w:val="DefaultParagraphFont"/>
    <w:link w:val="EndNoteCategoryTitle"/>
    <w:rsid w:val="00A2313E"/>
    <w:rPr>
      <w:rFonts w:ascii="Times New Roman" w:hAnsi="Times New Roman" w:cs="Times New Roman"/>
      <w:color w:val="222222"/>
      <w:sz w:val="24"/>
      <w:szCs w:val="24"/>
    </w:rPr>
  </w:style>
  <w:style w:type="paragraph" w:styleId="FootnoteText">
    <w:name w:val="footnote text"/>
    <w:basedOn w:val="Normal"/>
    <w:link w:val="FootnoteTextChar"/>
    <w:uiPriority w:val="99"/>
    <w:semiHidden/>
    <w:unhideWhenUsed/>
    <w:rsid w:val="00A2313E"/>
    <w:pPr>
      <w:snapToGrid w:val="0"/>
      <w:spacing w:after="80" w:line="240" w:lineRule="exact"/>
    </w:pPr>
    <w:rPr>
      <w:sz w:val="18"/>
      <w:szCs w:val="18"/>
    </w:rPr>
  </w:style>
  <w:style w:type="character" w:customStyle="1" w:styleId="FootnoteTextChar">
    <w:name w:val="Footnote Text Char"/>
    <w:basedOn w:val="DefaultParagraphFont"/>
    <w:link w:val="FootnoteText"/>
    <w:uiPriority w:val="99"/>
    <w:semiHidden/>
    <w:rsid w:val="00A2313E"/>
    <w:rPr>
      <w:rFonts w:ascii="Times New Roman" w:hAnsi="Times New Roman" w:cs="Times New Roman"/>
      <w:color w:val="222222"/>
      <w:sz w:val="18"/>
      <w:szCs w:val="18"/>
    </w:rPr>
  </w:style>
  <w:style w:type="character" w:styleId="FootnoteReference">
    <w:name w:val="footnote reference"/>
    <w:basedOn w:val="DefaultParagraphFont"/>
    <w:uiPriority w:val="99"/>
    <w:semiHidden/>
    <w:unhideWhenUsed/>
    <w:rsid w:val="00A2313E"/>
    <w:rPr>
      <w:vertAlign w:val="superscript"/>
    </w:rPr>
  </w:style>
  <w:style w:type="paragraph" w:customStyle="1" w:styleId="1">
    <w:name w:val="无间隔1"/>
    <w:uiPriority w:val="1"/>
    <w:qFormat/>
    <w:rsid w:val="00A2313E"/>
    <w:pPr>
      <w:widowControl w:val="0"/>
      <w:jc w:val="both"/>
    </w:pPr>
    <w:rPr>
      <w:rFonts w:ascii="Times New Roman" w:hAnsi="Times New Roman" w:cs="Times New Roman"/>
      <w:color w:val="222222"/>
      <w:sz w:val="24"/>
      <w:szCs w:val="24"/>
    </w:rPr>
  </w:style>
  <w:style w:type="character" w:styleId="CommentReference">
    <w:name w:val="annotation reference"/>
    <w:basedOn w:val="DefaultParagraphFont"/>
    <w:uiPriority w:val="99"/>
    <w:semiHidden/>
    <w:unhideWhenUsed/>
    <w:rsid w:val="00A2313E"/>
    <w:rPr>
      <w:sz w:val="21"/>
      <w:szCs w:val="21"/>
    </w:rPr>
  </w:style>
  <w:style w:type="paragraph" w:styleId="CommentText">
    <w:name w:val="annotation text"/>
    <w:basedOn w:val="Normal"/>
    <w:link w:val="CommentTextChar"/>
    <w:uiPriority w:val="99"/>
    <w:semiHidden/>
    <w:unhideWhenUsed/>
    <w:rsid w:val="00A2313E"/>
  </w:style>
  <w:style w:type="character" w:customStyle="1" w:styleId="CommentTextChar">
    <w:name w:val="Comment Text Char"/>
    <w:basedOn w:val="DefaultParagraphFont"/>
    <w:link w:val="CommentText"/>
    <w:uiPriority w:val="99"/>
    <w:semiHidden/>
    <w:rsid w:val="00A2313E"/>
    <w:rPr>
      <w:rFonts w:ascii="Times New Roman" w:hAnsi="Times New Roman" w:cs="Times New Roman"/>
      <w:color w:val="222222"/>
      <w:sz w:val="24"/>
      <w:szCs w:val="24"/>
    </w:rPr>
  </w:style>
  <w:style w:type="paragraph" w:styleId="NormalWeb">
    <w:name w:val="Normal (Web)"/>
    <w:basedOn w:val="Normal"/>
    <w:uiPriority w:val="99"/>
    <w:unhideWhenUsed/>
    <w:rsid w:val="00A2313E"/>
    <w:pPr>
      <w:spacing w:before="100" w:beforeAutospacing="1" w:after="100" w:afterAutospacing="1"/>
    </w:pPr>
    <w:rPr>
      <w:rFonts w:ascii="SimSun" w:eastAsia="SimSun" w:hAnsi="SimSun" w:cs="SimSun"/>
    </w:rPr>
  </w:style>
  <w:style w:type="character" w:styleId="PlaceholderText">
    <w:name w:val="Placeholder Text"/>
    <w:basedOn w:val="DefaultParagraphFont"/>
    <w:uiPriority w:val="99"/>
    <w:semiHidden/>
    <w:rsid w:val="00A2313E"/>
    <w:rPr>
      <w:color w:val="808080"/>
    </w:rPr>
  </w:style>
  <w:style w:type="table" w:styleId="TableGrid">
    <w:name w:val="Table Grid"/>
    <w:basedOn w:val="TableNormal"/>
    <w:uiPriority w:val="59"/>
    <w:rsid w:val="00A2313E"/>
    <w:rPr>
      <w:rFonts w:ascii="Times New Roman" w:hAnsi="Times New Roman" w:cs="Times New Roman"/>
      <w:color w:val="222222"/>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BodyText"/>
    <w:next w:val="BodyText"/>
    <w:qFormat/>
    <w:rsid w:val="00A2313E"/>
    <w:pPr>
      <w:spacing w:before="180" w:after="180"/>
    </w:pPr>
    <w:rPr>
      <w:rFonts w:asciiTheme="minorHAnsi" w:hAnsiTheme="minorHAnsi" w:cstheme="minorBidi"/>
      <w:lang w:eastAsia="en-US"/>
    </w:rPr>
  </w:style>
  <w:style w:type="paragraph" w:styleId="BodyText">
    <w:name w:val="Body Text"/>
    <w:basedOn w:val="Normal"/>
    <w:link w:val="BodyTextChar"/>
    <w:uiPriority w:val="99"/>
    <w:semiHidden/>
    <w:unhideWhenUsed/>
    <w:rsid w:val="00A2313E"/>
    <w:pPr>
      <w:spacing w:after="120"/>
    </w:pPr>
  </w:style>
  <w:style w:type="character" w:customStyle="1" w:styleId="BodyTextChar">
    <w:name w:val="Body Text Char"/>
    <w:basedOn w:val="DefaultParagraphFont"/>
    <w:link w:val="BodyText"/>
    <w:uiPriority w:val="99"/>
    <w:semiHidden/>
    <w:rsid w:val="00A2313E"/>
    <w:rPr>
      <w:rFonts w:ascii="Times New Roman" w:hAnsi="Times New Roman" w:cs="Times New Roman"/>
      <w:color w:val="222222"/>
      <w:sz w:val="24"/>
      <w:szCs w:val="24"/>
    </w:rPr>
  </w:style>
  <w:style w:type="paragraph" w:styleId="ListParagraph">
    <w:name w:val="List Paragraph"/>
    <w:basedOn w:val="Normal"/>
    <w:uiPriority w:val="34"/>
    <w:qFormat/>
    <w:rsid w:val="00A2313E"/>
    <w:pPr>
      <w:ind w:firstLineChars="200" w:firstLine="420"/>
    </w:pPr>
  </w:style>
  <w:style w:type="character" w:styleId="LineNumber">
    <w:name w:val="line number"/>
    <w:basedOn w:val="DefaultParagraphFont"/>
    <w:uiPriority w:val="99"/>
    <w:semiHidden/>
    <w:unhideWhenUsed/>
    <w:rsid w:val="004A75D9"/>
  </w:style>
  <w:style w:type="character" w:styleId="Emphasis">
    <w:name w:val="Emphasis"/>
    <w:basedOn w:val="DefaultParagraphFont"/>
    <w:uiPriority w:val="20"/>
    <w:qFormat/>
    <w:rsid w:val="008456FC"/>
    <w:rPr>
      <w:i/>
      <w:iCs/>
    </w:rPr>
  </w:style>
  <w:style w:type="character" w:customStyle="1" w:styleId="Heading3Char">
    <w:name w:val="Heading 3 Char"/>
    <w:basedOn w:val="DefaultParagraphFont"/>
    <w:link w:val="Heading3"/>
    <w:uiPriority w:val="9"/>
    <w:semiHidden/>
    <w:rsid w:val="007B461D"/>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7B6905"/>
    <w:pPr>
      <w:jc w:val="both"/>
    </w:pPr>
    <w:rPr>
      <w:b/>
      <w:bCs/>
      <w:sz w:val="20"/>
      <w:szCs w:val="20"/>
    </w:rPr>
  </w:style>
  <w:style w:type="character" w:customStyle="1" w:styleId="CommentSubjectChar">
    <w:name w:val="Comment Subject Char"/>
    <w:basedOn w:val="CommentTextChar"/>
    <w:link w:val="CommentSubject"/>
    <w:uiPriority w:val="99"/>
    <w:semiHidden/>
    <w:rsid w:val="007B6905"/>
    <w:rPr>
      <w:rFonts w:ascii="Times New Roman" w:hAnsi="Times New Roman" w:cs="Times New Roman"/>
      <w:b/>
      <w:bCs/>
      <w:color w:val="222222"/>
      <w:sz w:val="20"/>
      <w:szCs w:val="20"/>
    </w:rPr>
  </w:style>
  <w:style w:type="paragraph" w:styleId="Revision">
    <w:name w:val="Revision"/>
    <w:hidden/>
    <w:uiPriority w:val="99"/>
    <w:semiHidden/>
    <w:rsid w:val="00E7417B"/>
    <w:rPr>
      <w:rFonts w:ascii="Times New Roman" w:eastAsia="Times New Roman" w:hAnsi="Times New Roman" w:cs="Times New Roman"/>
      <w:kern w:val="0"/>
      <w:sz w:val="24"/>
      <w:szCs w:val="24"/>
    </w:rPr>
  </w:style>
  <w:style w:type="character" w:styleId="FollowedHyperlink">
    <w:name w:val="FollowedHyperlink"/>
    <w:basedOn w:val="DefaultParagraphFont"/>
    <w:uiPriority w:val="99"/>
    <w:semiHidden/>
    <w:unhideWhenUsed/>
    <w:rsid w:val="004F636C"/>
    <w:rPr>
      <w:color w:val="954F72" w:themeColor="followedHyperlink"/>
      <w:u w:val="single"/>
    </w:rPr>
  </w:style>
  <w:style w:type="character" w:styleId="UnresolvedMention">
    <w:name w:val="Unresolved Mention"/>
    <w:basedOn w:val="DefaultParagraphFont"/>
    <w:uiPriority w:val="99"/>
    <w:semiHidden/>
    <w:unhideWhenUsed/>
    <w:rsid w:val="004F6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6329">
      <w:bodyDiv w:val="1"/>
      <w:marLeft w:val="0"/>
      <w:marRight w:val="0"/>
      <w:marTop w:val="0"/>
      <w:marBottom w:val="0"/>
      <w:divBdr>
        <w:top w:val="none" w:sz="0" w:space="0" w:color="auto"/>
        <w:left w:val="none" w:sz="0" w:space="0" w:color="auto"/>
        <w:bottom w:val="none" w:sz="0" w:space="0" w:color="auto"/>
        <w:right w:val="none" w:sz="0" w:space="0" w:color="auto"/>
      </w:divBdr>
    </w:div>
    <w:div w:id="83495519">
      <w:bodyDiv w:val="1"/>
      <w:marLeft w:val="0"/>
      <w:marRight w:val="0"/>
      <w:marTop w:val="0"/>
      <w:marBottom w:val="0"/>
      <w:divBdr>
        <w:top w:val="none" w:sz="0" w:space="0" w:color="auto"/>
        <w:left w:val="none" w:sz="0" w:space="0" w:color="auto"/>
        <w:bottom w:val="none" w:sz="0" w:space="0" w:color="auto"/>
        <w:right w:val="none" w:sz="0" w:space="0" w:color="auto"/>
      </w:divBdr>
    </w:div>
    <w:div w:id="123157255">
      <w:bodyDiv w:val="1"/>
      <w:marLeft w:val="0"/>
      <w:marRight w:val="0"/>
      <w:marTop w:val="0"/>
      <w:marBottom w:val="0"/>
      <w:divBdr>
        <w:top w:val="none" w:sz="0" w:space="0" w:color="auto"/>
        <w:left w:val="none" w:sz="0" w:space="0" w:color="auto"/>
        <w:bottom w:val="none" w:sz="0" w:space="0" w:color="auto"/>
        <w:right w:val="none" w:sz="0" w:space="0" w:color="auto"/>
      </w:divBdr>
    </w:div>
    <w:div w:id="165248026">
      <w:bodyDiv w:val="1"/>
      <w:marLeft w:val="0"/>
      <w:marRight w:val="0"/>
      <w:marTop w:val="0"/>
      <w:marBottom w:val="0"/>
      <w:divBdr>
        <w:top w:val="none" w:sz="0" w:space="0" w:color="auto"/>
        <w:left w:val="none" w:sz="0" w:space="0" w:color="auto"/>
        <w:bottom w:val="none" w:sz="0" w:space="0" w:color="auto"/>
        <w:right w:val="none" w:sz="0" w:space="0" w:color="auto"/>
      </w:divBdr>
    </w:div>
    <w:div w:id="168060647">
      <w:bodyDiv w:val="1"/>
      <w:marLeft w:val="0"/>
      <w:marRight w:val="0"/>
      <w:marTop w:val="0"/>
      <w:marBottom w:val="0"/>
      <w:divBdr>
        <w:top w:val="none" w:sz="0" w:space="0" w:color="auto"/>
        <w:left w:val="none" w:sz="0" w:space="0" w:color="auto"/>
        <w:bottom w:val="none" w:sz="0" w:space="0" w:color="auto"/>
        <w:right w:val="none" w:sz="0" w:space="0" w:color="auto"/>
      </w:divBdr>
    </w:div>
    <w:div w:id="290522978">
      <w:bodyDiv w:val="1"/>
      <w:marLeft w:val="0"/>
      <w:marRight w:val="0"/>
      <w:marTop w:val="0"/>
      <w:marBottom w:val="0"/>
      <w:divBdr>
        <w:top w:val="none" w:sz="0" w:space="0" w:color="auto"/>
        <w:left w:val="none" w:sz="0" w:space="0" w:color="auto"/>
        <w:bottom w:val="none" w:sz="0" w:space="0" w:color="auto"/>
        <w:right w:val="none" w:sz="0" w:space="0" w:color="auto"/>
      </w:divBdr>
    </w:div>
    <w:div w:id="365180626">
      <w:bodyDiv w:val="1"/>
      <w:marLeft w:val="0"/>
      <w:marRight w:val="0"/>
      <w:marTop w:val="0"/>
      <w:marBottom w:val="0"/>
      <w:divBdr>
        <w:top w:val="none" w:sz="0" w:space="0" w:color="auto"/>
        <w:left w:val="none" w:sz="0" w:space="0" w:color="auto"/>
        <w:bottom w:val="none" w:sz="0" w:space="0" w:color="auto"/>
        <w:right w:val="none" w:sz="0" w:space="0" w:color="auto"/>
      </w:divBdr>
    </w:div>
    <w:div w:id="471605361">
      <w:bodyDiv w:val="1"/>
      <w:marLeft w:val="0"/>
      <w:marRight w:val="0"/>
      <w:marTop w:val="0"/>
      <w:marBottom w:val="0"/>
      <w:divBdr>
        <w:top w:val="none" w:sz="0" w:space="0" w:color="auto"/>
        <w:left w:val="none" w:sz="0" w:space="0" w:color="auto"/>
        <w:bottom w:val="none" w:sz="0" w:space="0" w:color="auto"/>
        <w:right w:val="none" w:sz="0" w:space="0" w:color="auto"/>
      </w:divBdr>
    </w:div>
    <w:div w:id="507059784">
      <w:bodyDiv w:val="1"/>
      <w:marLeft w:val="0"/>
      <w:marRight w:val="0"/>
      <w:marTop w:val="0"/>
      <w:marBottom w:val="0"/>
      <w:divBdr>
        <w:top w:val="none" w:sz="0" w:space="0" w:color="auto"/>
        <w:left w:val="none" w:sz="0" w:space="0" w:color="auto"/>
        <w:bottom w:val="none" w:sz="0" w:space="0" w:color="auto"/>
        <w:right w:val="none" w:sz="0" w:space="0" w:color="auto"/>
      </w:divBdr>
    </w:div>
    <w:div w:id="596407783">
      <w:bodyDiv w:val="1"/>
      <w:marLeft w:val="0"/>
      <w:marRight w:val="0"/>
      <w:marTop w:val="0"/>
      <w:marBottom w:val="0"/>
      <w:divBdr>
        <w:top w:val="none" w:sz="0" w:space="0" w:color="auto"/>
        <w:left w:val="none" w:sz="0" w:space="0" w:color="auto"/>
        <w:bottom w:val="none" w:sz="0" w:space="0" w:color="auto"/>
        <w:right w:val="none" w:sz="0" w:space="0" w:color="auto"/>
      </w:divBdr>
    </w:div>
    <w:div w:id="617562613">
      <w:bodyDiv w:val="1"/>
      <w:marLeft w:val="0"/>
      <w:marRight w:val="0"/>
      <w:marTop w:val="0"/>
      <w:marBottom w:val="0"/>
      <w:divBdr>
        <w:top w:val="none" w:sz="0" w:space="0" w:color="auto"/>
        <w:left w:val="none" w:sz="0" w:space="0" w:color="auto"/>
        <w:bottom w:val="none" w:sz="0" w:space="0" w:color="auto"/>
        <w:right w:val="none" w:sz="0" w:space="0" w:color="auto"/>
      </w:divBdr>
    </w:div>
    <w:div w:id="673609291">
      <w:bodyDiv w:val="1"/>
      <w:marLeft w:val="0"/>
      <w:marRight w:val="0"/>
      <w:marTop w:val="0"/>
      <w:marBottom w:val="0"/>
      <w:divBdr>
        <w:top w:val="none" w:sz="0" w:space="0" w:color="auto"/>
        <w:left w:val="none" w:sz="0" w:space="0" w:color="auto"/>
        <w:bottom w:val="none" w:sz="0" w:space="0" w:color="auto"/>
        <w:right w:val="none" w:sz="0" w:space="0" w:color="auto"/>
      </w:divBdr>
    </w:div>
    <w:div w:id="685519348">
      <w:bodyDiv w:val="1"/>
      <w:marLeft w:val="0"/>
      <w:marRight w:val="0"/>
      <w:marTop w:val="0"/>
      <w:marBottom w:val="0"/>
      <w:divBdr>
        <w:top w:val="none" w:sz="0" w:space="0" w:color="auto"/>
        <w:left w:val="none" w:sz="0" w:space="0" w:color="auto"/>
        <w:bottom w:val="none" w:sz="0" w:space="0" w:color="auto"/>
        <w:right w:val="none" w:sz="0" w:space="0" w:color="auto"/>
      </w:divBdr>
    </w:div>
    <w:div w:id="717708901">
      <w:bodyDiv w:val="1"/>
      <w:marLeft w:val="0"/>
      <w:marRight w:val="0"/>
      <w:marTop w:val="0"/>
      <w:marBottom w:val="0"/>
      <w:divBdr>
        <w:top w:val="none" w:sz="0" w:space="0" w:color="auto"/>
        <w:left w:val="none" w:sz="0" w:space="0" w:color="auto"/>
        <w:bottom w:val="none" w:sz="0" w:space="0" w:color="auto"/>
        <w:right w:val="none" w:sz="0" w:space="0" w:color="auto"/>
      </w:divBdr>
    </w:div>
    <w:div w:id="721442132">
      <w:bodyDiv w:val="1"/>
      <w:marLeft w:val="0"/>
      <w:marRight w:val="0"/>
      <w:marTop w:val="0"/>
      <w:marBottom w:val="0"/>
      <w:divBdr>
        <w:top w:val="none" w:sz="0" w:space="0" w:color="auto"/>
        <w:left w:val="none" w:sz="0" w:space="0" w:color="auto"/>
        <w:bottom w:val="none" w:sz="0" w:space="0" w:color="auto"/>
        <w:right w:val="none" w:sz="0" w:space="0" w:color="auto"/>
      </w:divBdr>
    </w:div>
    <w:div w:id="738749535">
      <w:bodyDiv w:val="1"/>
      <w:marLeft w:val="0"/>
      <w:marRight w:val="0"/>
      <w:marTop w:val="0"/>
      <w:marBottom w:val="0"/>
      <w:divBdr>
        <w:top w:val="none" w:sz="0" w:space="0" w:color="auto"/>
        <w:left w:val="none" w:sz="0" w:space="0" w:color="auto"/>
        <w:bottom w:val="none" w:sz="0" w:space="0" w:color="auto"/>
        <w:right w:val="none" w:sz="0" w:space="0" w:color="auto"/>
      </w:divBdr>
    </w:div>
    <w:div w:id="763569215">
      <w:bodyDiv w:val="1"/>
      <w:marLeft w:val="0"/>
      <w:marRight w:val="0"/>
      <w:marTop w:val="0"/>
      <w:marBottom w:val="0"/>
      <w:divBdr>
        <w:top w:val="none" w:sz="0" w:space="0" w:color="auto"/>
        <w:left w:val="none" w:sz="0" w:space="0" w:color="auto"/>
        <w:bottom w:val="none" w:sz="0" w:space="0" w:color="auto"/>
        <w:right w:val="none" w:sz="0" w:space="0" w:color="auto"/>
      </w:divBdr>
    </w:div>
    <w:div w:id="976688789">
      <w:bodyDiv w:val="1"/>
      <w:marLeft w:val="0"/>
      <w:marRight w:val="0"/>
      <w:marTop w:val="0"/>
      <w:marBottom w:val="0"/>
      <w:divBdr>
        <w:top w:val="none" w:sz="0" w:space="0" w:color="auto"/>
        <w:left w:val="none" w:sz="0" w:space="0" w:color="auto"/>
        <w:bottom w:val="none" w:sz="0" w:space="0" w:color="auto"/>
        <w:right w:val="none" w:sz="0" w:space="0" w:color="auto"/>
      </w:divBdr>
    </w:div>
    <w:div w:id="1060179248">
      <w:bodyDiv w:val="1"/>
      <w:marLeft w:val="0"/>
      <w:marRight w:val="0"/>
      <w:marTop w:val="0"/>
      <w:marBottom w:val="0"/>
      <w:divBdr>
        <w:top w:val="none" w:sz="0" w:space="0" w:color="auto"/>
        <w:left w:val="none" w:sz="0" w:space="0" w:color="auto"/>
        <w:bottom w:val="none" w:sz="0" w:space="0" w:color="auto"/>
        <w:right w:val="none" w:sz="0" w:space="0" w:color="auto"/>
      </w:divBdr>
    </w:div>
    <w:div w:id="1122967315">
      <w:bodyDiv w:val="1"/>
      <w:marLeft w:val="0"/>
      <w:marRight w:val="0"/>
      <w:marTop w:val="0"/>
      <w:marBottom w:val="0"/>
      <w:divBdr>
        <w:top w:val="none" w:sz="0" w:space="0" w:color="auto"/>
        <w:left w:val="none" w:sz="0" w:space="0" w:color="auto"/>
        <w:bottom w:val="none" w:sz="0" w:space="0" w:color="auto"/>
        <w:right w:val="none" w:sz="0" w:space="0" w:color="auto"/>
      </w:divBdr>
    </w:div>
    <w:div w:id="1184054416">
      <w:bodyDiv w:val="1"/>
      <w:marLeft w:val="0"/>
      <w:marRight w:val="0"/>
      <w:marTop w:val="0"/>
      <w:marBottom w:val="0"/>
      <w:divBdr>
        <w:top w:val="none" w:sz="0" w:space="0" w:color="auto"/>
        <w:left w:val="none" w:sz="0" w:space="0" w:color="auto"/>
        <w:bottom w:val="none" w:sz="0" w:space="0" w:color="auto"/>
        <w:right w:val="none" w:sz="0" w:space="0" w:color="auto"/>
      </w:divBdr>
    </w:div>
    <w:div w:id="1279527146">
      <w:bodyDiv w:val="1"/>
      <w:marLeft w:val="0"/>
      <w:marRight w:val="0"/>
      <w:marTop w:val="0"/>
      <w:marBottom w:val="0"/>
      <w:divBdr>
        <w:top w:val="none" w:sz="0" w:space="0" w:color="auto"/>
        <w:left w:val="none" w:sz="0" w:space="0" w:color="auto"/>
        <w:bottom w:val="none" w:sz="0" w:space="0" w:color="auto"/>
        <w:right w:val="none" w:sz="0" w:space="0" w:color="auto"/>
      </w:divBdr>
    </w:div>
    <w:div w:id="1328053747">
      <w:bodyDiv w:val="1"/>
      <w:marLeft w:val="0"/>
      <w:marRight w:val="0"/>
      <w:marTop w:val="0"/>
      <w:marBottom w:val="0"/>
      <w:divBdr>
        <w:top w:val="none" w:sz="0" w:space="0" w:color="auto"/>
        <w:left w:val="none" w:sz="0" w:space="0" w:color="auto"/>
        <w:bottom w:val="none" w:sz="0" w:space="0" w:color="auto"/>
        <w:right w:val="none" w:sz="0" w:space="0" w:color="auto"/>
      </w:divBdr>
    </w:div>
    <w:div w:id="1394768757">
      <w:bodyDiv w:val="1"/>
      <w:marLeft w:val="0"/>
      <w:marRight w:val="0"/>
      <w:marTop w:val="0"/>
      <w:marBottom w:val="0"/>
      <w:divBdr>
        <w:top w:val="none" w:sz="0" w:space="0" w:color="auto"/>
        <w:left w:val="none" w:sz="0" w:space="0" w:color="auto"/>
        <w:bottom w:val="none" w:sz="0" w:space="0" w:color="auto"/>
        <w:right w:val="none" w:sz="0" w:space="0" w:color="auto"/>
      </w:divBdr>
    </w:div>
    <w:div w:id="1423144160">
      <w:bodyDiv w:val="1"/>
      <w:marLeft w:val="0"/>
      <w:marRight w:val="0"/>
      <w:marTop w:val="0"/>
      <w:marBottom w:val="0"/>
      <w:divBdr>
        <w:top w:val="none" w:sz="0" w:space="0" w:color="auto"/>
        <w:left w:val="none" w:sz="0" w:space="0" w:color="auto"/>
        <w:bottom w:val="none" w:sz="0" w:space="0" w:color="auto"/>
        <w:right w:val="none" w:sz="0" w:space="0" w:color="auto"/>
      </w:divBdr>
    </w:div>
    <w:div w:id="1427534492">
      <w:bodyDiv w:val="1"/>
      <w:marLeft w:val="0"/>
      <w:marRight w:val="0"/>
      <w:marTop w:val="0"/>
      <w:marBottom w:val="0"/>
      <w:divBdr>
        <w:top w:val="none" w:sz="0" w:space="0" w:color="auto"/>
        <w:left w:val="none" w:sz="0" w:space="0" w:color="auto"/>
        <w:bottom w:val="none" w:sz="0" w:space="0" w:color="auto"/>
        <w:right w:val="none" w:sz="0" w:space="0" w:color="auto"/>
      </w:divBdr>
    </w:div>
    <w:div w:id="1439639142">
      <w:bodyDiv w:val="1"/>
      <w:marLeft w:val="0"/>
      <w:marRight w:val="0"/>
      <w:marTop w:val="0"/>
      <w:marBottom w:val="0"/>
      <w:divBdr>
        <w:top w:val="none" w:sz="0" w:space="0" w:color="auto"/>
        <w:left w:val="none" w:sz="0" w:space="0" w:color="auto"/>
        <w:bottom w:val="none" w:sz="0" w:space="0" w:color="auto"/>
        <w:right w:val="none" w:sz="0" w:space="0" w:color="auto"/>
      </w:divBdr>
    </w:div>
    <w:div w:id="1484738916">
      <w:bodyDiv w:val="1"/>
      <w:marLeft w:val="0"/>
      <w:marRight w:val="0"/>
      <w:marTop w:val="0"/>
      <w:marBottom w:val="0"/>
      <w:divBdr>
        <w:top w:val="none" w:sz="0" w:space="0" w:color="auto"/>
        <w:left w:val="none" w:sz="0" w:space="0" w:color="auto"/>
        <w:bottom w:val="none" w:sz="0" w:space="0" w:color="auto"/>
        <w:right w:val="none" w:sz="0" w:space="0" w:color="auto"/>
      </w:divBdr>
    </w:div>
    <w:div w:id="1638293422">
      <w:bodyDiv w:val="1"/>
      <w:marLeft w:val="0"/>
      <w:marRight w:val="0"/>
      <w:marTop w:val="0"/>
      <w:marBottom w:val="0"/>
      <w:divBdr>
        <w:top w:val="none" w:sz="0" w:space="0" w:color="auto"/>
        <w:left w:val="none" w:sz="0" w:space="0" w:color="auto"/>
        <w:bottom w:val="none" w:sz="0" w:space="0" w:color="auto"/>
        <w:right w:val="none" w:sz="0" w:space="0" w:color="auto"/>
      </w:divBdr>
    </w:div>
    <w:div w:id="1659920644">
      <w:bodyDiv w:val="1"/>
      <w:marLeft w:val="0"/>
      <w:marRight w:val="0"/>
      <w:marTop w:val="0"/>
      <w:marBottom w:val="0"/>
      <w:divBdr>
        <w:top w:val="none" w:sz="0" w:space="0" w:color="auto"/>
        <w:left w:val="none" w:sz="0" w:space="0" w:color="auto"/>
        <w:bottom w:val="none" w:sz="0" w:space="0" w:color="auto"/>
        <w:right w:val="none" w:sz="0" w:space="0" w:color="auto"/>
      </w:divBdr>
    </w:div>
    <w:div w:id="1818186279">
      <w:bodyDiv w:val="1"/>
      <w:marLeft w:val="0"/>
      <w:marRight w:val="0"/>
      <w:marTop w:val="0"/>
      <w:marBottom w:val="0"/>
      <w:divBdr>
        <w:top w:val="none" w:sz="0" w:space="0" w:color="auto"/>
        <w:left w:val="none" w:sz="0" w:space="0" w:color="auto"/>
        <w:bottom w:val="none" w:sz="0" w:space="0" w:color="auto"/>
        <w:right w:val="none" w:sz="0" w:space="0" w:color="auto"/>
      </w:divBdr>
    </w:div>
    <w:div w:id="1997877143">
      <w:bodyDiv w:val="1"/>
      <w:marLeft w:val="0"/>
      <w:marRight w:val="0"/>
      <w:marTop w:val="0"/>
      <w:marBottom w:val="0"/>
      <w:divBdr>
        <w:top w:val="none" w:sz="0" w:space="0" w:color="auto"/>
        <w:left w:val="none" w:sz="0" w:space="0" w:color="auto"/>
        <w:bottom w:val="none" w:sz="0" w:space="0" w:color="auto"/>
        <w:right w:val="none" w:sz="0" w:space="0" w:color="auto"/>
      </w:divBdr>
    </w:div>
    <w:div w:id="2040468723">
      <w:bodyDiv w:val="1"/>
      <w:marLeft w:val="0"/>
      <w:marRight w:val="0"/>
      <w:marTop w:val="0"/>
      <w:marBottom w:val="0"/>
      <w:divBdr>
        <w:top w:val="none" w:sz="0" w:space="0" w:color="auto"/>
        <w:left w:val="none" w:sz="0" w:space="0" w:color="auto"/>
        <w:bottom w:val="none" w:sz="0" w:space="0" w:color="auto"/>
        <w:right w:val="none" w:sz="0" w:space="0" w:color="auto"/>
      </w:divBdr>
    </w:div>
    <w:div w:id="2127500785">
      <w:bodyDiv w:val="1"/>
      <w:marLeft w:val="0"/>
      <w:marRight w:val="0"/>
      <w:marTop w:val="0"/>
      <w:marBottom w:val="0"/>
      <w:divBdr>
        <w:top w:val="none" w:sz="0" w:space="0" w:color="auto"/>
        <w:left w:val="none" w:sz="0" w:space="0" w:color="auto"/>
        <w:bottom w:val="none" w:sz="0" w:space="0" w:color="auto"/>
        <w:right w:val="none" w:sz="0" w:space="0" w:color="auto"/>
      </w:divBdr>
    </w:div>
    <w:div w:id="214704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ea.org/reports/implementing-effective-emissions-trading-syste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theice.com/products/197/EUA-Future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capcarbonaction.com/en/allocatio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6B5AD-7A5B-7147-BE3B-1C0557116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8986</Words>
  <Characters>51223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 Xingyu</dc:creator>
  <cp:keywords/>
  <dc:description/>
  <cp:lastModifiedBy>Dhesi, Gurjeet</cp:lastModifiedBy>
  <cp:revision>2</cp:revision>
  <cp:lastPrinted>2021-02-21T02:40:00Z</cp:lastPrinted>
  <dcterms:created xsi:type="dcterms:W3CDTF">2021-08-09T09:09:00Z</dcterms:created>
  <dcterms:modified xsi:type="dcterms:W3CDTF">2021-08-09T09:09:00Z</dcterms:modified>
</cp:coreProperties>
</file>