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29" w:rsidRPr="00BD67ED" w:rsidRDefault="00D83829" w:rsidP="00BD67ED">
      <w:pPr>
        <w:pStyle w:val="Heading1"/>
        <w:spacing w:line="360" w:lineRule="auto"/>
        <w:jc w:val="both"/>
        <w:rPr>
          <w:rFonts w:ascii="Cambria" w:eastAsia="Times New Roman" w:hAnsi="Cambria" w:cs="Times New Roman"/>
          <w:sz w:val="24"/>
          <w:szCs w:val="24"/>
          <w:lang w:val="en-GB"/>
        </w:rPr>
      </w:pPr>
      <w:bookmarkStart w:id="0" w:name="_Toc473811545"/>
      <w:r w:rsidRPr="00BD67ED">
        <w:rPr>
          <w:rFonts w:ascii="Cambria" w:eastAsia="Times New Roman" w:hAnsi="Cambria" w:cs="Times New Roman"/>
          <w:sz w:val="24"/>
          <w:szCs w:val="24"/>
          <w:lang w:val="en-GB"/>
        </w:rPr>
        <w:t>ABSTRACT</w:t>
      </w:r>
      <w:bookmarkEnd w:id="0"/>
    </w:p>
    <w:p w:rsidR="00D83829" w:rsidRPr="00BD67ED" w:rsidRDefault="00D83829" w:rsidP="00D83829">
      <w:pPr>
        <w:spacing w:line="360" w:lineRule="auto"/>
        <w:jc w:val="both"/>
        <w:rPr>
          <w:rFonts w:ascii="Cambria" w:eastAsia="Times New Roman" w:hAnsi="Cambria" w:cs="Times New Roman"/>
          <w:lang w:val="en-GB"/>
        </w:rPr>
      </w:pPr>
      <w:r w:rsidRPr="00BD67ED">
        <w:rPr>
          <w:rFonts w:ascii="Cambria" w:eastAsia="Times New Roman" w:hAnsi="Cambria" w:cs="Times New Roman"/>
          <w:lang w:val="en-GB"/>
        </w:rPr>
        <w:t xml:space="preserve">Analysis of brand performance based on the relationship between brand size and consumer choice behaviour is a common procedure for repertoire and subscription markets. The more popular a brand (the more customers it has), the more often those customers tend to buy it. Thus, loyalty (repeat purchase) is a function of brand size as captured by the </w:t>
      </w:r>
      <w:proofErr w:type="spellStart"/>
      <w:r w:rsidRPr="00BD67ED">
        <w:rPr>
          <w:rFonts w:ascii="Cambria" w:eastAsia="Times New Roman" w:hAnsi="Cambria" w:cs="Times New Roman"/>
          <w:lang w:val="en-GB"/>
        </w:rPr>
        <w:t>Dirichlet</w:t>
      </w:r>
      <w:proofErr w:type="spellEnd"/>
      <w:r w:rsidRPr="00BD67ED">
        <w:rPr>
          <w:rFonts w:ascii="Cambria" w:eastAsia="Times New Roman" w:hAnsi="Cambria" w:cs="Times New Roman"/>
          <w:lang w:val="en-GB"/>
        </w:rPr>
        <w:t xml:space="preserve"> model and the Double Jeopardy Law.  The law-like relationship between brand size and repeat buying has been shown to hold for large brands—the top ten or even twenty brands in a category.  But little work has been done to analyse whether the same </w:t>
      </w:r>
      <w:r w:rsidR="0059629E">
        <w:rPr>
          <w:rFonts w:ascii="Cambria" w:eastAsia="Times New Roman" w:hAnsi="Cambria" w:cs="Times New Roman"/>
          <w:lang w:val="en-GB"/>
        </w:rPr>
        <w:t>rules apply for smaller brands, yet, t</w:t>
      </w:r>
      <w:r w:rsidRPr="00BD67ED">
        <w:rPr>
          <w:rFonts w:ascii="Cambria" w:eastAsia="Times New Roman" w:hAnsi="Cambria" w:cs="Times New Roman"/>
          <w:lang w:val="en-GB"/>
        </w:rPr>
        <w:t xml:space="preserve">his is important </w:t>
      </w:r>
      <w:r w:rsidR="0059629E">
        <w:rPr>
          <w:rFonts w:ascii="Cambria" w:eastAsia="Times New Roman" w:hAnsi="Cambria" w:cs="Times New Roman"/>
          <w:lang w:val="en-GB"/>
        </w:rPr>
        <w:t>since</w:t>
      </w:r>
      <w:r w:rsidRPr="00BD67ED">
        <w:rPr>
          <w:rFonts w:ascii="Cambria" w:eastAsia="Times New Roman" w:hAnsi="Cambria" w:cs="Times New Roman"/>
          <w:lang w:val="en-GB"/>
        </w:rPr>
        <w:t xml:space="preserve"> small brands </w:t>
      </w:r>
      <w:r w:rsidR="0059629E">
        <w:rPr>
          <w:rFonts w:ascii="Cambria" w:eastAsia="Times New Roman" w:hAnsi="Cambria" w:cs="Times New Roman"/>
          <w:lang w:val="en-GB"/>
        </w:rPr>
        <w:t xml:space="preserve">by </w:t>
      </w:r>
      <w:r w:rsidRPr="00BD67ED">
        <w:rPr>
          <w:rFonts w:ascii="Cambria" w:eastAsia="Times New Roman" w:hAnsi="Cambria" w:cs="Times New Roman"/>
          <w:lang w:val="en-GB"/>
        </w:rPr>
        <w:t xml:space="preserve">far outnumber </w:t>
      </w:r>
      <w:r w:rsidR="0059629E">
        <w:rPr>
          <w:rFonts w:ascii="Cambria" w:eastAsia="Times New Roman" w:hAnsi="Cambria" w:cs="Times New Roman"/>
          <w:lang w:val="en-GB"/>
        </w:rPr>
        <w:t xml:space="preserve">their </w:t>
      </w:r>
      <w:r w:rsidRPr="00BD67ED">
        <w:rPr>
          <w:rFonts w:ascii="Cambria" w:eastAsia="Times New Roman" w:hAnsi="Cambria" w:cs="Times New Roman"/>
          <w:lang w:val="en-GB"/>
        </w:rPr>
        <w:t>large</w:t>
      </w:r>
      <w:r w:rsidR="0059629E">
        <w:rPr>
          <w:rFonts w:ascii="Cambria" w:eastAsia="Times New Roman" w:hAnsi="Cambria" w:cs="Times New Roman"/>
          <w:lang w:val="en-GB"/>
        </w:rPr>
        <w:t>r</w:t>
      </w:r>
      <w:r w:rsidRPr="00BD67ED">
        <w:rPr>
          <w:rFonts w:ascii="Cambria" w:eastAsia="Times New Roman" w:hAnsi="Cambria" w:cs="Times New Roman"/>
          <w:lang w:val="en-GB"/>
        </w:rPr>
        <w:t xml:space="preserve"> </w:t>
      </w:r>
      <w:r w:rsidR="0059629E">
        <w:rPr>
          <w:rFonts w:ascii="Cambria" w:eastAsia="Times New Roman" w:hAnsi="Cambria" w:cs="Times New Roman"/>
          <w:lang w:val="en-GB"/>
        </w:rPr>
        <w:t xml:space="preserve">opponents </w:t>
      </w:r>
      <w:r w:rsidRPr="00BD67ED">
        <w:rPr>
          <w:rFonts w:ascii="Cambria" w:eastAsia="Times New Roman" w:hAnsi="Cambria" w:cs="Times New Roman"/>
          <w:lang w:val="en-GB"/>
        </w:rPr>
        <w:t>in any category.</w:t>
      </w:r>
    </w:p>
    <w:p w:rsidR="00D83829" w:rsidRPr="00BD67ED" w:rsidRDefault="0025678D" w:rsidP="00D83829">
      <w:pPr>
        <w:spacing w:line="360" w:lineRule="auto"/>
        <w:jc w:val="both"/>
        <w:rPr>
          <w:rFonts w:ascii="Cambria" w:eastAsia="Times New Roman" w:hAnsi="Cambria" w:cs="Times New Roman"/>
          <w:color w:val="2E74B5"/>
          <w:lang w:val="en-GB"/>
        </w:rPr>
      </w:pPr>
      <w:r>
        <w:rPr>
          <w:rFonts w:ascii="Cambria" w:eastAsia="Times New Roman" w:hAnsi="Cambria" w:cs="Times New Roman"/>
          <w:lang w:val="en-GB"/>
        </w:rPr>
        <w:t>This</w:t>
      </w:r>
      <w:r w:rsidR="00D83829" w:rsidRPr="00BD67ED">
        <w:rPr>
          <w:rFonts w:ascii="Cambria" w:eastAsia="Times New Roman" w:hAnsi="Cambria" w:cs="Times New Roman"/>
          <w:lang w:val="en-GB"/>
        </w:rPr>
        <w:t xml:space="preserve"> paper documents and quantifie</w:t>
      </w:r>
      <w:r w:rsidR="00223181">
        <w:rPr>
          <w:rFonts w:ascii="Cambria" w:eastAsia="Times New Roman" w:hAnsi="Cambria" w:cs="Times New Roman"/>
          <w:lang w:val="en-GB"/>
        </w:rPr>
        <w:t>s negative deviations from the Double J</w:t>
      </w:r>
      <w:r w:rsidR="00D83829" w:rsidRPr="00BD67ED">
        <w:rPr>
          <w:rFonts w:ascii="Cambria" w:eastAsia="Times New Roman" w:hAnsi="Cambria" w:cs="Times New Roman"/>
          <w:lang w:val="en-GB"/>
        </w:rPr>
        <w:t xml:space="preserve">eopardy line for low market share brands in 35 UK FMCG categories consisting of 430 brands and 37 ‘others’. </w:t>
      </w:r>
      <w:r>
        <w:rPr>
          <w:rFonts w:ascii="Cambria" w:eastAsia="Calibri" w:hAnsi="Cambria" w:cs="Times New Roman"/>
          <w:lang w:val="en-GB"/>
        </w:rPr>
        <w:t>In this</w:t>
      </w:r>
      <w:r w:rsidR="00132FA8" w:rsidRPr="00BD67ED">
        <w:rPr>
          <w:rFonts w:ascii="Cambria" w:eastAsia="Calibri" w:hAnsi="Cambria" w:cs="Times New Roman"/>
          <w:lang w:val="en-GB"/>
        </w:rPr>
        <w:t xml:space="preserve">, </w:t>
      </w:r>
      <w:r>
        <w:rPr>
          <w:rFonts w:ascii="Cambria" w:eastAsia="Calibri" w:hAnsi="Cambria" w:cs="Times New Roman"/>
          <w:lang w:val="en-GB"/>
        </w:rPr>
        <w:t>deficit</w:t>
      </w:r>
      <w:r w:rsidR="00132FA8" w:rsidRPr="00BD67ED">
        <w:rPr>
          <w:rFonts w:ascii="Cambria" w:eastAsia="Calibri" w:hAnsi="Cambria" w:cs="Times New Roman"/>
          <w:lang w:val="en-GB"/>
        </w:rPr>
        <w:t xml:space="preserve"> in repeat purchase is discussed from the point of a </w:t>
      </w:r>
      <w:r>
        <w:rPr>
          <w:rFonts w:ascii="Cambria" w:eastAsia="Calibri" w:hAnsi="Cambria" w:cs="Times New Roman"/>
          <w:lang w:val="en-GB"/>
        </w:rPr>
        <w:t>brand’s size</w:t>
      </w:r>
      <w:r w:rsidR="00132FA8" w:rsidRPr="00BD67ED">
        <w:rPr>
          <w:rFonts w:ascii="Cambria" w:eastAsia="Calibri" w:hAnsi="Cambria" w:cs="Times New Roman"/>
          <w:lang w:val="en-GB"/>
        </w:rPr>
        <w:t>.</w:t>
      </w:r>
      <w:r w:rsidR="00132FA8">
        <w:rPr>
          <w:rFonts w:ascii="Cambria" w:eastAsia="Calibri" w:hAnsi="Cambria" w:cs="Times New Roman"/>
          <w:lang w:val="en-GB"/>
        </w:rPr>
        <w:t xml:space="preserve"> </w:t>
      </w:r>
      <w:r w:rsidR="00D83829" w:rsidRPr="00BD67ED">
        <w:rPr>
          <w:rFonts w:ascii="Cambria" w:eastAsia="Times New Roman" w:hAnsi="Cambria" w:cs="Times New Roman"/>
          <w:lang w:val="en-GB"/>
        </w:rPr>
        <w:t>This work redresses gaps in our knowledge of small</w:t>
      </w:r>
      <w:r>
        <w:rPr>
          <w:rFonts w:ascii="Cambria" w:eastAsia="Times New Roman" w:hAnsi="Cambria" w:cs="Times New Roman"/>
          <w:lang w:val="en-GB"/>
        </w:rPr>
        <w:t xml:space="preserve"> brand performance metrics. I</w:t>
      </w:r>
      <w:r w:rsidR="00D83829" w:rsidRPr="00BD67ED">
        <w:rPr>
          <w:rFonts w:ascii="Cambria" w:eastAsia="Times New Roman" w:hAnsi="Cambria" w:cs="Times New Roman"/>
          <w:lang w:val="en-GB"/>
        </w:rPr>
        <w:t xml:space="preserve">nitial findings show </w:t>
      </w:r>
      <w:r>
        <w:rPr>
          <w:rFonts w:ascii="Cambria" w:eastAsia="Times New Roman" w:hAnsi="Cambria" w:cs="Times New Roman"/>
          <w:lang w:val="en-GB"/>
        </w:rPr>
        <w:t>small brands</w:t>
      </w:r>
      <w:r w:rsidR="004D0C5F">
        <w:rPr>
          <w:rFonts w:ascii="Cambria" w:eastAsia="Times New Roman" w:hAnsi="Cambria" w:cs="Times New Roman"/>
          <w:lang w:val="en-GB"/>
        </w:rPr>
        <w:t xml:space="preserve"> </w:t>
      </w:r>
      <w:r w:rsidR="00D83829" w:rsidRPr="00BD67ED">
        <w:rPr>
          <w:rFonts w:ascii="Cambria" w:eastAsia="Times New Roman" w:hAnsi="Cambria" w:cs="Times New Roman"/>
          <w:lang w:val="en-GB"/>
        </w:rPr>
        <w:t>tend to underperform their expected loyalty metrics. More research is underway into small brand dynamics (</w:t>
      </w:r>
      <w:r>
        <w:rPr>
          <w:rFonts w:ascii="Cambria" w:eastAsia="Times New Roman" w:hAnsi="Cambria" w:cs="Times New Roman"/>
          <w:lang w:val="en-GB"/>
        </w:rPr>
        <w:t>growth/decline</w:t>
      </w:r>
      <w:r w:rsidR="000A5454">
        <w:rPr>
          <w:rFonts w:ascii="Cambria" w:eastAsia="Times New Roman" w:hAnsi="Cambria" w:cs="Times New Roman"/>
          <w:lang w:val="en-GB"/>
        </w:rPr>
        <w:t xml:space="preserve">) and </w:t>
      </w:r>
      <w:proofErr w:type="spellStart"/>
      <w:r w:rsidR="000A5454">
        <w:rPr>
          <w:rFonts w:ascii="Cambria" w:eastAsia="Times New Roman" w:hAnsi="Cambria" w:cs="Times New Roman"/>
          <w:lang w:val="en-GB"/>
        </w:rPr>
        <w:t>microbrands</w:t>
      </w:r>
      <w:proofErr w:type="spellEnd"/>
      <w:r w:rsidR="000A5454">
        <w:rPr>
          <w:rFonts w:ascii="Cambria" w:eastAsia="Times New Roman" w:hAnsi="Cambria" w:cs="Times New Roman"/>
          <w:lang w:val="en-GB"/>
        </w:rPr>
        <w:t>—</w:t>
      </w:r>
      <w:r w:rsidR="00D83829" w:rsidRPr="00BD67ED">
        <w:rPr>
          <w:rFonts w:ascii="Cambria" w:eastAsia="Times New Roman" w:hAnsi="Cambria" w:cs="Times New Roman"/>
          <w:lang w:val="en-GB"/>
        </w:rPr>
        <w:t>that are too small to show up in panel data.</w:t>
      </w:r>
    </w:p>
    <w:p w:rsidR="00D83829" w:rsidRPr="00BD67ED" w:rsidRDefault="00D83829" w:rsidP="00D83829">
      <w:pPr>
        <w:spacing w:line="360" w:lineRule="auto"/>
        <w:jc w:val="both"/>
        <w:rPr>
          <w:rFonts w:ascii="Cambria" w:eastAsia="Times New Roman" w:hAnsi="Cambria" w:cs="Times New Roman"/>
          <w:color w:val="2E74B5"/>
          <w:sz w:val="24"/>
          <w:szCs w:val="24"/>
          <w:lang w:val="en-GB"/>
        </w:rPr>
      </w:pPr>
    </w:p>
    <w:p w:rsidR="00D83829" w:rsidRPr="00BD67ED" w:rsidRDefault="00D83829" w:rsidP="00BD67ED">
      <w:pPr>
        <w:pStyle w:val="Heading1"/>
        <w:spacing w:line="360" w:lineRule="auto"/>
        <w:rPr>
          <w:rFonts w:ascii="Cambria" w:eastAsia="Times New Roman" w:hAnsi="Cambria" w:cs="Times New Roman"/>
          <w:sz w:val="24"/>
          <w:szCs w:val="24"/>
          <w:lang w:val="en-GB"/>
        </w:rPr>
      </w:pPr>
      <w:bookmarkStart w:id="1" w:name="_Toc473811546"/>
      <w:r w:rsidRPr="00BD67ED">
        <w:rPr>
          <w:rFonts w:ascii="Cambria" w:eastAsia="Times New Roman" w:hAnsi="Cambria" w:cs="Times New Roman"/>
          <w:sz w:val="24"/>
          <w:szCs w:val="24"/>
          <w:lang w:val="en-GB"/>
        </w:rPr>
        <w:t>INTRODUCTION</w:t>
      </w:r>
      <w:bookmarkEnd w:id="1"/>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The well-established behavioural regularities that describe consumer purchasing for large brands might make predicting a small brand’s performance as straightforward as that of any other brand. However, a lack of depth in data, especially from panel </w:t>
      </w:r>
      <w:r w:rsidR="000A5454">
        <w:rPr>
          <w:rFonts w:ascii="Cambria" w:eastAsia="Calibri" w:hAnsi="Cambria" w:cs="Times New Roman"/>
          <w:lang w:val="en-GB"/>
        </w:rPr>
        <w:t>data</w:t>
      </w:r>
      <w:r w:rsidRPr="00BD67ED">
        <w:rPr>
          <w:rFonts w:ascii="Cambria" w:eastAsia="Calibri" w:hAnsi="Cambria" w:cs="Times New Roman"/>
          <w:lang w:val="en-GB"/>
        </w:rPr>
        <w:t>sets focused on market leading brands limits the accuracy and reliability of BPM forecasts (</w:t>
      </w:r>
      <w:r w:rsidRPr="00BD67ED">
        <w:rPr>
          <w:rFonts w:ascii="Cambria" w:eastAsia="Calibri" w:hAnsi="Cambria" w:cs="Times New Roman"/>
          <w:color w:val="2E74B5"/>
          <w:lang w:val="en-GB"/>
        </w:rPr>
        <w:t>Pare et al., 2006</w:t>
      </w:r>
      <w:r w:rsidRPr="00BD67ED">
        <w:rPr>
          <w:rFonts w:ascii="Cambria" w:eastAsia="Calibri" w:hAnsi="Cambria" w:cs="Times New Roman"/>
          <w:lang w:val="en-GB"/>
        </w:rPr>
        <w:t xml:space="preserve">). Moreover, research on (very) low share brands is scarce; and most discussion of small brands relies on unproven implications deduced from </w:t>
      </w:r>
      <w:r w:rsidR="00132FA8">
        <w:rPr>
          <w:rFonts w:ascii="Cambria" w:eastAsia="Calibri" w:hAnsi="Cambria" w:cs="Times New Roman"/>
          <w:lang w:val="en-GB"/>
        </w:rPr>
        <w:t xml:space="preserve">analysis of buying behaviour for </w:t>
      </w:r>
      <w:r w:rsidR="000A5454">
        <w:rPr>
          <w:rFonts w:ascii="Cambria" w:eastAsia="Calibri" w:hAnsi="Cambria" w:cs="Times New Roman"/>
          <w:lang w:val="en-GB"/>
        </w:rPr>
        <w:t>the leading</w:t>
      </w:r>
      <w:r w:rsidRPr="00BD67ED">
        <w:rPr>
          <w:rFonts w:ascii="Cambria" w:eastAsia="Calibri" w:hAnsi="Cambria" w:cs="Times New Roman"/>
          <w:lang w:val="en-GB"/>
        </w:rPr>
        <w:t xml:space="preserve"> brands.</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Seminal work by </w:t>
      </w:r>
      <w:r w:rsidRPr="00BD67ED">
        <w:rPr>
          <w:rFonts w:ascii="Cambria" w:eastAsia="Calibri" w:hAnsi="Cambria" w:cs="Times New Roman"/>
          <w:color w:val="2E74B5"/>
          <w:lang w:val="en-GB"/>
        </w:rPr>
        <w:t xml:space="preserve">Fader and </w:t>
      </w:r>
      <w:proofErr w:type="spellStart"/>
      <w:r w:rsidRPr="00BD67ED">
        <w:rPr>
          <w:rFonts w:ascii="Cambria" w:eastAsia="Calibri" w:hAnsi="Cambria" w:cs="Times New Roman"/>
          <w:color w:val="2E74B5"/>
          <w:lang w:val="en-GB"/>
        </w:rPr>
        <w:t>Schmittlein</w:t>
      </w:r>
      <w:proofErr w:type="spellEnd"/>
      <w:r w:rsidRPr="00BD67ED">
        <w:rPr>
          <w:rFonts w:ascii="Cambria" w:eastAsia="Calibri" w:hAnsi="Cambria" w:cs="Times New Roman"/>
          <w:color w:val="2E74B5"/>
          <w:lang w:val="en-GB"/>
        </w:rPr>
        <w:t xml:space="preserve"> </w:t>
      </w:r>
      <w:r w:rsidRPr="00BD67ED">
        <w:rPr>
          <w:rFonts w:ascii="Cambria" w:eastAsia="Calibri" w:hAnsi="Cambria" w:cs="Times New Roman"/>
          <w:lang w:val="en-GB"/>
        </w:rPr>
        <w:t>(</w:t>
      </w:r>
      <w:r w:rsidRPr="00BD67ED">
        <w:rPr>
          <w:rFonts w:ascii="Cambria" w:eastAsia="Calibri" w:hAnsi="Cambria" w:cs="Times New Roman"/>
          <w:color w:val="2E74B5"/>
          <w:lang w:val="en-GB"/>
        </w:rPr>
        <w:t>1993</w:t>
      </w:r>
      <w:r w:rsidRPr="00BD67ED">
        <w:rPr>
          <w:rFonts w:ascii="Cambria" w:eastAsia="Calibri" w:hAnsi="Cambria" w:cs="Times New Roman"/>
          <w:lang w:val="en-GB"/>
        </w:rPr>
        <w:t>) showed that very high share brands may command higher than expect</w:t>
      </w:r>
      <w:r w:rsidR="0025678D">
        <w:rPr>
          <w:rFonts w:ascii="Cambria" w:eastAsia="Calibri" w:hAnsi="Cambria" w:cs="Times New Roman"/>
          <w:lang w:val="en-GB"/>
        </w:rPr>
        <w:t>ed</w:t>
      </w:r>
      <w:r w:rsidRPr="00BD67ED">
        <w:rPr>
          <w:rFonts w:ascii="Cambria" w:eastAsia="Calibri" w:hAnsi="Cambria" w:cs="Times New Roman"/>
          <w:lang w:val="en-GB"/>
        </w:rPr>
        <w:t xml:space="preserve"> loyalty, i.e., they are above the DJ curve, a finding the authors called “Triple Jeopardy.” At the other end, </w:t>
      </w:r>
      <w:r w:rsidR="00132FA8">
        <w:rPr>
          <w:rFonts w:ascii="Cambria" w:eastAsia="Calibri" w:hAnsi="Cambria" w:cs="Times New Roman"/>
          <w:color w:val="2E74B5"/>
          <w:lang w:val="en-GB"/>
        </w:rPr>
        <w:t>Pare et al.</w:t>
      </w:r>
      <w:r w:rsidRPr="00BD67ED">
        <w:rPr>
          <w:rFonts w:ascii="Cambria" w:eastAsia="Calibri" w:hAnsi="Cambria" w:cs="Times New Roman"/>
          <w:color w:val="2E74B5"/>
          <w:lang w:val="en-GB"/>
        </w:rPr>
        <w:t xml:space="preserve"> </w:t>
      </w:r>
      <w:r w:rsidRPr="00BD67ED">
        <w:rPr>
          <w:rFonts w:ascii="Cambria" w:eastAsia="Calibri" w:hAnsi="Cambria" w:cs="Times New Roman"/>
          <w:lang w:val="en-GB"/>
        </w:rPr>
        <w:t>(</w:t>
      </w:r>
      <w:r w:rsidRPr="00BD67ED">
        <w:rPr>
          <w:rFonts w:ascii="Cambria" w:eastAsia="Calibri" w:hAnsi="Cambria" w:cs="Times New Roman"/>
          <w:color w:val="2E74B5"/>
          <w:lang w:val="en-GB"/>
        </w:rPr>
        <w:t>2006</w:t>
      </w:r>
      <w:r w:rsidRPr="00BD67ED">
        <w:rPr>
          <w:rFonts w:ascii="Cambria" w:eastAsia="Calibri" w:hAnsi="Cambria" w:cs="Times New Roman"/>
          <w:lang w:val="en-GB"/>
        </w:rPr>
        <w:t>)</w:t>
      </w:r>
      <w:r w:rsidRPr="00BD67ED">
        <w:rPr>
          <w:rFonts w:ascii="Cambria" w:eastAsia="Calibri" w:hAnsi="Cambria" w:cs="Times New Roman"/>
          <w:color w:val="2E74B5"/>
          <w:lang w:val="en-GB"/>
        </w:rPr>
        <w:t xml:space="preserve"> </w:t>
      </w:r>
      <w:r w:rsidRPr="00BD67ED">
        <w:rPr>
          <w:rFonts w:ascii="Cambria" w:eastAsia="Calibri" w:hAnsi="Cambria" w:cs="Times New Roman"/>
          <w:lang w:val="en-GB"/>
        </w:rPr>
        <w:t>found that half of the small and mid-sized l</w:t>
      </w:r>
      <w:r w:rsidR="000A5454">
        <w:rPr>
          <w:rFonts w:ascii="Cambria" w:eastAsia="Calibri" w:hAnsi="Cambria" w:cs="Times New Roman"/>
          <w:lang w:val="en-GB"/>
        </w:rPr>
        <w:t>abels (&gt;1% share) they studies</w:t>
      </w:r>
      <w:r w:rsidRPr="00BD67ED">
        <w:rPr>
          <w:rFonts w:ascii="Cambria" w:eastAsia="Calibri" w:hAnsi="Cambria" w:cs="Times New Roman"/>
          <w:lang w:val="en-GB"/>
        </w:rPr>
        <w:t xml:space="preserve"> repeatedly (over time) underperfo</w:t>
      </w:r>
      <w:r w:rsidR="000A5454">
        <w:rPr>
          <w:rFonts w:ascii="Cambria" w:eastAsia="Calibri" w:hAnsi="Cambria" w:cs="Times New Roman"/>
          <w:lang w:val="en-GB"/>
        </w:rPr>
        <w:t>rmed their loyalty predictions.</w:t>
      </w:r>
      <w:r w:rsidRPr="00BD67ED">
        <w:rPr>
          <w:rFonts w:ascii="Cambria" w:eastAsia="Calibri" w:hAnsi="Cambria" w:cs="Times New Roman"/>
          <w:lang w:val="en-GB"/>
        </w:rPr>
        <w:t xml:space="preserve"> Between them these studies suggest that very large and very small brands </w:t>
      </w:r>
      <w:r w:rsidR="000A5454">
        <w:rPr>
          <w:rFonts w:ascii="Cambria" w:eastAsia="Calibri" w:hAnsi="Cambria" w:cs="Times New Roman"/>
          <w:lang w:val="en-GB"/>
        </w:rPr>
        <w:t>may</w:t>
      </w:r>
      <w:r w:rsidRPr="00BD67ED">
        <w:rPr>
          <w:rFonts w:ascii="Cambria" w:eastAsia="Calibri" w:hAnsi="Cambria" w:cs="Times New Roman"/>
          <w:lang w:val="en-GB"/>
        </w:rPr>
        <w:t xml:space="preserve"> not actually sit on the DJ curve. This may not </w:t>
      </w:r>
      <w:r w:rsidR="000A5454">
        <w:rPr>
          <w:rFonts w:ascii="Cambria" w:eastAsia="Calibri" w:hAnsi="Cambria" w:cs="Times New Roman"/>
          <w:lang w:val="en-GB"/>
        </w:rPr>
        <w:t>concern</w:t>
      </w:r>
      <w:r w:rsidRPr="00BD67ED">
        <w:rPr>
          <w:rFonts w:ascii="Cambria" w:eastAsia="Calibri" w:hAnsi="Cambria" w:cs="Times New Roman"/>
          <w:lang w:val="en-GB"/>
        </w:rPr>
        <w:t xml:space="preserve"> the few super large brands, but is of critical importance to the masses of </w:t>
      </w:r>
      <w:r w:rsidR="00132FA8">
        <w:rPr>
          <w:rFonts w:ascii="Cambria" w:eastAsia="Calibri" w:hAnsi="Cambria" w:cs="Times New Roman"/>
          <w:lang w:val="en-GB"/>
        </w:rPr>
        <w:t xml:space="preserve">low share entities </w:t>
      </w:r>
      <w:r w:rsidRPr="00BD67ED">
        <w:rPr>
          <w:rFonts w:ascii="Cambria" w:eastAsia="Calibri" w:hAnsi="Cambria" w:cs="Times New Roman"/>
          <w:lang w:val="en-GB"/>
        </w:rPr>
        <w:t xml:space="preserve">if they are to make realistic assessments of their marketing performance. Therefore, this research explores more deeply the small </w:t>
      </w:r>
      <w:r w:rsidR="00132FA8">
        <w:rPr>
          <w:rFonts w:ascii="Cambria" w:eastAsia="Calibri" w:hAnsi="Cambria" w:cs="Times New Roman"/>
          <w:lang w:val="en-GB"/>
        </w:rPr>
        <w:t xml:space="preserve">brand </w:t>
      </w:r>
      <w:r w:rsidRPr="00BD67ED">
        <w:rPr>
          <w:rFonts w:ascii="Cambria" w:eastAsia="Calibri" w:hAnsi="Cambria" w:cs="Times New Roman"/>
          <w:lang w:val="en-GB"/>
        </w:rPr>
        <w:t>end of the DJ relationship. By looking at x-y-plots of individual and aggregated brand’s theoretical and observed penetrations and purchase frequencies, we explore whether there is a deficit in loyalty for very low share brands.</w:t>
      </w:r>
    </w:p>
    <w:p w:rsidR="00D83829" w:rsidRPr="00BD67ED" w:rsidRDefault="00D83829" w:rsidP="00D83829">
      <w:pPr>
        <w:spacing w:line="360" w:lineRule="auto"/>
        <w:jc w:val="both"/>
        <w:rPr>
          <w:rFonts w:ascii="Cambria" w:eastAsia="Calibri" w:hAnsi="Cambria" w:cs="Times New Roman"/>
          <w:lang w:val="en-GB"/>
        </w:rPr>
      </w:pPr>
    </w:p>
    <w:p w:rsidR="00D83829" w:rsidRPr="00BD67ED" w:rsidRDefault="00D83829" w:rsidP="00BD67ED">
      <w:pPr>
        <w:pStyle w:val="Heading1"/>
        <w:spacing w:line="360" w:lineRule="auto"/>
        <w:jc w:val="both"/>
        <w:rPr>
          <w:rFonts w:ascii="Cambria" w:eastAsia="Times New Roman" w:hAnsi="Cambria" w:cs="Times New Roman"/>
          <w:sz w:val="24"/>
          <w:szCs w:val="24"/>
          <w:lang w:val="en-GB"/>
        </w:rPr>
      </w:pPr>
      <w:bookmarkStart w:id="2" w:name="_Toc473811547"/>
      <w:r w:rsidRPr="00BD67ED">
        <w:rPr>
          <w:rFonts w:ascii="Cambria" w:eastAsia="Times New Roman" w:hAnsi="Cambria" w:cs="Times New Roman"/>
          <w:sz w:val="24"/>
          <w:szCs w:val="24"/>
          <w:lang w:val="en-GB"/>
        </w:rPr>
        <w:t>DOUBLE JEOPARDY</w:t>
      </w:r>
      <w:bookmarkEnd w:id="2"/>
    </w:p>
    <w:p w:rsidR="00D83829" w:rsidRPr="00BD67ED" w:rsidRDefault="000A5454" w:rsidP="00D83829">
      <w:pPr>
        <w:spacing w:line="360" w:lineRule="auto"/>
        <w:jc w:val="both"/>
        <w:rPr>
          <w:rFonts w:ascii="Cambria" w:eastAsia="Calibri" w:hAnsi="Cambria" w:cs="Times New Roman"/>
          <w:lang w:val="en-GB"/>
        </w:rPr>
      </w:pPr>
      <w:r>
        <w:rPr>
          <w:rFonts w:ascii="Cambria" w:eastAsia="Calibri" w:hAnsi="Cambria" w:cs="Times New Roman"/>
          <w:lang w:val="en-GB"/>
        </w:rPr>
        <w:t>The Double Jeopardy claim that</w:t>
      </w:r>
      <w:r w:rsidR="00D83829" w:rsidRPr="00BD67ED">
        <w:rPr>
          <w:rFonts w:ascii="Cambria" w:eastAsia="Calibri" w:hAnsi="Cambria" w:cs="Times New Roman"/>
          <w:lang w:val="en-GB"/>
        </w:rPr>
        <w:t xml:space="preserve"> within a set of competitive options, small brands suffer twice by having fewer buyers (first jeopardy) who purchase them less often (second jeopardy), says that brands differ greatly in penetrations, but less in repeat purchase (</w:t>
      </w:r>
      <w:r w:rsidR="008325C0">
        <w:rPr>
          <w:rFonts w:ascii="Cambria" w:eastAsia="Calibri" w:hAnsi="Cambria" w:cs="Times New Roman"/>
          <w:color w:val="2E74B5"/>
          <w:lang w:val="en-GB"/>
        </w:rPr>
        <w:t>Sharp, 2010; McDonald, 2005</w:t>
      </w:r>
      <w:r>
        <w:rPr>
          <w:rFonts w:ascii="Cambria" w:eastAsia="Calibri" w:hAnsi="Cambria" w:cs="Times New Roman"/>
          <w:lang w:val="en-GB"/>
        </w:rPr>
        <w:t>). T</w:t>
      </w:r>
      <w:r w:rsidR="00D83829" w:rsidRPr="00BD67ED">
        <w:rPr>
          <w:rFonts w:ascii="Cambria" w:eastAsia="Calibri" w:hAnsi="Cambria" w:cs="Times New Roman"/>
          <w:lang w:val="en-GB"/>
        </w:rPr>
        <w:t>he Double Jeopardy line is</w:t>
      </w:r>
      <w:r>
        <w:rPr>
          <w:rFonts w:ascii="Cambria" w:eastAsia="Calibri" w:hAnsi="Cambria" w:cs="Times New Roman"/>
          <w:lang w:val="en-GB"/>
        </w:rPr>
        <w:t xml:space="preserve"> usually</w:t>
      </w:r>
      <w:r w:rsidR="00D83829" w:rsidRPr="00BD67ED">
        <w:rPr>
          <w:rFonts w:ascii="Cambria" w:eastAsia="Calibri" w:hAnsi="Cambria" w:cs="Times New Roman"/>
          <w:lang w:val="en-GB"/>
        </w:rPr>
        <w:t xml:space="preserve"> plotted </w:t>
      </w:r>
      <w:r>
        <w:rPr>
          <w:rFonts w:ascii="Cambria" w:eastAsia="Calibri" w:hAnsi="Cambria" w:cs="Times New Roman"/>
          <w:lang w:val="en-GB"/>
        </w:rPr>
        <w:t>as</w:t>
      </w:r>
      <w:r w:rsidR="00D83829" w:rsidRPr="00BD67ED">
        <w:rPr>
          <w:rFonts w:ascii="Cambria" w:eastAsia="Calibri" w:hAnsi="Cambria" w:cs="Times New Roman"/>
          <w:lang w:val="en-GB"/>
        </w:rPr>
        <w:t xml:space="preserve"> the relationship between purchase frequency (x-axis) and penetration (y-axis). The resulting </w:t>
      </w:r>
      <w:proofErr w:type="gramStart"/>
      <w:r w:rsidR="00D83829" w:rsidRPr="00BD67ED">
        <w:rPr>
          <w:rFonts w:ascii="Cambria" w:eastAsia="Calibri" w:hAnsi="Cambria" w:cs="Times New Roman"/>
          <w:lang w:val="en-GB"/>
        </w:rPr>
        <w:t>upwards sloping</w:t>
      </w:r>
      <w:proofErr w:type="gramEnd"/>
      <w:r w:rsidR="00D83829" w:rsidRPr="00BD67ED">
        <w:rPr>
          <w:rFonts w:ascii="Cambria" w:eastAsia="Calibri" w:hAnsi="Cambria" w:cs="Times New Roman"/>
          <w:lang w:val="en-GB"/>
        </w:rPr>
        <w:t xml:space="preserve"> line divides the field into above and below average brands. (</w:t>
      </w:r>
      <w:proofErr w:type="spellStart"/>
      <w:r w:rsidR="00D83829" w:rsidRPr="00BD67ED">
        <w:rPr>
          <w:rFonts w:ascii="Cambria" w:eastAsia="Calibri" w:hAnsi="Cambria" w:cs="Times New Roman"/>
          <w:color w:val="2E74B5"/>
          <w:lang w:val="en-GB"/>
        </w:rPr>
        <w:t>Alsopp</w:t>
      </w:r>
      <w:proofErr w:type="spellEnd"/>
      <w:r w:rsidR="00D83829" w:rsidRPr="00BD67ED">
        <w:rPr>
          <w:rFonts w:ascii="Cambria" w:eastAsia="Calibri" w:hAnsi="Cambria" w:cs="Times New Roman"/>
          <w:color w:val="2E74B5"/>
          <w:lang w:val="en-GB"/>
        </w:rPr>
        <w:t xml:space="preserve"> and Jarvis, </w:t>
      </w:r>
      <w:r w:rsidR="009F78AC">
        <w:rPr>
          <w:rFonts w:ascii="Cambria" w:eastAsia="Calibri" w:hAnsi="Cambria" w:cs="Times New Roman"/>
          <w:color w:val="2E74B5"/>
          <w:lang w:val="en-GB"/>
        </w:rPr>
        <w:t>2003</w:t>
      </w:r>
      <w:r w:rsidR="00D83829" w:rsidRPr="00BD67ED">
        <w:rPr>
          <w:rFonts w:ascii="Cambria" w:eastAsia="Calibri" w:hAnsi="Cambria" w:cs="Times New Roman"/>
          <w:lang w:val="en-GB"/>
        </w:rPr>
        <w:t>),</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Generally, the observed values for most brands are quite close to the line.  However, some studies such as </w:t>
      </w:r>
      <w:r w:rsidRPr="00BD67ED">
        <w:rPr>
          <w:rFonts w:ascii="Cambria" w:eastAsia="Calibri" w:hAnsi="Cambria" w:cs="Times New Roman"/>
          <w:color w:val="2E74B5"/>
          <w:lang w:val="en-GB"/>
        </w:rPr>
        <w:t xml:space="preserve">Fader and </w:t>
      </w:r>
      <w:proofErr w:type="spellStart"/>
      <w:r w:rsidRPr="00BD67ED">
        <w:rPr>
          <w:rFonts w:ascii="Cambria" w:eastAsia="Calibri" w:hAnsi="Cambria" w:cs="Times New Roman"/>
          <w:color w:val="2E74B5"/>
          <w:lang w:val="en-GB"/>
        </w:rPr>
        <w:t>Schmittlein’s</w:t>
      </w:r>
      <w:proofErr w:type="spellEnd"/>
      <w:r w:rsidRPr="00BD67ED">
        <w:rPr>
          <w:rFonts w:ascii="Cambria" w:eastAsia="Calibri" w:hAnsi="Cambria" w:cs="Times New Roman"/>
          <w:color w:val="2E74B5"/>
          <w:lang w:val="en-GB"/>
        </w:rPr>
        <w:t xml:space="preserve"> </w:t>
      </w:r>
      <w:r w:rsidRPr="00BD67ED">
        <w:rPr>
          <w:rFonts w:ascii="Cambria" w:eastAsia="Calibri" w:hAnsi="Cambria" w:cs="Times New Roman"/>
          <w:lang w:val="en-GB"/>
        </w:rPr>
        <w:t>have reported brands that drift off the line (defined as difference of +/-10% from the theoretical norm). However, thus far, the majority of brands, especially the smaller ones that are exceptions to the rule</w:t>
      </w:r>
      <w:r w:rsidR="00853C79">
        <w:rPr>
          <w:rFonts w:ascii="Cambria" w:eastAsia="Calibri" w:hAnsi="Cambria" w:cs="Times New Roman"/>
          <w:lang w:val="en-GB"/>
        </w:rPr>
        <w:t>,</w:t>
      </w:r>
      <w:r w:rsidRPr="00BD67ED">
        <w:rPr>
          <w:rFonts w:ascii="Cambria" w:eastAsia="Calibri" w:hAnsi="Cambria" w:cs="Times New Roman"/>
          <w:lang w:val="en-GB"/>
        </w:rPr>
        <w:t xml:space="preserve"> have not </w:t>
      </w:r>
      <w:r w:rsidR="00853C79">
        <w:rPr>
          <w:rFonts w:ascii="Cambria" w:eastAsia="Calibri" w:hAnsi="Cambria" w:cs="Times New Roman"/>
          <w:lang w:val="en-GB"/>
        </w:rPr>
        <w:t xml:space="preserve">been </w:t>
      </w:r>
      <w:r w:rsidRPr="00BD67ED">
        <w:rPr>
          <w:rFonts w:ascii="Cambria" w:eastAsia="Calibri" w:hAnsi="Cambria" w:cs="Times New Roman"/>
          <w:lang w:val="en-GB"/>
        </w:rPr>
        <w:t>fully investigated nor understood (</w:t>
      </w:r>
      <w:r w:rsidRPr="00BD67ED">
        <w:rPr>
          <w:rFonts w:ascii="Cambria" w:eastAsia="Calibri" w:hAnsi="Cambria" w:cs="Times New Roman"/>
          <w:color w:val="2E74B5"/>
          <w:lang w:val="en-GB"/>
        </w:rPr>
        <w:t>Ehrenberg et al., 1990</w:t>
      </w:r>
      <w:r w:rsidRPr="00BD67ED">
        <w:rPr>
          <w:rFonts w:ascii="Cambria" w:eastAsia="Calibri" w:hAnsi="Cambria" w:cs="Times New Roman"/>
          <w:lang w:val="en-GB"/>
        </w:rPr>
        <w:t xml:space="preserve">). </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The focus of the present study is on negative deviations of low share labels and </w:t>
      </w:r>
      <w:r w:rsidR="000A5454">
        <w:rPr>
          <w:rFonts w:ascii="Cambria" w:eastAsia="Calibri" w:hAnsi="Cambria" w:cs="Times New Roman"/>
          <w:lang w:val="en-GB"/>
        </w:rPr>
        <w:t>the amalgamated brand</w:t>
      </w:r>
      <w:r w:rsidRPr="00BD67ED">
        <w:rPr>
          <w:rFonts w:ascii="Cambria" w:eastAsia="Calibri" w:hAnsi="Cambria" w:cs="Times New Roman"/>
          <w:lang w:val="en-GB"/>
        </w:rPr>
        <w:t xml:space="preserve"> ‘others’ across categories. Further, the degree to which private labels (often small in size) impact results due to </w:t>
      </w:r>
      <w:proofErr w:type="gramStart"/>
      <w:r w:rsidRPr="00BD67ED">
        <w:rPr>
          <w:rFonts w:ascii="Cambria" w:eastAsia="Calibri" w:hAnsi="Cambria" w:cs="Times New Roman"/>
          <w:lang w:val="en-GB"/>
        </w:rPr>
        <w:t>their</w:t>
      </w:r>
      <w:proofErr w:type="gramEnd"/>
      <w:r w:rsidRPr="00BD67ED">
        <w:rPr>
          <w:rFonts w:ascii="Cambria" w:eastAsia="Calibri" w:hAnsi="Cambria" w:cs="Times New Roman"/>
          <w:lang w:val="en-GB"/>
        </w:rPr>
        <w:t xml:space="preserve"> often higher than expect</w:t>
      </w:r>
      <w:r w:rsidR="00132FA8">
        <w:rPr>
          <w:rFonts w:ascii="Cambria" w:eastAsia="Calibri" w:hAnsi="Cambria" w:cs="Times New Roman"/>
          <w:lang w:val="en-GB"/>
        </w:rPr>
        <w:t>ed loyalty figures is assessed.</w:t>
      </w:r>
    </w:p>
    <w:p w:rsidR="00D83829" w:rsidRPr="00BD67ED" w:rsidRDefault="00D83829" w:rsidP="00D83829">
      <w:pPr>
        <w:spacing w:line="360" w:lineRule="auto"/>
        <w:jc w:val="both"/>
        <w:rPr>
          <w:rFonts w:ascii="Cambria" w:eastAsia="Calibri" w:hAnsi="Cambria" w:cs="Times New Roman"/>
          <w:lang w:val="en-GB"/>
        </w:rPr>
      </w:pPr>
    </w:p>
    <w:p w:rsidR="00D83829" w:rsidRPr="00BD67ED" w:rsidRDefault="00D83829" w:rsidP="00BD67ED">
      <w:pPr>
        <w:pStyle w:val="Heading1"/>
        <w:spacing w:line="360" w:lineRule="auto"/>
        <w:jc w:val="both"/>
        <w:rPr>
          <w:rFonts w:ascii="Cambria" w:eastAsia="Times New Roman" w:hAnsi="Cambria" w:cs="Times New Roman"/>
          <w:sz w:val="24"/>
          <w:szCs w:val="24"/>
          <w:lang w:val="en-GB"/>
        </w:rPr>
      </w:pPr>
      <w:bookmarkStart w:id="3" w:name="_Toc473811548"/>
      <w:r w:rsidRPr="00BD67ED">
        <w:rPr>
          <w:rFonts w:ascii="Cambria" w:eastAsia="Times New Roman" w:hAnsi="Cambria" w:cs="Times New Roman"/>
          <w:sz w:val="24"/>
          <w:szCs w:val="24"/>
          <w:lang w:val="en-GB"/>
        </w:rPr>
        <w:t>METHOD &amp; DATA</w:t>
      </w:r>
      <w:bookmarkEnd w:id="3"/>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Most research into Double Jeopardy deviations follows </w:t>
      </w:r>
      <w:r w:rsidR="00853C79">
        <w:rPr>
          <w:rFonts w:ascii="Cambria" w:eastAsia="Calibri" w:hAnsi="Cambria" w:cs="Times New Roman"/>
          <w:color w:val="5B9BD5"/>
          <w:lang w:val="en-GB"/>
          <w14:textFill>
            <w14:solidFill>
              <w14:srgbClr w14:val="5B9BD5">
                <w14:lumMod w14:val="75000"/>
              </w14:srgbClr>
            </w14:solidFill>
          </w14:textFill>
        </w:rPr>
        <w:t>Barnard et al</w:t>
      </w:r>
      <w:r w:rsidRPr="00BD67ED">
        <w:rPr>
          <w:rFonts w:ascii="Cambria" w:eastAsia="Calibri" w:hAnsi="Cambria" w:cs="Times New Roman"/>
          <w:color w:val="5B9BD5"/>
          <w:lang w:val="en-GB"/>
          <w14:textFill>
            <w14:solidFill>
              <w14:srgbClr w14:val="5B9BD5">
                <w14:lumMod w14:val="75000"/>
              </w14:srgbClr>
            </w14:solidFill>
          </w14:textFill>
        </w:rPr>
        <w:t xml:space="preserve">. </w:t>
      </w:r>
      <w:r w:rsidRPr="00BD67ED">
        <w:rPr>
          <w:rFonts w:ascii="Cambria" w:eastAsia="Calibri" w:hAnsi="Cambria" w:cs="Times New Roman"/>
          <w:lang w:val="en-GB"/>
        </w:rPr>
        <w:t>(</w:t>
      </w:r>
      <w:r w:rsidRPr="00BD67ED">
        <w:rPr>
          <w:rFonts w:ascii="Cambria" w:eastAsia="Calibri" w:hAnsi="Cambria" w:cs="Times New Roman"/>
          <w:color w:val="5B9BD5"/>
          <w:lang w:val="en-GB"/>
          <w14:textFill>
            <w14:solidFill>
              <w14:srgbClr w14:val="5B9BD5">
                <w14:lumMod w14:val="75000"/>
              </w14:srgbClr>
            </w14:solidFill>
          </w14:textFill>
        </w:rPr>
        <w:t>1994</w:t>
      </w:r>
      <w:r w:rsidRPr="00BD67ED">
        <w:rPr>
          <w:rFonts w:ascii="Cambria" w:eastAsia="Calibri" w:hAnsi="Cambria" w:cs="Times New Roman"/>
          <w:lang w:val="en-GB"/>
        </w:rPr>
        <w:t xml:space="preserve">) direct comparison approach, making it easy to summarise and interpret results. By investigating differences </w:t>
      </w:r>
      <w:proofErr w:type="gramStart"/>
      <w:r w:rsidRPr="00BD67ED">
        <w:rPr>
          <w:rFonts w:ascii="Cambria" w:eastAsia="Calibri" w:hAnsi="Cambria" w:cs="Times New Roman"/>
          <w:lang w:val="en-GB"/>
        </w:rPr>
        <w:t>between</w:t>
      </w:r>
      <w:proofErr w:type="gramEnd"/>
      <w:r w:rsidRPr="00BD67ED">
        <w:rPr>
          <w:rFonts w:ascii="Cambria" w:eastAsia="Calibri" w:hAnsi="Cambria" w:cs="Times New Roman"/>
          <w:lang w:val="en-GB"/>
        </w:rPr>
        <w:t xml:space="preserve"> theoretical and observed brand metrics, the present study applies this method. The consumer purchase data used here is from a five-year (2009-15) longitudinal Taylor Nelson </w:t>
      </w:r>
      <w:proofErr w:type="spellStart"/>
      <w:r w:rsidRPr="00BD67ED">
        <w:rPr>
          <w:rFonts w:ascii="Cambria" w:eastAsia="Calibri" w:hAnsi="Cambria" w:cs="Times New Roman"/>
          <w:lang w:val="en-GB"/>
        </w:rPr>
        <w:t>Sofres</w:t>
      </w:r>
      <w:proofErr w:type="spellEnd"/>
      <w:r w:rsidRPr="00BD67ED">
        <w:rPr>
          <w:rFonts w:ascii="Cambria" w:eastAsia="Calibri" w:hAnsi="Cambria" w:cs="Times New Roman"/>
          <w:lang w:val="en-GB"/>
        </w:rPr>
        <w:t xml:space="preserve"> (TNS) panel provided by the Ehrenberg Centre of Research in Marketing, including 15,000 United Kingdom households.</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Raw numbers are extracted with the help of </w:t>
      </w:r>
      <w:proofErr w:type="spellStart"/>
      <w:r w:rsidRPr="00BD67ED">
        <w:rPr>
          <w:rFonts w:ascii="Cambria" w:eastAsia="Calibri" w:hAnsi="Cambria" w:cs="Times New Roman"/>
          <w:lang w:val="en-GB"/>
        </w:rPr>
        <w:t>Powerview</w:t>
      </w:r>
      <w:proofErr w:type="spellEnd"/>
      <w:r w:rsidRPr="00BD67ED">
        <w:rPr>
          <w:rFonts w:ascii="Cambria" w:eastAsia="Calibri" w:hAnsi="Cambria" w:cs="Times New Roman"/>
          <w:lang w:val="en-GB"/>
        </w:rPr>
        <w:t xml:space="preserve">. Overall, 430 brands and 37 ‘others’ are </w:t>
      </w:r>
      <w:r w:rsidR="00762927">
        <w:rPr>
          <w:rFonts w:ascii="Cambria" w:eastAsia="Calibri" w:hAnsi="Cambria" w:cs="Times New Roman"/>
          <w:lang w:val="en-GB"/>
        </w:rPr>
        <w:t xml:space="preserve">included in the analysis to </w:t>
      </w:r>
      <w:r w:rsidRPr="00BD67ED">
        <w:rPr>
          <w:rFonts w:ascii="Cambria" w:eastAsia="Calibri" w:hAnsi="Cambria" w:cs="Times New Roman"/>
          <w:lang w:val="en-GB"/>
        </w:rPr>
        <w:t xml:space="preserve">derive </w:t>
      </w:r>
      <w:r w:rsidR="00762927">
        <w:rPr>
          <w:rFonts w:ascii="Cambria" w:eastAsia="Calibri" w:hAnsi="Cambria" w:cs="Times New Roman"/>
          <w:lang w:val="en-GB"/>
        </w:rPr>
        <w:t xml:space="preserve">standard </w:t>
      </w:r>
      <w:r w:rsidRPr="00BD67ED">
        <w:rPr>
          <w:rFonts w:ascii="Cambria" w:eastAsia="Calibri" w:hAnsi="Cambria" w:cs="Times New Roman"/>
          <w:lang w:val="en-GB"/>
        </w:rPr>
        <w:t xml:space="preserve">quantitative </w:t>
      </w:r>
      <w:r w:rsidR="00762927">
        <w:rPr>
          <w:rFonts w:ascii="Cambria" w:eastAsia="Calibri" w:hAnsi="Cambria" w:cs="Times New Roman"/>
          <w:lang w:val="en-GB"/>
        </w:rPr>
        <w:t xml:space="preserve">brand performance metrics. These can then be assessed in a context of existing knowledge about buying behaviour in FMCG categories </w:t>
      </w:r>
      <w:r w:rsidRPr="00BD67ED">
        <w:rPr>
          <w:rFonts w:ascii="Cambria" w:eastAsia="Calibri" w:hAnsi="Cambria" w:cs="Times New Roman"/>
          <w:lang w:val="en-GB"/>
        </w:rPr>
        <w:t>(</w:t>
      </w:r>
      <w:r w:rsidRPr="00BD67ED">
        <w:rPr>
          <w:rFonts w:ascii="Cambria" w:eastAsia="Calibri" w:hAnsi="Cambria" w:cs="Times New Roman"/>
          <w:color w:val="5B9BD5"/>
          <w:lang w:val="en-GB"/>
          <w14:textFill>
            <w14:solidFill>
              <w14:srgbClr w14:val="5B9BD5">
                <w14:lumMod w14:val="75000"/>
              </w14:srgbClr>
            </w14:solidFill>
          </w14:textFill>
        </w:rPr>
        <w:t xml:space="preserve">Saunders et al., 2012, </w:t>
      </w:r>
      <w:proofErr w:type="spellStart"/>
      <w:r w:rsidRPr="00BD67ED">
        <w:rPr>
          <w:rFonts w:ascii="Cambria" w:eastAsia="Calibri" w:hAnsi="Cambria" w:cs="Times New Roman"/>
          <w:color w:val="5B9BD5"/>
          <w:lang w:val="en-GB"/>
          <w14:textFill>
            <w14:solidFill>
              <w14:srgbClr w14:val="5B9BD5">
                <w14:lumMod w14:val="75000"/>
              </w14:srgbClr>
            </w14:solidFill>
          </w14:textFill>
        </w:rPr>
        <w:t>Barwise</w:t>
      </w:r>
      <w:proofErr w:type="spellEnd"/>
      <w:r w:rsidRPr="00BD67ED">
        <w:rPr>
          <w:rFonts w:ascii="Cambria" w:eastAsia="Calibri" w:hAnsi="Cambria" w:cs="Times New Roman"/>
          <w:color w:val="5B9BD5"/>
          <w:lang w:val="en-GB"/>
          <w14:textFill>
            <w14:solidFill>
              <w14:srgbClr w14:val="5B9BD5">
                <w14:lumMod w14:val="75000"/>
              </w14:srgbClr>
            </w14:solidFill>
          </w14:textFill>
        </w:rPr>
        <w:t>, 1995</w:t>
      </w:r>
      <w:r w:rsidRPr="00BD67ED">
        <w:rPr>
          <w:rFonts w:ascii="Cambria" w:eastAsia="Calibri" w:hAnsi="Cambria" w:cs="Times New Roman"/>
          <w:lang w:val="en-GB"/>
        </w:rPr>
        <w:t xml:space="preserve">). </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Traditionally, a category’s brands are sorted by size based on market share (</w:t>
      </w:r>
      <w:r w:rsidRPr="00BD67ED">
        <w:rPr>
          <w:rFonts w:ascii="Cambria" w:eastAsia="Calibri" w:hAnsi="Cambria" w:cs="Times New Roman"/>
          <w:color w:val="2E74B5"/>
          <w:highlight w:val="yellow"/>
          <w:lang w:val="en-GB"/>
        </w:rPr>
        <w:fldChar w:fldCharType="begin"/>
      </w:r>
      <w:r w:rsidRPr="00BD67ED">
        <w:rPr>
          <w:rFonts w:ascii="Cambria" w:eastAsia="Calibri" w:hAnsi="Cambria" w:cs="Times New Roman"/>
          <w:lang w:val="en-GB"/>
        </w:rPr>
        <w:instrText xml:space="preserve"> REF _Ref472114441 \h </w:instrText>
      </w:r>
      <w:r w:rsidRPr="00BD67ED">
        <w:rPr>
          <w:rFonts w:ascii="Cambria" w:eastAsia="Calibri" w:hAnsi="Cambria" w:cs="Times New Roman"/>
          <w:color w:val="2E74B5"/>
          <w:highlight w:val="yellow"/>
          <w:lang w:val="en-GB"/>
        </w:rPr>
        <w:instrText xml:space="preserve"> \* MERGEFORMAT </w:instrText>
      </w:r>
      <w:r w:rsidRPr="00BD67ED">
        <w:rPr>
          <w:rFonts w:ascii="Cambria" w:eastAsia="Calibri" w:hAnsi="Cambria" w:cs="Times New Roman"/>
          <w:color w:val="2E74B5"/>
          <w:highlight w:val="yellow"/>
          <w:lang w:val="en-GB"/>
        </w:rPr>
      </w:r>
      <w:r w:rsidRPr="00BD67ED">
        <w:rPr>
          <w:rFonts w:ascii="Cambria" w:eastAsia="Calibri" w:hAnsi="Cambria" w:cs="Times New Roman"/>
          <w:color w:val="2E74B5"/>
          <w:highlight w:val="yellow"/>
          <w:lang w:val="en-GB"/>
        </w:rPr>
        <w:fldChar w:fldCharType="separate"/>
      </w:r>
      <w:r w:rsidR="00540B69" w:rsidRPr="00BD67ED">
        <w:rPr>
          <w:rFonts w:ascii="Cambria" w:eastAsia="Calibri" w:hAnsi="Cambria" w:cs="Times New Roman"/>
          <w:color w:val="2E74B5"/>
          <w:lang w:val="en-GB"/>
        </w:rPr>
        <w:t xml:space="preserve">Table </w:t>
      </w:r>
      <w:r w:rsidR="00540B69" w:rsidRPr="00BD67ED">
        <w:rPr>
          <w:rFonts w:ascii="Cambria" w:eastAsia="Calibri" w:hAnsi="Cambria" w:cs="Times New Roman"/>
          <w:noProof/>
          <w:color w:val="2E74B5"/>
          <w:lang w:val="en-GB"/>
        </w:rPr>
        <w:t>1</w:t>
      </w:r>
      <w:r w:rsidRPr="00BD67ED">
        <w:rPr>
          <w:rFonts w:ascii="Cambria" w:eastAsia="Calibri" w:hAnsi="Cambria" w:cs="Times New Roman"/>
          <w:color w:val="2E74B5"/>
          <w:highlight w:val="yellow"/>
          <w:lang w:val="en-GB"/>
        </w:rPr>
        <w:fldChar w:fldCharType="end"/>
      </w:r>
      <w:r w:rsidRPr="00BD67ED">
        <w:rPr>
          <w:rFonts w:ascii="Cambria" w:eastAsia="Calibri" w:hAnsi="Cambria" w:cs="Times New Roman"/>
          <w:lang w:val="en-GB"/>
        </w:rPr>
        <w:t xml:space="preserve">). As the present research looks specifically at </w:t>
      </w:r>
      <w:r w:rsidR="00677B0F">
        <w:rPr>
          <w:rFonts w:ascii="Cambria" w:eastAsia="Calibri" w:hAnsi="Cambria" w:cs="Times New Roman"/>
          <w:lang w:val="en-GB"/>
        </w:rPr>
        <w:t>small brands</w:t>
      </w:r>
      <w:r w:rsidRPr="00BD67ED">
        <w:rPr>
          <w:rFonts w:ascii="Cambria" w:eastAsia="Calibri" w:hAnsi="Cambria" w:cs="Times New Roman"/>
          <w:lang w:val="en-GB"/>
        </w:rPr>
        <w:t xml:space="preserve">, each of the 35 categories </w:t>
      </w:r>
      <w:r w:rsidR="006808D2">
        <w:rPr>
          <w:rFonts w:ascii="Cambria" w:eastAsia="Calibri" w:hAnsi="Cambria" w:cs="Times New Roman"/>
          <w:lang w:val="en-GB"/>
        </w:rPr>
        <w:t>is</w:t>
      </w:r>
      <w:r w:rsidRPr="00BD67ED">
        <w:rPr>
          <w:rFonts w:ascii="Cambria" w:eastAsia="Calibri" w:hAnsi="Cambria" w:cs="Times New Roman"/>
          <w:lang w:val="en-GB"/>
        </w:rPr>
        <w:t xml:space="preserve"> divided into a top (red; total: 214) and bottom half (blue; total: 216); ‘other’ brands (an </w:t>
      </w:r>
      <w:r w:rsidR="000A5454">
        <w:rPr>
          <w:rFonts w:ascii="Cambria" w:eastAsia="Calibri" w:hAnsi="Cambria" w:cs="Times New Roman"/>
          <w:lang w:val="en-GB"/>
        </w:rPr>
        <w:t>collection</w:t>
      </w:r>
      <w:r w:rsidRPr="00BD67ED">
        <w:rPr>
          <w:rFonts w:ascii="Cambria" w:eastAsia="Calibri" w:hAnsi="Cambria" w:cs="Times New Roman"/>
          <w:lang w:val="en-GB"/>
        </w:rPr>
        <w:t xml:space="preserve"> of smaller </w:t>
      </w:r>
      <w:r w:rsidR="006808D2">
        <w:rPr>
          <w:rFonts w:ascii="Cambria" w:eastAsia="Calibri" w:hAnsi="Cambria" w:cs="Times New Roman"/>
          <w:lang w:val="en-GB"/>
        </w:rPr>
        <w:t>labels</w:t>
      </w:r>
      <w:r w:rsidRPr="00BD67ED">
        <w:rPr>
          <w:rFonts w:ascii="Cambria" w:eastAsia="Calibri" w:hAnsi="Cambria" w:cs="Times New Roman"/>
          <w:lang w:val="en-GB"/>
        </w:rPr>
        <w:t xml:space="preserve">) are coloured green. </w:t>
      </w:r>
      <w:r w:rsidR="0025678D">
        <w:rPr>
          <w:rFonts w:ascii="Cambria" w:eastAsia="Calibri" w:hAnsi="Cambria" w:cs="Times New Roman"/>
          <w:lang w:val="en-GB"/>
        </w:rPr>
        <w:t>T</w:t>
      </w:r>
      <w:r w:rsidR="006808D2">
        <w:rPr>
          <w:rFonts w:ascii="Cambria" w:eastAsia="Calibri" w:hAnsi="Cambria" w:cs="Times New Roman"/>
          <w:lang w:val="en-GB"/>
        </w:rPr>
        <w:t xml:space="preserve">he </w:t>
      </w:r>
      <w:r w:rsidRPr="00BD67ED">
        <w:rPr>
          <w:rFonts w:ascii="Cambria" w:eastAsia="Calibri" w:hAnsi="Cambria" w:cs="Times New Roman"/>
          <w:lang w:val="en-GB"/>
        </w:rPr>
        <w:t>values for each brand’s penetration and purchase frequency</w:t>
      </w:r>
      <w:r w:rsidR="006808D2">
        <w:rPr>
          <w:rFonts w:ascii="Cambria" w:eastAsia="Calibri" w:hAnsi="Cambria" w:cs="Times New Roman"/>
          <w:lang w:val="en-GB"/>
        </w:rPr>
        <w:t xml:space="preserve"> </w:t>
      </w:r>
      <w:r w:rsidR="006808D2">
        <w:rPr>
          <w:rFonts w:ascii="Cambria" w:eastAsia="Calibri" w:hAnsi="Cambria" w:cs="Times New Roman"/>
          <w:lang w:val="en-GB"/>
        </w:rPr>
        <w:lastRenderedPageBreak/>
        <w:t>(observed = O and theoretical =</w:t>
      </w:r>
      <w:r w:rsidRPr="00BD67ED">
        <w:rPr>
          <w:rFonts w:ascii="Cambria" w:eastAsia="Calibri" w:hAnsi="Cambria" w:cs="Times New Roman"/>
          <w:lang w:val="en-GB"/>
        </w:rPr>
        <w:t xml:space="preserve"> T) can then be plotted. The resulting x-y-plot of penetration and </w:t>
      </w:r>
      <w:proofErr w:type="gramStart"/>
      <w:r w:rsidR="006808D2">
        <w:rPr>
          <w:rFonts w:ascii="Cambria" w:eastAsia="Calibri" w:hAnsi="Cambria" w:cs="Times New Roman"/>
          <w:lang w:val="en-GB"/>
        </w:rPr>
        <w:t>loyalty</w:t>
      </w:r>
      <w:r w:rsidRPr="00BD67ED">
        <w:rPr>
          <w:rFonts w:ascii="Cambria" w:eastAsia="Calibri" w:hAnsi="Cambria" w:cs="Times New Roman"/>
          <w:lang w:val="en-GB"/>
        </w:rPr>
        <w:t>,</w:t>
      </w:r>
      <w:proofErr w:type="gramEnd"/>
      <w:r w:rsidRPr="00BD67ED">
        <w:rPr>
          <w:rFonts w:ascii="Cambria" w:eastAsia="Calibri" w:hAnsi="Cambria" w:cs="Times New Roman"/>
          <w:lang w:val="en-GB"/>
        </w:rPr>
        <w:t xml:space="preserve"> </w:t>
      </w:r>
      <w:r w:rsidR="006808D2">
        <w:rPr>
          <w:rFonts w:ascii="Cambria" w:eastAsia="Calibri" w:hAnsi="Cambria" w:cs="Times New Roman"/>
          <w:lang w:val="en-GB"/>
        </w:rPr>
        <w:t xml:space="preserve">can now </w:t>
      </w:r>
      <w:r w:rsidRPr="00BD67ED">
        <w:rPr>
          <w:rFonts w:ascii="Cambria" w:eastAsia="Calibri" w:hAnsi="Cambria" w:cs="Times New Roman"/>
          <w:lang w:val="en-GB"/>
        </w:rPr>
        <w:t xml:space="preserve">be compared to the </w:t>
      </w:r>
      <w:proofErr w:type="spellStart"/>
      <w:r w:rsidRPr="00BD67ED">
        <w:rPr>
          <w:rFonts w:ascii="Cambria" w:eastAsia="Calibri" w:hAnsi="Cambria" w:cs="Times New Roman"/>
          <w:lang w:val="en-GB"/>
        </w:rPr>
        <w:t>Dirichlet</w:t>
      </w:r>
      <w:proofErr w:type="spellEnd"/>
      <w:r w:rsidRPr="00BD67ED">
        <w:rPr>
          <w:rFonts w:ascii="Cambria" w:eastAsia="Calibri" w:hAnsi="Cambria" w:cs="Times New Roman"/>
          <w:lang w:val="en-GB"/>
        </w:rPr>
        <w:t xml:space="preserve">-predicted </w:t>
      </w:r>
      <w:r w:rsidR="006808D2">
        <w:rPr>
          <w:rFonts w:ascii="Cambria" w:eastAsia="Calibri" w:hAnsi="Cambria" w:cs="Times New Roman"/>
          <w:lang w:val="en-GB"/>
        </w:rPr>
        <w:t>figures</w:t>
      </w:r>
      <w:r w:rsidRPr="00BD67ED">
        <w:rPr>
          <w:rFonts w:ascii="Cambria" w:eastAsia="Calibri" w:hAnsi="Cambria" w:cs="Times New Roman"/>
          <w:lang w:val="en-GB"/>
        </w:rPr>
        <w:t xml:space="preserve"> (</w:t>
      </w:r>
      <w:r w:rsidRPr="00BD67ED">
        <w:rPr>
          <w:rFonts w:ascii="Cambria" w:eastAsia="Calibri" w:hAnsi="Cambria" w:cs="Times New Roman"/>
          <w:color w:val="2E74B5"/>
          <w:highlight w:val="yellow"/>
          <w:lang w:val="en-GB"/>
        </w:rPr>
        <w:fldChar w:fldCharType="begin"/>
      </w:r>
      <w:r w:rsidRPr="00BD67ED">
        <w:rPr>
          <w:rFonts w:ascii="Cambria" w:eastAsia="Calibri" w:hAnsi="Cambria" w:cs="Times New Roman"/>
          <w:lang w:val="en-GB"/>
        </w:rPr>
        <w:instrText xml:space="preserve"> REF _Ref473749884 \h </w:instrText>
      </w:r>
      <w:r w:rsidR="00540B69" w:rsidRPr="00BD67ED">
        <w:rPr>
          <w:rFonts w:ascii="Cambria" w:eastAsia="Calibri" w:hAnsi="Cambria" w:cs="Times New Roman"/>
          <w:color w:val="2E74B5"/>
          <w:highlight w:val="yellow"/>
          <w:lang w:val="en-GB"/>
        </w:rPr>
        <w:instrText xml:space="preserve"> \* MERGEFORMAT </w:instrText>
      </w:r>
      <w:r w:rsidRPr="00BD67ED">
        <w:rPr>
          <w:rFonts w:ascii="Cambria" w:eastAsia="Calibri" w:hAnsi="Cambria" w:cs="Times New Roman"/>
          <w:color w:val="2E74B5"/>
          <w:highlight w:val="yellow"/>
          <w:lang w:val="en-GB"/>
        </w:rPr>
      </w:r>
      <w:r w:rsidRPr="00BD67ED">
        <w:rPr>
          <w:rFonts w:ascii="Cambria" w:eastAsia="Calibri" w:hAnsi="Cambria" w:cs="Times New Roman"/>
          <w:color w:val="2E74B5"/>
          <w:highlight w:val="yellow"/>
          <w:lang w:val="en-GB"/>
        </w:rPr>
        <w:fldChar w:fldCharType="separate"/>
      </w:r>
      <w:r w:rsidR="00540B69" w:rsidRPr="00BD67ED">
        <w:rPr>
          <w:rFonts w:ascii="Cambria" w:eastAsia="Calibri" w:hAnsi="Cambria" w:cs="Times New Roman"/>
          <w:iCs/>
          <w:color w:val="2E74B5"/>
          <w:lang w:val="en-GB"/>
        </w:rPr>
        <w:t xml:space="preserve">Figure </w:t>
      </w:r>
      <w:r w:rsidR="00540B69" w:rsidRPr="00BD67ED">
        <w:rPr>
          <w:rFonts w:ascii="Cambria" w:eastAsia="Calibri" w:hAnsi="Cambria" w:cs="Times New Roman"/>
          <w:iCs/>
          <w:noProof/>
          <w:color w:val="2E74B5"/>
          <w:lang w:val="en-GB"/>
        </w:rPr>
        <w:t>1</w:t>
      </w:r>
      <w:r w:rsidRPr="00BD67ED">
        <w:rPr>
          <w:rFonts w:ascii="Cambria" w:eastAsia="Calibri" w:hAnsi="Cambria" w:cs="Times New Roman"/>
          <w:color w:val="2E74B5"/>
          <w:highlight w:val="yellow"/>
          <w:lang w:val="en-GB"/>
        </w:rPr>
        <w:fldChar w:fldCharType="end"/>
      </w:r>
      <w:r w:rsidRPr="00BD67ED">
        <w:rPr>
          <w:rFonts w:ascii="Cambria" w:eastAsia="Calibri" w:hAnsi="Cambria" w:cs="Times New Roman"/>
          <w:lang w:val="en-GB"/>
        </w:rPr>
        <w:t>).</w:t>
      </w:r>
    </w:p>
    <w:tbl>
      <w:tblPr>
        <w:tblStyle w:val="EinfacheTabelle51"/>
        <w:tblW w:w="9072" w:type="dxa"/>
        <w:tblLook w:val="04A0" w:firstRow="1" w:lastRow="0" w:firstColumn="1" w:lastColumn="0" w:noHBand="0" w:noVBand="1"/>
      </w:tblPr>
      <w:tblGrid>
        <w:gridCol w:w="993"/>
        <w:gridCol w:w="1133"/>
        <w:gridCol w:w="1904"/>
        <w:gridCol w:w="1362"/>
        <w:gridCol w:w="1363"/>
        <w:gridCol w:w="1145"/>
        <w:gridCol w:w="1172"/>
      </w:tblGrid>
      <w:tr w:rsidR="00D83829" w:rsidRPr="00B24442" w:rsidTr="0025678D">
        <w:trPr>
          <w:cnfStyle w:val="100000000000" w:firstRow="1" w:lastRow="0" w:firstColumn="0" w:lastColumn="0" w:oddVBand="0" w:evenVBand="0" w:oddHBand="0" w:evenHBand="0" w:firstRowFirstColumn="0" w:firstRowLastColumn="0" w:lastRowFirstColumn="0" w:lastRowLastColumn="0"/>
          <w:trHeight w:val="456"/>
        </w:trPr>
        <w:tc>
          <w:tcPr>
            <w:cnfStyle w:val="001000000100" w:firstRow="0" w:lastRow="0" w:firstColumn="1" w:lastColumn="0" w:oddVBand="0" w:evenVBand="0" w:oddHBand="0" w:evenHBand="0" w:firstRowFirstColumn="1" w:firstRowLastColumn="0" w:lastRowFirstColumn="0" w:lastRowLastColumn="0"/>
            <w:tcW w:w="2126" w:type="dxa"/>
            <w:gridSpan w:val="2"/>
            <w:tcBorders>
              <w:bottom w:val="single" w:sz="4" w:space="0" w:color="auto"/>
              <w:right w:val="single" w:sz="4" w:space="0" w:color="auto"/>
            </w:tcBorders>
            <w:shd w:val="clear" w:color="auto" w:fill="auto"/>
            <w:hideMark/>
          </w:tcPr>
          <w:p w:rsidR="00D83829" w:rsidRPr="00B24442" w:rsidRDefault="00D83829" w:rsidP="00B24442">
            <w:pPr>
              <w:jc w:val="left"/>
              <w:rPr>
                <w:rFonts w:ascii="Cambria" w:hAnsi="Cambria" w:cs="Calibri"/>
                <w:b/>
                <w:bCs/>
                <w:color w:val="000000"/>
                <w:sz w:val="18"/>
                <w:szCs w:val="18"/>
                <w:lang w:val="en-GB" w:eastAsia="en-GB"/>
              </w:rPr>
            </w:pPr>
            <w:r w:rsidRPr="00B24442">
              <w:rPr>
                <w:rFonts w:ascii="Cambria" w:hAnsi="Cambria" w:cs="Calibri"/>
                <w:b/>
                <w:bCs/>
                <w:color w:val="000000"/>
                <w:sz w:val="18"/>
                <w:szCs w:val="18"/>
                <w:lang w:val="en-GB" w:eastAsia="en-GB"/>
              </w:rPr>
              <w:t>BRANDS (BY SIZE)</w:t>
            </w:r>
          </w:p>
        </w:tc>
        <w:tc>
          <w:tcPr>
            <w:tcW w:w="1904" w:type="dxa"/>
            <w:tcBorders>
              <w:left w:val="single" w:sz="4" w:space="0" w:color="auto"/>
              <w:bottom w:val="single" w:sz="4" w:space="0" w:color="auto"/>
            </w:tcBorders>
            <w:shd w:val="clear" w:color="auto" w:fill="auto"/>
            <w:hideMark/>
          </w:tcPr>
          <w:p w:rsidR="00D83829" w:rsidRPr="00B24442" w:rsidRDefault="00D83829" w:rsidP="00B24442">
            <w:pPr>
              <w:cnfStyle w:val="100000000000" w:firstRow="1" w:lastRow="0" w:firstColumn="0" w:lastColumn="0" w:oddVBand="0" w:evenVBand="0" w:oddHBand="0" w:evenHBand="0" w:firstRowFirstColumn="0" w:firstRowLastColumn="0" w:lastRowFirstColumn="0" w:lastRowLastColumn="0"/>
              <w:rPr>
                <w:rFonts w:ascii="Cambria" w:hAnsi="Cambria" w:cs="Calibri"/>
                <w:b/>
                <w:bCs/>
                <w:color w:val="000000"/>
                <w:sz w:val="18"/>
                <w:szCs w:val="18"/>
                <w:lang w:val="en-GB" w:eastAsia="en-GB"/>
              </w:rPr>
            </w:pPr>
            <w:r w:rsidRPr="00B24442">
              <w:rPr>
                <w:rFonts w:ascii="Cambria" w:hAnsi="Cambria" w:cs="Calibri"/>
                <w:b/>
                <w:bCs/>
                <w:color w:val="000000"/>
                <w:sz w:val="18"/>
                <w:szCs w:val="18"/>
                <w:lang w:val="en-GB" w:eastAsia="en-GB"/>
              </w:rPr>
              <w:t>MARKET SHARE (%)</w:t>
            </w:r>
          </w:p>
        </w:tc>
        <w:tc>
          <w:tcPr>
            <w:tcW w:w="2725" w:type="dxa"/>
            <w:gridSpan w:val="2"/>
            <w:tcBorders>
              <w:bottom w:val="single" w:sz="4" w:space="0" w:color="auto"/>
            </w:tcBorders>
            <w:shd w:val="clear" w:color="auto" w:fill="auto"/>
            <w:hideMark/>
          </w:tcPr>
          <w:p w:rsidR="00D83829" w:rsidRPr="00B24442" w:rsidRDefault="00D83829" w:rsidP="00B24442">
            <w:pPr>
              <w:cnfStyle w:val="100000000000" w:firstRow="1" w:lastRow="0" w:firstColumn="0" w:lastColumn="0" w:oddVBand="0" w:evenVBand="0" w:oddHBand="0" w:evenHBand="0" w:firstRowFirstColumn="0" w:firstRowLastColumn="0" w:lastRowFirstColumn="0" w:lastRowLastColumn="0"/>
              <w:rPr>
                <w:rFonts w:ascii="Cambria" w:hAnsi="Cambria" w:cs="Calibri"/>
                <w:b/>
                <w:bCs/>
                <w:color w:val="000000"/>
                <w:sz w:val="18"/>
                <w:szCs w:val="18"/>
                <w:lang w:val="en-GB" w:eastAsia="en-GB"/>
              </w:rPr>
            </w:pPr>
            <w:r w:rsidRPr="00B24442">
              <w:rPr>
                <w:rFonts w:ascii="Cambria" w:hAnsi="Cambria" w:cs="Calibri"/>
                <w:b/>
                <w:bCs/>
                <w:color w:val="000000"/>
                <w:sz w:val="18"/>
                <w:szCs w:val="18"/>
                <w:lang w:val="en-GB" w:eastAsia="en-GB"/>
              </w:rPr>
              <w:t>PENETRATION (%)</w:t>
            </w:r>
          </w:p>
        </w:tc>
        <w:tc>
          <w:tcPr>
            <w:tcW w:w="2317" w:type="dxa"/>
            <w:gridSpan w:val="2"/>
            <w:tcBorders>
              <w:bottom w:val="single" w:sz="4" w:space="0" w:color="auto"/>
            </w:tcBorders>
            <w:shd w:val="clear" w:color="auto" w:fill="auto"/>
            <w:hideMark/>
          </w:tcPr>
          <w:p w:rsidR="00D83829" w:rsidRPr="00B24442" w:rsidRDefault="00D83829" w:rsidP="00B24442">
            <w:pPr>
              <w:cnfStyle w:val="100000000000" w:firstRow="1" w:lastRow="0" w:firstColumn="0" w:lastColumn="0" w:oddVBand="0" w:evenVBand="0" w:oddHBand="0" w:evenHBand="0" w:firstRowFirstColumn="0" w:firstRowLastColumn="0" w:lastRowFirstColumn="0" w:lastRowLastColumn="0"/>
              <w:rPr>
                <w:rFonts w:ascii="Cambria" w:hAnsi="Cambria" w:cs="Calibri"/>
                <w:b/>
                <w:bCs/>
                <w:color w:val="000000"/>
                <w:sz w:val="18"/>
                <w:szCs w:val="18"/>
                <w:lang w:val="en-GB" w:eastAsia="en-GB"/>
              </w:rPr>
            </w:pPr>
            <w:r w:rsidRPr="00B24442">
              <w:rPr>
                <w:rFonts w:ascii="Cambria" w:hAnsi="Cambria" w:cs="Calibri"/>
                <w:b/>
                <w:bCs/>
                <w:color w:val="000000"/>
                <w:sz w:val="18"/>
                <w:szCs w:val="18"/>
                <w:lang w:val="en-GB" w:eastAsia="en-GB"/>
              </w:rPr>
              <w:t>PURCHASE FREQUENCY</w:t>
            </w:r>
          </w:p>
        </w:tc>
      </w:tr>
      <w:tr w:rsidR="00D83829" w:rsidRPr="00B24442" w:rsidTr="0025678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shd w:val="clear" w:color="auto" w:fill="auto"/>
            <w:noWrap/>
            <w:hideMark/>
          </w:tcPr>
          <w:p w:rsidR="00D83829" w:rsidRPr="00B24442" w:rsidRDefault="00D83829" w:rsidP="00B24442">
            <w:pPr>
              <w:rPr>
                <w:rFonts w:ascii="Cambria" w:hAnsi="Cambria" w:cs="Calibri"/>
                <w:b/>
                <w:bCs/>
                <w:color w:val="000000"/>
                <w:sz w:val="18"/>
                <w:szCs w:val="18"/>
                <w:lang w:val="en-GB" w:eastAsia="en-GB"/>
              </w:rPr>
            </w:pPr>
          </w:p>
        </w:tc>
        <w:tc>
          <w:tcPr>
            <w:tcW w:w="1133" w:type="dxa"/>
            <w:tcBorders>
              <w:top w:val="single" w:sz="4" w:space="0" w:color="auto"/>
              <w:right w:val="single" w:sz="4" w:space="0" w:color="auto"/>
            </w:tcBorders>
            <w:shd w:val="clear" w:color="auto" w:fill="auto"/>
          </w:tcPr>
          <w:p w:rsidR="00D83829" w:rsidRPr="00B24442" w:rsidRDefault="00D83829"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GB" w:eastAsia="en-GB"/>
              </w:rPr>
            </w:pPr>
          </w:p>
        </w:tc>
        <w:tc>
          <w:tcPr>
            <w:tcW w:w="1904" w:type="dxa"/>
            <w:tcBorders>
              <w:top w:val="single" w:sz="4" w:space="0" w:color="auto"/>
              <w:left w:val="single" w:sz="4" w:space="0" w:color="auto"/>
            </w:tcBorders>
            <w:shd w:val="clear" w:color="auto" w:fill="auto"/>
            <w:noWrap/>
            <w:hideMark/>
          </w:tcPr>
          <w:p w:rsidR="00D83829" w:rsidRPr="00B24442" w:rsidRDefault="00D83829"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GB" w:eastAsia="en-GB"/>
              </w:rPr>
            </w:pPr>
            <w:r w:rsidRPr="00B24442">
              <w:rPr>
                <w:rFonts w:ascii="Cambria" w:eastAsia="Times New Roman" w:hAnsi="Cambria" w:cs="Calibri"/>
                <w:sz w:val="18"/>
                <w:szCs w:val="18"/>
                <w:lang w:val="en-GB" w:eastAsia="en-GB"/>
              </w:rPr>
              <w:t> </w:t>
            </w:r>
          </w:p>
        </w:tc>
        <w:tc>
          <w:tcPr>
            <w:tcW w:w="1362" w:type="dxa"/>
            <w:tcBorders>
              <w:top w:val="single" w:sz="4" w:space="0" w:color="auto"/>
            </w:tcBorders>
            <w:shd w:val="clear" w:color="auto" w:fill="auto"/>
            <w:noWrap/>
            <w:hideMark/>
          </w:tcPr>
          <w:p w:rsidR="00D83829" w:rsidRPr="00B24442" w:rsidRDefault="00D83829" w:rsidP="0025678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GB" w:eastAsia="en-GB"/>
              </w:rPr>
            </w:pPr>
            <w:r w:rsidRPr="00B24442">
              <w:rPr>
                <w:rFonts w:ascii="Cambria" w:eastAsia="Times New Roman" w:hAnsi="Cambria" w:cs="Calibri"/>
                <w:sz w:val="18"/>
                <w:szCs w:val="18"/>
                <w:lang w:val="en-GB" w:eastAsia="en-GB"/>
              </w:rPr>
              <w:t>O</w:t>
            </w:r>
          </w:p>
        </w:tc>
        <w:tc>
          <w:tcPr>
            <w:tcW w:w="1363" w:type="dxa"/>
            <w:tcBorders>
              <w:top w:val="single" w:sz="4" w:space="0" w:color="auto"/>
            </w:tcBorders>
            <w:shd w:val="clear" w:color="auto" w:fill="auto"/>
            <w:noWrap/>
            <w:hideMark/>
          </w:tcPr>
          <w:p w:rsidR="00D83829" w:rsidRPr="00B24442" w:rsidRDefault="00D83829"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18"/>
                <w:szCs w:val="18"/>
                <w:lang w:val="en-GB" w:eastAsia="en-GB"/>
              </w:rPr>
            </w:pPr>
            <w:r w:rsidRPr="00B24442">
              <w:rPr>
                <w:rFonts w:ascii="Cambria" w:eastAsia="Times New Roman" w:hAnsi="Cambria" w:cs="Calibri"/>
                <w:b/>
                <w:bCs/>
                <w:sz w:val="18"/>
                <w:szCs w:val="18"/>
                <w:lang w:val="en-GB" w:eastAsia="en-GB"/>
              </w:rPr>
              <w:t>T</w:t>
            </w:r>
          </w:p>
        </w:tc>
        <w:tc>
          <w:tcPr>
            <w:tcW w:w="1145" w:type="dxa"/>
            <w:tcBorders>
              <w:top w:val="single" w:sz="4" w:space="0" w:color="auto"/>
            </w:tcBorders>
            <w:shd w:val="clear" w:color="auto" w:fill="auto"/>
            <w:noWrap/>
            <w:hideMark/>
          </w:tcPr>
          <w:p w:rsidR="00D83829" w:rsidRPr="00B24442" w:rsidRDefault="00D83829" w:rsidP="0025678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18"/>
                <w:szCs w:val="18"/>
                <w:lang w:val="en-GB" w:eastAsia="en-GB"/>
              </w:rPr>
            </w:pPr>
            <w:r w:rsidRPr="00B24442">
              <w:rPr>
                <w:rFonts w:ascii="Cambria" w:eastAsia="Times New Roman" w:hAnsi="Cambria" w:cs="Calibri"/>
                <w:sz w:val="18"/>
                <w:szCs w:val="18"/>
                <w:lang w:val="en-GB" w:eastAsia="en-GB"/>
              </w:rPr>
              <w:t>O</w:t>
            </w:r>
          </w:p>
        </w:tc>
        <w:tc>
          <w:tcPr>
            <w:tcW w:w="1172" w:type="dxa"/>
            <w:tcBorders>
              <w:top w:val="single" w:sz="4" w:space="0" w:color="auto"/>
            </w:tcBorders>
            <w:shd w:val="clear" w:color="auto" w:fill="auto"/>
            <w:noWrap/>
            <w:hideMark/>
          </w:tcPr>
          <w:p w:rsidR="00D83829" w:rsidRPr="00B24442" w:rsidRDefault="00D83829"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sz w:val="18"/>
                <w:szCs w:val="18"/>
                <w:lang w:val="en-GB" w:eastAsia="en-GB"/>
              </w:rPr>
            </w:pPr>
            <w:r w:rsidRPr="00B24442">
              <w:rPr>
                <w:rFonts w:ascii="Cambria" w:eastAsia="Times New Roman" w:hAnsi="Cambria" w:cs="Calibri"/>
                <w:b/>
                <w:bCs/>
                <w:sz w:val="18"/>
                <w:szCs w:val="18"/>
                <w:lang w:val="en-GB" w:eastAsia="en-GB"/>
              </w:rPr>
              <w:t>T</w:t>
            </w:r>
          </w:p>
        </w:tc>
      </w:tr>
      <w:tr w:rsidR="00B24442" w:rsidRPr="00B24442" w:rsidTr="0025678D">
        <w:trPr>
          <w:trHeight w:val="22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shd w:val="clear" w:color="auto" w:fill="auto"/>
            <w:noWrap/>
          </w:tcPr>
          <w:p w:rsidR="00B24442" w:rsidRPr="00B24442" w:rsidRDefault="00B24442" w:rsidP="00B24442">
            <w:pPr>
              <w:jc w:val="left"/>
              <w:rPr>
                <w:rFonts w:ascii="Cambria" w:hAnsi="Cambria" w:cs="Calibri"/>
                <w:color w:val="00B050"/>
                <w:sz w:val="18"/>
                <w:szCs w:val="18"/>
                <w:lang w:val="en-GB" w:eastAsia="en-GB"/>
              </w:rPr>
            </w:pPr>
            <w:r w:rsidRPr="00B24442">
              <w:rPr>
                <w:rFonts w:ascii="Cambria" w:hAnsi="Cambria" w:cs="Calibri"/>
                <w:color w:val="00B050"/>
                <w:sz w:val="18"/>
                <w:szCs w:val="18"/>
                <w:lang w:val="en-GB" w:eastAsia="en-GB"/>
              </w:rPr>
              <w:t>OTHER</w:t>
            </w:r>
          </w:p>
        </w:tc>
        <w:tc>
          <w:tcPr>
            <w:tcW w:w="1133" w:type="dxa"/>
            <w:tcBorders>
              <w:top w:val="single" w:sz="4" w:space="0" w:color="auto"/>
              <w:right w:val="single" w:sz="4" w:space="0" w:color="auto"/>
            </w:tcBorders>
            <w:shd w:val="clear" w:color="auto" w:fill="auto"/>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i/>
                <w:color w:val="00B050"/>
                <w:sz w:val="18"/>
                <w:szCs w:val="18"/>
                <w:lang w:val="en-GB" w:eastAsia="en-GB"/>
              </w:rPr>
            </w:pPr>
            <w:r w:rsidRPr="00B24442">
              <w:rPr>
                <w:rFonts w:ascii="Cambria" w:eastAsia="Times New Roman" w:hAnsi="Cambria" w:cs="Calibri"/>
                <w:i/>
                <w:color w:val="00B050"/>
                <w:sz w:val="18"/>
                <w:szCs w:val="18"/>
                <w:lang w:val="en-GB" w:eastAsia="en-GB"/>
              </w:rPr>
              <w:t xml:space="preserve"> Other</w:t>
            </w:r>
          </w:p>
        </w:tc>
        <w:tc>
          <w:tcPr>
            <w:tcW w:w="1904" w:type="dxa"/>
            <w:tcBorders>
              <w:top w:val="single" w:sz="4" w:space="0" w:color="auto"/>
              <w:left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B050"/>
                <w:sz w:val="18"/>
                <w:szCs w:val="18"/>
              </w:rPr>
            </w:pPr>
            <w:r w:rsidRPr="00B24442">
              <w:rPr>
                <w:rFonts w:ascii="Cambria" w:hAnsi="Cambria"/>
                <w:color w:val="00B050"/>
                <w:sz w:val="18"/>
                <w:szCs w:val="18"/>
              </w:rPr>
              <w:t>17</w:t>
            </w:r>
          </w:p>
        </w:tc>
        <w:tc>
          <w:tcPr>
            <w:tcW w:w="1362" w:type="dxa"/>
            <w:tcBorders>
              <w:top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B050"/>
                <w:sz w:val="18"/>
                <w:szCs w:val="18"/>
              </w:rPr>
            </w:pPr>
            <w:r w:rsidRPr="00B24442">
              <w:rPr>
                <w:rFonts w:ascii="Cambria" w:hAnsi="Cambria"/>
                <w:color w:val="00B050"/>
                <w:sz w:val="18"/>
                <w:szCs w:val="18"/>
              </w:rPr>
              <w:t>32</w:t>
            </w:r>
          </w:p>
        </w:tc>
        <w:tc>
          <w:tcPr>
            <w:tcW w:w="1363" w:type="dxa"/>
            <w:tcBorders>
              <w:top w:val="single" w:sz="4" w:space="0" w:color="auto"/>
            </w:tcBorders>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00B050"/>
                <w:sz w:val="18"/>
                <w:szCs w:val="18"/>
              </w:rPr>
            </w:pPr>
            <w:r w:rsidRPr="00B24442">
              <w:rPr>
                <w:rFonts w:ascii="Cambria" w:hAnsi="Cambria"/>
                <w:color w:val="00B050"/>
                <w:sz w:val="18"/>
                <w:szCs w:val="18"/>
              </w:rPr>
              <w:t>34</w:t>
            </w:r>
          </w:p>
        </w:tc>
        <w:tc>
          <w:tcPr>
            <w:tcW w:w="1145" w:type="dxa"/>
            <w:tcBorders>
              <w:top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B050"/>
                <w:sz w:val="18"/>
                <w:szCs w:val="18"/>
              </w:rPr>
            </w:pPr>
            <w:r w:rsidRPr="00B24442">
              <w:rPr>
                <w:rFonts w:ascii="Cambria" w:hAnsi="Cambria"/>
                <w:color w:val="00B050"/>
                <w:sz w:val="18"/>
                <w:szCs w:val="18"/>
              </w:rPr>
              <w:t>3</w:t>
            </w:r>
          </w:p>
        </w:tc>
        <w:tc>
          <w:tcPr>
            <w:tcW w:w="1172" w:type="dxa"/>
            <w:tcBorders>
              <w:top w:val="single" w:sz="4" w:space="0" w:color="auto"/>
            </w:tcBorders>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00B050"/>
                <w:sz w:val="18"/>
                <w:szCs w:val="18"/>
              </w:rPr>
            </w:pPr>
            <w:r w:rsidRPr="00B24442">
              <w:rPr>
                <w:rFonts w:ascii="Cambria" w:hAnsi="Cambria"/>
                <w:color w:val="00B050"/>
                <w:sz w:val="18"/>
                <w:szCs w:val="18"/>
              </w:rPr>
              <w:t>3</w:t>
            </w:r>
          </w:p>
        </w:tc>
      </w:tr>
      <w:tr w:rsidR="00B24442" w:rsidRPr="00B24442" w:rsidTr="0025678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Pr>
          <w:p w:rsidR="00B24442" w:rsidRPr="00B24442" w:rsidRDefault="00B24442" w:rsidP="00B24442">
            <w:pPr>
              <w:jc w:val="left"/>
              <w:rPr>
                <w:rFonts w:ascii="Cambria" w:hAnsi="Cambria" w:cs="Calibri"/>
                <w:color w:val="FF0000"/>
                <w:sz w:val="18"/>
                <w:szCs w:val="18"/>
                <w:lang w:val="en-GB" w:eastAsia="en-GB"/>
              </w:rPr>
            </w:pPr>
            <w:r w:rsidRPr="00B24442">
              <w:rPr>
                <w:rFonts w:ascii="Cambria" w:hAnsi="Cambria" w:cs="Calibri"/>
                <w:color w:val="FF0000"/>
                <w:sz w:val="18"/>
                <w:szCs w:val="18"/>
                <w:lang w:val="en-GB" w:eastAsia="en-GB"/>
              </w:rPr>
              <w:t>TOP</w:t>
            </w:r>
          </w:p>
        </w:tc>
        <w:tc>
          <w:tcPr>
            <w:tcW w:w="1133" w:type="dxa"/>
            <w:tcBorders>
              <w:right w:val="single" w:sz="4" w:space="0" w:color="auto"/>
            </w:tcBorders>
            <w:shd w:val="clear" w:color="auto" w:fill="auto"/>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i/>
                <w:color w:val="FF0000"/>
                <w:sz w:val="18"/>
                <w:szCs w:val="18"/>
                <w:lang w:val="en-GB" w:eastAsia="en-GB"/>
              </w:rPr>
            </w:pPr>
            <w:r w:rsidRPr="00B24442">
              <w:rPr>
                <w:rFonts w:ascii="Cambria" w:eastAsia="Times New Roman" w:hAnsi="Cambria" w:cs="Calibri"/>
                <w:i/>
                <w:color w:val="FF0000"/>
                <w:sz w:val="18"/>
                <w:szCs w:val="18"/>
                <w:lang w:val="en-GB" w:eastAsia="en-GB"/>
              </w:rPr>
              <w:t xml:space="preserve"> Persil  </w:t>
            </w:r>
          </w:p>
        </w:tc>
        <w:tc>
          <w:tcPr>
            <w:tcW w:w="1904" w:type="dxa"/>
            <w:tcBorders>
              <w:left w:val="single" w:sz="4" w:space="0" w:color="auto"/>
            </w:tcBorders>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16</w:t>
            </w:r>
          </w:p>
        </w:tc>
        <w:tc>
          <w:tcPr>
            <w:tcW w:w="1362"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35</w:t>
            </w:r>
          </w:p>
        </w:tc>
        <w:tc>
          <w:tcPr>
            <w:tcW w:w="1363"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32</w:t>
            </w:r>
          </w:p>
        </w:tc>
        <w:tc>
          <w:tcPr>
            <w:tcW w:w="1145"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w:t>
            </w:r>
          </w:p>
        </w:tc>
        <w:tc>
          <w:tcPr>
            <w:tcW w:w="1172"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w:t>
            </w:r>
          </w:p>
        </w:tc>
      </w:tr>
      <w:tr w:rsidR="00B24442" w:rsidRPr="00B24442" w:rsidTr="0025678D">
        <w:trPr>
          <w:trHeight w:val="22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Pr>
          <w:p w:rsidR="00B24442" w:rsidRPr="00B24442" w:rsidRDefault="00B24442" w:rsidP="00B24442">
            <w:pPr>
              <w:rPr>
                <w:rFonts w:ascii="Cambria" w:hAnsi="Cambria" w:cs="Calibri"/>
                <w:color w:val="FF0000"/>
                <w:sz w:val="18"/>
                <w:szCs w:val="18"/>
                <w:lang w:val="en-GB" w:eastAsia="en-GB"/>
              </w:rPr>
            </w:pPr>
          </w:p>
        </w:tc>
        <w:tc>
          <w:tcPr>
            <w:tcW w:w="1133" w:type="dxa"/>
            <w:tcBorders>
              <w:right w:val="single" w:sz="4" w:space="0" w:color="auto"/>
            </w:tcBorders>
            <w:shd w:val="clear" w:color="auto" w:fill="auto"/>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i/>
                <w:color w:val="FF0000"/>
                <w:sz w:val="18"/>
                <w:szCs w:val="18"/>
                <w:lang w:val="en-GB" w:eastAsia="en-GB"/>
              </w:rPr>
            </w:pPr>
            <w:r w:rsidRPr="00B24442">
              <w:rPr>
                <w:rFonts w:ascii="Cambria" w:eastAsia="Times New Roman" w:hAnsi="Cambria" w:cs="Calibri"/>
                <w:i/>
                <w:color w:val="FF0000"/>
                <w:sz w:val="18"/>
                <w:szCs w:val="18"/>
                <w:lang w:val="en-GB" w:eastAsia="en-GB"/>
              </w:rPr>
              <w:t xml:space="preserve"> Ariel  </w:t>
            </w:r>
          </w:p>
        </w:tc>
        <w:tc>
          <w:tcPr>
            <w:tcW w:w="1904" w:type="dxa"/>
            <w:tcBorders>
              <w:left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14</w:t>
            </w:r>
          </w:p>
        </w:tc>
        <w:tc>
          <w:tcPr>
            <w:tcW w:w="1362" w:type="dxa"/>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27</w:t>
            </w:r>
          </w:p>
        </w:tc>
        <w:tc>
          <w:tcPr>
            <w:tcW w:w="1363" w:type="dxa"/>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28</w:t>
            </w:r>
          </w:p>
        </w:tc>
        <w:tc>
          <w:tcPr>
            <w:tcW w:w="1145" w:type="dxa"/>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w:t>
            </w:r>
          </w:p>
        </w:tc>
        <w:tc>
          <w:tcPr>
            <w:tcW w:w="1172" w:type="dxa"/>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w:t>
            </w:r>
          </w:p>
        </w:tc>
      </w:tr>
      <w:tr w:rsidR="00B24442" w:rsidRPr="00B24442" w:rsidTr="0025678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Pr>
          <w:p w:rsidR="00B24442" w:rsidRPr="00B24442" w:rsidRDefault="00B24442" w:rsidP="00B24442">
            <w:pPr>
              <w:rPr>
                <w:rFonts w:ascii="Cambria" w:hAnsi="Cambria" w:cs="Calibri"/>
                <w:color w:val="FF0000"/>
                <w:sz w:val="18"/>
                <w:szCs w:val="18"/>
                <w:lang w:val="en-GB" w:eastAsia="en-GB"/>
              </w:rPr>
            </w:pPr>
          </w:p>
        </w:tc>
        <w:tc>
          <w:tcPr>
            <w:tcW w:w="1133" w:type="dxa"/>
            <w:tcBorders>
              <w:right w:val="single" w:sz="4" w:space="0" w:color="auto"/>
            </w:tcBorders>
            <w:shd w:val="clear" w:color="auto" w:fill="auto"/>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i/>
                <w:color w:val="FF0000"/>
                <w:sz w:val="18"/>
                <w:szCs w:val="18"/>
                <w:lang w:val="en-GB" w:eastAsia="en-GB"/>
              </w:rPr>
            </w:pPr>
            <w:r w:rsidRPr="00B24442">
              <w:rPr>
                <w:rFonts w:ascii="Cambria" w:eastAsia="Times New Roman" w:hAnsi="Cambria" w:cs="Calibri"/>
                <w:i/>
                <w:color w:val="FF0000"/>
                <w:sz w:val="18"/>
                <w:szCs w:val="18"/>
                <w:lang w:val="en-GB" w:eastAsia="en-GB"/>
              </w:rPr>
              <w:t xml:space="preserve"> Surf  </w:t>
            </w:r>
          </w:p>
        </w:tc>
        <w:tc>
          <w:tcPr>
            <w:tcW w:w="1904" w:type="dxa"/>
            <w:tcBorders>
              <w:left w:val="single" w:sz="4" w:space="0" w:color="auto"/>
            </w:tcBorders>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13</w:t>
            </w:r>
          </w:p>
        </w:tc>
        <w:tc>
          <w:tcPr>
            <w:tcW w:w="1362"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28</w:t>
            </w:r>
          </w:p>
        </w:tc>
        <w:tc>
          <w:tcPr>
            <w:tcW w:w="1363"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28</w:t>
            </w:r>
          </w:p>
        </w:tc>
        <w:tc>
          <w:tcPr>
            <w:tcW w:w="1145"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w:t>
            </w:r>
          </w:p>
        </w:tc>
        <w:tc>
          <w:tcPr>
            <w:tcW w:w="1172"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w:t>
            </w:r>
          </w:p>
        </w:tc>
      </w:tr>
      <w:tr w:rsidR="00B24442" w:rsidRPr="00B24442" w:rsidTr="0025678D">
        <w:trPr>
          <w:trHeight w:val="22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Pr>
          <w:p w:rsidR="00B24442" w:rsidRPr="00B24442" w:rsidRDefault="00B24442" w:rsidP="00B24442">
            <w:pPr>
              <w:rPr>
                <w:rFonts w:ascii="Cambria" w:hAnsi="Cambria" w:cs="Calibri"/>
                <w:color w:val="FF0000"/>
                <w:sz w:val="18"/>
                <w:szCs w:val="18"/>
                <w:lang w:val="en-GB" w:eastAsia="en-GB"/>
              </w:rPr>
            </w:pPr>
          </w:p>
        </w:tc>
        <w:tc>
          <w:tcPr>
            <w:tcW w:w="1133" w:type="dxa"/>
            <w:tcBorders>
              <w:right w:val="single" w:sz="4" w:space="0" w:color="auto"/>
            </w:tcBorders>
            <w:shd w:val="clear" w:color="auto" w:fill="auto"/>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i/>
                <w:color w:val="FF0000"/>
                <w:sz w:val="18"/>
                <w:szCs w:val="18"/>
                <w:lang w:val="en-GB" w:eastAsia="en-GB"/>
              </w:rPr>
            </w:pPr>
            <w:r w:rsidRPr="00B24442">
              <w:rPr>
                <w:rFonts w:ascii="Cambria" w:eastAsia="Times New Roman" w:hAnsi="Cambria" w:cs="Calibri"/>
                <w:i/>
                <w:color w:val="FF0000"/>
                <w:sz w:val="18"/>
                <w:szCs w:val="18"/>
                <w:lang w:val="en-GB" w:eastAsia="en-GB"/>
              </w:rPr>
              <w:t xml:space="preserve"> Bold  </w:t>
            </w:r>
          </w:p>
        </w:tc>
        <w:tc>
          <w:tcPr>
            <w:tcW w:w="1904" w:type="dxa"/>
            <w:tcBorders>
              <w:left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11</w:t>
            </w:r>
          </w:p>
        </w:tc>
        <w:tc>
          <w:tcPr>
            <w:tcW w:w="1362" w:type="dxa"/>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22</w:t>
            </w:r>
          </w:p>
        </w:tc>
        <w:tc>
          <w:tcPr>
            <w:tcW w:w="1363" w:type="dxa"/>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22</w:t>
            </w:r>
          </w:p>
        </w:tc>
        <w:tc>
          <w:tcPr>
            <w:tcW w:w="1145" w:type="dxa"/>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w:t>
            </w:r>
          </w:p>
        </w:tc>
        <w:tc>
          <w:tcPr>
            <w:tcW w:w="1172" w:type="dxa"/>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w:t>
            </w:r>
          </w:p>
        </w:tc>
      </w:tr>
      <w:tr w:rsidR="00B24442" w:rsidRPr="00B24442" w:rsidTr="0025678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Pr>
          <w:p w:rsidR="00B24442" w:rsidRPr="00B24442" w:rsidRDefault="00B24442" w:rsidP="00B24442">
            <w:pPr>
              <w:rPr>
                <w:rFonts w:ascii="Cambria" w:hAnsi="Cambria" w:cs="Calibri"/>
                <w:color w:val="FF0000"/>
                <w:sz w:val="18"/>
                <w:szCs w:val="18"/>
                <w:lang w:val="en-GB" w:eastAsia="en-GB"/>
              </w:rPr>
            </w:pPr>
          </w:p>
        </w:tc>
        <w:tc>
          <w:tcPr>
            <w:tcW w:w="1133" w:type="dxa"/>
            <w:tcBorders>
              <w:right w:val="single" w:sz="4" w:space="0" w:color="auto"/>
            </w:tcBorders>
            <w:shd w:val="clear" w:color="auto" w:fill="auto"/>
          </w:tcPr>
          <w:p w:rsid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i/>
                <w:color w:val="FF0000"/>
                <w:sz w:val="18"/>
                <w:szCs w:val="18"/>
                <w:lang w:val="en-GB" w:eastAsia="en-GB"/>
              </w:rPr>
            </w:pPr>
            <w:r w:rsidRPr="00B24442">
              <w:rPr>
                <w:rFonts w:ascii="Cambria" w:eastAsia="Times New Roman" w:hAnsi="Cambria" w:cs="Calibri"/>
                <w:i/>
                <w:color w:val="FF0000"/>
                <w:sz w:val="18"/>
                <w:szCs w:val="18"/>
                <w:lang w:val="en-GB" w:eastAsia="en-GB"/>
              </w:rPr>
              <w:t xml:space="preserve"> </w:t>
            </w:r>
            <w:proofErr w:type="spellStart"/>
            <w:r w:rsidRPr="00B24442">
              <w:rPr>
                <w:rFonts w:ascii="Cambria" w:eastAsia="Times New Roman" w:hAnsi="Cambria" w:cs="Calibri"/>
                <w:i/>
                <w:color w:val="FF0000"/>
                <w:sz w:val="18"/>
                <w:szCs w:val="18"/>
                <w:lang w:val="en-GB" w:eastAsia="en-GB"/>
              </w:rPr>
              <w:t>Daz</w:t>
            </w:r>
            <w:proofErr w:type="spellEnd"/>
            <w:r w:rsidRPr="00B24442">
              <w:rPr>
                <w:rFonts w:ascii="Cambria" w:eastAsia="Times New Roman" w:hAnsi="Cambria" w:cs="Calibri"/>
                <w:i/>
                <w:color w:val="FF0000"/>
                <w:sz w:val="18"/>
                <w:szCs w:val="18"/>
                <w:lang w:val="en-GB" w:eastAsia="en-GB"/>
              </w:rPr>
              <w:t xml:space="preserve">  </w:t>
            </w:r>
          </w:p>
          <w:p w:rsidR="0025678D" w:rsidRPr="00B24442" w:rsidRDefault="0025678D"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i/>
                <w:color w:val="FF0000"/>
                <w:sz w:val="18"/>
                <w:szCs w:val="18"/>
                <w:lang w:val="en-GB" w:eastAsia="en-GB"/>
              </w:rPr>
            </w:pPr>
          </w:p>
        </w:tc>
        <w:tc>
          <w:tcPr>
            <w:tcW w:w="1904" w:type="dxa"/>
            <w:tcBorders>
              <w:left w:val="single" w:sz="4" w:space="0" w:color="auto"/>
            </w:tcBorders>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7</w:t>
            </w:r>
          </w:p>
        </w:tc>
        <w:tc>
          <w:tcPr>
            <w:tcW w:w="1362"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18</w:t>
            </w:r>
          </w:p>
        </w:tc>
        <w:tc>
          <w:tcPr>
            <w:tcW w:w="1363"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16</w:t>
            </w:r>
          </w:p>
        </w:tc>
        <w:tc>
          <w:tcPr>
            <w:tcW w:w="1145"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2</w:t>
            </w:r>
          </w:p>
        </w:tc>
        <w:tc>
          <w:tcPr>
            <w:tcW w:w="1172"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B24442">
              <w:rPr>
                <w:rFonts w:ascii="Cambria" w:hAnsi="Cambria"/>
                <w:color w:val="FF0000"/>
                <w:sz w:val="18"/>
                <w:szCs w:val="18"/>
              </w:rPr>
              <w:t>3</w:t>
            </w:r>
          </w:p>
        </w:tc>
      </w:tr>
      <w:tr w:rsidR="00B24442" w:rsidRPr="00B24442" w:rsidTr="0025678D">
        <w:trPr>
          <w:trHeight w:val="22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Pr>
          <w:p w:rsidR="00B24442" w:rsidRPr="00B24442" w:rsidRDefault="00B24442" w:rsidP="00B24442">
            <w:pPr>
              <w:rPr>
                <w:rFonts w:ascii="Cambria" w:hAnsi="Cambria" w:cs="Calibri"/>
                <w:color w:val="002060"/>
                <w:sz w:val="18"/>
                <w:szCs w:val="18"/>
                <w:lang w:val="en-GB" w:eastAsia="en-GB"/>
              </w:rPr>
            </w:pPr>
            <w:r w:rsidRPr="00B24442">
              <w:rPr>
                <w:rFonts w:ascii="Cambria" w:hAnsi="Cambria" w:cs="Calibri"/>
                <w:color w:val="002060"/>
                <w:sz w:val="18"/>
                <w:szCs w:val="18"/>
                <w:lang w:val="en-GB" w:eastAsia="en-GB"/>
              </w:rPr>
              <w:t>BOTTOM</w:t>
            </w:r>
          </w:p>
        </w:tc>
        <w:tc>
          <w:tcPr>
            <w:tcW w:w="1133" w:type="dxa"/>
            <w:tcBorders>
              <w:right w:val="single" w:sz="4" w:space="0" w:color="auto"/>
            </w:tcBorders>
            <w:shd w:val="clear" w:color="auto" w:fill="auto"/>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i/>
                <w:color w:val="002060"/>
                <w:sz w:val="18"/>
                <w:szCs w:val="18"/>
                <w:lang w:val="en-GB" w:eastAsia="en-GB"/>
              </w:rPr>
            </w:pPr>
            <w:r w:rsidRPr="00B24442">
              <w:rPr>
                <w:rFonts w:ascii="Cambria" w:eastAsia="Times New Roman" w:hAnsi="Cambria" w:cs="Calibri"/>
                <w:i/>
                <w:color w:val="002060"/>
                <w:sz w:val="18"/>
                <w:szCs w:val="18"/>
                <w:lang w:val="en-GB" w:eastAsia="en-GB"/>
              </w:rPr>
              <w:t xml:space="preserve"> Tesco  </w:t>
            </w:r>
          </w:p>
        </w:tc>
        <w:tc>
          <w:tcPr>
            <w:tcW w:w="1904" w:type="dxa"/>
            <w:tcBorders>
              <w:left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7</w:t>
            </w:r>
          </w:p>
        </w:tc>
        <w:tc>
          <w:tcPr>
            <w:tcW w:w="1362" w:type="dxa"/>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14</w:t>
            </w:r>
          </w:p>
        </w:tc>
        <w:tc>
          <w:tcPr>
            <w:tcW w:w="1363" w:type="dxa"/>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15</w:t>
            </w:r>
          </w:p>
        </w:tc>
        <w:tc>
          <w:tcPr>
            <w:tcW w:w="1145" w:type="dxa"/>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3</w:t>
            </w:r>
          </w:p>
        </w:tc>
        <w:tc>
          <w:tcPr>
            <w:tcW w:w="1172" w:type="dxa"/>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3</w:t>
            </w:r>
          </w:p>
        </w:tc>
      </w:tr>
      <w:tr w:rsidR="00B24442" w:rsidRPr="00B24442" w:rsidTr="0025678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Pr>
          <w:p w:rsidR="00B24442" w:rsidRPr="00B24442" w:rsidRDefault="00B24442" w:rsidP="00B24442">
            <w:pPr>
              <w:rPr>
                <w:rFonts w:ascii="Cambria" w:hAnsi="Cambria" w:cs="Calibri"/>
                <w:color w:val="002060"/>
                <w:sz w:val="18"/>
                <w:szCs w:val="18"/>
                <w:lang w:val="en-GB" w:eastAsia="en-GB"/>
              </w:rPr>
            </w:pPr>
          </w:p>
        </w:tc>
        <w:tc>
          <w:tcPr>
            <w:tcW w:w="1133" w:type="dxa"/>
            <w:tcBorders>
              <w:right w:val="single" w:sz="4" w:space="0" w:color="auto"/>
            </w:tcBorders>
            <w:shd w:val="clear" w:color="auto" w:fill="auto"/>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i/>
                <w:color w:val="002060"/>
                <w:sz w:val="18"/>
                <w:szCs w:val="18"/>
                <w:lang w:val="en-GB" w:eastAsia="en-GB"/>
              </w:rPr>
            </w:pPr>
            <w:r w:rsidRPr="00B24442">
              <w:rPr>
                <w:rFonts w:ascii="Cambria" w:eastAsia="Times New Roman" w:hAnsi="Cambria" w:cs="Calibri"/>
                <w:i/>
                <w:color w:val="002060"/>
                <w:sz w:val="18"/>
                <w:szCs w:val="18"/>
                <w:lang w:val="en-GB" w:eastAsia="en-GB"/>
              </w:rPr>
              <w:t xml:space="preserve"> Fairy  </w:t>
            </w:r>
          </w:p>
        </w:tc>
        <w:tc>
          <w:tcPr>
            <w:tcW w:w="1904" w:type="dxa"/>
            <w:tcBorders>
              <w:left w:val="single" w:sz="4" w:space="0" w:color="auto"/>
            </w:tcBorders>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5</w:t>
            </w:r>
          </w:p>
        </w:tc>
        <w:tc>
          <w:tcPr>
            <w:tcW w:w="1362"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12</w:t>
            </w:r>
          </w:p>
        </w:tc>
        <w:tc>
          <w:tcPr>
            <w:tcW w:w="1363"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12</w:t>
            </w:r>
          </w:p>
        </w:tc>
        <w:tc>
          <w:tcPr>
            <w:tcW w:w="1145"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3</w:t>
            </w:r>
          </w:p>
        </w:tc>
        <w:tc>
          <w:tcPr>
            <w:tcW w:w="1172"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3</w:t>
            </w:r>
          </w:p>
        </w:tc>
      </w:tr>
      <w:tr w:rsidR="00B24442" w:rsidRPr="00B24442" w:rsidTr="0025678D">
        <w:trPr>
          <w:trHeight w:val="22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Pr>
          <w:p w:rsidR="00B24442" w:rsidRPr="00B24442" w:rsidRDefault="00B24442" w:rsidP="00B24442">
            <w:pPr>
              <w:rPr>
                <w:rFonts w:ascii="Cambria" w:hAnsi="Cambria" w:cs="Calibri"/>
                <w:color w:val="002060"/>
                <w:sz w:val="18"/>
                <w:szCs w:val="18"/>
                <w:lang w:val="en-GB" w:eastAsia="en-GB"/>
              </w:rPr>
            </w:pPr>
          </w:p>
        </w:tc>
        <w:tc>
          <w:tcPr>
            <w:tcW w:w="1133" w:type="dxa"/>
            <w:tcBorders>
              <w:right w:val="single" w:sz="4" w:space="0" w:color="auto"/>
            </w:tcBorders>
            <w:shd w:val="clear" w:color="auto" w:fill="auto"/>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i/>
                <w:color w:val="002060"/>
                <w:sz w:val="18"/>
                <w:szCs w:val="18"/>
                <w:lang w:val="en-GB" w:eastAsia="en-GB"/>
              </w:rPr>
            </w:pPr>
            <w:r w:rsidRPr="00B24442">
              <w:rPr>
                <w:rFonts w:ascii="Cambria" w:eastAsia="Times New Roman" w:hAnsi="Cambria" w:cs="Calibri"/>
                <w:i/>
                <w:color w:val="002060"/>
                <w:sz w:val="18"/>
                <w:szCs w:val="18"/>
                <w:lang w:val="en-GB" w:eastAsia="en-GB"/>
              </w:rPr>
              <w:t xml:space="preserve"> </w:t>
            </w:r>
            <w:proofErr w:type="spellStart"/>
            <w:r w:rsidRPr="00B24442">
              <w:rPr>
                <w:rFonts w:ascii="Cambria" w:eastAsia="Times New Roman" w:hAnsi="Cambria" w:cs="Calibri"/>
                <w:i/>
                <w:color w:val="002060"/>
                <w:sz w:val="18"/>
                <w:szCs w:val="18"/>
                <w:lang w:val="en-GB" w:eastAsia="en-GB"/>
              </w:rPr>
              <w:t>Aldi</w:t>
            </w:r>
            <w:proofErr w:type="spellEnd"/>
            <w:r w:rsidRPr="00B24442">
              <w:rPr>
                <w:rFonts w:ascii="Cambria" w:eastAsia="Times New Roman" w:hAnsi="Cambria" w:cs="Calibri"/>
                <w:i/>
                <w:color w:val="002060"/>
                <w:sz w:val="18"/>
                <w:szCs w:val="18"/>
                <w:lang w:val="en-GB" w:eastAsia="en-GB"/>
              </w:rPr>
              <w:t xml:space="preserve">  </w:t>
            </w:r>
          </w:p>
        </w:tc>
        <w:tc>
          <w:tcPr>
            <w:tcW w:w="1904" w:type="dxa"/>
            <w:tcBorders>
              <w:left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4</w:t>
            </w:r>
          </w:p>
        </w:tc>
        <w:tc>
          <w:tcPr>
            <w:tcW w:w="1362" w:type="dxa"/>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7</w:t>
            </w:r>
          </w:p>
        </w:tc>
        <w:tc>
          <w:tcPr>
            <w:tcW w:w="1363" w:type="dxa"/>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10</w:t>
            </w:r>
          </w:p>
        </w:tc>
        <w:tc>
          <w:tcPr>
            <w:tcW w:w="1145" w:type="dxa"/>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3</w:t>
            </w:r>
          </w:p>
        </w:tc>
        <w:tc>
          <w:tcPr>
            <w:tcW w:w="1172" w:type="dxa"/>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3</w:t>
            </w:r>
          </w:p>
        </w:tc>
      </w:tr>
      <w:tr w:rsidR="00B24442" w:rsidRPr="00B24442" w:rsidTr="0025678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noWrap/>
          </w:tcPr>
          <w:p w:rsidR="00B24442" w:rsidRPr="00B24442" w:rsidRDefault="00B24442" w:rsidP="00B24442">
            <w:pPr>
              <w:rPr>
                <w:rFonts w:ascii="Cambria" w:hAnsi="Cambria" w:cs="Calibri"/>
                <w:color w:val="002060"/>
                <w:sz w:val="18"/>
                <w:szCs w:val="18"/>
                <w:lang w:val="en-GB" w:eastAsia="en-GB"/>
              </w:rPr>
            </w:pPr>
          </w:p>
        </w:tc>
        <w:tc>
          <w:tcPr>
            <w:tcW w:w="1133" w:type="dxa"/>
            <w:tcBorders>
              <w:right w:val="single" w:sz="4" w:space="0" w:color="auto"/>
            </w:tcBorders>
            <w:shd w:val="clear" w:color="auto" w:fill="auto"/>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i/>
                <w:color w:val="002060"/>
                <w:sz w:val="18"/>
                <w:szCs w:val="18"/>
                <w:lang w:val="en-GB" w:eastAsia="en-GB"/>
              </w:rPr>
            </w:pPr>
            <w:r w:rsidRPr="00B24442">
              <w:rPr>
                <w:rFonts w:ascii="Cambria" w:eastAsia="Times New Roman" w:hAnsi="Cambria" w:cs="Calibri"/>
                <w:i/>
                <w:color w:val="002060"/>
                <w:sz w:val="18"/>
                <w:szCs w:val="18"/>
                <w:lang w:val="en-GB" w:eastAsia="en-GB"/>
              </w:rPr>
              <w:t xml:space="preserve"> </w:t>
            </w:r>
            <w:proofErr w:type="spellStart"/>
            <w:r w:rsidRPr="00B24442">
              <w:rPr>
                <w:rFonts w:ascii="Cambria" w:eastAsia="Times New Roman" w:hAnsi="Cambria" w:cs="Calibri"/>
                <w:i/>
                <w:color w:val="002060"/>
                <w:sz w:val="18"/>
                <w:szCs w:val="18"/>
                <w:lang w:val="en-GB" w:eastAsia="en-GB"/>
              </w:rPr>
              <w:t>Morrisons</w:t>
            </w:r>
            <w:proofErr w:type="spellEnd"/>
            <w:r w:rsidRPr="00B24442">
              <w:rPr>
                <w:rFonts w:ascii="Cambria" w:eastAsia="Times New Roman" w:hAnsi="Cambria" w:cs="Calibri"/>
                <w:i/>
                <w:color w:val="002060"/>
                <w:sz w:val="18"/>
                <w:szCs w:val="18"/>
                <w:lang w:val="en-GB" w:eastAsia="en-GB"/>
              </w:rPr>
              <w:t xml:space="preserve">  </w:t>
            </w:r>
          </w:p>
        </w:tc>
        <w:tc>
          <w:tcPr>
            <w:tcW w:w="1904" w:type="dxa"/>
            <w:tcBorders>
              <w:left w:val="single" w:sz="4" w:space="0" w:color="auto"/>
            </w:tcBorders>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2</w:t>
            </w:r>
          </w:p>
        </w:tc>
        <w:tc>
          <w:tcPr>
            <w:tcW w:w="1362"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6</w:t>
            </w:r>
          </w:p>
        </w:tc>
        <w:tc>
          <w:tcPr>
            <w:tcW w:w="1363"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6</w:t>
            </w:r>
          </w:p>
        </w:tc>
        <w:tc>
          <w:tcPr>
            <w:tcW w:w="1145" w:type="dxa"/>
            <w:shd w:val="clear" w:color="auto" w:fill="auto"/>
            <w:noWrap/>
            <w:hideMark/>
          </w:tcPr>
          <w:p w:rsidR="00B24442" w:rsidRPr="00B24442" w:rsidRDefault="00B24442" w:rsidP="0025678D">
            <w:pPr>
              <w:jc w:val="cente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2</w:t>
            </w:r>
          </w:p>
        </w:tc>
        <w:tc>
          <w:tcPr>
            <w:tcW w:w="1172" w:type="dxa"/>
            <w:shd w:val="clear" w:color="auto" w:fill="auto"/>
            <w:noWrap/>
            <w:hideMark/>
          </w:tcPr>
          <w:p w:rsidR="00B24442" w:rsidRPr="00B24442" w:rsidRDefault="00B24442" w:rsidP="00B24442">
            <w:pPr>
              <w:cnfStyle w:val="000000100000" w:firstRow="0" w:lastRow="0" w:firstColumn="0" w:lastColumn="0" w:oddVBand="0" w:evenVBand="0" w:oddHBand="1"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3</w:t>
            </w:r>
          </w:p>
        </w:tc>
      </w:tr>
      <w:tr w:rsidR="00B24442" w:rsidRPr="00B24442" w:rsidTr="0025678D">
        <w:trPr>
          <w:trHeight w:val="228"/>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shd w:val="clear" w:color="auto" w:fill="auto"/>
            <w:noWrap/>
          </w:tcPr>
          <w:p w:rsidR="00B24442" w:rsidRPr="00B24442" w:rsidRDefault="00B24442" w:rsidP="00B24442">
            <w:pPr>
              <w:rPr>
                <w:rFonts w:ascii="Cambria" w:hAnsi="Cambria" w:cs="Calibri"/>
                <w:color w:val="002060"/>
                <w:sz w:val="18"/>
                <w:szCs w:val="18"/>
                <w:lang w:val="en-GB" w:eastAsia="en-GB"/>
              </w:rPr>
            </w:pPr>
          </w:p>
        </w:tc>
        <w:tc>
          <w:tcPr>
            <w:tcW w:w="1133" w:type="dxa"/>
            <w:tcBorders>
              <w:bottom w:val="single" w:sz="4" w:space="0" w:color="auto"/>
              <w:right w:val="single" w:sz="4" w:space="0" w:color="auto"/>
            </w:tcBorders>
            <w:shd w:val="clear" w:color="auto" w:fill="auto"/>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i/>
                <w:color w:val="002060"/>
                <w:sz w:val="18"/>
                <w:szCs w:val="18"/>
                <w:lang w:val="en-GB" w:eastAsia="en-GB"/>
              </w:rPr>
            </w:pPr>
            <w:r w:rsidRPr="00B24442">
              <w:rPr>
                <w:rFonts w:ascii="Cambria" w:eastAsia="Times New Roman" w:hAnsi="Cambria" w:cs="Calibri"/>
                <w:i/>
                <w:color w:val="002060"/>
                <w:sz w:val="18"/>
                <w:szCs w:val="18"/>
                <w:lang w:val="en-GB" w:eastAsia="en-GB"/>
              </w:rPr>
              <w:t xml:space="preserve"> </w:t>
            </w:r>
            <w:proofErr w:type="spellStart"/>
            <w:r w:rsidRPr="00B24442">
              <w:rPr>
                <w:rFonts w:ascii="Cambria" w:eastAsia="Times New Roman" w:hAnsi="Cambria" w:cs="Calibri"/>
                <w:i/>
                <w:color w:val="002060"/>
                <w:sz w:val="18"/>
                <w:szCs w:val="18"/>
                <w:lang w:val="en-GB" w:eastAsia="en-GB"/>
              </w:rPr>
              <w:t>Asda</w:t>
            </w:r>
            <w:proofErr w:type="spellEnd"/>
            <w:r w:rsidRPr="00B24442">
              <w:rPr>
                <w:rFonts w:ascii="Cambria" w:eastAsia="Times New Roman" w:hAnsi="Cambria" w:cs="Calibri"/>
                <w:i/>
                <w:color w:val="002060"/>
                <w:sz w:val="18"/>
                <w:szCs w:val="18"/>
                <w:lang w:val="en-GB" w:eastAsia="en-GB"/>
              </w:rPr>
              <w:t xml:space="preserve">  </w:t>
            </w:r>
          </w:p>
        </w:tc>
        <w:tc>
          <w:tcPr>
            <w:tcW w:w="1904" w:type="dxa"/>
            <w:tcBorders>
              <w:left w:val="single" w:sz="4" w:space="0" w:color="auto"/>
              <w:bottom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2</w:t>
            </w:r>
          </w:p>
        </w:tc>
        <w:tc>
          <w:tcPr>
            <w:tcW w:w="1362" w:type="dxa"/>
            <w:tcBorders>
              <w:bottom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4</w:t>
            </w:r>
          </w:p>
        </w:tc>
        <w:tc>
          <w:tcPr>
            <w:tcW w:w="1363" w:type="dxa"/>
            <w:tcBorders>
              <w:bottom w:val="single" w:sz="4" w:space="0" w:color="auto"/>
            </w:tcBorders>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3</w:t>
            </w:r>
          </w:p>
        </w:tc>
        <w:tc>
          <w:tcPr>
            <w:tcW w:w="1145" w:type="dxa"/>
            <w:tcBorders>
              <w:bottom w:val="single" w:sz="4" w:space="0" w:color="auto"/>
            </w:tcBorders>
            <w:shd w:val="clear" w:color="auto" w:fill="auto"/>
            <w:noWrap/>
            <w:hideMark/>
          </w:tcPr>
          <w:p w:rsidR="00B24442" w:rsidRPr="00B24442" w:rsidRDefault="00B24442" w:rsidP="0025678D">
            <w:pPr>
              <w:jc w:val="cente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2</w:t>
            </w:r>
          </w:p>
        </w:tc>
        <w:tc>
          <w:tcPr>
            <w:tcW w:w="1172" w:type="dxa"/>
            <w:tcBorders>
              <w:bottom w:val="single" w:sz="4" w:space="0" w:color="auto"/>
            </w:tcBorders>
            <w:shd w:val="clear" w:color="auto" w:fill="auto"/>
            <w:noWrap/>
            <w:hideMark/>
          </w:tcPr>
          <w:p w:rsidR="00B24442" w:rsidRPr="00B24442" w:rsidRDefault="00B24442" w:rsidP="00B24442">
            <w:pPr>
              <w:cnfStyle w:val="000000000000" w:firstRow="0" w:lastRow="0" w:firstColumn="0" w:lastColumn="0" w:oddVBand="0" w:evenVBand="0" w:oddHBand="0" w:evenHBand="0" w:firstRowFirstColumn="0" w:firstRowLastColumn="0" w:lastRowFirstColumn="0" w:lastRowLastColumn="0"/>
              <w:rPr>
                <w:rFonts w:ascii="Cambria" w:hAnsi="Cambria"/>
                <w:color w:val="2F5496" w:themeColor="accent1" w:themeShade="BF"/>
                <w:sz w:val="18"/>
                <w:szCs w:val="18"/>
              </w:rPr>
            </w:pPr>
            <w:r w:rsidRPr="00B24442">
              <w:rPr>
                <w:rFonts w:ascii="Cambria" w:hAnsi="Cambria"/>
                <w:color w:val="2F5496" w:themeColor="accent1" w:themeShade="BF"/>
                <w:sz w:val="18"/>
                <w:szCs w:val="18"/>
              </w:rPr>
              <w:t>3</w:t>
            </w:r>
          </w:p>
        </w:tc>
      </w:tr>
    </w:tbl>
    <w:p w:rsidR="00D83829" w:rsidRPr="00BD67ED" w:rsidRDefault="00D83829" w:rsidP="00D83829">
      <w:pPr>
        <w:keepNext/>
        <w:spacing w:after="200" w:line="240" w:lineRule="auto"/>
        <w:jc w:val="both"/>
        <w:rPr>
          <w:rFonts w:ascii="Cambria" w:eastAsia="Calibri" w:hAnsi="Cambria" w:cs="Times New Roman"/>
          <w:i/>
          <w:iCs/>
          <w:sz w:val="18"/>
          <w:szCs w:val="18"/>
          <w:lang w:val="en-GB"/>
        </w:rPr>
      </w:pPr>
      <w:bookmarkStart w:id="4" w:name="_Ref472114441"/>
      <w:bookmarkStart w:id="5" w:name="_Toc473750125"/>
      <w:r w:rsidRPr="00BD67ED">
        <w:rPr>
          <w:rFonts w:ascii="Cambria" w:eastAsia="Calibri" w:hAnsi="Cambria" w:cs="Times New Roman"/>
          <w:i/>
          <w:iCs/>
          <w:color w:val="2E74B5"/>
          <w:sz w:val="18"/>
          <w:szCs w:val="18"/>
          <w:lang w:val="en-GB"/>
        </w:rPr>
        <w:t xml:space="preserve">Table </w:t>
      </w:r>
      <w:r w:rsidRPr="00BD67ED">
        <w:rPr>
          <w:rFonts w:ascii="Cambria" w:eastAsia="Calibri" w:hAnsi="Cambria" w:cs="Times New Roman"/>
          <w:i/>
          <w:iCs/>
          <w:color w:val="2E74B5"/>
          <w:sz w:val="18"/>
          <w:szCs w:val="18"/>
          <w:lang w:val="en-GB"/>
        </w:rPr>
        <w:fldChar w:fldCharType="begin"/>
      </w:r>
      <w:r w:rsidRPr="00BD67ED">
        <w:rPr>
          <w:rFonts w:ascii="Cambria" w:eastAsia="Calibri" w:hAnsi="Cambria" w:cs="Times New Roman"/>
          <w:i/>
          <w:iCs/>
          <w:color w:val="2E74B5"/>
          <w:sz w:val="18"/>
          <w:szCs w:val="18"/>
          <w:lang w:val="en-GB"/>
        </w:rPr>
        <w:instrText xml:space="preserve"> SEQ Table \* ARABIC </w:instrText>
      </w:r>
      <w:r w:rsidRPr="00BD67ED">
        <w:rPr>
          <w:rFonts w:ascii="Cambria" w:eastAsia="Calibri" w:hAnsi="Cambria" w:cs="Times New Roman"/>
          <w:i/>
          <w:iCs/>
          <w:color w:val="2E74B5"/>
          <w:sz w:val="18"/>
          <w:szCs w:val="18"/>
          <w:lang w:val="en-GB"/>
        </w:rPr>
        <w:fldChar w:fldCharType="separate"/>
      </w:r>
      <w:r w:rsidR="00540B69" w:rsidRPr="00BD67ED">
        <w:rPr>
          <w:rFonts w:ascii="Cambria" w:eastAsia="Calibri" w:hAnsi="Cambria" w:cs="Times New Roman"/>
          <w:i/>
          <w:iCs/>
          <w:noProof/>
          <w:color w:val="2E74B5"/>
          <w:sz w:val="18"/>
          <w:szCs w:val="18"/>
          <w:lang w:val="en-GB"/>
        </w:rPr>
        <w:t>1</w:t>
      </w:r>
      <w:r w:rsidRPr="00BD67ED">
        <w:rPr>
          <w:rFonts w:ascii="Cambria" w:eastAsia="Calibri" w:hAnsi="Cambria" w:cs="Times New Roman"/>
          <w:i/>
          <w:iCs/>
          <w:color w:val="2E74B5"/>
          <w:sz w:val="18"/>
          <w:szCs w:val="18"/>
          <w:lang w:val="en-GB"/>
        </w:rPr>
        <w:fldChar w:fldCharType="end"/>
      </w:r>
      <w:bookmarkEnd w:id="4"/>
      <w:r w:rsidRPr="00BD67ED">
        <w:rPr>
          <w:rFonts w:ascii="Cambria" w:eastAsia="Calibri" w:hAnsi="Cambria" w:cs="Times New Roman"/>
          <w:i/>
          <w:iCs/>
          <w:sz w:val="18"/>
          <w:szCs w:val="18"/>
          <w:lang w:val="en-GB"/>
        </w:rPr>
        <w:t>: Theoretical &amp; observed data for the ‘Laundry’ category (TNS/Kantar)</w:t>
      </w:r>
      <w:bookmarkEnd w:id="5"/>
    </w:p>
    <w:p w:rsidR="00D83829" w:rsidRPr="00BD67ED" w:rsidRDefault="001E3570" w:rsidP="00D83829">
      <w:pPr>
        <w:spacing w:line="360" w:lineRule="auto"/>
        <w:jc w:val="both"/>
        <w:rPr>
          <w:rFonts w:ascii="Cambria" w:eastAsia="Calibri" w:hAnsi="Cambria" w:cs="Times New Roman"/>
          <w:lang w:val="en-GB"/>
        </w:rPr>
      </w:pPr>
      <w:r w:rsidRPr="00BD67ED">
        <w:rPr>
          <w:rFonts w:ascii="Cambria" w:eastAsia="Calibri" w:hAnsi="Cambria" w:cs="Times New Roman"/>
          <w:noProof/>
          <w:lang w:val="en-US"/>
        </w:rPr>
        <w:drawing>
          <wp:anchor distT="0" distB="0" distL="114300" distR="114300" simplePos="0" relativeHeight="251659264" behindDoc="1" locked="0" layoutInCell="1" allowOverlap="1" wp14:anchorId="7528F4C9" wp14:editId="3F43BDE7">
            <wp:simplePos x="0" y="0"/>
            <wp:positionH relativeFrom="column">
              <wp:posOffset>0</wp:posOffset>
            </wp:positionH>
            <wp:positionV relativeFrom="paragraph">
              <wp:posOffset>762000</wp:posOffset>
            </wp:positionV>
            <wp:extent cx="5759450" cy="2676525"/>
            <wp:effectExtent l="0" t="0" r="0" b="9525"/>
            <wp:wrapThrough wrapText="bothSides">
              <wp:wrapPolygon edited="0">
                <wp:start x="0" y="0"/>
                <wp:lineTo x="0" y="21523"/>
                <wp:lineTo x="21505" y="21523"/>
                <wp:lineTo x="2150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676525"/>
                    </a:xfrm>
                    <a:prstGeom prst="rect">
                      <a:avLst/>
                    </a:prstGeom>
                    <a:noFill/>
                  </pic:spPr>
                </pic:pic>
              </a:graphicData>
            </a:graphic>
            <wp14:sizeRelH relativeFrom="page">
              <wp14:pctWidth>0</wp14:pctWidth>
            </wp14:sizeRelH>
            <wp14:sizeRelV relativeFrom="page">
              <wp14:pctHeight>0</wp14:pctHeight>
            </wp14:sizeRelV>
          </wp:anchor>
        </w:drawing>
      </w:r>
      <w:r w:rsidR="00FC42BE">
        <w:rPr>
          <w:rFonts w:ascii="Cambria" w:eastAsia="Calibri" w:hAnsi="Cambria" w:cs="Times New Roman"/>
          <w:lang w:val="en-GB"/>
        </w:rPr>
        <w:t>Most brands are on or very near the D</w:t>
      </w:r>
      <w:r>
        <w:rPr>
          <w:rFonts w:ascii="Cambria" w:eastAsia="Calibri" w:hAnsi="Cambria" w:cs="Times New Roman"/>
          <w:lang w:val="en-GB"/>
        </w:rPr>
        <w:t xml:space="preserve">ouble Jeopardy line---i.e. </w:t>
      </w:r>
      <w:proofErr w:type="gramStart"/>
      <w:r>
        <w:rPr>
          <w:rFonts w:ascii="Cambria" w:eastAsia="Calibri" w:hAnsi="Cambria" w:cs="Times New Roman"/>
          <w:lang w:val="en-GB"/>
        </w:rPr>
        <w:t>their</w:t>
      </w:r>
      <w:proofErr w:type="gramEnd"/>
      <w:r>
        <w:rPr>
          <w:rFonts w:ascii="Cambria" w:eastAsia="Calibri" w:hAnsi="Cambria" w:cs="Times New Roman"/>
          <w:lang w:val="en-GB"/>
        </w:rPr>
        <w:t xml:space="preserve"> observed values are just about accurately predicted by the model. </w:t>
      </w:r>
      <w:r w:rsidR="000A5454">
        <w:rPr>
          <w:rFonts w:ascii="Cambria" w:eastAsia="Calibri" w:hAnsi="Cambria" w:cs="Times New Roman"/>
          <w:lang w:val="en-GB"/>
        </w:rPr>
        <w:t>Brands that</w:t>
      </w:r>
      <w:r>
        <w:rPr>
          <w:rFonts w:ascii="Cambria" w:eastAsia="Calibri" w:hAnsi="Cambria" w:cs="Times New Roman"/>
          <w:lang w:val="en-GB"/>
        </w:rPr>
        <w:t xml:space="preserve"> </w:t>
      </w:r>
      <w:r w:rsidR="000A5454">
        <w:rPr>
          <w:rFonts w:ascii="Cambria" w:eastAsia="Calibri" w:hAnsi="Cambria" w:cs="Times New Roman"/>
          <w:lang w:val="en-GB"/>
        </w:rPr>
        <w:t>deviate</w:t>
      </w:r>
      <w:r w:rsidR="00D83829" w:rsidRPr="00BD67ED">
        <w:rPr>
          <w:rFonts w:ascii="Cambria" w:eastAsia="Calibri" w:hAnsi="Cambria" w:cs="Times New Roman"/>
          <w:lang w:val="en-GB"/>
        </w:rPr>
        <w:t xml:space="preserve"> more than +</w:t>
      </w:r>
      <w:r w:rsidR="000A5454">
        <w:rPr>
          <w:rFonts w:ascii="Cambria" w:eastAsia="Calibri" w:hAnsi="Cambria" w:cs="Times New Roman"/>
          <w:lang w:val="en-GB"/>
        </w:rPr>
        <w:t>/</w:t>
      </w:r>
      <w:r w:rsidR="00D83829" w:rsidRPr="00BD67ED">
        <w:rPr>
          <w:rFonts w:ascii="Cambria" w:eastAsia="Calibri" w:hAnsi="Cambria" w:cs="Times New Roman"/>
          <w:lang w:val="en-GB"/>
        </w:rPr>
        <w:t xml:space="preserve">-10% above or below the norm are </w:t>
      </w:r>
      <w:r>
        <w:rPr>
          <w:rFonts w:ascii="Cambria" w:eastAsia="Calibri" w:hAnsi="Cambria" w:cs="Times New Roman"/>
          <w:lang w:val="en-GB"/>
        </w:rPr>
        <w:t xml:space="preserve">considered </w:t>
      </w:r>
      <w:r w:rsidR="000A5454">
        <w:rPr>
          <w:rFonts w:ascii="Cambria" w:eastAsia="Calibri" w:hAnsi="Cambria" w:cs="Times New Roman"/>
          <w:lang w:val="en-GB"/>
        </w:rPr>
        <w:t>exceptional</w:t>
      </w:r>
      <w:r>
        <w:rPr>
          <w:rFonts w:ascii="Cambria" w:eastAsia="Calibri" w:hAnsi="Cambria" w:cs="Times New Roman"/>
          <w:lang w:val="en-GB"/>
        </w:rPr>
        <w:t>.</w:t>
      </w:r>
      <w:r w:rsidR="0025678D">
        <w:rPr>
          <w:rFonts w:ascii="Cambria" w:eastAsia="Calibri" w:hAnsi="Cambria" w:cs="Times New Roman"/>
          <w:lang w:val="en-GB"/>
        </w:rPr>
        <w:t xml:space="preserve">  </w:t>
      </w:r>
    </w:p>
    <w:p w:rsidR="00D83829" w:rsidRPr="00BD67ED" w:rsidRDefault="00D83829" w:rsidP="00D83829">
      <w:pPr>
        <w:spacing w:after="200" w:line="360" w:lineRule="auto"/>
        <w:jc w:val="both"/>
        <w:rPr>
          <w:rFonts w:ascii="Cambria" w:eastAsia="Calibri" w:hAnsi="Cambria" w:cs="Times New Roman"/>
          <w:color w:val="2E74B5"/>
          <w:sz w:val="18"/>
          <w:szCs w:val="18"/>
          <w:lang w:val="en-GB"/>
        </w:rPr>
      </w:pPr>
      <w:bookmarkStart w:id="6" w:name="_Ref473749884"/>
      <w:bookmarkStart w:id="7" w:name="_Toc473750119"/>
      <w:r w:rsidRPr="00BD67ED">
        <w:rPr>
          <w:rFonts w:ascii="Cambria" w:eastAsia="Calibri" w:hAnsi="Cambria" w:cs="Times New Roman"/>
          <w:i/>
          <w:iCs/>
          <w:color w:val="2E74B5"/>
          <w:sz w:val="18"/>
          <w:szCs w:val="18"/>
          <w:lang w:val="en-GB"/>
        </w:rPr>
        <w:t xml:space="preserve">Figure </w:t>
      </w:r>
      <w:r w:rsidRPr="00BD67ED">
        <w:rPr>
          <w:rFonts w:ascii="Cambria" w:eastAsia="Calibri" w:hAnsi="Cambria" w:cs="Times New Roman"/>
          <w:i/>
          <w:iCs/>
          <w:color w:val="2E74B5"/>
          <w:sz w:val="18"/>
          <w:szCs w:val="18"/>
        </w:rPr>
        <w:fldChar w:fldCharType="begin"/>
      </w:r>
      <w:r w:rsidRPr="00BD67ED">
        <w:rPr>
          <w:rFonts w:ascii="Cambria" w:eastAsia="Calibri" w:hAnsi="Cambria" w:cs="Times New Roman"/>
          <w:i/>
          <w:iCs/>
          <w:color w:val="2E74B5"/>
          <w:sz w:val="18"/>
          <w:szCs w:val="18"/>
          <w:lang w:val="en-GB"/>
        </w:rPr>
        <w:instrText xml:space="preserve"> SEQ Figure \* ARABIC </w:instrText>
      </w:r>
      <w:r w:rsidRPr="00BD67ED">
        <w:rPr>
          <w:rFonts w:ascii="Cambria" w:eastAsia="Calibri" w:hAnsi="Cambria" w:cs="Times New Roman"/>
          <w:i/>
          <w:iCs/>
          <w:color w:val="2E74B5"/>
          <w:sz w:val="18"/>
          <w:szCs w:val="18"/>
        </w:rPr>
        <w:fldChar w:fldCharType="separate"/>
      </w:r>
      <w:r w:rsidR="00540B69" w:rsidRPr="00BD67ED">
        <w:rPr>
          <w:rFonts w:ascii="Cambria" w:eastAsia="Calibri" w:hAnsi="Cambria" w:cs="Times New Roman"/>
          <w:i/>
          <w:iCs/>
          <w:noProof/>
          <w:color w:val="2E74B5"/>
          <w:sz w:val="18"/>
          <w:szCs w:val="18"/>
          <w:lang w:val="en-GB"/>
        </w:rPr>
        <w:t>1</w:t>
      </w:r>
      <w:r w:rsidRPr="00BD67ED">
        <w:rPr>
          <w:rFonts w:ascii="Cambria" w:eastAsia="Calibri" w:hAnsi="Cambria" w:cs="Times New Roman"/>
          <w:i/>
          <w:iCs/>
          <w:color w:val="2E74B5"/>
          <w:sz w:val="18"/>
          <w:szCs w:val="18"/>
        </w:rPr>
        <w:fldChar w:fldCharType="end"/>
      </w:r>
      <w:bookmarkEnd w:id="6"/>
      <w:r w:rsidRPr="00BD67ED">
        <w:rPr>
          <w:rFonts w:ascii="Cambria" w:eastAsia="Calibri" w:hAnsi="Cambria" w:cs="Times New Roman"/>
          <w:i/>
          <w:iCs/>
          <w:sz w:val="18"/>
          <w:szCs w:val="18"/>
          <w:lang w:val="en-GB"/>
        </w:rPr>
        <w:t xml:space="preserve">: </w:t>
      </w:r>
      <w:r w:rsidRPr="00BD67ED">
        <w:rPr>
          <w:rFonts w:ascii="Cambria" w:eastAsia="Calibri" w:hAnsi="Cambria" w:cs="Times New Roman"/>
          <w:sz w:val="18"/>
          <w:szCs w:val="18"/>
          <w:lang w:val="en-GB"/>
        </w:rPr>
        <w:t>Observed brand performance laundry category yearly data (</w:t>
      </w:r>
      <w:r w:rsidRPr="00BD67ED">
        <w:rPr>
          <w:rFonts w:ascii="Cambria" w:eastAsia="Calibri" w:hAnsi="Cambria" w:cs="Times New Roman"/>
          <w:color w:val="2E74B5"/>
          <w:sz w:val="18"/>
          <w:szCs w:val="18"/>
          <w:lang w:val="en-GB"/>
        </w:rPr>
        <w:t>TNS/Kantar</w:t>
      </w:r>
      <w:r w:rsidRPr="00BD67ED">
        <w:rPr>
          <w:rFonts w:ascii="Cambria" w:eastAsia="Calibri" w:hAnsi="Cambria" w:cs="Times New Roman"/>
          <w:sz w:val="18"/>
          <w:szCs w:val="18"/>
          <w:lang w:val="en-GB"/>
        </w:rPr>
        <w:t>)</w:t>
      </w:r>
      <w:bookmarkEnd w:id="7"/>
    </w:p>
    <w:p w:rsidR="001E3570" w:rsidRPr="00BD67ED" w:rsidRDefault="001E3570" w:rsidP="00D83829">
      <w:pPr>
        <w:spacing w:line="360" w:lineRule="auto"/>
        <w:jc w:val="both"/>
        <w:rPr>
          <w:rFonts w:ascii="Cambria" w:eastAsia="Calibri" w:hAnsi="Cambria" w:cs="Times New Roman"/>
          <w:lang w:val="en-GB"/>
        </w:rPr>
      </w:pPr>
      <w:r>
        <w:rPr>
          <w:rFonts w:ascii="Cambria" w:eastAsia="Calibri" w:hAnsi="Cambria" w:cs="Times New Roman"/>
          <w:lang w:val="en-GB"/>
        </w:rPr>
        <w:t xml:space="preserve">The </w:t>
      </w:r>
      <w:r w:rsidR="000A5454">
        <w:rPr>
          <w:rFonts w:ascii="Cambria" w:eastAsia="Calibri" w:hAnsi="Cambria" w:cs="Times New Roman"/>
          <w:lang w:val="en-GB"/>
        </w:rPr>
        <w:t>first visual impression reveals that</w:t>
      </w:r>
      <w:r w:rsidR="003317B2">
        <w:rPr>
          <w:rFonts w:ascii="Cambria" w:eastAsia="Calibri" w:hAnsi="Cambria" w:cs="Times New Roman"/>
          <w:lang w:val="en-GB"/>
        </w:rPr>
        <w:t xml:space="preserve"> </w:t>
      </w:r>
      <w:r w:rsidR="001E2D4D">
        <w:rPr>
          <w:rFonts w:ascii="Cambria" w:eastAsia="Calibri" w:hAnsi="Cambria" w:cs="Times New Roman"/>
          <w:lang w:val="en-GB"/>
        </w:rPr>
        <w:t>on the left-</w:t>
      </w:r>
      <w:r w:rsidR="000A5454">
        <w:rPr>
          <w:rFonts w:ascii="Cambria" w:eastAsia="Calibri" w:hAnsi="Cambria" w:cs="Times New Roman"/>
          <w:lang w:val="en-GB"/>
        </w:rPr>
        <w:t>hand side</w:t>
      </w:r>
      <w:r>
        <w:rPr>
          <w:rFonts w:ascii="Cambria" w:eastAsia="Calibri" w:hAnsi="Cambria" w:cs="Times New Roman"/>
          <w:lang w:val="en-GB"/>
        </w:rPr>
        <w:t xml:space="preserve"> more brands </w:t>
      </w:r>
      <w:r w:rsidR="003317B2">
        <w:rPr>
          <w:rFonts w:ascii="Cambria" w:eastAsia="Calibri" w:hAnsi="Cambria" w:cs="Times New Roman"/>
          <w:lang w:val="en-GB"/>
        </w:rPr>
        <w:t xml:space="preserve">are </w:t>
      </w:r>
      <w:r>
        <w:rPr>
          <w:rFonts w:ascii="Cambria" w:eastAsia="Calibri" w:hAnsi="Cambria" w:cs="Times New Roman"/>
          <w:lang w:val="en-GB"/>
        </w:rPr>
        <w:t xml:space="preserve">below the line </w:t>
      </w:r>
      <w:r w:rsidR="003317B2">
        <w:rPr>
          <w:rFonts w:ascii="Cambria" w:eastAsia="Calibri" w:hAnsi="Cambria" w:cs="Times New Roman"/>
          <w:lang w:val="en-GB"/>
        </w:rPr>
        <w:t>whereas</w:t>
      </w:r>
      <w:r>
        <w:rPr>
          <w:rFonts w:ascii="Cambria" w:eastAsia="Calibri" w:hAnsi="Cambria" w:cs="Times New Roman"/>
          <w:lang w:val="en-GB"/>
        </w:rPr>
        <w:t xml:space="preserve"> on the right </w:t>
      </w:r>
      <w:r w:rsidR="001E2D4D">
        <w:rPr>
          <w:rFonts w:ascii="Cambria" w:eastAsia="Calibri" w:hAnsi="Cambria" w:cs="Times New Roman"/>
          <w:lang w:val="en-GB"/>
        </w:rPr>
        <w:t xml:space="preserve">a </w:t>
      </w:r>
      <w:r w:rsidR="000A5454">
        <w:rPr>
          <w:rFonts w:ascii="Cambria" w:eastAsia="Calibri" w:hAnsi="Cambria" w:cs="Times New Roman"/>
          <w:lang w:val="en-GB"/>
        </w:rPr>
        <w:t>more are</w:t>
      </w:r>
      <w:r>
        <w:rPr>
          <w:rFonts w:ascii="Cambria" w:eastAsia="Calibri" w:hAnsi="Cambria" w:cs="Times New Roman"/>
          <w:lang w:val="en-GB"/>
        </w:rPr>
        <w:t xml:space="preserve"> above.</w:t>
      </w:r>
      <w:r w:rsidR="003317B2">
        <w:rPr>
          <w:rFonts w:ascii="Cambria" w:eastAsia="Calibri" w:hAnsi="Cambria" w:cs="Times New Roman"/>
          <w:lang w:val="en-GB"/>
        </w:rPr>
        <w:t xml:space="preserve"> We will explain this further by looking at all categories together.</w:t>
      </w:r>
      <w:r w:rsidR="000A5454">
        <w:rPr>
          <w:rFonts w:ascii="Cambria" w:eastAsia="Calibri" w:hAnsi="Cambria" w:cs="Times New Roman"/>
          <w:lang w:val="en-GB"/>
        </w:rPr>
        <w:t xml:space="preserve"> V</w:t>
      </w:r>
      <w:r w:rsidR="00D83829" w:rsidRPr="00BD67ED">
        <w:rPr>
          <w:rFonts w:ascii="Cambria" w:eastAsia="Calibri" w:hAnsi="Cambria" w:cs="Times New Roman"/>
          <w:lang w:val="en-GB"/>
        </w:rPr>
        <w:t>ariance</w:t>
      </w:r>
      <w:r>
        <w:rPr>
          <w:rFonts w:ascii="Cambria" w:eastAsia="Calibri" w:hAnsi="Cambria" w:cs="Times New Roman"/>
          <w:lang w:val="en-GB"/>
        </w:rPr>
        <w:t>s</w:t>
      </w:r>
      <w:r w:rsidR="00D83829" w:rsidRPr="00BD67ED">
        <w:rPr>
          <w:rFonts w:ascii="Cambria" w:eastAsia="Calibri" w:hAnsi="Cambria" w:cs="Times New Roman"/>
          <w:lang w:val="en-GB"/>
        </w:rPr>
        <w:t xml:space="preserve"> </w:t>
      </w:r>
      <w:r w:rsidR="000A5454">
        <w:rPr>
          <w:rFonts w:ascii="Cambria" w:eastAsia="Calibri" w:hAnsi="Cambria" w:cs="Times New Roman"/>
          <w:lang w:val="en-GB"/>
        </w:rPr>
        <w:t>between</w:t>
      </w:r>
      <w:r w:rsidR="00D83829" w:rsidRPr="00BD67ED">
        <w:rPr>
          <w:rFonts w:ascii="Cambria" w:eastAsia="Calibri" w:hAnsi="Cambria" w:cs="Times New Roman"/>
          <w:lang w:val="en-GB"/>
        </w:rPr>
        <w:t xml:space="preserve"> observed and theoretical </w:t>
      </w:r>
      <w:r w:rsidR="000A5454">
        <w:rPr>
          <w:rFonts w:ascii="Cambria" w:eastAsia="Calibri" w:hAnsi="Cambria" w:cs="Times New Roman"/>
          <w:lang w:val="en-GB"/>
        </w:rPr>
        <w:t xml:space="preserve">loyalty figures can then be </w:t>
      </w:r>
      <w:r w:rsidR="00D83829" w:rsidRPr="00BD67ED">
        <w:rPr>
          <w:rFonts w:ascii="Cambria" w:eastAsia="Calibri" w:hAnsi="Cambria" w:cs="Times New Roman"/>
          <w:lang w:val="en-GB"/>
        </w:rPr>
        <w:t xml:space="preserve">calculated. </w:t>
      </w:r>
      <w:r w:rsidR="002119E1">
        <w:rPr>
          <w:rFonts w:ascii="Cambria" w:eastAsia="Calibri" w:hAnsi="Cambria" w:cs="Times New Roman"/>
          <w:lang w:val="en-GB"/>
        </w:rPr>
        <w:t xml:space="preserve">For each </w:t>
      </w:r>
      <w:r w:rsidR="002119E1" w:rsidRPr="00BD67ED">
        <w:rPr>
          <w:rFonts w:ascii="Cambria" w:eastAsia="Calibri" w:hAnsi="Cambria" w:cs="Times New Roman"/>
          <w:lang w:val="en-GB"/>
        </w:rPr>
        <w:t xml:space="preserve">half, bottom and top, the brands on or above and below the line </w:t>
      </w:r>
      <w:r w:rsidR="00D83829" w:rsidRPr="00BD67ED">
        <w:rPr>
          <w:rFonts w:ascii="Cambria" w:eastAsia="Calibri" w:hAnsi="Cambria" w:cs="Times New Roman"/>
          <w:lang w:val="en-GB"/>
        </w:rPr>
        <w:t xml:space="preserve">those that varied more than 10% are noted. </w:t>
      </w:r>
      <w:r w:rsidRPr="00BD67ED">
        <w:rPr>
          <w:rFonts w:ascii="Cambria" w:eastAsia="Calibri" w:hAnsi="Cambria" w:cs="Times New Roman"/>
          <w:lang w:val="en-GB"/>
        </w:rPr>
        <w:t xml:space="preserve">The same is done for </w:t>
      </w:r>
      <w:r>
        <w:rPr>
          <w:rFonts w:ascii="Cambria" w:eastAsia="Calibri" w:hAnsi="Cambria" w:cs="Times New Roman"/>
          <w:lang w:val="en-GB"/>
        </w:rPr>
        <w:t xml:space="preserve">all </w:t>
      </w:r>
      <w:r w:rsidRPr="00BD67ED">
        <w:rPr>
          <w:rFonts w:ascii="Cambria" w:eastAsia="Calibri" w:hAnsi="Cambria" w:cs="Times New Roman"/>
          <w:lang w:val="en-GB"/>
        </w:rPr>
        <w:t>‘others’.</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After registering consistent deviations with a focus on the negative side occurring across categories, private label brands are identified. To </w:t>
      </w:r>
      <w:r w:rsidR="002F3F9E">
        <w:rPr>
          <w:rFonts w:ascii="Cambria" w:eastAsia="Calibri" w:hAnsi="Cambria" w:cs="Times New Roman"/>
          <w:lang w:val="en-GB"/>
        </w:rPr>
        <w:t>assess</w:t>
      </w:r>
      <w:r w:rsidRPr="00BD67ED">
        <w:rPr>
          <w:rFonts w:ascii="Cambria" w:eastAsia="Calibri" w:hAnsi="Cambria" w:cs="Times New Roman"/>
          <w:lang w:val="en-GB"/>
        </w:rPr>
        <w:t xml:space="preserve"> </w:t>
      </w:r>
      <w:r w:rsidR="002F3F9E">
        <w:rPr>
          <w:rFonts w:ascii="Cambria" w:eastAsia="Calibri" w:hAnsi="Cambria" w:cs="Times New Roman"/>
          <w:lang w:val="en-GB"/>
        </w:rPr>
        <w:t>their impact on small brand</w:t>
      </w:r>
      <w:r w:rsidRPr="00BD67ED">
        <w:rPr>
          <w:rFonts w:ascii="Cambria" w:eastAsia="Calibri" w:hAnsi="Cambria" w:cs="Times New Roman"/>
          <w:lang w:val="en-GB"/>
        </w:rPr>
        <w:t xml:space="preserve"> findings </w:t>
      </w:r>
      <w:r w:rsidRPr="00BD67ED">
        <w:rPr>
          <w:rFonts w:ascii="Cambria" w:eastAsia="Calibri" w:hAnsi="Cambria" w:cs="Times New Roman"/>
          <w:lang w:val="en-GB"/>
        </w:rPr>
        <w:lastRenderedPageBreak/>
        <w:t xml:space="preserve">(more in </w:t>
      </w:r>
      <w:r w:rsidR="002119E1" w:rsidRPr="002119E1">
        <w:rPr>
          <w:rFonts w:ascii="Cambria" w:eastAsia="Calibri" w:hAnsi="Cambria" w:cs="Times New Roman"/>
          <w:color w:val="2F5496" w:themeColor="accent1" w:themeShade="BF"/>
          <w:lang w:val="en-GB"/>
        </w:rPr>
        <w:t>THE PRIVATE LABEL ISSUE</w:t>
      </w:r>
      <w:r w:rsidR="002119E1">
        <w:rPr>
          <w:rFonts w:ascii="Cambria" w:eastAsia="Calibri" w:hAnsi="Cambria" w:cs="Times New Roman"/>
          <w:lang w:val="en-GB"/>
        </w:rPr>
        <w:t xml:space="preserve"> &amp; </w:t>
      </w:r>
      <w:r w:rsidRPr="00BD67ED">
        <w:rPr>
          <w:rFonts w:ascii="Cambria" w:eastAsia="Calibri" w:hAnsi="Cambria" w:cs="Times New Roman"/>
          <w:color w:val="5B9BD5"/>
          <w:lang w:val="en-GB"/>
          <w14:textFill>
            <w14:solidFill>
              <w14:srgbClr w14:val="5B9BD5">
                <w14:lumMod w14:val="75000"/>
              </w14:srgbClr>
            </w14:solidFill>
          </w14:textFill>
        </w:rPr>
        <w:t>DISCUSSION</w:t>
      </w:r>
      <w:r w:rsidRPr="00BD67ED">
        <w:rPr>
          <w:rFonts w:ascii="Cambria" w:eastAsia="Calibri" w:hAnsi="Cambria" w:cs="Times New Roman"/>
          <w:lang w:val="en-GB"/>
        </w:rPr>
        <w:t>), their numbers and positions (above or below) are listed.</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The </w:t>
      </w:r>
      <w:r w:rsidR="000A5454">
        <w:rPr>
          <w:rFonts w:ascii="Cambria" w:eastAsia="Calibri" w:hAnsi="Cambria" w:cs="Times New Roman"/>
          <w:lang w:val="en-GB"/>
        </w:rPr>
        <w:t>next</w:t>
      </w:r>
      <w:r w:rsidRPr="00BD67ED">
        <w:rPr>
          <w:rFonts w:ascii="Cambria" w:eastAsia="Calibri" w:hAnsi="Cambria" w:cs="Times New Roman"/>
          <w:lang w:val="en-GB"/>
        </w:rPr>
        <w:t xml:space="preserve"> sections present results in the following order: First, the numbers of low share brands that deviated (including the direction) and variances in theoretical and observed loyalties is shown. The second part illustrates the extent to which private labels impact </w:t>
      </w:r>
      <w:r w:rsidR="000A5454">
        <w:rPr>
          <w:rFonts w:ascii="Cambria" w:eastAsia="Calibri" w:hAnsi="Cambria" w:cs="Times New Roman"/>
          <w:lang w:val="en-GB"/>
        </w:rPr>
        <w:t>the findings</w:t>
      </w:r>
      <w:r w:rsidR="000E6980">
        <w:rPr>
          <w:rFonts w:ascii="Cambria" w:eastAsia="Calibri" w:hAnsi="Cambria" w:cs="Times New Roman"/>
          <w:lang w:val="en-GB"/>
        </w:rPr>
        <w:t>. Finally, ‘other’ brand</w:t>
      </w:r>
      <w:r w:rsidRPr="00BD67ED">
        <w:rPr>
          <w:rFonts w:ascii="Cambria" w:eastAsia="Calibri" w:hAnsi="Cambria" w:cs="Times New Roman"/>
          <w:lang w:val="en-GB"/>
        </w:rPr>
        <w:t xml:space="preserve">s </w:t>
      </w:r>
      <w:r w:rsidR="000E6980">
        <w:rPr>
          <w:rFonts w:ascii="Cambria" w:eastAsia="Calibri" w:hAnsi="Cambria" w:cs="Times New Roman"/>
          <w:lang w:val="en-GB"/>
        </w:rPr>
        <w:t>deviations</w:t>
      </w:r>
      <w:r w:rsidRPr="00BD67ED">
        <w:rPr>
          <w:rFonts w:ascii="Cambria" w:eastAsia="Calibri" w:hAnsi="Cambria" w:cs="Times New Roman"/>
          <w:lang w:val="en-GB"/>
        </w:rPr>
        <w:t xml:space="preserve"> </w:t>
      </w:r>
      <w:r w:rsidR="000E6980">
        <w:rPr>
          <w:rFonts w:ascii="Cambria" w:eastAsia="Calibri" w:hAnsi="Cambria" w:cs="Times New Roman"/>
          <w:lang w:val="en-GB"/>
        </w:rPr>
        <w:t>in</w:t>
      </w:r>
      <w:r w:rsidRPr="00BD67ED">
        <w:rPr>
          <w:rFonts w:ascii="Cambria" w:eastAsia="Calibri" w:hAnsi="Cambria" w:cs="Times New Roman"/>
          <w:lang w:val="en-GB"/>
        </w:rPr>
        <w:t xml:space="preserve"> actual and expected purchase frequencies are displayed.</w:t>
      </w:r>
    </w:p>
    <w:p w:rsidR="00E0279D" w:rsidRPr="00BD67ED" w:rsidRDefault="00E0279D" w:rsidP="00D83829">
      <w:pPr>
        <w:spacing w:line="360" w:lineRule="auto"/>
        <w:jc w:val="both"/>
        <w:rPr>
          <w:rFonts w:ascii="Cambria" w:eastAsia="Calibri" w:hAnsi="Cambria" w:cs="Times New Roman"/>
          <w:lang w:val="en-GB"/>
        </w:rPr>
      </w:pPr>
    </w:p>
    <w:p w:rsidR="00D83829" w:rsidRPr="00BD67ED" w:rsidRDefault="00D83829" w:rsidP="000E6980">
      <w:pPr>
        <w:pStyle w:val="Heading1"/>
        <w:spacing w:line="360" w:lineRule="auto"/>
        <w:jc w:val="both"/>
        <w:rPr>
          <w:rFonts w:ascii="Cambria" w:eastAsia="Times New Roman" w:hAnsi="Cambria" w:cs="Times New Roman"/>
          <w:sz w:val="24"/>
          <w:szCs w:val="24"/>
          <w:lang w:val="en-GB"/>
        </w:rPr>
      </w:pPr>
      <w:bookmarkStart w:id="8" w:name="_Toc473811549"/>
      <w:r w:rsidRPr="00BD67ED">
        <w:rPr>
          <w:rFonts w:ascii="Cambria" w:eastAsia="Times New Roman" w:hAnsi="Cambria" w:cs="Times New Roman"/>
          <w:sz w:val="24"/>
          <w:szCs w:val="24"/>
          <w:lang w:val="en-GB"/>
        </w:rPr>
        <w:t>FINDINGS</w:t>
      </w:r>
      <w:bookmarkStart w:id="9" w:name="_Toc473811550"/>
      <w:bookmarkEnd w:id="8"/>
      <w:r w:rsidR="000E6980">
        <w:rPr>
          <w:rFonts w:ascii="Cambria" w:eastAsia="Times New Roman" w:hAnsi="Cambria" w:cs="Times New Roman"/>
          <w:sz w:val="24"/>
          <w:szCs w:val="24"/>
          <w:lang w:val="en-GB"/>
        </w:rPr>
        <w:t>—</w:t>
      </w:r>
      <w:r w:rsidRPr="00BD67ED">
        <w:rPr>
          <w:rFonts w:ascii="Cambria" w:eastAsia="Times New Roman" w:hAnsi="Cambria" w:cs="Times New Roman"/>
          <w:sz w:val="24"/>
          <w:szCs w:val="24"/>
          <w:lang w:val="en-GB"/>
        </w:rPr>
        <w:t>SMALL BRANDS</w:t>
      </w:r>
      <w:bookmarkEnd w:id="9"/>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Given their penetrations the bulk of low share brands (56%) display lower than expected purchase frequencies</w:t>
      </w:r>
      <w:r w:rsidR="000E6980">
        <w:rPr>
          <w:rFonts w:ascii="Cambria" w:eastAsia="Calibri" w:hAnsi="Cambria" w:cs="Times New Roman"/>
          <w:lang w:val="en-GB"/>
        </w:rPr>
        <w:t xml:space="preserve"> while two thirds of large brands are above</w:t>
      </w:r>
      <w:r w:rsidRPr="00BD67ED">
        <w:rPr>
          <w:rFonts w:ascii="Cambria" w:eastAsia="Calibri" w:hAnsi="Cambria" w:cs="Times New Roman"/>
          <w:lang w:val="en-GB"/>
        </w:rPr>
        <w:t>. Thus, there is a clear tendency for the</w:t>
      </w:r>
      <w:r w:rsidR="000E6980">
        <w:rPr>
          <w:rFonts w:ascii="Cambria" w:eastAsia="Calibri" w:hAnsi="Cambria" w:cs="Times New Roman"/>
          <w:lang w:val="en-GB"/>
        </w:rPr>
        <w:t xml:space="preserve"> ‘small’ to underperform </w:t>
      </w:r>
      <w:r w:rsidRPr="00BD67ED">
        <w:rPr>
          <w:rFonts w:ascii="Cambria" w:eastAsia="Calibri" w:hAnsi="Cambria" w:cs="Times New Roman"/>
          <w:lang w:val="en-GB"/>
        </w:rPr>
        <w:t xml:space="preserve">or </w:t>
      </w:r>
      <w:r w:rsidR="000E6980">
        <w:rPr>
          <w:rFonts w:ascii="Cambria" w:eastAsia="Calibri" w:hAnsi="Cambria" w:cs="Times New Roman"/>
          <w:lang w:val="en-GB"/>
        </w:rPr>
        <w:t>conversely,</w:t>
      </w:r>
      <w:r w:rsidRPr="00BD67ED">
        <w:rPr>
          <w:rFonts w:ascii="Cambria" w:eastAsia="Calibri" w:hAnsi="Cambria" w:cs="Times New Roman"/>
          <w:lang w:val="en-GB"/>
        </w:rPr>
        <w:t xml:space="preserve"> a </w:t>
      </w:r>
      <w:r w:rsidR="000E6980">
        <w:rPr>
          <w:rFonts w:ascii="Cambria" w:eastAsia="Calibri" w:hAnsi="Cambria" w:cs="Times New Roman"/>
          <w:lang w:val="en-GB"/>
        </w:rPr>
        <w:t>tendency</w:t>
      </w:r>
      <w:r w:rsidR="004F58D2">
        <w:rPr>
          <w:rFonts w:ascii="Cambria" w:eastAsia="Calibri" w:hAnsi="Cambria" w:cs="Times New Roman"/>
          <w:lang w:val="en-GB"/>
        </w:rPr>
        <w:t xml:space="preserve"> </w:t>
      </w:r>
      <w:r w:rsidR="000E6980">
        <w:rPr>
          <w:rFonts w:ascii="Cambria" w:eastAsia="Calibri" w:hAnsi="Cambria" w:cs="Times New Roman"/>
          <w:lang w:val="en-GB"/>
        </w:rPr>
        <w:t>for</w:t>
      </w:r>
      <w:r w:rsidRPr="00BD67ED">
        <w:rPr>
          <w:rFonts w:ascii="Cambria" w:eastAsia="Calibri" w:hAnsi="Cambria" w:cs="Times New Roman"/>
          <w:lang w:val="en-GB"/>
        </w:rPr>
        <w:t xml:space="preserve"> the model to </w:t>
      </w:r>
      <w:proofErr w:type="spellStart"/>
      <w:r w:rsidRPr="00BD67ED">
        <w:rPr>
          <w:rFonts w:ascii="Cambria" w:eastAsia="Calibri" w:hAnsi="Cambria" w:cs="Times New Roman"/>
          <w:lang w:val="en-GB"/>
        </w:rPr>
        <w:t>overpredict</w:t>
      </w:r>
      <w:proofErr w:type="spellEnd"/>
      <w:r w:rsidRPr="00BD67ED">
        <w:rPr>
          <w:rFonts w:ascii="Cambria" w:eastAsia="Calibri" w:hAnsi="Cambria" w:cs="Times New Roman"/>
          <w:lang w:val="en-GB"/>
        </w:rPr>
        <w:t xml:space="preserve"> those brand’s loyalty rates.</w:t>
      </w:r>
    </w:p>
    <w:tbl>
      <w:tblPr>
        <w:tblStyle w:val="EinfacheTabelle51"/>
        <w:tblW w:w="0" w:type="auto"/>
        <w:tblLook w:val="04A0" w:firstRow="1" w:lastRow="0" w:firstColumn="1" w:lastColumn="0" w:noHBand="0" w:noVBand="1"/>
      </w:tblPr>
      <w:tblGrid>
        <w:gridCol w:w="2265"/>
        <w:gridCol w:w="2265"/>
        <w:gridCol w:w="2266"/>
        <w:gridCol w:w="2266"/>
      </w:tblGrid>
      <w:tr w:rsidR="00D83829" w:rsidRPr="00BD67ED" w:rsidTr="00D838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Borders>
              <w:bottom w:val="single" w:sz="4" w:space="0" w:color="auto"/>
              <w:right w:val="single" w:sz="4" w:space="0" w:color="auto"/>
            </w:tcBorders>
          </w:tcPr>
          <w:p w:rsidR="00D83829" w:rsidRPr="00BD67ED" w:rsidRDefault="00D83829" w:rsidP="00D83829">
            <w:pPr>
              <w:spacing w:line="276" w:lineRule="auto"/>
              <w:jc w:val="both"/>
              <w:rPr>
                <w:rFonts w:ascii="Cambria" w:eastAsia="Calibri" w:hAnsi="Cambria"/>
                <w:b/>
                <w:sz w:val="18"/>
                <w:szCs w:val="18"/>
                <w:lang w:val="en-GB"/>
              </w:rPr>
            </w:pPr>
            <w:r w:rsidRPr="00BD67ED">
              <w:rPr>
                <w:rFonts w:ascii="Cambria" w:eastAsia="Calibri" w:hAnsi="Cambria"/>
                <w:b/>
                <w:sz w:val="18"/>
                <w:szCs w:val="18"/>
                <w:lang w:val="en-GB"/>
              </w:rPr>
              <w:t>BRANDS</w:t>
            </w:r>
          </w:p>
        </w:tc>
        <w:tc>
          <w:tcPr>
            <w:tcW w:w="2265" w:type="dxa"/>
            <w:tcBorders>
              <w:left w:val="single" w:sz="4" w:space="0" w:color="auto"/>
              <w:bottom w:val="single" w:sz="4" w:space="0" w:color="auto"/>
            </w:tcBorders>
          </w:tcPr>
          <w:p w:rsidR="00D83829" w:rsidRPr="00BD67ED" w:rsidRDefault="00D83829" w:rsidP="00D83829">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sz w:val="18"/>
                <w:szCs w:val="18"/>
                <w:lang w:val="en-GB"/>
              </w:rPr>
            </w:pPr>
            <w:r w:rsidRPr="00BD67ED">
              <w:rPr>
                <w:rFonts w:ascii="Cambria" w:eastAsia="Calibri" w:hAnsi="Cambria"/>
                <w:b/>
                <w:sz w:val="18"/>
                <w:szCs w:val="18"/>
                <w:lang w:val="en-GB"/>
              </w:rPr>
              <w:t>TOTAL</w:t>
            </w:r>
          </w:p>
        </w:tc>
        <w:tc>
          <w:tcPr>
            <w:tcW w:w="2266" w:type="dxa"/>
            <w:tcBorders>
              <w:bottom w:val="single" w:sz="4" w:space="0" w:color="auto"/>
            </w:tcBorders>
          </w:tcPr>
          <w:p w:rsidR="00D83829" w:rsidRPr="00BD67ED" w:rsidRDefault="00D83829" w:rsidP="00D83829">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18"/>
                <w:szCs w:val="18"/>
                <w:lang w:val="en-GB"/>
              </w:rPr>
            </w:pPr>
            <w:r w:rsidRPr="00BD67ED">
              <w:rPr>
                <w:rFonts w:ascii="Cambria" w:eastAsia="Calibri" w:hAnsi="Cambria"/>
                <w:b/>
                <w:sz w:val="18"/>
                <w:szCs w:val="18"/>
                <w:lang w:val="en-GB"/>
              </w:rPr>
              <w:t>ON/ABOVE LINE</w:t>
            </w:r>
          </w:p>
        </w:tc>
        <w:tc>
          <w:tcPr>
            <w:tcW w:w="2266" w:type="dxa"/>
            <w:tcBorders>
              <w:bottom w:val="single" w:sz="4" w:space="0" w:color="auto"/>
            </w:tcBorders>
          </w:tcPr>
          <w:p w:rsidR="00D83829" w:rsidRPr="00BD67ED" w:rsidRDefault="00D83829" w:rsidP="00D83829">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sz w:val="18"/>
                <w:szCs w:val="18"/>
                <w:lang w:val="en-GB"/>
              </w:rPr>
            </w:pPr>
            <w:r w:rsidRPr="00BD67ED">
              <w:rPr>
                <w:rFonts w:ascii="Cambria" w:eastAsia="Calibri" w:hAnsi="Cambria"/>
                <w:b/>
                <w:sz w:val="18"/>
                <w:szCs w:val="18"/>
                <w:lang w:val="en-GB"/>
              </w:rPr>
              <w:t>BELOW LINE</w:t>
            </w:r>
          </w:p>
        </w:tc>
      </w:tr>
      <w:tr w:rsidR="00D83829" w:rsidRPr="00BD67ED" w:rsidTr="00256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right w:val="single" w:sz="4" w:space="0" w:color="auto"/>
            </w:tcBorders>
            <w:shd w:val="clear" w:color="auto" w:fill="auto"/>
          </w:tcPr>
          <w:p w:rsidR="00D83829" w:rsidRPr="00BD67ED" w:rsidRDefault="00D83829" w:rsidP="00D83829">
            <w:pPr>
              <w:spacing w:line="276" w:lineRule="auto"/>
              <w:jc w:val="both"/>
              <w:rPr>
                <w:rFonts w:ascii="Cambria" w:eastAsia="Calibri" w:hAnsi="Cambria"/>
                <w:color w:val="FF0000"/>
                <w:sz w:val="18"/>
                <w:szCs w:val="18"/>
                <w:lang w:val="en-GB"/>
              </w:rPr>
            </w:pPr>
            <w:r w:rsidRPr="00BD67ED">
              <w:rPr>
                <w:rFonts w:ascii="Cambria" w:eastAsia="Calibri" w:hAnsi="Cambria"/>
                <w:color w:val="FF0000"/>
                <w:sz w:val="18"/>
                <w:szCs w:val="18"/>
                <w:lang w:val="en-GB"/>
              </w:rPr>
              <w:t>TOP</w:t>
            </w:r>
            <w:r w:rsidR="004F58D2">
              <w:rPr>
                <w:rFonts w:ascii="Cambria" w:eastAsia="Calibri" w:hAnsi="Cambria"/>
                <w:color w:val="FF0000"/>
                <w:sz w:val="18"/>
                <w:szCs w:val="18"/>
                <w:lang w:val="en-GB"/>
              </w:rPr>
              <w:t xml:space="preserve"> HALF</w:t>
            </w:r>
          </w:p>
        </w:tc>
        <w:tc>
          <w:tcPr>
            <w:tcW w:w="2265" w:type="dxa"/>
            <w:tcBorders>
              <w:top w:val="single" w:sz="4" w:space="0" w:color="auto"/>
              <w:left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214</w:t>
            </w:r>
          </w:p>
        </w:tc>
        <w:tc>
          <w:tcPr>
            <w:tcW w:w="2266" w:type="dxa"/>
            <w:tcBorders>
              <w:top w:val="single" w:sz="4" w:space="0" w:color="auto"/>
            </w:tcBorders>
            <w:shd w:val="clear" w:color="auto" w:fill="auto"/>
          </w:tcPr>
          <w:p w:rsidR="00D83829" w:rsidRPr="00BD67ED" w:rsidRDefault="004F58D2" w:rsidP="000E698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Pr>
                <w:rFonts w:ascii="Cambria" w:eastAsia="Calibri" w:hAnsi="Cambria" w:cs="Times New Roman"/>
                <w:color w:val="FF0000"/>
                <w:sz w:val="18"/>
                <w:szCs w:val="18"/>
                <w:lang w:val="en-GB"/>
              </w:rPr>
              <w:t>66%</w:t>
            </w:r>
          </w:p>
        </w:tc>
        <w:tc>
          <w:tcPr>
            <w:tcW w:w="2266" w:type="dxa"/>
            <w:tcBorders>
              <w:top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34%</w:t>
            </w:r>
          </w:p>
        </w:tc>
      </w:tr>
      <w:tr w:rsidR="00D83829" w:rsidRPr="00BD67ED" w:rsidTr="0025678D">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auto"/>
          </w:tcPr>
          <w:p w:rsidR="00D83829" w:rsidRPr="00BD67ED" w:rsidRDefault="00D83829" w:rsidP="00D83829">
            <w:pPr>
              <w:spacing w:line="276" w:lineRule="auto"/>
              <w:jc w:val="both"/>
              <w:rPr>
                <w:rFonts w:ascii="Cambria" w:eastAsia="Calibri" w:hAnsi="Cambria"/>
                <w:color w:val="2E74B5"/>
                <w:sz w:val="18"/>
                <w:szCs w:val="18"/>
                <w:lang w:val="en-GB"/>
              </w:rPr>
            </w:pPr>
            <w:r w:rsidRPr="00BD67ED">
              <w:rPr>
                <w:rFonts w:ascii="Cambria" w:eastAsia="Calibri" w:hAnsi="Cambria"/>
                <w:color w:val="2E74B5"/>
                <w:sz w:val="18"/>
                <w:szCs w:val="18"/>
                <w:lang w:val="en-GB"/>
              </w:rPr>
              <w:t>BOTTOM</w:t>
            </w:r>
            <w:r w:rsidR="004F58D2">
              <w:rPr>
                <w:rFonts w:ascii="Cambria" w:eastAsia="Calibri" w:hAnsi="Cambria"/>
                <w:color w:val="2E74B5"/>
                <w:sz w:val="18"/>
                <w:szCs w:val="18"/>
                <w:lang w:val="en-GB"/>
              </w:rPr>
              <w:t xml:space="preserve"> HALF</w:t>
            </w:r>
          </w:p>
        </w:tc>
        <w:tc>
          <w:tcPr>
            <w:tcW w:w="2265" w:type="dxa"/>
            <w:tcBorders>
              <w:left w:val="single" w:sz="4" w:space="0" w:color="auto"/>
            </w:tcBorders>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216</w:t>
            </w:r>
          </w:p>
        </w:tc>
        <w:tc>
          <w:tcPr>
            <w:tcW w:w="2266" w:type="dxa"/>
            <w:shd w:val="clear" w:color="auto" w:fill="auto"/>
          </w:tcPr>
          <w:p w:rsidR="00D83829" w:rsidRPr="00BD67ED" w:rsidRDefault="00D83829" w:rsidP="000E698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44%</w:t>
            </w:r>
          </w:p>
        </w:tc>
        <w:tc>
          <w:tcPr>
            <w:tcW w:w="2266" w:type="dxa"/>
            <w:shd w:val="clear" w:color="auto" w:fill="auto"/>
          </w:tcPr>
          <w:p w:rsidR="00D83829" w:rsidRPr="00BD67ED" w:rsidRDefault="004F58D2"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r>
              <w:rPr>
                <w:rFonts w:ascii="Cambria" w:eastAsia="Calibri" w:hAnsi="Cambria" w:cs="Times New Roman"/>
                <w:color w:val="2E74B5"/>
                <w:sz w:val="18"/>
                <w:szCs w:val="18"/>
                <w:lang w:val="en-GB"/>
              </w:rPr>
              <w:t>56%</w:t>
            </w:r>
          </w:p>
        </w:tc>
      </w:tr>
      <w:tr w:rsidR="00D83829" w:rsidRPr="00BD67ED" w:rsidTr="00256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auto"/>
          </w:tcPr>
          <w:p w:rsidR="00D83829" w:rsidRPr="00BD67ED" w:rsidRDefault="00D83829" w:rsidP="00D83829">
            <w:pPr>
              <w:spacing w:line="276" w:lineRule="auto"/>
              <w:jc w:val="both"/>
              <w:rPr>
                <w:rFonts w:ascii="Cambria" w:eastAsia="Calibri" w:hAnsi="Cambria"/>
                <w:color w:val="2E74B5"/>
                <w:sz w:val="18"/>
                <w:szCs w:val="18"/>
                <w:lang w:val="en-GB"/>
              </w:rPr>
            </w:pPr>
          </w:p>
        </w:tc>
        <w:tc>
          <w:tcPr>
            <w:tcW w:w="2265" w:type="dxa"/>
            <w:tcBorders>
              <w:left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p>
        </w:tc>
        <w:tc>
          <w:tcPr>
            <w:tcW w:w="2266" w:type="dxa"/>
            <w:shd w:val="clear" w:color="auto" w:fill="auto"/>
          </w:tcPr>
          <w:p w:rsidR="00D83829" w:rsidRPr="00BD67ED" w:rsidRDefault="00D83829" w:rsidP="000E698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p>
        </w:tc>
        <w:tc>
          <w:tcPr>
            <w:tcW w:w="2266" w:type="dxa"/>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p>
        </w:tc>
      </w:tr>
      <w:tr w:rsidR="00D83829" w:rsidRPr="00BD67ED" w:rsidTr="0025678D">
        <w:tc>
          <w:tcPr>
            <w:cnfStyle w:val="001000000000" w:firstRow="0" w:lastRow="0" w:firstColumn="1" w:lastColumn="0" w:oddVBand="0" w:evenVBand="0" w:oddHBand="0" w:evenHBand="0" w:firstRowFirstColumn="0" w:firstRowLastColumn="0" w:lastRowFirstColumn="0" w:lastRowLastColumn="0"/>
            <w:tcW w:w="2265" w:type="dxa"/>
            <w:tcBorders>
              <w:bottom w:val="single" w:sz="4" w:space="0" w:color="auto"/>
              <w:right w:val="single" w:sz="4" w:space="0" w:color="auto"/>
            </w:tcBorders>
            <w:shd w:val="clear" w:color="auto" w:fill="auto"/>
          </w:tcPr>
          <w:p w:rsidR="00D83829" w:rsidRPr="00BD67ED" w:rsidRDefault="00D83829" w:rsidP="00D83829">
            <w:pPr>
              <w:spacing w:line="276" w:lineRule="auto"/>
              <w:jc w:val="both"/>
              <w:rPr>
                <w:rFonts w:ascii="Cambria" w:eastAsia="Calibri" w:hAnsi="Cambria"/>
                <w:b/>
                <w:sz w:val="18"/>
                <w:szCs w:val="18"/>
                <w:lang w:val="en-GB"/>
              </w:rPr>
            </w:pPr>
            <w:r w:rsidRPr="00BD67ED">
              <w:rPr>
                <w:rFonts w:ascii="Cambria" w:eastAsia="Calibri" w:hAnsi="Cambria"/>
                <w:b/>
                <w:sz w:val="18"/>
                <w:szCs w:val="18"/>
                <w:lang w:val="en-GB"/>
              </w:rPr>
              <w:t>TOTAL</w:t>
            </w:r>
          </w:p>
        </w:tc>
        <w:tc>
          <w:tcPr>
            <w:tcW w:w="2265" w:type="dxa"/>
            <w:tcBorders>
              <w:left w:val="single" w:sz="4" w:space="0" w:color="auto"/>
              <w:bottom w:val="single" w:sz="4" w:space="0" w:color="auto"/>
            </w:tcBorders>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lang w:val="en-GB"/>
              </w:rPr>
            </w:pPr>
            <w:r w:rsidRPr="00BD67ED">
              <w:rPr>
                <w:rFonts w:ascii="Cambria" w:eastAsia="Calibri" w:hAnsi="Cambria" w:cs="Times New Roman"/>
                <w:sz w:val="18"/>
                <w:szCs w:val="18"/>
                <w:lang w:val="en-GB"/>
              </w:rPr>
              <w:t>430</w:t>
            </w:r>
          </w:p>
        </w:tc>
        <w:tc>
          <w:tcPr>
            <w:tcW w:w="2266" w:type="dxa"/>
            <w:tcBorders>
              <w:bottom w:val="single" w:sz="4" w:space="0" w:color="auto"/>
            </w:tcBorders>
            <w:shd w:val="clear" w:color="auto" w:fill="auto"/>
          </w:tcPr>
          <w:p w:rsidR="00D83829" w:rsidRPr="00BD67ED" w:rsidRDefault="00D83829" w:rsidP="000E698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lang w:val="en-GB"/>
              </w:rPr>
            </w:pPr>
            <w:r w:rsidRPr="00BD67ED">
              <w:rPr>
                <w:rFonts w:ascii="Cambria" w:eastAsia="Calibri" w:hAnsi="Cambria" w:cs="Times New Roman"/>
                <w:sz w:val="18"/>
                <w:szCs w:val="18"/>
                <w:lang w:val="en-GB"/>
              </w:rPr>
              <w:t>55%</w:t>
            </w:r>
          </w:p>
        </w:tc>
        <w:tc>
          <w:tcPr>
            <w:tcW w:w="2266" w:type="dxa"/>
            <w:tcBorders>
              <w:bottom w:val="single" w:sz="4" w:space="0" w:color="auto"/>
            </w:tcBorders>
            <w:shd w:val="clear" w:color="auto" w:fill="auto"/>
          </w:tcPr>
          <w:p w:rsidR="00D83829" w:rsidRPr="00BD67ED" w:rsidRDefault="004F58D2"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lang w:val="en-GB"/>
              </w:rPr>
            </w:pPr>
            <w:r>
              <w:rPr>
                <w:rFonts w:ascii="Cambria" w:eastAsia="Calibri" w:hAnsi="Cambria" w:cs="Times New Roman"/>
                <w:sz w:val="18"/>
                <w:szCs w:val="18"/>
                <w:lang w:val="en-GB"/>
              </w:rPr>
              <w:t>4</w:t>
            </w:r>
            <w:r w:rsidR="00D83829" w:rsidRPr="00BD67ED">
              <w:rPr>
                <w:rFonts w:ascii="Cambria" w:eastAsia="Calibri" w:hAnsi="Cambria" w:cs="Times New Roman"/>
                <w:sz w:val="18"/>
                <w:szCs w:val="18"/>
                <w:lang w:val="en-GB"/>
              </w:rPr>
              <w:t>5%</w:t>
            </w:r>
          </w:p>
        </w:tc>
      </w:tr>
    </w:tbl>
    <w:p w:rsidR="00D83829" w:rsidRPr="00BD67ED" w:rsidRDefault="00D83829" w:rsidP="00D83829">
      <w:pPr>
        <w:spacing w:after="200" w:line="360" w:lineRule="auto"/>
        <w:jc w:val="both"/>
        <w:rPr>
          <w:rFonts w:ascii="Cambria" w:eastAsia="Calibri" w:hAnsi="Cambria" w:cs="Times New Roman"/>
          <w:i/>
          <w:iCs/>
          <w:color w:val="44546A"/>
          <w:sz w:val="18"/>
          <w:szCs w:val="18"/>
          <w:lang w:val="en-GB"/>
        </w:rPr>
      </w:pPr>
      <w:bookmarkStart w:id="10" w:name="_Ref472333935"/>
      <w:bookmarkStart w:id="11" w:name="_Toc473750126"/>
      <w:r w:rsidRPr="00BD67ED">
        <w:rPr>
          <w:rFonts w:ascii="Cambria" w:eastAsia="Calibri" w:hAnsi="Cambria" w:cs="Times New Roman"/>
          <w:i/>
          <w:iCs/>
          <w:color w:val="2E74B5"/>
          <w:sz w:val="18"/>
          <w:szCs w:val="18"/>
          <w:lang w:val="en-GB"/>
        </w:rPr>
        <w:t xml:space="preserve">Table </w:t>
      </w:r>
      <w:r w:rsidRPr="00BD67ED">
        <w:rPr>
          <w:rFonts w:ascii="Cambria" w:eastAsia="Calibri" w:hAnsi="Cambria" w:cs="Times New Roman"/>
          <w:i/>
          <w:iCs/>
          <w:color w:val="2E74B5"/>
          <w:sz w:val="18"/>
          <w:szCs w:val="18"/>
          <w:lang w:val="en-GB"/>
        </w:rPr>
        <w:fldChar w:fldCharType="begin"/>
      </w:r>
      <w:r w:rsidRPr="00BD67ED">
        <w:rPr>
          <w:rFonts w:ascii="Cambria" w:eastAsia="Calibri" w:hAnsi="Cambria" w:cs="Times New Roman"/>
          <w:i/>
          <w:iCs/>
          <w:color w:val="2E74B5"/>
          <w:sz w:val="18"/>
          <w:szCs w:val="18"/>
          <w:lang w:val="en-GB"/>
        </w:rPr>
        <w:instrText xml:space="preserve"> SEQ Table \* ARABIC </w:instrText>
      </w:r>
      <w:r w:rsidRPr="00BD67ED">
        <w:rPr>
          <w:rFonts w:ascii="Cambria" w:eastAsia="Calibri" w:hAnsi="Cambria" w:cs="Times New Roman"/>
          <w:i/>
          <w:iCs/>
          <w:color w:val="2E74B5"/>
          <w:sz w:val="18"/>
          <w:szCs w:val="18"/>
          <w:lang w:val="en-GB"/>
        </w:rPr>
        <w:fldChar w:fldCharType="separate"/>
      </w:r>
      <w:r w:rsidR="00540B69" w:rsidRPr="00BD67ED">
        <w:rPr>
          <w:rFonts w:ascii="Cambria" w:eastAsia="Calibri" w:hAnsi="Cambria" w:cs="Times New Roman"/>
          <w:i/>
          <w:iCs/>
          <w:noProof/>
          <w:color w:val="2E74B5"/>
          <w:sz w:val="18"/>
          <w:szCs w:val="18"/>
          <w:lang w:val="en-GB"/>
        </w:rPr>
        <w:t>2</w:t>
      </w:r>
      <w:r w:rsidRPr="00BD67ED">
        <w:rPr>
          <w:rFonts w:ascii="Cambria" w:eastAsia="Calibri" w:hAnsi="Cambria" w:cs="Times New Roman"/>
          <w:i/>
          <w:iCs/>
          <w:color w:val="2E74B5"/>
          <w:sz w:val="18"/>
          <w:szCs w:val="18"/>
          <w:lang w:val="en-GB"/>
        </w:rPr>
        <w:fldChar w:fldCharType="end"/>
      </w:r>
      <w:bookmarkEnd w:id="10"/>
      <w:r w:rsidRPr="00BD67ED">
        <w:rPr>
          <w:rFonts w:ascii="Cambria" w:eastAsia="Calibri" w:hAnsi="Cambria" w:cs="Times New Roman"/>
          <w:i/>
          <w:iCs/>
          <w:color w:val="2E74B5"/>
          <w:sz w:val="18"/>
          <w:szCs w:val="18"/>
          <w:lang w:val="en-GB"/>
        </w:rPr>
        <w:t xml:space="preserve">: </w:t>
      </w:r>
      <w:r w:rsidRPr="00BD67ED">
        <w:rPr>
          <w:rFonts w:ascii="Cambria" w:eastAsia="Calibri" w:hAnsi="Cambria" w:cs="Times New Roman"/>
          <w:i/>
          <w:iCs/>
          <w:sz w:val="18"/>
          <w:szCs w:val="18"/>
          <w:lang w:val="en-GB"/>
        </w:rPr>
        <w:t>Deviations from the law of Double Jeopardy</w:t>
      </w:r>
      <w:bookmarkEnd w:id="11"/>
    </w:p>
    <w:p w:rsidR="00D83829" w:rsidRPr="00BD67ED" w:rsidRDefault="00D83829" w:rsidP="00D5212F">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Looking at the </w:t>
      </w:r>
      <w:r w:rsidR="000E6980">
        <w:rPr>
          <w:rFonts w:ascii="Cambria" w:eastAsia="Calibri" w:hAnsi="Cambria" w:cs="Times New Roman"/>
          <w:lang w:val="en-GB"/>
        </w:rPr>
        <w:t xml:space="preserve">extent of deviations of observed from </w:t>
      </w:r>
      <w:r w:rsidRPr="00BD67ED">
        <w:rPr>
          <w:rFonts w:ascii="Cambria" w:eastAsia="Calibri" w:hAnsi="Cambria" w:cs="Times New Roman"/>
          <w:lang w:val="en-GB"/>
        </w:rPr>
        <w:t xml:space="preserve">theoretical </w:t>
      </w:r>
      <w:r w:rsidR="00304709">
        <w:rPr>
          <w:rFonts w:ascii="Cambria" w:eastAsia="Calibri" w:hAnsi="Cambria" w:cs="Times New Roman"/>
          <w:lang w:val="en-GB"/>
        </w:rPr>
        <w:t>loyalty</w:t>
      </w:r>
      <w:r w:rsidRPr="00BD67ED">
        <w:rPr>
          <w:rFonts w:ascii="Cambria" w:eastAsia="Calibri" w:hAnsi="Cambria" w:cs="Times New Roman"/>
          <w:lang w:val="en-GB"/>
        </w:rPr>
        <w:t xml:space="preserve"> figures, </w:t>
      </w:r>
      <w:r w:rsidRPr="00BD67ED">
        <w:rPr>
          <w:rFonts w:ascii="Cambria" w:eastAsia="Calibri" w:hAnsi="Cambria" w:cs="Times New Roman"/>
          <w:lang w:val="en-GB"/>
        </w:rPr>
        <w:fldChar w:fldCharType="begin"/>
      </w:r>
      <w:r w:rsidRPr="00BD67ED">
        <w:rPr>
          <w:rFonts w:ascii="Cambria" w:eastAsia="Calibri" w:hAnsi="Cambria" w:cs="Times New Roman"/>
          <w:lang w:val="en-GB"/>
        </w:rPr>
        <w:instrText xml:space="preserve"> REF _Ref472332757 \h  \* MERGEFORMAT </w:instrText>
      </w:r>
      <w:r w:rsidRPr="00BD67ED">
        <w:rPr>
          <w:rFonts w:ascii="Cambria" w:eastAsia="Calibri" w:hAnsi="Cambria" w:cs="Times New Roman"/>
          <w:lang w:val="en-GB"/>
        </w:rPr>
      </w:r>
      <w:r w:rsidRPr="00BD67ED">
        <w:rPr>
          <w:rFonts w:ascii="Cambria" w:eastAsia="Calibri" w:hAnsi="Cambria" w:cs="Times New Roman"/>
          <w:lang w:val="en-GB"/>
        </w:rPr>
        <w:fldChar w:fldCharType="separate"/>
      </w:r>
      <w:r w:rsidR="00540B69" w:rsidRPr="00BD67ED">
        <w:rPr>
          <w:rFonts w:ascii="Cambria" w:eastAsia="Calibri" w:hAnsi="Cambria" w:cs="Times New Roman"/>
          <w:color w:val="2E74B5"/>
          <w:lang w:val="en-GB"/>
        </w:rPr>
        <w:t xml:space="preserve">Table </w:t>
      </w:r>
      <w:r w:rsidR="00540B69" w:rsidRPr="00BD67ED">
        <w:rPr>
          <w:rFonts w:ascii="Cambria" w:eastAsia="Calibri" w:hAnsi="Cambria" w:cs="Times New Roman"/>
          <w:noProof/>
          <w:color w:val="2E74B5"/>
          <w:lang w:val="en-GB"/>
        </w:rPr>
        <w:t>3</w:t>
      </w:r>
      <w:r w:rsidRPr="00BD67ED">
        <w:rPr>
          <w:rFonts w:ascii="Cambria" w:eastAsia="Calibri" w:hAnsi="Cambria" w:cs="Times New Roman"/>
          <w:lang w:val="en-GB"/>
        </w:rPr>
        <w:fldChar w:fldCharType="end"/>
      </w:r>
      <w:r w:rsidRPr="00BD67ED">
        <w:rPr>
          <w:rFonts w:ascii="Cambria" w:eastAsia="Calibri" w:hAnsi="Cambria" w:cs="Times New Roman"/>
          <w:lang w:val="en-GB"/>
        </w:rPr>
        <w:t xml:space="preserve"> </w:t>
      </w:r>
      <w:r w:rsidR="000E6980">
        <w:rPr>
          <w:rFonts w:ascii="Cambria" w:eastAsia="Calibri" w:hAnsi="Cambria" w:cs="Times New Roman"/>
          <w:lang w:val="en-GB"/>
        </w:rPr>
        <w:t>show</w:t>
      </w:r>
      <w:r w:rsidRPr="00BD67ED">
        <w:rPr>
          <w:rFonts w:ascii="Cambria" w:eastAsia="Calibri" w:hAnsi="Cambria" w:cs="Times New Roman"/>
          <w:lang w:val="en-GB"/>
        </w:rPr>
        <w:t>s</w:t>
      </w:r>
      <w:r w:rsidR="000E6980">
        <w:rPr>
          <w:rFonts w:ascii="Cambria" w:eastAsia="Calibri" w:hAnsi="Cambria" w:cs="Times New Roman"/>
          <w:lang w:val="en-GB"/>
        </w:rPr>
        <w:t xml:space="preserve"> that</w:t>
      </w:r>
      <w:r w:rsidRPr="00BD67ED">
        <w:rPr>
          <w:rFonts w:ascii="Cambria" w:eastAsia="Calibri" w:hAnsi="Cambria" w:cs="Times New Roman"/>
          <w:lang w:val="en-GB"/>
        </w:rPr>
        <w:t xml:space="preserve"> </w:t>
      </w:r>
      <w:r w:rsidR="003B73A2">
        <w:rPr>
          <w:rFonts w:ascii="Cambria" w:eastAsia="Calibri" w:hAnsi="Cambria" w:cs="Times New Roman"/>
          <w:lang w:val="en-GB"/>
        </w:rPr>
        <w:t>of the large brands that</w:t>
      </w:r>
      <w:r w:rsidR="00373327">
        <w:rPr>
          <w:rFonts w:ascii="Cambria" w:eastAsia="Calibri" w:hAnsi="Cambria" w:cs="Times New Roman"/>
          <w:lang w:val="en-GB"/>
        </w:rPr>
        <w:t xml:space="preserve"> </w:t>
      </w:r>
      <w:r w:rsidR="00540B69" w:rsidRPr="00BD67ED">
        <w:rPr>
          <w:rFonts w:ascii="Cambria" w:eastAsia="Calibri" w:hAnsi="Cambria" w:cs="Times New Roman"/>
          <w:lang w:val="en-GB"/>
        </w:rPr>
        <w:t>are abov</w:t>
      </w:r>
      <w:r w:rsidR="00F34280" w:rsidRPr="00BD67ED">
        <w:rPr>
          <w:rFonts w:ascii="Cambria" w:eastAsia="Calibri" w:hAnsi="Cambria" w:cs="Times New Roman"/>
          <w:lang w:val="en-GB"/>
        </w:rPr>
        <w:t xml:space="preserve">e the line; </w:t>
      </w:r>
      <w:r w:rsidR="00D5212F" w:rsidRPr="00BD67ED">
        <w:rPr>
          <w:rFonts w:ascii="Cambria" w:eastAsia="Calibri" w:hAnsi="Cambria" w:cs="Times New Roman"/>
          <w:lang w:val="en-GB"/>
        </w:rPr>
        <w:t>35</w:t>
      </w:r>
      <w:r w:rsidR="003B73A2">
        <w:rPr>
          <w:rFonts w:ascii="Cambria" w:eastAsia="Calibri" w:hAnsi="Cambria" w:cs="Times New Roman"/>
          <w:lang w:val="en-GB"/>
        </w:rPr>
        <w:t>% have</w:t>
      </w:r>
      <w:r w:rsidR="00F34280" w:rsidRPr="00BD67ED">
        <w:rPr>
          <w:rFonts w:ascii="Cambria" w:eastAsia="Calibri" w:hAnsi="Cambria" w:cs="Times New Roman"/>
          <w:lang w:val="en-GB"/>
        </w:rPr>
        <w:t xml:space="preserve"> greater </w:t>
      </w:r>
      <w:r w:rsidR="001923B3" w:rsidRPr="00BD67ED">
        <w:rPr>
          <w:rFonts w:ascii="Cambria" w:eastAsia="Calibri" w:hAnsi="Cambria" w:cs="Times New Roman"/>
          <w:lang w:val="en-GB"/>
        </w:rPr>
        <w:t xml:space="preserve">than 10% </w:t>
      </w:r>
      <w:r w:rsidR="003B73A2">
        <w:rPr>
          <w:rFonts w:ascii="Cambria" w:eastAsia="Calibri" w:hAnsi="Cambria" w:cs="Times New Roman"/>
          <w:lang w:val="en-GB"/>
        </w:rPr>
        <w:t>positive variance</w:t>
      </w:r>
      <w:r w:rsidR="00373327">
        <w:rPr>
          <w:rFonts w:ascii="Cambria" w:eastAsia="Calibri" w:hAnsi="Cambria" w:cs="Times New Roman"/>
          <w:lang w:val="en-GB"/>
        </w:rPr>
        <w:t xml:space="preserve"> (excess loyalty)</w:t>
      </w:r>
      <w:r w:rsidR="00F34280" w:rsidRPr="00BD67ED">
        <w:rPr>
          <w:rFonts w:ascii="Cambria" w:eastAsia="Calibri" w:hAnsi="Cambria" w:cs="Times New Roman"/>
          <w:lang w:val="en-GB"/>
        </w:rPr>
        <w:t xml:space="preserve">. </w:t>
      </w:r>
      <w:r w:rsidR="003B73A2">
        <w:rPr>
          <w:rFonts w:ascii="Cambria" w:eastAsia="Calibri" w:hAnsi="Cambria" w:cs="Times New Roman"/>
          <w:lang w:val="en-GB"/>
        </w:rPr>
        <w:t>Conversely</w:t>
      </w:r>
      <w:r w:rsidR="00F34280" w:rsidRPr="00BD67ED">
        <w:rPr>
          <w:rFonts w:ascii="Cambria" w:eastAsia="Calibri" w:hAnsi="Cambria" w:cs="Times New Roman"/>
          <w:lang w:val="en-GB"/>
        </w:rPr>
        <w:t xml:space="preserve">, </w:t>
      </w:r>
      <w:r w:rsidR="003B73A2">
        <w:rPr>
          <w:rFonts w:ascii="Cambria" w:eastAsia="Calibri" w:hAnsi="Cambria" w:cs="Times New Roman"/>
          <w:lang w:val="en-GB"/>
        </w:rPr>
        <w:t xml:space="preserve">nearly half of </w:t>
      </w:r>
      <w:r w:rsidR="00F34280" w:rsidRPr="00BD67ED">
        <w:rPr>
          <w:rFonts w:ascii="Cambria" w:eastAsia="Calibri" w:hAnsi="Cambria" w:cs="Times New Roman"/>
          <w:lang w:val="en-GB"/>
        </w:rPr>
        <w:t xml:space="preserve">low share brands </w:t>
      </w:r>
      <w:r w:rsidR="003B73A2">
        <w:rPr>
          <w:rFonts w:ascii="Cambria" w:eastAsia="Calibri" w:hAnsi="Cambria" w:cs="Times New Roman"/>
          <w:lang w:val="en-GB"/>
        </w:rPr>
        <w:t>below the line have a negative deviation of 10% or more (a loyalty deficit)</w:t>
      </w:r>
      <w:r w:rsidR="00D5212F" w:rsidRPr="00BD67ED">
        <w:rPr>
          <w:rFonts w:ascii="Cambria" w:eastAsia="Calibri" w:hAnsi="Cambria" w:cs="Times New Roman"/>
          <w:lang w:val="en-GB"/>
        </w:rPr>
        <w:t>.</w:t>
      </w:r>
    </w:p>
    <w:tbl>
      <w:tblPr>
        <w:tblStyle w:val="EinfacheTabelle51"/>
        <w:tblW w:w="9072" w:type="dxa"/>
        <w:tblLook w:val="04A0" w:firstRow="1" w:lastRow="0" w:firstColumn="1" w:lastColumn="0" w:noHBand="0" w:noVBand="1"/>
      </w:tblPr>
      <w:tblGrid>
        <w:gridCol w:w="1418"/>
        <w:gridCol w:w="1417"/>
        <w:gridCol w:w="1985"/>
        <w:gridCol w:w="1708"/>
        <w:gridCol w:w="1311"/>
        <w:gridCol w:w="1233"/>
      </w:tblGrid>
      <w:tr w:rsidR="00F34280" w:rsidRPr="00BD67ED" w:rsidTr="00F342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gridSpan w:val="2"/>
            <w:tcBorders>
              <w:bottom w:val="single" w:sz="4" w:space="0" w:color="auto"/>
              <w:right w:val="single" w:sz="4" w:space="0" w:color="auto"/>
            </w:tcBorders>
            <w:shd w:val="clear" w:color="auto" w:fill="auto"/>
          </w:tcPr>
          <w:p w:rsidR="00D83829" w:rsidRPr="00BD67ED" w:rsidRDefault="00D83829" w:rsidP="00D83829">
            <w:pPr>
              <w:spacing w:line="276" w:lineRule="auto"/>
              <w:rPr>
                <w:rFonts w:ascii="Cambria" w:eastAsia="Calibri" w:hAnsi="Cambria"/>
                <w:b/>
                <w:color w:val="FF0000"/>
                <w:sz w:val="18"/>
                <w:szCs w:val="18"/>
                <w:lang w:val="en-GB"/>
              </w:rPr>
            </w:pPr>
            <w:r w:rsidRPr="00BD67ED">
              <w:rPr>
                <w:rFonts w:ascii="Cambria" w:eastAsia="Calibri" w:hAnsi="Cambria"/>
                <w:b/>
                <w:sz w:val="18"/>
                <w:szCs w:val="18"/>
                <w:lang w:val="en-GB"/>
              </w:rPr>
              <w:t>VARIANCE LEVEL</w:t>
            </w:r>
          </w:p>
        </w:tc>
        <w:tc>
          <w:tcPr>
            <w:tcW w:w="3693" w:type="dxa"/>
            <w:gridSpan w:val="2"/>
            <w:tcBorders>
              <w:left w:val="single" w:sz="4" w:space="0" w:color="auto"/>
              <w:bottom w:val="single" w:sz="4" w:space="0" w:color="auto"/>
            </w:tcBorders>
            <w:shd w:val="clear" w:color="auto" w:fill="auto"/>
          </w:tcPr>
          <w:p w:rsidR="00D83829" w:rsidRPr="00BD67ED" w:rsidRDefault="000E6980" w:rsidP="00D83829">
            <w:pPr>
              <w:spacing w:line="276" w:lineRule="auto"/>
              <w:cnfStyle w:val="100000000000" w:firstRow="1" w:lastRow="0" w:firstColumn="0" w:lastColumn="0" w:oddVBand="0" w:evenVBand="0" w:oddHBand="0" w:evenHBand="0" w:firstRowFirstColumn="0" w:firstRowLastColumn="0" w:lastRowFirstColumn="0" w:lastRowLastColumn="0"/>
              <w:rPr>
                <w:rFonts w:ascii="Cambria" w:eastAsia="Calibri" w:hAnsi="Cambria"/>
                <w:b/>
                <w:color w:val="FF0000"/>
                <w:sz w:val="18"/>
                <w:szCs w:val="18"/>
                <w:lang w:val="en-GB"/>
              </w:rPr>
            </w:pPr>
            <w:r>
              <w:rPr>
                <w:rFonts w:ascii="Cambria" w:eastAsia="Calibri" w:hAnsi="Cambria"/>
                <w:b/>
                <w:color w:val="FF0000"/>
                <w:sz w:val="18"/>
                <w:szCs w:val="18"/>
                <w:lang w:val="en-GB"/>
              </w:rPr>
              <w:t xml:space="preserve">         </w:t>
            </w:r>
            <w:r w:rsidR="00D83829" w:rsidRPr="00BD67ED">
              <w:rPr>
                <w:rFonts w:ascii="Cambria" w:eastAsia="Calibri" w:hAnsi="Cambria"/>
                <w:b/>
                <w:color w:val="FF0000"/>
                <w:sz w:val="18"/>
                <w:szCs w:val="18"/>
                <w:lang w:val="en-GB"/>
              </w:rPr>
              <w:t xml:space="preserve">TOP HALF </w:t>
            </w:r>
            <w:r w:rsidR="00540B69" w:rsidRPr="00BD67ED">
              <w:rPr>
                <w:rFonts w:ascii="Cambria" w:eastAsia="Calibri" w:hAnsi="Cambria"/>
                <w:b/>
                <w:color w:val="FF0000"/>
                <w:sz w:val="18"/>
                <w:szCs w:val="18"/>
                <w:lang w:val="en-GB"/>
              </w:rPr>
              <w:t>(%)</w:t>
            </w:r>
          </w:p>
        </w:tc>
        <w:tc>
          <w:tcPr>
            <w:tcW w:w="2544" w:type="dxa"/>
            <w:gridSpan w:val="2"/>
            <w:tcBorders>
              <w:bottom w:val="single" w:sz="4" w:space="0" w:color="auto"/>
            </w:tcBorders>
            <w:shd w:val="clear" w:color="auto" w:fill="auto"/>
          </w:tcPr>
          <w:p w:rsidR="00D83829" w:rsidRPr="00BD67ED" w:rsidRDefault="00D83829" w:rsidP="00D83829">
            <w:pPr>
              <w:spacing w:line="276" w:lineRule="auto"/>
              <w:cnfStyle w:val="100000000000" w:firstRow="1" w:lastRow="0" w:firstColumn="0" w:lastColumn="0" w:oddVBand="0" w:evenVBand="0" w:oddHBand="0" w:evenHBand="0" w:firstRowFirstColumn="0" w:firstRowLastColumn="0" w:lastRowFirstColumn="0" w:lastRowLastColumn="0"/>
              <w:rPr>
                <w:rFonts w:ascii="Cambria" w:eastAsia="Calibri" w:hAnsi="Cambria"/>
                <w:b/>
                <w:color w:val="2E74B5"/>
                <w:sz w:val="18"/>
                <w:szCs w:val="18"/>
                <w:lang w:val="en-GB"/>
              </w:rPr>
            </w:pPr>
            <w:r w:rsidRPr="00BD67ED">
              <w:rPr>
                <w:rFonts w:ascii="Cambria" w:eastAsia="Calibri" w:hAnsi="Cambria"/>
                <w:b/>
                <w:color w:val="2E74B5"/>
                <w:sz w:val="18"/>
                <w:szCs w:val="18"/>
                <w:lang w:val="en-GB"/>
              </w:rPr>
              <w:t>BOTTOM HALF</w:t>
            </w:r>
            <w:r w:rsidR="00E502E2">
              <w:rPr>
                <w:rFonts w:ascii="Cambria" w:eastAsia="Calibri" w:hAnsi="Cambria"/>
                <w:b/>
                <w:color w:val="2E74B5"/>
                <w:sz w:val="18"/>
                <w:szCs w:val="18"/>
                <w:lang w:val="en-GB"/>
              </w:rPr>
              <w:t xml:space="preserve"> (%)</w:t>
            </w:r>
          </w:p>
        </w:tc>
      </w:tr>
      <w:tr w:rsidR="000E6980" w:rsidRPr="00BD67ED" w:rsidTr="000E6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E6980" w:rsidRPr="00BD67ED" w:rsidRDefault="000E6980" w:rsidP="000E6980">
            <w:pPr>
              <w:spacing w:line="276" w:lineRule="auto"/>
              <w:jc w:val="both"/>
              <w:rPr>
                <w:rFonts w:ascii="Cambria" w:eastAsia="Calibri" w:hAnsi="Cambria"/>
                <w:sz w:val="18"/>
                <w:szCs w:val="18"/>
                <w:lang w:val="en-GB"/>
              </w:rPr>
            </w:pPr>
            <w:r w:rsidRPr="00BD67ED">
              <w:rPr>
                <w:rFonts w:ascii="Cambria" w:eastAsia="Calibri" w:hAnsi="Cambria"/>
                <w:sz w:val="18"/>
                <w:szCs w:val="18"/>
                <w:lang w:val="en-GB"/>
              </w:rPr>
              <w:t xml:space="preserve">Positive small </w:t>
            </w:r>
          </w:p>
        </w:tc>
        <w:tc>
          <w:tcPr>
            <w:tcW w:w="1417" w:type="dxa"/>
            <w:tcBorders>
              <w:right w:val="single" w:sz="4" w:space="0" w:color="auto"/>
            </w:tcBorders>
            <w:shd w:val="clear" w:color="auto" w:fill="auto"/>
          </w:tcPr>
          <w:p w:rsidR="000E6980" w:rsidRPr="00BD67ED" w:rsidRDefault="000E6980" w:rsidP="000E6980">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sz w:val="18"/>
                <w:szCs w:val="18"/>
                <w:lang w:val="en-GB"/>
              </w:rPr>
              <w:t>(&lt;10%)</w:t>
            </w:r>
          </w:p>
        </w:tc>
        <w:tc>
          <w:tcPr>
            <w:tcW w:w="1985" w:type="dxa"/>
            <w:tcBorders>
              <w:left w:val="single" w:sz="4" w:space="0" w:color="auto"/>
            </w:tcBorders>
            <w:shd w:val="clear" w:color="auto" w:fill="auto"/>
          </w:tcPr>
          <w:p w:rsidR="000E6980" w:rsidRPr="00BD67ED" w:rsidRDefault="000E6980" w:rsidP="000E698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29</w:t>
            </w:r>
          </w:p>
        </w:tc>
        <w:tc>
          <w:tcPr>
            <w:tcW w:w="1708" w:type="dxa"/>
            <w:vMerge w:val="restart"/>
            <w:shd w:val="clear" w:color="auto" w:fill="auto"/>
          </w:tcPr>
          <w:p w:rsidR="000E6980" w:rsidRPr="00BD67ED" w:rsidRDefault="000E6980" w:rsidP="000E6980">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p>
        </w:tc>
        <w:tc>
          <w:tcPr>
            <w:tcW w:w="1311" w:type="dxa"/>
            <w:shd w:val="clear" w:color="auto" w:fill="auto"/>
          </w:tcPr>
          <w:p w:rsidR="000E6980" w:rsidRPr="00BD67ED" w:rsidRDefault="000E6980" w:rsidP="000E698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16</w:t>
            </w:r>
          </w:p>
        </w:tc>
        <w:tc>
          <w:tcPr>
            <w:tcW w:w="1233" w:type="dxa"/>
            <w:vMerge w:val="restart"/>
            <w:shd w:val="clear" w:color="auto" w:fill="auto"/>
          </w:tcPr>
          <w:p w:rsidR="000E6980" w:rsidRPr="00BD67ED" w:rsidRDefault="000E6980" w:rsidP="000E6980">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p>
        </w:tc>
      </w:tr>
      <w:tr w:rsidR="000E6980" w:rsidRPr="00BD67ED" w:rsidTr="000E6980">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E6980" w:rsidRPr="00BD67ED" w:rsidRDefault="000E6980" w:rsidP="000E6980">
            <w:pPr>
              <w:spacing w:line="276" w:lineRule="auto"/>
              <w:jc w:val="both"/>
              <w:rPr>
                <w:rFonts w:ascii="Cambria" w:eastAsia="Calibri" w:hAnsi="Cambria"/>
                <w:sz w:val="18"/>
                <w:szCs w:val="18"/>
                <w:lang w:val="en-GB"/>
              </w:rPr>
            </w:pPr>
            <w:r w:rsidRPr="00BD67ED">
              <w:rPr>
                <w:rFonts w:ascii="Cambria" w:eastAsia="Calibri" w:hAnsi="Cambria"/>
                <w:sz w:val="18"/>
                <w:szCs w:val="18"/>
                <w:lang w:val="en-GB"/>
              </w:rPr>
              <w:t xml:space="preserve">Positive large </w:t>
            </w:r>
          </w:p>
        </w:tc>
        <w:tc>
          <w:tcPr>
            <w:tcW w:w="1417" w:type="dxa"/>
            <w:tcBorders>
              <w:right w:val="single" w:sz="4" w:space="0" w:color="auto"/>
            </w:tcBorders>
            <w:shd w:val="clear" w:color="auto" w:fill="auto"/>
          </w:tcPr>
          <w:p w:rsidR="000E6980" w:rsidRPr="00BD67ED" w:rsidRDefault="000E6980" w:rsidP="000E6980">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sz w:val="18"/>
                <w:szCs w:val="18"/>
                <w:lang w:val="en-GB"/>
              </w:rPr>
              <w:t>(&gt;10%)</w:t>
            </w:r>
          </w:p>
        </w:tc>
        <w:tc>
          <w:tcPr>
            <w:tcW w:w="1985" w:type="dxa"/>
            <w:tcBorders>
              <w:left w:val="single" w:sz="4" w:space="0" w:color="auto"/>
            </w:tcBorders>
            <w:shd w:val="clear" w:color="auto" w:fill="auto"/>
          </w:tcPr>
          <w:p w:rsidR="000E6980" w:rsidRPr="003B73A2" w:rsidRDefault="000E6980" w:rsidP="000E698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 w:val="18"/>
                <w:szCs w:val="18"/>
                <w:lang w:val="en-GB"/>
              </w:rPr>
            </w:pPr>
            <w:r w:rsidRPr="003B73A2">
              <w:rPr>
                <w:rFonts w:ascii="Cambria" w:eastAsia="Calibri" w:hAnsi="Cambria" w:cs="Times New Roman"/>
                <w:b/>
                <w:color w:val="FF0000"/>
                <w:sz w:val="18"/>
                <w:szCs w:val="18"/>
                <w:lang w:val="en-GB"/>
              </w:rPr>
              <w:t>35</w:t>
            </w:r>
          </w:p>
        </w:tc>
        <w:tc>
          <w:tcPr>
            <w:tcW w:w="1708" w:type="dxa"/>
            <w:vMerge/>
            <w:shd w:val="clear" w:color="auto" w:fill="auto"/>
          </w:tcPr>
          <w:p w:rsidR="000E6980" w:rsidRPr="00BD67ED" w:rsidRDefault="000E6980" w:rsidP="000E6980">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18"/>
                <w:szCs w:val="18"/>
                <w:lang w:val="en-GB"/>
              </w:rPr>
            </w:pPr>
          </w:p>
        </w:tc>
        <w:tc>
          <w:tcPr>
            <w:tcW w:w="1311" w:type="dxa"/>
            <w:shd w:val="clear" w:color="auto" w:fill="auto"/>
          </w:tcPr>
          <w:p w:rsidR="000E6980" w:rsidRDefault="000E6980" w:rsidP="000E698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21</w:t>
            </w:r>
          </w:p>
          <w:p w:rsidR="000E6980" w:rsidRPr="00BD67ED" w:rsidRDefault="000E6980" w:rsidP="000E698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p>
        </w:tc>
        <w:tc>
          <w:tcPr>
            <w:tcW w:w="1233" w:type="dxa"/>
            <w:vMerge/>
            <w:shd w:val="clear" w:color="auto" w:fill="auto"/>
          </w:tcPr>
          <w:p w:rsidR="000E6980" w:rsidRPr="00BD67ED" w:rsidRDefault="000E6980" w:rsidP="000E6980">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p>
        </w:tc>
      </w:tr>
      <w:tr w:rsidR="00D83829" w:rsidRPr="00BD67ED" w:rsidTr="000E6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auto"/>
          </w:tcPr>
          <w:p w:rsidR="00D83829" w:rsidRPr="00BD67ED" w:rsidRDefault="00D83829" w:rsidP="00D83829">
            <w:pPr>
              <w:spacing w:line="276" w:lineRule="auto"/>
              <w:jc w:val="both"/>
              <w:rPr>
                <w:rFonts w:ascii="Cambria" w:eastAsia="Calibri" w:hAnsi="Cambria"/>
                <w:sz w:val="18"/>
                <w:szCs w:val="18"/>
                <w:lang w:val="en-GB"/>
              </w:rPr>
            </w:pPr>
            <w:r w:rsidRPr="00BD67ED">
              <w:rPr>
                <w:rFonts w:ascii="Cambria" w:eastAsia="Calibri" w:hAnsi="Cambria"/>
                <w:sz w:val="18"/>
                <w:szCs w:val="18"/>
                <w:lang w:val="en-GB"/>
              </w:rPr>
              <w:t xml:space="preserve">Negative small </w:t>
            </w:r>
          </w:p>
        </w:tc>
        <w:tc>
          <w:tcPr>
            <w:tcW w:w="1417" w:type="dxa"/>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sz w:val="18"/>
                <w:szCs w:val="18"/>
                <w:lang w:val="en-GB"/>
              </w:rPr>
              <w:t>(&lt;10%)</w:t>
            </w:r>
          </w:p>
        </w:tc>
        <w:tc>
          <w:tcPr>
            <w:tcW w:w="1985" w:type="dxa"/>
            <w:shd w:val="clear" w:color="auto" w:fill="auto"/>
          </w:tcPr>
          <w:p w:rsidR="00D83829" w:rsidRPr="00BD67ED" w:rsidRDefault="00D5212F" w:rsidP="000E698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16</w:t>
            </w:r>
          </w:p>
        </w:tc>
        <w:tc>
          <w:tcPr>
            <w:tcW w:w="1708" w:type="dxa"/>
            <w:vMerge w:val="restart"/>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p>
        </w:tc>
        <w:tc>
          <w:tcPr>
            <w:tcW w:w="1311" w:type="dxa"/>
            <w:shd w:val="clear" w:color="auto" w:fill="auto"/>
          </w:tcPr>
          <w:p w:rsidR="00D83829" w:rsidRPr="00BD67ED" w:rsidRDefault="00D5212F" w:rsidP="000E698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17</w:t>
            </w:r>
          </w:p>
        </w:tc>
        <w:tc>
          <w:tcPr>
            <w:tcW w:w="1233" w:type="dxa"/>
            <w:vMerge w:val="restart"/>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p>
        </w:tc>
      </w:tr>
      <w:tr w:rsidR="00D83829" w:rsidRPr="00BD67ED" w:rsidTr="00F34280">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D83829" w:rsidRPr="00BD67ED" w:rsidRDefault="00D83829" w:rsidP="00D83829">
            <w:pPr>
              <w:spacing w:line="276" w:lineRule="auto"/>
              <w:jc w:val="both"/>
              <w:rPr>
                <w:rFonts w:ascii="Cambria" w:eastAsia="Calibri" w:hAnsi="Cambria"/>
                <w:sz w:val="18"/>
                <w:szCs w:val="18"/>
                <w:lang w:val="en-GB"/>
              </w:rPr>
            </w:pPr>
            <w:r w:rsidRPr="00BD67ED">
              <w:rPr>
                <w:rFonts w:ascii="Cambria" w:eastAsia="Calibri" w:hAnsi="Cambria"/>
                <w:sz w:val="18"/>
                <w:szCs w:val="18"/>
                <w:lang w:val="en-GB"/>
              </w:rPr>
              <w:t xml:space="preserve">Negative large </w:t>
            </w:r>
          </w:p>
        </w:tc>
        <w:tc>
          <w:tcPr>
            <w:tcW w:w="1417" w:type="dxa"/>
            <w:tcBorders>
              <w:right w:val="single" w:sz="4" w:space="0" w:color="auto"/>
            </w:tcBorders>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sz w:val="18"/>
                <w:szCs w:val="18"/>
                <w:lang w:val="en-GB"/>
              </w:rPr>
              <w:t>(&gt;10%)</w:t>
            </w:r>
          </w:p>
        </w:tc>
        <w:tc>
          <w:tcPr>
            <w:tcW w:w="1985" w:type="dxa"/>
            <w:tcBorders>
              <w:left w:val="single" w:sz="4" w:space="0" w:color="auto"/>
            </w:tcBorders>
            <w:shd w:val="clear" w:color="auto" w:fill="auto"/>
          </w:tcPr>
          <w:p w:rsidR="00D83829" w:rsidRPr="00BD67ED" w:rsidRDefault="00D5212F" w:rsidP="000E698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20</w:t>
            </w:r>
          </w:p>
        </w:tc>
        <w:tc>
          <w:tcPr>
            <w:tcW w:w="1708" w:type="dxa"/>
            <w:vMerge/>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p>
        </w:tc>
        <w:tc>
          <w:tcPr>
            <w:tcW w:w="1311" w:type="dxa"/>
            <w:shd w:val="clear" w:color="auto" w:fill="auto"/>
          </w:tcPr>
          <w:p w:rsidR="000E6980" w:rsidRPr="003B73A2" w:rsidRDefault="00D5212F" w:rsidP="000E698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color w:val="2E74B5"/>
                <w:sz w:val="18"/>
                <w:szCs w:val="18"/>
                <w:lang w:val="en-GB"/>
              </w:rPr>
            </w:pPr>
            <w:r w:rsidRPr="003B73A2">
              <w:rPr>
                <w:rFonts w:ascii="Cambria" w:eastAsia="Calibri" w:hAnsi="Cambria" w:cs="Times New Roman"/>
                <w:b/>
                <w:color w:val="2E74B5"/>
                <w:sz w:val="18"/>
                <w:szCs w:val="18"/>
                <w:lang w:val="en-GB"/>
              </w:rPr>
              <w:t>46</w:t>
            </w:r>
          </w:p>
        </w:tc>
        <w:tc>
          <w:tcPr>
            <w:tcW w:w="1233" w:type="dxa"/>
            <w:vMerge/>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p>
        </w:tc>
      </w:tr>
      <w:tr w:rsidR="00540B69" w:rsidRPr="00BD67ED" w:rsidTr="00F34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shd w:val="clear" w:color="auto" w:fill="auto"/>
          </w:tcPr>
          <w:p w:rsidR="00540B69" w:rsidRPr="00BD67ED" w:rsidRDefault="00540B69" w:rsidP="00D83829">
            <w:pPr>
              <w:spacing w:line="276" w:lineRule="auto"/>
              <w:jc w:val="both"/>
              <w:rPr>
                <w:rFonts w:ascii="Cambria" w:eastAsia="Calibri" w:hAnsi="Cambria"/>
                <w:sz w:val="18"/>
                <w:szCs w:val="18"/>
                <w:lang w:val="en-GB"/>
              </w:rPr>
            </w:pPr>
          </w:p>
        </w:tc>
        <w:tc>
          <w:tcPr>
            <w:tcW w:w="1417" w:type="dxa"/>
            <w:tcBorders>
              <w:bottom w:val="single" w:sz="4" w:space="0" w:color="auto"/>
              <w:right w:val="single" w:sz="4" w:space="0" w:color="auto"/>
            </w:tcBorders>
            <w:shd w:val="clear" w:color="auto" w:fill="auto"/>
          </w:tcPr>
          <w:p w:rsidR="00540B69" w:rsidRPr="00BD67ED" w:rsidRDefault="00540B6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lang w:val="en-GB"/>
              </w:rPr>
            </w:pPr>
          </w:p>
        </w:tc>
        <w:tc>
          <w:tcPr>
            <w:tcW w:w="1985" w:type="dxa"/>
            <w:tcBorders>
              <w:left w:val="single" w:sz="4" w:space="0" w:color="auto"/>
              <w:bottom w:val="single" w:sz="4" w:space="0" w:color="auto"/>
            </w:tcBorders>
            <w:shd w:val="clear" w:color="auto" w:fill="auto"/>
          </w:tcPr>
          <w:p w:rsidR="00540B69" w:rsidRPr="00BD67ED" w:rsidRDefault="00540B6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p>
        </w:tc>
        <w:tc>
          <w:tcPr>
            <w:tcW w:w="1708" w:type="dxa"/>
            <w:tcBorders>
              <w:bottom w:val="single" w:sz="4" w:space="0" w:color="auto"/>
            </w:tcBorders>
            <w:shd w:val="clear" w:color="auto" w:fill="auto"/>
          </w:tcPr>
          <w:p w:rsidR="00540B69" w:rsidRPr="00BD67ED" w:rsidRDefault="00540B6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lang w:val="en-GB"/>
              </w:rPr>
            </w:pPr>
          </w:p>
        </w:tc>
        <w:tc>
          <w:tcPr>
            <w:tcW w:w="1311" w:type="dxa"/>
            <w:tcBorders>
              <w:bottom w:val="single" w:sz="4" w:space="0" w:color="auto"/>
            </w:tcBorders>
            <w:shd w:val="clear" w:color="auto" w:fill="auto"/>
          </w:tcPr>
          <w:p w:rsidR="00540B69" w:rsidRPr="00BD67ED" w:rsidRDefault="00540B69" w:rsidP="000E698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p>
        </w:tc>
        <w:tc>
          <w:tcPr>
            <w:tcW w:w="1233" w:type="dxa"/>
            <w:tcBorders>
              <w:bottom w:val="single" w:sz="4" w:space="0" w:color="auto"/>
            </w:tcBorders>
            <w:shd w:val="clear" w:color="auto" w:fill="auto"/>
          </w:tcPr>
          <w:p w:rsidR="00540B69" w:rsidRPr="00BD67ED" w:rsidRDefault="00540B6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p>
        </w:tc>
      </w:tr>
    </w:tbl>
    <w:p w:rsidR="00D83829" w:rsidRPr="00BD67ED" w:rsidRDefault="00D83829" w:rsidP="00D83829">
      <w:pPr>
        <w:keepNext/>
        <w:spacing w:after="200" w:line="360" w:lineRule="auto"/>
        <w:jc w:val="both"/>
        <w:rPr>
          <w:rFonts w:ascii="Cambria" w:eastAsia="Calibri" w:hAnsi="Cambria" w:cs="Times New Roman"/>
          <w:i/>
          <w:iCs/>
          <w:color w:val="44546A"/>
          <w:sz w:val="18"/>
          <w:szCs w:val="18"/>
          <w:lang w:val="en-GB"/>
        </w:rPr>
      </w:pPr>
      <w:bookmarkStart w:id="12" w:name="_Ref472332757"/>
      <w:bookmarkStart w:id="13" w:name="_Toc473750127"/>
      <w:r w:rsidRPr="00BD67ED">
        <w:rPr>
          <w:rFonts w:ascii="Cambria" w:eastAsia="Calibri" w:hAnsi="Cambria" w:cs="Times New Roman"/>
          <w:i/>
          <w:iCs/>
          <w:color w:val="2E74B5"/>
          <w:sz w:val="18"/>
          <w:szCs w:val="18"/>
          <w:lang w:val="en-GB"/>
        </w:rPr>
        <w:t xml:space="preserve">Table </w:t>
      </w:r>
      <w:r w:rsidRPr="00BD67ED">
        <w:rPr>
          <w:rFonts w:ascii="Cambria" w:eastAsia="Calibri" w:hAnsi="Cambria" w:cs="Times New Roman"/>
          <w:i/>
          <w:iCs/>
          <w:color w:val="2E74B5"/>
          <w:sz w:val="18"/>
          <w:szCs w:val="18"/>
          <w:lang w:val="en-GB"/>
        </w:rPr>
        <w:fldChar w:fldCharType="begin"/>
      </w:r>
      <w:r w:rsidRPr="00BD67ED">
        <w:rPr>
          <w:rFonts w:ascii="Cambria" w:eastAsia="Calibri" w:hAnsi="Cambria" w:cs="Times New Roman"/>
          <w:i/>
          <w:iCs/>
          <w:color w:val="2E74B5"/>
          <w:sz w:val="18"/>
          <w:szCs w:val="18"/>
          <w:lang w:val="en-GB"/>
        </w:rPr>
        <w:instrText xml:space="preserve"> SEQ Table \* ARABIC </w:instrText>
      </w:r>
      <w:r w:rsidRPr="00BD67ED">
        <w:rPr>
          <w:rFonts w:ascii="Cambria" w:eastAsia="Calibri" w:hAnsi="Cambria" w:cs="Times New Roman"/>
          <w:i/>
          <w:iCs/>
          <w:color w:val="2E74B5"/>
          <w:sz w:val="18"/>
          <w:szCs w:val="18"/>
          <w:lang w:val="en-GB"/>
        </w:rPr>
        <w:fldChar w:fldCharType="separate"/>
      </w:r>
      <w:r w:rsidR="00540B69" w:rsidRPr="00BD67ED">
        <w:rPr>
          <w:rFonts w:ascii="Cambria" w:eastAsia="Calibri" w:hAnsi="Cambria" w:cs="Times New Roman"/>
          <w:i/>
          <w:iCs/>
          <w:noProof/>
          <w:color w:val="2E74B5"/>
          <w:sz w:val="18"/>
          <w:szCs w:val="18"/>
          <w:lang w:val="en-GB"/>
        </w:rPr>
        <w:t>3</w:t>
      </w:r>
      <w:r w:rsidRPr="00BD67ED">
        <w:rPr>
          <w:rFonts w:ascii="Cambria" w:eastAsia="Calibri" w:hAnsi="Cambria" w:cs="Times New Roman"/>
          <w:i/>
          <w:iCs/>
          <w:color w:val="2E74B5"/>
          <w:sz w:val="18"/>
          <w:szCs w:val="18"/>
          <w:lang w:val="en-GB"/>
        </w:rPr>
        <w:fldChar w:fldCharType="end"/>
      </w:r>
      <w:bookmarkEnd w:id="12"/>
      <w:r w:rsidRPr="00BD67ED">
        <w:rPr>
          <w:rFonts w:ascii="Cambria" w:eastAsia="Calibri" w:hAnsi="Cambria" w:cs="Times New Roman"/>
          <w:i/>
          <w:iCs/>
          <w:color w:val="2E74B5"/>
          <w:sz w:val="18"/>
          <w:szCs w:val="18"/>
          <w:lang w:val="en-GB"/>
        </w:rPr>
        <w:t>:</w:t>
      </w:r>
      <w:r w:rsidRPr="00BD67ED">
        <w:rPr>
          <w:rFonts w:ascii="Cambria" w:eastAsia="Calibri" w:hAnsi="Cambria" w:cs="Times New Roman"/>
          <w:i/>
          <w:iCs/>
          <w:color w:val="44546A"/>
          <w:sz w:val="18"/>
          <w:szCs w:val="18"/>
          <w:lang w:val="en-GB"/>
        </w:rPr>
        <w:t xml:space="preserve"> </w:t>
      </w:r>
      <w:r w:rsidR="00080CAE">
        <w:rPr>
          <w:rFonts w:ascii="Cambria" w:eastAsia="Calibri" w:hAnsi="Cambria" w:cs="Times New Roman"/>
          <w:i/>
          <w:iCs/>
          <w:sz w:val="18"/>
          <w:szCs w:val="18"/>
          <w:lang w:val="en-GB"/>
        </w:rPr>
        <w:t xml:space="preserve">Purchase frequency </w:t>
      </w:r>
      <w:r w:rsidRPr="00BD67ED">
        <w:rPr>
          <w:rFonts w:ascii="Cambria" w:eastAsia="Calibri" w:hAnsi="Cambria" w:cs="Times New Roman"/>
          <w:i/>
          <w:iCs/>
          <w:sz w:val="18"/>
          <w:szCs w:val="18"/>
          <w:lang w:val="en-GB"/>
        </w:rPr>
        <w:t>variance distribution across 430 brands</w:t>
      </w:r>
      <w:bookmarkEnd w:id="13"/>
    </w:p>
    <w:p w:rsidR="00D83829" w:rsidRPr="00BD67ED" w:rsidRDefault="00D83829" w:rsidP="00D83829">
      <w:pPr>
        <w:rPr>
          <w:rFonts w:ascii="Cambria" w:eastAsia="Times New Roman" w:hAnsi="Cambria" w:cs="Times New Roman"/>
          <w:color w:val="2E74B5"/>
          <w:sz w:val="24"/>
          <w:szCs w:val="24"/>
          <w:lang w:val="en-GB"/>
        </w:rPr>
      </w:pPr>
      <w:bookmarkStart w:id="14" w:name="_Toc469491327"/>
    </w:p>
    <w:p w:rsidR="00D83829" w:rsidRPr="00BD67ED" w:rsidRDefault="00D83829" w:rsidP="00BD67ED">
      <w:pPr>
        <w:pStyle w:val="Heading2"/>
        <w:spacing w:line="360" w:lineRule="auto"/>
        <w:jc w:val="both"/>
        <w:rPr>
          <w:rFonts w:ascii="Cambria" w:eastAsia="Times New Roman" w:hAnsi="Cambria" w:cs="Times New Roman"/>
          <w:color w:val="2E74B5"/>
          <w:sz w:val="24"/>
          <w:szCs w:val="24"/>
          <w:lang w:val="en-GB"/>
        </w:rPr>
      </w:pPr>
      <w:bookmarkStart w:id="15" w:name="_Toc473811551"/>
      <w:r w:rsidRPr="00BD67ED">
        <w:rPr>
          <w:rFonts w:ascii="Cambria" w:eastAsia="Times New Roman" w:hAnsi="Cambria" w:cs="Times New Roman"/>
          <w:color w:val="2E74B5"/>
          <w:sz w:val="24"/>
          <w:szCs w:val="24"/>
          <w:lang w:val="en-GB"/>
        </w:rPr>
        <w:t>THE PRIVATE-LABEL ISSUE</w:t>
      </w:r>
      <w:bookmarkEnd w:id="14"/>
      <w:bookmarkEnd w:id="15"/>
    </w:p>
    <w:p w:rsidR="003B73A2"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Out of 430 brands, 190 (</w:t>
      </w:r>
      <w:r w:rsidR="00A73813">
        <w:rPr>
          <w:rFonts w:ascii="Cambria" w:eastAsia="Calibri" w:hAnsi="Cambria" w:cs="Times New Roman"/>
          <w:lang w:val="en-GB"/>
        </w:rPr>
        <w:t>66+124</w:t>
      </w:r>
      <w:r w:rsidR="003B73A2">
        <w:rPr>
          <w:rFonts w:ascii="Cambria" w:eastAsia="Calibri" w:hAnsi="Cambria" w:cs="Times New Roman"/>
          <w:lang w:val="en-GB"/>
        </w:rPr>
        <w:t>) are in-store or private label</w:t>
      </w:r>
      <w:r w:rsidRPr="00BD67ED">
        <w:rPr>
          <w:rFonts w:ascii="Cambria" w:eastAsia="Calibri" w:hAnsi="Cambria" w:cs="Times New Roman"/>
          <w:lang w:val="en-GB"/>
        </w:rPr>
        <w:t xml:space="preserve">. Dividing the categories in bottom and top halves, </w:t>
      </w:r>
      <w:r w:rsidRPr="00BD67ED">
        <w:rPr>
          <w:rFonts w:ascii="Cambria" w:eastAsia="Calibri" w:hAnsi="Cambria" w:cs="Times New Roman"/>
          <w:highlight w:val="yellow"/>
          <w:lang w:val="en-GB"/>
        </w:rPr>
        <w:fldChar w:fldCharType="begin"/>
      </w:r>
      <w:r w:rsidRPr="00BD67ED">
        <w:rPr>
          <w:rFonts w:ascii="Cambria" w:eastAsia="Calibri" w:hAnsi="Cambria" w:cs="Times New Roman"/>
          <w:lang w:val="en-GB"/>
        </w:rPr>
        <w:instrText xml:space="preserve"> REF _Ref472333558 \h </w:instrText>
      </w:r>
      <w:r w:rsidRPr="00BD67ED">
        <w:rPr>
          <w:rFonts w:ascii="Cambria" w:eastAsia="Calibri" w:hAnsi="Cambria" w:cs="Times New Roman"/>
          <w:highlight w:val="yellow"/>
          <w:lang w:val="en-GB"/>
        </w:rPr>
        <w:instrText xml:space="preserve"> \* MERGEFORMAT </w:instrText>
      </w:r>
      <w:r w:rsidRPr="00BD67ED">
        <w:rPr>
          <w:rFonts w:ascii="Cambria" w:eastAsia="Calibri" w:hAnsi="Cambria" w:cs="Times New Roman"/>
          <w:highlight w:val="yellow"/>
          <w:lang w:val="en-GB"/>
        </w:rPr>
      </w:r>
      <w:r w:rsidRPr="00BD67ED">
        <w:rPr>
          <w:rFonts w:ascii="Cambria" w:eastAsia="Calibri" w:hAnsi="Cambria" w:cs="Times New Roman"/>
          <w:highlight w:val="yellow"/>
          <w:lang w:val="en-GB"/>
        </w:rPr>
        <w:fldChar w:fldCharType="separate"/>
      </w:r>
      <w:r w:rsidR="00540B69" w:rsidRPr="00BD67ED">
        <w:rPr>
          <w:rFonts w:ascii="Cambria" w:eastAsia="Calibri" w:hAnsi="Cambria" w:cs="Times New Roman"/>
          <w:color w:val="2E74B5"/>
          <w:lang w:val="en-GB"/>
        </w:rPr>
        <w:t xml:space="preserve">Table </w:t>
      </w:r>
      <w:r w:rsidR="00540B69" w:rsidRPr="00BD67ED">
        <w:rPr>
          <w:rFonts w:ascii="Cambria" w:eastAsia="Calibri" w:hAnsi="Cambria" w:cs="Times New Roman"/>
          <w:noProof/>
          <w:color w:val="2E74B5"/>
          <w:lang w:val="en-GB"/>
        </w:rPr>
        <w:t>4</w:t>
      </w:r>
      <w:r w:rsidRPr="00BD67ED">
        <w:rPr>
          <w:rFonts w:ascii="Cambria" w:eastAsia="Calibri" w:hAnsi="Cambria" w:cs="Times New Roman"/>
          <w:highlight w:val="yellow"/>
          <w:lang w:val="en-GB"/>
        </w:rPr>
        <w:fldChar w:fldCharType="end"/>
      </w:r>
      <w:r w:rsidRPr="00BD67ED">
        <w:rPr>
          <w:rFonts w:ascii="Cambria" w:eastAsia="Calibri" w:hAnsi="Cambria" w:cs="Times New Roman"/>
          <w:lang w:val="en-GB"/>
        </w:rPr>
        <w:t xml:space="preserve"> </w:t>
      </w:r>
      <w:r w:rsidR="003B73A2">
        <w:rPr>
          <w:rFonts w:ascii="Cambria" w:eastAsia="Calibri" w:hAnsi="Cambria" w:cs="Times New Roman"/>
          <w:lang w:val="en-GB"/>
        </w:rPr>
        <w:t>show</w:t>
      </w:r>
      <w:r w:rsidRPr="00BD67ED">
        <w:rPr>
          <w:rFonts w:ascii="Cambria" w:eastAsia="Calibri" w:hAnsi="Cambria" w:cs="Times New Roman"/>
          <w:lang w:val="en-GB"/>
        </w:rPr>
        <w:t xml:space="preserve">s there are </w:t>
      </w:r>
      <w:r w:rsidR="00BC3828">
        <w:rPr>
          <w:rFonts w:ascii="Cambria" w:eastAsia="Calibri" w:hAnsi="Cambria" w:cs="Times New Roman"/>
          <w:lang w:val="en-GB"/>
        </w:rPr>
        <w:t>124</w:t>
      </w:r>
      <w:r w:rsidRPr="00BD67ED">
        <w:rPr>
          <w:rFonts w:ascii="Cambria" w:eastAsia="Calibri" w:hAnsi="Cambria" w:cs="Times New Roman"/>
          <w:lang w:val="en-GB"/>
        </w:rPr>
        <w:t xml:space="preserve"> priva</w:t>
      </w:r>
      <w:r w:rsidR="00BC3828">
        <w:rPr>
          <w:rFonts w:ascii="Cambria" w:eastAsia="Calibri" w:hAnsi="Cambria" w:cs="Times New Roman"/>
          <w:lang w:val="en-GB"/>
        </w:rPr>
        <w:t>te labels in the</w:t>
      </w:r>
      <w:r w:rsidR="003B73A2">
        <w:rPr>
          <w:rFonts w:ascii="Cambria" w:eastAsia="Calibri" w:hAnsi="Cambria" w:cs="Times New Roman"/>
          <w:lang w:val="en-GB"/>
        </w:rPr>
        <w:t xml:space="preserve"> bottom and 66 in the top half. Private labels are peculiar in that they are only available in the host retailer (Tesco private label can only be bought at Tesco) so they are small brands, but have higher than expected purchase frequencies because they are big within Tesco.  Therefore their metrics are different to those of the other small brands (</w:t>
      </w:r>
      <w:proofErr w:type="spellStart"/>
      <w:r w:rsidR="003B73A2">
        <w:rPr>
          <w:rFonts w:ascii="Cambria" w:eastAsia="Calibri" w:hAnsi="Cambria" w:cs="Times New Roman"/>
          <w:lang w:val="en-GB"/>
        </w:rPr>
        <w:t>Nenyz-Thiel</w:t>
      </w:r>
      <w:proofErr w:type="spellEnd"/>
      <w:proofErr w:type="gramStart"/>
      <w:r w:rsidR="003B73A2">
        <w:rPr>
          <w:rFonts w:ascii="Cambria" w:eastAsia="Calibri" w:hAnsi="Cambria" w:cs="Times New Roman"/>
          <w:lang w:val="en-GB"/>
        </w:rPr>
        <w:t>, )</w:t>
      </w:r>
      <w:proofErr w:type="gramEnd"/>
      <w:r w:rsidR="003B73A2">
        <w:rPr>
          <w:rFonts w:ascii="Cambria" w:eastAsia="Calibri" w:hAnsi="Cambria" w:cs="Times New Roman"/>
          <w:lang w:val="en-GB"/>
        </w:rPr>
        <w:t xml:space="preserve">   . </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lastRenderedPageBreak/>
        <w:t>Separating the private labels</w:t>
      </w:r>
      <w:r w:rsidR="00584556">
        <w:rPr>
          <w:rFonts w:ascii="Cambria" w:eastAsia="Calibri" w:hAnsi="Cambria" w:cs="Times New Roman"/>
          <w:lang w:val="en-GB"/>
        </w:rPr>
        <w:t xml:space="preserve"> shows for the top half </w:t>
      </w:r>
      <w:r w:rsidR="00A24EF8">
        <w:rPr>
          <w:rFonts w:ascii="Cambria" w:eastAsia="Calibri" w:hAnsi="Cambria" w:cs="Times New Roman"/>
          <w:lang w:val="en-GB"/>
        </w:rPr>
        <w:t>57%</w:t>
      </w:r>
      <w:r w:rsidRPr="00BD67ED">
        <w:rPr>
          <w:rFonts w:ascii="Cambria" w:eastAsia="Calibri" w:hAnsi="Cambria" w:cs="Times New Roman"/>
          <w:lang w:val="en-GB"/>
        </w:rPr>
        <w:t xml:space="preserve"> of </w:t>
      </w:r>
      <w:r w:rsidR="00A24EF8">
        <w:rPr>
          <w:rFonts w:ascii="Cambria" w:eastAsia="Calibri" w:hAnsi="Cambria" w:cs="Times New Roman"/>
          <w:lang w:val="en-GB"/>
        </w:rPr>
        <w:t xml:space="preserve">the </w:t>
      </w:r>
      <w:r w:rsidRPr="00BD67ED">
        <w:rPr>
          <w:rFonts w:ascii="Cambria" w:eastAsia="Calibri" w:hAnsi="Cambria" w:cs="Times New Roman"/>
          <w:lang w:val="en-GB"/>
        </w:rPr>
        <w:t xml:space="preserve">141 are branded products and </w:t>
      </w:r>
      <w:r w:rsidR="00A24EF8">
        <w:rPr>
          <w:rFonts w:ascii="Cambria" w:eastAsia="Calibri" w:hAnsi="Cambria" w:cs="Times New Roman"/>
          <w:lang w:val="en-GB"/>
        </w:rPr>
        <w:t>either on or above the line, while 43% are</w:t>
      </w:r>
      <w:r w:rsidR="003B73A2">
        <w:rPr>
          <w:rFonts w:ascii="Cambria" w:eastAsia="Calibri" w:hAnsi="Cambria" w:cs="Times New Roman"/>
          <w:lang w:val="en-GB"/>
        </w:rPr>
        <w:t xml:space="preserve"> branded and below</w:t>
      </w:r>
      <w:r w:rsidRPr="00BD67ED">
        <w:rPr>
          <w:rFonts w:ascii="Cambria" w:eastAsia="Calibri" w:hAnsi="Cambria" w:cs="Times New Roman"/>
          <w:lang w:val="en-GB"/>
        </w:rPr>
        <w:t>. Further, ex</w:t>
      </w:r>
      <w:r w:rsidR="003B73A2">
        <w:rPr>
          <w:rFonts w:ascii="Cambria" w:eastAsia="Calibri" w:hAnsi="Cambria" w:cs="Times New Roman"/>
          <w:lang w:val="en-GB"/>
        </w:rPr>
        <w:t>cluding the private labels</w:t>
      </w:r>
      <w:r w:rsidRPr="00BD67ED">
        <w:rPr>
          <w:rFonts w:ascii="Cambria" w:eastAsia="Calibri" w:hAnsi="Cambria" w:cs="Times New Roman"/>
          <w:lang w:val="en-GB"/>
        </w:rPr>
        <w:t xml:space="preserve"> res</w:t>
      </w:r>
      <w:r w:rsidR="00A24EF8">
        <w:rPr>
          <w:rFonts w:ascii="Cambria" w:eastAsia="Calibri" w:hAnsi="Cambria" w:cs="Times New Roman"/>
          <w:lang w:val="en-GB"/>
        </w:rPr>
        <w:t>ults in a much clearer tendency</w:t>
      </w:r>
      <w:r w:rsidRPr="00BD67ED">
        <w:rPr>
          <w:rFonts w:ascii="Cambria" w:eastAsia="Calibri" w:hAnsi="Cambria" w:cs="Times New Roman"/>
          <w:lang w:val="en-GB"/>
        </w:rPr>
        <w:t xml:space="preserve"> of sm</w:t>
      </w:r>
      <w:r w:rsidR="00A24EF8">
        <w:rPr>
          <w:rFonts w:ascii="Cambria" w:eastAsia="Calibri" w:hAnsi="Cambria" w:cs="Times New Roman"/>
          <w:lang w:val="en-GB"/>
        </w:rPr>
        <w:t xml:space="preserve">all brands to be below the line: </w:t>
      </w:r>
      <w:r w:rsidR="00353B2C">
        <w:rPr>
          <w:rFonts w:ascii="Cambria" w:eastAsia="Calibri" w:hAnsi="Cambria" w:cs="Times New Roman"/>
          <w:lang w:val="en-GB"/>
        </w:rPr>
        <w:t xml:space="preserve">with private labels removed </w:t>
      </w:r>
      <w:r w:rsidR="00A24EF8">
        <w:rPr>
          <w:rFonts w:ascii="Cambria" w:eastAsia="Calibri" w:hAnsi="Cambria" w:cs="Times New Roman"/>
          <w:lang w:val="en-GB"/>
        </w:rPr>
        <w:t xml:space="preserve">71% </w:t>
      </w:r>
      <w:r w:rsidR="00353B2C">
        <w:rPr>
          <w:rFonts w:ascii="Cambria" w:eastAsia="Calibri" w:hAnsi="Cambria" w:cs="Times New Roman"/>
          <w:lang w:val="en-GB"/>
        </w:rPr>
        <w:t>of the smaller brands display a purchase frequency deficit.</w:t>
      </w:r>
    </w:p>
    <w:tbl>
      <w:tblPr>
        <w:tblStyle w:val="EinfacheTabelle51"/>
        <w:tblW w:w="0" w:type="auto"/>
        <w:tblLook w:val="04A0" w:firstRow="1" w:lastRow="0" w:firstColumn="1" w:lastColumn="0" w:noHBand="0" w:noVBand="1"/>
      </w:tblPr>
      <w:tblGrid>
        <w:gridCol w:w="1980"/>
        <w:gridCol w:w="1134"/>
        <w:gridCol w:w="855"/>
        <w:gridCol w:w="993"/>
        <w:gridCol w:w="1134"/>
        <w:gridCol w:w="850"/>
        <w:gridCol w:w="987"/>
        <w:gridCol w:w="1129"/>
      </w:tblGrid>
      <w:tr w:rsidR="00D83829" w:rsidRPr="00BD67ED" w:rsidTr="002567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Borders>
              <w:bottom w:val="single" w:sz="4" w:space="0" w:color="auto"/>
              <w:right w:val="single" w:sz="4" w:space="0" w:color="auto"/>
            </w:tcBorders>
            <w:shd w:val="clear" w:color="auto" w:fill="auto"/>
          </w:tcPr>
          <w:p w:rsidR="00D83829" w:rsidRPr="00BD67ED" w:rsidRDefault="00D83829" w:rsidP="00D83829">
            <w:pPr>
              <w:spacing w:line="276" w:lineRule="auto"/>
              <w:jc w:val="both"/>
              <w:rPr>
                <w:rFonts w:ascii="Cambria" w:eastAsia="Calibri" w:hAnsi="Cambria"/>
                <w:b/>
                <w:sz w:val="18"/>
                <w:szCs w:val="18"/>
                <w:lang w:val="en-GB"/>
              </w:rPr>
            </w:pPr>
            <w:r w:rsidRPr="00BD67ED">
              <w:rPr>
                <w:rFonts w:ascii="Cambria" w:eastAsia="Calibri" w:hAnsi="Cambria"/>
                <w:b/>
                <w:sz w:val="18"/>
                <w:szCs w:val="18"/>
                <w:lang w:val="en-GB"/>
              </w:rPr>
              <w:t>TOTAL BRANDS</w:t>
            </w:r>
          </w:p>
        </w:tc>
        <w:tc>
          <w:tcPr>
            <w:tcW w:w="1134" w:type="dxa"/>
            <w:tcBorders>
              <w:left w:val="single" w:sz="4" w:space="0" w:color="auto"/>
              <w:bottom w:val="single" w:sz="4" w:space="0" w:color="auto"/>
            </w:tcBorders>
            <w:shd w:val="clear" w:color="auto" w:fill="auto"/>
          </w:tcPr>
          <w:p w:rsidR="00D83829" w:rsidRPr="00BD67ED" w:rsidRDefault="00D83829" w:rsidP="00D83829">
            <w:pPr>
              <w:spacing w:line="276" w:lineRule="auto"/>
              <w:cnfStyle w:val="100000000000" w:firstRow="1" w:lastRow="0" w:firstColumn="0" w:lastColumn="0" w:oddVBand="0" w:evenVBand="0" w:oddHBand="0" w:evenHBand="0" w:firstRowFirstColumn="0" w:firstRowLastColumn="0" w:lastRowFirstColumn="0" w:lastRowLastColumn="0"/>
              <w:rPr>
                <w:rFonts w:ascii="Cambria" w:eastAsia="Calibri" w:hAnsi="Cambria"/>
                <w:b/>
                <w:sz w:val="18"/>
                <w:szCs w:val="18"/>
                <w:lang w:val="en-GB"/>
              </w:rPr>
            </w:pPr>
            <w:r w:rsidRPr="00BD67ED">
              <w:rPr>
                <w:rFonts w:ascii="Cambria" w:eastAsia="Calibri" w:hAnsi="Cambria"/>
                <w:b/>
                <w:sz w:val="18"/>
                <w:szCs w:val="18"/>
                <w:lang w:val="en-GB"/>
              </w:rPr>
              <w:t>DIRECTION</w:t>
            </w:r>
          </w:p>
        </w:tc>
        <w:tc>
          <w:tcPr>
            <w:tcW w:w="2982" w:type="dxa"/>
            <w:gridSpan w:val="3"/>
            <w:tcBorders>
              <w:bottom w:val="single" w:sz="4" w:space="0" w:color="auto"/>
            </w:tcBorders>
            <w:shd w:val="clear" w:color="auto" w:fill="auto"/>
          </w:tcPr>
          <w:p w:rsidR="00D83829" w:rsidRPr="00BD67ED" w:rsidRDefault="00D83829" w:rsidP="00D83829">
            <w:pPr>
              <w:spacing w:line="276" w:lineRule="auto"/>
              <w:cnfStyle w:val="100000000000" w:firstRow="1" w:lastRow="0" w:firstColumn="0" w:lastColumn="0" w:oddVBand="0" w:evenVBand="0" w:oddHBand="0" w:evenHBand="0" w:firstRowFirstColumn="0" w:firstRowLastColumn="0" w:lastRowFirstColumn="0" w:lastRowLastColumn="0"/>
              <w:rPr>
                <w:rFonts w:ascii="Cambria" w:eastAsia="Calibri" w:hAnsi="Cambria"/>
                <w:b/>
                <w:color w:val="FF0000"/>
                <w:sz w:val="18"/>
                <w:szCs w:val="18"/>
                <w:lang w:val="en-GB"/>
              </w:rPr>
            </w:pPr>
            <w:r w:rsidRPr="00BD67ED">
              <w:rPr>
                <w:rFonts w:ascii="Cambria" w:eastAsia="Calibri" w:hAnsi="Cambria"/>
                <w:b/>
                <w:color w:val="FF0000"/>
                <w:sz w:val="18"/>
                <w:szCs w:val="18"/>
                <w:lang w:val="en-GB"/>
              </w:rPr>
              <w:t>TOP HALF</w:t>
            </w:r>
          </w:p>
        </w:tc>
        <w:tc>
          <w:tcPr>
            <w:tcW w:w="2966" w:type="dxa"/>
            <w:gridSpan w:val="3"/>
            <w:tcBorders>
              <w:bottom w:val="single" w:sz="4" w:space="0" w:color="auto"/>
            </w:tcBorders>
            <w:shd w:val="clear" w:color="auto" w:fill="auto"/>
          </w:tcPr>
          <w:p w:rsidR="00D83829" w:rsidRPr="00BD67ED" w:rsidRDefault="00D83829" w:rsidP="00D83829">
            <w:pPr>
              <w:spacing w:line="276" w:lineRule="auto"/>
              <w:cnfStyle w:val="100000000000" w:firstRow="1" w:lastRow="0" w:firstColumn="0" w:lastColumn="0" w:oddVBand="0" w:evenVBand="0" w:oddHBand="0" w:evenHBand="0" w:firstRowFirstColumn="0" w:firstRowLastColumn="0" w:lastRowFirstColumn="0" w:lastRowLastColumn="0"/>
              <w:rPr>
                <w:rFonts w:ascii="Cambria" w:eastAsia="Calibri" w:hAnsi="Cambria"/>
                <w:b/>
                <w:color w:val="2E74B5"/>
                <w:sz w:val="18"/>
                <w:szCs w:val="18"/>
                <w:lang w:val="en-GB"/>
              </w:rPr>
            </w:pPr>
            <w:r w:rsidRPr="00BD67ED">
              <w:rPr>
                <w:rFonts w:ascii="Cambria" w:eastAsia="Calibri" w:hAnsi="Cambria"/>
                <w:b/>
                <w:color w:val="2E74B5"/>
                <w:sz w:val="18"/>
                <w:szCs w:val="18"/>
                <w:lang w:val="en-GB"/>
              </w:rPr>
              <w:t>BOTTOM HALF</w:t>
            </w:r>
          </w:p>
        </w:tc>
      </w:tr>
      <w:tr w:rsidR="00D83829" w:rsidRPr="00BD67ED" w:rsidTr="00D8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7F7F7F"/>
              <w:bottom w:val="single" w:sz="4" w:space="0" w:color="auto"/>
              <w:right w:val="single" w:sz="4" w:space="0" w:color="auto"/>
            </w:tcBorders>
            <w:shd w:val="clear" w:color="auto" w:fill="auto"/>
          </w:tcPr>
          <w:p w:rsidR="00D83829" w:rsidRPr="00BD67ED" w:rsidRDefault="00D83829" w:rsidP="00D83829">
            <w:pPr>
              <w:spacing w:line="276" w:lineRule="auto"/>
              <w:jc w:val="both"/>
              <w:rPr>
                <w:rFonts w:ascii="Cambria" w:eastAsia="Calibri" w:hAnsi="Cambria"/>
                <w:sz w:val="18"/>
                <w:szCs w:val="18"/>
                <w:lang w:val="en-GB"/>
              </w:rPr>
            </w:pPr>
            <w:r w:rsidRPr="00BD67ED">
              <w:rPr>
                <w:rFonts w:ascii="Cambria" w:eastAsia="Calibri" w:hAnsi="Cambria"/>
                <w:sz w:val="18"/>
                <w:szCs w:val="18"/>
                <w:lang w:val="en-GB"/>
              </w:rPr>
              <w:t>430</w:t>
            </w:r>
          </w:p>
        </w:tc>
        <w:tc>
          <w:tcPr>
            <w:tcW w:w="1134" w:type="dxa"/>
            <w:tcBorders>
              <w:top w:val="single" w:sz="4" w:space="0" w:color="auto"/>
              <w:left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18"/>
                <w:szCs w:val="18"/>
                <w:lang w:val="en-GB"/>
              </w:rPr>
            </w:pPr>
          </w:p>
        </w:tc>
        <w:tc>
          <w:tcPr>
            <w:tcW w:w="855" w:type="dxa"/>
            <w:tcBorders>
              <w:top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TOTAL</w:t>
            </w:r>
          </w:p>
        </w:tc>
        <w:tc>
          <w:tcPr>
            <w:tcW w:w="993" w:type="dxa"/>
            <w:tcBorders>
              <w:top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IN-STORE</w:t>
            </w:r>
          </w:p>
        </w:tc>
        <w:tc>
          <w:tcPr>
            <w:tcW w:w="1134" w:type="dxa"/>
            <w:tcBorders>
              <w:top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BRANDED</w:t>
            </w:r>
          </w:p>
        </w:tc>
        <w:tc>
          <w:tcPr>
            <w:tcW w:w="850" w:type="dxa"/>
            <w:tcBorders>
              <w:top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TOTAL</w:t>
            </w:r>
          </w:p>
        </w:tc>
        <w:tc>
          <w:tcPr>
            <w:tcW w:w="987" w:type="dxa"/>
            <w:tcBorders>
              <w:top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IN-STORE</w:t>
            </w:r>
          </w:p>
        </w:tc>
        <w:tc>
          <w:tcPr>
            <w:tcW w:w="1129" w:type="dxa"/>
            <w:tcBorders>
              <w:top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BRANDED</w:t>
            </w:r>
          </w:p>
        </w:tc>
      </w:tr>
      <w:tr w:rsidR="00D83829" w:rsidRPr="00BD67ED" w:rsidTr="00D83829">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7F7F7F"/>
              <w:bottom w:val="single" w:sz="4" w:space="0" w:color="auto"/>
              <w:right w:val="single" w:sz="4" w:space="0" w:color="auto"/>
            </w:tcBorders>
            <w:shd w:val="clear" w:color="auto" w:fill="auto"/>
          </w:tcPr>
          <w:p w:rsidR="00D83829" w:rsidRPr="00BD67ED" w:rsidRDefault="00D83829" w:rsidP="00D83829">
            <w:pPr>
              <w:spacing w:line="276" w:lineRule="auto"/>
              <w:jc w:val="both"/>
              <w:rPr>
                <w:rFonts w:ascii="Cambria" w:eastAsia="Calibri" w:hAnsi="Cambria"/>
                <w:sz w:val="18"/>
                <w:szCs w:val="18"/>
                <w:lang w:val="en-GB"/>
              </w:rPr>
            </w:pPr>
          </w:p>
        </w:tc>
        <w:tc>
          <w:tcPr>
            <w:tcW w:w="1134" w:type="dxa"/>
            <w:tcBorders>
              <w:left w:val="single" w:sz="4" w:space="0" w:color="auto"/>
            </w:tcBorders>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i/>
                <w:sz w:val="18"/>
                <w:szCs w:val="18"/>
                <w:lang w:val="en-GB"/>
              </w:rPr>
            </w:pPr>
            <w:r w:rsidRPr="00BD67ED">
              <w:rPr>
                <w:rFonts w:ascii="Cambria" w:eastAsia="Calibri" w:hAnsi="Cambria" w:cs="Times New Roman"/>
                <w:i/>
                <w:sz w:val="18"/>
                <w:szCs w:val="18"/>
                <w:lang w:val="en-GB"/>
              </w:rPr>
              <w:t>ABOVE</w:t>
            </w:r>
          </w:p>
        </w:tc>
        <w:tc>
          <w:tcPr>
            <w:tcW w:w="855"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141</w:t>
            </w:r>
          </w:p>
        </w:tc>
        <w:tc>
          <w:tcPr>
            <w:tcW w:w="993"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56</w:t>
            </w:r>
          </w:p>
        </w:tc>
        <w:tc>
          <w:tcPr>
            <w:tcW w:w="1134"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85 (57 %)</w:t>
            </w:r>
          </w:p>
        </w:tc>
        <w:tc>
          <w:tcPr>
            <w:tcW w:w="850"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95</w:t>
            </w:r>
          </w:p>
        </w:tc>
        <w:tc>
          <w:tcPr>
            <w:tcW w:w="987"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68</w:t>
            </w:r>
          </w:p>
        </w:tc>
        <w:tc>
          <w:tcPr>
            <w:tcW w:w="1129"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27 (29 %)</w:t>
            </w:r>
          </w:p>
        </w:tc>
      </w:tr>
      <w:tr w:rsidR="00D83829" w:rsidRPr="00BD67ED" w:rsidTr="00D8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7F7F7F"/>
              <w:bottom w:val="single" w:sz="4" w:space="0" w:color="auto"/>
              <w:right w:val="single" w:sz="4" w:space="0" w:color="auto"/>
            </w:tcBorders>
            <w:shd w:val="clear" w:color="auto" w:fill="auto"/>
          </w:tcPr>
          <w:p w:rsidR="00D83829" w:rsidRPr="00BD67ED" w:rsidRDefault="00D83829" w:rsidP="00D83829">
            <w:pPr>
              <w:spacing w:line="276" w:lineRule="auto"/>
              <w:jc w:val="both"/>
              <w:rPr>
                <w:rFonts w:ascii="Cambria" w:eastAsia="Calibri" w:hAnsi="Cambria"/>
                <w:sz w:val="18"/>
                <w:szCs w:val="18"/>
                <w:lang w:val="en-GB"/>
              </w:rPr>
            </w:pPr>
          </w:p>
        </w:tc>
        <w:tc>
          <w:tcPr>
            <w:tcW w:w="1134" w:type="dxa"/>
            <w:tcBorders>
              <w:left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i/>
                <w:sz w:val="18"/>
                <w:szCs w:val="18"/>
                <w:lang w:val="en-GB"/>
              </w:rPr>
            </w:pPr>
            <w:r w:rsidRPr="00BD67ED">
              <w:rPr>
                <w:rFonts w:ascii="Cambria" w:eastAsia="Calibri" w:hAnsi="Cambria" w:cs="Times New Roman"/>
                <w:i/>
                <w:sz w:val="18"/>
                <w:szCs w:val="18"/>
                <w:lang w:val="en-GB"/>
              </w:rPr>
              <w:t>BELOW</w:t>
            </w:r>
          </w:p>
        </w:tc>
        <w:tc>
          <w:tcPr>
            <w:tcW w:w="855" w:type="dxa"/>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73</w:t>
            </w:r>
          </w:p>
        </w:tc>
        <w:tc>
          <w:tcPr>
            <w:tcW w:w="993" w:type="dxa"/>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10</w:t>
            </w:r>
          </w:p>
        </w:tc>
        <w:tc>
          <w:tcPr>
            <w:tcW w:w="1134" w:type="dxa"/>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63 (43 %)</w:t>
            </w:r>
          </w:p>
        </w:tc>
        <w:tc>
          <w:tcPr>
            <w:tcW w:w="850" w:type="dxa"/>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121</w:t>
            </w:r>
          </w:p>
        </w:tc>
        <w:tc>
          <w:tcPr>
            <w:tcW w:w="987" w:type="dxa"/>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56</w:t>
            </w:r>
          </w:p>
        </w:tc>
        <w:tc>
          <w:tcPr>
            <w:tcW w:w="1129" w:type="dxa"/>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65 (71 %)</w:t>
            </w:r>
          </w:p>
        </w:tc>
      </w:tr>
      <w:tr w:rsidR="00D83829" w:rsidRPr="00BD67ED" w:rsidTr="00D83829">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7F7F7F"/>
              <w:bottom w:val="single" w:sz="4" w:space="0" w:color="auto"/>
              <w:right w:val="single" w:sz="4" w:space="0" w:color="auto"/>
            </w:tcBorders>
            <w:shd w:val="clear" w:color="auto" w:fill="auto"/>
          </w:tcPr>
          <w:p w:rsidR="00D83829" w:rsidRPr="00BD67ED" w:rsidRDefault="00D83829" w:rsidP="00D83829">
            <w:pPr>
              <w:spacing w:line="276" w:lineRule="auto"/>
              <w:jc w:val="both"/>
              <w:rPr>
                <w:rFonts w:ascii="Cambria" w:eastAsia="Calibri" w:hAnsi="Cambria"/>
                <w:sz w:val="18"/>
                <w:szCs w:val="18"/>
                <w:lang w:val="en-GB"/>
              </w:rPr>
            </w:pPr>
          </w:p>
        </w:tc>
        <w:tc>
          <w:tcPr>
            <w:tcW w:w="1134" w:type="dxa"/>
            <w:tcBorders>
              <w:left w:val="single" w:sz="4" w:space="0" w:color="auto"/>
            </w:tcBorders>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i/>
                <w:sz w:val="18"/>
                <w:szCs w:val="18"/>
                <w:lang w:val="en-GB"/>
              </w:rPr>
            </w:pPr>
          </w:p>
        </w:tc>
        <w:tc>
          <w:tcPr>
            <w:tcW w:w="855"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p>
        </w:tc>
        <w:tc>
          <w:tcPr>
            <w:tcW w:w="993"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p>
        </w:tc>
        <w:tc>
          <w:tcPr>
            <w:tcW w:w="1134"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FF0000"/>
                <w:sz w:val="18"/>
                <w:szCs w:val="18"/>
                <w:lang w:val="en-GB"/>
              </w:rPr>
            </w:pPr>
          </w:p>
        </w:tc>
        <w:tc>
          <w:tcPr>
            <w:tcW w:w="850"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p>
        </w:tc>
        <w:tc>
          <w:tcPr>
            <w:tcW w:w="987"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p>
        </w:tc>
        <w:tc>
          <w:tcPr>
            <w:tcW w:w="1129" w:type="dxa"/>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2E74B5"/>
                <w:sz w:val="18"/>
                <w:szCs w:val="18"/>
                <w:lang w:val="en-GB"/>
              </w:rPr>
            </w:pPr>
          </w:p>
        </w:tc>
      </w:tr>
      <w:tr w:rsidR="00D83829" w:rsidRPr="00BD67ED" w:rsidTr="00D8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7F7F7F"/>
              <w:bottom w:val="single" w:sz="4" w:space="0" w:color="auto"/>
              <w:right w:val="single" w:sz="4" w:space="0" w:color="auto"/>
            </w:tcBorders>
            <w:shd w:val="clear" w:color="auto" w:fill="auto"/>
          </w:tcPr>
          <w:p w:rsidR="00D83829" w:rsidRPr="00BD67ED" w:rsidRDefault="00D83829" w:rsidP="00D83829">
            <w:pPr>
              <w:spacing w:line="276" w:lineRule="auto"/>
              <w:jc w:val="both"/>
              <w:rPr>
                <w:rFonts w:ascii="Cambria" w:eastAsia="Calibri" w:hAnsi="Cambria"/>
                <w:sz w:val="18"/>
                <w:szCs w:val="18"/>
                <w:lang w:val="en-GB"/>
              </w:rPr>
            </w:pPr>
          </w:p>
        </w:tc>
        <w:tc>
          <w:tcPr>
            <w:tcW w:w="1134" w:type="dxa"/>
            <w:tcBorders>
              <w:left w:val="single" w:sz="4" w:space="0" w:color="auto"/>
              <w:bottom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b/>
                <w:i/>
                <w:sz w:val="18"/>
                <w:szCs w:val="18"/>
                <w:lang w:val="en-GB"/>
              </w:rPr>
            </w:pPr>
            <w:r w:rsidRPr="00BD67ED">
              <w:rPr>
                <w:rFonts w:ascii="Cambria" w:eastAsia="Calibri" w:hAnsi="Cambria" w:cs="Times New Roman"/>
                <w:b/>
                <w:i/>
                <w:sz w:val="18"/>
                <w:szCs w:val="18"/>
                <w:lang w:val="en-GB"/>
              </w:rPr>
              <w:t>TOTAL</w:t>
            </w:r>
          </w:p>
        </w:tc>
        <w:tc>
          <w:tcPr>
            <w:tcW w:w="855" w:type="dxa"/>
            <w:tcBorders>
              <w:bottom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214</w:t>
            </w:r>
          </w:p>
        </w:tc>
        <w:tc>
          <w:tcPr>
            <w:tcW w:w="993" w:type="dxa"/>
            <w:tcBorders>
              <w:bottom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66</w:t>
            </w:r>
          </w:p>
        </w:tc>
        <w:tc>
          <w:tcPr>
            <w:tcW w:w="1134" w:type="dxa"/>
            <w:tcBorders>
              <w:bottom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FF0000"/>
                <w:sz w:val="18"/>
                <w:szCs w:val="18"/>
                <w:lang w:val="en-GB"/>
              </w:rPr>
            </w:pPr>
            <w:r w:rsidRPr="00BD67ED">
              <w:rPr>
                <w:rFonts w:ascii="Cambria" w:eastAsia="Calibri" w:hAnsi="Cambria" w:cs="Times New Roman"/>
                <w:color w:val="FF0000"/>
                <w:sz w:val="18"/>
                <w:szCs w:val="18"/>
                <w:lang w:val="en-GB"/>
              </w:rPr>
              <w:t>148</w:t>
            </w:r>
          </w:p>
        </w:tc>
        <w:tc>
          <w:tcPr>
            <w:tcW w:w="850" w:type="dxa"/>
            <w:tcBorders>
              <w:bottom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216</w:t>
            </w:r>
          </w:p>
        </w:tc>
        <w:tc>
          <w:tcPr>
            <w:tcW w:w="987" w:type="dxa"/>
            <w:tcBorders>
              <w:bottom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124</w:t>
            </w:r>
          </w:p>
        </w:tc>
        <w:tc>
          <w:tcPr>
            <w:tcW w:w="1129" w:type="dxa"/>
            <w:tcBorders>
              <w:bottom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2E74B5"/>
                <w:sz w:val="18"/>
                <w:szCs w:val="18"/>
                <w:lang w:val="en-GB"/>
              </w:rPr>
            </w:pPr>
            <w:r w:rsidRPr="00BD67ED">
              <w:rPr>
                <w:rFonts w:ascii="Cambria" w:eastAsia="Calibri" w:hAnsi="Cambria" w:cs="Times New Roman"/>
                <w:color w:val="2E74B5"/>
                <w:sz w:val="18"/>
                <w:szCs w:val="18"/>
                <w:lang w:val="en-GB"/>
              </w:rPr>
              <w:t>92</w:t>
            </w:r>
          </w:p>
        </w:tc>
      </w:tr>
    </w:tbl>
    <w:p w:rsidR="00D83829" w:rsidRPr="00BD67ED" w:rsidRDefault="00D83829" w:rsidP="00D83829">
      <w:pPr>
        <w:keepNext/>
        <w:spacing w:after="200" w:line="240" w:lineRule="auto"/>
        <w:jc w:val="both"/>
        <w:rPr>
          <w:rFonts w:ascii="Cambria" w:eastAsia="Calibri" w:hAnsi="Cambria" w:cs="Times New Roman"/>
          <w:i/>
          <w:iCs/>
          <w:color w:val="44546A"/>
          <w:sz w:val="18"/>
          <w:szCs w:val="18"/>
          <w:lang w:val="en-GB"/>
        </w:rPr>
      </w:pPr>
      <w:bookmarkStart w:id="16" w:name="_Ref472333558"/>
      <w:bookmarkStart w:id="17" w:name="_Toc473750128"/>
      <w:r w:rsidRPr="00BD67ED">
        <w:rPr>
          <w:rFonts w:ascii="Cambria" w:eastAsia="Calibri" w:hAnsi="Cambria" w:cs="Times New Roman"/>
          <w:i/>
          <w:iCs/>
          <w:color w:val="2E74B5"/>
          <w:sz w:val="18"/>
          <w:szCs w:val="18"/>
          <w:lang w:val="en-GB"/>
        </w:rPr>
        <w:t xml:space="preserve">Table </w:t>
      </w:r>
      <w:r w:rsidRPr="00BD67ED">
        <w:rPr>
          <w:rFonts w:ascii="Cambria" w:eastAsia="Calibri" w:hAnsi="Cambria" w:cs="Times New Roman"/>
          <w:i/>
          <w:iCs/>
          <w:color w:val="2E74B5"/>
          <w:sz w:val="18"/>
          <w:szCs w:val="18"/>
          <w:lang w:val="en-GB"/>
        </w:rPr>
        <w:fldChar w:fldCharType="begin"/>
      </w:r>
      <w:r w:rsidRPr="00BD67ED">
        <w:rPr>
          <w:rFonts w:ascii="Cambria" w:eastAsia="Calibri" w:hAnsi="Cambria" w:cs="Times New Roman"/>
          <w:i/>
          <w:iCs/>
          <w:color w:val="2E74B5"/>
          <w:sz w:val="18"/>
          <w:szCs w:val="18"/>
          <w:lang w:val="en-GB"/>
        </w:rPr>
        <w:instrText xml:space="preserve"> SEQ Table \* ARABIC </w:instrText>
      </w:r>
      <w:r w:rsidRPr="00BD67ED">
        <w:rPr>
          <w:rFonts w:ascii="Cambria" w:eastAsia="Calibri" w:hAnsi="Cambria" w:cs="Times New Roman"/>
          <w:i/>
          <w:iCs/>
          <w:color w:val="2E74B5"/>
          <w:sz w:val="18"/>
          <w:szCs w:val="18"/>
          <w:lang w:val="en-GB"/>
        </w:rPr>
        <w:fldChar w:fldCharType="separate"/>
      </w:r>
      <w:r w:rsidR="00540B69" w:rsidRPr="00BD67ED">
        <w:rPr>
          <w:rFonts w:ascii="Cambria" w:eastAsia="Calibri" w:hAnsi="Cambria" w:cs="Times New Roman"/>
          <w:i/>
          <w:iCs/>
          <w:noProof/>
          <w:color w:val="2E74B5"/>
          <w:sz w:val="18"/>
          <w:szCs w:val="18"/>
          <w:lang w:val="en-GB"/>
        </w:rPr>
        <w:t>4</w:t>
      </w:r>
      <w:r w:rsidRPr="00BD67ED">
        <w:rPr>
          <w:rFonts w:ascii="Cambria" w:eastAsia="Calibri" w:hAnsi="Cambria" w:cs="Times New Roman"/>
          <w:i/>
          <w:iCs/>
          <w:color w:val="2E74B5"/>
          <w:sz w:val="18"/>
          <w:szCs w:val="18"/>
          <w:lang w:val="en-GB"/>
        </w:rPr>
        <w:fldChar w:fldCharType="end"/>
      </w:r>
      <w:bookmarkEnd w:id="16"/>
      <w:r w:rsidRPr="00BD67ED">
        <w:rPr>
          <w:rFonts w:ascii="Cambria" w:eastAsia="Calibri" w:hAnsi="Cambria" w:cs="Times New Roman"/>
          <w:i/>
          <w:iCs/>
          <w:sz w:val="18"/>
          <w:szCs w:val="18"/>
          <w:lang w:val="en-GB"/>
        </w:rPr>
        <w:t>: Private label distribution across 35 categories</w:t>
      </w:r>
      <w:bookmarkEnd w:id="17"/>
    </w:p>
    <w:p w:rsidR="00D83829" w:rsidRPr="00BD67ED" w:rsidRDefault="00D83829" w:rsidP="00D83829">
      <w:pPr>
        <w:spacing w:line="360" w:lineRule="auto"/>
        <w:jc w:val="both"/>
        <w:rPr>
          <w:rFonts w:ascii="Cambria" w:eastAsia="Calibri" w:hAnsi="Cambria" w:cs="Times New Roman"/>
          <w:lang w:val="en-GB"/>
        </w:rPr>
      </w:pPr>
    </w:p>
    <w:p w:rsidR="00D83829" w:rsidRPr="00BD67ED" w:rsidRDefault="00D83829" w:rsidP="00BD67ED">
      <w:pPr>
        <w:pStyle w:val="Heading2"/>
        <w:spacing w:line="360" w:lineRule="auto"/>
        <w:jc w:val="both"/>
        <w:rPr>
          <w:rFonts w:ascii="Cambria" w:eastAsia="Times New Roman" w:hAnsi="Cambria" w:cs="Times New Roman"/>
          <w:color w:val="2E74B5"/>
          <w:sz w:val="24"/>
          <w:szCs w:val="24"/>
          <w:lang w:val="en-GB"/>
        </w:rPr>
      </w:pPr>
      <w:bookmarkStart w:id="18" w:name="_Toc473811552"/>
      <w:r w:rsidRPr="00BD67ED">
        <w:rPr>
          <w:rFonts w:ascii="Cambria" w:eastAsia="Times New Roman" w:hAnsi="Cambria" w:cs="Times New Roman"/>
          <w:color w:val="2E74B5"/>
          <w:sz w:val="24"/>
          <w:szCs w:val="24"/>
          <w:lang w:val="en-GB"/>
        </w:rPr>
        <w:t>THE ‘OTHERS’</w:t>
      </w:r>
      <w:bookmarkEnd w:id="18"/>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The 35 categories contain a total of 37 ‘other’ brand clusters, meaning usually one per category. 17 of them are leaders in their categories, but of these only two show excess loyalty (&gt;10%).</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7/37 (19%) </w:t>
      </w:r>
      <w:proofErr w:type="gramStart"/>
      <w:r w:rsidRPr="00BD67ED">
        <w:rPr>
          <w:rFonts w:ascii="Cambria" w:eastAsia="Calibri" w:hAnsi="Cambria" w:cs="Times New Roman"/>
          <w:lang w:val="en-GB"/>
        </w:rPr>
        <w:t>are</w:t>
      </w:r>
      <w:proofErr w:type="gramEnd"/>
      <w:r w:rsidRPr="00BD67ED">
        <w:rPr>
          <w:rFonts w:ascii="Cambria" w:eastAsia="Calibri" w:hAnsi="Cambria" w:cs="Times New Roman"/>
          <w:lang w:val="en-GB"/>
        </w:rPr>
        <w:t xml:space="preserve"> either on/above the line. However, the majority of ‘others’ demonstrate the tendency to underperform expected loyalty figures (81%). </w:t>
      </w:r>
      <w:r w:rsidRPr="00BD67ED">
        <w:rPr>
          <w:rFonts w:ascii="Cambria" w:eastAsia="Calibri" w:hAnsi="Cambria" w:cs="Times New Roman"/>
          <w:highlight w:val="yellow"/>
          <w:lang w:val="en-GB"/>
        </w:rPr>
        <w:fldChar w:fldCharType="begin"/>
      </w:r>
      <w:r w:rsidRPr="00BD67ED">
        <w:rPr>
          <w:rFonts w:ascii="Cambria" w:eastAsia="Calibri" w:hAnsi="Cambria" w:cs="Times New Roman"/>
          <w:highlight w:val="yellow"/>
          <w:lang w:val="en-GB"/>
        </w:rPr>
        <w:instrText xml:space="preserve"> REF _Ref472334357 \h </w:instrText>
      </w:r>
      <w:r w:rsidR="00540B69" w:rsidRPr="00BD67ED">
        <w:rPr>
          <w:rFonts w:ascii="Cambria" w:eastAsia="Calibri" w:hAnsi="Cambria" w:cs="Times New Roman"/>
          <w:highlight w:val="yellow"/>
          <w:lang w:val="en-GB"/>
        </w:rPr>
        <w:instrText xml:space="preserve"> \* MERGEFORMAT </w:instrText>
      </w:r>
      <w:r w:rsidRPr="00BD67ED">
        <w:rPr>
          <w:rFonts w:ascii="Cambria" w:eastAsia="Calibri" w:hAnsi="Cambria" w:cs="Times New Roman"/>
          <w:highlight w:val="yellow"/>
          <w:lang w:val="en-GB"/>
        </w:rPr>
      </w:r>
      <w:r w:rsidRPr="00BD67ED">
        <w:rPr>
          <w:rFonts w:ascii="Cambria" w:eastAsia="Calibri" w:hAnsi="Cambria" w:cs="Times New Roman"/>
          <w:highlight w:val="yellow"/>
          <w:lang w:val="en-GB"/>
        </w:rPr>
        <w:fldChar w:fldCharType="separate"/>
      </w:r>
      <w:r w:rsidR="00540B69" w:rsidRPr="00BD67ED">
        <w:rPr>
          <w:rFonts w:ascii="Cambria" w:eastAsia="Calibri" w:hAnsi="Cambria" w:cs="Times New Roman"/>
          <w:iCs/>
          <w:color w:val="2E74B5"/>
          <w:lang w:val="en-GB"/>
        </w:rPr>
        <w:t xml:space="preserve">Table </w:t>
      </w:r>
      <w:r w:rsidR="00540B69" w:rsidRPr="00BD67ED">
        <w:rPr>
          <w:rFonts w:ascii="Cambria" w:eastAsia="Calibri" w:hAnsi="Cambria" w:cs="Times New Roman"/>
          <w:iCs/>
          <w:noProof/>
          <w:color w:val="2E74B5"/>
          <w:lang w:val="en-GB"/>
        </w:rPr>
        <w:t>5</w:t>
      </w:r>
      <w:r w:rsidRPr="00BD67ED">
        <w:rPr>
          <w:rFonts w:ascii="Cambria" w:eastAsia="Calibri" w:hAnsi="Cambria" w:cs="Times New Roman"/>
          <w:highlight w:val="yellow"/>
          <w:lang w:val="en-GB"/>
        </w:rPr>
        <w:fldChar w:fldCharType="end"/>
      </w:r>
      <w:r w:rsidRPr="00BD67ED">
        <w:rPr>
          <w:rFonts w:ascii="Cambria" w:eastAsia="Calibri" w:hAnsi="Cambria" w:cs="Times New Roman"/>
          <w:lang w:val="en-GB"/>
        </w:rPr>
        <w:t xml:space="preserve"> illustrates ‘others’ tend to negative, but mostly s</w:t>
      </w:r>
      <w:r w:rsidR="001923B3" w:rsidRPr="00BD67ED">
        <w:rPr>
          <w:rFonts w:ascii="Cambria" w:eastAsia="Calibri" w:hAnsi="Cambria" w:cs="Times New Roman"/>
          <w:lang w:val="en-GB"/>
        </w:rPr>
        <w:t>maller (&lt;10%) variances (</w:t>
      </w:r>
      <w:r w:rsidRPr="00BD67ED">
        <w:rPr>
          <w:rFonts w:ascii="Cambria" w:eastAsia="Calibri" w:hAnsi="Cambria" w:cs="Times New Roman"/>
          <w:lang w:val="en-GB"/>
        </w:rPr>
        <w:t>59%).  Thus “Other,” a collection of smaller brands, even in aggregate under-performs, just as other smaller brands generally do.</w:t>
      </w:r>
    </w:p>
    <w:tbl>
      <w:tblPr>
        <w:tblStyle w:val="EinfacheTabelle51"/>
        <w:tblW w:w="5387" w:type="dxa"/>
        <w:tblLook w:val="04A0" w:firstRow="1" w:lastRow="0" w:firstColumn="1" w:lastColumn="0" w:noHBand="0" w:noVBand="1"/>
      </w:tblPr>
      <w:tblGrid>
        <w:gridCol w:w="1701"/>
        <w:gridCol w:w="1134"/>
        <w:gridCol w:w="1560"/>
        <w:gridCol w:w="992"/>
      </w:tblGrid>
      <w:tr w:rsidR="00D83829" w:rsidRPr="00BD67ED" w:rsidTr="00E077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gridSpan w:val="2"/>
            <w:tcBorders>
              <w:bottom w:val="single" w:sz="4" w:space="0" w:color="auto"/>
              <w:right w:val="single" w:sz="4" w:space="0" w:color="auto"/>
            </w:tcBorders>
            <w:shd w:val="clear" w:color="auto" w:fill="auto"/>
          </w:tcPr>
          <w:p w:rsidR="00D83829" w:rsidRPr="00BD67ED" w:rsidRDefault="00D83829" w:rsidP="00AF4532">
            <w:pPr>
              <w:spacing w:line="276" w:lineRule="auto"/>
              <w:jc w:val="left"/>
              <w:rPr>
                <w:rFonts w:ascii="Cambria" w:eastAsia="Calibri" w:hAnsi="Cambria"/>
                <w:b/>
                <w:color w:val="00B050"/>
                <w:sz w:val="18"/>
                <w:szCs w:val="18"/>
                <w:lang w:val="en-GB"/>
              </w:rPr>
            </w:pPr>
            <w:r w:rsidRPr="00BD67ED">
              <w:rPr>
                <w:rFonts w:ascii="Cambria" w:eastAsia="Calibri" w:hAnsi="Cambria"/>
                <w:b/>
                <w:sz w:val="18"/>
                <w:szCs w:val="18"/>
                <w:lang w:val="en-GB"/>
              </w:rPr>
              <w:t>VARIANCE LEVEL</w:t>
            </w:r>
          </w:p>
        </w:tc>
        <w:tc>
          <w:tcPr>
            <w:tcW w:w="2552" w:type="dxa"/>
            <w:gridSpan w:val="2"/>
            <w:tcBorders>
              <w:left w:val="single" w:sz="4" w:space="0" w:color="auto"/>
              <w:bottom w:val="single" w:sz="4" w:space="0" w:color="auto"/>
            </w:tcBorders>
            <w:shd w:val="clear" w:color="auto" w:fill="auto"/>
          </w:tcPr>
          <w:p w:rsidR="00D83829" w:rsidRPr="00BD67ED" w:rsidRDefault="00D83829" w:rsidP="00D83829">
            <w:pPr>
              <w:spacing w:line="276" w:lineRule="auto"/>
              <w:cnfStyle w:val="100000000000" w:firstRow="1" w:lastRow="0" w:firstColumn="0" w:lastColumn="0" w:oddVBand="0" w:evenVBand="0" w:oddHBand="0" w:evenHBand="0" w:firstRowFirstColumn="0" w:firstRowLastColumn="0" w:lastRowFirstColumn="0" w:lastRowLastColumn="0"/>
              <w:rPr>
                <w:rFonts w:ascii="Cambria" w:eastAsia="Calibri" w:hAnsi="Cambria"/>
                <w:b/>
                <w:color w:val="00B050"/>
                <w:sz w:val="18"/>
                <w:szCs w:val="18"/>
                <w:lang w:val="en-GB"/>
              </w:rPr>
            </w:pPr>
            <w:r w:rsidRPr="00BD67ED">
              <w:rPr>
                <w:rFonts w:ascii="Cambria" w:eastAsia="Calibri" w:hAnsi="Cambria"/>
                <w:b/>
                <w:color w:val="00B050"/>
                <w:sz w:val="18"/>
                <w:szCs w:val="18"/>
                <w:lang w:val="en-GB"/>
              </w:rPr>
              <w:t>‘OTHERS’</w:t>
            </w:r>
            <w:r w:rsidR="00D5212F" w:rsidRPr="00BD67ED">
              <w:rPr>
                <w:rFonts w:ascii="Cambria" w:eastAsia="Calibri" w:hAnsi="Cambria"/>
                <w:b/>
                <w:color w:val="00B050"/>
                <w:sz w:val="18"/>
                <w:szCs w:val="18"/>
                <w:lang w:val="en-GB"/>
              </w:rPr>
              <w:t xml:space="preserve"> (%)</w:t>
            </w:r>
          </w:p>
        </w:tc>
      </w:tr>
      <w:tr w:rsidR="00353B2C" w:rsidRPr="00BD67ED" w:rsidTr="00353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353B2C" w:rsidRPr="00BD67ED" w:rsidRDefault="00353B2C" w:rsidP="00353B2C">
            <w:pPr>
              <w:spacing w:line="276" w:lineRule="auto"/>
              <w:jc w:val="both"/>
              <w:rPr>
                <w:rFonts w:ascii="Cambria" w:eastAsia="Calibri" w:hAnsi="Cambria"/>
                <w:sz w:val="18"/>
                <w:szCs w:val="18"/>
                <w:lang w:val="en-GB"/>
              </w:rPr>
            </w:pPr>
            <w:r w:rsidRPr="00BD67ED">
              <w:rPr>
                <w:rFonts w:ascii="Cambria" w:eastAsia="Calibri" w:hAnsi="Cambria"/>
                <w:sz w:val="18"/>
                <w:szCs w:val="18"/>
                <w:lang w:val="en-GB"/>
              </w:rPr>
              <w:t>Positive small</w:t>
            </w:r>
          </w:p>
        </w:tc>
        <w:tc>
          <w:tcPr>
            <w:tcW w:w="1134" w:type="dxa"/>
            <w:tcBorders>
              <w:left w:val="nil"/>
              <w:right w:val="single" w:sz="4" w:space="0" w:color="auto"/>
            </w:tcBorders>
            <w:shd w:val="clear" w:color="auto" w:fill="auto"/>
          </w:tcPr>
          <w:p w:rsidR="00353B2C" w:rsidRPr="00BD67ED" w:rsidRDefault="00353B2C" w:rsidP="00353B2C">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i/>
                <w:color w:val="FF0000"/>
                <w:sz w:val="18"/>
                <w:szCs w:val="18"/>
                <w:lang w:val="en-GB"/>
              </w:rPr>
            </w:pPr>
            <w:r w:rsidRPr="00BD67ED">
              <w:rPr>
                <w:rFonts w:ascii="Cambria" w:eastAsia="Calibri" w:hAnsi="Cambria" w:cs="Times New Roman"/>
                <w:i/>
                <w:sz w:val="18"/>
                <w:szCs w:val="18"/>
                <w:lang w:val="en-GB"/>
              </w:rPr>
              <w:t>(&lt;10%)</w:t>
            </w:r>
          </w:p>
        </w:tc>
        <w:tc>
          <w:tcPr>
            <w:tcW w:w="1560" w:type="dxa"/>
            <w:tcBorders>
              <w:left w:val="single" w:sz="4" w:space="0" w:color="auto"/>
            </w:tcBorders>
            <w:shd w:val="clear" w:color="auto" w:fill="auto"/>
          </w:tcPr>
          <w:p w:rsidR="00353B2C" w:rsidRPr="00BD67ED" w:rsidRDefault="00353B2C" w:rsidP="00353B2C">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00B050"/>
                <w:sz w:val="18"/>
                <w:szCs w:val="18"/>
                <w:lang w:val="en-GB"/>
              </w:rPr>
            </w:pPr>
            <w:r w:rsidRPr="00BD67ED">
              <w:rPr>
                <w:rFonts w:ascii="Cambria" w:eastAsia="Calibri" w:hAnsi="Cambria" w:cs="Times New Roman"/>
                <w:color w:val="00B050"/>
                <w:sz w:val="18"/>
                <w:szCs w:val="18"/>
                <w:lang w:val="en-GB"/>
              </w:rPr>
              <w:t>14</w:t>
            </w:r>
          </w:p>
        </w:tc>
        <w:tc>
          <w:tcPr>
            <w:tcW w:w="992" w:type="dxa"/>
            <w:vMerge w:val="restart"/>
            <w:shd w:val="clear" w:color="auto" w:fill="auto"/>
          </w:tcPr>
          <w:p w:rsidR="00353B2C" w:rsidRPr="00BD67ED" w:rsidRDefault="00353B2C" w:rsidP="00353B2C">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00B050"/>
                <w:sz w:val="18"/>
                <w:szCs w:val="18"/>
                <w:lang w:val="en-GB"/>
              </w:rPr>
            </w:pPr>
            <w:r w:rsidRPr="00BD67ED">
              <w:rPr>
                <w:rFonts w:ascii="Cambria" w:eastAsia="Calibri" w:hAnsi="Cambria" w:cs="Times New Roman"/>
                <w:color w:val="00B050"/>
                <w:sz w:val="18"/>
                <w:szCs w:val="18"/>
                <w:lang w:val="en-GB"/>
              </w:rPr>
              <w:t>19</w:t>
            </w:r>
          </w:p>
        </w:tc>
      </w:tr>
      <w:tr w:rsidR="00353B2C" w:rsidRPr="00BD67ED" w:rsidTr="00353B2C">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353B2C" w:rsidRPr="00BD67ED" w:rsidRDefault="00353B2C" w:rsidP="00353B2C">
            <w:pPr>
              <w:spacing w:line="276" w:lineRule="auto"/>
              <w:jc w:val="both"/>
              <w:rPr>
                <w:rFonts w:ascii="Cambria" w:eastAsia="Calibri" w:hAnsi="Cambria"/>
                <w:sz w:val="18"/>
                <w:szCs w:val="18"/>
                <w:lang w:val="en-GB"/>
              </w:rPr>
            </w:pPr>
            <w:r w:rsidRPr="00BD67ED">
              <w:rPr>
                <w:rFonts w:ascii="Cambria" w:eastAsia="Calibri" w:hAnsi="Cambria"/>
                <w:sz w:val="18"/>
                <w:szCs w:val="18"/>
                <w:lang w:val="en-GB"/>
              </w:rPr>
              <w:t>Positive large</w:t>
            </w:r>
          </w:p>
        </w:tc>
        <w:tc>
          <w:tcPr>
            <w:tcW w:w="1134" w:type="dxa"/>
            <w:tcBorders>
              <w:left w:val="nil"/>
              <w:right w:val="single" w:sz="4" w:space="0" w:color="auto"/>
            </w:tcBorders>
            <w:shd w:val="clear" w:color="auto" w:fill="auto"/>
          </w:tcPr>
          <w:p w:rsidR="00353B2C" w:rsidRPr="00BD67ED" w:rsidRDefault="00353B2C" w:rsidP="00353B2C">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i/>
                <w:color w:val="FF0000"/>
                <w:sz w:val="18"/>
                <w:szCs w:val="18"/>
                <w:lang w:val="en-GB"/>
              </w:rPr>
            </w:pPr>
            <w:r w:rsidRPr="00BD67ED">
              <w:rPr>
                <w:rFonts w:ascii="Cambria" w:eastAsia="Calibri" w:hAnsi="Cambria" w:cs="Times New Roman"/>
                <w:i/>
                <w:sz w:val="18"/>
                <w:szCs w:val="18"/>
                <w:lang w:val="en-GB"/>
              </w:rPr>
              <w:t>(&gt;10%)</w:t>
            </w:r>
          </w:p>
        </w:tc>
        <w:tc>
          <w:tcPr>
            <w:tcW w:w="1560" w:type="dxa"/>
            <w:tcBorders>
              <w:left w:val="single" w:sz="4" w:space="0" w:color="auto"/>
            </w:tcBorders>
            <w:shd w:val="clear" w:color="auto" w:fill="auto"/>
          </w:tcPr>
          <w:p w:rsidR="00353B2C" w:rsidRDefault="00353B2C" w:rsidP="00353B2C">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B050"/>
                <w:sz w:val="18"/>
                <w:szCs w:val="18"/>
                <w:lang w:val="en-GB"/>
              </w:rPr>
            </w:pPr>
            <w:r w:rsidRPr="00BD67ED">
              <w:rPr>
                <w:rFonts w:ascii="Cambria" w:eastAsia="Calibri" w:hAnsi="Cambria" w:cs="Times New Roman"/>
                <w:color w:val="00B050"/>
                <w:sz w:val="18"/>
                <w:szCs w:val="18"/>
                <w:lang w:val="en-GB"/>
              </w:rPr>
              <w:t>5</w:t>
            </w:r>
          </w:p>
          <w:p w:rsidR="00353B2C" w:rsidRPr="00BD67ED" w:rsidRDefault="00353B2C" w:rsidP="00353B2C">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B050"/>
                <w:sz w:val="18"/>
                <w:szCs w:val="18"/>
                <w:lang w:val="en-GB"/>
              </w:rPr>
            </w:pPr>
          </w:p>
        </w:tc>
        <w:tc>
          <w:tcPr>
            <w:tcW w:w="992" w:type="dxa"/>
            <w:vMerge/>
            <w:shd w:val="clear" w:color="auto" w:fill="auto"/>
          </w:tcPr>
          <w:p w:rsidR="00353B2C" w:rsidRPr="00BD67ED" w:rsidRDefault="00353B2C" w:rsidP="00353B2C">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B050"/>
                <w:sz w:val="18"/>
                <w:szCs w:val="18"/>
                <w:lang w:val="en-GB"/>
              </w:rPr>
            </w:pPr>
          </w:p>
        </w:tc>
      </w:tr>
      <w:tr w:rsidR="00D83829" w:rsidRPr="00BD67ED" w:rsidTr="00353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none" w:sz="0" w:space="0" w:color="auto"/>
            </w:tcBorders>
            <w:shd w:val="clear" w:color="auto" w:fill="auto"/>
          </w:tcPr>
          <w:p w:rsidR="00D83829" w:rsidRPr="00BD67ED" w:rsidRDefault="00D83829" w:rsidP="00D83829">
            <w:pPr>
              <w:spacing w:line="276" w:lineRule="auto"/>
              <w:jc w:val="both"/>
              <w:rPr>
                <w:rFonts w:ascii="Cambria" w:eastAsia="Calibri" w:hAnsi="Cambria"/>
                <w:sz w:val="18"/>
                <w:szCs w:val="18"/>
                <w:lang w:val="en-GB"/>
              </w:rPr>
            </w:pPr>
            <w:r w:rsidRPr="00BD67ED">
              <w:rPr>
                <w:rFonts w:ascii="Cambria" w:eastAsia="Calibri" w:hAnsi="Cambria"/>
                <w:sz w:val="18"/>
                <w:szCs w:val="18"/>
                <w:lang w:val="en-GB"/>
              </w:rPr>
              <w:t>Negative small</w:t>
            </w:r>
          </w:p>
        </w:tc>
        <w:tc>
          <w:tcPr>
            <w:tcW w:w="1134" w:type="dxa"/>
            <w:tcBorders>
              <w:right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i/>
                <w:color w:val="FF0000"/>
                <w:sz w:val="18"/>
                <w:szCs w:val="18"/>
                <w:lang w:val="en-GB"/>
              </w:rPr>
            </w:pPr>
            <w:r w:rsidRPr="00BD67ED">
              <w:rPr>
                <w:rFonts w:ascii="Cambria" w:eastAsia="Calibri" w:hAnsi="Cambria" w:cs="Times New Roman"/>
                <w:i/>
                <w:sz w:val="18"/>
                <w:szCs w:val="18"/>
                <w:lang w:val="en-GB"/>
              </w:rPr>
              <w:t>(&lt;10%)</w:t>
            </w:r>
          </w:p>
        </w:tc>
        <w:tc>
          <w:tcPr>
            <w:tcW w:w="1560" w:type="dxa"/>
            <w:tcBorders>
              <w:left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00B050"/>
                <w:sz w:val="18"/>
                <w:szCs w:val="18"/>
                <w:lang w:val="en-GB"/>
              </w:rPr>
            </w:pPr>
            <w:r w:rsidRPr="00BD67ED">
              <w:rPr>
                <w:rFonts w:ascii="Cambria" w:eastAsia="Calibri" w:hAnsi="Cambria" w:cs="Times New Roman"/>
                <w:color w:val="00B050"/>
                <w:sz w:val="18"/>
                <w:szCs w:val="18"/>
                <w:lang w:val="en-GB"/>
              </w:rPr>
              <w:t>59</w:t>
            </w:r>
          </w:p>
        </w:tc>
        <w:tc>
          <w:tcPr>
            <w:tcW w:w="992" w:type="dxa"/>
            <w:vMerge w:val="restart"/>
            <w:shd w:val="clear" w:color="auto" w:fill="auto"/>
          </w:tcPr>
          <w:p w:rsidR="00D83829" w:rsidRPr="00BD67ED" w:rsidRDefault="00D5212F"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00B050"/>
                <w:sz w:val="18"/>
                <w:szCs w:val="18"/>
                <w:lang w:val="en-GB"/>
              </w:rPr>
            </w:pPr>
            <w:r w:rsidRPr="00BD67ED">
              <w:rPr>
                <w:rFonts w:ascii="Cambria" w:eastAsia="Calibri" w:hAnsi="Cambria" w:cs="Times New Roman"/>
                <w:color w:val="00B050"/>
                <w:sz w:val="18"/>
                <w:szCs w:val="18"/>
                <w:lang w:val="en-GB"/>
              </w:rPr>
              <w:t>81</w:t>
            </w:r>
          </w:p>
        </w:tc>
      </w:tr>
      <w:tr w:rsidR="00D83829" w:rsidRPr="00BD67ED" w:rsidTr="00E07775">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D83829" w:rsidRPr="00BD67ED" w:rsidRDefault="00D83829" w:rsidP="00D83829">
            <w:pPr>
              <w:spacing w:line="276" w:lineRule="auto"/>
              <w:jc w:val="both"/>
              <w:rPr>
                <w:rFonts w:ascii="Cambria" w:eastAsia="Calibri" w:hAnsi="Cambria"/>
                <w:sz w:val="18"/>
                <w:szCs w:val="18"/>
                <w:lang w:val="en-GB"/>
              </w:rPr>
            </w:pPr>
            <w:r w:rsidRPr="00BD67ED">
              <w:rPr>
                <w:rFonts w:ascii="Cambria" w:eastAsia="Calibri" w:hAnsi="Cambria"/>
                <w:sz w:val="18"/>
                <w:szCs w:val="18"/>
                <w:lang w:val="en-GB"/>
              </w:rPr>
              <w:t>Negative large</w:t>
            </w:r>
          </w:p>
        </w:tc>
        <w:tc>
          <w:tcPr>
            <w:tcW w:w="1134" w:type="dxa"/>
            <w:tcBorders>
              <w:left w:val="nil"/>
              <w:right w:val="single" w:sz="4" w:space="0" w:color="auto"/>
            </w:tcBorders>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i/>
                <w:color w:val="FF0000"/>
                <w:sz w:val="18"/>
                <w:szCs w:val="18"/>
                <w:lang w:val="en-GB"/>
              </w:rPr>
            </w:pPr>
            <w:r w:rsidRPr="00BD67ED">
              <w:rPr>
                <w:rFonts w:ascii="Cambria" w:eastAsia="Calibri" w:hAnsi="Cambria" w:cs="Times New Roman"/>
                <w:i/>
                <w:sz w:val="18"/>
                <w:szCs w:val="18"/>
                <w:lang w:val="en-GB"/>
              </w:rPr>
              <w:t>(&gt;10%)</w:t>
            </w:r>
          </w:p>
        </w:tc>
        <w:tc>
          <w:tcPr>
            <w:tcW w:w="1560" w:type="dxa"/>
            <w:tcBorders>
              <w:left w:val="single" w:sz="4" w:space="0" w:color="auto"/>
            </w:tcBorders>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B050"/>
                <w:sz w:val="18"/>
                <w:szCs w:val="18"/>
                <w:lang w:val="en-GB"/>
              </w:rPr>
            </w:pPr>
            <w:r w:rsidRPr="00BD67ED">
              <w:rPr>
                <w:rFonts w:ascii="Cambria" w:eastAsia="Calibri" w:hAnsi="Cambria" w:cs="Times New Roman"/>
                <w:color w:val="00B050"/>
                <w:sz w:val="18"/>
                <w:szCs w:val="18"/>
                <w:lang w:val="en-GB"/>
              </w:rPr>
              <w:t>22</w:t>
            </w:r>
          </w:p>
        </w:tc>
        <w:tc>
          <w:tcPr>
            <w:tcW w:w="992" w:type="dxa"/>
            <w:vMerge/>
            <w:shd w:val="clear" w:color="auto" w:fill="auto"/>
          </w:tcPr>
          <w:p w:rsidR="00D83829" w:rsidRPr="00BD67ED" w:rsidRDefault="00D83829" w:rsidP="00D8382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00B050"/>
                <w:sz w:val="18"/>
                <w:szCs w:val="18"/>
                <w:lang w:val="en-GB"/>
              </w:rPr>
            </w:pPr>
          </w:p>
        </w:tc>
      </w:tr>
      <w:tr w:rsidR="00D83829" w:rsidRPr="00BD67ED" w:rsidTr="00E07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shd w:val="clear" w:color="auto" w:fill="auto"/>
          </w:tcPr>
          <w:p w:rsidR="00D83829" w:rsidRPr="00BD67ED" w:rsidRDefault="00D83829" w:rsidP="00D83829">
            <w:pPr>
              <w:spacing w:line="276" w:lineRule="auto"/>
              <w:jc w:val="both"/>
              <w:rPr>
                <w:rFonts w:ascii="Cambria" w:eastAsia="Calibri" w:hAnsi="Cambria"/>
                <w:b/>
                <w:sz w:val="18"/>
                <w:szCs w:val="18"/>
                <w:lang w:val="en-GB"/>
              </w:rPr>
            </w:pPr>
          </w:p>
        </w:tc>
        <w:tc>
          <w:tcPr>
            <w:tcW w:w="1134" w:type="dxa"/>
            <w:tcBorders>
              <w:left w:val="nil"/>
              <w:bottom w:val="single" w:sz="4" w:space="0" w:color="auto"/>
              <w:right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00B050"/>
                <w:sz w:val="18"/>
                <w:szCs w:val="18"/>
                <w:lang w:val="en-GB"/>
              </w:rPr>
            </w:pPr>
          </w:p>
        </w:tc>
        <w:tc>
          <w:tcPr>
            <w:tcW w:w="1560" w:type="dxa"/>
            <w:tcBorders>
              <w:left w:val="single" w:sz="4" w:space="0" w:color="auto"/>
              <w:bottom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00B050"/>
                <w:sz w:val="18"/>
                <w:szCs w:val="18"/>
                <w:lang w:val="en-GB"/>
              </w:rPr>
            </w:pPr>
          </w:p>
        </w:tc>
        <w:tc>
          <w:tcPr>
            <w:tcW w:w="992" w:type="dxa"/>
            <w:tcBorders>
              <w:bottom w:val="single" w:sz="4" w:space="0" w:color="auto"/>
            </w:tcBorders>
            <w:shd w:val="clear" w:color="auto" w:fill="auto"/>
          </w:tcPr>
          <w:p w:rsidR="00D83829" w:rsidRPr="00BD67ED" w:rsidRDefault="00D83829" w:rsidP="00D83829">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00B050"/>
                <w:sz w:val="18"/>
                <w:szCs w:val="18"/>
                <w:lang w:val="en-GB"/>
              </w:rPr>
            </w:pPr>
          </w:p>
        </w:tc>
      </w:tr>
    </w:tbl>
    <w:p w:rsidR="00D83829" w:rsidRPr="00BD67ED" w:rsidRDefault="00D83829" w:rsidP="00D83829">
      <w:pPr>
        <w:keepNext/>
        <w:spacing w:after="200" w:line="360" w:lineRule="auto"/>
        <w:jc w:val="both"/>
        <w:rPr>
          <w:rFonts w:ascii="Cambria" w:eastAsia="Calibri" w:hAnsi="Cambria" w:cs="Times New Roman"/>
          <w:i/>
          <w:iCs/>
          <w:color w:val="44546A"/>
          <w:sz w:val="18"/>
          <w:szCs w:val="18"/>
          <w:lang w:val="en-GB"/>
        </w:rPr>
      </w:pPr>
      <w:bookmarkStart w:id="19" w:name="_Ref472334357"/>
      <w:bookmarkStart w:id="20" w:name="_Toc473750129"/>
      <w:r w:rsidRPr="00BD67ED">
        <w:rPr>
          <w:rFonts w:ascii="Cambria" w:eastAsia="Calibri" w:hAnsi="Cambria" w:cs="Times New Roman"/>
          <w:i/>
          <w:iCs/>
          <w:color w:val="2E74B5"/>
          <w:sz w:val="18"/>
          <w:szCs w:val="18"/>
          <w:lang w:val="en-GB"/>
        </w:rPr>
        <w:t xml:space="preserve">Table </w:t>
      </w:r>
      <w:r w:rsidRPr="00BD67ED">
        <w:rPr>
          <w:rFonts w:ascii="Cambria" w:eastAsia="Calibri" w:hAnsi="Cambria" w:cs="Times New Roman"/>
          <w:i/>
          <w:iCs/>
          <w:color w:val="2E74B5"/>
          <w:sz w:val="18"/>
          <w:szCs w:val="18"/>
          <w:lang w:val="en-GB"/>
        </w:rPr>
        <w:fldChar w:fldCharType="begin"/>
      </w:r>
      <w:r w:rsidRPr="00BD67ED">
        <w:rPr>
          <w:rFonts w:ascii="Cambria" w:eastAsia="Calibri" w:hAnsi="Cambria" w:cs="Times New Roman"/>
          <w:i/>
          <w:iCs/>
          <w:color w:val="2E74B5"/>
          <w:sz w:val="18"/>
          <w:szCs w:val="18"/>
          <w:lang w:val="en-GB"/>
        </w:rPr>
        <w:instrText xml:space="preserve"> SEQ Table \* ARABIC </w:instrText>
      </w:r>
      <w:r w:rsidRPr="00BD67ED">
        <w:rPr>
          <w:rFonts w:ascii="Cambria" w:eastAsia="Calibri" w:hAnsi="Cambria" w:cs="Times New Roman"/>
          <w:i/>
          <w:iCs/>
          <w:color w:val="2E74B5"/>
          <w:sz w:val="18"/>
          <w:szCs w:val="18"/>
          <w:lang w:val="en-GB"/>
        </w:rPr>
        <w:fldChar w:fldCharType="separate"/>
      </w:r>
      <w:r w:rsidR="00540B69" w:rsidRPr="00BD67ED">
        <w:rPr>
          <w:rFonts w:ascii="Cambria" w:eastAsia="Calibri" w:hAnsi="Cambria" w:cs="Times New Roman"/>
          <w:i/>
          <w:iCs/>
          <w:noProof/>
          <w:color w:val="2E74B5"/>
          <w:sz w:val="18"/>
          <w:szCs w:val="18"/>
          <w:lang w:val="en-GB"/>
        </w:rPr>
        <w:t>5</w:t>
      </w:r>
      <w:r w:rsidRPr="00BD67ED">
        <w:rPr>
          <w:rFonts w:ascii="Cambria" w:eastAsia="Calibri" w:hAnsi="Cambria" w:cs="Times New Roman"/>
          <w:i/>
          <w:iCs/>
          <w:color w:val="2E74B5"/>
          <w:sz w:val="18"/>
          <w:szCs w:val="18"/>
          <w:lang w:val="en-GB"/>
        </w:rPr>
        <w:fldChar w:fldCharType="end"/>
      </w:r>
      <w:bookmarkEnd w:id="19"/>
      <w:r w:rsidRPr="00BD67ED">
        <w:rPr>
          <w:rFonts w:ascii="Cambria" w:eastAsia="Calibri" w:hAnsi="Cambria" w:cs="Times New Roman"/>
          <w:i/>
          <w:iCs/>
          <w:sz w:val="18"/>
          <w:szCs w:val="18"/>
          <w:lang w:val="en-GB"/>
        </w:rPr>
        <w:t>: 37 ‘others’ loyalty variance distributions</w:t>
      </w:r>
      <w:bookmarkEnd w:id="20"/>
    </w:p>
    <w:p w:rsidR="00D83829" w:rsidRPr="00BD67ED" w:rsidRDefault="00D83829" w:rsidP="00D83829">
      <w:pPr>
        <w:spacing w:line="360" w:lineRule="auto"/>
        <w:jc w:val="both"/>
        <w:rPr>
          <w:rFonts w:ascii="Cambria" w:eastAsia="Calibri" w:hAnsi="Cambria" w:cs="Times New Roman"/>
          <w:lang w:val="en-GB"/>
        </w:rPr>
      </w:pPr>
    </w:p>
    <w:p w:rsidR="00D83829" w:rsidRPr="00BD67ED" w:rsidRDefault="00D83829" w:rsidP="00BD67ED">
      <w:pPr>
        <w:pStyle w:val="Heading2"/>
        <w:spacing w:line="360" w:lineRule="auto"/>
        <w:jc w:val="both"/>
        <w:rPr>
          <w:rFonts w:ascii="Cambria" w:eastAsia="Times New Roman" w:hAnsi="Cambria" w:cs="Times New Roman"/>
          <w:color w:val="2E74B5"/>
          <w:sz w:val="24"/>
          <w:szCs w:val="24"/>
          <w:lang w:val="en-GB"/>
        </w:rPr>
      </w:pPr>
      <w:bookmarkStart w:id="21" w:name="_Toc473811553"/>
      <w:r w:rsidRPr="00BD67ED">
        <w:rPr>
          <w:rFonts w:ascii="Cambria" w:eastAsia="Times New Roman" w:hAnsi="Cambria" w:cs="Times New Roman"/>
          <w:color w:val="2E74B5"/>
          <w:sz w:val="24"/>
          <w:szCs w:val="24"/>
          <w:lang w:val="en-GB"/>
        </w:rPr>
        <w:t>SUMMARY FINDINGS</w:t>
      </w:r>
      <w:bookmarkEnd w:id="21"/>
    </w:p>
    <w:p w:rsidR="00D83829" w:rsidRPr="00BD67ED" w:rsidRDefault="00D83829" w:rsidP="00BD67ED">
      <w:pPr>
        <w:spacing w:line="360" w:lineRule="auto"/>
        <w:jc w:val="both"/>
        <w:rPr>
          <w:rFonts w:ascii="Cambria" w:eastAsia="Calibri" w:hAnsi="Cambria" w:cs="Times New Roman"/>
          <w:lang w:val="en-GB"/>
        </w:rPr>
      </w:pPr>
      <w:r w:rsidRPr="00BD67ED">
        <w:rPr>
          <w:rFonts w:ascii="Cambria" w:eastAsia="Calibri" w:hAnsi="Cambria" w:cs="Times New Roman"/>
          <w:lang w:val="en-GB"/>
        </w:rPr>
        <w:t>Although research into Double Jeopardy deviations has long been called for (</w:t>
      </w:r>
      <w:proofErr w:type="spellStart"/>
      <w:r w:rsidRPr="00BD67ED">
        <w:rPr>
          <w:rFonts w:ascii="Cambria" w:eastAsia="Calibri" w:hAnsi="Cambria" w:cs="Times New Roman"/>
          <w:lang w:val="en-GB"/>
        </w:rPr>
        <w:t>f.e</w:t>
      </w:r>
      <w:proofErr w:type="spellEnd"/>
      <w:r w:rsidRPr="00BD67ED">
        <w:rPr>
          <w:rFonts w:ascii="Cambria" w:eastAsia="Calibri" w:hAnsi="Cambria" w:cs="Times New Roman"/>
          <w:lang w:val="en-GB"/>
        </w:rPr>
        <w:t xml:space="preserve">. </w:t>
      </w:r>
      <w:r w:rsidRPr="00BD67ED">
        <w:rPr>
          <w:rFonts w:ascii="Cambria" w:eastAsia="Calibri" w:hAnsi="Cambria" w:cs="Times New Roman"/>
          <w:color w:val="2E74B5"/>
          <w:lang w:val="en-GB"/>
        </w:rPr>
        <w:t xml:space="preserve">Pare et al., 2006; </w:t>
      </w:r>
      <w:proofErr w:type="spellStart"/>
      <w:r w:rsidRPr="00BD67ED">
        <w:rPr>
          <w:rFonts w:ascii="Cambria" w:eastAsia="Calibri" w:hAnsi="Cambria" w:cs="Times New Roman"/>
          <w:color w:val="2E74B5"/>
          <w:lang w:val="en-GB"/>
        </w:rPr>
        <w:t>Scriven</w:t>
      </w:r>
      <w:proofErr w:type="spellEnd"/>
      <w:r w:rsidRPr="00BD67ED">
        <w:rPr>
          <w:rFonts w:ascii="Cambria" w:eastAsia="Calibri" w:hAnsi="Cambria" w:cs="Times New Roman"/>
          <w:color w:val="2E74B5"/>
          <w:lang w:val="en-GB"/>
        </w:rPr>
        <w:t xml:space="preserve"> and Bound, 2004; Uncles et al., 2004</w:t>
      </w:r>
      <w:r w:rsidRPr="00BD67ED">
        <w:rPr>
          <w:rFonts w:ascii="Cambria" w:eastAsia="Calibri" w:hAnsi="Cambria" w:cs="Times New Roman"/>
          <w:lang w:val="en-GB"/>
        </w:rPr>
        <w:t>), little is explored about small brand’s behaviour around the law</w:t>
      </w:r>
      <w:r w:rsidR="00353B2C">
        <w:rPr>
          <w:rFonts w:ascii="Cambria" w:eastAsia="Calibri" w:hAnsi="Cambria" w:cs="Times New Roman"/>
          <w:lang w:val="en-GB"/>
        </w:rPr>
        <w:t xml:space="preserve"> itself. By examining consumer</w:t>
      </w:r>
      <w:r w:rsidRPr="00BD67ED">
        <w:rPr>
          <w:rFonts w:ascii="Cambria" w:eastAsia="Calibri" w:hAnsi="Cambria" w:cs="Times New Roman"/>
          <w:lang w:val="en-GB"/>
        </w:rPr>
        <w:t xml:space="preserve"> buying </w:t>
      </w:r>
      <w:r w:rsidR="00353B2C">
        <w:rPr>
          <w:rFonts w:ascii="Cambria" w:eastAsia="Calibri" w:hAnsi="Cambria" w:cs="Times New Roman"/>
          <w:lang w:val="en-GB"/>
        </w:rPr>
        <w:t xml:space="preserve">behaviour </w:t>
      </w:r>
      <w:r w:rsidRPr="00BD67ED">
        <w:rPr>
          <w:rFonts w:ascii="Cambria" w:eastAsia="Calibri" w:hAnsi="Cambria" w:cs="Times New Roman"/>
          <w:lang w:val="en-GB"/>
        </w:rPr>
        <w:t>in 35 categories, this study contributes to the understanding of low share entities and their degree</w:t>
      </w:r>
      <w:r w:rsidR="00353B2C">
        <w:rPr>
          <w:rFonts w:ascii="Cambria" w:eastAsia="Calibri" w:hAnsi="Cambria" w:cs="Times New Roman"/>
          <w:lang w:val="en-GB"/>
        </w:rPr>
        <w:t xml:space="preserve"> of</w:t>
      </w:r>
      <w:r w:rsidRPr="00BD67ED">
        <w:rPr>
          <w:rFonts w:ascii="Cambria" w:eastAsia="Calibri" w:hAnsi="Cambria" w:cs="Times New Roman"/>
          <w:lang w:val="en-GB"/>
        </w:rPr>
        <w:t xml:space="preserve"> loyalty deficits:</w:t>
      </w:r>
    </w:p>
    <w:p w:rsidR="00D83829" w:rsidRPr="00BD67ED" w:rsidRDefault="00D83829" w:rsidP="00D83829">
      <w:pPr>
        <w:numPr>
          <w:ilvl w:val="0"/>
          <w:numId w:val="1"/>
        </w:numPr>
        <w:spacing w:line="360" w:lineRule="auto"/>
        <w:contextualSpacing/>
        <w:jc w:val="both"/>
        <w:rPr>
          <w:rFonts w:ascii="Cambria" w:eastAsia="Calibri" w:hAnsi="Cambria" w:cs="Times New Roman"/>
          <w:lang w:val="en-GB"/>
        </w:rPr>
      </w:pPr>
      <w:r w:rsidRPr="00BD67ED">
        <w:rPr>
          <w:rFonts w:ascii="Cambria" w:eastAsia="Calibri" w:hAnsi="Cambria" w:cs="Times New Roman"/>
          <w:lang w:val="en-GB"/>
        </w:rPr>
        <w:t xml:space="preserve">56% </w:t>
      </w:r>
      <w:r w:rsidR="00353B2C">
        <w:rPr>
          <w:rFonts w:ascii="Cambria" w:eastAsia="Calibri" w:hAnsi="Cambria" w:cs="Times New Roman"/>
          <w:lang w:val="en-GB"/>
        </w:rPr>
        <w:t xml:space="preserve">of </w:t>
      </w:r>
      <w:r w:rsidRPr="00BD67ED">
        <w:rPr>
          <w:rFonts w:ascii="Cambria" w:eastAsia="Calibri" w:hAnsi="Cambria" w:cs="Times New Roman"/>
          <w:lang w:val="en-GB"/>
        </w:rPr>
        <w:t>small brands negatively deviated, thus showing loyalty deficits.</w:t>
      </w:r>
    </w:p>
    <w:p w:rsidR="00D83829" w:rsidRPr="00BD67ED" w:rsidRDefault="001923B3" w:rsidP="00D83829">
      <w:pPr>
        <w:numPr>
          <w:ilvl w:val="0"/>
          <w:numId w:val="1"/>
        </w:numPr>
        <w:spacing w:line="360" w:lineRule="auto"/>
        <w:contextualSpacing/>
        <w:jc w:val="both"/>
        <w:rPr>
          <w:rFonts w:ascii="Cambria" w:eastAsia="Calibri" w:hAnsi="Cambria" w:cs="Times New Roman"/>
          <w:lang w:val="en-GB"/>
        </w:rPr>
      </w:pPr>
      <w:r w:rsidRPr="00BD67ED">
        <w:rPr>
          <w:rFonts w:ascii="Cambria" w:eastAsia="Calibri" w:hAnsi="Cambria" w:cs="Times New Roman"/>
          <w:lang w:val="en-GB"/>
        </w:rPr>
        <w:t xml:space="preserve">46% </w:t>
      </w:r>
      <w:r w:rsidR="00353B2C">
        <w:rPr>
          <w:rFonts w:ascii="Cambria" w:eastAsia="Calibri" w:hAnsi="Cambria" w:cs="Times New Roman"/>
          <w:lang w:val="en-GB"/>
        </w:rPr>
        <w:t>of small brands had greater</w:t>
      </w:r>
      <w:r w:rsidR="00D83829" w:rsidRPr="00BD67ED">
        <w:rPr>
          <w:rFonts w:ascii="Cambria" w:eastAsia="Calibri" w:hAnsi="Cambria" w:cs="Times New Roman"/>
          <w:lang w:val="en-GB"/>
        </w:rPr>
        <w:t xml:space="preserve"> than 10% negative </w:t>
      </w:r>
      <w:r w:rsidR="00FA0434">
        <w:rPr>
          <w:rFonts w:ascii="Cambria" w:eastAsia="Calibri" w:hAnsi="Cambria" w:cs="Times New Roman"/>
          <w:lang w:val="en-GB"/>
        </w:rPr>
        <w:t>loyalty variance</w:t>
      </w:r>
      <w:r w:rsidR="00D83829" w:rsidRPr="00BD67ED">
        <w:rPr>
          <w:rFonts w:ascii="Cambria" w:eastAsia="Calibri" w:hAnsi="Cambria" w:cs="Times New Roman"/>
          <w:lang w:val="en-GB"/>
        </w:rPr>
        <w:t>, thus supporting the deficit loyalty finding.</w:t>
      </w:r>
    </w:p>
    <w:p w:rsidR="00D83829" w:rsidRPr="00BD67ED" w:rsidRDefault="00353B2C" w:rsidP="00D83829">
      <w:pPr>
        <w:numPr>
          <w:ilvl w:val="0"/>
          <w:numId w:val="1"/>
        </w:numPr>
        <w:spacing w:line="360" w:lineRule="auto"/>
        <w:contextualSpacing/>
        <w:jc w:val="both"/>
        <w:rPr>
          <w:rFonts w:ascii="Cambria" w:eastAsia="Calibri" w:hAnsi="Cambria" w:cs="Times New Roman"/>
          <w:lang w:val="en-GB"/>
        </w:rPr>
      </w:pPr>
      <w:r>
        <w:rPr>
          <w:rFonts w:ascii="Cambria" w:eastAsia="Calibri" w:hAnsi="Cambria" w:cs="Times New Roman"/>
          <w:lang w:val="en-GB"/>
        </w:rPr>
        <w:t>39% of</w:t>
      </w:r>
      <w:r w:rsidR="00D83829" w:rsidRPr="00BD67ED">
        <w:rPr>
          <w:rFonts w:ascii="Cambria" w:eastAsia="Calibri" w:hAnsi="Cambria" w:cs="Times New Roman"/>
          <w:lang w:val="en-GB"/>
        </w:rPr>
        <w:t xml:space="preserve"> negative-devi</w:t>
      </w:r>
      <w:r>
        <w:rPr>
          <w:rFonts w:ascii="Cambria" w:eastAsia="Calibri" w:hAnsi="Cambria" w:cs="Times New Roman"/>
          <w:lang w:val="en-GB"/>
        </w:rPr>
        <w:t>ating brands are private labels</w:t>
      </w:r>
      <w:r w:rsidR="00D83829" w:rsidRPr="00BD67ED">
        <w:rPr>
          <w:rFonts w:ascii="Cambria" w:eastAsia="Calibri" w:hAnsi="Cambria" w:cs="Times New Roman"/>
          <w:lang w:val="en-GB"/>
        </w:rPr>
        <w:t>.</w:t>
      </w:r>
    </w:p>
    <w:p w:rsidR="00D83829" w:rsidRPr="00BD67ED" w:rsidRDefault="00353B2C" w:rsidP="00D83829">
      <w:pPr>
        <w:numPr>
          <w:ilvl w:val="0"/>
          <w:numId w:val="1"/>
        </w:numPr>
        <w:spacing w:line="360" w:lineRule="auto"/>
        <w:contextualSpacing/>
        <w:jc w:val="both"/>
        <w:rPr>
          <w:rFonts w:ascii="Cambria" w:eastAsia="Calibri" w:hAnsi="Cambria" w:cs="Times New Roman"/>
          <w:lang w:val="en-GB"/>
        </w:rPr>
      </w:pPr>
      <w:r>
        <w:rPr>
          <w:rFonts w:ascii="Cambria" w:eastAsia="Calibri" w:hAnsi="Cambria" w:cs="Times New Roman"/>
          <w:lang w:val="en-GB"/>
        </w:rPr>
        <w:t>81% of</w:t>
      </w:r>
      <w:r w:rsidR="00D83829" w:rsidRPr="00BD67ED">
        <w:rPr>
          <w:rFonts w:ascii="Cambria" w:eastAsia="Calibri" w:hAnsi="Cambria" w:cs="Times New Roman"/>
          <w:lang w:val="en-GB"/>
        </w:rPr>
        <w:t xml:space="preserve"> ‘other’ brands are under the line, demonstrating a deficit in loyalty.</w:t>
      </w:r>
    </w:p>
    <w:p w:rsidR="00D83829" w:rsidRDefault="00353B2C" w:rsidP="00D83829">
      <w:pPr>
        <w:numPr>
          <w:ilvl w:val="0"/>
          <w:numId w:val="1"/>
        </w:numPr>
        <w:spacing w:line="360" w:lineRule="auto"/>
        <w:contextualSpacing/>
        <w:jc w:val="both"/>
        <w:rPr>
          <w:rFonts w:ascii="Cambria" w:eastAsia="Calibri" w:hAnsi="Cambria" w:cs="Times New Roman"/>
          <w:lang w:val="en-GB"/>
        </w:rPr>
      </w:pPr>
      <w:r>
        <w:rPr>
          <w:rFonts w:ascii="Cambria" w:eastAsia="Calibri" w:hAnsi="Cambria" w:cs="Times New Roman"/>
          <w:lang w:val="en-GB"/>
        </w:rPr>
        <w:lastRenderedPageBreak/>
        <w:t>27% of</w:t>
      </w:r>
      <w:r w:rsidR="00D83829" w:rsidRPr="00BD67ED">
        <w:rPr>
          <w:rFonts w:ascii="Cambria" w:eastAsia="Calibri" w:hAnsi="Cambria" w:cs="Times New Roman"/>
          <w:lang w:val="en-GB"/>
        </w:rPr>
        <w:t xml:space="preserve"> </w:t>
      </w:r>
      <w:r w:rsidR="001923B3" w:rsidRPr="00BD67ED">
        <w:rPr>
          <w:rFonts w:ascii="Cambria" w:eastAsia="Calibri" w:hAnsi="Cambria" w:cs="Times New Roman"/>
          <w:lang w:val="en-GB"/>
        </w:rPr>
        <w:t xml:space="preserve">‘others’ </w:t>
      </w:r>
      <w:r>
        <w:rPr>
          <w:rFonts w:ascii="Cambria" w:eastAsia="Calibri" w:hAnsi="Cambria" w:cs="Times New Roman"/>
          <w:lang w:val="en-GB"/>
        </w:rPr>
        <w:t>have</w:t>
      </w:r>
      <w:r w:rsidR="00D83829" w:rsidRPr="00BD67ED">
        <w:rPr>
          <w:rFonts w:ascii="Cambria" w:eastAsia="Calibri" w:hAnsi="Cambria" w:cs="Times New Roman"/>
          <w:lang w:val="en-GB"/>
        </w:rPr>
        <w:t xml:space="preserve"> more than 10% negative difference</w:t>
      </w:r>
      <w:r>
        <w:rPr>
          <w:rFonts w:ascii="Cambria" w:eastAsia="Calibri" w:hAnsi="Cambria" w:cs="Times New Roman"/>
          <w:lang w:val="en-GB"/>
        </w:rPr>
        <w:t>.</w:t>
      </w:r>
    </w:p>
    <w:p w:rsidR="00A73813" w:rsidRPr="00BD67ED" w:rsidRDefault="00A73813" w:rsidP="00A73813">
      <w:pPr>
        <w:spacing w:line="360" w:lineRule="auto"/>
        <w:contextualSpacing/>
        <w:jc w:val="both"/>
        <w:rPr>
          <w:rFonts w:ascii="Cambria" w:eastAsia="Calibri" w:hAnsi="Cambria" w:cs="Times New Roman"/>
          <w:lang w:val="en-GB"/>
        </w:rPr>
      </w:pPr>
    </w:p>
    <w:p w:rsidR="00D83829" w:rsidRPr="00BD67ED" w:rsidRDefault="00D83829" w:rsidP="00BD67ED">
      <w:pPr>
        <w:pStyle w:val="Heading1"/>
        <w:spacing w:line="360" w:lineRule="auto"/>
        <w:jc w:val="both"/>
        <w:rPr>
          <w:rFonts w:ascii="Cambria" w:eastAsia="Times New Roman" w:hAnsi="Cambria" w:cs="Times New Roman"/>
          <w:color w:val="2E74B5"/>
          <w:sz w:val="26"/>
          <w:szCs w:val="26"/>
          <w:lang w:val="en-GB"/>
        </w:rPr>
      </w:pPr>
      <w:bookmarkStart w:id="22" w:name="_Ref472369028"/>
      <w:bookmarkStart w:id="23" w:name="_Ref472369034"/>
      <w:bookmarkStart w:id="24" w:name="_Toc473811554"/>
      <w:r w:rsidRPr="00BD67ED">
        <w:rPr>
          <w:rFonts w:ascii="Cambria" w:eastAsia="Times New Roman" w:hAnsi="Cambria" w:cs="Times New Roman"/>
          <w:color w:val="2E74B5"/>
          <w:sz w:val="24"/>
          <w:szCs w:val="24"/>
          <w:lang w:val="en-GB"/>
        </w:rPr>
        <w:t>DISCUSSION: ODDITIES &amp; PATTERNS</w:t>
      </w:r>
      <w:bookmarkEnd w:id="22"/>
      <w:bookmarkEnd w:id="23"/>
      <w:bookmarkEnd w:id="24"/>
    </w:p>
    <w:p w:rsidR="00D83829" w:rsidRPr="00BD67ED" w:rsidRDefault="00FB7FF2" w:rsidP="00BD67ED">
      <w:pPr>
        <w:spacing w:line="360" w:lineRule="auto"/>
        <w:jc w:val="both"/>
        <w:rPr>
          <w:rFonts w:ascii="Cambria" w:eastAsia="Calibri" w:hAnsi="Cambria" w:cs="Times New Roman"/>
          <w:lang w:val="en-GB"/>
        </w:rPr>
      </w:pPr>
      <w:r>
        <w:rPr>
          <w:rFonts w:ascii="Cambria" w:eastAsia="Calibri" w:hAnsi="Cambria" w:cs="Times New Roman"/>
          <w:lang w:val="en-GB"/>
        </w:rPr>
        <w:t>A</w:t>
      </w:r>
      <w:r w:rsidR="00D83829" w:rsidRPr="00BD67ED">
        <w:rPr>
          <w:rFonts w:ascii="Cambria" w:eastAsia="Calibri" w:hAnsi="Cambria" w:cs="Times New Roman"/>
          <w:lang w:val="en-GB"/>
        </w:rPr>
        <w:t xml:space="preserve">ny </w:t>
      </w:r>
      <w:r>
        <w:rPr>
          <w:rFonts w:ascii="Cambria" w:eastAsia="Calibri" w:hAnsi="Cambria" w:cs="Times New Roman"/>
          <w:lang w:val="en-GB"/>
        </w:rPr>
        <w:t>brand</w:t>
      </w:r>
      <w:r w:rsidR="00D83829" w:rsidRPr="00BD67ED">
        <w:rPr>
          <w:rFonts w:ascii="Cambria" w:eastAsia="Calibri" w:hAnsi="Cambria" w:cs="Times New Roman"/>
          <w:lang w:val="en-GB"/>
        </w:rPr>
        <w:t xml:space="preserve">’s </w:t>
      </w:r>
      <w:r>
        <w:rPr>
          <w:rFonts w:ascii="Cambria" w:eastAsia="Calibri" w:hAnsi="Cambria" w:cs="Times New Roman"/>
          <w:lang w:val="en-GB"/>
        </w:rPr>
        <w:t>sales</w:t>
      </w:r>
      <w:r w:rsidR="00D83829" w:rsidRPr="00BD67ED">
        <w:rPr>
          <w:rFonts w:ascii="Cambria" w:eastAsia="Calibri" w:hAnsi="Cambria" w:cs="Times New Roman"/>
          <w:lang w:val="en-GB"/>
        </w:rPr>
        <w:t xml:space="preserve"> </w:t>
      </w:r>
      <w:proofErr w:type="gramStart"/>
      <w:r w:rsidR="00D83829" w:rsidRPr="00BD67ED">
        <w:rPr>
          <w:rFonts w:ascii="Cambria" w:eastAsia="Calibri" w:hAnsi="Cambria" w:cs="Times New Roman"/>
          <w:lang w:val="en-GB"/>
        </w:rPr>
        <w:t>is</w:t>
      </w:r>
      <w:proofErr w:type="gramEnd"/>
      <w:r>
        <w:rPr>
          <w:rFonts w:ascii="Cambria" w:eastAsia="Calibri" w:hAnsi="Cambria" w:cs="Times New Roman"/>
          <w:lang w:val="en-GB"/>
        </w:rPr>
        <w:t xml:space="preserve"> based on</w:t>
      </w:r>
      <w:r w:rsidR="00353B2C">
        <w:rPr>
          <w:rFonts w:ascii="Cambria" w:eastAsia="Calibri" w:hAnsi="Cambria" w:cs="Times New Roman"/>
          <w:lang w:val="en-GB"/>
        </w:rPr>
        <w:t xml:space="preserve"> </w:t>
      </w:r>
      <w:r>
        <w:rPr>
          <w:rFonts w:ascii="Cambria" w:eastAsia="Calibri" w:hAnsi="Cambria" w:cs="Times New Roman"/>
          <w:lang w:val="en-GB"/>
        </w:rPr>
        <w:t>its</w:t>
      </w:r>
      <w:r w:rsidR="00353B2C">
        <w:rPr>
          <w:rFonts w:ascii="Cambria" w:eastAsia="Calibri" w:hAnsi="Cambria" w:cs="Times New Roman"/>
          <w:lang w:val="en-GB"/>
        </w:rPr>
        <w:t xml:space="preserve"> penetration and purchase frequency</w:t>
      </w:r>
      <w:r>
        <w:rPr>
          <w:rFonts w:ascii="Cambria" w:eastAsia="Calibri" w:hAnsi="Cambria" w:cs="Times New Roman"/>
          <w:lang w:val="en-GB"/>
        </w:rPr>
        <w:t>,</w:t>
      </w:r>
      <w:r w:rsidR="00353B2C">
        <w:rPr>
          <w:rFonts w:ascii="Cambria" w:eastAsia="Calibri" w:hAnsi="Cambria" w:cs="Times New Roman"/>
          <w:lang w:val="en-GB"/>
        </w:rPr>
        <w:t xml:space="preserve"> which have been shown rep</w:t>
      </w:r>
      <w:r>
        <w:rPr>
          <w:rFonts w:ascii="Cambria" w:eastAsia="Calibri" w:hAnsi="Cambria" w:cs="Times New Roman"/>
          <w:lang w:val="en-GB"/>
        </w:rPr>
        <w:t>eatedly to be near steady-state. The relationship between penetration and purchase frequency is concisely modelled by</w:t>
      </w:r>
      <w:r w:rsidR="00D83829" w:rsidRPr="00BD67ED">
        <w:rPr>
          <w:rFonts w:ascii="Cambria" w:eastAsia="Calibri" w:hAnsi="Cambria" w:cs="Times New Roman"/>
          <w:lang w:val="en-GB"/>
        </w:rPr>
        <w:t xml:space="preserve"> </w:t>
      </w:r>
      <w:r>
        <w:rPr>
          <w:rFonts w:ascii="Cambria" w:eastAsia="Calibri" w:hAnsi="Cambria" w:cs="Times New Roman"/>
          <w:lang w:val="en-GB"/>
        </w:rPr>
        <w:t>the NBD-</w:t>
      </w:r>
      <w:proofErr w:type="spellStart"/>
      <w:r>
        <w:rPr>
          <w:rFonts w:ascii="Cambria" w:eastAsia="Calibri" w:hAnsi="Cambria" w:cs="Times New Roman"/>
          <w:lang w:val="en-GB"/>
        </w:rPr>
        <w:t>Dirichlet</w:t>
      </w:r>
      <w:proofErr w:type="spellEnd"/>
      <w:r>
        <w:rPr>
          <w:rFonts w:ascii="Cambria" w:eastAsia="Calibri" w:hAnsi="Cambria" w:cs="Times New Roman"/>
          <w:lang w:val="en-GB"/>
        </w:rPr>
        <w:t>, which</w:t>
      </w:r>
      <w:r w:rsidR="00D83829" w:rsidRPr="00BD67ED">
        <w:rPr>
          <w:rFonts w:ascii="Cambria" w:eastAsia="Calibri" w:hAnsi="Cambria" w:cs="Times New Roman"/>
          <w:lang w:val="en-GB"/>
        </w:rPr>
        <w:t xml:space="preserve"> predicts comp</w:t>
      </w:r>
      <w:r>
        <w:rPr>
          <w:rFonts w:ascii="Cambria" w:eastAsia="Calibri" w:hAnsi="Cambria" w:cs="Times New Roman"/>
          <w:lang w:val="en-GB"/>
        </w:rPr>
        <w:t>eting brands’</w:t>
      </w:r>
      <w:r w:rsidR="00D83829" w:rsidRPr="00BD67ED">
        <w:rPr>
          <w:rFonts w:ascii="Cambria" w:eastAsia="Calibri" w:hAnsi="Cambria" w:cs="Times New Roman"/>
          <w:lang w:val="en-GB"/>
        </w:rPr>
        <w:t xml:space="preserve"> probabilities of being preferred (</w:t>
      </w:r>
      <w:r w:rsidR="00D83829" w:rsidRPr="00BD67ED">
        <w:rPr>
          <w:rFonts w:ascii="Cambria" w:eastAsia="Calibri" w:hAnsi="Cambria" w:cs="Times New Roman"/>
          <w:color w:val="5B9BD5"/>
          <w:lang w:val="en-GB"/>
          <w14:textFill>
            <w14:solidFill>
              <w14:srgbClr w14:val="5B9BD5">
                <w14:lumMod w14:val="75000"/>
              </w14:srgbClr>
            </w14:solidFill>
          </w14:textFill>
        </w:rPr>
        <w:t>Sharp, 2010</w:t>
      </w:r>
      <w:r w:rsidR="00D83829" w:rsidRPr="00BD67ED">
        <w:rPr>
          <w:rFonts w:ascii="Cambria" w:eastAsia="Calibri" w:hAnsi="Cambria" w:cs="Times New Roman"/>
          <w:lang w:val="en-GB"/>
        </w:rPr>
        <w:t>).</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This rather effortless </w:t>
      </w:r>
      <w:proofErr w:type="gramStart"/>
      <w:r w:rsidRPr="00BD67ED">
        <w:rPr>
          <w:rFonts w:ascii="Cambria" w:eastAsia="Calibri" w:hAnsi="Cambria" w:cs="Times New Roman"/>
          <w:lang w:val="en-GB"/>
        </w:rPr>
        <w:t>option-drawing</w:t>
      </w:r>
      <w:proofErr w:type="gramEnd"/>
      <w:r w:rsidRPr="00BD67ED">
        <w:rPr>
          <w:rFonts w:ascii="Cambria" w:eastAsia="Calibri" w:hAnsi="Cambria" w:cs="Times New Roman"/>
          <w:lang w:val="en-GB"/>
        </w:rPr>
        <w:t xml:space="preserve"> from a memory subset of brands has a zero-order as-if-random effect and comfortably saves constant re-evaluation time (</w:t>
      </w:r>
      <w:r w:rsidRPr="00BD67ED">
        <w:rPr>
          <w:rFonts w:ascii="Cambria" w:eastAsia="Calibri" w:hAnsi="Cambria" w:cs="Times New Roman"/>
          <w:color w:val="5B9BD5"/>
          <w:lang w:val="en-GB"/>
          <w14:textFill>
            <w14:solidFill>
              <w14:srgbClr w14:val="5B9BD5">
                <w14:lumMod w14:val="75000"/>
              </w14:srgbClr>
            </w14:solidFill>
          </w14:textFill>
        </w:rPr>
        <w:t>Uncles et al., 1995</w:t>
      </w:r>
      <w:r w:rsidRPr="00BD67ED">
        <w:rPr>
          <w:rFonts w:ascii="Cambria" w:eastAsia="Calibri" w:hAnsi="Cambria" w:cs="Times New Roman"/>
          <w:lang w:val="en-GB"/>
        </w:rPr>
        <w:t xml:space="preserve">). This means loyalty is based on repeat purchase (behaviour) </w:t>
      </w:r>
      <w:r w:rsidR="00FB7FF2">
        <w:rPr>
          <w:rFonts w:ascii="Cambria" w:eastAsia="Calibri" w:hAnsi="Cambria" w:cs="Times New Roman"/>
          <w:lang w:val="en-GB"/>
        </w:rPr>
        <w:t>and</w:t>
      </w:r>
      <w:r w:rsidRPr="00BD67ED">
        <w:rPr>
          <w:rFonts w:ascii="Cambria" w:eastAsia="Calibri" w:hAnsi="Cambria" w:cs="Times New Roman"/>
          <w:lang w:val="en-GB"/>
        </w:rPr>
        <w:t xml:space="preserve"> attitudinal measures are of little help (</w:t>
      </w:r>
      <w:r w:rsidRPr="00BD67ED">
        <w:rPr>
          <w:rFonts w:ascii="Cambria" w:eastAsia="Calibri" w:hAnsi="Cambria" w:cs="Times New Roman"/>
          <w:color w:val="5B9BD5"/>
          <w:lang w:val="en-GB"/>
          <w14:textFill>
            <w14:solidFill>
              <w14:srgbClr w14:val="5B9BD5">
                <w14:lumMod w14:val="75000"/>
              </w14:srgbClr>
            </w14:solidFill>
          </w14:textFill>
        </w:rPr>
        <w:t>East et al., 2008</w:t>
      </w:r>
      <w:r w:rsidRPr="00BD67ED">
        <w:rPr>
          <w:rFonts w:ascii="Cambria" w:eastAsia="Calibri" w:hAnsi="Cambria" w:cs="Times New Roman"/>
          <w:lang w:val="en-GB"/>
        </w:rPr>
        <w:t>). It also shows buyer learning has stabilised a long time ago (</w:t>
      </w:r>
      <w:proofErr w:type="spellStart"/>
      <w:r w:rsidRPr="00BD67ED">
        <w:rPr>
          <w:rFonts w:ascii="Cambria" w:eastAsia="Calibri" w:hAnsi="Cambria" w:cs="Times New Roman"/>
          <w:lang w:val="en-GB"/>
        </w:rPr>
        <w:t>f.e</w:t>
      </w:r>
      <w:proofErr w:type="spellEnd"/>
      <w:r w:rsidRPr="00BD67ED">
        <w:rPr>
          <w:rFonts w:ascii="Cambria" w:eastAsia="Calibri" w:hAnsi="Cambria" w:cs="Times New Roman"/>
          <w:lang w:val="en-GB"/>
        </w:rPr>
        <w:t xml:space="preserve">. </w:t>
      </w:r>
      <w:proofErr w:type="spellStart"/>
      <w:proofErr w:type="gramStart"/>
      <w:r w:rsidRPr="00BD67ED">
        <w:rPr>
          <w:rFonts w:ascii="Cambria" w:eastAsia="Calibri" w:hAnsi="Cambria" w:cs="Times New Roman"/>
          <w:color w:val="5B9BD5"/>
          <w:lang w:val="en-GB"/>
          <w14:textFill>
            <w14:solidFill>
              <w14:srgbClr w14:val="5B9BD5">
                <w14:lumMod w14:val="75000"/>
              </w14:srgbClr>
            </w14:solidFill>
          </w14:textFill>
        </w:rPr>
        <w:t>Romaniuk</w:t>
      </w:r>
      <w:proofErr w:type="spellEnd"/>
      <w:r w:rsidRPr="00BD67ED">
        <w:rPr>
          <w:rFonts w:ascii="Cambria" w:eastAsia="Calibri" w:hAnsi="Cambria" w:cs="Times New Roman"/>
          <w:color w:val="5B9BD5"/>
          <w:lang w:val="en-GB"/>
          <w14:textFill>
            <w14:solidFill>
              <w14:srgbClr w14:val="5B9BD5">
                <w14:lumMod w14:val="75000"/>
              </w14:srgbClr>
            </w14:solidFill>
          </w14:textFill>
        </w:rPr>
        <w:t xml:space="preserve"> and Sharp, 2015; Uncles et al., 2012</w:t>
      </w:r>
      <w:r w:rsidRPr="00BD67ED">
        <w:rPr>
          <w:rFonts w:ascii="Cambria" w:eastAsia="Calibri" w:hAnsi="Cambria" w:cs="Times New Roman"/>
          <w:lang w:val="en-GB"/>
        </w:rPr>
        <w:t>).</w:t>
      </w:r>
      <w:proofErr w:type="gramEnd"/>
      <w:r w:rsidRPr="00BD67ED">
        <w:rPr>
          <w:rFonts w:ascii="Cambria" w:eastAsia="Calibri" w:hAnsi="Cambria" w:cs="Times New Roman"/>
          <w:lang w:val="en-GB"/>
        </w:rPr>
        <w:t xml:space="preserve"> Knowing that, most brands within a set of competing options are not only perceived, but even purposely try to be close substitutes (</w:t>
      </w:r>
      <w:r w:rsidRPr="00BD67ED">
        <w:rPr>
          <w:rFonts w:ascii="Cambria" w:eastAsia="Calibri" w:hAnsi="Cambria" w:cs="Times New Roman"/>
          <w:color w:val="5B9BD5"/>
          <w:lang w:val="en-GB"/>
          <w14:textFill>
            <w14:solidFill>
              <w14:srgbClr w14:val="5B9BD5">
                <w14:lumMod w14:val="75000"/>
              </w14:srgbClr>
            </w14:solidFill>
          </w14:textFill>
        </w:rPr>
        <w:t>Ehrenberg, 1991</w:t>
      </w:r>
      <w:r w:rsidRPr="00BD67ED">
        <w:rPr>
          <w:rFonts w:ascii="Cambria" w:eastAsia="Calibri" w:hAnsi="Cambria" w:cs="Times New Roman"/>
          <w:lang w:val="en-GB"/>
        </w:rPr>
        <w:t xml:space="preserve">), thus compete in a mass market. What customers really want is the category. What they choose from their repertoire is a competitive option expected to fulfil </w:t>
      </w:r>
      <w:proofErr w:type="gramStart"/>
      <w:r w:rsidRPr="00BD67ED">
        <w:rPr>
          <w:rFonts w:ascii="Cambria" w:eastAsia="Calibri" w:hAnsi="Cambria" w:cs="Times New Roman"/>
          <w:lang w:val="en-GB"/>
        </w:rPr>
        <w:t>their</w:t>
      </w:r>
      <w:proofErr w:type="gramEnd"/>
      <w:r w:rsidRPr="00BD67ED">
        <w:rPr>
          <w:rFonts w:ascii="Cambria" w:eastAsia="Calibri" w:hAnsi="Cambria" w:cs="Times New Roman"/>
          <w:lang w:val="en-GB"/>
        </w:rPr>
        <w:t xml:space="preserve"> needs best at the time of purchase. Considering this, Double Jeopardy may help us understand how we can and cannot sell more (</w:t>
      </w:r>
      <w:r w:rsidRPr="00BD67ED">
        <w:rPr>
          <w:rFonts w:ascii="Cambria" w:eastAsia="Calibri" w:hAnsi="Cambria" w:cs="Times New Roman"/>
          <w:color w:val="5B9BD5"/>
          <w:lang w:val="en-GB"/>
          <w14:textFill>
            <w14:solidFill>
              <w14:srgbClr w14:val="5B9BD5">
                <w14:lumMod w14:val="75000"/>
              </w14:srgbClr>
            </w14:solidFill>
          </w14:textFill>
        </w:rPr>
        <w:t>Sharp et al., 2014; Ehrenberg et al., 1990</w:t>
      </w:r>
      <w:r w:rsidRPr="00BD67ED">
        <w:rPr>
          <w:rFonts w:ascii="Cambria" w:eastAsia="Calibri" w:hAnsi="Cambria" w:cs="Times New Roman"/>
          <w:lang w:val="en-GB"/>
        </w:rPr>
        <w:t>).</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The present research shows that the Double Jeopardy calculation consistently over-predicts repeat purchase figures for low share brands. Indicating that being small seems to be even worse than expected: Not only do small brands suffer twice, there is also a greater chance of having to deal with clear loyalty deficits.</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 xml:space="preserve">The consistency with which deficit loyalty occurred dismisses the subject being stamped as sampling error or just not important enough. </w:t>
      </w:r>
      <w:r w:rsidR="00FB7FF2">
        <w:rPr>
          <w:rFonts w:ascii="Cambria" w:eastAsia="Calibri" w:hAnsi="Cambria" w:cs="Times New Roman"/>
          <w:lang w:val="en-GB"/>
        </w:rPr>
        <w:t xml:space="preserve">The use of large datasets covering many categories provides solid empirical evidence that smaller brands suffer a loyalty deficit.  This knowledge strengthens understanding of market structure and helps demonstrate a limitation in the model (its over-prediction for small brand BPMs) and so strengthens the model.   </w:t>
      </w:r>
    </w:p>
    <w:p w:rsidR="00D83829" w:rsidRPr="00BD67ED" w:rsidRDefault="00D83829" w:rsidP="00D83829">
      <w:pPr>
        <w:spacing w:line="360" w:lineRule="auto"/>
        <w:jc w:val="both"/>
        <w:rPr>
          <w:rFonts w:ascii="Cambria" w:eastAsia="Calibri" w:hAnsi="Cambria" w:cs="Times New Roman"/>
          <w:lang w:val="en-GB"/>
        </w:rPr>
      </w:pPr>
      <w:r w:rsidRPr="00BD67ED">
        <w:rPr>
          <w:rFonts w:ascii="Cambria" w:eastAsia="Calibri" w:hAnsi="Cambria" w:cs="Times New Roman"/>
          <w:lang w:val="en-GB"/>
        </w:rPr>
        <w:t>As a final note, this study is done as a part of an investigation into SME performance measures. The fact that an estimated 90% of today’s worldwide entities are small or medium literally makes them big business (</w:t>
      </w:r>
      <w:proofErr w:type="spellStart"/>
      <w:r w:rsidRPr="00BD67ED">
        <w:rPr>
          <w:rFonts w:ascii="Cambria" w:eastAsia="Calibri" w:hAnsi="Cambria" w:cs="Times New Roman"/>
          <w:color w:val="2E74B5"/>
          <w:lang w:val="en-GB"/>
        </w:rPr>
        <w:t>Chaston</w:t>
      </w:r>
      <w:proofErr w:type="spellEnd"/>
      <w:r w:rsidRPr="00BD67ED">
        <w:rPr>
          <w:rFonts w:ascii="Cambria" w:eastAsia="Calibri" w:hAnsi="Cambria" w:cs="Times New Roman"/>
          <w:color w:val="2E74B5"/>
          <w:lang w:val="en-GB"/>
        </w:rPr>
        <w:t>, 2009</w:t>
      </w:r>
      <w:r w:rsidRPr="00BD67ED">
        <w:rPr>
          <w:rFonts w:ascii="Cambria" w:eastAsia="Calibri" w:hAnsi="Cambria" w:cs="Times New Roman"/>
          <w:lang w:val="en-GB"/>
        </w:rPr>
        <w:t>). As such, the</w:t>
      </w:r>
      <w:r w:rsidR="00980089">
        <w:rPr>
          <w:rFonts w:ascii="Cambria" w:eastAsia="Calibri" w:hAnsi="Cambria" w:cs="Times New Roman"/>
          <w:lang w:val="en-GB"/>
        </w:rPr>
        <w:t xml:space="preserve">se findings are just </w:t>
      </w:r>
      <w:r w:rsidRPr="00BD67ED">
        <w:rPr>
          <w:rFonts w:ascii="Cambria" w:eastAsia="Calibri" w:hAnsi="Cambria" w:cs="Times New Roman"/>
          <w:lang w:val="en-GB"/>
        </w:rPr>
        <w:t>the beginning. Further research on very small entities, not appearing in panel sets i</w:t>
      </w:r>
      <w:r w:rsidR="00980089">
        <w:rPr>
          <w:rFonts w:ascii="Cambria" w:eastAsia="Calibri" w:hAnsi="Cambria" w:cs="Times New Roman"/>
          <w:lang w:val="en-GB"/>
        </w:rPr>
        <w:t>s under way to assess the extent that</w:t>
      </w:r>
      <w:r w:rsidRPr="00BD67ED">
        <w:rPr>
          <w:rFonts w:ascii="Cambria" w:eastAsia="Calibri" w:hAnsi="Cambria" w:cs="Times New Roman"/>
          <w:lang w:val="en-GB"/>
        </w:rPr>
        <w:t xml:space="preserve"> results are reflected in SMS’s consumer </w:t>
      </w:r>
      <w:proofErr w:type="gramStart"/>
      <w:r w:rsidRPr="00BD67ED">
        <w:rPr>
          <w:rFonts w:ascii="Cambria" w:eastAsia="Calibri" w:hAnsi="Cambria" w:cs="Times New Roman"/>
          <w:lang w:val="en-GB"/>
        </w:rPr>
        <w:t>data bases</w:t>
      </w:r>
      <w:proofErr w:type="gramEnd"/>
      <w:r w:rsidRPr="00BD67ED">
        <w:rPr>
          <w:rFonts w:ascii="Cambria" w:eastAsia="Calibri" w:hAnsi="Cambria" w:cs="Times New Roman"/>
          <w:lang w:val="en-GB"/>
        </w:rPr>
        <w:t xml:space="preserve"> to enhance our knowledge of SME capabilities. Implementing the statistical-based relationship between consumer preferences and brand behaviour into economic SME dat</w:t>
      </w:r>
      <w:r w:rsidR="00980089">
        <w:rPr>
          <w:rFonts w:ascii="Cambria" w:eastAsia="Calibri" w:hAnsi="Cambria" w:cs="Times New Roman"/>
          <w:lang w:val="en-GB"/>
        </w:rPr>
        <w:t>a helps identify</w:t>
      </w:r>
      <w:bookmarkStart w:id="25" w:name="_GoBack"/>
      <w:bookmarkEnd w:id="25"/>
      <w:r w:rsidRPr="00BD67ED">
        <w:rPr>
          <w:rFonts w:ascii="Cambria" w:eastAsia="Calibri" w:hAnsi="Cambria" w:cs="Times New Roman"/>
          <w:lang w:val="en-GB"/>
        </w:rPr>
        <w:t xml:space="preserve"> the degree to which their link pertains for small and medium sized businesses (econometric modelling).</w:t>
      </w:r>
    </w:p>
    <w:p w:rsidR="00FF6EDC" w:rsidRPr="00BD67ED" w:rsidRDefault="00FF6EDC">
      <w:pPr>
        <w:rPr>
          <w:rFonts w:ascii="Cambria" w:hAnsi="Cambria"/>
          <w:lang w:val="en-GB"/>
        </w:rPr>
      </w:pPr>
    </w:p>
    <w:p w:rsidR="00BD67ED" w:rsidRPr="00BD67ED" w:rsidRDefault="00BD67ED" w:rsidP="00BD67ED">
      <w:pPr>
        <w:pStyle w:val="Heading1"/>
        <w:spacing w:line="360" w:lineRule="auto"/>
        <w:jc w:val="both"/>
        <w:rPr>
          <w:rFonts w:ascii="Cambria" w:hAnsi="Cambria"/>
          <w:sz w:val="24"/>
          <w:szCs w:val="24"/>
          <w:lang w:val="en-GB"/>
        </w:rPr>
      </w:pPr>
      <w:r w:rsidRPr="00BD67ED">
        <w:rPr>
          <w:rFonts w:ascii="Cambria" w:hAnsi="Cambria"/>
          <w:sz w:val="24"/>
          <w:szCs w:val="24"/>
          <w:lang w:val="en-GB"/>
        </w:rPr>
        <w:t>REFERENCES</w:t>
      </w:r>
    </w:p>
    <w:p w:rsidR="008325C0" w:rsidRPr="008325C0" w:rsidRDefault="008325C0" w:rsidP="008325C0">
      <w:pPr>
        <w:spacing w:line="360" w:lineRule="auto"/>
        <w:jc w:val="both"/>
        <w:rPr>
          <w:rFonts w:ascii="Cambria" w:hAnsi="Cambria"/>
          <w:lang w:val="en-GB"/>
        </w:rPr>
      </w:pPr>
      <w:proofErr w:type="spellStart"/>
      <w:r w:rsidRPr="008325C0">
        <w:rPr>
          <w:rFonts w:ascii="Cambria" w:hAnsi="Cambria"/>
          <w:lang w:val="en-GB"/>
        </w:rPr>
        <w:t>Alsopp</w:t>
      </w:r>
      <w:proofErr w:type="spellEnd"/>
      <w:r w:rsidRPr="008325C0">
        <w:rPr>
          <w:rFonts w:ascii="Cambria" w:hAnsi="Cambria"/>
          <w:lang w:val="en-GB"/>
        </w:rPr>
        <w:t xml:space="preserve">, J. and Jarvis, W. (2003) </w:t>
      </w:r>
      <w:proofErr w:type="gramStart"/>
      <w:r w:rsidRPr="008325C0">
        <w:rPr>
          <w:rFonts w:ascii="Cambria" w:hAnsi="Cambria"/>
          <w:lang w:val="en-GB"/>
        </w:rPr>
        <w:t>Contrasting</w:t>
      </w:r>
      <w:proofErr w:type="gramEnd"/>
      <w:r w:rsidRPr="008325C0">
        <w:rPr>
          <w:rFonts w:ascii="Cambria" w:hAnsi="Cambria"/>
          <w:lang w:val="en-GB"/>
        </w:rPr>
        <w:t xml:space="preserve"> the double jeopardy line with a multi bran</w:t>
      </w:r>
      <w:r>
        <w:rPr>
          <w:rFonts w:ascii="Cambria" w:hAnsi="Cambria"/>
          <w:lang w:val="en-GB"/>
        </w:rPr>
        <w:t>d market, in: ANZMAC. Adelaide</w:t>
      </w:r>
      <w:r w:rsidRPr="008325C0">
        <w:rPr>
          <w:rFonts w:ascii="Cambria" w:hAnsi="Cambria"/>
          <w:lang w:val="en-GB"/>
        </w:rPr>
        <w:t>, pp. 293–299.</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 xml:space="preserve">Barnard, N. R., Ehrenberg, A. S. C., Hammond, K. and Uncles, M. (1994) Two Debatable </w:t>
      </w:r>
      <w:proofErr w:type="spellStart"/>
      <w:r w:rsidRPr="008325C0">
        <w:rPr>
          <w:rFonts w:ascii="Cambria" w:hAnsi="Cambria"/>
          <w:lang w:val="en-GB"/>
        </w:rPr>
        <w:t>Dirichlet</w:t>
      </w:r>
      <w:proofErr w:type="spellEnd"/>
      <w:r w:rsidRPr="008325C0">
        <w:rPr>
          <w:rFonts w:ascii="Cambria" w:hAnsi="Cambria"/>
          <w:lang w:val="en-GB"/>
        </w:rPr>
        <w:t xml:space="preserve"> Discrepancies, in: Working Paper.</w:t>
      </w:r>
      <w:r>
        <w:rPr>
          <w:rFonts w:ascii="Cambria" w:hAnsi="Cambria"/>
          <w:lang w:val="en-GB"/>
        </w:rPr>
        <w:t xml:space="preserve"> London South Bank University</w:t>
      </w:r>
    </w:p>
    <w:p w:rsidR="008325C0" w:rsidRPr="008325C0" w:rsidRDefault="008325C0" w:rsidP="008325C0">
      <w:pPr>
        <w:spacing w:line="360" w:lineRule="auto"/>
        <w:jc w:val="both"/>
        <w:rPr>
          <w:rFonts w:ascii="Cambria" w:hAnsi="Cambria"/>
          <w:lang w:val="en-GB"/>
        </w:rPr>
      </w:pPr>
      <w:proofErr w:type="spellStart"/>
      <w:r w:rsidRPr="008325C0">
        <w:rPr>
          <w:rFonts w:ascii="Cambria" w:hAnsi="Cambria"/>
          <w:lang w:val="en-GB"/>
        </w:rPr>
        <w:t>Barwise</w:t>
      </w:r>
      <w:proofErr w:type="spellEnd"/>
      <w:r w:rsidRPr="008325C0">
        <w:rPr>
          <w:rFonts w:ascii="Cambria" w:hAnsi="Cambria"/>
          <w:lang w:val="en-GB"/>
        </w:rPr>
        <w:t>, P. (1995) Good Empirical Generalisations, Marketing Science, 14 (3), pp. 29–35.</w:t>
      </w:r>
    </w:p>
    <w:p w:rsidR="008325C0" w:rsidRPr="008325C0" w:rsidRDefault="008325C0" w:rsidP="008325C0">
      <w:pPr>
        <w:spacing w:line="360" w:lineRule="auto"/>
        <w:jc w:val="both"/>
        <w:rPr>
          <w:rFonts w:ascii="Cambria" w:hAnsi="Cambria"/>
          <w:lang w:val="en-GB"/>
        </w:rPr>
      </w:pPr>
      <w:proofErr w:type="spellStart"/>
      <w:proofErr w:type="gramStart"/>
      <w:r w:rsidRPr="008325C0">
        <w:rPr>
          <w:rFonts w:ascii="Cambria" w:hAnsi="Cambria"/>
          <w:lang w:val="en-GB"/>
        </w:rPr>
        <w:t>Chaston</w:t>
      </w:r>
      <w:proofErr w:type="spellEnd"/>
      <w:r w:rsidRPr="008325C0">
        <w:rPr>
          <w:rFonts w:ascii="Cambria" w:hAnsi="Cambria"/>
          <w:lang w:val="en-GB"/>
        </w:rPr>
        <w:t>, I. (2009) Entrepreneurial management in small firms.</w:t>
      </w:r>
      <w:proofErr w:type="gramEnd"/>
      <w:r w:rsidRPr="008325C0">
        <w:rPr>
          <w:rFonts w:ascii="Cambria" w:hAnsi="Cambria"/>
          <w:lang w:val="en-GB"/>
        </w:rPr>
        <w:t xml:space="preserve"> Los Angeles: SAGE Publications</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 xml:space="preserve">East, R., Wright, M. and </w:t>
      </w:r>
      <w:proofErr w:type="spellStart"/>
      <w:r w:rsidRPr="008325C0">
        <w:rPr>
          <w:rFonts w:ascii="Cambria" w:hAnsi="Cambria"/>
          <w:lang w:val="en-GB"/>
        </w:rPr>
        <w:t>Vanhuele</w:t>
      </w:r>
      <w:proofErr w:type="spellEnd"/>
      <w:r w:rsidRPr="008325C0">
        <w:rPr>
          <w:rFonts w:ascii="Cambria" w:hAnsi="Cambria"/>
          <w:lang w:val="en-GB"/>
        </w:rPr>
        <w:t>, M. (2008) Consumer behaviour: Applications in marketing. Los Angeles: Sage Publications.</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Ehrenberg, A. S. C. (1991) Politicians’ Double Jeopardy: A pattern and Exceptions</w:t>
      </w:r>
      <w:proofErr w:type="gramStart"/>
      <w:r w:rsidRPr="008325C0">
        <w:rPr>
          <w:rFonts w:ascii="Cambria" w:hAnsi="Cambria"/>
          <w:lang w:val="en-GB"/>
        </w:rPr>
        <w:t>.,</w:t>
      </w:r>
      <w:proofErr w:type="gramEnd"/>
      <w:r w:rsidRPr="008325C0">
        <w:rPr>
          <w:rFonts w:ascii="Cambria" w:hAnsi="Cambria"/>
          <w:lang w:val="en-GB"/>
        </w:rPr>
        <w:t xml:space="preserve"> Journal of the Marketing Research Society, 33 (1), pp. 347–353.</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 xml:space="preserve">Ehrenberg, A. S. C., </w:t>
      </w:r>
      <w:proofErr w:type="spellStart"/>
      <w:r w:rsidRPr="008325C0">
        <w:rPr>
          <w:rFonts w:ascii="Cambria" w:hAnsi="Cambria"/>
          <w:lang w:val="en-GB"/>
        </w:rPr>
        <w:t>Goodhardt</w:t>
      </w:r>
      <w:proofErr w:type="spellEnd"/>
      <w:r w:rsidRPr="008325C0">
        <w:rPr>
          <w:rFonts w:ascii="Cambria" w:hAnsi="Cambria"/>
          <w:lang w:val="en-GB"/>
        </w:rPr>
        <w:t xml:space="preserve">, G. J. and </w:t>
      </w:r>
      <w:proofErr w:type="spellStart"/>
      <w:r w:rsidRPr="008325C0">
        <w:rPr>
          <w:rFonts w:ascii="Cambria" w:hAnsi="Cambria"/>
          <w:lang w:val="en-GB"/>
        </w:rPr>
        <w:t>Barwise</w:t>
      </w:r>
      <w:proofErr w:type="spellEnd"/>
      <w:r w:rsidRPr="008325C0">
        <w:rPr>
          <w:rFonts w:ascii="Cambria" w:hAnsi="Cambria"/>
          <w:lang w:val="en-GB"/>
        </w:rPr>
        <w:t>, T. P. (1990) Double jeopardy revisited, Journal of Marketing, 54 (3), pp. 82–91. DOI: 10.2307/1251818.</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 xml:space="preserve">Fader, P. S. and </w:t>
      </w:r>
      <w:proofErr w:type="spellStart"/>
      <w:r w:rsidRPr="008325C0">
        <w:rPr>
          <w:rFonts w:ascii="Cambria" w:hAnsi="Cambria"/>
          <w:lang w:val="en-GB"/>
        </w:rPr>
        <w:t>Schmittlein</w:t>
      </w:r>
      <w:proofErr w:type="spellEnd"/>
      <w:r w:rsidRPr="008325C0">
        <w:rPr>
          <w:rFonts w:ascii="Cambria" w:hAnsi="Cambria"/>
          <w:lang w:val="en-GB"/>
        </w:rPr>
        <w:t xml:space="preserve">, D. C. (1993) Excess </w:t>
      </w:r>
      <w:proofErr w:type="spellStart"/>
      <w:r w:rsidRPr="008325C0">
        <w:rPr>
          <w:rFonts w:ascii="Cambria" w:hAnsi="Cambria"/>
          <w:lang w:val="en-GB"/>
        </w:rPr>
        <w:t>behavioral</w:t>
      </w:r>
      <w:proofErr w:type="spellEnd"/>
      <w:r w:rsidRPr="008325C0">
        <w:rPr>
          <w:rFonts w:ascii="Cambria" w:hAnsi="Cambria"/>
          <w:lang w:val="en-GB"/>
        </w:rPr>
        <w:t xml:space="preserve"> loyalty for high-share brands: Deviations from the </w:t>
      </w:r>
      <w:proofErr w:type="spellStart"/>
      <w:r w:rsidRPr="008325C0">
        <w:rPr>
          <w:rFonts w:ascii="Cambria" w:hAnsi="Cambria"/>
          <w:lang w:val="en-GB"/>
        </w:rPr>
        <w:t>Dirichlet</w:t>
      </w:r>
      <w:proofErr w:type="spellEnd"/>
      <w:r w:rsidRPr="008325C0">
        <w:rPr>
          <w:rFonts w:ascii="Cambria" w:hAnsi="Cambria"/>
          <w:lang w:val="en-GB"/>
        </w:rPr>
        <w:t xml:space="preserve"> model for repeat purchasing, Journal of Marketing Research, 30 (4), p. 478. DOI: 10.2307/3172692.</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 xml:space="preserve">McDowell, W. S. and Dick, S. J. (2005) </w:t>
      </w:r>
      <w:proofErr w:type="gramStart"/>
      <w:r w:rsidRPr="008325C0">
        <w:rPr>
          <w:rFonts w:ascii="Cambria" w:hAnsi="Cambria"/>
          <w:lang w:val="en-GB"/>
        </w:rPr>
        <w:t>Revealing</w:t>
      </w:r>
      <w:proofErr w:type="gramEnd"/>
      <w:r w:rsidRPr="008325C0">
        <w:rPr>
          <w:rFonts w:ascii="Cambria" w:hAnsi="Cambria"/>
          <w:lang w:val="en-GB"/>
        </w:rPr>
        <w:t xml:space="preserve"> a double jeopardy effect in radio station audience behavior, Journal of Media Economics, 18 (4), pp. 271–284. DOI: 10.1207/s15327736me1804_3.</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 xml:space="preserve">Pare, V., Dawes, J. and </w:t>
      </w:r>
      <w:proofErr w:type="spellStart"/>
      <w:r w:rsidRPr="008325C0">
        <w:rPr>
          <w:rFonts w:ascii="Cambria" w:hAnsi="Cambria"/>
          <w:lang w:val="en-GB"/>
        </w:rPr>
        <w:t>Driesener</w:t>
      </w:r>
      <w:proofErr w:type="spellEnd"/>
      <w:r w:rsidRPr="008325C0">
        <w:rPr>
          <w:rFonts w:ascii="Cambria" w:hAnsi="Cambria"/>
          <w:lang w:val="en-GB"/>
        </w:rPr>
        <w:t>, C. (2006) Double jeopardy deviations for small and medium share brands -how frequent and how persistent</w:t>
      </w:r>
      <w:proofErr w:type="gramStart"/>
      <w:r w:rsidRPr="008325C0">
        <w:rPr>
          <w:rFonts w:ascii="Cambria" w:hAnsi="Cambria"/>
          <w:lang w:val="en-GB"/>
        </w:rPr>
        <w:t>?,</w:t>
      </w:r>
      <w:proofErr w:type="gramEnd"/>
      <w:r w:rsidRPr="008325C0">
        <w:rPr>
          <w:rFonts w:ascii="Cambria" w:hAnsi="Cambria"/>
          <w:lang w:val="en-GB"/>
        </w:rPr>
        <w:t xml:space="preserve"> in: </w:t>
      </w:r>
      <w:proofErr w:type="spellStart"/>
      <w:r w:rsidRPr="008325C0">
        <w:rPr>
          <w:rFonts w:ascii="Cambria" w:hAnsi="Cambria"/>
          <w:lang w:val="en-GB"/>
        </w:rPr>
        <w:t>Anzmac</w:t>
      </w:r>
      <w:proofErr w:type="spellEnd"/>
      <w:r w:rsidRPr="008325C0">
        <w:rPr>
          <w:rFonts w:ascii="Cambria" w:hAnsi="Cambria"/>
          <w:lang w:val="en-GB"/>
        </w:rPr>
        <w:t>, pp. 1–7. Available from: http://www.anzmac.org/conference_archive/2006/documents/Pare_Vipul.pdf [Accessed 20 May 2016].</w:t>
      </w:r>
    </w:p>
    <w:p w:rsidR="008325C0" w:rsidRPr="008325C0" w:rsidRDefault="008325C0" w:rsidP="008325C0">
      <w:pPr>
        <w:spacing w:line="360" w:lineRule="auto"/>
        <w:jc w:val="both"/>
        <w:rPr>
          <w:rFonts w:ascii="Cambria" w:hAnsi="Cambria"/>
          <w:lang w:val="en-GB"/>
        </w:rPr>
      </w:pPr>
      <w:proofErr w:type="spellStart"/>
      <w:r w:rsidRPr="008325C0">
        <w:rPr>
          <w:rFonts w:ascii="Cambria" w:hAnsi="Cambria"/>
          <w:lang w:val="en-GB"/>
        </w:rPr>
        <w:t>Romaniuk</w:t>
      </w:r>
      <w:proofErr w:type="spellEnd"/>
      <w:r w:rsidRPr="008325C0">
        <w:rPr>
          <w:rFonts w:ascii="Cambria" w:hAnsi="Cambria"/>
          <w:lang w:val="en-GB"/>
        </w:rPr>
        <w:t>, J. and Sharp, B. (2015) How brands grow: Emerging markets, services, durables, new and luxury brands: Part 2. United Kingdom: Oxford University Press.</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 xml:space="preserve">Saunders, M. N. K., Lewis, P. and </w:t>
      </w:r>
      <w:proofErr w:type="spellStart"/>
      <w:r w:rsidRPr="008325C0">
        <w:rPr>
          <w:rFonts w:ascii="Cambria" w:hAnsi="Cambria"/>
          <w:lang w:val="en-GB"/>
        </w:rPr>
        <w:t>Thornhill</w:t>
      </w:r>
      <w:proofErr w:type="spellEnd"/>
      <w:r w:rsidRPr="008325C0">
        <w:rPr>
          <w:rFonts w:ascii="Cambria" w:hAnsi="Cambria"/>
          <w:lang w:val="en-GB"/>
        </w:rPr>
        <w:t>, A. (2012) Research methods for business students (6th edition). 6th ed. Harlow, England: Financial Times Prentice Hall.</w:t>
      </w:r>
    </w:p>
    <w:p w:rsidR="008325C0" w:rsidRPr="008325C0" w:rsidRDefault="008325C0" w:rsidP="008325C0">
      <w:pPr>
        <w:spacing w:line="360" w:lineRule="auto"/>
        <w:jc w:val="both"/>
        <w:rPr>
          <w:rFonts w:ascii="Cambria" w:hAnsi="Cambria"/>
          <w:lang w:val="en-GB"/>
        </w:rPr>
      </w:pPr>
      <w:proofErr w:type="spellStart"/>
      <w:r w:rsidRPr="008325C0">
        <w:rPr>
          <w:rFonts w:ascii="Cambria" w:hAnsi="Cambria"/>
          <w:lang w:val="en-GB"/>
        </w:rPr>
        <w:t>Scriven</w:t>
      </w:r>
      <w:proofErr w:type="spellEnd"/>
      <w:r w:rsidRPr="008325C0">
        <w:rPr>
          <w:rFonts w:ascii="Cambria" w:hAnsi="Cambria"/>
          <w:lang w:val="en-GB"/>
        </w:rPr>
        <w:t xml:space="preserve">, J. and Bound, J. (2004) A Discussion of </w:t>
      </w:r>
      <w:proofErr w:type="spellStart"/>
      <w:r w:rsidRPr="008325C0">
        <w:rPr>
          <w:rFonts w:ascii="Cambria" w:hAnsi="Cambria"/>
          <w:lang w:val="en-GB"/>
        </w:rPr>
        <w:t>Dirichlet</w:t>
      </w:r>
      <w:proofErr w:type="spellEnd"/>
      <w:r w:rsidRPr="008325C0">
        <w:rPr>
          <w:rFonts w:ascii="Cambria" w:hAnsi="Cambria"/>
          <w:lang w:val="en-GB"/>
        </w:rPr>
        <w:t xml:space="preserve"> Deviations, in: Australian &amp; New Zealand Marketing Academy Conference, Wellington. Wellington, New Zealand: School of Marketing &amp; International Business, Victoria University of Wellington, </w:t>
      </w:r>
      <w:proofErr w:type="gramStart"/>
      <w:r w:rsidRPr="008325C0">
        <w:rPr>
          <w:rFonts w:ascii="Cambria" w:hAnsi="Cambria"/>
          <w:lang w:val="en-GB"/>
        </w:rPr>
        <w:t>pp</w:t>
      </w:r>
      <w:proofErr w:type="gramEnd"/>
      <w:r w:rsidRPr="008325C0">
        <w:rPr>
          <w:rFonts w:ascii="Cambria" w:hAnsi="Cambria"/>
          <w:lang w:val="en-GB"/>
        </w:rPr>
        <w:t>. 1–6.</w:t>
      </w:r>
    </w:p>
    <w:p w:rsidR="008325C0" w:rsidRPr="008325C0" w:rsidRDefault="008325C0" w:rsidP="008325C0">
      <w:pPr>
        <w:spacing w:line="360" w:lineRule="auto"/>
        <w:jc w:val="both"/>
        <w:rPr>
          <w:rFonts w:ascii="Cambria" w:hAnsi="Cambria"/>
          <w:lang w:val="en-GB"/>
        </w:rPr>
      </w:pPr>
      <w:r w:rsidRPr="008325C0">
        <w:rPr>
          <w:rFonts w:ascii="Cambria" w:hAnsi="Cambria"/>
          <w:lang w:val="en-GB"/>
        </w:rPr>
        <w:lastRenderedPageBreak/>
        <w:t xml:space="preserve">Sharp, B. (2010) </w:t>
      </w:r>
      <w:proofErr w:type="gramStart"/>
      <w:r w:rsidRPr="008325C0">
        <w:rPr>
          <w:rFonts w:ascii="Cambria" w:hAnsi="Cambria"/>
          <w:lang w:val="en-GB"/>
        </w:rPr>
        <w:t>How</w:t>
      </w:r>
      <w:proofErr w:type="gramEnd"/>
      <w:r w:rsidRPr="008325C0">
        <w:rPr>
          <w:rFonts w:ascii="Cambria" w:hAnsi="Cambria"/>
          <w:lang w:val="en-GB"/>
        </w:rPr>
        <w:t xml:space="preserve"> brands grow: What marketers don’t know. Australia: Oxford University Press, South Melbourne, Australia.</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 xml:space="preserve">Sharp, B., </w:t>
      </w:r>
      <w:proofErr w:type="spellStart"/>
      <w:r w:rsidRPr="008325C0">
        <w:rPr>
          <w:rFonts w:ascii="Cambria" w:hAnsi="Cambria"/>
          <w:lang w:val="en-GB"/>
        </w:rPr>
        <w:t>Nenycz-Thiel</w:t>
      </w:r>
      <w:proofErr w:type="spellEnd"/>
      <w:r w:rsidRPr="008325C0">
        <w:rPr>
          <w:rFonts w:ascii="Cambria" w:hAnsi="Cambria"/>
          <w:lang w:val="en-GB"/>
        </w:rPr>
        <w:t xml:space="preserve">, M., Wheeler, M. and </w:t>
      </w:r>
      <w:proofErr w:type="spellStart"/>
      <w:r w:rsidRPr="008325C0">
        <w:rPr>
          <w:rFonts w:ascii="Cambria" w:hAnsi="Cambria"/>
          <w:lang w:val="en-GB"/>
        </w:rPr>
        <w:t>Vennard</w:t>
      </w:r>
      <w:proofErr w:type="spellEnd"/>
      <w:r w:rsidRPr="008325C0">
        <w:rPr>
          <w:rFonts w:ascii="Cambria" w:hAnsi="Cambria"/>
          <w:lang w:val="en-GB"/>
        </w:rPr>
        <w:t>, D. (2014) Report 67: Sustainable Marketing Minus the Myths. University of South Australia: Ehrenberg-Bass Institute for Marketing Science.</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Uncles, M., Ehrenberg, A. and Hammond, K. (1995) Patterns of buyer behavior: Regularities, models, and extensions, Marketing Science, 14 (3_supplement), pp. G71–G78. DOI: 10.1287/mksc.14.3.g71.</w:t>
      </w:r>
    </w:p>
    <w:p w:rsidR="008325C0" w:rsidRPr="008325C0" w:rsidRDefault="008325C0" w:rsidP="008325C0">
      <w:pPr>
        <w:spacing w:line="360" w:lineRule="auto"/>
        <w:jc w:val="both"/>
        <w:rPr>
          <w:rFonts w:ascii="Cambria" w:hAnsi="Cambria"/>
          <w:lang w:val="en-GB"/>
        </w:rPr>
      </w:pPr>
      <w:r w:rsidRPr="008325C0">
        <w:rPr>
          <w:rFonts w:ascii="Cambria" w:hAnsi="Cambria"/>
          <w:lang w:val="en-GB"/>
        </w:rPr>
        <w:t xml:space="preserve">Uncles, M., Kennedy, R., </w:t>
      </w:r>
      <w:proofErr w:type="spellStart"/>
      <w:r w:rsidRPr="008325C0">
        <w:rPr>
          <w:rFonts w:ascii="Cambria" w:hAnsi="Cambria"/>
          <w:lang w:val="en-GB"/>
        </w:rPr>
        <w:t>Nenycz-Thiel</w:t>
      </w:r>
      <w:proofErr w:type="spellEnd"/>
      <w:r w:rsidRPr="008325C0">
        <w:rPr>
          <w:rFonts w:ascii="Cambria" w:hAnsi="Cambria"/>
          <w:lang w:val="en-GB"/>
        </w:rPr>
        <w:t>, M., Singh, J. and Kwok, S. (2012) In 25 years, across 50 categories, user profiles for directly competing brands seldom differ, Journal of Advertising Research, 52 (2), pp. 252–261. DOI: 10.2501/jar-52-2-252-261.</w:t>
      </w:r>
    </w:p>
    <w:p w:rsidR="00BD67ED" w:rsidRPr="00BD67ED" w:rsidRDefault="00BD67ED" w:rsidP="00BD67ED">
      <w:pPr>
        <w:spacing w:line="360" w:lineRule="auto"/>
        <w:jc w:val="both"/>
        <w:rPr>
          <w:rFonts w:ascii="Cambria" w:hAnsi="Cambria"/>
          <w:lang w:val="en-GB"/>
        </w:rPr>
      </w:pPr>
    </w:p>
    <w:sectPr w:rsidR="00BD67ED" w:rsidRPr="00BD67ED" w:rsidSect="0080799D">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F2" w:rsidRDefault="00FB7FF2" w:rsidP="00D83829">
      <w:pPr>
        <w:spacing w:after="0" w:line="240" w:lineRule="auto"/>
      </w:pPr>
      <w:r>
        <w:separator/>
      </w:r>
    </w:p>
  </w:endnote>
  <w:endnote w:type="continuationSeparator" w:id="0">
    <w:p w:rsidR="00FB7FF2" w:rsidRDefault="00FB7FF2" w:rsidP="00D8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F2" w:rsidRDefault="00FB7FF2" w:rsidP="00D83829">
      <w:pPr>
        <w:spacing w:after="0" w:line="240" w:lineRule="auto"/>
      </w:pPr>
      <w:r>
        <w:separator/>
      </w:r>
    </w:p>
  </w:footnote>
  <w:footnote w:type="continuationSeparator" w:id="0">
    <w:p w:rsidR="00FB7FF2" w:rsidRDefault="00FB7FF2" w:rsidP="00D838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F2" w:rsidRDefault="00FB7FF2" w:rsidP="0080799D">
    <w:pPr>
      <w:pStyle w:val="Header"/>
      <w:spacing w:line="360" w:lineRule="auto"/>
      <w:rPr>
        <w:rFonts w:ascii="Cambria" w:hAnsi="Cambria"/>
        <w:sz w:val="18"/>
        <w:szCs w:val="18"/>
        <w:lang w:val="en-GB"/>
      </w:rPr>
    </w:pPr>
    <w:proofErr w:type="spellStart"/>
    <w:r w:rsidRPr="00D83829">
      <w:rPr>
        <w:rFonts w:ascii="Cambria" w:hAnsi="Cambria"/>
        <w:sz w:val="18"/>
        <w:szCs w:val="18"/>
        <w:lang w:val="en-GB"/>
      </w:rPr>
      <w:t>F</w:t>
    </w:r>
    <w:r>
      <w:rPr>
        <w:rFonts w:ascii="Cambria" w:hAnsi="Cambria"/>
        <w:sz w:val="18"/>
        <w:szCs w:val="18"/>
        <w:lang w:val="en-GB"/>
      </w:rPr>
      <w:t>ranke</w:t>
    </w:r>
    <w:proofErr w:type="spellEnd"/>
    <w:r>
      <w:rPr>
        <w:rFonts w:ascii="Cambria" w:hAnsi="Cambria"/>
        <w:sz w:val="18"/>
        <w:szCs w:val="18"/>
        <w:lang w:val="en-GB"/>
      </w:rPr>
      <w:t xml:space="preserve">, </w:t>
    </w:r>
    <w:proofErr w:type="spellStart"/>
    <w:r>
      <w:rPr>
        <w:rFonts w:ascii="Cambria" w:hAnsi="Cambria"/>
        <w:sz w:val="18"/>
        <w:szCs w:val="18"/>
        <w:lang w:val="en-GB"/>
      </w:rPr>
      <w:t>Katrin</w:t>
    </w:r>
    <w:proofErr w:type="spellEnd"/>
    <w:r>
      <w:rPr>
        <w:rFonts w:ascii="Cambria" w:hAnsi="Cambria"/>
        <w:sz w:val="18"/>
        <w:szCs w:val="18"/>
        <w:lang w:val="en-GB"/>
      </w:rPr>
      <w:t xml:space="preserve"> | Bennett, Dag </w:t>
    </w:r>
    <w:r w:rsidRPr="00D83829">
      <w:rPr>
        <w:rFonts w:ascii="Cambria" w:hAnsi="Cambria"/>
        <w:sz w:val="18"/>
        <w:szCs w:val="18"/>
        <w:lang w:val="en-GB"/>
      </w:rPr>
      <w:t xml:space="preserve">| Graham, Charles </w:t>
    </w:r>
    <w:r>
      <w:rPr>
        <w:lang w:val="en-GB"/>
      </w:rPr>
      <w:t xml:space="preserve">- </w:t>
    </w:r>
    <w:r w:rsidRPr="00D83829">
      <w:rPr>
        <w:rFonts w:ascii="Cambria" w:hAnsi="Cambria"/>
        <w:sz w:val="18"/>
        <w:szCs w:val="18"/>
        <w:lang w:val="en-GB"/>
      </w:rPr>
      <w:t>Hull Academy of Marketing Conference</w:t>
    </w:r>
    <w:r>
      <w:rPr>
        <w:rFonts w:ascii="Cambria" w:hAnsi="Cambria"/>
        <w:sz w:val="18"/>
        <w:szCs w:val="18"/>
        <w:lang w:val="en-GB"/>
      </w:rPr>
      <w:t xml:space="preserve"> </w:t>
    </w:r>
  </w:p>
  <w:p w:rsidR="00FB7FF2" w:rsidRPr="0080799D" w:rsidRDefault="00FB7FF2" w:rsidP="0080799D">
    <w:pPr>
      <w:pStyle w:val="Header"/>
      <w:spacing w:line="360" w:lineRule="auto"/>
      <w:rPr>
        <w:rFonts w:ascii="Cambria" w:hAnsi="Cambria"/>
        <w:sz w:val="18"/>
        <w:szCs w:val="18"/>
        <w:lang w:val="en-GB"/>
      </w:rPr>
    </w:pPr>
    <w:r w:rsidRPr="00D83829">
      <w:rPr>
        <w:rFonts w:ascii="Cambria" w:hAnsi="Cambria"/>
        <w:color w:val="2F5496" w:themeColor="accent1" w:themeShade="BF"/>
        <w:szCs w:val="18"/>
        <w:lang w:val="en-GB"/>
      </w:rPr>
      <w:t>LOYALTY DEFICITS FOR SMALL SHARE BRANDS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A42"/>
    <w:multiLevelType w:val="hybridMultilevel"/>
    <w:tmpl w:val="1FF8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29"/>
    <w:rsid w:val="00006895"/>
    <w:rsid w:val="00080CAE"/>
    <w:rsid w:val="000A5454"/>
    <w:rsid w:val="000E6980"/>
    <w:rsid w:val="00132FA8"/>
    <w:rsid w:val="00137C6A"/>
    <w:rsid w:val="001923B3"/>
    <w:rsid w:val="001E2D4D"/>
    <w:rsid w:val="001E3570"/>
    <w:rsid w:val="002013C8"/>
    <w:rsid w:val="002119E1"/>
    <w:rsid w:val="00223181"/>
    <w:rsid w:val="0025678D"/>
    <w:rsid w:val="002F3F9E"/>
    <w:rsid w:val="00304709"/>
    <w:rsid w:val="003317B2"/>
    <w:rsid w:val="00353B2C"/>
    <w:rsid w:val="00373327"/>
    <w:rsid w:val="003B73A2"/>
    <w:rsid w:val="004813B4"/>
    <w:rsid w:val="004D0C5F"/>
    <w:rsid w:val="004F58D2"/>
    <w:rsid w:val="00540B69"/>
    <w:rsid w:val="00584556"/>
    <w:rsid w:val="0059629E"/>
    <w:rsid w:val="00677B0F"/>
    <w:rsid w:val="006808D2"/>
    <w:rsid w:val="006F26C7"/>
    <w:rsid w:val="00762927"/>
    <w:rsid w:val="0080799D"/>
    <w:rsid w:val="008325C0"/>
    <w:rsid w:val="00853C79"/>
    <w:rsid w:val="008563DF"/>
    <w:rsid w:val="00980089"/>
    <w:rsid w:val="009F78AC"/>
    <w:rsid w:val="00A24EF8"/>
    <w:rsid w:val="00A73813"/>
    <w:rsid w:val="00AF4532"/>
    <w:rsid w:val="00B24442"/>
    <w:rsid w:val="00BC3828"/>
    <w:rsid w:val="00BD67ED"/>
    <w:rsid w:val="00D00666"/>
    <w:rsid w:val="00D5212F"/>
    <w:rsid w:val="00D83829"/>
    <w:rsid w:val="00E0279D"/>
    <w:rsid w:val="00E07775"/>
    <w:rsid w:val="00E502E2"/>
    <w:rsid w:val="00F15433"/>
    <w:rsid w:val="00F34280"/>
    <w:rsid w:val="00FA0434"/>
    <w:rsid w:val="00FB7FF2"/>
    <w:rsid w:val="00FC42BE"/>
    <w:rsid w:val="00FF6E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67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infacheTabelle51">
    <w:name w:val="Einfache Tabelle 51"/>
    <w:basedOn w:val="TableNormal"/>
    <w:next w:val="PlainTable5"/>
    <w:uiPriority w:val="45"/>
    <w:rsid w:val="00D838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
    <w:name w:val="Plain Table 5"/>
    <w:basedOn w:val="TableNormal"/>
    <w:uiPriority w:val="45"/>
    <w:rsid w:val="00D838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D838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3829"/>
  </w:style>
  <w:style w:type="paragraph" w:styleId="Footer">
    <w:name w:val="footer"/>
    <w:basedOn w:val="Normal"/>
    <w:link w:val="FooterChar"/>
    <w:uiPriority w:val="99"/>
    <w:unhideWhenUsed/>
    <w:rsid w:val="00D838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3829"/>
  </w:style>
  <w:style w:type="paragraph" w:styleId="BalloonText">
    <w:name w:val="Balloon Text"/>
    <w:basedOn w:val="Normal"/>
    <w:link w:val="BalloonTextChar"/>
    <w:uiPriority w:val="99"/>
    <w:semiHidden/>
    <w:unhideWhenUsed/>
    <w:rsid w:val="00540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69"/>
    <w:rPr>
      <w:rFonts w:ascii="Segoe UI" w:hAnsi="Segoe UI" w:cs="Segoe UI"/>
      <w:sz w:val="18"/>
      <w:szCs w:val="18"/>
    </w:rPr>
  </w:style>
  <w:style w:type="character" w:customStyle="1" w:styleId="Heading1Char">
    <w:name w:val="Heading 1 Char"/>
    <w:basedOn w:val="DefaultParagraphFont"/>
    <w:link w:val="Heading1"/>
    <w:uiPriority w:val="9"/>
    <w:rsid w:val="00BD67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67E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67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infacheTabelle51">
    <w:name w:val="Einfache Tabelle 51"/>
    <w:basedOn w:val="TableNormal"/>
    <w:next w:val="PlainTable5"/>
    <w:uiPriority w:val="45"/>
    <w:rsid w:val="00D838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
    <w:name w:val="Plain Table 5"/>
    <w:basedOn w:val="TableNormal"/>
    <w:uiPriority w:val="45"/>
    <w:rsid w:val="00D838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D838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3829"/>
  </w:style>
  <w:style w:type="paragraph" w:styleId="Footer">
    <w:name w:val="footer"/>
    <w:basedOn w:val="Normal"/>
    <w:link w:val="FooterChar"/>
    <w:uiPriority w:val="99"/>
    <w:unhideWhenUsed/>
    <w:rsid w:val="00D838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3829"/>
  </w:style>
  <w:style w:type="paragraph" w:styleId="BalloonText">
    <w:name w:val="Balloon Text"/>
    <w:basedOn w:val="Normal"/>
    <w:link w:val="BalloonTextChar"/>
    <w:uiPriority w:val="99"/>
    <w:semiHidden/>
    <w:unhideWhenUsed/>
    <w:rsid w:val="00540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69"/>
    <w:rPr>
      <w:rFonts w:ascii="Segoe UI" w:hAnsi="Segoe UI" w:cs="Segoe UI"/>
      <w:sz w:val="18"/>
      <w:szCs w:val="18"/>
    </w:rPr>
  </w:style>
  <w:style w:type="character" w:customStyle="1" w:styleId="Heading1Char">
    <w:name w:val="Heading 1 Char"/>
    <w:basedOn w:val="DefaultParagraphFont"/>
    <w:link w:val="Heading1"/>
    <w:uiPriority w:val="9"/>
    <w:rsid w:val="00BD67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67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126D-2A8A-5E49-B908-E9092AD9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2559</Words>
  <Characters>14589</Characters>
  <Application>Microsoft Macintosh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Franke</dc:creator>
  <cp:keywords/>
  <dc:description/>
  <cp:lastModifiedBy>lsbu</cp:lastModifiedBy>
  <cp:revision>2</cp:revision>
  <cp:lastPrinted>2017-02-03T14:57:00Z</cp:lastPrinted>
  <dcterms:created xsi:type="dcterms:W3CDTF">2017-02-06T11:05:00Z</dcterms:created>
  <dcterms:modified xsi:type="dcterms:W3CDTF">2017-02-06T11:05:00Z</dcterms:modified>
</cp:coreProperties>
</file>