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FCC7" w14:textId="77777777" w:rsidR="000F6FC6" w:rsidRPr="00FE3A70" w:rsidRDefault="000F6FC6" w:rsidP="000F6FC6">
      <w:pPr>
        <w:spacing w:after="0" w:line="240" w:lineRule="auto"/>
        <w:rPr>
          <w:rFonts w:ascii="Gill Sans MT" w:hAnsi="Gill Sans MT"/>
          <w:sz w:val="36"/>
          <w:szCs w:val="36"/>
        </w:rPr>
      </w:pPr>
      <w:r w:rsidRPr="00FE3A70">
        <w:rPr>
          <w:rFonts w:ascii="Gill Sans MT" w:hAnsi="Gill Sans MT"/>
          <w:sz w:val="36"/>
          <w:szCs w:val="36"/>
        </w:rPr>
        <w:t>A CAT-AND-</w:t>
      </w:r>
      <w:r w:rsidRPr="00FE3A70">
        <w:rPr>
          <w:rFonts w:ascii="Gill Sans MT" w:hAnsi="Gill Sans MT"/>
          <w:i/>
          <w:sz w:val="36"/>
          <w:szCs w:val="36"/>
        </w:rPr>
        <w:t xml:space="preserve">MAUS </w:t>
      </w:r>
      <w:r w:rsidRPr="00FE3A70">
        <w:rPr>
          <w:rFonts w:ascii="Gill Sans MT" w:hAnsi="Gill Sans MT"/>
          <w:sz w:val="36"/>
          <w:szCs w:val="36"/>
        </w:rPr>
        <w:t>GAME: THE POLITICS OF TRUTH AND RECONCILIATION IN POST-CONFLICT COMICS</w:t>
      </w:r>
    </w:p>
    <w:p w14:paraId="473F44B8" w14:textId="77777777" w:rsidR="000F6FC6" w:rsidRDefault="000F6FC6" w:rsidP="000F6FC6">
      <w:pPr>
        <w:spacing w:after="0" w:line="240" w:lineRule="auto"/>
        <w:jc w:val="both"/>
        <w:rPr>
          <w:rFonts w:ascii="Gill Sans MT" w:hAnsi="Gill Sans MT"/>
          <w:sz w:val="24"/>
          <w:szCs w:val="24"/>
        </w:rPr>
      </w:pPr>
    </w:p>
    <w:p w14:paraId="613C2C5F" w14:textId="77777777" w:rsidR="001C6F1C" w:rsidRPr="00FE3A70" w:rsidRDefault="001C6F1C" w:rsidP="000F6FC6">
      <w:pPr>
        <w:spacing w:after="0" w:line="240" w:lineRule="auto"/>
        <w:jc w:val="both"/>
        <w:rPr>
          <w:rFonts w:ascii="Gill Sans MT" w:hAnsi="Gill Sans MT"/>
          <w:sz w:val="24"/>
          <w:szCs w:val="24"/>
        </w:rPr>
      </w:pPr>
    </w:p>
    <w:p w14:paraId="63E44C6A" w14:textId="77777777" w:rsidR="00A80477" w:rsidRDefault="00A80477" w:rsidP="00A80477">
      <w:pPr>
        <w:spacing w:after="0" w:line="240" w:lineRule="auto"/>
        <w:jc w:val="both"/>
        <w:rPr>
          <w:rFonts w:ascii="Gill Sans MT" w:hAnsi="Gill Sans MT"/>
          <w:sz w:val="24"/>
          <w:szCs w:val="24"/>
        </w:rPr>
      </w:pPr>
      <w:r w:rsidRPr="001C6F1C">
        <w:rPr>
          <w:rFonts w:ascii="Gill Sans MT" w:hAnsi="Gill Sans MT"/>
          <w:b/>
          <w:sz w:val="24"/>
          <w:szCs w:val="24"/>
        </w:rPr>
        <w:t>Henry Redwood</w:t>
      </w:r>
      <w:r>
        <w:rPr>
          <w:rFonts w:ascii="Gill Sans MT" w:hAnsi="Gill Sans MT"/>
          <w:sz w:val="24"/>
          <w:szCs w:val="24"/>
        </w:rPr>
        <w:t>, King’s College London</w:t>
      </w:r>
    </w:p>
    <w:p w14:paraId="48545CD8" w14:textId="77777777" w:rsidR="00A80477" w:rsidRDefault="00A80477" w:rsidP="00A80477">
      <w:pPr>
        <w:spacing w:after="0" w:line="240" w:lineRule="auto"/>
        <w:jc w:val="both"/>
        <w:rPr>
          <w:rFonts w:ascii="Gill Sans MT" w:hAnsi="Gill Sans MT"/>
          <w:sz w:val="24"/>
          <w:szCs w:val="24"/>
        </w:rPr>
      </w:pPr>
      <w:r>
        <w:rPr>
          <w:rFonts w:ascii="Gill Sans MT" w:hAnsi="Gill Sans MT"/>
          <w:sz w:val="24"/>
          <w:szCs w:val="24"/>
        </w:rPr>
        <w:t>A: The Strand, London, WC2R 2LS, UK.</w:t>
      </w:r>
    </w:p>
    <w:p w14:paraId="677A983E" w14:textId="77777777" w:rsidR="00A80477" w:rsidRDefault="00A80477" w:rsidP="00A80477">
      <w:pPr>
        <w:spacing w:after="0" w:line="240" w:lineRule="auto"/>
        <w:jc w:val="both"/>
        <w:rPr>
          <w:rFonts w:ascii="Gill Sans MT" w:hAnsi="Gill Sans MT"/>
          <w:sz w:val="24"/>
          <w:szCs w:val="24"/>
        </w:rPr>
      </w:pPr>
      <w:r>
        <w:rPr>
          <w:rFonts w:ascii="Gill Sans MT" w:hAnsi="Gill Sans MT"/>
          <w:sz w:val="24"/>
          <w:szCs w:val="24"/>
        </w:rPr>
        <w:t>E: henry.redwood@kcl.ac.uk</w:t>
      </w:r>
    </w:p>
    <w:p w14:paraId="5FA48E86" w14:textId="68164981" w:rsidR="00A80477" w:rsidRPr="00A80477" w:rsidRDefault="00A80477" w:rsidP="000F6FC6">
      <w:pPr>
        <w:spacing w:after="0" w:line="240" w:lineRule="auto"/>
        <w:jc w:val="both"/>
        <w:rPr>
          <w:rFonts w:ascii="Gill Sans MT" w:hAnsi="Gill Sans MT"/>
          <w:sz w:val="24"/>
          <w:szCs w:val="24"/>
        </w:rPr>
      </w:pPr>
      <w:r>
        <w:rPr>
          <w:rFonts w:ascii="Gill Sans MT" w:hAnsi="Gill Sans MT"/>
          <w:sz w:val="24"/>
          <w:szCs w:val="24"/>
        </w:rPr>
        <w:t xml:space="preserve">BIO: </w:t>
      </w:r>
      <w:r w:rsidRPr="00120B52">
        <w:rPr>
          <w:rFonts w:ascii="Gill Sans MT" w:hAnsi="Gill Sans MT"/>
          <w:sz w:val="24"/>
          <w:szCs w:val="24"/>
        </w:rPr>
        <w:t>Henry Redwood is an ESRC post-doctoral fellow in the Department of War Studies, King's College London.</w:t>
      </w:r>
    </w:p>
    <w:p w14:paraId="46FC9B72" w14:textId="77777777" w:rsidR="00A80477" w:rsidRDefault="00A80477" w:rsidP="000F6FC6">
      <w:pPr>
        <w:spacing w:after="0" w:line="240" w:lineRule="auto"/>
        <w:jc w:val="both"/>
        <w:rPr>
          <w:rFonts w:ascii="Gill Sans MT" w:hAnsi="Gill Sans MT"/>
          <w:b/>
          <w:sz w:val="24"/>
          <w:szCs w:val="24"/>
        </w:rPr>
      </w:pPr>
    </w:p>
    <w:p w14:paraId="7ED79999" w14:textId="77777777" w:rsidR="009048B8" w:rsidRDefault="001C6F1C" w:rsidP="000F6FC6">
      <w:pPr>
        <w:spacing w:after="0" w:line="240" w:lineRule="auto"/>
        <w:jc w:val="both"/>
        <w:rPr>
          <w:rFonts w:ascii="Gill Sans MT" w:hAnsi="Gill Sans MT"/>
          <w:sz w:val="24"/>
          <w:szCs w:val="24"/>
        </w:rPr>
      </w:pPr>
      <w:r w:rsidRPr="001C6F1C">
        <w:rPr>
          <w:rFonts w:ascii="Gill Sans MT" w:hAnsi="Gill Sans MT"/>
          <w:b/>
          <w:sz w:val="24"/>
          <w:szCs w:val="24"/>
        </w:rPr>
        <w:t>Alister Wedderburn</w:t>
      </w:r>
      <w:r w:rsidRPr="001C6F1C">
        <w:rPr>
          <w:rFonts w:ascii="Gill Sans MT" w:hAnsi="Gill Sans MT"/>
          <w:sz w:val="24"/>
          <w:szCs w:val="24"/>
        </w:rPr>
        <w:t>, Australian National University</w:t>
      </w:r>
      <w:r w:rsidR="009048B8">
        <w:rPr>
          <w:rFonts w:ascii="Gill Sans MT" w:hAnsi="Gill Sans MT"/>
          <w:sz w:val="24"/>
          <w:szCs w:val="24"/>
        </w:rPr>
        <w:t xml:space="preserve">. </w:t>
      </w:r>
    </w:p>
    <w:p w14:paraId="43D562A8" w14:textId="77777777" w:rsidR="009048B8" w:rsidRDefault="009048B8" w:rsidP="000F6FC6">
      <w:pPr>
        <w:spacing w:after="0" w:line="240" w:lineRule="auto"/>
        <w:jc w:val="both"/>
        <w:rPr>
          <w:rFonts w:ascii="Gill Sans MT" w:hAnsi="Gill Sans MT"/>
          <w:sz w:val="24"/>
          <w:szCs w:val="24"/>
        </w:rPr>
      </w:pPr>
      <w:r>
        <w:rPr>
          <w:rFonts w:ascii="Gill Sans MT" w:hAnsi="Gill Sans MT"/>
          <w:sz w:val="24"/>
          <w:szCs w:val="24"/>
        </w:rPr>
        <w:t xml:space="preserve">A: 130 Garran Road, Canberra, ACT, Australia. </w:t>
      </w:r>
    </w:p>
    <w:p w14:paraId="5C7F1712" w14:textId="07111953" w:rsidR="000F6FC6" w:rsidRPr="001C6F1C" w:rsidRDefault="009048B8" w:rsidP="000F6FC6">
      <w:pPr>
        <w:spacing w:after="0" w:line="240" w:lineRule="auto"/>
        <w:jc w:val="both"/>
        <w:rPr>
          <w:rFonts w:ascii="Gill Sans MT" w:hAnsi="Gill Sans MT"/>
          <w:sz w:val="24"/>
          <w:szCs w:val="24"/>
        </w:rPr>
      </w:pPr>
      <w:r>
        <w:rPr>
          <w:rFonts w:ascii="Gill Sans MT" w:hAnsi="Gill Sans MT"/>
          <w:sz w:val="24"/>
          <w:szCs w:val="24"/>
        </w:rPr>
        <w:t>E: alister.wedderburn@anu.edu.au</w:t>
      </w:r>
    </w:p>
    <w:p w14:paraId="04F78D62" w14:textId="27F791E4" w:rsidR="00A80477" w:rsidRPr="00120B52" w:rsidRDefault="001C6F1C" w:rsidP="000F6FC6">
      <w:pPr>
        <w:spacing w:after="0" w:line="240" w:lineRule="auto"/>
        <w:jc w:val="both"/>
        <w:rPr>
          <w:rFonts w:ascii="Gill Sans MT" w:hAnsi="Gill Sans MT"/>
          <w:sz w:val="24"/>
          <w:szCs w:val="24"/>
        </w:rPr>
      </w:pPr>
      <w:r>
        <w:rPr>
          <w:rFonts w:ascii="Gill Sans MT" w:hAnsi="Gill Sans MT"/>
          <w:sz w:val="24"/>
          <w:szCs w:val="24"/>
        </w:rPr>
        <w:t>BIO: Alister Wedderburn is the John Vincent Postdoctoral Research Fellow in International Relations at the Australian National University</w:t>
      </w:r>
      <w:r w:rsidR="009048B8">
        <w:rPr>
          <w:rFonts w:ascii="Gill Sans MT" w:hAnsi="Gill Sans MT"/>
          <w:sz w:val="24"/>
          <w:szCs w:val="24"/>
        </w:rPr>
        <w:t>.</w:t>
      </w:r>
    </w:p>
    <w:p w14:paraId="5ED498D7" w14:textId="5FFE1E29" w:rsidR="00852A10" w:rsidRDefault="00852A10" w:rsidP="000F6FC6">
      <w:pPr>
        <w:spacing w:after="0" w:line="240" w:lineRule="auto"/>
        <w:jc w:val="both"/>
        <w:rPr>
          <w:rFonts w:ascii="Gill Sans MT" w:hAnsi="Gill Sans MT"/>
          <w:sz w:val="24"/>
          <w:szCs w:val="24"/>
        </w:rPr>
      </w:pPr>
    </w:p>
    <w:p w14:paraId="32D7E5A2" w14:textId="77777777" w:rsidR="00826E6E" w:rsidRPr="00120B52" w:rsidRDefault="00826E6E" w:rsidP="000F6FC6">
      <w:pPr>
        <w:spacing w:after="0" w:line="240" w:lineRule="auto"/>
        <w:jc w:val="both"/>
        <w:rPr>
          <w:rFonts w:ascii="Gill Sans MT" w:hAnsi="Gill Sans MT"/>
          <w:sz w:val="24"/>
          <w:szCs w:val="24"/>
        </w:rPr>
      </w:pPr>
    </w:p>
    <w:p w14:paraId="1797CC5E" w14:textId="77777777" w:rsidR="001C6F1C" w:rsidRPr="00120B52" w:rsidRDefault="001C6F1C" w:rsidP="000F6FC6">
      <w:pPr>
        <w:spacing w:after="0" w:line="240" w:lineRule="auto"/>
        <w:jc w:val="both"/>
        <w:rPr>
          <w:rFonts w:ascii="Gill Sans MT" w:hAnsi="Gill Sans MT"/>
          <w:sz w:val="24"/>
          <w:szCs w:val="24"/>
        </w:rPr>
      </w:pPr>
      <w:r w:rsidRPr="00120B52">
        <w:rPr>
          <w:rFonts w:ascii="Gill Sans MT" w:hAnsi="Gill Sans MT"/>
          <w:sz w:val="24"/>
          <w:szCs w:val="24"/>
        </w:rPr>
        <w:t>ACKNOWLEDGMENTS:</w:t>
      </w:r>
    </w:p>
    <w:p w14:paraId="3587EC72" w14:textId="77777777" w:rsidR="001C6F1C" w:rsidRPr="00120B52" w:rsidRDefault="001C6F1C" w:rsidP="000F6FC6">
      <w:pPr>
        <w:spacing w:after="0" w:line="240" w:lineRule="auto"/>
        <w:jc w:val="both"/>
        <w:rPr>
          <w:rFonts w:ascii="Gill Sans MT" w:hAnsi="Gill Sans MT"/>
          <w:sz w:val="24"/>
          <w:szCs w:val="24"/>
        </w:rPr>
      </w:pPr>
    </w:p>
    <w:p w14:paraId="3A869107" w14:textId="50917413" w:rsidR="001C6F1C" w:rsidRPr="00120B52" w:rsidRDefault="001C6F1C" w:rsidP="001C6F1C">
      <w:pPr>
        <w:shd w:val="clear" w:color="auto" w:fill="FFFFFF"/>
        <w:spacing w:line="214" w:lineRule="atLeast"/>
        <w:jc w:val="both"/>
        <w:rPr>
          <w:rFonts w:cs="Times New Roman"/>
          <w:sz w:val="24"/>
          <w:szCs w:val="24"/>
          <w:lang w:val="en-GB"/>
        </w:rPr>
      </w:pPr>
      <w:r w:rsidRPr="00120B52">
        <w:rPr>
          <w:rFonts w:ascii="Gill Sans MT" w:hAnsi="Gill Sans MT" w:cs="Times New Roman"/>
          <w:sz w:val="24"/>
          <w:szCs w:val="24"/>
        </w:rPr>
        <w:t xml:space="preserve">Previous iterations of this paper </w:t>
      </w:r>
      <w:r w:rsidR="00826E6E">
        <w:rPr>
          <w:rFonts w:ascii="Gill Sans MT" w:hAnsi="Gill Sans MT" w:cs="Times New Roman"/>
          <w:sz w:val="24"/>
          <w:szCs w:val="24"/>
        </w:rPr>
        <w:t>have been</w:t>
      </w:r>
      <w:r w:rsidRPr="00120B52">
        <w:rPr>
          <w:rFonts w:ascii="Gill Sans MT" w:hAnsi="Gill Sans MT" w:cs="Times New Roman"/>
          <w:sz w:val="24"/>
          <w:szCs w:val="24"/>
        </w:rPr>
        <w:t xml:space="preserve"> read by Tim Aistrope, Claudia Aradau, Lindsay Clark, Kyle Grayson, Luke Hennessy, Rachel Kerr, Rhiannon Nielsen, Dave Norman and Ben Zala. We are grateful to all of them for their engagement. Thanks are also owed to the RIS editorial team and the three reviewers for their constructive and generous stewardship.</w:t>
      </w:r>
    </w:p>
    <w:p w14:paraId="57769B8C" w14:textId="6474926E" w:rsidR="001C6F1C" w:rsidRPr="00120B52" w:rsidRDefault="001C6F1C" w:rsidP="001C6F1C">
      <w:pPr>
        <w:spacing w:line="214" w:lineRule="atLeast"/>
        <w:jc w:val="both"/>
        <w:rPr>
          <w:rFonts w:cs="Arial"/>
          <w:sz w:val="24"/>
          <w:szCs w:val="24"/>
          <w:shd w:val="clear" w:color="auto" w:fill="FFFFFF"/>
          <w:lang w:val="en-GB"/>
        </w:rPr>
      </w:pPr>
      <w:r w:rsidRPr="00120B52">
        <w:rPr>
          <w:rFonts w:ascii="Gill Sans MT" w:hAnsi="Gill Sans MT" w:cs="Arial"/>
          <w:i/>
          <w:iCs/>
          <w:sz w:val="24"/>
          <w:szCs w:val="24"/>
          <w:shd w:val="clear" w:color="auto" w:fill="FFFFFF"/>
        </w:rPr>
        <w:t>Sierrarat </w:t>
      </w:r>
      <w:r w:rsidRPr="00120B52">
        <w:rPr>
          <w:rFonts w:ascii="Gill Sans MT" w:hAnsi="Gill Sans MT" w:cs="Arial"/>
          <w:sz w:val="24"/>
          <w:szCs w:val="24"/>
          <w:shd w:val="clear" w:color="auto" w:fill="FFFFFF"/>
        </w:rPr>
        <w:t xml:space="preserve">is reproduced here with the permission of John Caulker. </w:t>
      </w:r>
    </w:p>
    <w:p w14:paraId="27E6D2C4" w14:textId="62FEB080" w:rsidR="001C6F1C" w:rsidRPr="00120B52" w:rsidRDefault="001C6F1C" w:rsidP="00120B52">
      <w:pPr>
        <w:shd w:val="clear" w:color="auto" w:fill="FFFFFF"/>
        <w:spacing w:after="0" w:line="240" w:lineRule="auto"/>
        <w:jc w:val="both"/>
        <w:rPr>
          <w:rFonts w:cs="Times New Roman"/>
          <w:sz w:val="24"/>
          <w:szCs w:val="24"/>
          <w:lang w:val="en-GB"/>
        </w:rPr>
      </w:pPr>
      <w:r w:rsidRPr="00120B52">
        <w:rPr>
          <w:rFonts w:ascii="Gill Sans MT" w:hAnsi="Gill Sans MT" w:cs="Times New Roman"/>
          <w:sz w:val="24"/>
          <w:szCs w:val="24"/>
        </w:rPr>
        <w:t>This research has been part-supported by AHRC grant AH/P005365/1 and ESRC grant ES/S01117X/1.</w:t>
      </w:r>
    </w:p>
    <w:p w14:paraId="1CF84E98" w14:textId="2FD6F809" w:rsidR="00852A10" w:rsidRPr="00120B52" w:rsidRDefault="00852A10" w:rsidP="00120B52">
      <w:pPr>
        <w:spacing w:after="0" w:line="240" w:lineRule="auto"/>
        <w:jc w:val="both"/>
        <w:rPr>
          <w:rFonts w:ascii="Gill Sans MT" w:hAnsi="Gill Sans MT"/>
          <w:sz w:val="24"/>
          <w:szCs w:val="24"/>
        </w:rPr>
      </w:pPr>
    </w:p>
    <w:p w14:paraId="64F6377A" w14:textId="77777777" w:rsidR="00120B52" w:rsidRPr="00120B52" w:rsidRDefault="00120B52" w:rsidP="00120B52">
      <w:pPr>
        <w:spacing w:after="0" w:line="240" w:lineRule="auto"/>
        <w:jc w:val="both"/>
        <w:rPr>
          <w:rFonts w:ascii="Gill Sans MT" w:hAnsi="Gill Sans MT"/>
          <w:sz w:val="24"/>
          <w:szCs w:val="24"/>
        </w:rPr>
      </w:pPr>
    </w:p>
    <w:p w14:paraId="5D3082AB" w14:textId="77777777" w:rsidR="001C6F1C" w:rsidRPr="00120B52" w:rsidRDefault="001C6F1C" w:rsidP="00120B52">
      <w:pPr>
        <w:spacing w:after="0" w:line="240" w:lineRule="auto"/>
        <w:jc w:val="both"/>
        <w:rPr>
          <w:rFonts w:ascii="Gill Sans MT" w:hAnsi="Gill Sans MT"/>
          <w:sz w:val="24"/>
          <w:szCs w:val="24"/>
        </w:rPr>
      </w:pPr>
      <w:r w:rsidRPr="00120B52">
        <w:rPr>
          <w:rFonts w:ascii="Gill Sans MT" w:hAnsi="Gill Sans MT"/>
          <w:sz w:val="24"/>
          <w:szCs w:val="24"/>
        </w:rPr>
        <w:t xml:space="preserve">KEYWORDS: </w:t>
      </w:r>
      <w:bookmarkStart w:id="0" w:name="_GoBack"/>
      <w:bookmarkEnd w:id="0"/>
    </w:p>
    <w:p w14:paraId="2911AF51" w14:textId="77777777" w:rsidR="001C6F1C" w:rsidRPr="00120B52" w:rsidRDefault="001C6F1C" w:rsidP="00120B52">
      <w:pPr>
        <w:spacing w:after="0" w:line="240" w:lineRule="auto"/>
        <w:jc w:val="both"/>
        <w:rPr>
          <w:rFonts w:ascii="Gill Sans MT" w:hAnsi="Gill Sans MT"/>
          <w:sz w:val="24"/>
          <w:szCs w:val="24"/>
        </w:rPr>
      </w:pPr>
    </w:p>
    <w:p w14:paraId="076482D6" w14:textId="7CEBD290" w:rsidR="001C6F1C" w:rsidRDefault="001C6F1C" w:rsidP="00852A10">
      <w:pPr>
        <w:spacing w:after="0" w:line="240" w:lineRule="auto"/>
        <w:jc w:val="both"/>
        <w:rPr>
          <w:rFonts w:ascii="Gill Sans MT" w:hAnsi="Gill Sans MT"/>
          <w:sz w:val="24"/>
          <w:szCs w:val="24"/>
        </w:rPr>
      </w:pPr>
      <w:r w:rsidRPr="00120B52">
        <w:rPr>
          <w:rFonts w:ascii="Gill Sans MT" w:hAnsi="Gill Sans MT"/>
          <w:sz w:val="24"/>
          <w:szCs w:val="24"/>
        </w:rPr>
        <w:t xml:space="preserve">Visual global politics, popular culture, transitional justice, outreach, Sierra Leone, </w:t>
      </w:r>
      <w:r w:rsidRPr="00120B52">
        <w:rPr>
          <w:rFonts w:ascii="Gill Sans MT" w:hAnsi="Gill Sans MT"/>
          <w:i/>
          <w:sz w:val="24"/>
          <w:szCs w:val="24"/>
        </w:rPr>
        <w:t>Maus</w:t>
      </w:r>
      <w:r>
        <w:rPr>
          <w:rFonts w:ascii="Gill Sans MT" w:hAnsi="Gill Sans MT"/>
          <w:sz w:val="24"/>
          <w:szCs w:val="24"/>
        </w:rPr>
        <w:br w:type="page"/>
      </w:r>
    </w:p>
    <w:p w14:paraId="35FC0BA8" w14:textId="77777777" w:rsidR="000F6FC6" w:rsidRPr="00FE3A70" w:rsidRDefault="000F6FC6" w:rsidP="000F6FC6">
      <w:pPr>
        <w:spacing w:after="0" w:line="240" w:lineRule="auto"/>
        <w:jc w:val="both"/>
        <w:rPr>
          <w:rFonts w:ascii="Gill Sans MT" w:hAnsi="Gill Sans MT"/>
          <w:sz w:val="24"/>
          <w:szCs w:val="24"/>
        </w:rPr>
      </w:pPr>
      <w:r w:rsidRPr="00FE3A70">
        <w:rPr>
          <w:rFonts w:ascii="Gill Sans MT" w:hAnsi="Gill Sans MT"/>
          <w:sz w:val="24"/>
          <w:szCs w:val="24"/>
        </w:rPr>
        <w:lastRenderedPageBreak/>
        <w:t>ABSTRACT</w:t>
      </w:r>
    </w:p>
    <w:p w14:paraId="2158038D" w14:textId="77777777" w:rsidR="000F6FC6" w:rsidRPr="00FE3A70" w:rsidRDefault="000F6FC6" w:rsidP="000F6FC6">
      <w:pPr>
        <w:spacing w:after="0" w:line="360" w:lineRule="auto"/>
        <w:jc w:val="both"/>
        <w:rPr>
          <w:rFonts w:ascii="Gill Sans MT" w:hAnsi="Gill Sans MT"/>
          <w:sz w:val="24"/>
          <w:szCs w:val="24"/>
        </w:rPr>
      </w:pPr>
    </w:p>
    <w:p w14:paraId="488CF1B1" w14:textId="77777777" w:rsidR="000F6FC6" w:rsidRPr="00826E6E" w:rsidRDefault="000F6FC6" w:rsidP="000F6FC6">
      <w:pPr>
        <w:spacing w:after="0" w:line="276" w:lineRule="auto"/>
        <w:jc w:val="both"/>
        <w:rPr>
          <w:rFonts w:ascii="Gill Sans MT" w:hAnsi="Gill Sans MT"/>
          <w:i/>
          <w:sz w:val="24"/>
          <w:szCs w:val="24"/>
        </w:rPr>
      </w:pPr>
      <w:r w:rsidRPr="00826E6E">
        <w:rPr>
          <w:rFonts w:ascii="Gill Sans MT" w:hAnsi="Gill Sans MT"/>
          <w:i/>
          <w:sz w:val="24"/>
          <w:szCs w:val="24"/>
        </w:rPr>
        <w:t xml:space="preserve">Several scholars have raised concerns that the institutional mechanisms through which transitional justice is commonly promoted in post-conflict societies can alienate affected populations. Practitioners have looked to bridge this gap by developing ‘outreach’ programmes, in some instances commissioning comic books in order to communicate their findings to the people they seek to serve. In this article, we interrogate the ways in which post-conflict comics produce meaning about truth, reconciliation and the possibilities of peace, focusing in particular on a comic strip published in 2005 as part of the Sierra Leone Truth and Reconciliation Commission Report into the causes and crimes of the 1991-2002 Civil War. Aimed at Sierra Leonean teenagers, the Report tells the story of ‘Sierrarat’, a peaceful nation of rats whose idyllic lifestyle is disrupted by an invasion of cats. Although the Report displays striking formal similarities with Art Spiegelman’s </w:t>
      </w:r>
      <w:r w:rsidRPr="00826E6E">
        <w:rPr>
          <w:rFonts w:ascii="Gill Sans MT" w:hAnsi="Gill Sans MT"/>
          <w:sz w:val="24"/>
          <w:szCs w:val="24"/>
        </w:rPr>
        <w:t>Maus</w:t>
      </w:r>
      <w:r w:rsidRPr="00826E6E">
        <w:rPr>
          <w:rFonts w:ascii="Gill Sans MT" w:hAnsi="Gill Sans MT"/>
          <w:i/>
          <w:sz w:val="24"/>
          <w:szCs w:val="24"/>
        </w:rPr>
        <w:t xml:space="preserve"> (a text also intimately concerned with reconciliation, in its own way), it does so to very different ends. The article brings these two texts into dialogue in order to explore the aesthetic politics of truth and reconciliation, and to ask what role popular visual media like comics can play in their practice and (re)conceptualisation.</w:t>
      </w:r>
    </w:p>
    <w:p w14:paraId="6220F95A" w14:textId="77777777" w:rsidR="001C6F1C" w:rsidRPr="00120B52" w:rsidRDefault="001C6F1C" w:rsidP="000F6FC6">
      <w:pPr>
        <w:pStyle w:val="Heading1"/>
        <w:spacing w:before="0"/>
        <w:jc w:val="both"/>
        <w:rPr>
          <w:rFonts w:ascii="Gill Sans MT" w:eastAsiaTheme="minorHAnsi" w:hAnsi="Gill Sans MT" w:cstheme="minorBidi"/>
          <w:color w:val="auto"/>
          <w:sz w:val="24"/>
          <w:szCs w:val="24"/>
          <w:lang w:val="en-AU"/>
        </w:rPr>
      </w:pPr>
    </w:p>
    <w:p w14:paraId="260ADAAC" w14:textId="77777777" w:rsidR="001C6F1C" w:rsidRPr="00120B52" w:rsidRDefault="001C6F1C" w:rsidP="000F6FC6">
      <w:pPr>
        <w:pStyle w:val="Heading1"/>
        <w:spacing w:before="0"/>
        <w:jc w:val="both"/>
        <w:rPr>
          <w:rFonts w:ascii="Gill Sans MT" w:eastAsiaTheme="minorHAnsi" w:hAnsi="Gill Sans MT" w:cstheme="minorBidi"/>
          <w:color w:val="auto"/>
          <w:sz w:val="24"/>
          <w:szCs w:val="24"/>
          <w:lang w:val="en-AU"/>
        </w:rPr>
      </w:pPr>
    </w:p>
    <w:p w14:paraId="0973BE52" w14:textId="77777777" w:rsidR="001C6F1C" w:rsidRPr="00120B52" w:rsidRDefault="001C6F1C" w:rsidP="001C6F1C">
      <w:pPr>
        <w:rPr>
          <w:rFonts w:ascii="Gill Sans MT" w:hAnsi="Gill Sans MT"/>
          <w:sz w:val="24"/>
          <w:szCs w:val="24"/>
        </w:rPr>
      </w:pPr>
    </w:p>
    <w:p w14:paraId="38590E5B" w14:textId="77777777" w:rsidR="001C6F1C" w:rsidRPr="00120B52" w:rsidRDefault="001C6F1C" w:rsidP="000F6FC6">
      <w:pPr>
        <w:pStyle w:val="Heading1"/>
        <w:spacing w:before="0"/>
        <w:jc w:val="both"/>
        <w:rPr>
          <w:rFonts w:ascii="Gill Sans MT" w:eastAsiaTheme="minorHAnsi" w:hAnsi="Gill Sans MT" w:cstheme="minorBidi"/>
          <w:color w:val="auto"/>
          <w:sz w:val="24"/>
          <w:szCs w:val="24"/>
          <w:lang w:val="en-AU"/>
        </w:rPr>
      </w:pPr>
    </w:p>
    <w:p w14:paraId="4B88863C" w14:textId="77777777" w:rsidR="000F6FC6" w:rsidRPr="00120B52" w:rsidRDefault="000F6FC6" w:rsidP="000F6FC6">
      <w:pPr>
        <w:pStyle w:val="Heading1"/>
        <w:spacing w:before="0"/>
        <w:jc w:val="both"/>
        <w:rPr>
          <w:rFonts w:ascii="Gill Sans MT" w:hAnsi="Gill Sans MT"/>
          <w:color w:val="auto"/>
          <w:sz w:val="24"/>
          <w:szCs w:val="24"/>
        </w:rPr>
      </w:pPr>
      <w:r w:rsidRPr="00120B52">
        <w:rPr>
          <w:rFonts w:ascii="Gill Sans MT" w:hAnsi="Gill Sans MT"/>
          <w:color w:val="auto"/>
          <w:sz w:val="24"/>
          <w:szCs w:val="24"/>
        </w:rPr>
        <w:t>INTRODUCTION: AESTHETICS, POLITICS &amp; ‘OUTREACH’</w:t>
      </w:r>
    </w:p>
    <w:p w14:paraId="4F928915" w14:textId="77777777" w:rsidR="000F6FC6" w:rsidRPr="00120B52" w:rsidRDefault="000F6FC6" w:rsidP="000F6FC6">
      <w:pPr>
        <w:spacing w:after="0" w:line="480" w:lineRule="auto"/>
        <w:jc w:val="both"/>
        <w:rPr>
          <w:rFonts w:ascii="Gill Sans MT" w:hAnsi="Gill Sans MT"/>
          <w:sz w:val="24"/>
          <w:szCs w:val="24"/>
        </w:rPr>
      </w:pPr>
    </w:p>
    <w:p w14:paraId="43A1C9F0" w14:textId="77777777" w:rsidR="000F6FC6" w:rsidRPr="00522B85" w:rsidRDefault="000F6FC6" w:rsidP="000F6FC6">
      <w:pPr>
        <w:spacing w:after="0" w:line="480" w:lineRule="auto"/>
        <w:jc w:val="both"/>
        <w:rPr>
          <w:rFonts w:ascii="Gill Sans MT" w:hAnsi="Gill Sans MT"/>
          <w:sz w:val="24"/>
          <w:szCs w:val="24"/>
        </w:rPr>
      </w:pPr>
      <w:r w:rsidRPr="00120B52">
        <w:rPr>
          <w:rFonts w:ascii="Gill Sans MT" w:hAnsi="Gill Sans MT"/>
          <w:sz w:val="24"/>
          <w:szCs w:val="24"/>
        </w:rPr>
        <w:t>Since the early 1990s, transitional justice [TJ] initiatives have been a prominent feature of post</w:t>
      </w:r>
      <w:r w:rsidRPr="00FE3A70">
        <w:rPr>
          <w:rFonts w:ascii="Gill Sans MT" w:hAnsi="Gill Sans MT"/>
          <w:sz w:val="24"/>
          <w:szCs w:val="24"/>
        </w:rPr>
        <w:t>-conflict political landscapes around the world.</w:t>
      </w:r>
      <w:r w:rsidRPr="002E565E">
        <w:rPr>
          <w:rStyle w:val="FootnoteReference"/>
          <w:rFonts w:ascii="Gill Sans MT" w:hAnsi="Gill Sans MT"/>
          <w:sz w:val="24"/>
          <w:szCs w:val="24"/>
        </w:rPr>
        <w:footnoteReference w:id="1"/>
      </w:r>
      <w:r w:rsidRPr="002E565E">
        <w:rPr>
          <w:rFonts w:ascii="Gill Sans MT" w:hAnsi="Gill Sans MT"/>
          <w:sz w:val="24"/>
          <w:szCs w:val="24"/>
        </w:rPr>
        <w:t xml:space="preserve"> As a discourse, TJ</w:t>
      </w:r>
      <w:r w:rsidRPr="00FE3A70">
        <w:rPr>
          <w:rFonts w:ascii="Gill Sans MT" w:hAnsi="Gill Sans MT"/>
          <w:sz w:val="24"/>
          <w:szCs w:val="24"/>
        </w:rPr>
        <w:t xml:space="preserve"> has shaped</w:t>
      </w:r>
      <w:r w:rsidRPr="002E565E">
        <w:rPr>
          <w:rFonts w:ascii="Gill Sans MT" w:hAnsi="Gill Sans MT"/>
          <w:sz w:val="24"/>
          <w:szCs w:val="24"/>
        </w:rPr>
        <w:t xml:space="preserve"> how international and transnational organisations </w:t>
      </w:r>
      <w:r w:rsidRPr="00FE3A70">
        <w:rPr>
          <w:rFonts w:ascii="Gill Sans MT" w:hAnsi="Gill Sans MT"/>
          <w:sz w:val="24"/>
          <w:szCs w:val="24"/>
        </w:rPr>
        <w:t xml:space="preserve">have responded to </w:t>
      </w:r>
      <w:r w:rsidRPr="002E565E">
        <w:rPr>
          <w:rFonts w:ascii="Gill Sans MT" w:hAnsi="Gill Sans MT"/>
          <w:sz w:val="24"/>
          <w:szCs w:val="24"/>
        </w:rPr>
        <w:t>crimes against humanity, war crimes and other atrocities</w:t>
      </w:r>
      <w:r w:rsidRPr="00FE3A70">
        <w:rPr>
          <w:rFonts w:ascii="Gill Sans MT" w:hAnsi="Gill Sans MT"/>
          <w:sz w:val="24"/>
          <w:szCs w:val="24"/>
        </w:rPr>
        <w:t xml:space="preserve">, while as a field of practice its prescribed </w:t>
      </w:r>
      <w:r w:rsidRPr="00FE3A70">
        <w:rPr>
          <w:rFonts w:ascii="Gill Sans MT" w:hAnsi="Gill Sans MT"/>
          <w:sz w:val="24"/>
          <w:szCs w:val="24"/>
        </w:rPr>
        <w:lastRenderedPageBreak/>
        <w:t xml:space="preserve">methods for post-conflict peacebuilding </w:t>
      </w:r>
      <w:r w:rsidRPr="002E565E">
        <w:rPr>
          <w:rFonts w:ascii="Gill Sans MT" w:hAnsi="Gill Sans MT"/>
          <w:sz w:val="24"/>
          <w:szCs w:val="24"/>
        </w:rPr>
        <w:t>have come</w:t>
      </w:r>
      <w:r w:rsidRPr="00FE3A70">
        <w:rPr>
          <w:rFonts w:ascii="Gill Sans MT" w:hAnsi="Gill Sans MT"/>
          <w:sz w:val="24"/>
          <w:szCs w:val="24"/>
        </w:rPr>
        <w:t xml:space="preserve"> to predominate on the </w:t>
      </w:r>
      <w:r w:rsidRPr="002E565E">
        <w:rPr>
          <w:rFonts w:ascii="Gill Sans MT" w:hAnsi="Gill Sans MT"/>
          <w:sz w:val="24"/>
          <w:szCs w:val="24"/>
        </w:rPr>
        <w:t>global stage.</w:t>
      </w:r>
      <w:r w:rsidRPr="002E565E">
        <w:rPr>
          <w:rStyle w:val="FootnoteReference"/>
          <w:rFonts w:ascii="Gill Sans MT" w:hAnsi="Gill Sans MT"/>
          <w:sz w:val="24"/>
          <w:szCs w:val="24"/>
        </w:rPr>
        <w:footnoteReference w:id="2"/>
      </w:r>
      <w:r w:rsidRPr="002E565E">
        <w:rPr>
          <w:rFonts w:ascii="Gill Sans MT" w:hAnsi="Gill Sans MT"/>
          <w:sz w:val="24"/>
          <w:szCs w:val="24"/>
        </w:rPr>
        <w:t xml:space="preserve"> More recently</w:t>
      </w:r>
      <w:r w:rsidRPr="00FE3A70">
        <w:rPr>
          <w:rFonts w:ascii="Gill Sans MT" w:hAnsi="Gill Sans MT"/>
          <w:sz w:val="24"/>
          <w:szCs w:val="24"/>
        </w:rPr>
        <w:t>,</w:t>
      </w:r>
      <w:r w:rsidRPr="002E565E">
        <w:rPr>
          <w:rFonts w:ascii="Gill Sans MT" w:hAnsi="Gill Sans MT"/>
          <w:sz w:val="24"/>
          <w:szCs w:val="24"/>
        </w:rPr>
        <w:t xml:space="preserve"> however, </w:t>
      </w:r>
      <w:r w:rsidRPr="00FE3A70">
        <w:rPr>
          <w:rFonts w:ascii="Gill Sans MT" w:hAnsi="Gill Sans MT"/>
          <w:sz w:val="24"/>
          <w:szCs w:val="24"/>
        </w:rPr>
        <w:t xml:space="preserve">several scholars have argued </w:t>
      </w:r>
      <w:r w:rsidRPr="002E565E">
        <w:rPr>
          <w:rFonts w:ascii="Gill Sans MT" w:hAnsi="Gill Sans MT"/>
          <w:sz w:val="24"/>
          <w:szCs w:val="24"/>
        </w:rPr>
        <w:t>that</w:t>
      </w:r>
      <w:r w:rsidRPr="00FE3A70">
        <w:rPr>
          <w:rFonts w:ascii="Gill Sans MT" w:hAnsi="Gill Sans MT"/>
          <w:sz w:val="24"/>
          <w:szCs w:val="24"/>
        </w:rPr>
        <w:t xml:space="preserve"> </w:t>
      </w:r>
      <w:r>
        <w:rPr>
          <w:rFonts w:ascii="Gill Sans MT" w:hAnsi="Gill Sans MT"/>
          <w:sz w:val="24"/>
          <w:szCs w:val="24"/>
        </w:rPr>
        <w:t xml:space="preserve">the </w:t>
      </w:r>
      <w:r w:rsidRPr="002E565E">
        <w:rPr>
          <w:rFonts w:ascii="Gill Sans MT" w:hAnsi="Gill Sans MT"/>
          <w:sz w:val="24"/>
          <w:szCs w:val="24"/>
        </w:rPr>
        <w:t>institutional</w:t>
      </w:r>
      <w:r>
        <w:rPr>
          <w:rFonts w:ascii="Gill Sans MT" w:hAnsi="Gill Sans MT"/>
          <w:sz w:val="24"/>
          <w:szCs w:val="24"/>
        </w:rPr>
        <w:t xml:space="preserve"> mechanisms through which TJ is commonly promoted can often </w:t>
      </w:r>
      <w:r w:rsidRPr="00FE3A70">
        <w:rPr>
          <w:rFonts w:ascii="Gill Sans MT" w:hAnsi="Gill Sans MT"/>
          <w:sz w:val="24"/>
          <w:szCs w:val="24"/>
        </w:rPr>
        <w:t xml:space="preserve">operate at a distance from affected </w:t>
      </w:r>
      <w:r w:rsidRPr="002E565E">
        <w:rPr>
          <w:rFonts w:ascii="Gill Sans MT" w:hAnsi="Gill Sans MT"/>
          <w:sz w:val="24"/>
          <w:szCs w:val="24"/>
        </w:rPr>
        <w:t>populations</w:t>
      </w:r>
      <w:r>
        <w:rPr>
          <w:rFonts w:ascii="Gill Sans MT" w:hAnsi="Gill Sans MT"/>
          <w:sz w:val="24"/>
          <w:szCs w:val="24"/>
        </w:rPr>
        <w:t>,</w:t>
      </w:r>
      <w:r w:rsidRPr="00FE3A70">
        <w:rPr>
          <w:rFonts w:ascii="Gill Sans MT" w:hAnsi="Gill Sans MT"/>
          <w:sz w:val="24"/>
          <w:szCs w:val="24"/>
        </w:rPr>
        <w:t xml:space="preserve"> in the process alienating rather than engaging the people they seek to represent.</w:t>
      </w:r>
      <w:r w:rsidRPr="002E565E">
        <w:rPr>
          <w:rStyle w:val="FootnoteReference"/>
          <w:rFonts w:ascii="Gill Sans MT" w:hAnsi="Gill Sans MT"/>
          <w:sz w:val="24"/>
          <w:szCs w:val="24"/>
        </w:rPr>
        <w:footnoteReference w:id="3"/>
      </w:r>
      <w:r w:rsidRPr="002E565E">
        <w:rPr>
          <w:rFonts w:ascii="Gill Sans MT" w:hAnsi="Gill Sans MT"/>
          <w:sz w:val="24"/>
          <w:szCs w:val="24"/>
        </w:rPr>
        <w:t xml:space="preserve"> TJ practitioners have responded to these </w:t>
      </w:r>
      <w:r w:rsidRPr="00FE3A70">
        <w:rPr>
          <w:rFonts w:ascii="Gill Sans MT" w:hAnsi="Gill Sans MT"/>
          <w:sz w:val="24"/>
          <w:szCs w:val="24"/>
        </w:rPr>
        <w:t xml:space="preserve">concerns </w:t>
      </w:r>
      <w:r w:rsidRPr="002E565E">
        <w:rPr>
          <w:rFonts w:ascii="Gill Sans MT" w:hAnsi="Gill Sans MT"/>
          <w:sz w:val="24"/>
          <w:szCs w:val="24"/>
        </w:rPr>
        <w:t>by developing</w:t>
      </w:r>
      <w:r w:rsidRPr="00FE3A70">
        <w:rPr>
          <w:rFonts w:ascii="Gill Sans MT" w:hAnsi="Gill Sans MT"/>
          <w:sz w:val="24"/>
          <w:szCs w:val="24"/>
        </w:rPr>
        <w:t xml:space="preserve"> ‘outreach’ programmes in order to communicate their findings to local </w:t>
      </w:r>
      <w:r>
        <w:rPr>
          <w:rFonts w:ascii="Gill Sans MT" w:hAnsi="Gill Sans MT"/>
          <w:sz w:val="24"/>
          <w:szCs w:val="24"/>
        </w:rPr>
        <w:t>populations</w:t>
      </w:r>
      <w:r w:rsidRPr="002E565E">
        <w:rPr>
          <w:rFonts w:ascii="Gill Sans MT" w:hAnsi="Gill Sans MT"/>
          <w:sz w:val="24"/>
          <w:szCs w:val="24"/>
        </w:rPr>
        <w:t xml:space="preserve">, </w:t>
      </w:r>
      <w:r w:rsidRPr="00FE3A70">
        <w:rPr>
          <w:rFonts w:ascii="Gill Sans MT" w:hAnsi="Gill Sans MT"/>
          <w:sz w:val="24"/>
          <w:szCs w:val="24"/>
        </w:rPr>
        <w:t>as at the International Criminal Tribunals for both Rwanda and the former Yugoslavia.</w:t>
      </w:r>
      <w:r w:rsidRPr="002E565E">
        <w:rPr>
          <w:rStyle w:val="FootnoteReference"/>
          <w:rFonts w:ascii="Gill Sans MT" w:hAnsi="Gill Sans MT"/>
          <w:sz w:val="24"/>
          <w:szCs w:val="24"/>
        </w:rPr>
        <w:footnoteReference w:id="4"/>
      </w:r>
      <w:r w:rsidRPr="002E565E">
        <w:rPr>
          <w:rFonts w:ascii="Gill Sans MT" w:hAnsi="Gill Sans MT"/>
          <w:sz w:val="24"/>
          <w:szCs w:val="24"/>
        </w:rPr>
        <w:t xml:space="preserve"> Although </w:t>
      </w:r>
      <w:r w:rsidRPr="00FE3A70">
        <w:rPr>
          <w:rFonts w:ascii="Gill Sans MT" w:hAnsi="Gill Sans MT"/>
          <w:sz w:val="24"/>
          <w:szCs w:val="24"/>
        </w:rPr>
        <w:t>r</w:t>
      </w:r>
      <w:r w:rsidRPr="002E565E">
        <w:rPr>
          <w:rFonts w:ascii="Gill Sans MT" w:hAnsi="Gill Sans MT"/>
          <w:sz w:val="24"/>
          <w:szCs w:val="24"/>
        </w:rPr>
        <w:t>eactions</w:t>
      </w:r>
      <w:r w:rsidRPr="00FE3A70">
        <w:rPr>
          <w:rFonts w:ascii="Gill Sans MT" w:hAnsi="Gill Sans MT"/>
          <w:sz w:val="24"/>
          <w:szCs w:val="24"/>
        </w:rPr>
        <w:t xml:space="preserve"> to these initial efforts </w:t>
      </w:r>
      <w:r w:rsidRPr="002E565E">
        <w:rPr>
          <w:rFonts w:ascii="Gill Sans MT" w:hAnsi="Gill Sans MT"/>
          <w:sz w:val="24"/>
          <w:szCs w:val="24"/>
        </w:rPr>
        <w:t>have been</w:t>
      </w:r>
      <w:r w:rsidRPr="00FE3A70">
        <w:rPr>
          <w:rFonts w:ascii="Gill Sans MT" w:hAnsi="Gill Sans MT"/>
          <w:sz w:val="24"/>
          <w:szCs w:val="24"/>
        </w:rPr>
        <w:t xml:space="preserve"> mixed,</w:t>
      </w:r>
      <w:r w:rsidRPr="002E565E">
        <w:rPr>
          <w:rFonts w:ascii="Gill Sans MT" w:hAnsi="Gill Sans MT"/>
          <w:sz w:val="24"/>
          <w:szCs w:val="24"/>
        </w:rPr>
        <w:t xml:space="preserve"> t</w:t>
      </w:r>
      <w:r w:rsidRPr="00FE3A70">
        <w:rPr>
          <w:rFonts w:ascii="Gill Sans MT" w:hAnsi="Gill Sans MT"/>
          <w:sz w:val="24"/>
          <w:szCs w:val="24"/>
        </w:rPr>
        <w:t>he principles</w:t>
      </w:r>
      <w:r w:rsidRPr="002E565E">
        <w:rPr>
          <w:rFonts w:ascii="Gill Sans MT" w:hAnsi="Gill Sans MT"/>
          <w:sz w:val="24"/>
          <w:szCs w:val="24"/>
        </w:rPr>
        <w:t xml:space="preserve"> underpinning </w:t>
      </w:r>
      <w:r w:rsidRPr="00FE3A70">
        <w:rPr>
          <w:rFonts w:ascii="Gill Sans MT" w:hAnsi="Gill Sans MT"/>
          <w:sz w:val="24"/>
          <w:szCs w:val="24"/>
        </w:rPr>
        <w:t xml:space="preserve">them have </w:t>
      </w:r>
      <w:r w:rsidRPr="002E565E">
        <w:rPr>
          <w:rFonts w:ascii="Gill Sans MT" w:hAnsi="Gill Sans MT"/>
          <w:sz w:val="24"/>
          <w:szCs w:val="24"/>
        </w:rPr>
        <w:t>informed</w:t>
      </w:r>
      <w:r w:rsidRPr="00FE3A70">
        <w:rPr>
          <w:rFonts w:ascii="Gill Sans MT" w:hAnsi="Gill Sans MT"/>
          <w:sz w:val="24"/>
          <w:szCs w:val="24"/>
        </w:rPr>
        <w:t xml:space="preserve"> </w:t>
      </w:r>
      <w:r w:rsidRPr="002E565E">
        <w:rPr>
          <w:rFonts w:ascii="Gill Sans MT" w:hAnsi="Gill Sans MT"/>
          <w:sz w:val="24"/>
          <w:szCs w:val="24"/>
        </w:rPr>
        <w:t xml:space="preserve">almost all subsequent </w:t>
      </w:r>
      <w:r w:rsidRPr="00FE3A70">
        <w:rPr>
          <w:rFonts w:ascii="Gill Sans MT" w:hAnsi="Gill Sans MT"/>
          <w:sz w:val="24"/>
          <w:szCs w:val="24"/>
        </w:rPr>
        <w:t xml:space="preserve">TJ </w:t>
      </w:r>
      <w:r>
        <w:rPr>
          <w:rFonts w:ascii="Gill Sans MT" w:hAnsi="Gill Sans MT"/>
          <w:sz w:val="24"/>
          <w:szCs w:val="24"/>
        </w:rPr>
        <w:t>initiatives</w:t>
      </w:r>
      <w:r w:rsidRPr="00FE3A70">
        <w:rPr>
          <w:rFonts w:ascii="Gill Sans MT" w:hAnsi="Gill Sans MT"/>
          <w:sz w:val="24"/>
          <w:szCs w:val="24"/>
        </w:rPr>
        <w:t>:</w:t>
      </w:r>
      <w:r w:rsidRPr="002E565E">
        <w:rPr>
          <w:rFonts w:ascii="Gill Sans MT" w:hAnsi="Gill Sans MT"/>
          <w:sz w:val="24"/>
          <w:szCs w:val="24"/>
        </w:rPr>
        <w:t xml:space="preserve"> </w:t>
      </w:r>
      <w:r w:rsidRPr="00FE3A70">
        <w:rPr>
          <w:rFonts w:ascii="Gill Sans MT" w:hAnsi="Gill Sans MT"/>
          <w:sz w:val="24"/>
          <w:szCs w:val="24"/>
        </w:rPr>
        <w:t>o</w:t>
      </w:r>
      <w:r w:rsidRPr="002E565E">
        <w:rPr>
          <w:rFonts w:ascii="Gill Sans MT" w:hAnsi="Gill Sans MT"/>
          <w:sz w:val="24"/>
          <w:szCs w:val="24"/>
        </w:rPr>
        <w:t xml:space="preserve">utreach is now </w:t>
      </w:r>
      <w:r w:rsidRPr="00FE3A70">
        <w:rPr>
          <w:rFonts w:ascii="Gill Sans MT" w:hAnsi="Gill Sans MT"/>
          <w:sz w:val="24"/>
          <w:szCs w:val="24"/>
        </w:rPr>
        <w:t>very much part of the TJ playbook.</w:t>
      </w:r>
      <w:r w:rsidRPr="002E565E">
        <w:rPr>
          <w:rStyle w:val="FootnoteReference"/>
          <w:rFonts w:ascii="Gill Sans MT" w:hAnsi="Gill Sans MT"/>
          <w:sz w:val="24"/>
          <w:szCs w:val="24"/>
        </w:rPr>
        <w:footnoteReference w:id="5"/>
      </w:r>
    </w:p>
    <w:p w14:paraId="30CCD7D3" w14:textId="77777777" w:rsidR="000F6FC6" w:rsidRPr="00FE3A70" w:rsidRDefault="000F6FC6" w:rsidP="000F6FC6">
      <w:pPr>
        <w:spacing w:after="0" w:line="480" w:lineRule="auto"/>
        <w:ind w:firstLine="720"/>
        <w:jc w:val="both"/>
        <w:rPr>
          <w:rFonts w:ascii="Gill Sans MT" w:hAnsi="Gill Sans MT"/>
          <w:sz w:val="24"/>
          <w:szCs w:val="24"/>
        </w:rPr>
      </w:pPr>
      <w:r w:rsidRPr="00522B85">
        <w:rPr>
          <w:rFonts w:ascii="Gill Sans MT" w:hAnsi="Gill Sans MT"/>
          <w:sz w:val="24"/>
          <w:szCs w:val="24"/>
        </w:rPr>
        <w:t>What little scholarly</w:t>
      </w:r>
      <w:r w:rsidRPr="00FE3A70">
        <w:rPr>
          <w:rFonts w:ascii="Gill Sans MT" w:hAnsi="Gill Sans MT"/>
          <w:sz w:val="24"/>
          <w:szCs w:val="24"/>
        </w:rPr>
        <w:t xml:space="preserve"> attention outreach programmes have thus far received within IR has tended to focus on questions of ‘effectiveness’, understood quantitatively </w:t>
      </w:r>
      <w:r w:rsidRPr="00FE3A70">
        <w:rPr>
          <w:rFonts w:ascii="Gill Sans MT" w:hAnsi="Gill Sans MT"/>
          <w:sz w:val="24"/>
          <w:szCs w:val="24"/>
        </w:rPr>
        <w:lastRenderedPageBreak/>
        <w:t>in terms of how widely key messages have been disseminated to relevant publics.</w:t>
      </w:r>
      <w:r w:rsidRPr="00FE3A70">
        <w:rPr>
          <w:rStyle w:val="FootnoteReference"/>
          <w:rFonts w:ascii="Gill Sans MT" w:hAnsi="Gill Sans MT"/>
          <w:sz w:val="24"/>
          <w:szCs w:val="24"/>
        </w:rPr>
        <w:footnoteReference w:id="6"/>
      </w:r>
      <w:r w:rsidRPr="00FE3A70">
        <w:rPr>
          <w:rFonts w:ascii="Gill Sans MT" w:hAnsi="Gill Sans MT"/>
          <w:sz w:val="24"/>
          <w:szCs w:val="24"/>
        </w:rPr>
        <w:t xml:space="preserve"> </w:t>
      </w:r>
      <w:r>
        <w:rPr>
          <w:rFonts w:ascii="Gill Sans MT" w:hAnsi="Gill Sans MT"/>
          <w:sz w:val="24"/>
          <w:szCs w:val="24"/>
        </w:rPr>
        <w:t>While</w:t>
      </w:r>
      <w:r w:rsidRPr="00FE3A70">
        <w:rPr>
          <w:rFonts w:ascii="Gill Sans MT" w:hAnsi="Gill Sans MT"/>
          <w:sz w:val="24"/>
          <w:szCs w:val="24"/>
        </w:rPr>
        <w:t xml:space="preserve"> these studies can offer some insight into the </w:t>
      </w:r>
      <w:r>
        <w:rPr>
          <w:rFonts w:ascii="Gill Sans MT" w:hAnsi="Gill Sans MT"/>
          <w:sz w:val="24"/>
          <w:szCs w:val="24"/>
        </w:rPr>
        <w:t>reach and scope</w:t>
      </w:r>
      <w:r w:rsidRPr="00FE3A70">
        <w:rPr>
          <w:rFonts w:ascii="Gill Sans MT" w:hAnsi="Gill Sans MT"/>
          <w:sz w:val="24"/>
          <w:szCs w:val="24"/>
        </w:rPr>
        <w:t xml:space="preserve"> of particular outreach efforts, </w:t>
      </w:r>
      <w:r>
        <w:rPr>
          <w:rFonts w:ascii="Gill Sans MT" w:hAnsi="Gill Sans MT"/>
          <w:sz w:val="24"/>
          <w:szCs w:val="24"/>
        </w:rPr>
        <w:t xml:space="preserve">however, </w:t>
      </w:r>
      <w:r w:rsidRPr="00FE3A70">
        <w:rPr>
          <w:rFonts w:ascii="Gill Sans MT" w:hAnsi="Gill Sans MT"/>
          <w:sz w:val="24"/>
          <w:szCs w:val="24"/>
        </w:rPr>
        <w:t xml:space="preserve">they are unable to provide any analytical or critical purchase </w:t>
      </w:r>
      <w:r>
        <w:rPr>
          <w:rFonts w:ascii="Gill Sans MT" w:hAnsi="Gill Sans MT"/>
          <w:sz w:val="24"/>
          <w:szCs w:val="24"/>
        </w:rPr>
        <w:t>on the sensitivities and complexities associated with the communication of institutional practices to a wider community</w:t>
      </w:r>
      <w:r w:rsidRPr="00FE3A70">
        <w:rPr>
          <w:rFonts w:ascii="Gill Sans MT" w:hAnsi="Gill Sans MT"/>
          <w:sz w:val="24"/>
          <w:szCs w:val="24"/>
        </w:rPr>
        <w:t xml:space="preserve">. These methodological limitations matter because the messages transmitted as part of TJ outreach efforts are not politically neutral, and therefore require interpretation and evaluation. As Martha Nussbaum argues, ‘life is never simply </w:t>
      </w:r>
      <w:r w:rsidRPr="00FE3A70">
        <w:rPr>
          <w:rFonts w:ascii="Gill Sans MT" w:hAnsi="Gill Sans MT"/>
          <w:i/>
          <w:sz w:val="24"/>
          <w:szCs w:val="24"/>
        </w:rPr>
        <w:t>presented</w:t>
      </w:r>
      <w:r w:rsidRPr="00FE3A70">
        <w:rPr>
          <w:rFonts w:ascii="Gill Sans MT" w:hAnsi="Gill Sans MT"/>
          <w:sz w:val="24"/>
          <w:szCs w:val="24"/>
        </w:rPr>
        <w:t xml:space="preserve"> by a text; it is always </w:t>
      </w:r>
      <w:r w:rsidRPr="00FE3A70">
        <w:rPr>
          <w:rFonts w:ascii="Gill Sans MT" w:hAnsi="Gill Sans MT"/>
          <w:i/>
          <w:sz w:val="24"/>
          <w:szCs w:val="24"/>
        </w:rPr>
        <w:t>represented</w:t>
      </w:r>
      <w:r w:rsidRPr="00FE3A70">
        <w:rPr>
          <w:rFonts w:ascii="Gill Sans MT" w:hAnsi="Gill Sans MT"/>
          <w:sz w:val="24"/>
          <w:szCs w:val="24"/>
        </w:rPr>
        <w:t xml:space="preserve"> </w:t>
      </w:r>
      <w:r w:rsidRPr="00FE3A70">
        <w:rPr>
          <w:rFonts w:ascii="Gill Sans MT" w:hAnsi="Gill Sans MT"/>
          <w:i/>
          <w:sz w:val="24"/>
          <w:szCs w:val="24"/>
        </w:rPr>
        <w:t>as</w:t>
      </w:r>
      <w:r w:rsidRPr="00FE3A70">
        <w:rPr>
          <w:rFonts w:ascii="Gill Sans MT" w:hAnsi="Gill Sans MT"/>
          <w:sz w:val="24"/>
          <w:szCs w:val="24"/>
        </w:rPr>
        <w:t xml:space="preserve"> something’.</w:t>
      </w:r>
      <w:r w:rsidRPr="00FE3A70">
        <w:rPr>
          <w:rStyle w:val="FootnoteReference"/>
          <w:rFonts w:ascii="Gill Sans MT" w:hAnsi="Gill Sans MT"/>
          <w:sz w:val="24"/>
          <w:szCs w:val="24"/>
        </w:rPr>
        <w:footnoteReference w:id="7"/>
      </w:r>
      <w:r w:rsidRPr="00FE3A70">
        <w:rPr>
          <w:rFonts w:ascii="Gill Sans MT" w:hAnsi="Gill Sans MT"/>
          <w:sz w:val="24"/>
          <w:szCs w:val="24"/>
        </w:rPr>
        <w:t xml:space="preserve"> Outreach should not be understood as a simple </w:t>
      </w:r>
      <w:r>
        <w:rPr>
          <w:rFonts w:ascii="Gill Sans MT" w:hAnsi="Gill Sans MT"/>
          <w:sz w:val="24"/>
          <w:szCs w:val="24"/>
        </w:rPr>
        <w:t>broadcasting</w:t>
      </w:r>
      <w:r w:rsidRPr="00FE3A70">
        <w:rPr>
          <w:rFonts w:ascii="Gill Sans MT" w:hAnsi="Gill Sans MT"/>
          <w:sz w:val="24"/>
          <w:szCs w:val="24"/>
        </w:rPr>
        <w:t xml:space="preserve"> exercise, then, but rather as a dynamic and productive discursive intervention into specific, often fragile social </w:t>
      </w:r>
      <w:r w:rsidRPr="00FE3A70">
        <w:rPr>
          <w:rFonts w:ascii="Gill Sans MT" w:hAnsi="Gill Sans MT"/>
          <w:i/>
          <w:sz w:val="24"/>
          <w:szCs w:val="24"/>
        </w:rPr>
        <w:t>milieus</w:t>
      </w:r>
      <w:r w:rsidRPr="00FE3A70">
        <w:rPr>
          <w:rFonts w:ascii="Gill Sans MT" w:hAnsi="Gill Sans MT"/>
          <w:sz w:val="24"/>
          <w:szCs w:val="24"/>
        </w:rPr>
        <w:t>.</w:t>
      </w:r>
      <w:r w:rsidRPr="00FE3A70">
        <w:rPr>
          <w:rStyle w:val="FootnoteReference"/>
          <w:rFonts w:ascii="Gill Sans MT" w:hAnsi="Gill Sans MT"/>
          <w:sz w:val="24"/>
          <w:szCs w:val="24"/>
        </w:rPr>
        <w:footnoteReference w:id="8"/>
      </w:r>
      <w:r w:rsidRPr="00FE3A70">
        <w:rPr>
          <w:rFonts w:ascii="Gill Sans MT" w:hAnsi="Gill Sans MT"/>
          <w:sz w:val="24"/>
          <w:szCs w:val="24"/>
        </w:rPr>
        <w:t xml:space="preserve"> </w:t>
      </w:r>
    </w:p>
    <w:p w14:paraId="3D80991D" w14:textId="77777777" w:rsidR="000F6FC6" w:rsidRPr="00FE3A70" w:rsidRDefault="000F6FC6" w:rsidP="000F6FC6">
      <w:pPr>
        <w:spacing w:after="0" w:line="480" w:lineRule="auto"/>
        <w:ind w:firstLine="720"/>
        <w:jc w:val="both"/>
        <w:rPr>
          <w:rFonts w:ascii="Gill Sans MT" w:hAnsi="Gill Sans MT"/>
          <w:sz w:val="24"/>
          <w:szCs w:val="24"/>
        </w:rPr>
      </w:pPr>
      <w:r w:rsidRPr="00FE3A70">
        <w:rPr>
          <w:rFonts w:ascii="Gill Sans MT" w:hAnsi="Gill Sans MT"/>
          <w:sz w:val="24"/>
          <w:szCs w:val="24"/>
        </w:rPr>
        <w:t xml:space="preserve">One notable feature of recent outreach programmes </w:t>
      </w:r>
      <w:r>
        <w:rPr>
          <w:rFonts w:ascii="Gill Sans MT" w:hAnsi="Gill Sans MT"/>
          <w:sz w:val="24"/>
          <w:szCs w:val="24"/>
        </w:rPr>
        <w:t xml:space="preserve">that has received little attention within the literature </w:t>
      </w:r>
      <w:r w:rsidRPr="00FE3A70">
        <w:rPr>
          <w:rFonts w:ascii="Gill Sans MT" w:hAnsi="Gill Sans MT"/>
          <w:sz w:val="24"/>
          <w:szCs w:val="24"/>
        </w:rPr>
        <w:t>is their frequent use of comic strips, especially as a means of communicating with children and teenagers.</w:t>
      </w:r>
      <w:r w:rsidRPr="00FE3A70">
        <w:rPr>
          <w:rStyle w:val="FootnoteReference"/>
          <w:rFonts w:ascii="Gill Sans MT" w:hAnsi="Gill Sans MT"/>
          <w:sz w:val="24"/>
          <w:szCs w:val="24"/>
        </w:rPr>
        <w:footnoteReference w:id="9"/>
      </w:r>
      <w:r w:rsidRPr="00FE3A70">
        <w:rPr>
          <w:rFonts w:ascii="Gill Sans MT" w:hAnsi="Gill Sans MT"/>
          <w:sz w:val="24"/>
          <w:szCs w:val="24"/>
        </w:rPr>
        <w:t xml:space="preserve"> This is a development that deserves </w:t>
      </w:r>
      <w:r w:rsidRPr="00FE3A70">
        <w:rPr>
          <w:rFonts w:ascii="Gill Sans MT" w:hAnsi="Gill Sans MT"/>
          <w:sz w:val="24"/>
          <w:szCs w:val="24"/>
        </w:rPr>
        <w:lastRenderedPageBreak/>
        <w:t xml:space="preserve">critical attention for two further reasons. </w:t>
      </w:r>
      <w:r>
        <w:rPr>
          <w:rFonts w:ascii="Gill Sans MT" w:hAnsi="Gill Sans MT"/>
          <w:sz w:val="24"/>
          <w:szCs w:val="24"/>
        </w:rPr>
        <w:t>The first of these concerns</w:t>
      </w:r>
      <w:r w:rsidRPr="00FE3A70">
        <w:rPr>
          <w:rFonts w:ascii="Gill Sans MT" w:hAnsi="Gill Sans MT"/>
          <w:sz w:val="24"/>
          <w:szCs w:val="24"/>
        </w:rPr>
        <w:t xml:space="preserve"> the popular-cultural space that comics occupy</w:t>
      </w:r>
      <w:r>
        <w:rPr>
          <w:rFonts w:ascii="Gill Sans MT" w:hAnsi="Gill Sans MT"/>
          <w:sz w:val="24"/>
          <w:szCs w:val="24"/>
        </w:rPr>
        <w:t>. A</w:t>
      </w:r>
      <w:r w:rsidRPr="00FE3A70">
        <w:rPr>
          <w:rFonts w:ascii="Gill Sans MT" w:hAnsi="Gill Sans MT"/>
          <w:sz w:val="24"/>
          <w:szCs w:val="24"/>
        </w:rPr>
        <w:t>s Lene Hansen observes, comics are ‘sociologically significant for the mediation and experience of foreign policy’,</w:t>
      </w:r>
      <w:r w:rsidRPr="00FE3A70">
        <w:rPr>
          <w:rStyle w:val="FootnoteReference"/>
          <w:rFonts w:ascii="Gill Sans MT" w:hAnsi="Gill Sans MT"/>
          <w:sz w:val="24"/>
          <w:szCs w:val="24"/>
        </w:rPr>
        <w:footnoteReference w:id="10"/>
      </w:r>
      <w:r w:rsidRPr="00FE3A70">
        <w:rPr>
          <w:rFonts w:ascii="Gill Sans MT" w:hAnsi="Gill Sans MT"/>
          <w:sz w:val="24"/>
          <w:szCs w:val="24"/>
        </w:rPr>
        <w:t xml:space="preserve"> and as such they form part of the ‘popular culture-world politics continuum’ that delimits how global politics (including TJ) is seen, experienced, understood, and ascribed meaning.</w:t>
      </w:r>
      <w:r w:rsidRPr="00FE3A70">
        <w:rPr>
          <w:rStyle w:val="FootnoteReference"/>
          <w:rFonts w:ascii="Gill Sans MT" w:hAnsi="Gill Sans MT"/>
          <w:sz w:val="24"/>
          <w:szCs w:val="24"/>
        </w:rPr>
        <w:footnoteReference w:id="11"/>
      </w:r>
      <w:r w:rsidRPr="00FE3A70">
        <w:rPr>
          <w:rFonts w:ascii="Gill Sans MT" w:hAnsi="Gill Sans MT"/>
          <w:sz w:val="24"/>
          <w:szCs w:val="24"/>
        </w:rPr>
        <w:t xml:space="preserve"> Secondly, however, comics also by necessity engage with certain formal conventions and expectations that shape the messages </w:t>
      </w:r>
      <w:r>
        <w:rPr>
          <w:rFonts w:ascii="Gill Sans MT" w:hAnsi="Gill Sans MT"/>
          <w:sz w:val="24"/>
          <w:szCs w:val="24"/>
        </w:rPr>
        <w:t>they project</w:t>
      </w:r>
      <w:r w:rsidRPr="00FE3A70">
        <w:rPr>
          <w:rFonts w:ascii="Gill Sans MT" w:hAnsi="Gill Sans MT"/>
          <w:sz w:val="24"/>
          <w:szCs w:val="24"/>
        </w:rPr>
        <w:t>. As Hil</w:t>
      </w:r>
      <w:r>
        <w:rPr>
          <w:rFonts w:ascii="Gill Sans MT" w:hAnsi="Gill Sans MT"/>
          <w:sz w:val="24"/>
          <w:szCs w:val="24"/>
        </w:rPr>
        <w:t>l</w:t>
      </w:r>
      <w:r w:rsidRPr="00FE3A70">
        <w:rPr>
          <w:rFonts w:ascii="Gill Sans MT" w:hAnsi="Gill Sans MT"/>
          <w:sz w:val="24"/>
          <w:szCs w:val="24"/>
        </w:rPr>
        <w:t>ary Chute has argued, comics offer a ‘unique spatial grammar of gutters, grids, and panels’ that together comprise ‘a form that is deeply rooted in the specificity of its medium as a source of cultural, aesthetic, and political significance’.</w:t>
      </w:r>
      <w:r w:rsidRPr="00FE3A70">
        <w:rPr>
          <w:rStyle w:val="FootnoteReference"/>
          <w:rFonts w:ascii="Gill Sans MT" w:hAnsi="Gill Sans MT"/>
          <w:sz w:val="24"/>
          <w:szCs w:val="24"/>
        </w:rPr>
        <w:footnoteReference w:id="12"/>
      </w:r>
      <w:r w:rsidRPr="00FE3A70">
        <w:rPr>
          <w:rFonts w:ascii="Gill Sans MT" w:hAnsi="Gill Sans MT"/>
          <w:sz w:val="24"/>
          <w:szCs w:val="24"/>
        </w:rPr>
        <w:t xml:space="preserve"> To reach out towards a target audience with a </w:t>
      </w:r>
      <w:r w:rsidRPr="005F720B">
        <w:rPr>
          <w:rFonts w:ascii="Gill Sans MT" w:hAnsi="Gill Sans MT"/>
          <w:i/>
          <w:sz w:val="24"/>
          <w:szCs w:val="24"/>
        </w:rPr>
        <w:t>comic</w:t>
      </w:r>
      <w:r w:rsidRPr="00280AD2">
        <w:rPr>
          <w:rFonts w:ascii="Gill Sans MT" w:hAnsi="Gill Sans MT"/>
          <w:sz w:val="24"/>
          <w:szCs w:val="24"/>
        </w:rPr>
        <w:t>,</w:t>
      </w:r>
      <w:r w:rsidRPr="00FE3A70">
        <w:rPr>
          <w:rFonts w:ascii="Gill Sans MT" w:hAnsi="Gill Sans MT"/>
          <w:sz w:val="24"/>
          <w:szCs w:val="24"/>
        </w:rPr>
        <w:t xml:space="preserve"> in other words, </w:t>
      </w:r>
      <w:r>
        <w:rPr>
          <w:rFonts w:ascii="Gill Sans MT" w:hAnsi="Gill Sans MT"/>
          <w:sz w:val="24"/>
          <w:szCs w:val="24"/>
        </w:rPr>
        <w:t xml:space="preserve">is to draw on a particular formal tradition </w:t>
      </w:r>
      <w:r w:rsidRPr="00FE3A70">
        <w:rPr>
          <w:rFonts w:ascii="Gill Sans MT" w:hAnsi="Gill Sans MT"/>
          <w:sz w:val="24"/>
          <w:szCs w:val="24"/>
        </w:rPr>
        <w:t xml:space="preserve">that </w:t>
      </w:r>
      <w:r>
        <w:rPr>
          <w:rFonts w:ascii="Gill Sans MT" w:hAnsi="Gill Sans MT"/>
          <w:sz w:val="24"/>
          <w:szCs w:val="24"/>
        </w:rPr>
        <w:t>must be accounted for in</w:t>
      </w:r>
      <w:r w:rsidRPr="00FE3A70">
        <w:rPr>
          <w:rFonts w:ascii="Gill Sans MT" w:hAnsi="Gill Sans MT"/>
          <w:sz w:val="24"/>
          <w:szCs w:val="24"/>
        </w:rPr>
        <w:t xml:space="preserve"> any interpretive or analytical search for meaning.</w:t>
      </w:r>
    </w:p>
    <w:p w14:paraId="097EB0C0" w14:textId="77777777" w:rsidR="000F6FC6" w:rsidRDefault="000F6FC6" w:rsidP="000F6FC6">
      <w:pPr>
        <w:spacing w:after="0" w:line="480" w:lineRule="auto"/>
        <w:ind w:firstLine="720"/>
        <w:jc w:val="both"/>
        <w:rPr>
          <w:rFonts w:ascii="Gill Sans MT" w:hAnsi="Gill Sans MT"/>
          <w:sz w:val="24"/>
          <w:szCs w:val="24"/>
        </w:rPr>
      </w:pPr>
      <w:r>
        <w:rPr>
          <w:rFonts w:ascii="Gill Sans MT" w:hAnsi="Gill Sans MT"/>
          <w:sz w:val="24"/>
          <w:szCs w:val="24"/>
        </w:rPr>
        <w:t>Taking these observations together, one can see that there is</w:t>
      </w:r>
      <w:r w:rsidRPr="00FE3A70">
        <w:rPr>
          <w:rFonts w:ascii="Gill Sans MT" w:hAnsi="Gill Sans MT"/>
          <w:sz w:val="24"/>
          <w:szCs w:val="24"/>
        </w:rPr>
        <w:t xml:space="preserve"> a politics of </w:t>
      </w:r>
      <w:r>
        <w:rPr>
          <w:rFonts w:ascii="Gill Sans MT" w:hAnsi="Gill Sans MT"/>
          <w:sz w:val="24"/>
          <w:szCs w:val="24"/>
        </w:rPr>
        <w:t>aesthetics</w:t>
      </w:r>
      <w:r w:rsidRPr="00FE3A70">
        <w:rPr>
          <w:rFonts w:ascii="Gill Sans MT" w:hAnsi="Gill Sans MT"/>
          <w:sz w:val="24"/>
          <w:szCs w:val="24"/>
        </w:rPr>
        <w:t xml:space="preserve"> at play in TJ outreach programmes that remains under- or even unstudied within IR. Th</w:t>
      </w:r>
      <w:r>
        <w:rPr>
          <w:rFonts w:ascii="Gill Sans MT" w:hAnsi="Gill Sans MT"/>
          <w:sz w:val="24"/>
          <w:szCs w:val="24"/>
        </w:rPr>
        <w:t>is</w:t>
      </w:r>
      <w:r w:rsidRPr="00FE3A70">
        <w:rPr>
          <w:rFonts w:ascii="Gill Sans MT" w:hAnsi="Gill Sans MT"/>
          <w:sz w:val="24"/>
          <w:szCs w:val="24"/>
        </w:rPr>
        <w:t xml:space="preserve"> oversight</w:t>
      </w:r>
      <w:r>
        <w:rPr>
          <w:rFonts w:ascii="Gill Sans MT" w:hAnsi="Gill Sans MT"/>
          <w:sz w:val="24"/>
          <w:szCs w:val="24"/>
        </w:rPr>
        <w:t xml:space="preserve"> </w:t>
      </w:r>
      <w:r w:rsidRPr="00FE3A70">
        <w:rPr>
          <w:rFonts w:ascii="Gill Sans MT" w:hAnsi="Gill Sans MT"/>
          <w:sz w:val="24"/>
          <w:szCs w:val="24"/>
        </w:rPr>
        <w:t>constitute</w:t>
      </w:r>
      <w:r>
        <w:rPr>
          <w:rFonts w:ascii="Gill Sans MT" w:hAnsi="Gill Sans MT"/>
          <w:sz w:val="24"/>
          <w:szCs w:val="24"/>
        </w:rPr>
        <w:t>s</w:t>
      </w:r>
      <w:r w:rsidRPr="00FE3A70">
        <w:rPr>
          <w:rFonts w:ascii="Gill Sans MT" w:hAnsi="Gill Sans MT"/>
          <w:sz w:val="24"/>
          <w:szCs w:val="24"/>
        </w:rPr>
        <w:t xml:space="preserve"> one focus of this article, which explore</w:t>
      </w:r>
      <w:r>
        <w:rPr>
          <w:rFonts w:ascii="Gill Sans MT" w:hAnsi="Gill Sans MT"/>
          <w:sz w:val="24"/>
          <w:szCs w:val="24"/>
        </w:rPr>
        <w:t>s</w:t>
      </w:r>
      <w:r w:rsidRPr="00FE3A70">
        <w:rPr>
          <w:rFonts w:ascii="Gill Sans MT" w:hAnsi="Gill Sans MT"/>
          <w:sz w:val="24"/>
          <w:szCs w:val="24"/>
        </w:rPr>
        <w:t xml:space="preserve"> a series of questions</w:t>
      </w:r>
      <w:r>
        <w:rPr>
          <w:rFonts w:ascii="Gill Sans MT" w:hAnsi="Gill Sans MT"/>
          <w:sz w:val="24"/>
          <w:szCs w:val="24"/>
        </w:rPr>
        <w:t xml:space="preserve"> concerned with the visual politics of truth and reconciliation</w:t>
      </w:r>
      <w:r w:rsidRPr="00FE3A70">
        <w:rPr>
          <w:rFonts w:ascii="Gill Sans MT" w:hAnsi="Gill Sans MT"/>
          <w:sz w:val="24"/>
          <w:szCs w:val="24"/>
        </w:rPr>
        <w:t xml:space="preserve">: </w:t>
      </w:r>
      <w:r w:rsidRPr="00522B85">
        <w:rPr>
          <w:rFonts w:ascii="Gill Sans MT" w:hAnsi="Gill Sans MT"/>
          <w:sz w:val="24"/>
          <w:szCs w:val="24"/>
        </w:rPr>
        <w:t>how</w:t>
      </w:r>
      <w:r w:rsidRPr="00FE3A70">
        <w:rPr>
          <w:rFonts w:ascii="Gill Sans MT" w:hAnsi="Gill Sans MT"/>
          <w:sz w:val="24"/>
          <w:szCs w:val="24"/>
        </w:rPr>
        <w:t xml:space="preserve"> do images </w:t>
      </w:r>
      <w:r w:rsidRPr="00FE3A70">
        <w:rPr>
          <w:rFonts w:ascii="Gill Sans MT" w:hAnsi="Gill Sans MT"/>
          <w:sz w:val="24"/>
          <w:szCs w:val="24"/>
        </w:rPr>
        <w:lastRenderedPageBreak/>
        <w:t>produce knowledge about war, conflict,</w:t>
      </w:r>
      <w:r>
        <w:rPr>
          <w:rFonts w:ascii="Gill Sans MT" w:hAnsi="Gill Sans MT"/>
          <w:sz w:val="24"/>
          <w:szCs w:val="24"/>
        </w:rPr>
        <w:t xml:space="preserve"> and the possibility of peace? And h</w:t>
      </w:r>
      <w:r w:rsidRPr="00FE3A70">
        <w:rPr>
          <w:rFonts w:ascii="Gill Sans MT" w:hAnsi="Gill Sans MT"/>
          <w:sz w:val="24"/>
          <w:szCs w:val="24"/>
        </w:rPr>
        <w:t>ow does the comics medium enrich, dilute or otherwise shape the message</w:t>
      </w:r>
      <w:r>
        <w:rPr>
          <w:rFonts w:ascii="Gill Sans MT" w:hAnsi="Gill Sans MT"/>
          <w:sz w:val="24"/>
          <w:szCs w:val="24"/>
        </w:rPr>
        <w:t>s</w:t>
      </w:r>
      <w:r w:rsidRPr="00FE3A70">
        <w:rPr>
          <w:rFonts w:ascii="Gill Sans MT" w:hAnsi="Gill Sans MT"/>
          <w:sz w:val="24"/>
          <w:szCs w:val="24"/>
        </w:rPr>
        <w:t xml:space="preserve"> it projects? </w:t>
      </w:r>
    </w:p>
    <w:p w14:paraId="5C4F669A" w14:textId="77777777" w:rsidR="000F6FC6" w:rsidRPr="00FE3A70" w:rsidRDefault="000F6FC6" w:rsidP="000F6FC6">
      <w:pPr>
        <w:spacing w:after="0" w:line="480" w:lineRule="auto"/>
        <w:ind w:firstLine="720"/>
        <w:jc w:val="both"/>
        <w:rPr>
          <w:rFonts w:ascii="Gill Sans MT" w:hAnsi="Gill Sans MT"/>
          <w:sz w:val="24"/>
          <w:szCs w:val="24"/>
        </w:rPr>
      </w:pPr>
      <w:r>
        <w:rPr>
          <w:rFonts w:ascii="Gill Sans MT" w:hAnsi="Gill Sans MT"/>
          <w:sz w:val="24"/>
          <w:szCs w:val="24"/>
        </w:rPr>
        <w:t>In answering these questions, we build</w:t>
      </w:r>
      <w:r w:rsidRPr="00FE3A70">
        <w:rPr>
          <w:rFonts w:ascii="Gill Sans MT" w:hAnsi="Gill Sans MT"/>
          <w:sz w:val="24"/>
          <w:szCs w:val="24"/>
        </w:rPr>
        <w:t xml:space="preserve"> on the burgeoning IR literature concerned with visual and popular culture.</w:t>
      </w:r>
      <w:r w:rsidRPr="00FE3A70">
        <w:rPr>
          <w:rStyle w:val="FootnoteReference"/>
          <w:rFonts w:ascii="Gill Sans MT" w:hAnsi="Gill Sans MT"/>
          <w:sz w:val="24"/>
          <w:szCs w:val="24"/>
        </w:rPr>
        <w:footnoteReference w:id="13"/>
      </w:r>
      <w:r>
        <w:rPr>
          <w:rFonts w:ascii="Gill Sans MT" w:hAnsi="Gill Sans MT"/>
          <w:sz w:val="24"/>
          <w:szCs w:val="24"/>
        </w:rPr>
        <w:t xml:space="preserve"> </w:t>
      </w:r>
      <w:r w:rsidRPr="00FE3A70">
        <w:rPr>
          <w:rFonts w:ascii="Gill Sans MT" w:hAnsi="Gill Sans MT"/>
          <w:sz w:val="24"/>
          <w:szCs w:val="24"/>
        </w:rPr>
        <w:t>Common within this</w:t>
      </w:r>
      <w:r>
        <w:rPr>
          <w:rFonts w:ascii="Gill Sans MT" w:hAnsi="Gill Sans MT"/>
          <w:sz w:val="24"/>
          <w:szCs w:val="24"/>
        </w:rPr>
        <w:t xml:space="preserve"> scholarship</w:t>
      </w:r>
      <w:r w:rsidRPr="00FE3A70">
        <w:rPr>
          <w:rFonts w:ascii="Gill Sans MT" w:hAnsi="Gill Sans MT"/>
          <w:sz w:val="24"/>
          <w:szCs w:val="24"/>
        </w:rPr>
        <w:t xml:space="preserve"> is the hope that art and visual culture might contribute to a reimagining of the world: that it might ‘make us feel, or feel differently… make us think, and think again’.</w:t>
      </w:r>
      <w:r w:rsidRPr="00FE3A70">
        <w:rPr>
          <w:rStyle w:val="FootnoteReference"/>
          <w:rFonts w:ascii="Gill Sans MT" w:hAnsi="Gill Sans MT"/>
          <w:sz w:val="24"/>
          <w:szCs w:val="24"/>
        </w:rPr>
        <w:footnoteReference w:id="14"/>
      </w:r>
      <w:r w:rsidRPr="00FE3A70">
        <w:rPr>
          <w:rFonts w:ascii="Gill Sans MT" w:hAnsi="Gill Sans MT"/>
          <w:sz w:val="24"/>
          <w:szCs w:val="24"/>
        </w:rPr>
        <w:t xml:space="preserve"> Yet this hope must also be tempered by the acknowledgement that a society’s cultural and artistic output can just as easily be incorporated into programmes that reinforce existing norms and hierarchies</w:t>
      </w:r>
      <w:r>
        <w:rPr>
          <w:rFonts w:ascii="Gill Sans MT" w:hAnsi="Gill Sans MT"/>
          <w:sz w:val="24"/>
          <w:szCs w:val="24"/>
        </w:rPr>
        <w:t>:</w:t>
      </w:r>
      <w:r w:rsidRPr="00FE3A70">
        <w:rPr>
          <w:rFonts w:ascii="Gill Sans MT" w:hAnsi="Gill Sans MT"/>
          <w:sz w:val="24"/>
          <w:szCs w:val="24"/>
        </w:rPr>
        <w:t xml:space="preserve"> what David Campbell and Michael Shapiro call ‘cultural governance’.</w:t>
      </w:r>
      <w:r w:rsidRPr="00FE3A70">
        <w:rPr>
          <w:rStyle w:val="FootnoteReference"/>
          <w:rFonts w:ascii="Gill Sans MT" w:hAnsi="Gill Sans MT"/>
          <w:sz w:val="24"/>
          <w:szCs w:val="24"/>
        </w:rPr>
        <w:footnoteReference w:id="15"/>
      </w:r>
      <w:r w:rsidRPr="00FE3A70">
        <w:rPr>
          <w:rFonts w:ascii="Gill Sans MT" w:hAnsi="Gill Sans MT"/>
          <w:sz w:val="24"/>
          <w:szCs w:val="24"/>
        </w:rPr>
        <w:t xml:space="preserve"> </w:t>
      </w:r>
      <w:r>
        <w:rPr>
          <w:rFonts w:ascii="Gill Sans MT" w:hAnsi="Gill Sans MT"/>
          <w:sz w:val="24"/>
          <w:szCs w:val="24"/>
        </w:rPr>
        <w:t>I</w:t>
      </w:r>
      <w:r w:rsidRPr="00FE3A70">
        <w:rPr>
          <w:rFonts w:ascii="Gill Sans MT" w:hAnsi="Gill Sans MT"/>
          <w:sz w:val="24"/>
          <w:szCs w:val="24"/>
        </w:rPr>
        <w:t>n addition to</w:t>
      </w:r>
      <w:r>
        <w:rPr>
          <w:rFonts w:ascii="Gill Sans MT" w:hAnsi="Gill Sans MT"/>
          <w:sz w:val="24"/>
          <w:szCs w:val="24"/>
        </w:rPr>
        <w:t xml:space="preserve"> a</w:t>
      </w:r>
      <w:r w:rsidRPr="00FE3A70">
        <w:rPr>
          <w:rFonts w:ascii="Gill Sans MT" w:hAnsi="Gill Sans MT"/>
          <w:sz w:val="24"/>
          <w:szCs w:val="24"/>
        </w:rPr>
        <w:t xml:space="preserve"> hermeneutic question about the ways in which post-conflict comics represent truth and reconciliation, then, this article also asks a political sociological question about the ways in which </w:t>
      </w:r>
      <w:r>
        <w:rPr>
          <w:rFonts w:ascii="Gill Sans MT" w:hAnsi="Gill Sans MT"/>
          <w:sz w:val="24"/>
          <w:szCs w:val="24"/>
        </w:rPr>
        <w:t>these messages interact with the wider discourses from which they derive and into which they intervene</w:t>
      </w:r>
      <w:r w:rsidRPr="00FE3A70">
        <w:rPr>
          <w:rFonts w:ascii="Gill Sans MT" w:hAnsi="Gill Sans MT"/>
          <w:sz w:val="24"/>
          <w:szCs w:val="24"/>
        </w:rPr>
        <w:t xml:space="preserve">. </w:t>
      </w:r>
      <w:bookmarkStart w:id="1" w:name="_Hlk535850157"/>
      <w:r w:rsidRPr="00FE3A70">
        <w:rPr>
          <w:rFonts w:ascii="Gill Sans MT" w:hAnsi="Gill Sans MT"/>
          <w:sz w:val="24"/>
          <w:szCs w:val="24"/>
        </w:rPr>
        <w:t>To what extent do</w:t>
      </w:r>
      <w:r>
        <w:rPr>
          <w:rFonts w:ascii="Gill Sans MT" w:hAnsi="Gill Sans MT"/>
          <w:sz w:val="24"/>
          <w:szCs w:val="24"/>
        </w:rPr>
        <w:t xml:space="preserve"> the discursive demands of TJ </w:t>
      </w:r>
      <w:r w:rsidRPr="00FE3A70">
        <w:rPr>
          <w:rFonts w:ascii="Gill Sans MT" w:hAnsi="Gill Sans MT"/>
          <w:sz w:val="24"/>
          <w:szCs w:val="24"/>
        </w:rPr>
        <w:t xml:space="preserve">frame </w:t>
      </w:r>
      <w:r>
        <w:rPr>
          <w:rFonts w:ascii="Gill Sans MT" w:hAnsi="Gill Sans MT"/>
          <w:sz w:val="24"/>
          <w:szCs w:val="24"/>
        </w:rPr>
        <w:t xml:space="preserve">the conceptualisation and presentation of </w:t>
      </w:r>
      <w:r w:rsidRPr="00FE3A70">
        <w:rPr>
          <w:rFonts w:ascii="Gill Sans MT" w:hAnsi="Gill Sans MT"/>
          <w:sz w:val="24"/>
          <w:szCs w:val="24"/>
        </w:rPr>
        <w:t>‘truth’ and ‘reconciliation’</w:t>
      </w:r>
      <w:r>
        <w:rPr>
          <w:rFonts w:ascii="Gill Sans MT" w:hAnsi="Gill Sans MT"/>
          <w:sz w:val="24"/>
          <w:szCs w:val="24"/>
        </w:rPr>
        <w:t xml:space="preserve"> in outreach texts</w:t>
      </w:r>
      <w:r w:rsidRPr="00FE3A70">
        <w:rPr>
          <w:rFonts w:ascii="Gill Sans MT" w:hAnsi="Gill Sans MT"/>
          <w:sz w:val="24"/>
          <w:szCs w:val="24"/>
        </w:rPr>
        <w:t xml:space="preserve">? </w:t>
      </w:r>
      <w:bookmarkEnd w:id="1"/>
      <w:r w:rsidRPr="00FE3A70">
        <w:rPr>
          <w:rFonts w:ascii="Gill Sans MT" w:hAnsi="Gill Sans MT"/>
          <w:sz w:val="24"/>
          <w:szCs w:val="24"/>
        </w:rPr>
        <w:t xml:space="preserve">And what </w:t>
      </w:r>
      <w:r>
        <w:rPr>
          <w:rFonts w:ascii="Gill Sans MT" w:hAnsi="Gill Sans MT"/>
          <w:sz w:val="24"/>
          <w:szCs w:val="24"/>
        </w:rPr>
        <w:t>might</w:t>
      </w:r>
      <w:r w:rsidRPr="00FE3A70">
        <w:rPr>
          <w:rFonts w:ascii="Gill Sans MT" w:hAnsi="Gill Sans MT"/>
          <w:sz w:val="24"/>
          <w:szCs w:val="24"/>
        </w:rPr>
        <w:t xml:space="preserve"> this reveal about the politics of outreach</w:t>
      </w:r>
      <w:r>
        <w:rPr>
          <w:rFonts w:ascii="Gill Sans MT" w:hAnsi="Gill Sans MT"/>
          <w:sz w:val="24"/>
          <w:szCs w:val="24"/>
        </w:rPr>
        <w:t xml:space="preserve"> more widely – about the relations </w:t>
      </w:r>
      <w:r>
        <w:rPr>
          <w:rFonts w:ascii="Gill Sans MT" w:hAnsi="Gill Sans MT"/>
          <w:sz w:val="24"/>
          <w:szCs w:val="24"/>
        </w:rPr>
        <w:lastRenderedPageBreak/>
        <w:t>of power immanent within a transnational TJ programme’s interaction with a community potentially engaging in other, more informal reconciliatory practices</w:t>
      </w:r>
      <w:r w:rsidRPr="00FE3A70">
        <w:rPr>
          <w:rFonts w:ascii="Gill Sans MT" w:hAnsi="Gill Sans MT"/>
          <w:sz w:val="24"/>
          <w:szCs w:val="24"/>
        </w:rPr>
        <w:t xml:space="preserve">? With Frank Möller, </w:t>
      </w:r>
      <w:r>
        <w:rPr>
          <w:rFonts w:ascii="Gill Sans MT" w:hAnsi="Gill Sans MT"/>
          <w:sz w:val="24"/>
          <w:szCs w:val="24"/>
        </w:rPr>
        <w:t>we</w:t>
      </w:r>
      <w:r w:rsidRPr="00FE3A70">
        <w:rPr>
          <w:rFonts w:ascii="Gill Sans MT" w:hAnsi="Gill Sans MT"/>
          <w:sz w:val="24"/>
          <w:szCs w:val="24"/>
        </w:rPr>
        <w:t xml:space="preserve"> therefore ask</w:t>
      </w:r>
      <w:r>
        <w:rPr>
          <w:rFonts w:ascii="Gill Sans MT" w:hAnsi="Gill Sans MT"/>
          <w:sz w:val="24"/>
          <w:szCs w:val="24"/>
        </w:rPr>
        <w:t xml:space="preserve"> not </w:t>
      </w:r>
      <w:bookmarkStart w:id="2" w:name="_Hlk535850292"/>
      <w:r>
        <w:rPr>
          <w:rFonts w:ascii="Gill Sans MT" w:hAnsi="Gill Sans MT"/>
          <w:sz w:val="24"/>
          <w:szCs w:val="24"/>
        </w:rPr>
        <w:t>only</w:t>
      </w:r>
      <w:r w:rsidRPr="00FE3A70">
        <w:rPr>
          <w:rFonts w:ascii="Gill Sans MT" w:hAnsi="Gill Sans MT"/>
          <w:sz w:val="24"/>
          <w:szCs w:val="24"/>
        </w:rPr>
        <w:t xml:space="preserve"> ‘what forms of knowledge… [about war, conflict and peace these] images produce’</w:t>
      </w:r>
      <w:r>
        <w:rPr>
          <w:rFonts w:ascii="Gill Sans MT" w:hAnsi="Gill Sans MT"/>
          <w:sz w:val="24"/>
          <w:szCs w:val="24"/>
        </w:rPr>
        <w:t>, but also whether they</w:t>
      </w:r>
      <w:r w:rsidRPr="00FE3A70">
        <w:rPr>
          <w:rFonts w:ascii="Gill Sans MT" w:hAnsi="Gill Sans MT"/>
          <w:sz w:val="24"/>
          <w:szCs w:val="24"/>
        </w:rPr>
        <w:t xml:space="preserve"> ‘widen… the discursive frames within which human activities unfold’, or close off alternative possibilities</w:t>
      </w:r>
      <w:r>
        <w:rPr>
          <w:rFonts w:ascii="Gill Sans MT" w:hAnsi="Gill Sans MT"/>
          <w:sz w:val="24"/>
          <w:szCs w:val="24"/>
        </w:rPr>
        <w:t>?</w:t>
      </w:r>
      <w:bookmarkEnd w:id="2"/>
      <w:r w:rsidRPr="00FE3A70">
        <w:rPr>
          <w:rStyle w:val="FootnoteReference"/>
          <w:rFonts w:ascii="Gill Sans MT" w:hAnsi="Gill Sans MT"/>
          <w:sz w:val="24"/>
          <w:szCs w:val="24"/>
        </w:rPr>
        <w:footnoteReference w:id="16"/>
      </w:r>
      <w:r w:rsidRPr="00FE3A70">
        <w:rPr>
          <w:rFonts w:ascii="Gill Sans MT" w:hAnsi="Gill Sans MT"/>
          <w:sz w:val="24"/>
          <w:szCs w:val="24"/>
        </w:rPr>
        <w:t xml:space="preserve"> These questions would appear to be of particular importance in a post-conflict setting</w:t>
      </w:r>
      <w:r>
        <w:rPr>
          <w:rFonts w:ascii="Gill Sans MT" w:hAnsi="Gill Sans MT"/>
          <w:sz w:val="24"/>
          <w:szCs w:val="24"/>
        </w:rPr>
        <w:t>,</w:t>
      </w:r>
      <w:r w:rsidRPr="00FE3A70">
        <w:rPr>
          <w:rFonts w:ascii="Gill Sans MT" w:hAnsi="Gill Sans MT"/>
          <w:sz w:val="24"/>
          <w:szCs w:val="24"/>
        </w:rPr>
        <w:t xml:space="preserve"> where the foreclosure of possibilities for thought and action would appear commensurately to discipline any and all movement towards peace (however defined). </w:t>
      </w:r>
    </w:p>
    <w:p w14:paraId="3D7F7FBF" w14:textId="77777777" w:rsidR="001E6089" w:rsidRDefault="00F877BC" w:rsidP="000F6FC6">
      <w:pPr>
        <w:spacing w:after="0" w:line="480" w:lineRule="auto"/>
        <w:jc w:val="both"/>
        <w:rPr>
          <w:rFonts w:ascii="Gill Sans MT" w:hAnsi="Gill Sans MT"/>
          <w:sz w:val="24"/>
          <w:szCs w:val="24"/>
        </w:rPr>
      </w:pPr>
      <w:r>
        <w:rPr>
          <w:rFonts w:ascii="Gill Sans MT" w:hAnsi="Gill Sans MT"/>
          <w:sz w:val="24"/>
          <w:szCs w:val="24"/>
        </w:rPr>
        <w:tab/>
      </w:r>
      <w:r w:rsidR="000F6FC6">
        <w:rPr>
          <w:rFonts w:ascii="Gill Sans MT" w:hAnsi="Gill Sans MT"/>
          <w:sz w:val="24"/>
          <w:szCs w:val="24"/>
        </w:rPr>
        <w:t>In pursuing these two axes of enquiry</w:t>
      </w:r>
      <w:r w:rsidR="000F6FC6" w:rsidRPr="00FE3A70">
        <w:rPr>
          <w:rFonts w:ascii="Gill Sans MT" w:hAnsi="Gill Sans MT"/>
          <w:sz w:val="24"/>
          <w:szCs w:val="24"/>
        </w:rPr>
        <w:t>, we turn to the 2005 comic book commissioned by the Sierra Leone Truth and Reconciliation Commission [SLTRC] in an attempt to communicate its core findings to Sierra Leonean secondary school students.</w:t>
      </w:r>
      <w:r w:rsidR="000F6FC6" w:rsidRPr="00FE3A70">
        <w:rPr>
          <w:rStyle w:val="FootnoteReference"/>
          <w:rFonts w:ascii="Gill Sans MT" w:hAnsi="Gill Sans MT"/>
          <w:sz w:val="24"/>
          <w:szCs w:val="24"/>
        </w:rPr>
        <w:footnoteReference w:id="17"/>
      </w:r>
      <w:r w:rsidR="000F6FC6" w:rsidRPr="00FE3A70">
        <w:rPr>
          <w:rFonts w:ascii="Gill Sans MT" w:hAnsi="Gill Sans MT"/>
          <w:sz w:val="24"/>
          <w:szCs w:val="24"/>
        </w:rPr>
        <w:t xml:space="preserve"> The comic in question – which has no official title but which we here call </w:t>
      </w:r>
      <w:r w:rsidR="000F6FC6" w:rsidRPr="00FE3A70">
        <w:rPr>
          <w:rFonts w:ascii="Gill Sans MT" w:hAnsi="Gill Sans MT"/>
          <w:i/>
          <w:sz w:val="24"/>
          <w:szCs w:val="24"/>
        </w:rPr>
        <w:t>Sierrarat</w:t>
      </w:r>
      <w:r w:rsidR="000F6FC6" w:rsidRPr="00FE3A70">
        <w:rPr>
          <w:rStyle w:val="FootnoteReference"/>
          <w:rFonts w:ascii="Gill Sans MT" w:hAnsi="Gill Sans MT"/>
          <w:sz w:val="24"/>
          <w:szCs w:val="24"/>
        </w:rPr>
        <w:footnoteReference w:id="18"/>
      </w:r>
      <w:r w:rsidR="000F6FC6" w:rsidRPr="00FE3A70">
        <w:rPr>
          <w:rFonts w:ascii="Gill Sans MT" w:hAnsi="Gill Sans MT"/>
          <w:sz w:val="24"/>
          <w:szCs w:val="24"/>
        </w:rPr>
        <w:t xml:space="preserve"> – was an important means through which the SLTRC</w:t>
      </w:r>
      <w:r w:rsidR="000F6FC6">
        <w:rPr>
          <w:rFonts w:ascii="Gill Sans MT" w:hAnsi="Gill Sans MT"/>
          <w:sz w:val="24"/>
          <w:szCs w:val="24"/>
        </w:rPr>
        <w:t xml:space="preserve"> and its partners</w:t>
      </w:r>
      <w:r w:rsidR="000F6FC6" w:rsidRPr="00FE3A70">
        <w:rPr>
          <w:rFonts w:ascii="Gill Sans MT" w:hAnsi="Gill Sans MT"/>
          <w:sz w:val="24"/>
          <w:szCs w:val="24"/>
        </w:rPr>
        <w:t xml:space="preserve"> hoped to engage with young Sierra Leoneans in the wake of the 1991-2002 civil war.</w:t>
      </w:r>
      <w:r w:rsidR="000F6FC6" w:rsidRPr="00FE3A70">
        <w:rPr>
          <w:rStyle w:val="FootnoteReference"/>
          <w:rFonts w:ascii="Gill Sans MT" w:hAnsi="Gill Sans MT"/>
          <w:sz w:val="24"/>
          <w:szCs w:val="24"/>
        </w:rPr>
        <w:footnoteReference w:id="19"/>
      </w:r>
      <w:r w:rsidR="000F6FC6" w:rsidRPr="00FE3A70">
        <w:rPr>
          <w:rFonts w:ascii="Gill Sans MT" w:hAnsi="Gill Sans MT"/>
          <w:sz w:val="24"/>
          <w:szCs w:val="24"/>
        </w:rPr>
        <w:t xml:space="preserve"> Our analysis has three main foci intended to mirror the institutional priorities of the SLTRC itself. Firstly, we examine the ontological assumptions underpinning </w:t>
      </w:r>
      <w:r w:rsidR="000F6FC6" w:rsidRPr="00FE3A70">
        <w:rPr>
          <w:rFonts w:ascii="Gill Sans MT" w:hAnsi="Gill Sans MT"/>
          <w:i/>
          <w:sz w:val="24"/>
          <w:szCs w:val="24"/>
        </w:rPr>
        <w:t>Sierrarat</w:t>
      </w:r>
      <w:r w:rsidR="000F6FC6" w:rsidRPr="00FE3A70">
        <w:rPr>
          <w:rFonts w:ascii="Gill Sans MT" w:hAnsi="Gill Sans MT"/>
          <w:sz w:val="24"/>
          <w:szCs w:val="24"/>
        </w:rPr>
        <w:t xml:space="preserve">’s presentation and conceptualisation of reconciliation. Secondly, we explore the epistemological framework </w:t>
      </w:r>
      <w:r w:rsidR="000F6FC6" w:rsidRPr="00FE3A70">
        <w:rPr>
          <w:rFonts w:ascii="Gill Sans MT" w:hAnsi="Gill Sans MT"/>
          <w:sz w:val="24"/>
          <w:szCs w:val="24"/>
        </w:rPr>
        <w:lastRenderedPageBreak/>
        <w:t xml:space="preserve">informing its approach to truth. Finally we consider the temporal matrix that enables each of these concepts to function as part of a broader narrative; as part of a </w:t>
      </w:r>
      <w:r w:rsidR="000F6FC6" w:rsidRPr="00FE3A70">
        <w:rPr>
          <w:rFonts w:ascii="Gill Sans MT" w:hAnsi="Gill Sans MT"/>
          <w:i/>
          <w:sz w:val="24"/>
          <w:szCs w:val="24"/>
        </w:rPr>
        <w:t>transition</w:t>
      </w:r>
      <w:r w:rsidR="000F6FC6" w:rsidRPr="00FE3A70">
        <w:rPr>
          <w:rFonts w:ascii="Gill Sans MT" w:hAnsi="Gill Sans MT"/>
          <w:sz w:val="24"/>
          <w:szCs w:val="24"/>
        </w:rPr>
        <w:t>, in other words.</w:t>
      </w:r>
      <w:r w:rsidR="000F6FC6" w:rsidRPr="00FE3A70">
        <w:rPr>
          <w:rStyle w:val="FootnoteReference"/>
          <w:rFonts w:ascii="Gill Sans MT" w:hAnsi="Gill Sans MT"/>
          <w:sz w:val="24"/>
          <w:szCs w:val="24"/>
        </w:rPr>
        <w:footnoteReference w:id="20"/>
      </w:r>
      <w:r w:rsidR="000F6FC6" w:rsidRPr="00FE3A70">
        <w:rPr>
          <w:rFonts w:ascii="Gill Sans MT" w:hAnsi="Gill Sans MT"/>
          <w:sz w:val="24"/>
          <w:szCs w:val="24"/>
        </w:rPr>
        <w:t xml:space="preserve"> Taken together, these three foci enable us to evaluate </w:t>
      </w:r>
      <w:r w:rsidR="000F6FC6" w:rsidRPr="00FE3A70">
        <w:rPr>
          <w:rFonts w:ascii="Gill Sans MT" w:hAnsi="Gill Sans MT"/>
          <w:i/>
          <w:sz w:val="24"/>
          <w:szCs w:val="24"/>
        </w:rPr>
        <w:t>Sierrarat</w:t>
      </w:r>
      <w:r w:rsidR="000F6FC6" w:rsidRPr="00FE3A70">
        <w:rPr>
          <w:rFonts w:ascii="Gill Sans MT" w:hAnsi="Gill Sans MT"/>
          <w:sz w:val="24"/>
          <w:szCs w:val="24"/>
        </w:rPr>
        <w:t xml:space="preserve">’s relation to the institutional </w:t>
      </w:r>
      <w:r w:rsidR="000F6FC6">
        <w:rPr>
          <w:rFonts w:ascii="Gill Sans MT" w:hAnsi="Gill Sans MT"/>
          <w:sz w:val="24"/>
          <w:szCs w:val="24"/>
        </w:rPr>
        <w:t xml:space="preserve">context </w:t>
      </w:r>
      <w:r w:rsidR="000F6FC6" w:rsidRPr="00FE3A70">
        <w:rPr>
          <w:rFonts w:ascii="Gill Sans MT" w:hAnsi="Gill Sans MT"/>
          <w:sz w:val="24"/>
          <w:szCs w:val="24"/>
        </w:rPr>
        <w:t>from which it derives.</w:t>
      </w:r>
      <w:r w:rsidR="000F6FC6">
        <w:rPr>
          <w:rFonts w:ascii="Gill Sans MT" w:hAnsi="Gill Sans MT"/>
          <w:sz w:val="24"/>
          <w:szCs w:val="24"/>
        </w:rPr>
        <w:t xml:space="preserve"> In addition, however,</w:t>
      </w:r>
      <w:r w:rsidR="000F6FC6" w:rsidRPr="00FE3A70">
        <w:rPr>
          <w:rFonts w:ascii="Gill Sans MT" w:hAnsi="Gill Sans MT"/>
          <w:sz w:val="24"/>
          <w:szCs w:val="24"/>
        </w:rPr>
        <w:t xml:space="preserve"> we</w:t>
      </w:r>
      <w:r w:rsidR="000F6FC6">
        <w:rPr>
          <w:rFonts w:ascii="Gill Sans MT" w:hAnsi="Gill Sans MT"/>
          <w:sz w:val="24"/>
          <w:szCs w:val="24"/>
        </w:rPr>
        <w:t xml:space="preserve"> also</w:t>
      </w:r>
      <w:r w:rsidR="000F6FC6" w:rsidRPr="00FE3A70">
        <w:rPr>
          <w:rFonts w:ascii="Gill Sans MT" w:hAnsi="Gill Sans MT"/>
          <w:sz w:val="24"/>
          <w:szCs w:val="24"/>
        </w:rPr>
        <w:t xml:space="preserve"> bring </w:t>
      </w:r>
      <w:r w:rsidR="000F6FC6" w:rsidRPr="00FE3A70">
        <w:rPr>
          <w:rFonts w:ascii="Gill Sans MT" w:hAnsi="Gill Sans MT"/>
          <w:i/>
          <w:sz w:val="24"/>
          <w:szCs w:val="24"/>
        </w:rPr>
        <w:t>Sierrarat</w:t>
      </w:r>
      <w:r w:rsidR="000F6FC6" w:rsidRPr="00FE3A70">
        <w:rPr>
          <w:rFonts w:ascii="Gill Sans MT" w:hAnsi="Gill Sans MT"/>
          <w:sz w:val="24"/>
          <w:szCs w:val="24"/>
        </w:rPr>
        <w:t xml:space="preserve"> into comparative dialogue with Art Spiegelman’s </w:t>
      </w:r>
      <w:r w:rsidR="000F6FC6" w:rsidRPr="00FE3A70">
        <w:rPr>
          <w:rFonts w:ascii="Gill Sans MT" w:hAnsi="Gill Sans MT"/>
          <w:i/>
          <w:sz w:val="24"/>
          <w:szCs w:val="24"/>
        </w:rPr>
        <w:t>Maus</w:t>
      </w:r>
      <w:r w:rsidR="000F6FC6" w:rsidRPr="00FE3A70">
        <w:rPr>
          <w:rFonts w:ascii="Gill Sans MT" w:hAnsi="Gill Sans MT"/>
          <w:sz w:val="24"/>
          <w:szCs w:val="24"/>
        </w:rPr>
        <w:t xml:space="preserve">, a comic with </w:t>
      </w:r>
      <w:r w:rsidR="000F6FC6">
        <w:rPr>
          <w:rFonts w:ascii="Gill Sans MT" w:hAnsi="Gill Sans MT"/>
          <w:sz w:val="24"/>
          <w:szCs w:val="24"/>
        </w:rPr>
        <w:t xml:space="preserve">which it shares </w:t>
      </w:r>
      <w:r w:rsidR="000F6FC6" w:rsidRPr="00FE3A70">
        <w:rPr>
          <w:rFonts w:ascii="Gill Sans MT" w:hAnsi="Gill Sans MT"/>
          <w:sz w:val="24"/>
          <w:szCs w:val="24"/>
        </w:rPr>
        <w:t>significant formal and aesthetic similarities, but which nevertheless displays a</w:t>
      </w:r>
      <w:r w:rsidR="000F6FC6">
        <w:rPr>
          <w:rFonts w:ascii="Gill Sans MT" w:hAnsi="Gill Sans MT"/>
          <w:sz w:val="24"/>
          <w:szCs w:val="24"/>
        </w:rPr>
        <w:t xml:space="preserve"> strikingly </w:t>
      </w:r>
      <w:r w:rsidR="000F6FC6" w:rsidRPr="00FE3A70">
        <w:rPr>
          <w:rFonts w:ascii="Gill Sans MT" w:hAnsi="Gill Sans MT"/>
          <w:sz w:val="24"/>
          <w:szCs w:val="24"/>
        </w:rPr>
        <w:t xml:space="preserve">different approach to the emotional and social fallout of conflict and atrocity. </w:t>
      </w:r>
      <w:r w:rsidR="000F6FC6">
        <w:rPr>
          <w:rFonts w:ascii="Gill Sans MT" w:hAnsi="Gill Sans MT"/>
          <w:sz w:val="24"/>
          <w:szCs w:val="24"/>
        </w:rPr>
        <w:t xml:space="preserve">While acknowledging that the two comics were created for different purposes and with different audiences in mind, bringing the two texts to bear on one another nevertheless enables us to </w:t>
      </w:r>
      <w:r w:rsidR="000F6FC6" w:rsidRPr="00FE3A70">
        <w:rPr>
          <w:rFonts w:ascii="Gill Sans MT" w:hAnsi="Gill Sans MT"/>
          <w:sz w:val="24"/>
          <w:szCs w:val="24"/>
        </w:rPr>
        <w:t xml:space="preserve">open up space from which to explore the </w:t>
      </w:r>
      <w:r w:rsidR="000F6FC6">
        <w:rPr>
          <w:rFonts w:ascii="Gill Sans MT" w:hAnsi="Gill Sans MT"/>
          <w:sz w:val="24"/>
          <w:szCs w:val="24"/>
        </w:rPr>
        <w:t>political limits and possibilities of the comics medium in a post-conflict and/or TJ context.</w:t>
      </w:r>
      <w:r w:rsidR="000F6FC6" w:rsidRPr="00FE3A70">
        <w:rPr>
          <w:rStyle w:val="FootnoteReference"/>
          <w:rFonts w:ascii="Gill Sans MT" w:hAnsi="Gill Sans MT"/>
          <w:sz w:val="24"/>
          <w:szCs w:val="24"/>
        </w:rPr>
        <w:footnoteReference w:id="21"/>
      </w:r>
      <w:r w:rsidR="000F6FC6" w:rsidRPr="00FE3A70">
        <w:rPr>
          <w:rFonts w:ascii="Gill Sans MT" w:hAnsi="Gill Sans MT"/>
          <w:sz w:val="24"/>
          <w:szCs w:val="24"/>
        </w:rPr>
        <w:t xml:space="preserve"> </w:t>
      </w:r>
      <w:r w:rsidR="000F6FC6" w:rsidRPr="00FE3A70">
        <w:rPr>
          <w:rFonts w:ascii="Gill Sans MT" w:hAnsi="Gill Sans MT"/>
          <w:sz w:val="24"/>
          <w:szCs w:val="24"/>
        </w:rPr>
        <w:tab/>
      </w:r>
    </w:p>
    <w:p w14:paraId="6D200C44" w14:textId="4AA9DDDF" w:rsidR="000F6FC6" w:rsidRPr="00FE3A70" w:rsidRDefault="001E6089" w:rsidP="000F6FC6">
      <w:pPr>
        <w:spacing w:after="0" w:line="480" w:lineRule="auto"/>
        <w:jc w:val="both"/>
        <w:rPr>
          <w:rFonts w:ascii="Gill Sans MT" w:hAnsi="Gill Sans MT"/>
          <w:sz w:val="24"/>
          <w:szCs w:val="24"/>
        </w:rPr>
      </w:pPr>
      <w:r>
        <w:rPr>
          <w:rFonts w:ascii="Gill Sans MT" w:hAnsi="Gill Sans MT"/>
          <w:sz w:val="24"/>
          <w:szCs w:val="24"/>
        </w:rPr>
        <w:tab/>
      </w:r>
      <w:r w:rsidR="000F6FC6" w:rsidRPr="00FE3A70">
        <w:rPr>
          <w:rFonts w:ascii="Gill Sans MT" w:hAnsi="Gill Sans MT"/>
          <w:sz w:val="24"/>
          <w:szCs w:val="24"/>
        </w:rPr>
        <w:t>The paper proceeds in two parts. The first outlines the historical background surrounding the Sierra Leone Civil War and the establishment of the SLTRC, whil</w:t>
      </w:r>
      <w:r w:rsidR="000F6FC6">
        <w:rPr>
          <w:rFonts w:ascii="Gill Sans MT" w:hAnsi="Gill Sans MT"/>
          <w:sz w:val="24"/>
          <w:szCs w:val="24"/>
        </w:rPr>
        <w:t>e</w:t>
      </w:r>
      <w:r w:rsidR="000F6FC6" w:rsidRPr="00FE3A70">
        <w:rPr>
          <w:rFonts w:ascii="Gill Sans MT" w:hAnsi="Gill Sans MT"/>
          <w:sz w:val="24"/>
          <w:szCs w:val="24"/>
        </w:rPr>
        <w:t xml:space="preserve"> the second undertakes a comparative analysis of </w:t>
      </w:r>
      <w:r w:rsidR="000F6FC6" w:rsidRPr="00FE3A70">
        <w:rPr>
          <w:rFonts w:ascii="Gill Sans MT" w:hAnsi="Gill Sans MT"/>
          <w:i/>
          <w:sz w:val="24"/>
          <w:szCs w:val="24"/>
        </w:rPr>
        <w:t>Sierrarat</w:t>
      </w:r>
      <w:r w:rsidR="000F6FC6" w:rsidRPr="00FE3A70">
        <w:rPr>
          <w:rFonts w:ascii="Gill Sans MT" w:hAnsi="Gill Sans MT"/>
          <w:sz w:val="24"/>
          <w:szCs w:val="24"/>
        </w:rPr>
        <w:t xml:space="preserve"> and </w:t>
      </w:r>
      <w:r w:rsidR="000F6FC6" w:rsidRPr="00FE3A70">
        <w:rPr>
          <w:rFonts w:ascii="Gill Sans MT" w:hAnsi="Gill Sans MT"/>
          <w:i/>
          <w:sz w:val="24"/>
          <w:szCs w:val="24"/>
        </w:rPr>
        <w:t>Maus</w:t>
      </w:r>
      <w:r w:rsidR="000F6FC6">
        <w:rPr>
          <w:rFonts w:ascii="Gill Sans MT" w:hAnsi="Gill Sans MT"/>
          <w:sz w:val="24"/>
          <w:szCs w:val="24"/>
        </w:rPr>
        <w:t>,</w:t>
      </w:r>
      <w:r w:rsidR="000F6FC6" w:rsidRPr="00FE3A70">
        <w:rPr>
          <w:rFonts w:ascii="Gill Sans MT" w:hAnsi="Gill Sans MT"/>
          <w:sz w:val="24"/>
          <w:szCs w:val="24"/>
        </w:rPr>
        <w:t xml:space="preserve"> as outlined above. It will be noted that although </w:t>
      </w:r>
      <w:r w:rsidR="000F6FC6" w:rsidRPr="00FE3A70">
        <w:rPr>
          <w:rFonts w:ascii="Gill Sans MT" w:hAnsi="Gill Sans MT"/>
          <w:i/>
          <w:sz w:val="24"/>
          <w:szCs w:val="24"/>
        </w:rPr>
        <w:t>Sierrarat</w:t>
      </w:r>
      <w:r w:rsidR="000F6FC6" w:rsidRPr="00FE3A70">
        <w:rPr>
          <w:rFonts w:ascii="Gill Sans MT" w:hAnsi="Gill Sans MT"/>
          <w:sz w:val="24"/>
          <w:szCs w:val="24"/>
        </w:rPr>
        <w:t xml:space="preserve"> appropriates </w:t>
      </w:r>
      <w:r w:rsidR="000F6FC6" w:rsidRPr="00FE3A70">
        <w:rPr>
          <w:rFonts w:ascii="Gill Sans MT" w:hAnsi="Gill Sans MT"/>
          <w:i/>
          <w:sz w:val="24"/>
          <w:szCs w:val="24"/>
        </w:rPr>
        <w:t>Maus</w:t>
      </w:r>
      <w:r w:rsidR="000F6FC6" w:rsidRPr="00FE3A70">
        <w:rPr>
          <w:rFonts w:ascii="Gill Sans MT" w:hAnsi="Gill Sans MT"/>
          <w:sz w:val="24"/>
          <w:szCs w:val="24"/>
        </w:rPr>
        <w:t xml:space="preserve">’ representational vocabulary, it does so to very different ends, in the process reinforcing messages that are reflective more </w:t>
      </w:r>
      <w:r w:rsidR="000F6FC6" w:rsidRPr="00FE3A70">
        <w:rPr>
          <w:rFonts w:ascii="Gill Sans MT" w:hAnsi="Gill Sans MT"/>
          <w:sz w:val="24"/>
          <w:szCs w:val="24"/>
        </w:rPr>
        <w:lastRenderedPageBreak/>
        <w:t>of the fraught institutional context in which the SLTRC was operating than the political dynamics ‘on the ground’ in Sierra Leone itself.</w:t>
      </w:r>
      <w:r w:rsidR="000F6FC6" w:rsidRPr="00FE3A70">
        <w:rPr>
          <w:rFonts w:ascii="Gill Sans MT" w:hAnsi="Gill Sans MT"/>
          <w:i/>
          <w:sz w:val="24"/>
          <w:szCs w:val="24"/>
        </w:rPr>
        <w:t xml:space="preserve"> </w:t>
      </w:r>
      <w:r w:rsidR="000F6FC6" w:rsidRPr="00FE3A70">
        <w:rPr>
          <w:rFonts w:ascii="Gill Sans MT" w:hAnsi="Gill Sans MT"/>
          <w:sz w:val="24"/>
          <w:szCs w:val="24"/>
        </w:rPr>
        <w:t xml:space="preserve">The conclusion brings this broad finding to bear on discussions about the role that might be played by comics in outreach initiatives. </w:t>
      </w:r>
      <w:r w:rsidR="000F6FC6">
        <w:rPr>
          <w:rFonts w:ascii="Gill Sans MT" w:hAnsi="Gill Sans MT"/>
          <w:sz w:val="24"/>
          <w:szCs w:val="24"/>
        </w:rPr>
        <w:t>In particular, we suggest that the openness of the comics medium presents a formal challenge to any attempts on the part of TJ initiatives to prescribe a fixed passage towards ‘truth’ and ‘reconciliation’ on behalf of the communities they serve.</w:t>
      </w:r>
      <w:r w:rsidR="000F6FC6">
        <w:rPr>
          <w:rStyle w:val="FootnoteReference"/>
          <w:rFonts w:ascii="Gill Sans MT" w:hAnsi="Gill Sans MT"/>
          <w:sz w:val="24"/>
          <w:szCs w:val="24"/>
        </w:rPr>
        <w:footnoteReference w:id="22"/>
      </w:r>
      <w:r w:rsidR="000F6FC6">
        <w:rPr>
          <w:rFonts w:ascii="Gill Sans MT" w:hAnsi="Gill Sans MT"/>
          <w:sz w:val="24"/>
          <w:szCs w:val="24"/>
        </w:rPr>
        <w:t xml:space="preserve"> In this respect they are ideally placed to contribute to the reconceptualisation of outreach’s place within TJ initiatives. </w:t>
      </w:r>
      <w:r w:rsidR="000F6FC6" w:rsidRPr="00FE3A70">
        <w:rPr>
          <w:rFonts w:ascii="Gill Sans MT" w:hAnsi="Gill Sans MT"/>
          <w:sz w:val="24"/>
          <w:szCs w:val="24"/>
        </w:rPr>
        <w:t xml:space="preserve">Future attempts to incorporate comics into outreach programmes must </w:t>
      </w:r>
      <w:r w:rsidR="000F6FC6">
        <w:rPr>
          <w:rFonts w:ascii="Gill Sans MT" w:hAnsi="Gill Sans MT"/>
          <w:sz w:val="24"/>
          <w:szCs w:val="24"/>
        </w:rPr>
        <w:t xml:space="preserve">therefore </w:t>
      </w:r>
      <w:r w:rsidR="000F6FC6" w:rsidRPr="00FE3A70">
        <w:rPr>
          <w:rFonts w:ascii="Gill Sans MT" w:hAnsi="Gill Sans MT"/>
          <w:sz w:val="24"/>
          <w:szCs w:val="24"/>
        </w:rPr>
        <w:t xml:space="preserve">do so with sensitivity to the political messages informing (and informed by) representational choices, and to the ways in which meaning emerges through a complex interaction between context, content and form. </w:t>
      </w:r>
    </w:p>
    <w:p w14:paraId="0183833E" w14:textId="77777777" w:rsidR="000F6FC6" w:rsidRPr="00FE3A70" w:rsidRDefault="000F6FC6" w:rsidP="000F6FC6">
      <w:pPr>
        <w:spacing w:after="0" w:line="480" w:lineRule="auto"/>
        <w:jc w:val="both"/>
        <w:rPr>
          <w:rFonts w:ascii="Gill Sans MT" w:hAnsi="Gill Sans MT"/>
          <w:sz w:val="24"/>
          <w:szCs w:val="24"/>
        </w:rPr>
      </w:pPr>
    </w:p>
    <w:p w14:paraId="2D4EA2CA" w14:textId="77777777" w:rsidR="000F6FC6" w:rsidRPr="00FE3A70" w:rsidRDefault="000F6FC6" w:rsidP="000F6FC6">
      <w:pPr>
        <w:spacing w:after="0" w:line="480" w:lineRule="auto"/>
        <w:jc w:val="both"/>
        <w:rPr>
          <w:rFonts w:ascii="Gill Sans MT" w:hAnsi="Gill Sans MT"/>
          <w:sz w:val="24"/>
          <w:szCs w:val="24"/>
        </w:rPr>
      </w:pPr>
    </w:p>
    <w:p w14:paraId="3CC7DAE1" w14:textId="77777777" w:rsidR="000F6FC6" w:rsidRPr="00FE3A70" w:rsidRDefault="000F6FC6" w:rsidP="000F6FC6">
      <w:pPr>
        <w:pStyle w:val="Heading1"/>
        <w:spacing w:before="0"/>
        <w:jc w:val="both"/>
        <w:rPr>
          <w:rFonts w:ascii="Gill Sans MT" w:hAnsi="Gill Sans MT"/>
          <w:color w:val="auto"/>
          <w:sz w:val="24"/>
          <w:szCs w:val="24"/>
        </w:rPr>
      </w:pPr>
      <w:r w:rsidRPr="00FE3A70">
        <w:rPr>
          <w:rFonts w:ascii="Gill Sans MT" w:hAnsi="Gill Sans MT"/>
          <w:color w:val="auto"/>
          <w:sz w:val="24"/>
          <w:szCs w:val="24"/>
        </w:rPr>
        <w:t>SIERRA LEONE: THE CONFLICT AND POST-CONFLICT YEARS</w:t>
      </w:r>
    </w:p>
    <w:p w14:paraId="5A24B142" w14:textId="77777777" w:rsidR="000F6FC6" w:rsidRPr="00FE3A70" w:rsidRDefault="000F6FC6" w:rsidP="000F6FC6">
      <w:pPr>
        <w:spacing w:after="0" w:line="480" w:lineRule="auto"/>
        <w:jc w:val="both"/>
        <w:rPr>
          <w:rFonts w:ascii="Gill Sans MT" w:hAnsi="Gill Sans MT"/>
          <w:sz w:val="24"/>
          <w:szCs w:val="24"/>
        </w:rPr>
      </w:pPr>
    </w:p>
    <w:p w14:paraId="4CB10618" w14:textId="2820DC48" w:rsidR="000F6FC6"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The conflict in Sierra Leone began in 1991 when the Sierra Leonean Revolutionary United Front [RUF] invaded the eastern regions of the country</w:t>
      </w:r>
      <w:r>
        <w:rPr>
          <w:rFonts w:ascii="Gill Sans MT" w:hAnsi="Gill Sans MT"/>
          <w:sz w:val="24"/>
          <w:szCs w:val="24"/>
        </w:rPr>
        <w:t xml:space="preserve">, </w:t>
      </w:r>
      <w:r w:rsidRPr="00FE3A70">
        <w:rPr>
          <w:rFonts w:ascii="Gill Sans MT" w:hAnsi="Gill Sans MT"/>
          <w:sz w:val="24"/>
          <w:szCs w:val="24"/>
        </w:rPr>
        <w:t>led by Foday Sankoh and supported by Liberian President Charles Taylor. A complex civil war ensued, involving a multiplicity of protagonists who can be separated</w:t>
      </w:r>
      <w:r>
        <w:rPr>
          <w:rFonts w:ascii="Gill Sans MT" w:hAnsi="Gill Sans MT"/>
          <w:sz w:val="24"/>
          <w:szCs w:val="24"/>
        </w:rPr>
        <w:t xml:space="preserve"> loosely </w:t>
      </w:r>
      <w:r w:rsidRPr="00FE3A70">
        <w:rPr>
          <w:rFonts w:ascii="Gill Sans MT" w:hAnsi="Gill Sans MT"/>
          <w:sz w:val="24"/>
          <w:szCs w:val="24"/>
        </w:rPr>
        <w:t xml:space="preserve">into three groups: </w:t>
      </w:r>
      <w:r w:rsidRPr="00FE3A70">
        <w:rPr>
          <w:rFonts w:ascii="Gill Sans MT" w:hAnsi="Gill Sans MT"/>
          <w:sz w:val="24"/>
          <w:szCs w:val="24"/>
        </w:rPr>
        <w:lastRenderedPageBreak/>
        <w:t>government, rebel and international forces.</w:t>
      </w:r>
      <w:r w:rsidRPr="00FE3A70">
        <w:rPr>
          <w:rStyle w:val="FootnoteReference"/>
          <w:rFonts w:ascii="Gill Sans MT" w:hAnsi="Gill Sans MT"/>
          <w:sz w:val="24"/>
          <w:szCs w:val="24"/>
        </w:rPr>
        <w:footnoteReference w:id="23"/>
      </w:r>
      <w:r w:rsidRPr="00FE3A70">
        <w:rPr>
          <w:rFonts w:ascii="Gill Sans MT" w:hAnsi="Gill Sans MT"/>
          <w:sz w:val="24"/>
          <w:szCs w:val="24"/>
        </w:rPr>
        <w:t xml:space="preserve"> </w:t>
      </w:r>
      <w:r>
        <w:rPr>
          <w:rFonts w:ascii="Gill Sans MT" w:hAnsi="Gill Sans MT"/>
          <w:sz w:val="24"/>
          <w:szCs w:val="24"/>
        </w:rPr>
        <w:t>These designations are ‘loose’ because of their mutability: what</w:t>
      </w:r>
      <w:r w:rsidRPr="00FE3A70">
        <w:rPr>
          <w:rFonts w:ascii="Gill Sans MT" w:hAnsi="Gill Sans MT"/>
          <w:sz w:val="24"/>
          <w:szCs w:val="24"/>
        </w:rPr>
        <w:t xml:space="preserve"> constituted ‘the government’</w:t>
      </w:r>
      <w:r>
        <w:rPr>
          <w:rFonts w:ascii="Gill Sans MT" w:hAnsi="Gill Sans MT"/>
          <w:sz w:val="24"/>
          <w:szCs w:val="24"/>
        </w:rPr>
        <w:t xml:space="preserve"> </w:t>
      </w:r>
      <w:r w:rsidRPr="00FE3A70">
        <w:rPr>
          <w:rFonts w:ascii="Gill Sans MT" w:hAnsi="Gill Sans MT"/>
          <w:sz w:val="24"/>
          <w:szCs w:val="24"/>
        </w:rPr>
        <w:t>shifted continuously</w:t>
      </w:r>
      <w:r>
        <w:rPr>
          <w:rFonts w:ascii="Gill Sans MT" w:hAnsi="Gill Sans MT"/>
          <w:sz w:val="24"/>
          <w:szCs w:val="24"/>
        </w:rPr>
        <w:t>, for example</w:t>
      </w:r>
      <w:r w:rsidRPr="00FE3A70">
        <w:rPr>
          <w:rFonts w:ascii="Gill Sans MT" w:hAnsi="Gill Sans MT"/>
          <w:sz w:val="24"/>
          <w:szCs w:val="24"/>
        </w:rPr>
        <w:t xml:space="preserve">. </w:t>
      </w:r>
      <w:r>
        <w:rPr>
          <w:rFonts w:ascii="Gill Sans MT" w:hAnsi="Gill Sans MT"/>
          <w:sz w:val="24"/>
          <w:szCs w:val="24"/>
        </w:rPr>
        <w:t xml:space="preserve">While </w:t>
      </w:r>
      <w:r w:rsidRPr="00FE3A70">
        <w:rPr>
          <w:rFonts w:ascii="Gill Sans MT" w:hAnsi="Gill Sans MT"/>
          <w:sz w:val="24"/>
          <w:szCs w:val="24"/>
        </w:rPr>
        <w:t xml:space="preserve">President Joseph Momoh of the All People’s Congress controlled the </w:t>
      </w:r>
      <w:r>
        <w:rPr>
          <w:rFonts w:ascii="Gill Sans MT" w:hAnsi="Gill Sans MT"/>
          <w:sz w:val="24"/>
          <w:szCs w:val="24"/>
        </w:rPr>
        <w:t xml:space="preserve">state’s military forces </w:t>
      </w:r>
      <w:r w:rsidRPr="00FE3A70">
        <w:rPr>
          <w:rFonts w:ascii="Gill Sans MT" w:hAnsi="Gill Sans MT"/>
          <w:sz w:val="24"/>
          <w:szCs w:val="24"/>
        </w:rPr>
        <w:t xml:space="preserve">at the start of the war, a </w:t>
      </w:r>
      <w:r>
        <w:rPr>
          <w:rFonts w:ascii="Gill Sans MT" w:hAnsi="Gill Sans MT"/>
          <w:sz w:val="24"/>
          <w:szCs w:val="24"/>
        </w:rPr>
        <w:t xml:space="preserve">1992 </w:t>
      </w:r>
      <w:r w:rsidRPr="00FE3A70">
        <w:rPr>
          <w:rFonts w:ascii="Gill Sans MT" w:hAnsi="Gill Sans MT"/>
          <w:sz w:val="24"/>
          <w:szCs w:val="24"/>
        </w:rPr>
        <w:t>coup</w:t>
      </w:r>
      <w:r>
        <w:rPr>
          <w:rFonts w:ascii="Gill Sans MT" w:hAnsi="Gill Sans MT"/>
          <w:sz w:val="24"/>
          <w:szCs w:val="24"/>
        </w:rPr>
        <w:t xml:space="preserve"> by disaffected soldiers</w:t>
      </w:r>
      <w:r w:rsidRPr="00FE3A70">
        <w:rPr>
          <w:rFonts w:ascii="Gill Sans MT" w:hAnsi="Gill Sans MT"/>
          <w:sz w:val="24"/>
          <w:szCs w:val="24"/>
        </w:rPr>
        <w:t xml:space="preserve"> saw</w:t>
      </w:r>
      <w:r>
        <w:rPr>
          <w:rFonts w:ascii="Gill Sans MT" w:hAnsi="Gill Sans MT"/>
          <w:sz w:val="24"/>
          <w:szCs w:val="24"/>
        </w:rPr>
        <w:t xml:space="preserve"> his deposition and</w:t>
      </w:r>
      <w:r w:rsidRPr="00FE3A70">
        <w:rPr>
          <w:rFonts w:ascii="Gill Sans MT" w:hAnsi="Gill Sans MT"/>
          <w:sz w:val="24"/>
          <w:szCs w:val="24"/>
        </w:rPr>
        <w:t xml:space="preserve"> the </w:t>
      </w:r>
      <w:r>
        <w:rPr>
          <w:rFonts w:ascii="Gill Sans MT" w:hAnsi="Gill Sans MT"/>
          <w:sz w:val="24"/>
          <w:szCs w:val="24"/>
        </w:rPr>
        <w:t>establishment</w:t>
      </w:r>
      <w:r w:rsidRPr="00FE3A70">
        <w:rPr>
          <w:rFonts w:ascii="Gill Sans MT" w:hAnsi="Gill Sans MT"/>
          <w:sz w:val="24"/>
          <w:szCs w:val="24"/>
        </w:rPr>
        <w:t xml:space="preserve"> of </w:t>
      </w:r>
      <w:r>
        <w:rPr>
          <w:rFonts w:ascii="Gill Sans MT" w:hAnsi="Gill Sans MT"/>
          <w:sz w:val="24"/>
          <w:szCs w:val="24"/>
        </w:rPr>
        <w:t xml:space="preserve">the military-led </w:t>
      </w:r>
      <w:r w:rsidRPr="00FE3A70">
        <w:rPr>
          <w:rFonts w:ascii="Gill Sans MT" w:hAnsi="Gill Sans MT"/>
          <w:sz w:val="24"/>
          <w:szCs w:val="24"/>
        </w:rPr>
        <w:t xml:space="preserve">National Provisional Ruling Council. </w:t>
      </w:r>
      <w:r>
        <w:rPr>
          <w:rFonts w:ascii="Gill Sans MT" w:hAnsi="Gill Sans MT"/>
          <w:sz w:val="24"/>
          <w:szCs w:val="24"/>
        </w:rPr>
        <w:t xml:space="preserve">In 1996, an advisor to the Council named </w:t>
      </w:r>
      <w:r w:rsidRPr="00FE3A70">
        <w:rPr>
          <w:rFonts w:ascii="Gill Sans MT" w:hAnsi="Gill Sans MT"/>
          <w:sz w:val="24"/>
          <w:szCs w:val="24"/>
        </w:rPr>
        <w:t>Ahmed Tejan Kabbah</w:t>
      </w:r>
      <w:r>
        <w:rPr>
          <w:rFonts w:ascii="Gill Sans MT" w:hAnsi="Gill Sans MT"/>
          <w:sz w:val="24"/>
          <w:szCs w:val="24"/>
        </w:rPr>
        <w:t xml:space="preserve"> was elected president</w:t>
      </w:r>
      <w:r w:rsidRPr="00FE3A70">
        <w:rPr>
          <w:rFonts w:ascii="Gill Sans MT" w:hAnsi="Gill Sans MT"/>
          <w:sz w:val="24"/>
          <w:szCs w:val="24"/>
        </w:rPr>
        <w:t xml:space="preserve">, </w:t>
      </w:r>
      <w:r w:rsidR="001E6089">
        <w:rPr>
          <w:rFonts w:ascii="Gill Sans MT" w:hAnsi="Gill Sans MT"/>
          <w:sz w:val="24"/>
          <w:szCs w:val="24"/>
        </w:rPr>
        <w:t xml:space="preserve">in the process </w:t>
      </w:r>
      <w:r>
        <w:rPr>
          <w:rFonts w:ascii="Gill Sans MT" w:hAnsi="Gill Sans MT"/>
          <w:sz w:val="24"/>
          <w:szCs w:val="24"/>
        </w:rPr>
        <w:t>integrating an</w:t>
      </w:r>
      <w:r w:rsidRPr="00FE3A70">
        <w:rPr>
          <w:rFonts w:ascii="Gill Sans MT" w:hAnsi="Gill Sans MT"/>
          <w:sz w:val="24"/>
          <w:szCs w:val="24"/>
        </w:rPr>
        <w:t xml:space="preserve"> </w:t>
      </w:r>
      <w:r>
        <w:rPr>
          <w:rFonts w:ascii="Gill Sans MT" w:hAnsi="Gill Sans MT"/>
          <w:sz w:val="24"/>
          <w:szCs w:val="24"/>
        </w:rPr>
        <w:t xml:space="preserve">anti-RUF </w:t>
      </w:r>
      <w:r w:rsidRPr="00FE3A70">
        <w:rPr>
          <w:rFonts w:ascii="Gill Sans MT" w:hAnsi="Gill Sans MT"/>
          <w:sz w:val="24"/>
          <w:szCs w:val="24"/>
        </w:rPr>
        <w:t>paramilitary group</w:t>
      </w:r>
      <w:r w:rsidR="001E6089">
        <w:rPr>
          <w:rFonts w:ascii="Gill Sans MT" w:hAnsi="Gill Sans MT"/>
          <w:sz w:val="24"/>
          <w:szCs w:val="24"/>
        </w:rPr>
        <w:t xml:space="preserve"> called the Civil Defence Force</w:t>
      </w:r>
      <w:r w:rsidRPr="004B7246">
        <w:rPr>
          <w:rFonts w:ascii="Gill Sans MT" w:hAnsi="Gill Sans MT"/>
          <w:sz w:val="24"/>
          <w:szCs w:val="24"/>
        </w:rPr>
        <w:t xml:space="preserve"> </w:t>
      </w:r>
      <w:r w:rsidRPr="00FE3A70">
        <w:rPr>
          <w:rFonts w:ascii="Gill Sans MT" w:hAnsi="Gill Sans MT"/>
          <w:sz w:val="24"/>
          <w:szCs w:val="24"/>
        </w:rPr>
        <w:t>into the government’s</w:t>
      </w:r>
      <w:r>
        <w:rPr>
          <w:rFonts w:ascii="Gill Sans MT" w:hAnsi="Gill Sans MT"/>
          <w:sz w:val="24"/>
          <w:szCs w:val="24"/>
        </w:rPr>
        <w:t xml:space="preserve"> official military</w:t>
      </w:r>
      <w:r w:rsidRPr="00FE3A70">
        <w:rPr>
          <w:rFonts w:ascii="Gill Sans MT" w:hAnsi="Gill Sans MT"/>
          <w:sz w:val="24"/>
          <w:szCs w:val="24"/>
        </w:rPr>
        <w:t xml:space="preserve"> apparatus.</w:t>
      </w:r>
      <w:r>
        <w:rPr>
          <w:rStyle w:val="FootnoteReference"/>
          <w:rFonts w:ascii="Gill Sans MT" w:hAnsi="Gill Sans MT"/>
          <w:sz w:val="24"/>
          <w:szCs w:val="24"/>
        </w:rPr>
        <w:footnoteReference w:id="24"/>
      </w:r>
      <w:r w:rsidRPr="00FE3A70">
        <w:rPr>
          <w:rFonts w:ascii="Gill Sans MT" w:hAnsi="Gill Sans MT"/>
          <w:sz w:val="24"/>
          <w:szCs w:val="24"/>
        </w:rPr>
        <w:t xml:space="preserve"> </w:t>
      </w:r>
      <w:r>
        <w:rPr>
          <w:rFonts w:ascii="Gill Sans MT" w:hAnsi="Gill Sans MT"/>
          <w:sz w:val="24"/>
          <w:szCs w:val="24"/>
        </w:rPr>
        <w:t>Although Kabbah was unseated by a 1997 coup, he returned to power in 1998.</w:t>
      </w:r>
    </w:p>
    <w:p w14:paraId="3E43ADBF" w14:textId="77777777" w:rsidR="000F6FC6" w:rsidRPr="00FE3A70" w:rsidRDefault="000F6FC6" w:rsidP="000F6FC6">
      <w:pPr>
        <w:spacing w:after="0" w:line="480" w:lineRule="auto"/>
        <w:ind w:firstLine="720"/>
        <w:jc w:val="both"/>
        <w:rPr>
          <w:rFonts w:ascii="Gill Sans MT" w:hAnsi="Gill Sans MT"/>
          <w:sz w:val="24"/>
          <w:szCs w:val="24"/>
        </w:rPr>
      </w:pPr>
      <w:r>
        <w:rPr>
          <w:rFonts w:ascii="Gill Sans MT" w:hAnsi="Gill Sans MT"/>
          <w:sz w:val="24"/>
          <w:szCs w:val="24"/>
        </w:rPr>
        <w:t>Among the rebels, allegiances also fluctuated. For example, while the RUF were the most prominent of the numerous insurgent and paramilitary groups involved in the fighting, they were also briefly aligned with</w:t>
      </w:r>
      <w:r w:rsidRPr="00FE3A70">
        <w:rPr>
          <w:rFonts w:ascii="Gill Sans MT" w:hAnsi="Gill Sans MT"/>
          <w:sz w:val="24"/>
          <w:szCs w:val="24"/>
        </w:rPr>
        <w:t xml:space="preserve"> the Armed Forces Revolutionary Council, </w:t>
      </w:r>
      <w:r>
        <w:rPr>
          <w:rFonts w:ascii="Gill Sans MT" w:hAnsi="Gill Sans MT"/>
          <w:sz w:val="24"/>
          <w:szCs w:val="24"/>
        </w:rPr>
        <w:t xml:space="preserve">a splinter group from the Sierra Leonean military who were responsible for the 1997 coup against Kabbah. </w:t>
      </w:r>
      <w:r w:rsidRPr="00FE3A70">
        <w:rPr>
          <w:rFonts w:ascii="Gill Sans MT" w:hAnsi="Gill Sans MT"/>
          <w:sz w:val="24"/>
          <w:szCs w:val="24"/>
        </w:rPr>
        <w:t>International forces</w:t>
      </w:r>
      <w:r>
        <w:rPr>
          <w:rFonts w:ascii="Gill Sans MT" w:hAnsi="Gill Sans MT"/>
          <w:sz w:val="24"/>
          <w:szCs w:val="24"/>
        </w:rPr>
        <w:t>, meanwhile,</w:t>
      </w:r>
      <w:r w:rsidRPr="00FE3A70">
        <w:rPr>
          <w:rFonts w:ascii="Gill Sans MT" w:hAnsi="Gill Sans MT"/>
          <w:sz w:val="24"/>
          <w:szCs w:val="24"/>
        </w:rPr>
        <w:t xml:space="preserve"> included private mercenaries such as Executive Outcomes as well as international peacekeeping forces, first from the </w:t>
      </w:r>
      <w:r w:rsidRPr="00FE3A70">
        <w:rPr>
          <w:rFonts w:ascii="Gill Sans MT" w:hAnsi="Gill Sans MT"/>
          <w:sz w:val="24"/>
          <w:szCs w:val="24"/>
          <w:lang w:val="en-GB"/>
        </w:rPr>
        <w:t>Economic Community of West African States Monitoring Group</w:t>
      </w:r>
      <w:r w:rsidRPr="00FE3A70">
        <w:rPr>
          <w:rFonts w:ascii="Gill Sans MT" w:hAnsi="Gill Sans MT"/>
          <w:sz w:val="24"/>
          <w:szCs w:val="24"/>
        </w:rPr>
        <w:t xml:space="preserve"> and then from the </w:t>
      </w:r>
      <w:r w:rsidRPr="00FE3A70">
        <w:rPr>
          <w:rFonts w:ascii="Gill Sans MT" w:hAnsi="Gill Sans MT"/>
          <w:sz w:val="24"/>
          <w:szCs w:val="24"/>
        </w:rPr>
        <w:lastRenderedPageBreak/>
        <w:t>United Nations Mission in Sierra Leone, a UN force with strong British involvement.</w:t>
      </w:r>
      <w:r w:rsidRPr="00FE3A70">
        <w:rPr>
          <w:rStyle w:val="FootnoteReference"/>
          <w:rFonts w:ascii="Gill Sans MT" w:hAnsi="Gill Sans MT"/>
          <w:sz w:val="24"/>
          <w:szCs w:val="24"/>
        </w:rPr>
        <w:footnoteReference w:id="25"/>
      </w:r>
      <w:r w:rsidRPr="00FE3A70">
        <w:rPr>
          <w:rFonts w:ascii="Gill Sans MT" w:hAnsi="Gill Sans MT"/>
          <w:sz w:val="24"/>
          <w:szCs w:val="24"/>
        </w:rPr>
        <w:t xml:space="preserve"> These largely intervened on the side of the government, often to </w:t>
      </w:r>
      <w:r>
        <w:rPr>
          <w:rFonts w:ascii="Gill Sans MT" w:hAnsi="Gill Sans MT"/>
          <w:sz w:val="24"/>
          <w:szCs w:val="24"/>
        </w:rPr>
        <w:t>ensure continued access to Sierra Leone’s natural</w:t>
      </w:r>
      <w:r w:rsidRPr="00FE3A70">
        <w:rPr>
          <w:rFonts w:ascii="Gill Sans MT" w:hAnsi="Gill Sans MT"/>
          <w:sz w:val="24"/>
          <w:szCs w:val="24"/>
        </w:rPr>
        <w:t xml:space="preserve"> </w:t>
      </w:r>
      <w:r>
        <w:rPr>
          <w:rFonts w:ascii="Gill Sans MT" w:hAnsi="Gill Sans MT"/>
          <w:sz w:val="24"/>
          <w:szCs w:val="24"/>
        </w:rPr>
        <w:t>resources, including but not limited to diamonds.</w:t>
      </w:r>
    </w:p>
    <w:p w14:paraId="456D48DC" w14:textId="77777777" w:rsidR="000F6FC6" w:rsidRDefault="000F6FC6" w:rsidP="000F6FC6">
      <w:pPr>
        <w:spacing w:after="0" w:line="480" w:lineRule="auto"/>
        <w:ind w:firstLine="720"/>
        <w:jc w:val="both"/>
        <w:rPr>
          <w:rFonts w:ascii="Gill Sans MT" w:hAnsi="Gill Sans MT"/>
          <w:sz w:val="24"/>
          <w:szCs w:val="24"/>
        </w:rPr>
      </w:pPr>
      <w:r>
        <w:rPr>
          <w:rFonts w:ascii="Gill Sans MT" w:hAnsi="Gill Sans MT"/>
          <w:sz w:val="24"/>
          <w:szCs w:val="24"/>
        </w:rPr>
        <w:t xml:space="preserve">Underpinning this instability were the forces driving the conflict, which were largely those of </w:t>
      </w:r>
      <w:r w:rsidRPr="00FE3A70">
        <w:rPr>
          <w:rFonts w:ascii="Gill Sans MT" w:hAnsi="Gill Sans MT"/>
          <w:sz w:val="24"/>
          <w:szCs w:val="24"/>
        </w:rPr>
        <w:t>economic and political opportuni</w:t>
      </w:r>
      <w:r>
        <w:rPr>
          <w:rFonts w:ascii="Gill Sans MT" w:hAnsi="Gill Sans MT"/>
          <w:sz w:val="24"/>
          <w:szCs w:val="24"/>
        </w:rPr>
        <w:t>sm</w:t>
      </w:r>
      <w:r w:rsidRPr="00FE3A70">
        <w:rPr>
          <w:rFonts w:ascii="Gill Sans MT" w:hAnsi="Gill Sans MT"/>
          <w:sz w:val="24"/>
          <w:szCs w:val="24"/>
        </w:rPr>
        <w:t xml:space="preserve"> rather than entrenched division</w:t>
      </w:r>
      <w:r>
        <w:rPr>
          <w:rFonts w:ascii="Gill Sans MT" w:hAnsi="Gill Sans MT"/>
          <w:sz w:val="24"/>
          <w:szCs w:val="24"/>
        </w:rPr>
        <w:t xml:space="preserve"> along ethnic, racial or ideological lines (for example)</w:t>
      </w:r>
      <w:r w:rsidRPr="00FE3A70">
        <w:rPr>
          <w:rFonts w:ascii="Gill Sans MT" w:hAnsi="Gill Sans MT"/>
          <w:sz w:val="24"/>
          <w:szCs w:val="24"/>
        </w:rPr>
        <w:t>. As such, the most prominent</w:t>
      </w:r>
      <w:r>
        <w:rPr>
          <w:rFonts w:ascii="Gill Sans MT" w:hAnsi="Gill Sans MT"/>
          <w:sz w:val="24"/>
          <w:szCs w:val="24"/>
        </w:rPr>
        <w:t>ly visible</w:t>
      </w:r>
      <w:r w:rsidRPr="00FE3A70">
        <w:rPr>
          <w:rFonts w:ascii="Gill Sans MT" w:hAnsi="Gill Sans MT"/>
          <w:sz w:val="24"/>
          <w:szCs w:val="24"/>
        </w:rPr>
        <w:t xml:space="preserve"> fault lines were those of age and gender rather than party affiliation or ethnic background.</w:t>
      </w:r>
      <w:r w:rsidRPr="00FE3A70">
        <w:rPr>
          <w:rStyle w:val="FootnoteReference"/>
          <w:rFonts w:ascii="Gill Sans MT" w:hAnsi="Gill Sans MT"/>
          <w:sz w:val="24"/>
          <w:szCs w:val="24"/>
        </w:rPr>
        <w:footnoteReference w:id="26"/>
      </w:r>
      <w:r w:rsidRPr="00FE3A70">
        <w:rPr>
          <w:rFonts w:ascii="Gill Sans MT" w:hAnsi="Gill Sans MT"/>
          <w:sz w:val="24"/>
          <w:szCs w:val="24"/>
        </w:rPr>
        <w:t xml:space="preserve"> For example, many of the rebel fighters were disenfranchised young men, angry at their continued exclusion from the </w:t>
      </w:r>
      <w:r>
        <w:rPr>
          <w:rFonts w:ascii="Gill Sans MT" w:hAnsi="Gill Sans MT"/>
          <w:sz w:val="24"/>
          <w:szCs w:val="24"/>
        </w:rPr>
        <w:t xml:space="preserve">existing </w:t>
      </w:r>
      <w:r w:rsidRPr="00FE3A70">
        <w:rPr>
          <w:rFonts w:ascii="Gill Sans MT" w:hAnsi="Gill Sans MT"/>
          <w:sz w:val="24"/>
          <w:szCs w:val="24"/>
        </w:rPr>
        <w:t>governance structure</w:t>
      </w:r>
      <w:r>
        <w:rPr>
          <w:rFonts w:ascii="Gill Sans MT" w:hAnsi="Gill Sans MT"/>
          <w:sz w:val="24"/>
          <w:szCs w:val="24"/>
        </w:rPr>
        <w:t>,</w:t>
      </w:r>
      <w:r w:rsidRPr="00FE3A70">
        <w:rPr>
          <w:rStyle w:val="FootnoteReference"/>
          <w:rFonts w:ascii="Gill Sans MT" w:hAnsi="Gill Sans MT"/>
          <w:sz w:val="24"/>
          <w:szCs w:val="24"/>
        </w:rPr>
        <w:footnoteReference w:id="27"/>
      </w:r>
      <w:r w:rsidRPr="00FE3A70">
        <w:rPr>
          <w:rFonts w:ascii="Gill Sans MT" w:hAnsi="Gill Sans MT"/>
          <w:sz w:val="24"/>
          <w:szCs w:val="24"/>
        </w:rPr>
        <w:t xml:space="preserve"> </w:t>
      </w:r>
      <w:r>
        <w:rPr>
          <w:rFonts w:ascii="Gill Sans MT" w:hAnsi="Gill Sans MT"/>
          <w:sz w:val="24"/>
          <w:szCs w:val="24"/>
        </w:rPr>
        <w:t>while al</w:t>
      </w:r>
      <w:r w:rsidRPr="00FE3A70">
        <w:rPr>
          <w:rFonts w:ascii="Gill Sans MT" w:hAnsi="Gill Sans MT"/>
          <w:sz w:val="24"/>
          <w:szCs w:val="24"/>
        </w:rPr>
        <w:t>l sides</w:t>
      </w:r>
      <w:r>
        <w:rPr>
          <w:rFonts w:ascii="Gill Sans MT" w:hAnsi="Gill Sans MT"/>
          <w:sz w:val="24"/>
          <w:szCs w:val="24"/>
        </w:rPr>
        <w:t xml:space="preserve"> systematically perpetrated atrocities against women</w:t>
      </w:r>
      <w:r w:rsidRPr="00FE3A70">
        <w:rPr>
          <w:rFonts w:ascii="Gill Sans MT" w:hAnsi="Gill Sans MT"/>
          <w:sz w:val="24"/>
          <w:szCs w:val="24"/>
        </w:rPr>
        <w:t>.</w:t>
      </w:r>
      <w:r w:rsidRPr="00FE3A70">
        <w:rPr>
          <w:rStyle w:val="FootnoteReference"/>
          <w:rFonts w:ascii="Gill Sans MT" w:hAnsi="Gill Sans MT"/>
          <w:sz w:val="24"/>
          <w:szCs w:val="24"/>
        </w:rPr>
        <w:footnoteReference w:id="28"/>
      </w:r>
    </w:p>
    <w:p w14:paraId="0C90FCE9" w14:textId="77777777" w:rsidR="000F6FC6" w:rsidRPr="00FE3A70" w:rsidRDefault="000F6FC6" w:rsidP="000F6FC6">
      <w:pPr>
        <w:spacing w:after="0" w:line="480" w:lineRule="auto"/>
        <w:ind w:firstLine="720"/>
        <w:jc w:val="both"/>
        <w:rPr>
          <w:rFonts w:ascii="Gill Sans MT" w:hAnsi="Gill Sans MT"/>
          <w:sz w:val="24"/>
          <w:szCs w:val="24"/>
        </w:rPr>
      </w:pPr>
      <w:r>
        <w:rPr>
          <w:rFonts w:ascii="Gill Sans MT" w:hAnsi="Gill Sans MT"/>
          <w:sz w:val="24"/>
          <w:szCs w:val="24"/>
        </w:rPr>
        <w:t>In 1999, t</w:t>
      </w:r>
      <w:r w:rsidRPr="00FE3A70">
        <w:rPr>
          <w:rFonts w:ascii="Gill Sans MT" w:hAnsi="Gill Sans MT"/>
          <w:sz w:val="24"/>
          <w:szCs w:val="24"/>
        </w:rPr>
        <w:t xml:space="preserve">he conflict was provisionally brought to a close with the Lome Peace Accord. This agreement set out a </w:t>
      </w:r>
      <w:r>
        <w:rPr>
          <w:rFonts w:ascii="Gill Sans MT" w:hAnsi="Gill Sans MT"/>
          <w:sz w:val="24"/>
          <w:szCs w:val="24"/>
        </w:rPr>
        <w:t>TJ programme</w:t>
      </w:r>
      <w:r w:rsidRPr="00FE3A70">
        <w:rPr>
          <w:rFonts w:ascii="Gill Sans MT" w:hAnsi="Gill Sans MT"/>
          <w:sz w:val="24"/>
          <w:szCs w:val="24"/>
        </w:rPr>
        <w:t>, promising a Truth and Reconciliation Commission in addition to amnesty for all that had participated in the conflict. The SLTRC would</w:t>
      </w:r>
    </w:p>
    <w:p w14:paraId="31433A15" w14:textId="77777777" w:rsidR="000F6FC6" w:rsidRPr="00FE3A70" w:rsidRDefault="000F6FC6" w:rsidP="000F6FC6">
      <w:pPr>
        <w:spacing w:after="0" w:line="480" w:lineRule="auto"/>
        <w:jc w:val="both"/>
        <w:rPr>
          <w:rFonts w:ascii="Gill Sans MT" w:hAnsi="Gill Sans MT"/>
          <w:sz w:val="24"/>
          <w:szCs w:val="24"/>
        </w:rPr>
      </w:pPr>
    </w:p>
    <w:p w14:paraId="7B17FD62" w14:textId="77777777" w:rsidR="000F6FC6" w:rsidRPr="00FE3A70" w:rsidRDefault="000F6FC6" w:rsidP="000F6FC6">
      <w:pPr>
        <w:spacing w:after="0" w:line="360" w:lineRule="auto"/>
        <w:ind w:left="567" w:right="663"/>
        <w:jc w:val="both"/>
        <w:rPr>
          <w:rFonts w:ascii="Gill Sans MT" w:hAnsi="Gill Sans MT"/>
          <w:sz w:val="24"/>
          <w:szCs w:val="24"/>
        </w:rPr>
      </w:pPr>
      <w:r w:rsidRPr="00FE3A70">
        <w:rPr>
          <w:rFonts w:ascii="Gill Sans MT" w:hAnsi="Gill Sans MT"/>
          <w:i/>
          <w:sz w:val="24"/>
          <w:szCs w:val="24"/>
        </w:rPr>
        <w:lastRenderedPageBreak/>
        <w:t>…address impunity, break the cycle of violence, provide a forum for both victims and the perpetrators of human rights violations to tell their story, and to get a clear picture of the past in order to facilitate healing and reconciliation.</w:t>
      </w:r>
      <w:r w:rsidRPr="00FE3A70">
        <w:rPr>
          <w:rStyle w:val="FootnoteReference"/>
          <w:rFonts w:ascii="Gill Sans MT" w:hAnsi="Gill Sans MT"/>
          <w:sz w:val="24"/>
          <w:szCs w:val="24"/>
        </w:rPr>
        <w:footnoteReference w:id="29"/>
      </w:r>
    </w:p>
    <w:p w14:paraId="62609CEC" w14:textId="77777777" w:rsidR="000F6FC6" w:rsidRPr="00FE3A70" w:rsidRDefault="000F6FC6" w:rsidP="000F6FC6">
      <w:pPr>
        <w:spacing w:after="120" w:line="480" w:lineRule="auto"/>
        <w:ind w:left="851" w:right="851"/>
        <w:jc w:val="both"/>
        <w:rPr>
          <w:rFonts w:ascii="Gill Sans MT" w:hAnsi="Gill Sans MT"/>
          <w:sz w:val="24"/>
          <w:szCs w:val="24"/>
        </w:rPr>
      </w:pPr>
    </w:p>
    <w:p w14:paraId="2F71018C"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Significantly, it was agreed that the SLTRC would include a mix of local and international staff, in an attempt to embed the commission firmly within Sierra Leonean civil society.</w:t>
      </w:r>
      <w:r w:rsidRPr="00FE3A70">
        <w:rPr>
          <w:rStyle w:val="FootnoteReference"/>
          <w:rFonts w:ascii="Gill Sans MT" w:hAnsi="Gill Sans MT"/>
          <w:sz w:val="24"/>
          <w:szCs w:val="24"/>
        </w:rPr>
        <w:footnoteReference w:id="30"/>
      </w:r>
      <w:r w:rsidRPr="00FE3A70">
        <w:rPr>
          <w:rFonts w:ascii="Gill Sans MT" w:hAnsi="Gill Sans MT"/>
          <w:sz w:val="24"/>
          <w:szCs w:val="24"/>
        </w:rPr>
        <w:t xml:space="preserve"> However, the Accord fell apart in 2000 as fighting </w:t>
      </w:r>
      <w:r>
        <w:rPr>
          <w:rFonts w:ascii="Gill Sans MT" w:hAnsi="Gill Sans MT"/>
          <w:sz w:val="24"/>
          <w:szCs w:val="24"/>
        </w:rPr>
        <w:t>restarted</w:t>
      </w:r>
      <w:r w:rsidRPr="00FE3A70">
        <w:rPr>
          <w:rFonts w:ascii="Gill Sans MT" w:hAnsi="Gill Sans MT"/>
          <w:sz w:val="24"/>
          <w:szCs w:val="24"/>
        </w:rPr>
        <w:t xml:space="preserve">, and the </w:t>
      </w:r>
      <w:r>
        <w:rPr>
          <w:rFonts w:ascii="Gill Sans MT" w:hAnsi="Gill Sans MT"/>
          <w:sz w:val="24"/>
          <w:szCs w:val="24"/>
        </w:rPr>
        <w:t>SL</w:t>
      </w:r>
      <w:r w:rsidRPr="00FE3A70">
        <w:rPr>
          <w:rFonts w:ascii="Gill Sans MT" w:hAnsi="Gill Sans MT"/>
          <w:sz w:val="24"/>
          <w:szCs w:val="24"/>
        </w:rPr>
        <w:t>TRC’s formal establishment was therefore postponed.</w:t>
      </w:r>
      <w:r w:rsidRPr="00FE3A70">
        <w:rPr>
          <w:rStyle w:val="FootnoteReference"/>
          <w:rFonts w:ascii="Gill Sans MT" w:hAnsi="Gill Sans MT"/>
          <w:sz w:val="24"/>
          <w:szCs w:val="24"/>
        </w:rPr>
        <w:footnoteReference w:id="31"/>
      </w:r>
      <w:r w:rsidRPr="00FE3A70">
        <w:rPr>
          <w:rFonts w:ascii="Gill Sans MT" w:hAnsi="Gill Sans MT"/>
          <w:sz w:val="24"/>
          <w:szCs w:val="24"/>
        </w:rPr>
        <w:t xml:space="preserve"> In May 2000, after </w:t>
      </w:r>
      <w:r>
        <w:rPr>
          <w:rFonts w:ascii="Gill Sans MT" w:hAnsi="Gill Sans MT"/>
          <w:sz w:val="24"/>
          <w:szCs w:val="24"/>
        </w:rPr>
        <w:t xml:space="preserve">the </w:t>
      </w:r>
      <w:r w:rsidRPr="00FE3A70">
        <w:rPr>
          <w:rFonts w:ascii="Gill Sans MT" w:hAnsi="Gill Sans MT"/>
          <w:sz w:val="24"/>
          <w:szCs w:val="24"/>
        </w:rPr>
        <w:t>RUF had captured 500 UN troops, President Kabbah requested UN support in order to establish a tribunal to hold perpetrators to account for crimes committed in the war.</w:t>
      </w:r>
      <w:r w:rsidRPr="00FE3A70">
        <w:rPr>
          <w:rStyle w:val="FootnoteReference"/>
          <w:rFonts w:ascii="Gill Sans MT" w:hAnsi="Gill Sans MT"/>
          <w:sz w:val="24"/>
          <w:szCs w:val="24"/>
        </w:rPr>
        <w:footnoteReference w:id="32"/>
      </w:r>
      <w:r w:rsidRPr="00FE3A70">
        <w:rPr>
          <w:rFonts w:ascii="Gill Sans MT" w:hAnsi="Gill Sans MT"/>
          <w:sz w:val="24"/>
          <w:szCs w:val="24"/>
        </w:rPr>
        <w:t xml:space="preserve"> Kabbah’s request resulted in </w:t>
      </w:r>
      <w:r>
        <w:rPr>
          <w:rFonts w:ascii="Gill Sans MT" w:hAnsi="Gill Sans MT"/>
          <w:sz w:val="24"/>
          <w:szCs w:val="24"/>
        </w:rPr>
        <w:t>the abandonment of</w:t>
      </w:r>
      <w:r w:rsidRPr="00FE3A70">
        <w:rPr>
          <w:rFonts w:ascii="Gill Sans MT" w:hAnsi="Gill Sans MT"/>
          <w:sz w:val="24"/>
          <w:szCs w:val="24"/>
        </w:rPr>
        <w:t xml:space="preserve"> the </w:t>
      </w:r>
      <w:r>
        <w:rPr>
          <w:rFonts w:ascii="Gill Sans MT" w:hAnsi="Gill Sans MT"/>
          <w:sz w:val="24"/>
          <w:szCs w:val="24"/>
        </w:rPr>
        <w:t xml:space="preserve">initial </w:t>
      </w:r>
      <w:r w:rsidRPr="00FE3A70">
        <w:rPr>
          <w:rFonts w:ascii="Gill Sans MT" w:hAnsi="Gill Sans MT"/>
          <w:sz w:val="24"/>
          <w:szCs w:val="24"/>
        </w:rPr>
        <w:t>amnesty agreement</w:t>
      </w:r>
      <w:r>
        <w:rPr>
          <w:rFonts w:ascii="Gill Sans MT" w:hAnsi="Gill Sans MT"/>
          <w:sz w:val="24"/>
          <w:szCs w:val="24"/>
        </w:rPr>
        <w:t>, allowing</w:t>
      </w:r>
      <w:r w:rsidRPr="00FE3A70">
        <w:rPr>
          <w:rFonts w:ascii="Gill Sans MT" w:hAnsi="Gill Sans MT"/>
          <w:sz w:val="24"/>
          <w:szCs w:val="24"/>
        </w:rPr>
        <w:t xml:space="preserve"> both for the prosecution of any person responsible for genocide, crimes against humanity, war crimes, and other serious violations of international law,</w:t>
      </w:r>
      <w:r w:rsidRPr="00FE3A70">
        <w:rPr>
          <w:rStyle w:val="FootnoteReference"/>
          <w:rFonts w:ascii="Gill Sans MT" w:hAnsi="Gill Sans MT"/>
          <w:sz w:val="24"/>
          <w:szCs w:val="24"/>
        </w:rPr>
        <w:footnoteReference w:id="33"/>
      </w:r>
      <w:r w:rsidRPr="00FE3A70">
        <w:rPr>
          <w:rFonts w:ascii="Gill Sans MT" w:hAnsi="Gill Sans MT"/>
          <w:sz w:val="24"/>
          <w:szCs w:val="24"/>
        </w:rPr>
        <w:t xml:space="preserve"> as well as for the creation of an international court, the Special Court for Sierra Leone [SCSL].</w:t>
      </w:r>
      <w:r w:rsidRPr="00FE3A70">
        <w:rPr>
          <w:rStyle w:val="FootnoteReference"/>
          <w:rFonts w:ascii="Gill Sans MT" w:hAnsi="Gill Sans MT"/>
          <w:sz w:val="24"/>
          <w:szCs w:val="24"/>
        </w:rPr>
        <w:footnoteReference w:id="34"/>
      </w:r>
      <w:r w:rsidRPr="00FE3A70">
        <w:rPr>
          <w:rFonts w:ascii="Gill Sans MT" w:hAnsi="Gill Sans MT"/>
          <w:sz w:val="24"/>
          <w:szCs w:val="24"/>
        </w:rPr>
        <w:t xml:space="preserve"> </w:t>
      </w:r>
    </w:p>
    <w:p w14:paraId="1D551C59"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t xml:space="preserve">These post-1999 developments had significant consequences for the SLTRC. First, the creation of the SCSL resulted in a shift in focus away from the SLTRC as the </w:t>
      </w:r>
      <w:r w:rsidRPr="00FE3A70">
        <w:rPr>
          <w:rFonts w:ascii="Gill Sans MT" w:hAnsi="Gill Sans MT"/>
          <w:sz w:val="24"/>
          <w:szCs w:val="24"/>
        </w:rPr>
        <w:lastRenderedPageBreak/>
        <w:t>primary instrument of post-conflict peacebuilding and justice.</w:t>
      </w:r>
      <w:r w:rsidRPr="00FE3A70">
        <w:rPr>
          <w:rStyle w:val="FootnoteReference"/>
          <w:rFonts w:ascii="Gill Sans MT" w:hAnsi="Gill Sans MT"/>
          <w:sz w:val="24"/>
          <w:szCs w:val="24"/>
        </w:rPr>
        <w:footnoteReference w:id="35"/>
      </w:r>
      <w:r w:rsidRPr="00FE3A70">
        <w:rPr>
          <w:rFonts w:ascii="Gill Sans MT" w:hAnsi="Gill Sans MT"/>
          <w:sz w:val="24"/>
          <w:szCs w:val="24"/>
        </w:rPr>
        <w:t xml:space="preserve"> This precipitated a dramatic reduction in the Commission’s funding, from $10million to $4.5million, leading in turn to severe staff shortages.</w:t>
      </w:r>
      <w:r w:rsidRPr="00FE3A70">
        <w:rPr>
          <w:rStyle w:val="FootnoteReference"/>
          <w:rFonts w:ascii="Gill Sans MT" w:hAnsi="Gill Sans MT"/>
          <w:sz w:val="24"/>
          <w:szCs w:val="24"/>
        </w:rPr>
        <w:footnoteReference w:id="36"/>
      </w:r>
      <w:r w:rsidRPr="00FE3A70">
        <w:rPr>
          <w:rFonts w:ascii="Gill Sans MT" w:hAnsi="Gill Sans MT"/>
          <w:sz w:val="24"/>
          <w:szCs w:val="24"/>
        </w:rPr>
        <w:t xml:space="preserve"> In the process, President Kabbah was emboldened to exert significant control over the Commission, appointing allies to a number of key positions.</w:t>
      </w:r>
      <w:r w:rsidRPr="00FE3A70">
        <w:rPr>
          <w:rStyle w:val="FootnoteReference"/>
          <w:rFonts w:ascii="Gill Sans MT" w:hAnsi="Gill Sans MT"/>
          <w:sz w:val="24"/>
          <w:szCs w:val="24"/>
        </w:rPr>
        <w:footnoteReference w:id="37"/>
      </w:r>
      <w:r w:rsidRPr="00FE3A70">
        <w:rPr>
          <w:rFonts w:ascii="Gill Sans MT" w:hAnsi="Gill Sans MT"/>
          <w:sz w:val="24"/>
          <w:szCs w:val="24"/>
        </w:rPr>
        <w:t xml:space="preserve"> In addition to the Commission’s precarious existential position within the post-conflict Sierra Leonean landscape, however, its outreach programmes faced </w:t>
      </w:r>
      <w:r>
        <w:rPr>
          <w:rFonts w:ascii="Gill Sans MT" w:hAnsi="Gill Sans MT"/>
          <w:sz w:val="24"/>
          <w:szCs w:val="24"/>
        </w:rPr>
        <w:t>a number of</w:t>
      </w:r>
      <w:r w:rsidRPr="00FE3A70">
        <w:rPr>
          <w:rFonts w:ascii="Gill Sans MT" w:hAnsi="Gill Sans MT"/>
          <w:sz w:val="24"/>
          <w:szCs w:val="24"/>
        </w:rPr>
        <w:t xml:space="preserve"> more practical difficulties</w:t>
      </w:r>
      <w:r>
        <w:rPr>
          <w:rFonts w:ascii="Gill Sans MT" w:hAnsi="Gill Sans MT"/>
          <w:sz w:val="24"/>
          <w:szCs w:val="24"/>
        </w:rPr>
        <w:t>. These included</w:t>
      </w:r>
      <w:r w:rsidRPr="00FE3A70">
        <w:rPr>
          <w:rFonts w:ascii="Gill Sans MT" w:hAnsi="Gill Sans MT"/>
          <w:sz w:val="24"/>
          <w:szCs w:val="24"/>
        </w:rPr>
        <w:t xml:space="preserve"> </w:t>
      </w:r>
      <w:r>
        <w:rPr>
          <w:rFonts w:ascii="Gill Sans MT" w:hAnsi="Gill Sans MT"/>
          <w:sz w:val="24"/>
          <w:szCs w:val="24"/>
        </w:rPr>
        <w:t xml:space="preserve">the </w:t>
      </w:r>
      <w:r w:rsidRPr="00FE3A70">
        <w:rPr>
          <w:rFonts w:ascii="Gill Sans MT" w:hAnsi="Gill Sans MT"/>
          <w:sz w:val="24"/>
          <w:szCs w:val="24"/>
        </w:rPr>
        <w:t>exceedingly low literacy levels</w:t>
      </w:r>
      <w:r>
        <w:rPr>
          <w:rFonts w:ascii="Gill Sans MT" w:hAnsi="Gill Sans MT"/>
          <w:sz w:val="24"/>
          <w:szCs w:val="24"/>
        </w:rPr>
        <w:t xml:space="preserve"> of Sierra Leone’s population, many of</w:t>
      </w:r>
      <w:r w:rsidRPr="00FE3A70">
        <w:rPr>
          <w:rFonts w:ascii="Gill Sans MT" w:hAnsi="Gill Sans MT"/>
          <w:sz w:val="24"/>
          <w:szCs w:val="24"/>
        </w:rPr>
        <w:t xml:space="preserve"> who</w:t>
      </w:r>
      <w:r>
        <w:rPr>
          <w:rFonts w:ascii="Gill Sans MT" w:hAnsi="Gill Sans MT"/>
          <w:sz w:val="24"/>
          <w:szCs w:val="24"/>
        </w:rPr>
        <w:t>m</w:t>
      </w:r>
      <w:r w:rsidRPr="00FE3A70">
        <w:rPr>
          <w:rFonts w:ascii="Gill Sans MT" w:hAnsi="Gill Sans MT"/>
          <w:sz w:val="24"/>
          <w:szCs w:val="24"/>
        </w:rPr>
        <w:t xml:space="preserve"> were largely unfamiliar with the SLTRC’s methods and goals</w:t>
      </w:r>
      <w:r>
        <w:rPr>
          <w:rFonts w:ascii="Gill Sans MT" w:hAnsi="Gill Sans MT"/>
          <w:sz w:val="24"/>
          <w:szCs w:val="24"/>
        </w:rPr>
        <w:t>.</w:t>
      </w:r>
      <w:r w:rsidRPr="00FE3A70">
        <w:rPr>
          <w:rStyle w:val="FootnoteReference"/>
          <w:rFonts w:ascii="Gill Sans MT" w:hAnsi="Gill Sans MT"/>
          <w:sz w:val="24"/>
          <w:szCs w:val="24"/>
        </w:rPr>
        <w:footnoteReference w:id="38"/>
      </w:r>
      <w:r>
        <w:rPr>
          <w:rFonts w:ascii="Gill Sans MT" w:hAnsi="Gill Sans MT"/>
          <w:sz w:val="24"/>
          <w:szCs w:val="24"/>
        </w:rPr>
        <w:t xml:space="preserve"> This problem was even more pronounced among </w:t>
      </w:r>
      <w:r w:rsidRPr="00FE3A70">
        <w:rPr>
          <w:rFonts w:ascii="Gill Sans MT" w:hAnsi="Gill Sans MT"/>
          <w:sz w:val="24"/>
          <w:szCs w:val="24"/>
        </w:rPr>
        <w:t>younger Sierra Leoneans, who had participated in the conflict in large numbers</w:t>
      </w:r>
      <w:r>
        <w:rPr>
          <w:rFonts w:ascii="Gill Sans MT" w:hAnsi="Gill Sans MT"/>
          <w:sz w:val="24"/>
          <w:szCs w:val="24"/>
        </w:rPr>
        <w:t xml:space="preserve"> and were therefore a key target audience</w:t>
      </w:r>
      <w:r w:rsidRPr="00FE3A70">
        <w:rPr>
          <w:rFonts w:ascii="Gill Sans MT" w:hAnsi="Gill Sans MT"/>
          <w:sz w:val="24"/>
          <w:szCs w:val="24"/>
        </w:rPr>
        <w:t>.</w:t>
      </w:r>
      <w:r w:rsidRPr="00FE3A70">
        <w:rPr>
          <w:rStyle w:val="FootnoteReference"/>
          <w:rFonts w:ascii="Gill Sans MT" w:hAnsi="Gill Sans MT"/>
          <w:sz w:val="24"/>
          <w:szCs w:val="24"/>
        </w:rPr>
        <w:footnoteReference w:id="39"/>
      </w:r>
      <w:r w:rsidRPr="00FE3A70">
        <w:rPr>
          <w:rFonts w:ascii="Gill Sans MT" w:hAnsi="Gill Sans MT"/>
          <w:sz w:val="24"/>
          <w:szCs w:val="24"/>
        </w:rPr>
        <w:t xml:space="preserve"> In </w:t>
      </w:r>
      <w:r>
        <w:rPr>
          <w:rFonts w:ascii="Gill Sans MT" w:hAnsi="Gill Sans MT"/>
          <w:sz w:val="24"/>
          <w:szCs w:val="24"/>
        </w:rPr>
        <w:t>order to respond</w:t>
      </w:r>
      <w:r w:rsidRPr="00FE3A70">
        <w:rPr>
          <w:rFonts w:ascii="Gill Sans MT" w:hAnsi="Gill Sans MT"/>
          <w:sz w:val="24"/>
          <w:szCs w:val="24"/>
        </w:rPr>
        <w:t xml:space="preserve"> to these challenges a German NGO called Ifa Zivik offered additional funds, and in the wake of this cash injection it was decided that a ‘Senior Secondary School Version’ of the SLTRC’s final report should be created, comprising a report summary and accompanying comic strip.</w:t>
      </w:r>
      <w:r w:rsidRPr="00FE3A70">
        <w:rPr>
          <w:rStyle w:val="FootnoteReference"/>
          <w:rFonts w:ascii="Gill Sans MT" w:hAnsi="Gill Sans MT"/>
          <w:sz w:val="24"/>
          <w:szCs w:val="24"/>
        </w:rPr>
        <w:footnoteReference w:id="40"/>
      </w:r>
      <w:r w:rsidRPr="00FE3A70">
        <w:rPr>
          <w:rFonts w:ascii="Gill Sans MT" w:hAnsi="Gill Sans MT"/>
          <w:sz w:val="24"/>
          <w:szCs w:val="24"/>
        </w:rPr>
        <w:t xml:space="preserve"> With this, </w:t>
      </w:r>
      <w:r w:rsidRPr="00FE3A70">
        <w:rPr>
          <w:rFonts w:ascii="Gill Sans MT" w:hAnsi="Gill Sans MT"/>
          <w:i/>
          <w:sz w:val="24"/>
          <w:szCs w:val="24"/>
        </w:rPr>
        <w:t xml:space="preserve">Sierrarat </w:t>
      </w:r>
      <w:r w:rsidRPr="00FE3A70">
        <w:rPr>
          <w:rFonts w:ascii="Gill Sans MT" w:hAnsi="Gill Sans MT"/>
          <w:sz w:val="24"/>
          <w:szCs w:val="24"/>
        </w:rPr>
        <w:lastRenderedPageBreak/>
        <w:t>became part of the SLTRC’s outreach efforts</w:t>
      </w:r>
      <w:r>
        <w:rPr>
          <w:rFonts w:ascii="Gill Sans MT" w:hAnsi="Gill Sans MT"/>
          <w:sz w:val="24"/>
          <w:szCs w:val="24"/>
        </w:rPr>
        <w:t>, in which capacity it was distributed around Sierra Leonean secondary schools</w:t>
      </w:r>
      <w:r w:rsidRPr="00FE3A70">
        <w:rPr>
          <w:rFonts w:ascii="Gill Sans MT" w:hAnsi="Gill Sans MT"/>
          <w:sz w:val="24"/>
          <w:szCs w:val="24"/>
        </w:rPr>
        <w:t xml:space="preserve">. The following section will bring the comic into dialogue with another, from which it took significant formal and representational cues: Art Spiegelman’s </w:t>
      </w:r>
      <w:r w:rsidRPr="00FE3A70">
        <w:rPr>
          <w:rFonts w:ascii="Gill Sans MT" w:hAnsi="Gill Sans MT"/>
          <w:i/>
          <w:sz w:val="24"/>
          <w:szCs w:val="24"/>
        </w:rPr>
        <w:t>Maus</w:t>
      </w:r>
      <w:r w:rsidRPr="00FE3A70">
        <w:rPr>
          <w:rFonts w:ascii="Gill Sans MT" w:hAnsi="Gill Sans MT"/>
          <w:sz w:val="24"/>
          <w:szCs w:val="24"/>
        </w:rPr>
        <w:t>.</w:t>
      </w:r>
    </w:p>
    <w:p w14:paraId="652D368E"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r>
    </w:p>
    <w:p w14:paraId="1292D695" w14:textId="77777777" w:rsidR="000F6FC6" w:rsidRPr="00FE3A70" w:rsidRDefault="000F6FC6" w:rsidP="000F6FC6">
      <w:pPr>
        <w:spacing w:after="0" w:line="480" w:lineRule="auto"/>
        <w:jc w:val="both"/>
        <w:rPr>
          <w:rFonts w:ascii="Gill Sans MT" w:hAnsi="Gill Sans MT"/>
          <w:sz w:val="24"/>
          <w:szCs w:val="24"/>
        </w:rPr>
      </w:pPr>
    </w:p>
    <w:p w14:paraId="263EC24F" w14:textId="77777777" w:rsidR="000F6FC6" w:rsidRPr="00FE3A70" w:rsidRDefault="000F6FC6" w:rsidP="000F6FC6">
      <w:pPr>
        <w:spacing w:after="0" w:line="240" w:lineRule="auto"/>
        <w:jc w:val="both"/>
        <w:rPr>
          <w:rFonts w:ascii="Gill Sans MT" w:hAnsi="Gill Sans MT"/>
          <w:sz w:val="24"/>
          <w:szCs w:val="24"/>
        </w:rPr>
      </w:pPr>
      <w:r w:rsidRPr="00FE3A70">
        <w:rPr>
          <w:rFonts w:ascii="Gill Sans MT" w:hAnsi="Gill Sans MT"/>
          <w:sz w:val="24"/>
          <w:szCs w:val="24"/>
        </w:rPr>
        <w:t xml:space="preserve">THE POLITICS OF TRUTH AND RECONCILIATION IN POST-CONFLICT COMICS: </w:t>
      </w:r>
      <w:r w:rsidRPr="00FE3A70">
        <w:rPr>
          <w:rFonts w:ascii="Gill Sans MT" w:hAnsi="Gill Sans MT"/>
          <w:i/>
          <w:sz w:val="24"/>
          <w:szCs w:val="24"/>
        </w:rPr>
        <w:t>SIERRARAT</w:t>
      </w:r>
      <w:r w:rsidRPr="00FE3A70">
        <w:rPr>
          <w:rFonts w:ascii="Gill Sans MT" w:hAnsi="Gill Sans MT"/>
          <w:sz w:val="24"/>
          <w:szCs w:val="24"/>
        </w:rPr>
        <w:t xml:space="preserve"> AND </w:t>
      </w:r>
      <w:r w:rsidRPr="00FE3A70">
        <w:rPr>
          <w:rFonts w:ascii="Gill Sans MT" w:hAnsi="Gill Sans MT"/>
          <w:i/>
          <w:sz w:val="24"/>
          <w:szCs w:val="24"/>
        </w:rPr>
        <w:t>MAUS</w:t>
      </w:r>
    </w:p>
    <w:p w14:paraId="50B122AC" w14:textId="77777777" w:rsidR="000F6FC6" w:rsidRPr="00FE3A70" w:rsidRDefault="000F6FC6" w:rsidP="000F6FC6">
      <w:pPr>
        <w:spacing w:after="0" w:line="480" w:lineRule="auto"/>
        <w:jc w:val="both"/>
        <w:rPr>
          <w:rFonts w:ascii="Gill Sans MT" w:hAnsi="Gill Sans MT"/>
          <w:sz w:val="24"/>
          <w:szCs w:val="24"/>
        </w:rPr>
      </w:pPr>
    </w:p>
    <w:p w14:paraId="368BEF63" w14:textId="77777777" w:rsidR="000F6FC6" w:rsidRPr="00FE3A70" w:rsidRDefault="000F6FC6" w:rsidP="000F6FC6">
      <w:pPr>
        <w:spacing w:after="0" w:line="480" w:lineRule="auto"/>
        <w:jc w:val="both"/>
        <w:rPr>
          <w:rFonts w:ascii="Gill Sans MT" w:hAnsi="Gill Sans MT"/>
          <w:sz w:val="24"/>
          <w:szCs w:val="24"/>
        </w:rPr>
      </w:pPr>
      <w:r w:rsidRPr="00522B85">
        <w:rPr>
          <w:rFonts w:ascii="Gill Sans MT" w:hAnsi="Gill Sans MT"/>
          <w:sz w:val="24"/>
          <w:szCs w:val="24"/>
        </w:rPr>
        <w:t>In this section, we offer a comparative analysis of two post-conflict comics that adopt almost identical representational strategies, but in very d</w:t>
      </w:r>
      <w:r w:rsidRPr="00FE3A70">
        <w:rPr>
          <w:rFonts w:ascii="Gill Sans MT" w:hAnsi="Gill Sans MT"/>
          <w:sz w:val="24"/>
          <w:szCs w:val="24"/>
        </w:rPr>
        <w:t xml:space="preserve">ifferent contexts and to very different political ends. In bringing them into dialogue with each other, we seek to examine the ways in which each comic produces and projects a particular, meaningful understanding of truth, reconciliation and the processes through which they might be achieved. This facilitates our evaluation </w:t>
      </w:r>
      <w:r>
        <w:rPr>
          <w:rFonts w:ascii="Gill Sans MT" w:hAnsi="Gill Sans MT"/>
          <w:sz w:val="24"/>
          <w:szCs w:val="24"/>
        </w:rPr>
        <w:t>of the visual politics of truth and reconciliation, the possibilities and limits of the comics medium as a means of exploring these concepts, and the interaction between these aesthetic possibilities and the outreach efforts of TJ programmes.</w:t>
      </w:r>
    </w:p>
    <w:p w14:paraId="316B66B5"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t>The Senior Secondary School Version [</w:t>
      </w:r>
      <w:r w:rsidRPr="00FE3A70">
        <w:rPr>
          <w:rFonts w:ascii="Gill Sans MT" w:hAnsi="Gill Sans MT"/>
          <w:i/>
          <w:sz w:val="24"/>
          <w:szCs w:val="24"/>
        </w:rPr>
        <w:t>SSSV</w:t>
      </w:r>
      <w:r w:rsidRPr="00FE3A70">
        <w:rPr>
          <w:rFonts w:ascii="Gill Sans MT" w:hAnsi="Gill Sans MT"/>
          <w:sz w:val="24"/>
          <w:szCs w:val="24"/>
        </w:rPr>
        <w:t xml:space="preserve">] of which </w:t>
      </w:r>
      <w:r w:rsidRPr="00FE3A70">
        <w:rPr>
          <w:rFonts w:ascii="Gill Sans MT" w:hAnsi="Gill Sans MT"/>
          <w:i/>
          <w:sz w:val="24"/>
          <w:szCs w:val="24"/>
        </w:rPr>
        <w:t>Sierrarat</w:t>
      </w:r>
      <w:r w:rsidRPr="00FE3A70">
        <w:rPr>
          <w:rFonts w:ascii="Gill Sans MT" w:hAnsi="Gill Sans MT"/>
          <w:sz w:val="24"/>
          <w:szCs w:val="24"/>
        </w:rPr>
        <w:t xml:space="preserve"> was an important part was intended both to condense the SLTRC Report’s eight thousand pages into a more manageable size as well as to simplify its message and style whenever it was </w:t>
      </w:r>
      <w:r w:rsidRPr="00FE3A70">
        <w:rPr>
          <w:rFonts w:ascii="Gill Sans MT" w:hAnsi="Gill Sans MT"/>
          <w:sz w:val="24"/>
          <w:szCs w:val="24"/>
        </w:rPr>
        <w:lastRenderedPageBreak/>
        <w:t>considered to be ‘above the level of its target audience’.</w:t>
      </w:r>
      <w:r w:rsidRPr="00FE3A70">
        <w:rPr>
          <w:rStyle w:val="FootnoteReference"/>
          <w:rFonts w:ascii="Gill Sans MT" w:hAnsi="Gill Sans MT"/>
          <w:sz w:val="24"/>
          <w:szCs w:val="24"/>
        </w:rPr>
        <w:footnoteReference w:id="41"/>
      </w:r>
      <w:r w:rsidRPr="00FE3A70">
        <w:rPr>
          <w:rFonts w:ascii="Gill Sans MT" w:hAnsi="Gill Sans MT"/>
          <w:sz w:val="24"/>
          <w:szCs w:val="24"/>
        </w:rPr>
        <w:t xml:space="preserve"> Although split into separate segments accompanying each of the </w:t>
      </w:r>
      <w:r w:rsidRPr="00FE3A70">
        <w:rPr>
          <w:rFonts w:ascii="Gill Sans MT" w:hAnsi="Gill Sans MT"/>
          <w:i/>
          <w:sz w:val="24"/>
          <w:szCs w:val="24"/>
        </w:rPr>
        <w:t>SSSV</w:t>
      </w:r>
      <w:r w:rsidRPr="00FE3A70">
        <w:rPr>
          <w:rFonts w:ascii="Gill Sans MT" w:hAnsi="Gill Sans MT"/>
          <w:sz w:val="24"/>
          <w:szCs w:val="24"/>
        </w:rPr>
        <w:t xml:space="preserve">’s eight chapters, </w:t>
      </w:r>
      <w:r w:rsidRPr="00FE3A70">
        <w:rPr>
          <w:rFonts w:ascii="Gill Sans MT" w:hAnsi="Gill Sans MT"/>
          <w:i/>
          <w:sz w:val="24"/>
          <w:szCs w:val="24"/>
        </w:rPr>
        <w:t>Sierrarat</w:t>
      </w:r>
      <w:r w:rsidRPr="00FE3A70">
        <w:rPr>
          <w:rFonts w:ascii="Gill Sans MT" w:hAnsi="Gill Sans MT"/>
          <w:sz w:val="24"/>
          <w:szCs w:val="24"/>
        </w:rPr>
        <w:t xml:space="preserve"> was nevertheless intended to function as an initial access point to the text as a whole: ‘It is hoped that the cartoon stories will not only make exciting reading for the student, but also arouse their curiosity about the </w:t>
      </w:r>
      <w:r w:rsidRPr="00FE3A70">
        <w:rPr>
          <w:rFonts w:ascii="Gill Sans MT" w:hAnsi="Gill Sans MT"/>
          <w:i/>
          <w:sz w:val="24"/>
          <w:szCs w:val="24"/>
        </w:rPr>
        <w:t>SSSV</w:t>
      </w:r>
      <w:r w:rsidRPr="00FE3A70">
        <w:rPr>
          <w:rFonts w:ascii="Gill Sans MT" w:hAnsi="Gill Sans MT"/>
          <w:sz w:val="24"/>
          <w:szCs w:val="24"/>
        </w:rPr>
        <w:t xml:space="preserve"> text and motivate them to read it’.</w:t>
      </w:r>
      <w:r w:rsidRPr="00FE3A70">
        <w:rPr>
          <w:rStyle w:val="FootnoteReference"/>
          <w:rFonts w:ascii="Gill Sans MT" w:hAnsi="Gill Sans MT"/>
          <w:sz w:val="24"/>
          <w:szCs w:val="24"/>
        </w:rPr>
        <w:footnoteReference w:id="42"/>
      </w:r>
      <w:r w:rsidRPr="00FE3A70">
        <w:rPr>
          <w:rFonts w:ascii="Gill Sans MT" w:hAnsi="Gill Sans MT"/>
          <w:sz w:val="24"/>
          <w:szCs w:val="24"/>
        </w:rPr>
        <w:t xml:space="preserve"> The comic tells of a civil war in ‘Sierrarat’, and explores the aftermath of the conflict, in which figures such as ‘Ratoldman’, ‘Ratpapa’, ‘Ratabu’ and ‘Ratchild’ come to terms with the effects of the </w:t>
      </w:r>
      <w:r>
        <w:rPr>
          <w:rFonts w:ascii="Gill Sans MT" w:hAnsi="Gill Sans MT"/>
          <w:sz w:val="24"/>
          <w:szCs w:val="24"/>
        </w:rPr>
        <w:t>violence</w:t>
      </w:r>
      <w:r w:rsidRPr="00FE3A70">
        <w:rPr>
          <w:rFonts w:ascii="Gill Sans MT" w:hAnsi="Gill Sans MT"/>
          <w:sz w:val="24"/>
          <w:szCs w:val="24"/>
        </w:rPr>
        <w:t xml:space="preserve"> </w:t>
      </w:r>
      <w:r>
        <w:rPr>
          <w:rFonts w:ascii="Gill Sans MT" w:hAnsi="Gill Sans MT"/>
          <w:sz w:val="24"/>
          <w:szCs w:val="24"/>
        </w:rPr>
        <w:t>(</w:t>
      </w:r>
      <w:r w:rsidRPr="00FE3A70">
        <w:rPr>
          <w:rFonts w:ascii="Gill Sans MT" w:hAnsi="Gill Sans MT"/>
          <w:sz w:val="24"/>
          <w:szCs w:val="24"/>
        </w:rPr>
        <w:t>and their own participation in it</w:t>
      </w:r>
      <w:r>
        <w:rPr>
          <w:rFonts w:ascii="Gill Sans MT" w:hAnsi="Gill Sans MT"/>
          <w:sz w:val="24"/>
          <w:szCs w:val="24"/>
        </w:rPr>
        <w:t>) with the help of the newly-created Truth and Reconciliation Commission</w:t>
      </w:r>
      <w:r w:rsidRPr="00FE3A70">
        <w:rPr>
          <w:rFonts w:ascii="Gill Sans MT" w:hAnsi="Gill Sans MT"/>
          <w:sz w:val="24"/>
          <w:szCs w:val="24"/>
        </w:rPr>
        <w:t>.</w:t>
      </w:r>
    </w:p>
    <w:p w14:paraId="004FFB02" w14:textId="1279766B"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r>
      <w:r w:rsidRPr="00FE3A70">
        <w:rPr>
          <w:rFonts w:ascii="Gill Sans MT" w:hAnsi="Gill Sans MT"/>
          <w:i/>
          <w:sz w:val="24"/>
          <w:szCs w:val="24"/>
        </w:rPr>
        <w:t>Maus</w:t>
      </w:r>
      <w:r w:rsidRPr="00FE3A70">
        <w:rPr>
          <w:rFonts w:ascii="Gill Sans MT" w:hAnsi="Gill Sans MT"/>
          <w:sz w:val="24"/>
          <w:szCs w:val="24"/>
        </w:rPr>
        <w:t xml:space="preserve"> is a graphic ‘novel’</w:t>
      </w:r>
      <w:r w:rsidRPr="00FE3A70">
        <w:rPr>
          <w:rStyle w:val="FootnoteReference"/>
          <w:rFonts w:ascii="Gill Sans MT" w:hAnsi="Gill Sans MT"/>
          <w:sz w:val="24"/>
          <w:szCs w:val="24"/>
        </w:rPr>
        <w:footnoteReference w:id="43"/>
      </w:r>
      <w:r w:rsidRPr="00FE3A70">
        <w:rPr>
          <w:rFonts w:ascii="Gill Sans MT" w:hAnsi="Gill Sans MT"/>
          <w:sz w:val="24"/>
          <w:szCs w:val="24"/>
        </w:rPr>
        <w:t xml:space="preserve"> conceived and </w:t>
      </w:r>
      <w:r w:rsidR="003A3BB7">
        <w:rPr>
          <w:rFonts w:ascii="Gill Sans MT" w:hAnsi="Gill Sans MT"/>
          <w:sz w:val="24"/>
          <w:szCs w:val="24"/>
        </w:rPr>
        <w:t>created</w:t>
      </w:r>
      <w:r w:rsidRPr="00FE3A70">
        <w:rPr>
          <w:rFonts w:ascii="Gill Sans MT" w:hAnsi="Gill Sans MT"/>
          <w:sz w:val="24"/>
          <w:szCs w:val="24"/>
        </w:rPr>
        <w:t xml:space="preserve"> by Art Spiegelman over a twenty year period beginning in the early 1970s, and commercially published in two instalments in 1986 and 1991.</w:t>
      </w:r>
      <w:r w:rsidRPr="00FE3A70">
        <w:rPr>
          <w:rStyle w:val="FootnoteReference"/>
          <w:rFonts w:ascii="Gill Sans MT" w:hAnsi="Gill Sans MT"/>
          <w:sz w:val="24"/>
          <w:szCs w:val="24"/>
        </w:rPr>
        <w:footnoteReference w:id="44"/>
      </w:r>
      <w:r w:rsidRPr="00FE3A70">
        <w:rPr>
          <w:rFonts w:ascii="Gill Sans MT" w:hAnsi="Gill Sans MT"/>
          <w:sz w:val="24"/>
          <w:szCs w:val="24"/>
        </w:rPr>
        <w:t xml:space="preserve"> I</w:t>
      </w:r>
      <w:r>
        <w:rPr>
          <w:rFonts w:ascii="Gill Sans MT" w:hAnsi="Gill Sans MT"/>
          <w:sz w:val="24"/>
          <w:szCs w:val="24"/>
        </w:rPr>
        <w:t xml:space="preserve">t is focused around </w:t>
      </w:r>
      <w:r w:rsidRPr="00FE3A70">
        <w:rPr>
          <w:rFonts w:ascii="Gill Sans MT" w:hAnsi="Gill Sans MT"/>
          <w:sz w:val="24"/>
          <w:szCs w:val="24"/>
        </w:rPr>
        <w:t>Spiegelman’s Polish-Jewish parents’ experiences in</w:t>
      </w:r>
      <w:r>
        <w:rPr>
          <w:rFonts w:ascii="Gill Sans MT" w:hAnsi="Gill Sans MT"/>
          <w:sz w:val="24"/>
          <w:szCs w:val="24"/>
        </w:rPr>
        <w:t xml:space="preserve"> the Second World War, during which both were </w:t>
      </w:r>
      <w:r w:rsidR="0058617D">
        <w:rPr>
          <w:rFonts w:ascii="Gill Sans MT" w:hAnsi="Gill Sans MT"/>
          <w:sz w:val="24"/>
          <w:szCs w:val="24"/>
        </w:rPr>
        <w:t xml:space="preserve">transported to and </w:t>
      </w:r>
      <w:r>
        <w:rPr>
          <w:rFonts w:ascii="Gill Sans MT" w:hAnsi="Gill Sans MT"/>
          <w:sz w:val="24"/>
          <w:szCs w:val="24"/>
        </w:rPr>
        <w:t xml:space="preserve">detained in </w:t>
      </w:r>
      <w:r>
        <w:rPr>
          <w:rFonts w:ascii="Gill Sans MT" w:hAnsi="Gill Sans MT"/>
          <w:sz w:val="24"/>
          <w:szCs w:val="24"/>
        </w:rPr>
        <w:lastRenderedPageBreak/>
        <w:t>Auschwitz</w:t>
      </w:r>
      <w:r w:rsidRPr="00FE3A70">
        <w:rPr>
          <w:rFonts w:ascii="Gill Sans MT" w:hAnsi="Gill Sans MT"/>
          <w:sz w:val="24"/>
          <w:szCs w:val="24"/>
        </w:rPr>
        <w:t>.</w:t>
      </w:r>
      <w:r w:rsidRPr="006F31B4">
        <w:rPr>
          <w:rStyle w:val="FootnoteReference"/>
          <w:rFonts w:ascii="Gill Sans MT" w:hAnsi="Gill Sans MT"/>
          <w:b/>
          <w:sz w:val="24"/>
          <w:szCs w:val="24"/>
        </w:rPr>
        <w:footnoteReference w:id="45"/>
      </w:r>
      <w:r w:rsidRPr="00FE3A70">
        <w:rPr>
          <w:rFonts w:ascii="Gill Sans MT" w:hAnsi="Gill Sans MT"/>
          <w:sz w:val="24"/>
          <w:szCs w:val="24"/>
        </w:rPr>
        <w:t xml:space="preserve"> Yet in addition to telling their story, </w:t>
      </w:r>
      <w:r w:rsidRPr="00FE3A70">
        <w:rPr>
          <w:rFonts w:ascii="Gill Sans MT" w:hAnsi="Gill Sans MT"/>
          <w:i/>
          <w:sz w:val="24"/>
          <w:szCs w:val="24"/>
        </w:rPr>
        <w:t>Maus</w:t>
      </w:r>
      <w:r w:rsidRPr="00FE3A70">
        <w:rPr>
          <w:rFonts w:ascii="Gill Sans MT" w:hAnsi="Gill Sans MT"/>
          <w:sz w:val="24"/>
          <w:szCs w:val="24"/>
        </w:rPr>
        <w:t xml:space="preserve"> also seeks to tell Spiegelman’s own</w:t>
      </w:r>
      <w:r>
        <w:rPr>
          <w:rFonts w:ascii="Gill Sans MT" w:hAnsi="Gill Sans MT"/>
          <w:sz w:val="24"/>
          <w:szCs w:val="24"/>
        </w:rPr>
        <w:t>,</w:t>
      </w:r>
      <w:r w:rsidRPr="005A181C">
        <w:rPr>
          <w:rFonts w:ascii="Gill Sans MT" w:hAnsi="Gill Sans MT"/>
          <w:sz w:val="24"/>
          <w:szCs w:val="24"/>
        </w:rPr>
        <w:t xml:space="preserve"> </w:t>
      </w:r>
      <w:r w:rsidRPr="00FE3A70">
        <w:rPr>
          <w:rFonts w:ascii="Gill Sans MT" w:hAnsi="Gill Sans MT"/>
          <w:sz w:val="24"/>
          <w:szCs w:val="24"/>
        </w:rPr>
        <w:t>as he tries to access and understand a constellation of events that he did not experience directly, but that have nevertheless profoundly shaped hi</w:t>
      </w:r>
      <w:r w:rsidRPr="000A1435">
        <w:rPr>
          <w:rFonts w:ascii="Gill Sans MT" w:hAnsi="Gill Sans MT"/>
          <w:sz w:val="24"/>
          <w:szCs w:val="24"/>
        </w:rPr>
        <w:t>m.</w:t>
      </w:r>
      <w:r w:rsidRPr="00FE3A70">
        <w:rPr>
          <w:rFonts w:ascii="Gill Sans MT" w:hAnsi="Gill Sans MT"/>
          <w:sz w:val="24"/>
          <w:szCs w:val="24"/>
        </w:rPr>
        <w:t xml:space="preserve"> </w:t>
      </w:r>
      <w:r>
        <w:rPr>
          <w:rFonts w:ascii="Gill Sans MT" w:hAnsi="Gill Sans MT"/>
          <w:i/>
          <w:sz w:val="24"/>
          <w:szCs w:val="24"/>
        </w:rPr>
        <w:t>Maus</w:t>
      </w:r>
      <w:r w:rsidRPr="00FE3A70">
        <w:rPr>
          <w:rFonts w:ascii="Gill Sans MT" w:hAnsi="Gill Sans MT"/>
          <w:sz w:val="24"/>
          <w:szCs w:val="24"/>
        </w:rPr>
        <w:t xml:space="preserve"> is not just a survivors’ tale, </w:t>
      </w:r>
      <w:r>
        <w:rPr>
          <w:rFonts w:ascii="Gill Sans MT" w:hAnsi="Gill Sans MT"/>
          <w:sz w:val="24"/>
          <w:szCs w:val="24"/>
        </w:rPr>
        <w:t>then</w:t>
      </w:r>
      <w:r w:rsidRPr="00FE3A70">
        <w:rPr>
          <w:rFonts w:ascii="Gill Sans MT" w:hAnsi="Gill Sans MT"/>
          <w:sz w:val="24"/>
          <w:szCs w:val="24"/>
        </w:rPr>
        <w:t xml:space="preserve">, but also a </w:t>
      </w:r>
      <w:r w:rsidRPr="00FE3A70">
        <w:rPr>
          <w:rFonts w:ascii="Gill Sans MT" w:hAnsi="Gill Sans MT"/>
          <w:i/>
          <w:sz w:val="24"/>
          <w:szCs w:val="24"/>
        </w:rPr>
        <w:t>child-of-survivors</w:t>
      </w:r>
      <w:r w:rsidRPr="00FE3A70">
        <w:rPr>
          <w:rFonts w:ascii="Gill Sans MT" w:hAnsi="Gill Sans MT"/>
          <w:sz w:val="24"/>
          <w:szCs w:val="24"/>
        </w:rPr>
        <w:t>’ tale</w:t>
      </w:r>
      <w:r>
        <w:rPr>
          <w:rFonts w:ascii="Gill Sans MT" w:hAnsi="Gill Sans MT"/>
          <w:sz w:val="24"/>
          <w:szCs w:val="24"/>
        </w:rPr>
        <w:t>. It is for this reason that it has become a key text for scholars interested in the social construction of memory across generations; what Marianne Hirsch has called ‘post-memory’</w:t>
      </w:r>
      <w:r w:rsidRPr="00FE3A70">
        <w:rPr>
          <w:rFonts w:ascii="Gill Sans MT" w:hAnsi="Gill Sans MT"/>
          <w:sz w:val="24"/>
          <w:szCs w:val="24"/>
        </w:rPr>
        <w:t>.</w:t>
      </w:r>
      <w:r w:rsidRPr="00FE3A70">
        <w:rPr>
          <w:rStyle w:val="FootnoteReference"/>
          <w:rFonts w:ascii="Gill Sans MT" w:hAnsi="Gill Sans MT"/>
          <w:sz w:val="24"/>
          <w:szCs w:val="24"/>
        </w:rPr>
        <w:footnoteReference w:id="46"/>
      </w:r>
      <w:r w:rsidRPr="00FE3A70">
        <w:rPr>
          <w:rFonts w:ascii="Gill Sans MT" w:hAnsi="Gill Sans MT"/>
          <w:sz w:val="24"/>
          <w:szCs w:val="24"/>
        </w:rPr>
        <w:t xml:space="preserve"> </w:t>
      </w:r>
      <w:r>
        <w:rPr>
          <w:rFonts w:ascii="Gill Sans MT" w:hAnsi="Gill Sans MT"/>
          <w:sz w:val="24"/>
          <w:szCs w:val="24"/>
        </w:rPr>
        <w:t xml:space="preserve">As James Young has observed, </w:t>
      </w:r>
      <w:r w:rsidRPr="00D841E6">
        <w:rPr>
          <w:rFonts w:ascii="Gill Sans MT" w:hAnsi="Gill Sans MT"/>
          <w:i/>
          <w:sz w:val="24"/>
          <w:szCs w:val="24"/>
        </w:rPr>
        <w:t>Maus</w:t>
      </w:r>
      <w:r>
        <w:rPr>
          <w:rFonts w:ascii="Gill Sans MT" w:hAnsi="Gill Sans MT"/>
          <w:sz w:val="24"/>
          <w:szCs w:val="24"/>
        </w:rPr>
        <w:t>’ narrative</w:t>
      </w:r>
      <w:r>
        <w:rPr>
          <w:rFonts w:ascii="Gill Sans MT" w:hAnsi="Gill Sans MT"/>
          <w:i/>
          <w:sz w:val="24"/>
          <w:szCs w:val="24"/>
        </w:rPr>
        <w:t xml:space="preserve"> </w:t>
      </w:r>
      <w:r>
        <w:rPr>
          <w:rFonts w:ascii="Gill Sans MT" w:hAnsi="Gill Sans MT"/>
          <w:sz w:val="24"/>
          <w:szCs w:val="24"/>
        </w:rPr>
        <w:t>‘interweaves both events of the Holocaust and the ways they are passed down to us’, encouraging reflection not only on the events being remembered, but also on the memorialising process itself.</w:t>
      </w:r>
      <w:r>
        <w:rPr>
          <w:rStyle w:val="FootnoteReference"/>
          <w:rFonts w:ascii="Gill Sans MT" w:hAnsi="Gill Sans MT"/>
          <w:sz w:val="24"/>
          <w:szCs w:val="24"/>
        </w:rPr>
        <w:footnoteReference w:id="47"/>
      </w:r>
      <w:r>
        <w:rPr>
          <w:rFonts w:ascii="Gill Sans MT" w:hAnsi="Gill Sans MT"/>
          <w:sz w:val="24"/>
          <w:szCs w:val="24"/>
        </w:rPr>
        <w:t xml:space="preserve"> Crucially, for Young as for many other commentators, the ambiguity of </w:t>
      </w:r>
      <w:r>
        <w:rPr>
          <w:rFonts w:ascii="Gill Sans MT" w:hAnsi="Gill Sans MT"/>
          <w:i/>
          <w:sz w:val="24"/>
          <w:szCs w:val="24"/>
        </w:rPr>
        <w:t>Maus</w:t>
      </w:r>
      <w:r>
        <w:rPr>
          <w:rFonts w:ascii="Gill Sans MT" w:hAnsi="Gill Sans MT"/>
          <w:sz w:val="24"/>
          <w:szCs w:val="24"/>
        </w:rPr>
        <w:t>’ narrative style is inextricable from the fragmented (or fragmentable) sequentiality of its medium.</w:t>
      </w:r>
      <w:r>
        <w:rPr>
          <w:rStyle w:val="FootnoteReference"/>
          <w:rFonts w:ascii="Gill Sans MT" w:hAnsi="Gill Sans MT"/>
          <w:sz w:val="24"/>
          <w:szCs w:val="24"/>
        </w:rPr>
        <w:footnoteReference w:id="48"/>
      </w:r>
      <w:r>
        <w:rPr>
          <w:rFonts w:ascii="Gill Sans MT" w:hAnsi="Gill Sans MT"/>
          <w:sz w:val="24"/>
          <w:szCs w:val="24"/>
        </w:rPr>
        <w:t xml:space="preserve"> It is for this reason that it is an ideal site – despite its dislocation from any formal TJ mechanism – from which to assess the possibilities afforded by comics in relation to peace and conflict.</w:t>
      </w:r>
    </w:p>
    <w:p w14:paraId="175D399F" w14:textId="72F96EB3" w:rsidR="000F6FC6" w:rsidRDefault="000F6FC6" w:rsidP="000F6FC6">
      <w:pPr>
        <w:spacing w:after="0" w:line="480" w:lineRule="auto"/>
        <w:ind w:firstLine="720"/>
        <w:jc w:val="both"/>
        <w:rPr>
          <w:rFonts w:ascii="Gill Sans MT" w:hAnsi="Gill Sans MT"/>
          <w:sz w:val="24"/>
          <w:szCs w:val="24"/>
        </w:rPr>
      </w:pPr>
      <w:r>
        <w:rPr>
          <w:rFonts w:ascii="Gill Sans MT" w:hAnsi="Gill Sans MT"/>
          <w:sz w:val="24"/>
          <w:szCs w:val="24"/>
        </w:rPr>
        <w:lastRenderedPageBreak/>
        <w:t xml:space="preserve">Both </w:t>
      </w:r>
      <w:r>
        <w:rPr>
          <w:rFonts w:ascii="Gill Sans MT" w:hAnsi="Gill Sans MT"/>
          <w:i/>
          <w:sz w:val="24"/>
          <w:szCs w:val="24"/>
        </w:rPr>
        <w:t>Sierrarat</w:t>
      </w:r>
      <w:r>
        <w:rPr>
          <w:rFonts w:ascii="Gill Sans MT" w:hAnsi="Gill Sans MT"/>
          <w:sz w:val="24"/>
          <w:szCs w:val="24"/>
        </w:rPr>
        <w:t xml:space="preserve"> and </w:t>
      </w:r>
      <w:r>
        <w:rPr>
          <w:rFonts w:ascii="Gill Sans MT" w:hAnsi="Gill Sans MT"/>
          <w:i/>
          <w:sz w:val="24"/>
          <w:szCs w:val="24"/>
        </w:rPr>
        <w:t>Maus</w:t>
      </w:r>
      <w:r w:rsidRPr="00FE3A70">
        <w:rPr>
          <w:rFonts w:ascii="Gill Sans MT" w:hAnsi="Gill Sans MT"/>
          <w:sz w:val="24"/>
          <w:szCs w:val="24"/>
        </w:rPr>
        <w:t xml:space="preserve"> concern themselves with periods of </w:t>
      </w:r>
      <w:r>
        <w:rPr>
          <w:rFonts w:ascii="Gill Sans MT" w:hAnsi="Gill Sans MT"/>
          <w:sz w:val="24"/>
          <w:szCs w:val="24"/>
        </w:rPr>
        <w:t>extreme, systemic violence</w:t>
      </w:r>
      <w:r w:rsidRPr="00FE3A70">
        <w:rPr>
          <w:rFonts w:ascii="Gill Sans MT" w:hAnsi="Gill Sans MT"/>
          <w:sz w:val="24"/>
          <w:szCs w:val="24"/>
        </w:rPr>
        <w:t xml:space="preserve"> as well as with </w:t>
      </w:r>
      <w:r>
        <w:rPr>
          <w:rFonts w:ascii="Gill Sans MT" w:hAnsi="Gill Sans MT"/>
          <w:sz w:val="24"/>
          <w:szCs w:val="24"/>
        </w:rPr>
        <w:t>subsequent</w:t>
      </w:r>
      <w:r w:rsidRPr="00FE3A70">
        <w:rPr>
          <w:rFonts w:ascii="Gill Sans MT" w:hAnsi="Gill Sans MT"/>
          <w:sz w:val="24"/>
          <w:szCs w:val="24"/>
        </w:rPr>
        <w:t xml:space="preserve"> efforts to understand and come to terms with </w:t>
      </w:r>
      <w:r>
        <w:rPr>
          <w:rFonts w:ascii="Gill Sans MT" w:hAnsi="Gill Sans MT"/>
          <w:sz w:val="24"/>
          <w:szCs w:val="24"/>
        </w:rPr>
        <w:t>the events they narrate and depict</w:t>
      </w:r>
      <w:r w:rsidRPr="00FE3A70">
        <w:rPr>
          <w:rFonts w:ascii="Gill Sans MT" w:hAnsi="Gill Sans MT"/>
          <w:sz w:val="24"/>
          <w:szCs w:val="24"/>
        </w:rPr>
        <w:t>. In this regard they are not unique: the use of comics either by post-conflict peacebuilding institutions or as a way of exploring personal trauma is now fairly well-established.</w:t>
      </w:r>
      <w:r w:rsidRPr="00FE3A70">
        <w:rPr>
          <w:rStyle w:val="FootnoteReference"/>
          <w:rFonts w:ascii="Gill Sans MT" w:hAnsi="Gill Sans MT"/>
          <w:sz w:val="24"/>
          <w:szCs w:val="24"/>
        </w:rPr>
        <w:footnoteReference w:id="49"/>
      </w:r>
      <w:r w:rsidRPr="00FE3A70">
        <w:rPr>
          <w:rFonts w:ascii="Gill Sans MT" w:hAnsi="Gill Sans MT"/>
          <w:sz w:val="24"/>
          <w:szCs w:val="24"/>
        </w:rPr>
        <w:t xml:space="preserve"> Our reasons for bringing them together in this article go beyond their shared subject matter, however: </w:t>
      </w:r>
      <w:r w:rsidRPr="00FE3A70">
        <w:rPr>
          <w:rFonts w:ascii="Gill Sans MT" w:hAnsi="Gill Sans MT"/>
          <w:i/>
          <w:sz w:val="24"/>
          <w:szCs w:val="24"/>
        </w:rPr>
        <w:t>Sierrarat</w:t>
      </w:r>
      <w:r w:rsidRPr="00FE3A70">
        <w:rPr>
          <w:rFonts w:ascii="Gill Sans MT" w:hAnsi="Gill Sans MT"/>
          <w:sz w:val="24"/>
          <w:szCs w:val="24"/>
        </w:rPr>
        <w:t xml:space="preserve"> and </w:t>
      </w:r>
      <w:r w:rsidRPr="00FE3A70">
        <w:rPr>
          <w:rFonts w:ascii="Gill Sans MT" w:hAnsi="Gill Sans MT"/>
          <w:i/>
          <w:sz w:val="24"/>
          <w:szCs w:val="24"/>
        </w:rPr>
        <w:t>Maus</w:t>
      </w:r>
      <w:r w:rsidRPr="00FE3A70">
        <w:rPr>
          <w:rFonts w:ascii="Gill Sans MT" w:hAnsi="Gill Sans MT"/>
          <w:sz w:val="24"/>
          <w:szCs w:val="24"/>
        </w:rPr>
        <w:t xml:space="preserve"> both adopt near-identical representational tropes in order to tell their respective stories, to the extent that it appears highly likely that the </w:t>
      </w:r>
      <w:r>
        <w:rPr>
          <w:rFonts w:ascii="Gill Sans MT" w:hAnsi="Gill Sans MT"/>
          <w:sz w:val="24"/>
          <w:szCs w:val="24"/>
        </w:rPr>
        <w:t>latter directly influenced the former</w:t>
      </w:r>
      <w:r w:rsidRPr="00FE3A70">
        <w:rPr>
          <w:rFonts w:ascii="Gill Sans MT" w:hAnsi="Gill Sans MT"/>
          <w:sz w:val="24"/>
          <w:szCs w:val="24"/>
        </w:rPr>
        <w:t xml:space="preserve">. Most obviously, both comics’ central conflicts are between cats on the one hand, and rodents on the other. In </w:t>
      </w:r>
      <w:r w:rsidRPr="00FE3A70">
        <w:rPr>
          <w:rFonts w:ascii="Gill Sans MT" w:hAnsi="Gill Sans MT"/>
          <w:i/>
          <w:sz w:val="24"/>
          <w:szCs w:val="24"/>
        </w:rPr>
        <w:t>Maus</w:t>
      </w:r>
      <w:r w:rsidRPr="00FE3A70">
        <w:rPr>
          <w:rFonts w:ascii="Gill Sans MT" w:hAnsi="Gill Sans MT"/>
          <w:sz w:val="24"/>
          <w:szCs w:val="24"/>
        </w:rPr>
        <w:t xml:space="preserve">, each national or ethnic identity category is denoted by a different species: Jews are depicted as mice, Germans as cats, Poles as pigs, Americans as dogs and so on. In </w:t>
      </w:r>
      <w:r w:rsidRPr="00FE3A70">
        <w:rPr>
          <w:rFonts w:ascii="Gill Sans MT" w:hAnsi="Gill Sans MT"/>
          <w:i/>
          <w:sz w:val="24"/>
          <w:szCs w:val="24"/>
        </w:rPr>
        <w:t>Sierrarat</w:t>
      </w:r>
      <w:r w:rsidRPr="00FE3A70">
        <w:rPr>
          <w:rFonts w:ascii="Gill Sans MT" w:hAnsi="Gill Sans MT"/>
          <w:sz w:val="24"/>
          <w:szCs w:val="24"/>
        </w:rPr>
        <w:t>, meanwhile, Sierra Leoneans are represented as ‘rats’, whil</w:t>
      </w:r>
      <w:r>
        <w:rPr>
          <w:rFonts w:ascii="Gill Sans MT" w:hAnsi="Gill Sans MT"/>
          <w:sz w:val="24"/>
          <w:szCs w:val="24"/>
        </w:rPr>
        <w:t>e</w:t>
      </w:r>
      <w:r w:rsidRPr="00FE3A70">
        <w:rPr>
          <w:rFonts w:ascii="Gill Sans MT" w:hAnsi="Gill Sans MT"/>
          <w:sz w:val="24"/>
          <w:szCs w:val="24"/>
        </w:rPr>
        <w:t xml:space="preserve"> the invading force from ‘Liberat’ are described as ‘disgruntled Sierrarat people who left the country and turned to cats’, in which latter guise they are portrayed throughout the </w:t>
      </w:r>
      <w:r>
        <w:rPr>
          <w:rFonts w:ascii="Gill Sans MT" w:hAnsi="Gill Sans MT"/>
          <w:sz w:val="24"/>
          <w:szCs w:val="24"/>
        </w:rPr>
        <w:t>comic</w:t>
      </w:r>
      <w:r w:rsidRPr="00FE3A70">
        <w:rPr>
          <w:rFonts w:ascii="Gill Sans MT" w:hAnsi="Gill Sans MT"/>
          <w:sz w:val="24"/>
          <w:szCs w:val="24"/>
        </w:rPr>
        <w:t>.</w:t>
      </w:r>
      <w:r w:rsidRPr="00FE3A70">
        <w:rPr>
          <w:rStyle w:val="FootnoteReference"/>
          <w:rFonts w:ascii="Gill Sans MT" w:hAnsi="Gill Sans MT"/>
          <w:sz w:val="24"/>
          <w:szCs w:val="24"/>
        </w:rPr>
        <w:footnoteReference w:id="50"/>
      </w:r>
      <w:r w:rsidRPr="00FE3A70">
        <w:rPr>
          <w:rFonts w:ascii="Gill Sans MT" w:hAnsi="Gill Sans MT"/>
          <w:sz w:val="24"/>
          <w:szCs w:val="24"/>
        </w:rPr>
        <w:t xml:space="preserve"> The similarity between each strip’s </w:t>
      </w:r>
      <w:r>
        <w:rPr>
          <w:rFonts w:ascii="Gill Sans MT" w:hAnsi="Gill Sans MT"/>
          <w:sz w:val="24"/>
          <w:szCs w:val="24"/>
        </w:rPr>
        <w:t xml:space="preserve">basic </w:t>
      </w:r>
      <w:r w:rsidRPr="00FE3A70">
        <w:rPr>
          <w:rFonts w:ascii="Gill Sans MT" w:hAnsi="Gill Sans MT"/>
          <w:sz w:val="24"/>
          <w:szCs w:val="24"/>
        </w:rPr>
        <w:t xml:space="preserve">representational </w:t>
      </w:r>
      <w:r>
        <w:rPr>
          <w:rFonts w:ascii="Gill Sans MT" w:hAnsi="Gill Sans MT"/>
          <w:sz w:val="24"/>
          <w:szCs w:val="24"/>
        </w:rPr>
        <w:t>strategy</w:t>
      </w:r>
      <w:r w:rsidRPr="00FE3A70">
        <w:rPr>
          <w:rFonts w:ascii="Gill Sans MT" w:hAnsi="Gill Sans MT"/>
          <w:sz w:val="24"/>
          <w:szCs w:val="24"/>
        </w:rPr>
        <w:t xml:space="preserve"> is additionally underlined</w:t>
      </w:r>
      <w:r>
        <w:rPr>
          <w:rFonts w:ascii="Gill Sans MT" w:hAnsi="Gill Sans MT"/>
          <w:sz w:val="24"/>
          <w:szCs w:val="24"/>
        </w:rPr>
        <w:t xml:space="preserve"> </w:t>
      </w:r>
      <w:r w:rsidRPr="00FE3A70">
        <w:rPr>
          <w:rFonts w:ascii="Gill Sans MT" w:hAnsi="Gill Sans MT"/>
          <w:sz w:val="24"/>
          <w:szCs w:val="24"/>
        </w:rPr>
        <w:t xml:space="preserve">by the similarity of their respective </w:t>
      </w:r>
      <w:r>
        <w:rPr>
          <w:rFonts w:ascii="Gill Sans MT" w:hAnsi="Gill Sans MT"/>
          <w:sz w:val="24"/>
          <w:szCs w:val="24"/>
        </w:rPr>
        <w:t xml:space="preserve">drawing </w:t>
      </w:r>
      <w:r w:rsidRPr="00FE3A70">
        <w:rPr>
          <w:rFonts w:ascii="Gill Sans MT" w:hAnsi="Gill Sans MT"/>
          <w:sz w:val="24"/>
          <w:szCs w:val="24"/>
        </w:rPr>
        <w:t xml:space="preserve">styles: black-and-white line </w:t>
      </w:r>
      <w:r w:rsidRPr="00FE3A70">
        <w:rPr>
          <w:rFonts w:ascii="Gill Sans MT" w:hAnsi="Gill Sans MT"/>
          <w:sz w:val="24"/>
          <w:szCs w:val="24"/>
        </w:rPr>
        <w:lastRenderedPageBreak/>
        <w:t>drawings with pen-and-ink.</w:t>
      </w:r>
      <w:r w:rsidR="003A3BB7">
        <w:rPr>
          <w:rFonts w:ascii="Gill Sans MT" w:hAnsi="Gill Sans MT"/>
          <w:sz w:val="24"/>
          <w:szCs w:val="24"/>
        </w:rPr>
        <w:t xml:space="preserve"> </w:t>
      </w:r>
      <w:r>
        <w:rPr>
          <w:rFonts w:ascii="Gill Sans MT" w:hAnsi="Gill Sans MT"/>
          <w:sz w:val="24"/>
          <w:szCs w:val="24"/>
        </w:rPr>
        <w:t>Despite the two comics’ obvious aesthetic similarities, however, there are significant differences between t</w:t>
      </w:r>
      <w:r w:rsidRPr="00FE3A70">
        <w:rPr>
          <w:rFonts w:ascii="Gill Sans MT" w:hAnsi="Gill Sans MT"/>
          <w:sz w:val="24"/>
          <w:szCs w:val="24"/>
        </w:rPr>
        <w:t>he</w:t>
      </w:r>
      <w:r>
        <w:rPr>
          <w:rFonts w:ascii="Gill Sans MT" w:hAnsi="Gill Sans MT"/>
          <w:sz w:val="24"/>
          <w:szCs w:val="24"/>
        </w:rPr>
        <w:t>ir respective circumstances of production and dissemination</w:t>
      </w:r>
      <w:r w:rsidRPr="00FE3A70">
        <w:rPr>
          <w:rFonts w:ascii="Gill Sans MT" w:hAnsi="Gill Sans MT"/>
          <w:sz w:val="24"/>
          <w:szCs w:val="24"/>
        </w:rPr>
        <w:t xml:space="preserve">. </w:t>
      </w:r>
      <w:r w:rsidRPr="00FE3A70">
        <w:rPr>
          <w:rFonts w:ascii="Gill Sans MT" w:hAnsi="Gill Sans MT"/>
          <w:i/>
          <w:sz w:val="24"/>
          <w:szCs w:val="24"/>
        </w:rPr>
        <w:t>Sierrara</w:t>
      </w:r>
      <w:r>
        <w:rPr>
          <w:rFonts w:ascii="Gill Sans MT" w:hAnsi="Gill Sans MT"/>
          <w:i/>
          <w:sz w:val="24"/>
          <w:szCs w:val="24"/>
        </w:rPr>
        <w:t xml:space="preserve">t </w:t>
      </w:r>
      <w:r w:rsidRPr="00FE3A70">
        <w:rPr>
          <w:rFonts w:ascii="Gill Sans MT" w:hAnsi="Gill Sans MT"/>
          <w:sz w:val="24"/>
          <w:szCs w:val="24"/>
        </w:rPr>
        <w:t xml:space="preserve">was </w:t>
      </w:r>
      <w:r>
        <w:rPr>
          <w:rFonts w:ascii="Gill Sans MT" w:hAnsi="Gill Sans MT"/>
          <w:sz w:val="24"/>
          <w:szCs w:val="24"/>
        </w:rPr>
        <w:t xml:space="preserve">shaped </w:t>
      </w:r>
      <w:r w:rsidRPr="00FE3A70">
        <w:rPr>
          <w:rFonts w:ascii="Gill Sans MT" w:hAnsi="Gill Sans MT"/>
          <w:sz w:val="24"/>
          <w:szCs w:val="24"/>
        </w:rPr>
        <w:t>by its function as a communicative ve</w:t>
      </w:r>
      <w:r>
        <w:rPr>
          <w:rFonts w:ascii="Gill Sans MT" w:hAnsi="Gill Sans MT"/>
          <w:sz w:val="24"/>
          <w:szCs w:val="24"/>
        </w:rPr>
        <w:t>hicle</w:t>
      </w:r>
      <w:r w:rsidRPr="00FE3A70">
        <w:rPr>
          <w:rFonts w:ascii="Gill Sans MT" w:hAnsi="Gill Sans MT"/>
          <w:sz w:val="24"/>
          <w:szCs w:val="24"/>
        </w:rPr>
        <w:t xml:space="preserve"> for the </w:t>
      </w:r>
      <w:r>
        <w:rPr>
          <w:rFonts w:ascii="Gill Sans MT" w:hAnsi="Gill Sans MT"/>
          <w:sz w:val="24"/>
          <w:szCs w:val="24"/>
        </w:rPr>
        <w:t>SL</w:t>
      </w:r>
      <w:r w:rsidRPr="00FE3A70">
        <w:rPr>
          <w:rFonts w:ascii="Gill Sans MT" w:hAnsi="Gill Sans MT"/>
          <w:sz w:val="24"/>
          <w:szCs w:val="24"/>
        </w:rPr>
        <w:t>TRC</w:t>
      </w:r>
      <w:r>
        <w:rPr>
          <w:rFonts w:ascii="Gill Sans MT" w:hAnsi="Gill Sans MT"/>
          <w:sz w:val="24"/>
          <w:szCs w:val="24"/>
        </w:rPr>
        <w:t>’s outreach campaign towards Sierra Leonean secondary school students, while</w:t>
      </w:r>
      <w:r w:rsidRPr="00FE3A70">
        <w:rPr>
          <w:rFonts w:ascii="Gill Sans MT" w:hAnsi="Gill Sans MT"/>
          <w:sz w:val="24"/>
          <w:szCs w:val="24"/>
        </w:rPr>
        <w:t xml:space="preserve"> </w:t>
      </w:r>
      <w:r w:rsidRPr="00522B85">
        <w:rPr>
          <w:rFonts w:ascii="Gill Sans MT" w:hAnsi="Gill Sans MT"/>
          <w:i/>
          <w:sz w:val="24"/>
          <w:szCs w:val="24"/>
        </w:rPr>
        <w:t>Maus</w:t>
      </w:r>
      <w:r w:rsidRPr="00FE3A70">
        <w:rPr>
          <w:rFonts w:ascii="Gill Sans MT" w:hAnsi="Gill Sans MT"/>
          <w:sz w:val="24"/>
          <w:szCs w:val="24"/>
        </w:rPr>
        <w:t xml:space="preserve">, in contrast, </w:t>
      </w:r>
      <w:r>
        <w:rPr>
          <w:rFonts w:ascii="Gill Sans MT" w:hAnsi="Gill Sans MT"/>
          <w:sz w:val="24"/>
          <w:szCs w:val="24"/>
        </w:rPr>
        <w:t xml:space="preserve">began life as a personal venture before belatedly being brought to market. Initially published in an underground comics periodical called </w:t>
      </w:r>
      <w:r>
        <w:rPr>
          <w:rFonts w:ascii="Gill Sans MT" w:hAnsi="Gill Sans MT"/>
          <w:i/>
          <w:sz w:val="24"/>
          <w:szCs w:val="24"/>
        </w:rPr>
        <w:t>RAW</w:t>
      </w:r>
      <w:r>
        <w:rPr>
          <w:rFonts w:ascii="Gill Sans MT" w:hAnsi="Gill Sans MT"/>
          <w:sz w:val="24"/>
          <w:szCs w:val="24"/>
        </w:rPr>
        <w:t>, it eventually achieved critical and commercial acclaim several years later once it had been taken on by a major publishing house</w:t>
      </w:r>
      <w:r w:rsidRPr="00FE3A70">
        <w:rPr>
          <w:rFonts w:ascii="Gill Sans MT" w:hAnsi="Gill Sans MT"/>
          <w:sz w:val="24"/>
          <w:szCs w:val="24"/>
        </w:rPr>
        <w:t>.</w:t>
      </w:r>
      <w:r>
        <w:rPr>
          <w:rStyle w:val="FootnoteReference"/>
          <w:rFonts w:ascii="Gill Sans MT" w:hAnsi="Gill Sans MT"/>
          <w:sz w:val="24"/>
          <w:szCs w:val="24"/>
        </w:rPr>
        <w:footnoteReference w:id="51"/>
      </w:r>
      <w:r>
        <w:rPr>
          <w:rFonts w:ascii="Gill Sans MT" w:hAnsi="Gill Sans MT"/>
          <w:sz w:val="24"/>
          <w:szCs w:val="24"/>
        </w:rPr>
        <w:t xml:space="preserve"> Spiegelman explores his relationship with his work’s unexpected commercial success in </w:t>
      </w:r>
      <w:r>
        <w:rPr>
          <w:rFonts w:ascii="Gill Sans MT" w:hAnsi="Gill Sans MT"/>
          <w:i/>
          <w:sz w:val="24"/>
          <w:szCs w:val="24"/>
        </w:rPr>
        <w:t>Maus</w:t>
      </w:r>
      <w:r>
        <w:rPr>
          <w:rFonts w:ascii="Gill Sans MT" w:hAnsi="Gill Sans MT"/>
          <w:sz w:val="24"/>
          <w:szCs w:val="24"/>
        </w:rPr>
        <w:t>’ second volume.</w:t>
      </w:r>
      <w:r>
        <w:rPr>
          <w:rStyle w:val="FootnoteReference"/>
          <w:rFonts w:ascii="Gill Sans MT" w:hAnsi="Gill Sans MT"/>
          <w:sz w:val="24"/>
          <w:szCs w:val="24"/>
        </w:rPr>
        <w:footnoteReference w:id="52"/>
      </w:r>
    </w:p>
    <w:p w14:paraId="6E783D96" w14:textId="77777777" w:rsidR="000F6FC6" w:rsidRPr="00FE3A70" w:rsidRDefault="000F6FC6" w:rsidP="000F6FC6">
      <w:pPr>
        <w:spacing w:after="0" w:line="480" w:lineRule="auto"/>
        <w:ind w:firstLine="720"/>
        <w:jc w:val="both"/>
        <w:rPr>
          <w:rFonts w:ascii="Gill Sans MT" w:hAnsi="Gill Sans MT"/>
          <w:sz w:val="24"/>
          <w:szCs w:val="24"/>
        </w:rPr>
      </w:pPr>
      <w:r>
        <w:rPr>
          <w:rFonts w:ascii="Gill Sans MT" w:hAnsi="Gill Sans MT"/>
          <w:sz w:val="24"/>
          <w:szCs w:val="24"/>
        </w:rPr>
        <w:t>These differences should not be underplayed or forgotten in what follows. Nevertheless</w:t>
      </w:r>
      <w:r w:rsidRPr="00FE3A70">
        <w:rPr>
          <w:rFonts w:ascii="Gill Sans MT" w:hAnsi="Gill Sans MT"/>
          <w:sz w:val="24"/>
          <w:szCs w:val="24"/>
        </w:rPr>
        <w:t xml:space="preserve">, </w:t>
      </w:r>
      <w:r>
        <w:rPr>
          <w:rFonts w:ascii="Gill Sans MT" w:hAnsi="Gill Sans MT"/>
          <w:sz w:val="24"/>
          <w:szCs w:val="24"/>
        </w:rPr>
        <w:t>in their (dis)similarity, the two comics open up vital terrain from which to consider</w:t>
      </w:r>
      <w:r w:rsidRPr="00FE3A70">
        <w:rPr>
          <w:rFonts w:ascii="Gill Sans MT" w:hAnsi="Gill Sans MT"/>
          <w:sz w:val="24"/>
          <w:szCs w:val="24"/>
        </w:rPr>
        <w:t xml:space="preserve"> the visual politics of </w:t>
      </w:r>
      <w:r>
        <w:rPr>
          <w:rFonts w:ascii="Gill Sans MT" w:hAnsi="Gill Sans MT"/>
          <w:sz w:val="24"/>
          <w:szCs w:val="24"/>
        </w:rPr>
        <w:t xml:space="preserve">truth, reconciliation and outreach. Although both </w:t>
      </w:r>
      <w:r w:rsidRPr="00FE3A70" w:rsidDel="00EB5EBC">
        <w:rPr>
          <w:rFonts w:ascii="Gill Sans MT" w:hAnsi="Gill Sans MT"/>
          <w:i/>
          <w:sz w:val="24"/>
          <w:szCs w:val="24"/>
        </w:rPr>
        <w:t xml:space="preserve">Sierrarat </w:t>
      </w:r>
      <w:r w:rsidRPr="00FE3A70" w:rsidDel="00EB5EBC">
        <w:rPr>
          <w:rFonts w:ascii="Gill Sans MT" w:hAnsi="Gill Sans MT"/>
          <w:sz w:val="24"/>
          <w:szCs w:val="24"/>
        </w:rPr>
        <w:t xml:space="preserve">and </w:t>
      </w:r>
      <w:r w:rsidRPr="00FE3A70" w:rsidDel="00EB5EBC">
        <w:rPr>
          <w:rFonts w:ascii="Gill Sans MT" w:hAnsi="Gill Sans MT"/>
          <w:i/>
          <w:sz w:val="24"/>
          <w:szCs w:val="24"/>
        </w:rPr>
        <w:t>Maus</w:t>
      </w:r>
      <w:r>
        <w:rPr>
          <w:rFonts w:ascii="Gill Sans MT" w:hAnsi="Gill Sans MT"/>
          <w:sz w:val="24"/>
          <w:szCs w:val="24"/>
        </w:rPr>
        <w:t xml:space="preserve"> can both be read as responses to the emotional and social fallout generated by conflict and atrocity, their respective understandings of ‘</w:t>
      </w:r>
      <w:r w:rsidRPr="00FE3A70">
        <w:rPr>
          <w:rFonts w:ascii="Gill Sans MT" w:hAnsi="Gill Sans MT"/>
          <w:sz w:val="24"/>
          <w:szCs w:val="24"/>
        </w:rPr>
        <w:t>truth</w:t>
      </w:r>
      <w:r>
        <w:rPr>
          <w:rFonts w:ascii="Gill Sans MT" w:hAnsi="Gill Sans MT"/>
          <w:sz w:val="24"/>
          <w:szCs w:val="24"/>
        </w:rPr>
        <w:t>’ and</w:t>
      </w:r>
      <w:r w:rsidRPr="00FE3A70">
        <w:rPr>
          <w:rFonts w:ascii="Gill Sans MT" w:hAnsi="Gill Sans MT"/>
          <w:sz w:val="24"/>
          <w:szCs w:val="24"/>
        </w:rPr>
        <w:t xml:space="preserve"> </w:t>
      </w:r>
      <w:r>
        <w:rPr>
          <w:rFonts w:ascii="Gill Sans MT" w:hAnsi="Gill Sans MT"/>
          <w:sz w:val="24"/>
          <w:szCs w:val="24"/>
        </w:rPr>
        <w:t>‘</w:t>
      </w:r>
      <w:r w:rsidRPr="00FE3A70">
        <w:rPr>
          <w:rFonts w:ascii="Gill Sans MT" w:hAnsi="Gill Sans MT"/>
          <w:sz w:val="24"/>
          <w:szCs w:val="24"/>
        </w:rPr>
        <w:t>reconciliation</w:t>
      </w:r>
      <w:r>
        <w:rPr>
          <w:rFonts w:ascii="Gill Sans MT" w:hAnsi="Gill Sans MT"/>
          <w:sz w:val="24"/>
          <w:szCs w:val="24"/>
        </w:rPr>
        <w:t>’ contrast in several striking and important ways</w:t>
      </w:r>
      <w:r w:rsidRPr="00FE3A70" w:rsidDel="00EB5EBC">
        <w:rPr>
          <w:rFonts w:ascii="Gill Sans MT" w:hAnsi="Gill Sans MT"/>
          <w:sz w:val="24"/>
          <w:szCs w:val="24"/>
        </w:rPr>
        <w:t xml:space="preserve">. </w:t>
      </w:r>
      <w:r>
        <w:rPr>
          <w:rFonts w:ascii="Gill Sans MT" w:hAnsi="Gill Sans MT"/>
          <w:sz w:val="24"/>
          <w:szCs w:val="24"/>
        </w:rPr>
        <w:t>In exploring these (dis)similarities, we seek to evaluate the potential contribution of the comics medium to debates about the visual politics of truth, reconciliation and peace.</w:t>
      </w:r>
      <w:r>
        <w:rPr>
          <w:rStyle w:val="FootnoteReference"/>
          <w:rFonts w:ascii="Gill Sans MT" w:hAnsi="Gill Sans MT"/>
          <w:sz w:val="24"/>
          <w:szCs w:val="24"/>
        </w:rPr>
        <w:footnoteReference w:id="53"/>
      </w:r>
      <w:r>
        <w:rPr>
          <w:rFonts w:ascii="Gill Sans MT" w:hAnsi="Gill Sans MT"/>
          <w:sz w:val="24"/>
          <w:szCs w:val="24"/>
        </w:rPr>
        <w:t xml:space="preserve"> This is a discussion which in turn </w:t>
      </w:r>
      <w:r>
        <w:rPr>
          <w:rFonts w:ascii="Gill Sans MT" w:hAnsi="Gill Sans MT"/>
          <w:sz w:val="24"/>
          <w:szCs w:val="24"/>
        </w:rPr>
        <w:lastRenderedPageBreak/>
        <w:t xml:space="preserve">facilitates an examination of </w:t>
      </w:r>
      <w:r>
        <w:rPr>
          <w:rFonts w:ascii="Gill Sans MT" w:hAnsi="Gill Sans MT"/>
          <w:i/>
          <w:sz w:val="24"/>
          <w:szCs w:val="24"/>
        </w:rPr>
        <w:t>Sierrarat</w:t>
      </w:r>
      <w:r>
        <w:rPr>
          <w:rFonts w:ascii="Gill Sans MT" w:hAnsi="Gill Sans MT"/>
          <w:sz w:val="24"/>
          <w:szCs w:val="24"/>
        </w:rPr>
        <w:t xml:space="preserve">’s place within the SLTRC’s outreach efforts, and enables us to draw conclusions about the ways in which TJ discourse has come to frame and discipline what ‘truth’ and ‘reconciliation’ mean and how they function on the global stage. It should be acknowledged that our conclusions in this latter regard are to some extent limited by the lack of available information about how </w:t>
      </w:r>
      <w:r>
        <w:rPr>
          <w:rFonts w:ascii="Gill Sans MT" w:hAnsi="Gill Sans MT"/>
          <w:i/>
          <w:sz w:val="24"/>
          <w:szCs w:val="24"/>
        </w:rPr>
        <w:t>Sierrarat</w:t>
      </w:r>
      <w:r>
        <w:rPr>
          <w:rFonts w:ascii="Gill Sans MT" w:hAnsi="Gill Sans MT"/>
          <w:sz w:val="24"/>
          <w:szCs w:val="24"/>
        </w:rPr>
        <w:t xml:space="preserve"> was received by its target audience, including </w:t>
      </w:r>
      <w:r w:rsidRPr="00DD6524">
        <w:rPr>
          <w:rFonts w:ascii="Gill Sans MT" w:hAnsi="Gill Sans MT"/>
          <w:sz w:val="24"/>
          <w:szCs w:val="24"/>
        </w:rPr>
        <w:t>how widely and for how long it was read and/or taught</w:t>
      </w:r>
      <w:r>
        <w:rPr>
          <w:rFonts w:ascii="Gill Sans MT" w:hAnsi="Gill Sans MT"/>
          <w:sz w:val="24"/>
          <w:szCs w:val="24"/>
        </w:rPr>
        <w:t xml:space="preserve"> in schools. However, we mitigate for this</w:t>
      </w:r>
      <w:r w:rsidRPr="00FE3A70">
        <w:rPr>
          <w:rFonts w:ascii="Gill Sans MT" w:hAnsi="Gill Sans MT"/>
          <w:sz w:val="24"/>
          <w:szCs w:val="24"/>
        </w:rPr>
        <w:t xml:space="preserve"> data</w:t>
      </w:r>
      <w:r>
        <w:rPr>
          <w:rFonts w:ascii="Gill Sans MT" w:hAnsi="Gill Sans MT"/>
          <w:sz w:val="24"/>
          <w:szCs w:val="24"/>
        </w:rPr>
        <w:t>’s absence</w:t>
      </w:r>
      <w:r w:rsidRPr="00FE3A70">
        <w:rPr>
          <w:rFonts w:ascii="Gill Sans MT" w:hAnsi="Gill Sans MT"/>
          <w:sz w:val="24"/>
          <w:szCs w:val="24"/>
        </w:rPr>
        <w:t xml:space="preserve"> by drawing on ethnographic research </w:t>
      </w:r>
      <w:r>
        <w:rPr>
          <w:rFonts w:ascii="Gill Sans MT" w:hAnsi="Gill Sans MT"/>
          <w:sz w:val="24"/>
          <w:szCs w:val="24"/>
        </w:rPr>
        <w:t>examining</w:t>
      </w:r>
      <w:r w:rsidRPr="00FE3A70">
        <w:rPr>
          <w:rFonts w:ascii="Gill Sans MT" w:hAnsi="Gill Sans MT"/>
          <w:sz w:val="24"/>
          <w:szCs w:val="24"/>
        </w:rPr>
        <w:t xml:space="preserve"> the rela</w:t>
      </w:r>
      <w:r>
        <w:rPr>
          <w:rFonts w:ascii="Gill Sans MT" w:hAnsi="Gill Sans MT"/>
          <w:sz w:val="24"/>
          <w:szCs w:val="24"/>
        </w:rPr>
        <w:t>tionship between wider Sierra Leonean society</w:t>
      </w:r>
      <w:r w:rsidRPr="00FE3A70">
        <w:rPr>
          <w:rFonts w:ascii="Gill Sans MT" w:hAnsi="Gill Sans MT"/>
          <w:sz w:val="24"/>
          <w:szCs w:val="24"/>
        </w:rPr>
        <w:t xml:space="preserve"> and the </w:t>
      </w:r>
      <w:r>
        <w:rPr>
          <w:rFonts w:ascii="Gill Sans MT" w:hAnsi="Gill Sans MT"/>
          <w:sz w:val="24"/>
          <w:szCs w:val="24"/>
        </w:rPr>
        <w:t>SL</w:t>
      </w:r>
      <w:r w:rsidRPr="00FE3A70">
        <w:rPr>
          <w:rFonts w:ascii="Gill Sans MT" w:hAnsi="Gill Sans MT"/>
          <w:sz w:val="24"/>
          <w:szCs w:val="24"/>
        </w:rPr>
        <w:t>TRC</w:t>
      </w:r>
      <w:r>
        <w:rPr>
          <w:rFonts w:ascii="Gill Sans MT" w:hAnsi="Gill Sans MT"/>
          <w:sz w:val="24"/>
          <w:szCs w:val="24"/>
        </w:rPr>
        <w:t xml:space="preserve">, a dynamic and often tense association that informs our reading of </w:t>
      </w:r>
      <w:r>
        <w:rPr>
          <w:rFonts w:ascii="Gill Sans MT" w:hAnsi="Gill Sans MT"/>
          <w:i/>
          <w:sz w:val="24"/>
          <w:szCs w:val="24"/>
        </w:rPr>
        <w:t>Sierrarat</w:t>
      </w:r>
      <w:r>
        <w:rPr>
          <w:rFonts w:ascii="Gill Sans MT" w:hAnsi="Gill Sans MT"/>
          <w:sz w:val="24"/>
          <w:szCs w:val="24"/>
        </w:rPr>
        <w:t xml:space="preserve"> as an ‘outreach’ text.</w:t>
      </w:r>
    </w:p>
    <w:p w14:paraId="15DF8DE0" w14:textId="77777777" w:rsidR="000F6FC6" w:rsidRPr="00FE3A70" w:rsidRDefault="000F6FC6" w:rsidP="000F6FC6">
      <w:pPr>
        <w:spacing w:after="0" w:line="480" w:lineRule="auto"/>
        <w:ind w:firstLine="720"/>
        <w:jc w:val="both"/>
        <w:rPr>
          <w:rFonts w:ascii="Gill Sans MT" w:hAnsi="Gill Sans MT"/>
          <w:sz w:val="24"/>
          <w:szCs w:val="24"/>
        </w:rPr>
      </w:pPr>
      <w:r w:rsidRPr="00FE3A70">
        <w:rPr>
          <w:rFonts w:ascii="Gill Sans MT" w:hAnsi="Gill Sans MT"/>
          <w:sz w:val="24"/>
          <w:szCs w:val="24"/>
        </w:rPr>
        <w:t xml:space="preserve">The following three subsections </w:t>
      </w:r>
      <w:r w:rsidRPr="00FE3A70" w:rsidDel="00EB5EBC">
        <w:rPr>
          <w:rFonts w:ascii="Gill Sans MT" w:hAnsi="Gill Sans MT"/>
          <w:sz w:val="24"/>
          <w:szCs w:val="24"/>
        </w:rPr>
        <w:t>will explore the</w:t>
      </w:r>
      <w:r w:rsidRPr="00FE3A70">
        <w:rPr>
          <w:rFonts w:ascii="Gill Sans MT" w:hAnsi="Gill Sans MT"/>
          <w:sz w:val="24"/>
          <w:szCs w:val="24"/>
        </w:rPr>
        <w:t xml:space="preserve"> </w:t>
      </w:r>
      <w:r>
        <w:rPr>
          <w:rFonts w:ascii="Gill Sans MT" w:hAnsi="Gill Sans MT"/>
          <w:sz w:val="24"/>
          <w:szCs w:val="24"/>
        </w:rPr>
        <w:t xml:space="preserve">parallels and </w:t>
      </w:r>
      <w:r w:rsidRPr="00FE3A70">
        <w:rPr>
          <w:rFonts w:ascii="Gill Sans MT" w:hAnsi="Gill Sans MT"/>
          <w:sz w:val="24"/>
          <w:szCs w:val="24"/>
        </w:rPr>
        <w:t>tension</w:t>
      </w:r>
      <w:r>
        <w:rPr>
          <w:rFonts w:ascii="Gill Sans MT" w:hAnsi="Gill Sans MT"/>
          <w:sz w:val="24"/>
          <w:szCs w:val="24"/>
        </w:rPr>
        <w:t>s</w:t>
      </w:r>
      <w:r w:rsidRPr="00FE3A70">
        <w:rPr>
          <w:rFonts w:ascii="Gill Sans MT" w:hAnsi="Gill Sans MT"/>
          <w:sz w:val="24"/>
          <w:szCs w:val="24"/>
        </w:rPr>
        <w:t xml:space="preserve"> between the</w:t>
      </w:r>
      <w:r>
        <w:rPr>
          <w:rFonts w:ascii="Gill Sans MT" w:hAnsi="Gill Sans MT"/>
          <w:sz w:val="24"/>
          <w:szCs w:val="24"/>
        </w:rPr>
        <w:t xml:space="preserve"> two comics </w:t>
      </w:r>
      <w:r w:rsidRPr="00FE3A70" w:rsidDel="00EB5EBC">
        <w:rPr>
          <w:rFonts w:ascii="Gill Sans MT" w:hAnsi="Gill Sans MT"/>
          <w:sz w:val="24"/>
          <w:szCs w:val="24"/>
        </w:rPr>
        <w:t xml:space="preserve">with reference to the ontological, epistemological, and temporal frameworks underpinning each comic’s understanding of </w:t>
      </w:r>
      <w:r w:rsidRPr="00FE3A70">
        <w:rPr>
          <w:rFonts w:ascii="Gill Sans MT" w:hAnsi="Gill Sans MT"/>
          <w:sz w:val="24"/>
          <w:szCs w:val="24"/>
        </w:rPr>
        <w:t>post-conflict possibilities and limits. We have structured our analysis in this way in order to give us the greatest possible purchase on the politics of reconciliation (the affirmation of which inherently relies upon ontological claims about identity and community) and truth (which by necessity comes bound to particular epistemological assertions and assumptions). Examining the temporal scaffold within which these concepts are</w:t>
      </w:r>
      <w:r>
        <w:rPr>
          <w:rFonts w:ascii="Gill Sans MT" w:hAnsi="Gill Sans MT"/>
          <w:sz w:val="24"/>
          <w:szCs w:val="24"/>
        </w:rPr>
        <w:t xml:space="preserve"> </w:t>
      </w:r>
      <w:r w:rsidRPr="00FE3A70">
        <w:rPr>
          <w:rFonts w:ascii="Gill Sans MT" w:hAnsi="Gill Sans MT"/>
          <w:sz w:val="24"/>
          <w:szCs w:val="24"/>
        </w:rPr>
        <w:t xml:space="preserve">represented, meanwhile, enables us to understand them dynamically, as part of a transitional process or narrative rather than as static and unchanging archetypes. </w:t>
      </w:r>
    </w:p>
    <w:p w14:paraId="3C528319" w14:textId="77777777" w:rsidR="000F6FC6" w:rsidRPr="00FE3A70" w:rsidRDefault="000F6FC6" w:rsidP="000F6FC6">
      <w:pPr>
        <w:spacing w:after="0" w:line="480" w:lineRule="auto"/>
        <w:jc w:val="both"/>
        <w:rPr>
          <w:rFonts w:ascii="Gill Sans MT" w:hAnsi="Gill Sans MT"/>
          <w:sz w:val="24"/>
          <w:szCs w:val="24"/>
        </w:rPr>
      </w:pPr>
    </w:p>
    <w:p w14:paraId="447C1CD0" w14:textId="77777777" w:rsidR="000F6FC6" w:rsidRPr="00FE3A70" w:rsidRDefault="000F6FC6" w:rsidP="000F6FC6">
      <w:pPr>
        <w:spacing w:after="0" w:line="240" w:lineRule="auto"/>
        <w:jc w:val="both"/>
        <w:rPr>
          <w:rFonts w:ascii="Gill Sans MT" w:hAnsi="Gill Sans MT"/>
          <w:sz w:val="24"/>
          <w:szCs w:val="24"/>
        </w:rPr>
      </w:pPr>
    </w:p>
    <w:p w14:paraId="686A4362" w14:textId="77777777" w:rsidR="000F6FC6" w:rsidRPr="00FE3A70" w:rsidRDefault="000F6FC6" w:rsidP="000F6FC6">
      <w:pPr>
        <w:spacing w:after="0" w:line="480" w:lineRule="auto"/>
        <w:jc w:val="both"/>
        <w:rPr>
          <w:rFonts w:ascii="Gill Sans MT" w:hAnsi="Gill Sans MT"/>
          <w:i/>
          <w:sz w:val="24"/>
          <w:szCs w:val="24"/>
        </w:rPr>
      </w:pPr>
      <w:r w:rsidRPr="00FE3A70">
        <w:rPr>
          <w:rFonts w:ascii="Gill Sans MT" w:hAnsi="Gill Sans MT"/>
          <w:i/>
          <w:sz w:val="24"/>
          <w:szCs w:val="24"/>
        </w:rPr>
        <w:t>Ontologies of reconciliation</w:t>
      </w:r>
    </w:p>
    <w:p w14:paraId="4FA7EF0D" w14:textId="77777777" w:rsidR="000F6FC6" w:rsidRPr="00FE3A70" w:rsidRDefault="000F6FC6" w:rsidP="000F6FC6">
      <w:pPr>
        <w:spacing w:after="0" w:line="480" w:lineRule="auto"/>
        <w:jc w:val="both"/>
        <w:rPr>
          <w:rFonts w:ascii="Gill Sans MT" w:hAnsi="Gill Sans MT"/>
          <w:i/>
          <w:sz w:val="24"/>
          <w:szCs w:val="24"/>
        </w:rPr>
      </w:pPr>
    </w:p>
    <w:p w14:paraId="788AA780" w14:textId="77777777" w:rsidR="000F6FC6" w:rsidRPr="00FE3A70" w:rsidRDefault="000F6FC6" w:rsidP="000F6FC6">
      <w:pPr>
        <w:spacing w:after="0" w:line="480" w:lineRule="auto"/>
        <w:jc w:val="center"/>
        <w:rPr>
          <w:rFonts w:ascii="Gill Sans MT" w:hAnsi="Gill Sans MT"/>
          <w:b/>
          <w:i/>
          <w:sz w:val="24"/>
          <w:szCs w:val="24"/>
        </w:rPr>
      </w:pPr>
      <w:r w:rsidRPr="00FE3A70">
        <w:rPr>
          <w:rFonts w:ascii="Gill Sans MT" w:hAnsi="Gill Sans MT" w:cs="Gill Sans"/>
          <w:b/>
          <w:sz w:val="24"/>
          <w:szCs w:val="24"/>
        </w:rPr>
        <w:t xml:space="preserve">[Fig. 1: </w:t>
      </w:r>
      <w:r w:rsidRPr="00FE3A70">
        <w:rPr>
          <w:rFonts w:ascii="Gill Sans MT" w:hAnsi="Gill Sans MT" w:cs="Gill Sans"/>
          <w:b/>
          <w:i/>
          <w:sz w:val="24"/>
          <w:szCs w:val="24"/>
        </w:rPr>
        <w:t>Sierrarat</w:t>
      </w:r>
      <w:r w:rsidRPr="00FE3A70">
        <w:rPr>
          <w:rFonts w:ascii="Gill Sans MT" w:hAnsi="Gill Sans MT" w:cs="Gill Sans"/>
          <w:b/>
          <w:sz w:val="24"/>
          <w:szCs w:val="24"/>
        </w:rPr>
        <w:t>, final panel]</w:t>
      </w:r>
    </w:p>
    <w:p w14:paraId="7A48DB46" w14:textId="77777777" w:rsidR="000F6FC6" w:rsidRPr="00FE3A70" w:rsidRDefault="000F6FC6" w:rsidP="000F6FC6">
      <w:pPr>
        <w:spacing w:after="0" w:line="480" w:lineRule="auto"/>
        <w:jc w:val="both"/>
        <w:rPr>
          <w:rFonts w:ascii="Gill Sans MT" w:hAnsi="Gill Sans MT"/>
          <w:i/>
          <w:sz w:val="24"/>
          <w:szCs w:val="24"/>
        </w:rPr>
      </w:pPr>
    </w:p>
    <w:p w14:paraId="5810FD58"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i/>
          <w:sz w:val="24"/>
          <w:szCs w:val="24"/>
        </w:rPr>
        <w:t>Sierrarat</w:t>
      </w:r>
      <w:r w:rsidRPr="00FE3A70">
        <w:rPr>
          <w:rFonts w:ascii="Gill Sans MT" w:hAnsi="Gill Sans MT"/>
          <w:sz w:val="24"/>
          <w:szCs w:val="24"/>
        </w:rPr>
        <w:t xml:space="preserve"> makes a case for reconciliation understood as the restoration of total and complete unity between all Sierra Leoneans. ‘Reconciliation’, then, signifies ontological wholeness: in the strip’s final panel, five rats and two cats stand hand-in-hand in a circle, each making a declaration signifying their individual and collective transcendence of the division, violence, and suffering that marked the Civil War. ‘Forgiveness’, ‘Repentance’, ‘Unity’, ‘Reconciliation’, ‘Peace’, ‘Never Again’, ‘Progress’.</w:t>
      </w:r>
      <w:r w:rsidRPr="00FE3A70">
        <w:rPr>
          <w:rStyle w:val="FootnoteReference"/>
          <w:rFonts w:ascii="Gill Sans MT" w:hAnsi="Gill Sans MT"/>
          <w:sz w:val="24"/>
          <w:szCs w:val="24"/>
        </w:rPr>
        <w:footnoteReference w:id="54"/>
      </w:r>
      <w:r w:rsidRPr="00FE3A70">
        <w:rPr>
          <w:rFonts w:ascii="Gill Sans MT" w:hAnsi="Gill Sans MT"/>
          <w:sz w:val="24"/>
          <w:szCs w:val="24"/>
        </w:rPr>
        <w:t xml:space="preserve"> The image’s depiction of harmony between ‘rats’ (including those subjected to the War’s violence, such as Ratabu, whose hands have been cut off by a cat militia) and ‘cats’ (including Catcutan, Ratabu’s dismemberer) seems to suggest that reconciliation is something that occurs primarily between ‘victims’ on one hand and ‘perpetrators’ on the other. The comic’s presentation of these two subject-groups as different species reinforces these two identity categories by visually differentiating them. In other words, the comic’s aesthetic vocabulary </w:t>
      </w:r>
      <w:r>
        <w:rPr>
          <w:rFonts w:ascii="Gill Sans MT" w:hAnsi="Gill Sans MT"/>
          <w:sz w:val="24"/>
          <w:szCs w:val="24"/>
        </w:rPr>
        <w:t>encourages</w:t>
      </w:r>
      <w:r w:rsidRPr="00FE3A70">
        <w:rPr>
          <w:rFonts w:ascii="Gill Sans MT" w:hAnsi="Gill Sans MT"/>
          <w:sz w:val="24"/>
          <w:szCs w:val="24"/>
        </w:rPr>
        <w:t xml:space="preserve"> the precise and immediate identification of ‘perpetrator’ and ‘victim', and in </w:t>
      </w:r>
      <w:r w:rsidRPr="00FE3A70">
        <w:rPr>
          <w:rFonts w:ascii="Gill Sans MT" w:hAnsi="Gill Sans MT"/>
          <w:sz w:val="24"/>
          <w:szCs w:val="24"/>
        </w:rPr>
        <w:lastRenderedPageBreak/>
        <w:t xml:space="preserve">so doing also produces the opposition between these two groups as the central division to be overcome in the </w:t>
      </w:r>
      <w:r>
        <w:rPr>
          <w:rFonts w:ascii="Gill Sans MT" w:hAnsi="Gill Sans MT"/>
          <w:sz w:val="24"/>
          <w:szCs w:val="24"/>
        </w:rPr>
        <w:t>transition</w:t>
      </w:r>
      <w:r w:rsidRPr="00FE3A70">
        <w:rPr>
          <w:rFonts w:ascii="Gill Sans MT" w:hAnsi="Gill Sans MT"/>
          <w:sz w:val="24"/>
          <w:szCs w:val="24"/>
        </w:rPr>
        <w:t xml:space="preserve"> towards reconciliation.</w:t>
      </w:r>
    </w:p>
    <w:p w14:paraId="1ED40EFC" w14:textId="77777777" w:rsidR="000F6FC6" w:rsidRPr="00FE3A70" w:rsidRDefault="000F6FC6" w:rsidP="000F6FC6">
      <w:pPr>
        <w:spacing w:after="0" w:line="480" w:lineRule="auto"/>
        <w:jc w:val="both"/>
        <w:rPr>
          <w:rFonts w:ascii="Gill Sans MT" w:hAnsi="Gill Sans MT"/>
          <w:sz w:val="24"/>
          <w:szCs w:val="24"/>
        </w:rPr>
      </w:pPr>
    </w:p>
    <w:p w14:paraId="484F903F" w14:textId="77777777" w:rsidR="000F6FC6" w:rsidRPr="00FE3A70" w:rsidRDefault="000F6FC6" w:rsidP="000F6FC6">
      <w:pPr>
        <w:spacing w:after="0" w:line="480" w:lineRule="auto"/>
        <w:jc w:val="center"/>
        <w:rPr>
          <w:rFonts w:ascii="Gill Sans MT" w:hAnsi="Gill Sans MT"/>
          <w:b/>
          <w:sz w:val="24"/>
          <w:szCs w:val="24"/>
        </w:rPr>
      </w:pPr>
      <w:r w:rsidRPr="00FE3A70">
        <w:rPr>
          <w:rFonts w:ascii="Gill Sans MT" w:hAnsi="Gill Sans MT" w:cs="Gill Sans"/>
          <w:b/>
          <w:sz w:val="24"/>
          <w:szCs w:val="24"/>
        </w:rPr>
        <w:t>[Fig. 2: Rat children forced to conscript]</w:t>
      </w:r>
    </w:p>
    <w:p w14:paraId="2F5D8B4B" w14:textId="77777777" w:rsidR="000F6FC6" w:rsidRPr="00FE3A70" w:rsidRDefault="000F6FC6" w:rsidP="000F6FC6">
      <w:pPr>
        <w:spacing w:after="0" w:line="480" w:lineRule="auto"/>
        <w:jc w:val="both"/>
        <w:rPr>
          <w:rFonts w:ascii="Gill Sans MT" w:hAnsi="Gill Sans MT"/>
          <w:i/>
          <w:sz w:val="24"/>
          <w:szCs w:val="24"/>
        </w:rPr>
      </w:pPr>
    </w:p>
    <w:p w14:paraId="32B57DE2" w14:textId="77777777" w:rsidR="000F6FC6" w:rsidRDefault="000F6FC6" w:rsidP="000F6FC6">
      <w:pPr>
        <w:spacing w:after="0" w:line="480" w:lineRule="auto"/>
        <w:ind w:firstLine="720"/>
        <w:jc w:val="both"/>
        <w:rPr>
          <w:rFonts w:ascii="Gill Sans MT" w:hAnsi="Gill Sans MT"/>
          <w:sz w:val="24"/>
          <w:szCs w:val="24"/>
        </w:rPr>
      </w:pPr>
      <w:r w:rsidRPr="00FE3A70">
        <w:rPr>
          <w:rFonts w:ascii="Gill Sans MT" w:hAnsi="Gill Sans MT"/>
          <w:i/>
          <w:sz w:val="24"/>
          <w:szCs w:val="24"/>
        </w:rPr>
        <w:t>Sierrarat</w:t>
      </w:r>
      <w:r w:rsidRPr="00FE3A70">
        <w:rPr>
          <w:rFonts w:ascii="Gill Sans MT" w:hAnsi="Gill Sans MT"/>
          <w:sz w:val="24"/>
          <w:szCs w:val="24"/>
        </w:rPr>
        <w:t>’s presentation of reconciliation in terms of a seemingly complete (re)unification of previously opposed parties is</w:t>
      </w:r>
      <w:r>
        <w:rPr>
          <w:rFonts w:ascii="Gill Sans MT" w:hAnsi="Gill Sans MT"/>
          <w:sz w:val="24"/>
          <w:szCs w:val="24"/>
        </w:rPr>
        <w:t xml:space="preserve"> ontologically suspicious</w:t>
      </w:r>
      <w:r w:rsidRPr="00FE3A70">
        <w:rPr>
          <w:rFonts w:ascii="Gill Sans MT" w:hAnsi="Gill Sans MT"/>
          <w:sz w:val="24"/>
          <w:szCs w:val="24"/>
        </w:rPr>
        <w:t>. Post-structuralist and other scholars in IR and in other disciplines have long argued for the impossibility of what Michael Dillon calls a ‘metaphysics of presence’: an undiluted, logocentric wholeness of being, without lack or remainder.</w:t>
      </w:r>
      <w:r w:rsidRPr="00FE3A70">
        <w:rPr>
          <w:rStyle w:val="FootnoteReference"/>
          <w:rFonts w:ascii="Gill Sans MT" w:hAnsi="Gill Sans MT"/>
          <w:sz w:val="24"/>
          <w:szCs w:val="24"/>
        </w:rPr>
        <w:footnoteReference w:id="55"/>
      </w:r>
      <w:r w:rsidRPr="00FE3A70">
        <w:rPr>
          <w:rFonts w:ascii="Gill Sans MT" w:hAnsi="Gill Sans MT"/>
          <w:sz w:val="24"/>
          <w:szCs w:val="24"/>
        </w:rPr>
        <w:t xml:space="preserve"> Yet this is not simply a philosophical problem: in its apparent depiction of a sort of millenarian, redemptive bliss, the comic also implicitly delegitimises the very lack or remainder that any practical efforts at post-conflict peacebuilding will inevitably leave behind</w:t>
      </w:r>
      <w:r>
        <w:rPr>
          <w:rFonts w:ascii="Gill Sans MT" w:hAnsi="Gill Sans MT"/>
          <w:sz w:val="24"/>
          <w:szCs w:val="24"/>
        </w:rPr>
        <w:t>. In</w:t>
      </w:r>
      <w:r w:rsidRPr="00FE3A70">
        <w:rPr>
          <w:rFonts w:ascii="Gill Sans MT" w:hAnsi="Gill Sans MT"/>
          <w:sz w:val="24"/>
          <w:szCs w:val="24"/>
        </w:rPr>
        <w:t xml:space="preserve"> this account, it seems, everything can and should and must be precisely accounted for, put in its right place once and for </w:t>
      </w:r>
      <w:r>
        <w:rPr>
          <w:rFonts w:ascii="Gill Sans MT" w:hAnsi="Gill Sans MT"/>
          <w:sz w:val="24"/>
          <w:szCs w:val="24"/>
        </w:rPr>
        <w:t>all</w:t>
      </w:r>
      <w:r w:rsidRPr="00FE3A70">
        <w:rPr>
          <w:rFonts w:ascii="Gill Sans MT" w:hAnsi="Gill Sans MT"/>
          <w:sz w:val="24"/>
          <w:szCs w:val="24"/>
        </w:rPr>
        <w:t xml:space="preserve">. </w:t>
      </w:r>
      <w:r>
        <w:rPr>
          <w:rFonts w:ascii="Gill Sans MT" w:hAnsi="Gill Sans MT"/>
          <w:sz w:val="24"/>
          <w:szCs w:val="24"/>
        </w:rPr>
        <w:t xml:space="preserve">However, critical scholars of peacebuilding have long warned that such strategies can ‘reify and validate the existing global and orthodox project of liberalism built into the liberal state and international system’ by obscuring the violence that </w:t>
      </w:r>
      <w:r>
        <w:rPr>
          <w:rFonts w:ascii="Gill Sans MT" w:hAnsi="Gill Sans MT"/>
          <w:sz w:val="24"/>
          <w:szCs w:val="24"/>
        </w:rPr>
        <w:lastRenderedPageBreak/>
        <w:t>underpins the liberal project and delegitimising desires that cannot easily be incorporated into it.</w:t>
      </w:r>
      <w:r>
        <w:rPr>
          <w:rStyle w:val="FootnoteReference"/>
          <w:rFonts w:ascii="Gill Sans MT" w:hAnsi="Gill Sans MT"/>
          <w:sz w:val="24"/>
          <w:szCs w:val="24"/>
        </w:rPr>
        <w:footnoteReference w:id="56"/>
      </w:r>
    </w:p>
    <w:p w14:paraId="77AB256F" w14:textId="77777777" w:rsidR="000F6FC6" w:rsidRPr="00FE3A70" w:rsidRDefault="000F6FC6" w:rsidP="000F6FC6">
      <w:pPr>
        <w:spacing w:after="0" w:line="480" w:lineRule="auto"/>
        <w:ind w:firstLine="720"/>
        <w:jc w:val="both"/>
        <w:rPr>
          <w:rFonts w:ascii="Gill Sans MT" w:hAnsi="Gill Sans MT"/>
          <w:sz w:val="24"/>
          <w:szCs w:val="24"/>
        </w:rPr>
      </w:pPr>
      <w:r>
        <w:rPr>
          <w:rFonts w:ascii="Gill Sans MT" w:hAnsi="Gill Sans MT"/>
          <w:sz w:val="24"/>
          <w:szCs w:val="24"/>
        </w:rPr>
        <w:t>The</w:t>
      </w:r>
      <w:r w:rsidRPr="00FE3A70">
        <w:rPr>
          <w:rFonts w:ascii="Gill Sans MT" w:hAnsi="Gill Sans MT"/>
          <w:sz w:val="24"/>
          <w:szCs w:val="24"/>
        </w:rPr>
        <w:t xml:space="preserve"> division between ‘perpetrator’ and ‘victim’ </w:t>
      </w:r>
      <w:r>
        <w:rPr>
          <w:rFonts w:ascii="Gill Sans MT" w:hAnsi="Gill Sans MT"/>
          <w:sz w:val="24"/>
          <w:szCs w:val="24"/>
        </w:rPr>
        <w:t xml:space="preserve">that </w:t>
      </w:r>
      <w:r>
        <w:rPr>
          <w:rFonts w:ascii="Gill Sans MT" w:hAnsi="Gill Sans MT"/>
          <w:i/>
          <w:sz w:val="24"/>
          <w:szCs w:val="24"/>
        </w:rPr>
        <w:t>Sierrarat</w:t>
      </w:r>
      <w:r>
        <w:rPr>
          <w:rFonts w:ascii="Gill Sans MT" w:hAnsi="Gill Sans MT"/>
          <w:sz w:val="24"/>
          <w:szCs w:val="24"/>
        </w:rPr>
        <w:t xml:space="preserve">’s use of </w:t>
      </w:r>
      <w:r w:rsidRPr="00FE3A70">
        <w:rPr>
          <w:rFonts w:ascii="Gill Sans MT" w:hAnsi="Gill Sans MT"/>
          <w:sz w:val="24"/>
          <w:szCs w:val="24"/>
        </w:rPr>
        <w:t xml:space="preserve">the cat/mouse </w:t>
      </w:r>
      <w:r w:rsidRPr="00FE3A70">
        <w:rPr>
          <w:rFonts w:ascii="Gill Sans MT" w:hAnsi="Gill Sans MT"/>
          <w:i/>
          <w:sz w:val="24"/>
          <w:szCs w:val="24"/>
        </w:rPr>
        <w:t>motif</w:t>
      </w:r>
      <w:r>
        <w:rPr>
          <w:rFonts w:ascii="Gill Sans MT" w:hAnsi="Gill Sans MT"/>
          <w:i/>
          <w:sz w:val="24"/>
          <w:szCs w:val="24"/>
        </w:rPr>
        <w:t xml:space="preserve"> </w:t>
      </w:r>
      <w:r>
        <w:rPr>
          <w:rFonts w:ascii="Gill Sans MT" w:hAnsi="Gill Sans MT"/>
          <w:sz w:val="24"/>
          <w:szCs w:val="24"/>
        </w:rPr>
        <w:t>both sets up and resolves is further complicated by the fact that this is a fault line</w:t>
      </w:r>
      <w:r w:rsidRPr="00FE3A70">
        <w:rPr>
          <w:rFonts w:ascii="Gill Sans MT" w:hAnsi="Gill Sans MT"/>
          <w:sz w:val="24"/>
          <w:szCs w:val="24"/>
        </w:rPr>
        <w:t xml:space="preserve"> </w:t>
      </w:r>
      <w:r>
        <w:rPr>
          <w:rFonts w:ascii="Gill Sans MT" w:hAnsi="Gill Sans MT"/>
          <w:sz w:val="24"/>
          <w:szCs w:val="24"/>
        </w:rPr>
        <w:t>that</w:t>
      </w:r>
      <w:r w:rsidRPr="00FE3A70">
        <w:rPr>
          <w:rFonts w:ascii="Gill Sans MT" w:hAnsi="Gill Sans MT"/>
          <w:sz w:val="24"/>
          <w:szCs w:val="24"/>
        </w:rPr>
        <w:t xml:space="preserve"> </w:t>
      </w:r>
      <w:r>
        <w:rPr>
          <w:rFonts w:ascii="Gill Sans MT" w:hAnsi="Gill Sans MT"/>
          <w:sz w:val="24"/>
          <w:szCs w:val="24"/>
        </w:rPr>
        <w:t>ha</w:t>
      </w:r>
      <w:r w:rsidRPr="00FE3A70">
        <w:rPr>
          <w:rFonts w:ascii="Gill Sans MT" w:hAnsi="Gill Sans MT"/>
          <w:sz w:val="24"/>
          <w:szCs w:val="24"/>
        </w:rPr>
        <w:t>s not</w:t>
      </w:r>
      <w:r>
        <w:rPr>
          <w:rFonts w:ascii="Gill Sans MT" w:hAnsi="Gill Sans MT"/>
          <w:sz w:val="24"/>
          <w:szCs w:val="24"/>
        </w:rPr>
        <w:t xml:space="preserve"> </w:t>
      </w:r>
      <w:r w:rsidRPr="00FE3A70">
        <w:rPr>
          <w:rFonts w:ascii="Gill Sans MT" w:hAnsi="Gill Sans MT"/>
          <w:sz w:val="24"/>
          <w:szCs w:val="24"/>
        </w:rPr>
        <w:t xml:space="preserve">commonly </w:t>
      </w:r>
      <w:r>
        <w:rPr>
          <w:rFonts w:ascii="Gill Sans MT" w:hAnsi="Gill Sans MT"/>
          <w:sz w:val="24"/>
          <w:szCs w:val="24"/>
        </w:rPr>
        <w:t xml:space="preserve">been </w:t>
      </w:r>
      <w:r w:rsidRPr="00FE3A70">
        <w:rPr>
          <w:rFonts w:ascii="Gill Sans MT" w:hAnsi="Gill Sans MT"/>
          <w:sz w:val="24"/>
          <w:szCs w:val="24"/>
        </w:rPr>
        <w:t xml:space="preserve">cited by Sierra Leoneans themselves. As </w:t>
      </w:r>
      <w:r>
        <w:rPr>
          <w:rFonts w:ascii="Gill Sans MT" w:hAnsi="Gill Sans MT"/>
          <w:sz w:val="24"/>
          <w:szCs w:val="24"/>
        </w:rPr>
        <w:t>Gearoid Millar</w:t>
      </w:r>
      <w:r w:rsidRPr="00FE3A70">
        <w:rPr>
          <w:rFonts w:ascii="Gill Sans MT" w:hAnsi="Gill Sans MT"/>
          <w:sz w:val="24"/>
          <w:szCs w:val="24"/>
        </w:rPr>
        <w:t xml:space="preserve"> </w:t>
      </w:r>
      <w:r>
        <w:rPr>
          <w:rFonts w:ascii="Gill Sans MT" w:hAnsi="Gill Sans MT"/>
          <w:sz w:val="24"/>
          <w:szCs w:val="24"/>
        </w:rPr>
        <w:t>has argued</w:t>
      </w:r>
      <w:r w:rsidRPr="00FE3A70">
        <w:rPr>
          <w:rFonts w:ascii="Gill Sans MT" w:hAnsi="Gill Sans MT"/>
          <w:sz w:val="24"/>
          <w:szCs w:val="24"/>
        </w:rPr>
        <w:t xml:space="preserve">, </w:t>
      </w:r>
      <w:r>
        <w:rPr>
          <w:rFonts w:ascii="Gill Sans MT" w:hAnsi="Gill Sans MT"/>
          <w:sz w:val="24"/>
          <w:szCs w:val="24"/>
        </w:rPr>
        <w:t>the frequency with which actors switched sides and the commonplace profession of multiple, provisional and/or variable allegiances frustrates</w:t>
      </w:r>
      <w:r w:rsidRPr="00FE3A70">
        <w:rPr>
          <w:rFonts w:ascii="Gill Sans MT" w:hAnsi="Gill Sans MT"/>
          <w:sz w:val="24"/>
          <w:szCs w:val="24"/>
        </w:rPr>
        <w:t xml:space="preserve"> attempts to mark individuals as ‘guilty’ perpetrators or ‘innocent’ victims.</w:t>
      </w:r>
      <w:r w:rsidRPr="00112693">
        <w:rPr>
          <w:rStyle w:val="FootnoteReference"/>
          <w:rFonts w:ascii="Gill Sans MT" w:hAnsi="Gill Sans MT"/>
          <w:sz w:val="24"/>
          <w:szCs w:val="24"/>
        </w:rPr>
        <w:t xml:space="preserve"> </w:t>
      </w:r>
      <w:r w:rsidRPr="00FE3A70">
        <w:rPr>
          <w:rStyle w:val="FootnoteReference"/>
          <w:rFonts w:ascii="Gill Sans MT" w:hAnsi="Gill Sans MT"/>
          <w:sz w:val="24"/>
          <w:szCs w:val="24"/>
        </w:rPr>
        <w:footnoteReference w:id="57"/>
      </w:r>
      <w:r w:rsidRPr="00FE3A70">
        <w:rPr>
          <w:rFonts w:ascii="Gill Sans MT" w:hAnsi="Gill Sans MT"/>
          <w:sz w:val="24"/>
          <w:szCs w:val="24"/>
        </w:rPr>
        <w:t xml:space="preserve">  </w:t>
      </w:r>
      <w:r>
        <w:rPr>
          <w:rFonts w:ascii="Gill Sans MT" w:hAnsi="Gill Sans MT"/>
          <w:sz w:val="24"/>
          <w:szCs w:val="24"/>
        </w:rPr>
        <w:t xml:space="preserve">One consequence of </w:t>
      </w:r>
      <w:r w:rsidRPr="00FE3A70">
        <w:rPr>
          <w:rFonts w:ascii="Gill Sans MT" w:hAnsi="Gill Sans MT"/>
          <w:i/>
          <w:sz w:val="24"/>
          <w:szCs w:val="24"/>
        </w:rPr>
        <w:t>Sierrarat</w:t>
      </w:r>
      <w:r w:rsidRPr="00FE3A70">
        <w:rPr>
          <w:rFonts w:ascii="Gill Sans MT" w:hAnsi="Gill Sans MT"/>
          <w:sz w:val="24"/>
          <w:szCs w:val="24"/>
        </w:rPr>
        <w:t xml:space="preserve">’s prioritisation of this division </w:t>
      </w:r>
      <w:r>
        <w:rPr>
          <w:rFonts w:ascii="Gill Sans MT" w:hAnsi="Gill Sans MT"/>
          <w:sz w:val="24"/>
          <w:szCs w:val="24"/>
        </w:rPr>
        <w:t xml:space="preserve">is that it </w:t>
      </w:r>
      <w:r w:rsidRPr="00FE3A70">
        <w:rPr>
          <w:rFonts w:ascii="Gill Sans MT" w:hAnsi="Gill Sans MT"/>
          <w:sz w:val="24"/>
          <w:szCs w:val="24"/>
        </w:rPr>
        <w:t>masks the economic, gendered and inter-generational patterns of violence that have more frequently characterised the Civil War in the minds of those who experienced it</w:t>
      </w:r>
      <w:r>
        <w:rPr>
          <w:rFonts w:ascii="Gill Sans MT" w:hAnsi="Gill Sans MT"/>
          <w:sz w:val="24"/>
          <w:szCs w:val="24"/>
        </w:rPr>
        <w:t>. According to Millar, Sierra Leoneans have</w:t>
      </w:r>
      <w:r w:rsidRPr="00FE3A70">
        <w:rPr>
          <w:rFonts w:ascii="Gill Sans MT" w:hAnsi="Gill Sans MT"/>
          <w:sz w:val="24"/>
          <w:szCs w:val="24"/>
        </w:rPr>
        <w:t xml:space="preserve"> </w:t>
      </w:r>
      <w:r>
        <w:rPr>
          <w:rFonts w:ascii="Gill Sans MT" w:hAnsi="Gill Sans MT"/>
          <w:sz w:val="24"/>
          <w:szCs w:val="24"/>
        </w:rPr>
        <w:t>tended to make sense of the conflict in terms of</w:t>
      </w:r>
      <w:r w:rsidRPr="00FE3A70">
        <w:rPr>
          <w:rFonts w:ascii="Gill Sans MT" w:hAnsi="Gill Sans MT"/>
          <w:sz w:val="24"/>
          <w:szCs w:val="24"/>
        </w:rPr>
        <w:t xml:space="preserve"> structural factors</w:t>
      </w:r>
      <w:r>
        <w:rPr>
          <w:rFonts w:ascii="Gill Sans MT" w:hAnsi="Gill Sans MT"/>
          <w:sz w:val="24"/>
          <w:szCs w:val="24"/>
        </w:rPr>
        <w:t xml:space="preserve"> such as poverty and lack of opportunity, for example, not in terms of individuals who can be classified according to a binary distinction between those who perpetrated violence and those who were victims of it</w:t>
      </w:r>
      <w:r w:rsidRPr="00FE3A70">
        <w:rPr>
          <w:rFonts w:ascii="Gill Sans MT" w:hAnsi="Gill Sans MT"/>
          <w:sz w:val="24"/>
          <w:szCs w:val="24"/>
        </w:rPr>
        <w:t>.</w:t>
      </w:r>
      <w:r w:rsidRPr="00FE3A70">
        <w:rPr>
          <w:rStyle w:val="FootnoteReference"/>
          <w:rFonts w:ascii="Gill Sans MT" w:hAnsi="Gill Sans MT"/>
          <w:sz w:val="24"/>
          <w:szCs w:val="24"/>
        </w:rPr>
        <w:footnoteReference w:id="58"/>
      </w:r>
      <w:r w:rsidRPr="00FE3A70">
        <w:rPr>
          <w:rFonts w:ascii="Gill Sans MT" w:hAnsi="Gill Sans MT"/>
          <w:sz w:val="24"/>
          <w:szCs w:val="24"/>
        </w:rPr>
        <w:t xml:space="preserve"> </w:t>
      </w:r>
    </w:p>
    <w:p w14:paraId="7BC80776" w14:textId="77777777" w:rsidR="000F6FC6" w:rsidRPr="00FE3A70" w:rsidRDefault="000F6FC6" w:rsidP="000F6FC6">
      <w:pPr>
        <w:spacing w:after="0" w:line="480" w:lineRule="auto"/>
        <w:ind w:firstLine="720"/>
        <w:jc w:val="both"/>
        <w:rPr>
          <w:rFonts w:ascii="Gill Sans MT" w:hAnsi="Gill Sans MT"/>
          <w:i/>
          <w:sz w:val="24"/>
          <w:szCs w:val="24"/>
        </w:rPr>
      </w:pPr>
      <w:r w:rsidRPr="00FE3A70">
        <w:rPr>
          <w:rFonts w:ascii="Gill Sans MT" w:hAnsi="Gill Sans MT"/>
          <w:sz w:val="24"/>
          <w:szCs w:val="24"/>
        </w:rPr>
        <w:t xml:space="preserve">The shortcomings of the victim/perpetrator binary is particularly evident in the comic’s handling of the delicate and ambiguous status of child soldiers: although one particular narrative thread sees two rat children called Ratlamin and Ratmanu coerced </w:t>
      </w:r>
      <w:r w:rsidRPr="00FE3A70">
        <w:rPr>
          <w:rFonts w:ascii="Gill Sans MT" w:hAnsi="Gill Sans MT"/>
          <w:sz w:val="24"/>
          <w:szCs w:val="24"/>
        </w:rPr>
        <w:lastRenderedPageBreak/>
        <w:t>into fighting and committing war crimes, another panel displays a child soldier as a cat.</w:t>
      </w:r>
      <w:r w:rsidRPr="00FE3A70">
        <w:rPr>
          <w:rStyle w:val="FootnoteReference"/>
          <w:rFonts w:ascii="Gill Sans MT" w:hAnsi="Gill Sans MT"/>
          <w:sz w:val="24"/>
          <w:szCs w:val="24"/>
        </w:rPr>
        <w:footnoteReference w:id="59"/>
      </w:r>
      <w:r w:rsidRPr="00FE3A70">
        <w:rPr>
          <w:rFonts w:ascii="Gill Sans MT" w:hAnsi="Gill Sans MT"/>
          <w:sz w:val="24"/>
          <w:szCs w:val="24"/>
        </w:rPr>
        <w:t xml:space="preserve"> The comic’s indecision as to the victim-rat/perpetrator-cat status of these individuals betrays the shortcomings of its taxonomy: child soldiers can be </w:t>
      </w:r>
      <w:r w:rsidRPr="00FE3A70">
        <w:rPr>
          <w:rFonts w:ascii="Gill Sans MT" w:hAnsi="Gill Sans MT"/>
          <w:i/>
          <w:sz w:val="24"/>
          <w:szCs w:val="24"/>
        </w:rPr>
        <w:t>either</w:t>
      </w:r>
      <w:r w:rsidRPr="00FE3A70">
        <w:rPr>
          <w:rFonts w:ascii="Gill Sans MT" w:hAnsi="Gill Sans MT"/>
          <w:sz w:val="24"/>
          <w:szCs w:val="24"/>
        </w:rPr>
        <w:t xml:space="preserve"> victims </w:t>
      </w:r>
      <w:r w:rsidRPr="00FE3A70">
        <w:rPr>
          <w:rFonts w:ascii="Gill Sans MT" w:hAnsi="Gill Sans MT"/>
          <w:i/>
          <w:sz w:val="24"/>
          <w:szCs w:val="24"/>
        </w:rPr>
        <w:t>or</w:t>
      </w:r>
      <w:r w:rsidRPr="00FE3A70">
        <w:rPr>
          <w:rFonts w:ascii="Gill Sans MT" w:hAnsi="Gill Sans MT"/>
          <w:sz w:val="24"/>
          <w:szCs w:val="24"/>
        </w:rPr>
        <w:t xml:space="preserve"> perpetrators, but there is no grey space in between, and hence no way to acknowledge the legal and ethical complexity of their status, in which they are simultaneously both and neither.</w:t>
      </w:r>
      <w:r w:rsidRPr="00FE3A70">
        <w:rPr>
          <w:rStyle w:val="FootnoteReference"/>
          <w:rFonts w:ascii="Gill Sans MT" w:hAnsi="Gill Sans MT"/>
          <w:sz w:val="24"/>
          <w:szCs w:val="24"/>
        </w:rPr>
        <w:footnoteReference w:id="60"/>
      </w:r>
    </w:p>
    <w:p w14:paraId="43D328B0"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t>In this respect the comic is not only at odds with the experiences of Sierra Leoneans but also with the text it accompanies, which presents a far more nuanced account of difference, victimhood, responsibility and guilt within Sierra Leonean society. The text goes to some lengths to emphasise the complexity and messiness of post-conflict Sierra Leonean society, recognising (for example) the ways in which rape victims were commonly ostracised from their societies and families.</w:t>
      </w:r>
      <w:r w:rsidRPr="00FE3A70">
        <w:rPr>
          <w:rStyle w:val="FootnoteReference"/>
          <w:rFonts w:ascii="Gill Sans MT" w:hAnsi="Gill Sans MT"/>
          <w:sz w:val="24"/>
          <w:szCs w:val="24"/>
        </w:rPr>
        <w:footnoteReference w:id="61"/>
      </w:r>
      <w:r w:rsidRPr="00FE3A70">
        <w:rPr>
          <w:rFonts w:ascii="Gill Sans MT" w:hAnsi="Gill Sans MT"/>
          <w:sz w:val="24"/>
          <w:szCs w:val="24"/>
        </w:rPr>
        <w:t xml:space="preserve"> However, in the comic itself, sexual violence functions as a vector through which the victim-perpetrator distinction can be both reinforced and overcome: a rape victim who is welcomed back into her family after the conflict ends is one of the seven figures holding hands in this final panel.</w:t>
      </w:r>
      <w:r w:rsidRPr="00FE3A70">
        <w:rPr>
          <w:rStyle w:val="FootnoteReference"/>
          <w:rFonts w:ascii="Gill Sans MT" w:hAnsi="Gill Sans MT"/>
          <w:sz w:val="24"/>
          <w:szCs w:val="24"/>
        </w:rPr>
        <w:footnoteReference w:id="62"/>
      </w:r>
      <w:r w:rsidRPr="00FE3A70">
        <w:rPr>
          <w:rFonts w:ascii="Gill Sans MT" w:hAnsi="Gill Sans MT"/>
          <w:sz w:val="24"/>
          <w:szCs w:val="24"/>
        </w:rPr>
        <w:t xml:space="preserve"> </w:t>
      </w:r>
    </w:p>
    <w:p w14:paraId="16CCB44B" w14:textId="0B5055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i/>
          <w:sz w:val="24"/>
          <w:szCs w:val="24"/>
        </w:rPr>
        <w:lastRenderedPageBreak/>
        <w:tab/>
      </w:r>
      <w:r w:rsidRPr="00FE3A70">
        <w:rPr>
          <w:rFonts w:ascii="Gill Sans MT" w:hAnsi="Gill Sans MT"/>
          <w:sz w:val="24"/>
          <w:szCs w:val="24"/>
        </w:rPr>
        <w:t xml:space="preserve">The problems that </w:t>
      </w:r>
      <w:r w:rsidRPr="00FE3A70">
        <w:rPr>
          <w:rFonts w:ascii="Gill Sans MT" w:hAnsi="Gill Sans MT"/>
          <w:i/>
          <w:sz w:val="24"/>
          <w:szCs w:val="24"/>
        </w:rPr>
        <w:t>Sierrarat</w:t>
      </w:r>
      <w:r w:rsidRPr="00FE3A70">
        <w:rPr>
          <w:rFonts w:ascii="Gill Sans MT" w:hAnsi="Gill Sans MT"/>
          <w:sz w:val="24"/>
          <w:szCs w:val="24"/>
        </w:rPr>
        <w:t xml:space="preserve">’s ontology of reconciliation encounters when brought into dialogue with the complex dynamics at play during and after the Sierra Leonean conflict are thrown into still sharper relief when compared with </w:t>
      </w:r>
      <w:r w:rsidRPr="00FE3A70">
        <w:rPr>
          <w:rFonts w:ascii="Gill Sans MT" w:hAnsi="Gill Sans MT"/>
          <w:i/>
          <w:sz w:val="24"/>
          <w:szCs w:val="24"/>
        </w:rPr>
        <w:t>Maus</w:t>
      </w:r>
      <w:r w:rsidRPr="00FE3A70">
        <w:rPr>
          <w:rFonts w:ascii="Gill Sans MT" w:hAnsi="Gill Sans MT"/>
          <w:sz w:val="24"/>
          <w:szCs w:val="24"/>
        </w:rPr>
        <w:t>.</w:t>
      </w:r>
      <w:r w:rsidR="006106AD">
        <w:rPr>
          <w:rStyle w:val="FootnoteReference"/>
          <w:rFonts w:ascii="Gill Sans MT" w:hAnsi="Gill Sans MT"/>
          <w:sz w:val="24"/>
          <w:szCs w:val="24"/>
        </w:rPr>
        <w:footnoteReference w:id="63"/>
      </w:r>
      <w:r w:rsidRPr="00FE3A70">
        <w:rPr>
          <w:rFonts w:ascii="Gill Sans MT" w:hAnsi="Gill Sans MT"/>
          <w:sz w:val="24"/>
          <w:szCs w:val="24"/>
        </w:rPr>
        <w:t xml:space="preserve"> Although </w:t>
      </w:r>
      <w:r w:rsidRPr="00FE3A70">
        <w:rPr>
          <w:rFonts w:ascii="Gill Sans MT" w:hAnsi="Gill Sans MT"/>
          <w:i/>
          <w:sz w:val="24"/>
          <w:szCs w:val="24"/>
        </w:rPr>
        <w:t>Maus</w:t>
      </w:r>
      <w:r w:rsidRPr="00FE3A70">
        <w:rPr>
          <w:rFonts w:ascii="Gill Sans MT" w:hAnsi="Gill Sans MT"/>
          <w:sz w:val="24"/>
          <w:szCs w:val="24"/>
        </w:rPr>
        <w:t xml:space="preserve"> portrays Jews as mice and Germans as cats, reproducing the reified, racialised identity categories imposed by the Nazis themselves,</w:t>
      </w:r>
      <w:r w:rsidRPr="00FE3A70">
        <w:rPr>
          <w:rStyle w:val="FootnoteReference"/>
          <w:rFonts w:ascii="Gill Sans MT" w:hAnsi="Gill Sans MT"/>
          <w:sz w:val="24"/>
          <w:szCs w:val="24"/>
        </w:rPr>
        <w:footnoteReference w:id="64"/>
      </w:r>
      <w:r w:rsidRPr="00FE3A70">
        <w:rPr>
          <w:rFonts w:ascii="Gill Sans MT" w:hAnsi="Gill Sans MT"/>
          <w:sz w:val="24"/>
          <w:szCs w:val="24"/>
        </w:rPr>
        <w:t xml:space="preserve"> the partiality and contingency of this classification is made apparent in the numerous sections in which Spiegelman refers to his own creative process. In some of these, Art is represented as a human with a mouse mask, whil</w:t>
      </w:r>
      <w:r w:rsidR="00303168">
        <w:rPr>
          <w:rFonts w:ascii="Gill Sans MT" w:hAnsi="Gill Sans MT"/>
          <w:sz w:val="24"/>
          <w:szCs w:val="24"/>
        </w:rPr>
        <w:t>e</w:t>
      </w:r>
      <w:r w:rsidRPr="00FE3A70">
        <w:rPr>
          <w:rFonts w:ascii="Gill Sans MT" w:hAnsi="Gill Sans MT"/>
          <w:sz w:val="24"/>
          <w:szCs w:val="24"/>
        </w:rPr>
        <w:t xml:space="preserve"> in another, Art discusses with his (French, converted-Jewish) wife Françoise how she should be drawn</w:t>
      </w:r>
      <w:r w:rsidR="00303168">
        <w:rPr>
          <w:rFonts w:ascii="Gill Sans MT" w:hAnsi="Gill Sans MT"/>
          <w:sz w:val="24"/>
          <w:szCs w:val="24"/>
        </w:rPr>
        <w:t>: as a mouse, a frog, a moose, a rabbit or a poodle</w:t>
      </w:r>
      <w:r w:rsidRPr="00FE3A70">
        <w:rPr>
          <w:rFonts w:ascii="Gill Sans MT" w:hAnsi="Gill Sans MT"/>
          <w:sz w:val="24"/>
          <w:szCs w:val="24"/>
        </w:rPr>
        <w:t>.</w:t>
      </w:r>
      <w:r w:rsidRPr="00FE3A70">
        <w:rPr>
          <w:rStyle w:val="FootnoteReference"/>
          <w:rFonts w:ascii="Gill Sans MT" w:hAnsi="Gill Sans MT"/>
          <w:sz w:val="24"/>
          <w:szCs w:val="24"/>
        </w:rPr>
        <w:footnoteReference w:id="65"/>
      </w:r>
      <w:r w:rsidRPr="00FE3A70">
        <w:rPr>
          <w:rFonts w:ascii="Gill Sans MT" w:hAnsi="Gill Sans MT"/>
          <w:sz w:val="24"/>
          <w:szCs w:val="24"/>
        </w:rPr>
        <w:t xml:space="preserve"> </w:t>
      </w:r>
    </w:p>
    <w:p w14:paraId="3ABE24BE" w14:textId="773D69AA" w:rsidR="000F6FC6" w:rsidRPr="00FE3A70" w:rsidRDefault="000F6FC6" w:rsidP="00312579">
      <w:pPr>
        <w:spacing w:after="0" w:line="480" w:lineRule="auto"/>
        <w:ind w:firstLine="720"/>
        <w:jc w:val="both"/>
        <w:rPr>
          <w:rFonts w:ascii="Gill Sans MT" w:hAnsi="Gill Sans MT"/>
          <w:sz w:val="24"/>
          <w:szCs w:val="24"/>
        </w:rPr>
      </w:pPr>
      <w:r w:rsidRPr="00FE3A70">
        <w:rPr>
          <w:rFonts w:ascii="Gill Sans MT" w:hAnsi="Gill Sans MT"/>
          <w:sz w:val="24"/>
          <w:szCs w:val="24"/>
        </w:rPr>
        <w:t xml:space="preserve">The cat-mouse trope is not adopted here in order to draw a binary moral distinction between ‘victim’ and ‘perpetrator’, </w:t>
      </w:r>
      <w:r>
        <w:rPr>
          <w:rFonts w:ascii="Gill Sans MT" w:hAnsi="Gill Sans MT"/>
          <w:sz w:val="24"/>
          <w:szCs w:val="24"/>
        </w:rPr>
        <w:t xml:space="preserve">then, </w:t>
      </w:r>
      <w:r w:rsidRPr="00FE3A70">
        <w:rPr>
          <w:rFonts w:ascii="Gill Sans MT" w:hAnsi="Gill Sans MT"/>
          <w:sz w:val="24"/>
          <w:szCs w:val="24"/>
        </w:rPr>
        <w:t>but rather as a way of discussing and exploring the complexities and partialities obscured by such simplistic identity claims. In Spiegelman’s words, ‘I liked working with a metaphor that didn’t work all that well… it would be fatuous to move in the direction of Aesop’s Fables. The work would just turn fatuous and fake’.</w:t>
      </w:r>
      <w:r w:rsidRPr="00FE3A70">
        <w:rPr>
          <w:rStyle w:val="FootnoteReference"/>
          <w:rFonts w:ascii="Gill Sans MT" w:hAnsi="Gill Sans MT"/>
          <w:sz w:val="24"/>
          <w:szCs w:val="24"/>
        </w:rPr>
        <w:footnoteReference w:id="66"/>
      </w:r>
      <w:r w:rsidRPr="00FE3A70">
        <w:rPr>
          <w:rFonts w:ascii="Gill Sans MT" w:hAnsi="Gill Sans MT"/>
          <w:sz w:val="24"/>
          <w:szCs w:val="24"/>
        </w:rPr>
        <w:t xml:space="preserve"> </w:t>
      </w:r>
      <w:r>
        <w:rPr>
          <w:rFonts w:ascii="Gill Sans MT" w:hAnsi="Gill Sans MT"/>
          <w:i/>
          <w:sz w:val="24"/>
          <w:szCs w:val="24"/>
        </w:rPr>
        <w:t>Maus</w:t>
      </w:r>
      <w:r>
        <w:rPr>
          <w:rFonts w:ascii="Gill Sans MT" w:hAnsi="Gill Sans MT"/>
          <w:sz w:val="24"/>
          <w:szCs w:val="24"/>
        </w:rPr>
        <w:t xml:space="preserve"> thus ‘involved [Spiegelman] producing, however contingently, identity affiliations… with which [he was] uncomfortable’, leading, as Hillary Chute has </w:t>
      </w:r>
      <w:r>
        <w:rPr>
          <w:rFonts w:ascii="Gill Sans MT" w:hAnsi="Gill Sans MT"/>
          <w:sz w:val="24"/>
          <w:szCs w:val="24"/>
        </w:rPr>
        <w:lastRenderedPageBreak/>
        <w:t>pointed out, to an unsettling tension between its status ‘as testimony and history, despite… its [apparent] iteration in the funny animal genre</w:t>
      </w:r>
      <w:r w:rsidR="00B837F1">
        <w:rPr>
          <w:rFonts w:ascii="Gill Sans MT" w:hAnsi="Gill Sans MT"/>
          <w:sz w:val="24"/>
          <w:szCs w:val="24"/>
        </w:rPr>
        <w:t xml:space="preserve"> [of comics]</w:t>
      </w:r>
      <w:r>
        <w:rPr>
          <w:rFonts w:ascii="Gill Sans MT" w:hAnsi="Gill Sans MT"/>
          <w:sz w:val="24"/>
          <w:szCs w:val="24"/>
        </w:rPr>
        <w:t>’.</w:t>
      </w:r>
      <w:r>
        <w:rPr>
          <w:rStyle w:val="FootnoteReference"/>
          <w:rFonts w:ascii="Gill Sans MT" w:hAnsi="Gill Sans MT"/>
          <w:sz w:val="24"/>
          <w:szCs w:val="24"/>
        </w:rPr>
        <w:footnoteReference w:id="67"/>
      </w:r>
      <w:r>
        <w:rPr>
          <w:rFonts w:ascii="Gill Sans MT" w:hAnsi="Gill Sans MT"/>
          <w:sz w:val="24"/>
          <w:szCs w:val="24"/>
        </w:rPr>
        <w:t xml:space="preserve"> At the end of the comic, this tension remains unresolved. </w:t>
      </w:r>
      <w:r w:rsidRPr="00FE3A70">
        <w:rPr>
          <w:rFonts w:ascii="Gill Sans MT" w:hAnsi="Gill Sans MT"/>
          <w:i/>
          <w:sz w:val="24"/>
          <w:szCs w:val="24"/>
        </w:rPr>
        <w:t>Maus</w:t>
      </w:r>
      <w:r w:rsidRPr="00FE3A70">
        <w:rPr>
          <w:rFonts w:ascii="Gill Sans MT" w:hAnsi="Gill Sans MT"/>
          <w:sz w:val="24"/>
          <w:szCs w:val="24"/>
        </w:rPr>
        <w:t xml:space="preserve"> does not end with a statement of pan-racial unity, but rather with Art’s father Vladek asking Art to turn off his tape recorder as he goes to bed. Drifting off, Vladek absent-mindedly refers to ‘Richieu’, Art’s older brother, born in 1937 and poisoned by Vladek’s friend Tosha in 1943 in order to prevent his transport to Auschwitz.</w:t>
      </w:r>
      <w:r w:rsidRPr="00FE3A70">
        <w:rPr>
          <w:rStyle w:val="FootnoteReference"/>
          <w:rFonts w:ascii="Gill Sans MT" w:hAnsi="Gill Sans MT"/>
          <w:sz w:val="24"/>
          <w:szCs w:val="24"/>
        </w:rPr>
        <w:footnoteReference w:id="68"/>
      </w:r>
      <w:r w:rsidRPr="00FE3A70">
        <w:rPr>
          <w:rFonts w:ascii="Gill Sans MT" w:hAnsi="Gill Sans MT"/>
          <w:sz w:val="24"/>
          <w:szCs w:val="24"/>
        </w:rPr>
        <w:t xml:space="preserve"> ‘I’m </w:t>
      </w:r>
      <w:r w:rsidRPr="00FE3A70">
        <w:rPr>
          <w:rFonts w:ascii="Gill Sans MT" w:hAnsi="Gill Sans MT"/>
          <w:i/>
          <w:sz w:val="24"/>
          <w:szCs w:val="24"/>
        </w:rPr>
        <w:t xml:space="preserve">tired </w:t>
      </w:r>
      <w:r w:rsidRPr="00FE3A70">
        <w:rPr>
          <w:rFonts w:ascii="Gill Sans MT" w:hAnsi="Gill Sans MT"/>
          <w:sz w:val="24"/>
          <w:szCs w:val="24"/>
        </w:rPr>
        <w:t>from talking, Richieu, and it’s enough stories for now’.</w:t>
      </w:r>
      <w:r w:rsidRPr="00FE3A70">
        <w:rPr>
          <w:rStyle w:val="FootnoteReference"/>
          <w:rFonts w:ascii="Gill Sans MT" w:hAnsi="Gill Sans MT"/>
          <w:sz w:val="24"/>
          <w:szCs w:val="24"/>
        </w:rPr>
        <w:footnoteReference w:id="69"/>
      </w:r>
      <w:r w:rsidRPr="00FE3A70">
        <w:rPr>
          <w:rFonts w:ascii="Gill Sans MT" w:hAnsi="Gill Sans MT"/>
          <w:sz w:val="24"/>
          <w:szCs w:val="24"/>
        </w:rPr>
        <w:t xml:space="preserve"> </w:t>
      </w:r>
      <w:r w:rsidRPr="00FE3A70">
        <w:rPr>
          <w:rFonts w:ascii="Gill Sans MT" w:hAnsi="Gill Sans MT"/>
          <w:i/>
          <w:sz w:val="24"/>
          <w:szCs w:val="24"/>
        </w:rPr>
        <w:t>Maus</w:t>
      </w:r>
      <w:r w:rsidRPr="00FE3A70">
        <w:rPr>
          <w:rFonts w:ascii="Gill Sans MT" w:hAnsi="Gill Sans MT"/>
          <w:sz w:val="24"/>
          <w:szCs w:val="24"/>
        </w:rPr>
        <w:t xml:space="preserve">, then, ends not with a vision of reconciliatory wholeness, but with a reminder of one of the many absences that remain lurking at the end of the comic </w:t>
      </w:r>
      <w:r w:rsidRPr="00FE3A70">
        <w:rPr>
          <w:rFonts w:ascii="Gill Sans MT" w:hAnsi="Gill Sans MT"/>
          <w:i/>
          <w:sz w:val="24"/>
          <w:szCs w:val="24"/>
        </w:rPr>
        <w:t>despite</w:t>
      </w:r>
      <w:r w:rsidRPr="00FE3A70">
        <w:rPr>
          <w:rFonts w:ascii="Gill Sans MT" w:hAnsi="Gill Sans MT"/>
          <w:sz w:val="24"/>
          <w:szCs w:val="24"/>
        </w:rPr>
        <w:t xml:space="preserve"> Vladek’s personal reunion with Anja – mother to both Richieu and Art – at the end of the war. In Vladek’s sleepy identification of Art with Richieu, in other words, one can read a sense of the impossibility of any sort of transcendent post-conflict unity, and the necessity of working </w:t>
      </w:r>
      <w:r w:rsidRPr="00FE3A70">
        <w:rPr>
          <w:rFonts w:ascii="Gill Sans MT" w:hAnsi="Gill Sans MT"/>
          <w:i/>
          <w:sz w:val="24"/>
          <w:szCs w:val="24"/>
        </w:rPr>
        <w:t>with</w:t>
      </w:r>
      <w:r w:rsidRPr="00FE3A70">
        <w:rPr>
          <w:rFonts w:ascii="Gill Sans MT" w:hAnsi="Gill Sans MT"/>
          <w:sz w:val="24"/>
          <w:szCs w:val="24"/>
        </w:rPr>
        <w:t xml:space="preserve"> that lack </w:t>
      </w:r>
      <w:r>
        <w:rPr>
          <w:rFonts w:ascii="Gill Sans MT" w:hAnsi="Gill Sans MT"/>
          <w:sz w:val="24"/>
          <w:szCs w:val="24"/>
        </w:rPr>
        <w:t xml:space="preserve">creatively and productively </w:t>
      </w:r>
      <w:r w:rsidRPr="00FE3A70">
        <w:rPr>
          <w:rFonts w:ascii="Gill Sans MT" w:hAnsi="Gill Sans MT"/>
          <w:sz w:val="24"/>
          <w:szCs w:val="24"/>
        </w:rPr>
        <w:t xml:space="preserve">rather than seeking to draw a veil over it. </w:t>
      </w:r>
    </w:p>
    <w:p w14:paraId="2B947327" w14:textId="77777777" w:rsidR="000F6FC6" w:rsidRPr="00FE3A70" w:rsidRDefault="000F6FC6" w:rsidP="000F6FC6">
      <w:pPr>
        <w:spacing w:after="0" w:line="480" w:lineRule="auto"/>
        <w:jc w:val="both"/>
        <w:rPr>
          <w:rFonts w:ascii="Gill Sans MT" w:hAnsi="Gill Sans MT"/>
          <w:sz w:val="24"/>
          <w:szCs w:val="24"/>
        </w:rPr>
      </w:pPr>
    </w:p>
    <w:p w14:paraId="791268BF"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i/>
          <w:sz w:val="24"/>
          <w:szCs w:val="24"/>
        </w:rPr>
        <w:t>Epistemology &amp; truth</w:t>
      </w:r>
    </w:p>
    <w:p w14:paraId="52494F76" w14:textId="77777777" w:rsidR="000F6FC6" w:rsidRPr="00FE3A70" w:rsidRDefault="000F6FC6" w:rsidP="000F6FC6">
      <w:pPr>
        <w:spacing w:after="0" w:line="480" w:lineRule="auto"/>
        <w:jc w:val="both"/>
        <w:rPr>
          <w:rFonts w:ascii="Gill Sans MT" w:hAnsi="Gill Sans MT"/>
          <w:sz w:val="24"/>
          <w:szCs w:val="24"/>
        </w:rPr>
      </w:pPr>
    </w:p>
    <w:p w14:paraId="617A473E"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lastRenderedPageBreak/>
        <w:t xml:space="preserve">Both </w:t>
      </w:r>
      <w:r w:rsidRPr="00FE3A70">
        <w:rPr>
          <w:rFonts w:ascii="Gill Sans MT" w:hAnsi="Gill Sans MT"/>
          <w:i/>
          <w:sz w:val="24"/>
          <w:szCs w:val="24"/>
        </w:rPr>
        <w:t xml:space="preserve">Sierrarat </w:t>
      </w:r>
      <w:r w:rsidRPr="00FE3A70">
        <w:rPr>
          <w:rFonts w:ascii="Gill Sans MT" w:hAnsi="Gill Sans MT"/>
          <w:sz w:val="24"/>
          <w:szCs w:val="24"/>
        </w:rPr>
        <w:t xml:space="preserve">and </w:t>
      </w:r>
      <w:r w:rsidRPr="00FE3A70">
        <w:rPr>
          <w:rFonts w:ascii="Gill Sans MT" w:hAnsi="Gill Sans MT"/>
          <w:i/>
          <w:sz w:val="24"/>
          <w:szCs w:val="24"/>
        </w:rPr>
        <w:t>Maus</w:t>
      </w:r>
      <w:r w:rsidRPr="00FE3A70">
        <w:rPr>
          <w:rFonts w:ascii="Gill Sans MT" w:hAnsi="Gill Sans MT"/>
          <w:sz w:val="24"/>
          <w:szCs w:val="24"/>
        </w:rPr>
        <w:t xml:space="preserve"> are intimately concerned with the production of knowledge as a means of approaching, understanding and coming to terms with past conflict and atrocity. </w:t>
      </w:r>
      <w:r w:rsidRPr="00FE3A70">
        <w:rPr>
          <w:rFonts w:ascii="Gill Sans MT" w:hAnsi="Gill Sans MT"/>
          <w:i/>
          <w:sz w:val="24"/>
          <w:szCs w:val="24"/>
        </w:rPr>
        <w:t>Sierrarat</w:t>
      </w:r>
      <w:r w:rsidRPr="00FE3A70">
        <w:rPr>
          <w:rFonts w:ascii="Gill Sans MT" w:hAnsi="Gill Sans MT"/>
          <w:sz w:val="24"/>
          <w:szCs w:val="24"/>
        </w:rPr>
        <w:t xml:space="preserve">, for example, constitutes reconciliation as the by-product of a truthful understanding of the Civil War. In so doing, it identifies an inevitable and inexorable path </w:t>
      </w:r>
      <w:r>
        <w:rPr>
          <w:rFonts w:ascii="Gill Sans MT" w:hAnsi="Gill Sans MT"/>
          <w:sz w:val="24"/>
          <w:szCs w:val="24"/>
        </w:rPr>
        <w:t>from</w:t>
      </w:r>
      <w:r w:rsidRPr="00FE3A70">
        <w:rPr>
          <w:rFonts w:ascii="Gill Sans MT" w:hAnsi="Gill Sans MT"/>
          <w:sz w:val="24"/>
          <w:szCs w:val="24"/>
        </w:rPr>
        <w:t xml:space="preserve"> knowledge </w:t>
      </w:r>
      <w:r>
        <w:rPr>
          <w:rFonts w:ascii="Gill Sans MT" w:hAnsi="Gill Sans MT"/>
          <w:sz w:val="24"/>
          <w:szCs w:val="24"/>
        </w:rPr>
        <w:t>towards</w:t>
      </w:r>
      <w:r w:rsidRPr="00FE3A70">
        <w:rPr>
          <w:rFonts w:ascii="Gill Sans MT" w:hAnsi="Gill Sans MT"/>
          <w:sz w:val="24"/>
          <w:szCs w:val="24"/>
        </w:rPr>
        <w:t xml:space="preserve"> peace in which the former is a necessary condition for the latter: ‘We must know and understand, then it won’t happen again’.</w:t>
      </w:r>
      <w:r w:rsidRPr="00FE3A70">
        <w:rPr>
          <w:rStyle w:val="FootnoteReference"/>
          <w:rFonts w:ascii="Gill Sans MT" w:hAnsi="Gill Sans MT"/>
          <w:sz w:val="24"/>
          <w:szCs w:val="24"/>
        </w:rPr>
        <w:footnoteReference w:id="70"/>
      </w:r>
      <w:r w:rsidRPr="00FE3A70">
        <w:rPr>
          <w:rFonts w:ascii="Gill Sans MT" w:hAnsi="Gill Sans MT"/>
          <w:sz w:val="24"/>
          <w:szCs w:val="24"/>
        </w:rPr>
        <w:t xml:space="preserve"> Yet the ‘truth’ that underpins the comic’s proposed trajectory towards reconciliation is understood specifically as that produced by the institutional machinery of the Truth and Reconciliation Commission.</w:t>
      </w:r>
      <w:r w:rsidRPr="00FE3A70">
        <w:rPr>
          <w:rStyle w:val="FootnoteReference"/>
          <w:rFonts w:ascii="Gill Sans MT" w:hAnsi="Gill Sans MT"/>
          <w:sz w:val="24"/>
          <w:szCs w:val="24"/>
        </w:rPr>
        <w:footnoteReference w:id="71"/>
      </w:r>
      <w:r w:rsidRPr="00FE3A70">
        <w:rPr>
          <w:rFonts w:ascii="Gill Sans MT" w:hAnsi="Gill Sans MT"/>
          <w:sz w:val="24"/>
          <w:szCs w:val="24"/>
        </w:rPr>
        <w:t xml:space="preserve"> The narratives constructed by the SLTRC about the Civil War</w:t>
      </w:r>
      <w:r>
        <w:rPr>
          <w:rFonts w:ascii="Gill Sans MT" w:hAnsi="Gill Sans MT"/>
          <w:sz w:val="24"/>
          <w:szCs w:val="24"/>
        </w:rPr>
        <w:t xml:space="preserve"> </w:t>
      </w:r>
      <w:r w:rsidRPr="00FE3A70">
        <w:rPr>
          <w:rFonts w:ascii="Gill Sans MT" w:hAnsi="Gill Sans MT"/>
          <w:sz w:val="24"/>
          <w:szCs w:val="24"/>
        </w:rPr>
        <w:t xml:space="preserve">are </w:t>
      </w:r>
      <w:r>
        <w:rPr>
          <w:rFonts w:ascii="Gill Sans MT" w:hAnsi="Gill Sans MT"/>
          <w:sz w:val="24"/>
          <w:szCs w:val="24"/>
        </w:rPr>
        <w:t xml:space="preserve">thus </w:t>
      </w:r>
      <w:r w:rsidRPr="00FE3A70">
        <w:rPr>
          <w:rFonts w:ascii="Gill Sans MT" w:hAnsi="Gill Sans MT"/>
          <w:sz w:val="24"/>
          <w:szCs w:val="24"/>
        </w:rPr>
        <w:t xml:space="preserve">constituted not only as </w:t>
      </w:r>
      <w:r w:rsidRPr="00FE3A70">
        <w:rPr>
          <w:rFonts w:ascii="Gill Sans MT" w:hAnsi="Gill Sans MT"/>
          <w:i/>
          <w:sz w:val="24"/>
          <w:szCs w:val="24"/>
        </w:rPr>
        <w:t xml:space="preserve">the </w:t>
      </w:r>
      <w:r w:rsidRPr="00FE3A70">
        <w:rPr>
          <w:rFonts w:ascii="Gill Sans MT" w:hAnsi="Gill Sans MT"/>
          <w:sz w:val="24"/>
          <w:szCs w:val="24"/>
        </w:rPr>
        <w:t xml:space="preserve">truth, but also as a </w:t>
      </w:r>
      <w:r>
        <w:rPr>
          <w:rFonts w:ascii="Gill Sans MT" w:hAnsi="Gill Sans MT"/>
          <w:sz w:val="24"/>
          <w:szCs w:val="24"/>
        </w:rPr>
        <w:t>requirement for</w:t>
      </w:r>
      <w:r w:rsidRPr="00FE3A70">
        <w:rPr>
          <w:rFonts w:ascii="Gill Sans MT" w:hAnsi="Gill Sans MT"/>
          <w:sz w:val="24"/>
          <w:szCs w:val="24"/>
        </w:rPr>
        <w:t xml:space="preserve"> reconciliatory peace in post-conflict Sierrarat/Sierra Leone. </w:t>
      </w:r>
    </w:p>
    <w:p w14:paraId="2B0C0C83" w14:textId="77777777" w:rsidR="000F6FC6" w:rsidRPr="00FE3A70" w:rsidRDefault="000F6FC6" w:rsidP="000F6FC6">
      <w:pPr>
        <w:spacing w:after="0" w:line="480" w:lineRule="auto"/>
        <w:jc w:val="center"/>
        <w:rPr>
          <w:rFonts w:ascii="Gill Sans MT" w:hAnsi="Gill Sans MT"/>
          <w:sz w:val="24"/>
          <w:szCs w:val="24"/>
        </w:rPr>
      </w:pPr>
    </w:p>
    <w:p w14:paraId="0848C227" w14:textId="0A0B87E3" w:rsidR="000F6FC6" w:rsidRPr="00FE3A70" w:rsidRDefault="000F6FC6" w:rsidP="000F6FC6">
      <w:pPr>
        <w:pStyle w:val="Caption"/>
        <w:spacing w:before="120" w:after="0" w:line="480" w:lineRule="auto"/>
        <w:jc w:val="center"/>
        <w:rPr>
          <w:rFonts w:ascii="Gill Sans MT" w:hAnsi="Gill Sans MT"/>
          <w:noProof/>
          <w:color w:val="auto"/>
          <w:sz w:val="24"/>
          <w:szCs w:val="24"/>
        </w:rPr>
      </w:pPr>
      <w:r w:rsidRPr="00FE3A70">
        <w:rPr>
          <w:rFonts w:ascii="Gill Sans MT" w:hAnsi="Gill Sans MT"/>
          <w:color w:val="auto"/>
          <w:sz w:val="24"/>
          <w:szCs w:val="24"/>
        </w:rPr>
        <w:t xml:space="preserve">[Fig. </w:t>
      </w:r>
      <w:r w:rsidR="00276FEB">
        <w:rPr>
          <w:rFonts w:ascii="Gill Sans MT" w:hAnsi="Gill Sans MT"/>
          <w:color w:val="auto"/>
          <w:sz w:val="24"/>
          <w:szCs w:val="24"/>
        </w:rPr>
        <w:t>3</w:t>
      </w:r>
      <w:r w:rsidRPr="00FE3A70">
        <w:rPr>
          <w:rFonts w:ascii="Gill Sans MT" w:hAnsi="Gill Sans MT"/>
          <w:color w:val="auto"/>
          <w:sz w:val="24"/>
          <w:szCs w:val="24"/>
        </w:rPr>
        <w:t>: Sierrarat's inhabitants demand a TRC]</w:t>
      </w:r>
    </w:p>
    <w:p w14:paraId="6A4D0D5C" w14:textId="77777777" w:rsidR="000F6FC6" w:rsidRPr="00FE3A70" w:rsidRDefault="000F6FC6" w:rsidP="000F6FC6">
      <w:pPr>
        <w:spacing w:after="0" w:line="480" w:lineRule="auto"/>
        <w:rPr>
          <w:rFonts w:ascii="Gill Sans MT" w:hAnsi="Gill Sans MT"/>
          <w:sz w:val="24"/>
          <w:szCs w:val="24"/>
        </w:rPr>
      </w:pPr>
    </w:p>
    <w:p w14:paraId="29066F4B"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r>
      <w:r>
        <w:rPr>
          <w:rFonts w:ascii="Gill Sans MT" w:hAnsi="Gill Sans MT"/>
          <w:sz w:val="24"/>
          <w:szCs w:val="24"/>
        </w:rPr>
        <w:t xml:space="preserve">As such, </w:t>
      </w:r>
      <w:r w:rsidRPr="00FE3A70">
        <w:rPr>
          <w:rFonts w:ascii="Gill Sans MT" w:hAnsi="Gill Sans MT"/>
          <w:i/>
          <w:sz w:val="24"/>
          <w:szCs w:val="24"/>
        </w:rPr>
        <w:t xml:space="preserve">Sierrarat </w:t>
      </w:r>
      <w:r>
        <w:rPr>
          <w:rFonts w:ascii="Gill Sans MT" w:hAnsi="Gill Sans MT"/>
          <w:sz w:val="24"/>
          <w:szCs w:val="24"/>
        </w:rPr>
        <w:t>implicitly legitimises the SLTRC as the prescribed organ through which reconciliation must be achieved</w:t>
      </w:r>
      <w:r w:rsidRPr="00FE3A70">
        <w:rPr>
          <w:rFonts w:ascii="Gill Sans MT" w:hAnsi="Gill Sans MT"/>
          <w:sz w:val="24"/>
          <w:szCs w:val="24"/>
        </w:rPr>
        <w:t>.</w:t>
      </w:r>
      <w:r w:rsidRPr="00FE3A70">
        <w:rPr>
          <w:rStyle w:val="FootnoteReference"/>
          <w:rFonts w:ascii="Gill Sans MT" w:hAnsi="Gill Sans MT"/>
          <w:sz w:val="24"/>
          <w:szCs w:val="24"/>
        </w:rPr>
        <w:footnoteReference w:id="72"/>
      </w:r>
      <w:r w:rsidRPr="00FE3A70">
        <w:rPr>
          <w:rFonts w:ascii="Gill Sans MT" w:hAnsi="Gill Sans MT"/>
          <w:sz w:val="24"/>
          <w:szCs w:val="24"/>
        </w:rPr>
        <w:t xml:space="preserve"> </w:t>
      </w:r>
      <w:r>
        <w:rPr>
          <w:rFonts w:ascii="Gill Sans MT" w:hAnsi="Gill Sans MT"/>
          <w:sz w:val="24"/>
          <w:szCs w:val="24"/>
        </w:rPr>
        <w:t>This</w:t>
      </w:r>
      <w:r w:rsidRPr="00FE3A70">
        <w:rPr>
          <w:rFonts w:ascii="Gill Sans MT" w:hAnsi="Gill Sans MT"/>
          <w:sz w:val="24"/>
          <w:szCs w:val="24"/>
        </w:rPr>
        <w:t xml:space="preserve"> sits uneasily with the institutional and political complexities of Sierra Leone’s </w:t>
      </w:r>
      <w:r>
        <w:rPr>
          <w:rFonts w:ascii="Gill Sans MT" w:hAnsi="Gill Sans MT"/>
          <w:sz w:val="24"/>
          <w:szCs w:val="24"/>
        </w:rPr>
        <w:t>TJ</w:t>
      </w:r>
      <w:r w:rsidRPr="00FE3A70">
        <w:rPr>
          <w:rFonts w:ascii="Gill Sans MT" w:hAnsi="Gill Sans MT"/>
          <w:sz w:val="24"/>
          <w:szCs w:val="24"/>
        </w:rPr>
        <w:t xml:space="preserve"> programme, in which the SLTRC and the SCSL not only co-existed but also competed for the right to determine, define and </w:t>
      </w:r>
      <w:r w:rsidRPr="00FE3A70">
        <w:rPr>
          <w:rFonts w:ascii="Gill Sans MT" w:hAnsi="Gill Sans MT"/>
          <w:sz w:val="24"/>
          <w:szCs w:val="24"/>
        </w:rPr>
        <w:lastRenderedPageBreak/>
        <w:t>establish truth about the Civil War.</w:t>
      </w:r>
      <w:r w:rsidRPr="00FE3A70">
        <w:rPr>
          <w:rStyle w:val="FootnoteReference"/>
          <w:rFonts w:ascii="Gill Sans MT" w:hAnsi="Gill Sans MT"/>
          <w:sz w:val="24"/>
          <w:szCs w:val="24"/>
        </w:rPr>
        <w:footnoteReference w:id="73"/>
      </w:r>
      <w:r w:rsidRPr="00FE3A70">
        <w:rPr>
          <w:rFonts w:ascii="Gill Sans MT" w:hAnsi="Gill Sans MT"/>
          <w:sz w:val="24"/>
          <w:szCs w:val="24"/>
        </w:rPr>
        <w:t xml:space="preserve"> In particular, the SLTRC’s capacity to gather testimony was compromised by the very establishment of the SCSL</w:t>
      </w:r>
      <w:r>
        <w:rPr>
          <w:rFonts w:ascii="Gill Sans MT" w:hAnsi="Gill Sans MT"/>
          <w:sz w:val="24"/>
          <w:szCs w:val="24"/>
        </w:rPr>
        <w:t xml:space="preserve">, because </w:t>
      </w:r>
      <w:r w:rsidRPr="00FE3A70">
        <w:rPr>
          <w:rFonts w:ascii="Gill Sans MT" w:hAnsi="Gill Sans MT"/>
          <w:sz w:val="24"/>
          <w:szCs w:val="24"/>
        </w:rPr>
        <w:t>the existence of a trial court rendered it unable to guarantee amnesty as it had originally intended to do.</w:t>
      </w:r>
      <w:r w:rsidRPr="00FE3A70">
        <w:rPr>
          <w:rStyle w:val="FootnoteReference"/>
          <w:rFonts w:ascii="Gill Sans MT" w:hAnsi="Gill Sans MT"/>
          <w:sz w:val="24"/>
          <w:szCs w:val="24"/>
        </w:rPr>
        <w:footnoteReference w:id="74"/>
      </w:r>
      <w:r w:rsidRPr="00FE3A70">
        <w:rPr>
          <w:rFonts w:ascii="Gill Sans MT" w:hAnsi="Gill Sans MT"/>
          <w:sz w:val="24"/>
          <w:szCs w:val="24"/>
        </w:rPr>
        <w:t xml:space="preserve"> </w:t>
      </w:r>
      <w:r>
        <w:rPr>
          <w:rFonts w:ascii="Gill Sans MT" w:hAnsi="Gill Sans MT"/>
          <w:sz w:val="24"/>
          <w:szCs w:val="24"/>
        </w:rPr>
        <w:t>This</w:t>
      </w:r>
      <w:r w:rsidRPr="00FE3A70">
        <w:rPr>
          <w:rFonts w:ascii="Gill Sans MT" w:hAnsi="Gill Sans MT"/>
          <w:sz w:val="24"/>
          <w:szCs w:val="24"/>
        </w:rPr>
        <w:t xml:space="preserve"> intricate and often fraught institutional relationship between truth and reconciliation within post-conflict Sierra Leone is</w:t>
      </w:r>
      <w:r>
        <w:rPr>
          <w:rFonts w:ascii="Gill Sans MT" w:hAnsi="Gill Sans MT"/>
          <w:sz w:val="24"/>
          <w:szCs w:val="24"/>
        </w:rPr>
        <w:t xml:space="preserve"> </w:t>
      </w:r>
      <w:r w:rsidRPr="00FE3A70">
        <w:rPr>
          <w:rFonts w:ascii="Gill Sans MT" w:hAnsi="Gill Sans MT"/>
          <w:sz w:val="24"/>
          <w:szCs w:val="24"/>
        </w:rPr>
        <w:t>ob</w:t>
      </w:r>
      <w:r>
        <w:rPr>
          <w:rFonts w:ascii="Gill Sans MT" w:hAnsi="Gill Sans MT"/>
          <w:sz w:val="24"/>
          <w:szCs w:val="24"/>
        </w:rPr>
        <w:t>scured</w:t>
      </w:r>
      <w:r w:rsidRPr="00FE3A70">
        <w:rPr>
          <w:rFonts w:ascii="Gill Sans MT" w:hAnsi="Gill Sans MT"/>
          <w:sz w:val="24"/>
          <w:szCs w:val="24"/>
        </w:rPr>
        <w:t xml:space="preserve"> by </w:t>
      </w:r>
      <w:r>
        <w:rPr>
          <w:rFonts w:ascii="Gill Sans MT" w:hAnsi="Gill Sans MT"/>
          <w:i/>
          <w:sz w:val="24"/>
          <w:szCs w:val="24"/>
        </w:rPr>
        <w:t>Sierrarat</w:t>
      </w:r>
      <w:r>
        <w:rPr>
          <w:rFonts w:ascii="Gill Sans MT" w:hAnsi="Gill Sans MT"/>
          <w:sz w:val="24"/>
          <w:szCs w:val="24"/>
        </w:rPr>
        <w:t>’s</w:t>
      </w:r>
      <w:r>
        <w:rPr>
          <w:rFonts w:ascii="Gill Sans MT" w:hAnsi="Gill Sans MT"/>
          <w:i/>
          <w:sz w:val="24"/>
          <w:szCs w:val="24"/>
        </w:rPr>
        <w:t xml:space="preserve"> </w:t>
      </w:r>
      <w:r>
        <w:rPr>
          <w:rFonts w:ascii="Gill Sans MT" w:hAnsi="Gill Sans MT"/>
          <w:sz w:val="24"/>
          <w:szCs w:val="24"/>
        </w:rPr>
        <w:t xml:space="preserve">disinterest in </w:t>
      </w:r>
      <w:r w:rsidRPr="00FE3A70">
        <w:rPr>
          <w:rFonts w:ascii="Gill Sans MT" w:hAnsi="Gill Sans MT"/>
          <w:sz w:val="24"/>
          <w:szCs w:val="24"/>
        </w:rPr>
        <w:t>the</w:t>
      </w:r>
      <w:r>
        <w:rPr>
          <w:rFonts w:ascii="Gill Sans MT" w:hAnsi="Gill Sans MT"/>
          <w:sz w:val="24"/>
          <w:szCs w:val="24"/>
        </w:rPr>
        <w:t xml:space="preserve"> Commission’s</w:t>
      </w:r>
      <w:r w:rsidRPr="00FE3A70">
        <w:rPr>
          <w:rFonts w:ascii="Gill Sans MT" w:hAnsi="Gill Sans MT"/>
          <w:sz w:val="24"/>
          <w:szCs w:val="24"/>
        </w:rPr>
        <w:t xml:space="preserve"> own complex place within Sierra Leonean politics, </w:t>
      </w:r>
      <w:r>
        <w:rPr>
          <w:rFonts w:ascii="Gill Sans MT" w:hAnsi="Gill Sans MT"/>
          <w:sz w:val="24"/>
          <w:szCs w:val="24"/>
        </w:rPr>
        <w:t>which serves to mask</w:t>
      </w:r>
      <w:r w:rsidRPr="00FE3A70">
        <w:rPr>
          <w:rFonts w:ascii="Gill Sans MT" w:hAnsi="Gill Sans MT"/>
          <w:sz w:val="24"/>
          <w:szCs w:val="24"/>
        </w:rPr>
        <w:t xml:space="preserve"> the inevitable gaps and silences </w:t>
      </w:r>
      <w:r>
        <w:rPr>
          <w:rFonts w:ascii="Gill Sans MT" w:hAnsi="Gill Sans MT"/>
          <w:sz w:val="24"/>
          <w:szCs w:val="24"/>
        </w:rPr>
        <w:t>immanent within the knowledge it produced</w:t>
      </w:r>
      <w:r w:rsidRPr="00FE3A70">
        <w:rPr>
          <w:rFonts w:ascii="Gill Sans MT" w:hAnsi="Gill Sans MT"/>
          <w:sz w:val="24"/>
          <w:szCs w:val="24"/>
        </w:rPr>
        <w:t>.</w:t>
      </w:r>
    </w:p>
    <w:p w14:paraId="76E86729" w14:textId="77777777" w:rsidR="000F6FC6"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r>
      <w:r>
        <w:rPr>
          <w:rFonts w:ascii="Gill Sans MT" w:hAnsi="Gill Sans MT"/>
          <w:sz w:val="24"/>
          <w:szCs w:val="24"/>
        </w:rPr>
        <w:t>Foremost among these gaps and silences are</w:t>
      </w:r>
      <w:r w:rsidRPr="00FE36A3">
        <w:rPr>
          <w:rFonts w:ascii="Gill Sans MT" w:hAnsi="Gill Sans MT"/>
          <w:sz w:val="24"/>
          <w:szCs w:val="24"/>
        </w:rPr>
        <w:t xml:space="preserve"> the informal</w:t>
      </w:r>
      <w:r>
        <w:rPr>
          <w:rFonts w:ascii="Gill Sans MT" w:hAnsi="Gill Sans MT"/>
          <w:sz w:val="24"/>
          <w:szCs w:val="24"/>
        </w:rPr>
        <w:t xml:space="preserve"> and culturally specific</w:t>
      </w:r>
      <w:r w:rsidRPr="00FE36A3">
        <w:rPr>
          <w:rFonts w:ascii="Gill Sans MT" w:hAnsi="Gill Sans MT"/>
          <w:sz w:val="24"/>
          <w:szCs w:val="24"/>
        </w:rPr>
        <w:t xml:space="preserve"> mechanisms that many Sierra Leoneans had developed to deal with the trauma </w:t>
      </w:r>
      <w:r>
        <w:rPr>
          <w:rFonts w:ascii="Gill Sans MT" w:hAnsi="Gill Sans MT"/>
          <w:sz w:val="24"/>
          <w:szCs w:val="24"/>
        </w:rPr>
        <w:t>they had experienced. These included</w:t>
      </w:r>
      <w:r w:rsidRPr="00FE3A70">
        <w:rPr>
          <w:rFonts w:ascii="Gill Sans MT" w:hAnsi="Gill Sans MT"/>
          <w:sz w:val="24"/>
          <w:szCs w:val="24"/>
        </w:rPr>
        <w:t xml:space="preserve"> </w:t>
      </w:r>
      <w:r>
        <w:rPr>
          <w:rFonts w:ascii="Gill Sans MT" w:hAnsi="Gill Sans MT"/>
          <w:sz w:val="24"/>
          <w:szCs w:val="24"/>
        </w:rPr>
        <w:t>directed</w:t>
      </w:r>
      <w:r w:rsidRPr="00FE3A70">
        <w:rPr>
          <w:rFonts w:ascii="Gill Sans MT" w:hAnsi="Gill Sans MT"/>
          <w:sz w:val="24"/>
          <w:szCs w:val="24"/>
        </w:rPr>
        <w:t xml:space="preserve"> forgetting</w:t>
      </w:r>
      <w:r>
        <w:rPr>
          <w:rFonts w:ascii="Gill Sans MT" w:hAnsi="Gill Sans MT"/>
          <w:sz w:val="24"/>
          <w:szCs w:val="24"/>
        </w:rPr>
        <w:t>,</w:t>
      </w:r>
      <w:r w:rsidRPr="00FE3A70">
        <w:rPr>
          <w:rStyle w:val="FootnoteReference"/>
          <w:rFonts w:ascii="Gill Sans MT" w:hAnsi="Gill Sans MT"/>
          <w:sz w:val="24"/>
          <w:szCs w:val="24"/>
        </w:rPr>
        <w:footnoteReference w:id="75"/>
      </w:r>
      <w:r>
        <w:rPr>
          <w:rFonts w:ascii="Gill Sans MT" w:hAnsi="Gill Sans MT"/>
          <w:sz w:val="24"/>
          <w:szCs w:val="24"/>
        </w:rPr>
        <w:t xml:space="preserve"> ‘a practice whereby the discussion of violent events in public [wa]s viewed as objectionable’,</w:t>
      </w:r>
      <w:r>
        <w:rPr>
          <w:rStyle w:val="FootnoteReference"/>
          <w:rFonts w:ascii="Gill Sans MT" w:hAnsi="Gill Sans MT"/>
          <w:sz w:val="24"/>
          <w:szCs w:val="24"/>
        </w:rPr>
        <w:footnoteReference w:id="76"/>
      </w:r>
      <w:r>
        <w:rPr>
          <w:rFonts w:ascii="Gill Sans MT" w:hAnsi="Gill Sans MT"/>
          <w:sz w:val="24"/>
          <w:szCs w:val="24"/>
        </w:rPr>
        <w:t xml:space="preserve"> which ran in direct contradistinction to the SLTRC’s emphasis on public</w:t>
      </w:r>
      <w:r w:rsidRPr="00FE3A70">
        <w:rPr>
          <w:rFonts w:ascii="Gill Sans MT" w:hAnsi="Gill Sans MT"/>
          <w:sz w:val="24"/>
          <w:szCs w:val="24"/>
        </w:rPr>
        <w:t xml:space="preserve"> confession</w:t>
      </w:r>
      <w:r>
        <w:rPr>
          <w:rFonts w:ascii="Gill Sans MT" w:hAnsi="Gill Sans MT"/>
          <w:sz w:val="24"/>
          <w:szCs w:val="24"/>
        </w:rPr>
        <w:t xml:space="preserve"> and truth-telling.</w:t>
      </w:r>
      <w:r w:rsidRPr="00FE3A70">
        <w:rPr>
          <w:rStyle w:val="FootnoteReference"/>
          <w:rFonts w:ascii="Gill Sans MT" w:hAnsi="Gill Sans MT"/>
          <w:sz w:val="24"/>
          <w:szCs w:val="24"/>
        </w:rPr>
        <w:footnoteReference w:id="77"/>
      </w:r>
      <w:r w:rsidRPr="00FE3A70">
        <w:rPr>
          <w:rFonts w:ascii="Gill Sans MT" w:hAnsi="Gill Sans MT"/>
          <w:sz w:val="24"/>
          <w:szCs w:val="24"/>
        </w:rPr>
        <w:t xml:space="preserve"> </w:t>
      </w:r>
      <w:r>
        <w:rPr>
          <w:rFonts w:ascii="Gill Sans MT" w:hAnsi="Gill Sans MT"/>
          <w:sz w:val="24"/>
          <w:szCs w:val="24"/>
        </w:rPr>
        <w:t xml:space="preserve">This sets up an alternative understanding of the relationship between truth and reconciliation </w:t>
      </w:r>
      <w:r>
        <w:rPr>
          <w:rFonts w:ascii="Gill Sans MT" w:hAnsi="Gill Sans MT"/>
          <w:sz w:val="24"/>
          <w:szCs w:val="24"/>
        </w:rPr>
        <w:lastRenderedPageBreak/>
        <w:t>in which knowledge about atrocity, when publicly established and/or professed, ‘makes that violence present and connects it to the person remembering’</w:t>
      </w:r>
      <w:r w:rsidRPr="00FE3A70">
        <w:rPr>
          <w:rFonts w:ascii="Gill Sans MT" w:hAnsi="Gill Sans MT"/>
          <w:sz w:val="24"/>
          <w:szCs w:val="24"/>
        </w:rPr>
        <w:t>.</w:t>
      </w:r>
      <w:r>
        <w:rPr>
          <w:rStyle w:val="FootnoteReference"/>
          <w:rFonts w:ascii="Gill Sans MT" w:hAnsi="Gill Sans MT"/>
          <w:sz w:val="24"/>
          <w:szCs w:val="24"/>
        </w:rPr>
        <w:footnoteReference w:id="78"/>
      </w:r>
      <w:r w:rsidRPr="00FE3A70">
        <w:rPr>
          <w:rFonts w:ascii="Gill Sans MT" w:hAnsi="Gill Sans MT"/>
          <w:sz w:val="24"/>
          <w:szCs w:val="24"/>
        </w:rPr>
        <w:t xml:space="preserve"> </w:t>
      </w:r>
      <w:r>
        <w:rPr>
          <w:rFonts w:ascii="Gill Sans MT" w:hAnsi="Gill Sans MT"/>
          <w:i/>
          <w:sz w:val="24"/>
          <w:szCs w:val="24"/>
        </w:rPr>
        <w:t>Sierrarat</w:t>
      </w:r>
      <w:r>
        <w:rPr>
          <w:rFonts w:ascii="Gill Sans MT" w:hAnsi="Gill Sans MT"/>
          <w:sz w:val="24"/>
          <w:szCs w:val="24"/>
        </w:rPr>
        <w:t>’s</w:t>
      </w:r>
      <w:r w:rsidRPr="00FE3A70">
        <w:rPr>
          <w:rFonts w:ascii="Gill Sans MT" w:hAnsi="Gill Sans MT"/>
          <w:sz w:val="24"/>
          <w:szCs w:val="24"/>
        </w:rPr>
        <w:t xml:space="preserve"> focus on</w:t>
      </w:r>
      <w:r>
        <w:rPr>
          <w:rFonts w:ascii="Gill Sans MT" w:hAnsi="Gill Sans MT"/>
          <w:sz w:val="24"/>
          <w:szCs w:val="24"/>
        </w:rPr>
        <w:t xml:space="preserve"> the need for</w:t>
      </w:r>
      <w:r w:rsidRPr="00FE3A70">
        <w:rPr>
          <w:rFonts w:ascii="Gill Sans MT" w:hAnsi="Gill Sans MT"/>
          <w:sz w:val="24"/>
          <w:szCs w:val="24"/>
        </w:rPr>
        <w:t xml:space="preserve"> </w:t>
      </w:r>
      <w:r>
        <w:rPr>
          <w:rFonts w:ascii="Gill Sans MT" w:hAnsi="Gill Sans MT"/>
          <w:sz w:val="24"/>
          <w:szCs w:val="24"/>
        </w:rPr>
        <w:t xml:space="preserve">a </w:t>
      </w:r>
      <w:r w:rsidRPr="00FE3A70">
        <w:rPr>
          <w:rFonts w:ascii="Gill Sans MT" w:hAnsi="Gill Sans MT"/>
          <w:sz w:val="24"/>
          <w:szCs w:val="24"/>
        </w:rPr>
        <w:t xml:space="preserve">‘truth’ </w:t>
      </w:r>
      <w:r>
        <w:rPr>
          <w:rFonts w:ascii="Gill Sans MT" w:hAnsi="Gill Sans MT"/>
          <w:sz w:val="24"/>
          <w:szCs w:val="24"/>
        </w:rPr>
        <w:t xml:space="preserve">mediated by the SLTRC thus neglects </w:t>
      </w:r>
      <w:r w:rsidRPr="00FE3A70">
        <w:rPr>
          <w:rFonts w:ascii="Gill Sans MT" w:hAnsi="Gill Sans MT"/>
          <w:sz w:val="24"/>
          <w:szCs w:val="24"/>
        </w:rPr>
        <w:t>Sierra Leoneans</w:t>
      </w:r>
      <w:r>
        <w:rPr>
          <w:rFonts w:ascii="Gill Sans MT" w:hAnsi="Gill Sans MT"/>
          <w:sz w:val="24"/>
          <w:szCs w:val="24"/>
        </w:rPr>
        <w:t>’</w:t>
      </w:r>
      <w:r w:rsidRPr="00FE3A70">
        <w:rPr>
          <w:rFonts w:ascii="Gill Sans MT" w:hAnsi="Gill Sans MT"/>
          <w:sz w:val="24"/>
          <w:szCs w:val="24"/>
        </w:rPr>
        <w:t xml:space="preserve"> </w:t>
      </w:r>
      <w:r>
        <w:rPr>
          <w:rFonts w:ascii="Gill Sans MT" w:hAnsi="Gill Sans MT"/>
          <w:sz w:val="24"/>
          <w:szCs w:val="24"/>
        </w:rPr>
        <w:t xml:space="preserve">acute </w:t>
      </w:r>
      <w:r w:rsidRPr="00FE3A70">
        <w:rPr>
          <w:rFonts w:ascii="Gill Sans MT" w:hAnsi="Gill Sans MT"/>
          <w:sz w:val="24"/>
          <w:szCs w:val="24"/>
        </w:rPr>
        <w:t>aware</w:t>
      </w:r>
      <w:r>
        <w:rPr>
          <w:rFonts w:ascii="Gill Sans MT" w:hAnsi="Gill Sans MT"/>
          <w:sz w:val="24"/>
          <w:szCs w:val="24"/>
        </w:rPr>
        <w:t>ness</w:t>
      </w:r>
      <w:r w:rsidRPr="00FE3A70">
        <w:rPr>
          <w:rFonts w:ascii="Gill Sans MT" w:hAnsi="Gill Sans MT"/>
          <w:sz w:val="24"/>
          <w:szCs w:val="24"/>
        </w:rPr>
        <w:t xml:space="preserve"> of what had happened within their communities, and </w:t>
      </w:r>
      <w:r>
        <w:rPr>
          <w:rFonts w:ascii="Gill Sans MT" w:hAnsi="Gill Sans MT"/>
          <w:sz w:val="24"/>
          <w:szCs w:val="24"/>
        </w:rPr>
        <w:t>the methods that they had already developed among and between themselves in order to manage it</w:t>
      </w:r>
      <w:r w:rsidRPr="00FE3A70">
        <w:rPr>
          <w:rFonts w:ascii="Gill Sans MT" w:hAnsi="Gill Sans MT"/>
          <w:sz w:val="24"/>
          <w:szCs w:val="24"/>
        </w:rPr>
        <w:t>.</w:t>
      </w:r>
      <w:r w:rsidRPr="00FE3A70">
        <w:rPr>
          <w:rStyle w:val="FootnoteReference"/>
          <w:rFonts w:ascii="Gill Sans MT" w:hAnsi="Gill Sans MT"/>
          <w:sz w:val="24"/>
          <w:szCs w:val="24"/>
        </w:rPr>
        <w:footnoteReference w:id="79"/>
      </w:r>
      <w:r>
        <w:rPr>
          <w:rFonts w:ascii="Gill Sans MT" w:hAnsi="Gill Sans MT"/>
          <w:sz w:val="24"/>
          <w:szCs w:val="24"/>
        </w:rPr>
        <w:t xml:space="preserve"> It</w:t>
      </w:r>
      <w:r w:rsidRPr="001D42A8">
        <w:rPr>
          <w:rFonts w:ascii="Gill Sans MT" w:hAnsi="Gill Sans MT"/>
          <w:sz w:val="24"/>
          <w:szCs w:val="24"/>
        </w:rPr>
        <w:t xml:space="preserve"> </w:t>
      </w:r>
      <w:r>
        <w:rPr>
          <w:rFonts w:ascii="Gill Sans MT" w:hAnsi="Gill Sans MT"/>
          <w:sz w:val="24"/>
          <w:szCs w:val="24"/>
        </w:rPr>
        <w:t>subordinates these</w:t>
      </w:r>
      <w:r w:rsidRPr="001D42A8">
        <w:rPr>
          <w:rFonts w:ascii="Gill Sans MT" w:hAnsi="Gill Sans MT"/>
          <w:sz w:val="24"/>
          <w:szCs w:val="24"/>
        </w:rPr>
        <w:t xml:space="preserve"> local ways of forgetting</w:t>
      </w:r>
      <w:r>
        <w:rPr>
          <w:rFonts w:ascii="Gill Sans MT" w:hAnsi="Gill Sans MT"/>
          <w:sz w:val="24"/>
          <w:szCs w:val="24"/>
        </w:rPr>
        <w:t xml:space="preserve"> </w:t>
      </w:r>
      <w:r w:rsidRPr="00FE3A70">
        <w:rPr>
          <w:rFonts w:ascii="Gill Sans MT" w:hAnsi="Gill Sans MT"/>
          <w:sz w:val="24"/>
          <w:szCs w:val="24"/>
        </w:rPr>
        <w:t>by insisting on an</w:t>
      </w:r>
      <w:r>
        <w:rPr>
          <w:rFonts w:ascii="Gill Sans MT" w:hAnsi="Gill Sans MT"/>
          <w:sz w:val="24"/>
          <w:szCs w:val="24"/>
        </w:rPr>
        <w:t xml:space="preserve"> essential</w:t>
      </w:r>
      <w:r w:rsidRPr="00FE3A70">
        <w:rPr>
          <w:rFonts w:ascii="Gill Sans MT" w:hAnsi="Gill Sans MT"/>
          <w:sz w:val="24"/>
          <w:szCs w:val="24"/>
        </w:rPr>
        <w:t xml:space="preserve"> </w:t>
      </w:r>
      <w:r>
        <w:rPr>
          <w:rFonts w:ascii="Gill Sans MT" w:hAnsi="Gill Sans MT"/>
          <w:sz w:val="24"/>
          <w:szCs w:val="24"/>
        </w:rPr>
        <w:t>affiliation</w:t>
      </w:r>
      <w:r w:rsidRPr="00FE3A70">
        <w:rPr>
          <w:rFonts w:ascii="Gill Sans MT" w:hAnsi="Gill Sans MT"/>
          <w:sz w:val="24"/>
          <w:szCs w:val="24"/>
        </w:rPr>
        <w:t xml:space="preserve"> between </w:t>
      </w:r>
      <w:r>
        <w:rPr>
          <w:rFonts w:ascii="Gill Sans MT" w:hAnsi="Gill Sans MT"/>
          <w:sz w:val="24"/>
          <w:szCs w:val="24"/>
        </w:rPr>
        <w:t>official</w:t>
      </w:r>
      <w:r w:rsidRPr="00FE3A70">
        <w:rPr>
          <w:rFonts w:ascii="Gill Sans MT" w:hAnsi="Gill Sans MT"/>
          <w:sz w:val="24"/>
          <w:szCs w:val="24"/>
        </w:rPr>
        <w:t>, institutionally-mediated</w:t>
      </w:r>
      <w:r>
        <w:rPr>
          <w:rFonts w:ascii="Gill Sans MT" w:hAnsi="Gill Sans MT"/>
          <w:sz w:val="24"/>
          <w:szCs w:val="24"/>
        </w:rPr>
        <w:t>, public</w:t>
      </w:r>
      <w:r w:rsidRPr="00FE3A70">
        <w:rPr>
          <w:rFonts w:ascii="Gill Sans MT" w:hAnsi="Gill Sans MT"/>
          <w:sz w:val="24"/>
          <w:szCs w:val="24"/>
        </w:rPr>
        <w:t xml:space="preserve"> knowledge and the healing of </w:t>
      </w:r>
      <w:r>
        <w:rPr>
          <w:rFonts w:ascii="Gill Sans MT" w:hAnsi="Gill Sans MT"/>
          <w:sz w:val="24"/>
          <w:szCs w:val="24"/>
        </w:rPr>
        <w:t xml:space="preserve">social </w:t>
      </w:r>
      <w:r w:rsidRPr="00FE3A70">
        <w:rPr>
          <w:rFonts w:ascii="Gill Sans MT" w:hAnsi="Gill Sans MT"/>
          <w:sz w:val="24"/>
          <w:szCs w:val="24"/>
        </w:rPr>
        <w:t>division.</w:t>
      </w:r>
      <w:r w:rsidRPr="00FE3A70">
        <w:rPr>
          <w:rStyle w:val="FootnoteReference"/>
          <w:rFonts w:ascii="Gill Sans MT" w:hAnsi="Gill Sans MT"/>
          <w:sz w:val="24"/>
          <w:szCs w:val="24"/>
        </w:rPr>
        <w:footnoteReference w:id="80"/>
      </w:r>
    </w:p>
    <w:p w14:paraId="4CCA84B5" w14:textId="072425C6" w:rsidR="000F6FC6" w:rsidRPr="00F446F5" w:rsidRDefault="000F6FC6" w:rsidP="000F6FC6">
      <w:pPr>
        <w:spacing w:after="0" w:line="480" w:lineRule="auto"/>
        <w:jc w:val="both"/>
        <w:rPr>
          <w:rFonts w:ascii="Gill Sans MT" w:hAnsi="Gill Sans MT"/>
          <w:sz w:val="24"/>
          <w:szCs w:val="24"/>
          <w:lang w:val="en-US"/>
        </w:rPr>
      </w:pPr>
      <w:r>
        <w:rPr>
          <w:rFonts w:ascii="Gill Sans MT" w:hAnsi="Gill Sans MT"/>
          <w:sz w:val="24"/>
          <w:szCs w:val="24"/>
        </w:rPr>
        <w:tab/>
      </w:r>
      <w:r>
        <w:rPr>
          <w:rFonts w:ascii="Gill Sans MT" w:hAnsi="Gill Sans MT"/>
          <w:i/>
          <w:sz w:val="24"/>
          <w:szCs w:val="24"/>
        </w:rPr>
        <w:t>Sierrarat</w:t>
      </w:r>
      <w:r>
        <w:rPr>
          <w:rFonts w:ascii="Gill Sans MT" w:hAnsi="Gill Sans MT"/>
          <w:sz w:val="24"/>
          <w:szCs w:val="24"/>
        </w:rPr>
        <w:t>’s choice of medium undermines its prescription of the SLTRC as the sole means through which the knowledge and truth necessary for peace could be produced. Comics are</w:t>
      </w:r>
      <w:r>
        <w:rPr>
          <w:rFonts w:ascii="Gill Sans MT" w:hAnsi="Gill Sans MT"/>
          <w:sz w:val="24"/>
          <w:szCs w:val="24"/>
          <w:lang w:val="en-US"/>
        </w:rPr>
        <w:t xml:space="preserve"> inherently reductive: in Scott McCloud’s words, they function according to a principle of ‘amplification through simplification’ in which an image is stripped down to a core (if partial) meaning that can then be emphasised in a manner unavailable to more ‘realistic’ modes of representation.</w:t>
      </w:r>
      <w:r>
        <w:rPr>
          <w:rStyle w:val="FootnoteReference"/>
          <w:rFonts w:ascii="Gill Sans MT" w:hAnsi="Gill Sans MT"/>
          <w:sz w:val="24"/>
          <w:szCs w:val="24"/>
          <w:lang w:val="en-US"/>
        </w:rPr>
        <w:footnoteReference w:id="81"/>
      </w:r>
      <w:r>
        <w:rPr>
          <w:rFonts w:ascii="Gill Sans MT" w:hAnsi="Gill Sans MT"/>
          <w:sz w:val="24"/>
          <w:szCs w:val="24"/>
          <w:lang w:val="en-US"/>
        </w:rPr>
        <w:t xml:space="preserve"> This destabilises </w:t>
      </w:r>
      <w:r>
        <w:rPr>
          <w:rFonts w:ascii="Gill Sans MT" w:hAnsi="Gill Sans MT"/>
          <w:i/>
          <w:sz w:val="24"/>
          <w:szCs w:val="24"/>
          <w:lang w:val="en-US"/>
        </w:rPr>
        <w:t>Sierrarat</w:t>
      </w:r>
      <w:r>
        <w:rPr>
          <w:rFonts w:ascii="Gill Sans MT" w:hAnsi="Gill Sans MT"/>
          <w:sz w:val="24"/>
          <w:szCs w:val="24"/>
          <w:lang w:val="en-US"/>
        </w:rPr>
        <w:t>’s understanding of truth’s causal relationship to reconciliation</w:t>
      </w:r>
      <w:r w:rsidRPr="00FE3A70">
        <w:rPr>
          <w:rFonts w:ascii="Gill Sans MT" w:hAnsi="Gill Sans MT"/>
          <w:sz w:val="24"/>
          <w:szCs w:val="24"/>
          <w:lang w:val="en-US"/>
        </w:rPr>
        <w:t xml:space="preserve">, </w:t>
      </w:r>
      <w:r>
        <w:rPr>
          <w:rFonts w:ascii="Gill Sans MT" w:hAnsi="Gill Sans MT"/>
          <w:sz w:val="24"/>
          <w:szCs w:val="24"/>
          <w:lang w:val="en-US"/>
        </w:rPr>
        <w:t xml:space="preserve">for two reasons. Firstly, because </w:t>
      </w:r>
      <w:r>
        <w:rPr>
          <w:rFonts w:ascii="Gill Sans MT" w:hAnsi="Gill Sans MT"/>
          <w:i/>
          <w:sz w:val="24"/>
          <w:szCs w:val="24"/>
          <w:lang w:val="en-US"/>
        </w:rPr>
        <w:t xml:space="preserve">Sierrarat </w:t>
      </w:r>
      <w:r>
        <w:rPr>
          <w:rFonts w:ascii="Gill Sans MT" w:hAnsi="Gill Sans MT"/>
          <w:sz w:val="24"/>
          <w:szCs w:val="24"/>
          <w:lang w:val="en-US"/>
        </w:rPr>
        <w:t>claims knowledge</w:t>
      </w:r>
      <w:r w:rsidRPr="00FE3A70">
        <w:rPr>
          <w:rFonts w:ascii="Gill Sans MT" w:hAnsi="Gill Sans MT"/>
          <w:sz w:val="24"/>
          <w:szCs w:val="24"/>
          <w:lang w:val="en-US"/>
        </w:rPr>
        <w:t xml:space="preserve"> </w:t>
      </w:r>
      <w:r>
        <w:rPr>
          <w:rFonts w:ascii="Gill Sans MT" w:hAnsi="Gill Sans MT"/>
          <w:sz w:val="24"/>
          <w:szCs w:val="24"/>
          <w:lang w:val="en-US"/>
        </w:rPr>
        <w:t>to be</w:t>
      </w:r>
      <w:r w:rsidRPr="00FE3A70">
        <w:rPr>
          <w:rFonts w:ascii="Gill Sans MT" w:hAnsi="Gill Sans MT"/>
          <w:sz w:val="24"/>
          <w:szCs w:val="24"/>
          <w:lang w:val="en-US"/>
        </w:rPr>
        <w:t xml:space="preserve"> a necessary condition of peace</w:t>
      </w:r>
      <w:r>
        <w:rPr>
          <w:rFonts w:ascii="Gill Sans MT" w:hAnsi="Gill Sans MT"/>
          <w:sz w:val="24"/>
          <w:szCs w:val="24"/>
          <w:lang w:val="en-US"/>
        </w:rPr>
        <w:t xml:space="preserve"> that</w:t>
      </w:r>
      <w:r w:rsidRPr="00FE3A70">
        <w:rPr>
          <w:rFonts w:ascii="Gill Sans MT" w:hAnsi="Gill Sans MT"/>
          <w:sz w:val="24"/>
          <w:szCs w:val="24"/>
          <w:lang w:val="en-US"/>
        </w:rPr>
        <w:t xml:space="preserve"> must therefore be encouraged to bloom in all its fullness</w:t>
      </w:r>
      <w:r>
        <w:rPr>
          <w:rFonts w:ascii="Gill Sans MT" w:hAnsi="Gill Sans MT"/>
          <w:sz w:val="24"/>
          <w:szCs w:val="24"/>
          <w:lang w:val="en-US"/>
        </w:rPr>
        <w:t xml:space="preserve"> rather than stripped back and </w:t>
      </w:r>
      <w:r>
        <w:rPr>
          <w:rFonts w:ascii="Gill Sans MT" w:hAnsi="Gill Sans MT"/>
          <w:sz w:val="24"/>
          <w:szCs w:val="24"/>
          <w:lang w:val="en-US"/>
        </w:rPr>
        <w:lastRenderedPageBreak/>
        <w:t>knowingly distorted in the manner encouraged by the comics medium</w:t>
      </w:r>
      <w:r w:rsidRPr="00FE3A70">
        <w:rPr>
          <w:rFonts w:ascii="Gill Sans MT" w:hAnsi="Gill Sans MT"/>
          <w:sz w:val="24"/>
          <w:szCs w:val="24"/>
          <w:lang w:val="en-US"/>
        </w:rPr>
        <w:t>.</w:t>
      </w:r>
      <w:r>
        <w:rPr>
          <w:rFonts w:ascii="Gill Sans MT" w:hAnsi="Gill Sans MT"/>
          <w:sz w:val="24"/>
          <w:szCs w:val="24"/>
          <w:lang w:val="en-US"/>
        </w:rPr>
        <w:t xml:space="preserve"> And secondly, because </w:t>
      </w:r>
      <w:r>
        <w:rPr>
          <w:rFonts w:ascii="Gill Sans MT" w:hAnsi="Gill Sans MT"/>
          <w:i/>
          <w:sz w:val="24"/>
          <w:szCs w:val="24"/>
          <w:lang w:val="en-US"/>
        </w:rPr>
        <w:t>Sierrarat</w:t>
      </w:r>
      <w:r>
        <w:rPr>
          <w:rFonts w:ascii="Gill Sans MT" w:hAnsi="Gill Sans MT"/>
          <w:sz w:val="24"/>
          <w:szCs w:val="24"/>
          <w:lang w:val="en-US"/>
        </w:rPr>
        <w:t xml:space="preserve"> understands knowledge as something that must be produced </w:t>
      </w:r>
      <w:r w:rsidRPr="00522B85">
        <w:rPr>
          <w:rFonts w:ascii="Gill Sans MT" w:hAnsi="Gill Sans MT"/>
          <w:sz w:val="24"/>
          <w:szCs w:val="24"/>
          <w:lang w:val="en-US"/>
        </w:rPr>
        <w:t>through</w:t>
      </w:r>
      <w:r>
        <w:rPr>
          <w:rFonts w:ascii="Gill Sans MT" w:hAnsi="Gill Sans MT"/>
          <w:i/>
          <w:sz w:val="24"/>
          <w:szCs w:val="24"/>
          <w:lang w:val="en-US"/>
        </w:rPr>
        <w:t xml:space="preserve"> </w:t>
      </w:r>
      <w:r>
        <w:rPr>
          <w:rFonts w:ascii="Gill Sans MT" w:hAnsi="Gill Sans MT"/>
          <w:sz w:val="24"/>
          <w:szCs w:val="24"/>
          <w:lang w:val="en-US"/>
        </w:rPr>
        <w:t xml:space="preserve">the institutional mechanism that constitutes the SLTRC. For McCloud on the other hand, as for many other comics theorists, the medium’s fundamental aesthetic simplicity cultivates an interactive approach to the production of meaning. ‘The cartoon is a </w:t>
      </w:r>
      <w:r w:rsidRPr="00522B85">
        <w:rPr>
          <w:rFonts w:ascii="Gill Sans MT" w:hAnsi="Gill Sans MT"/>
          <w:i/>
          <w:sz w:val="24"/>
          <w:szCs w:val="24"/>
          <w:lang w:val="en-US"/>
        </w:rPr>
        <w:t>vacuum</w:t>
      </w:r>
      <w:r>
        <w:rPr>
          <w:rFonts w:ascii="Gill Sans MT" w:hAnsi="Gill Sans MT"/>
          <w:sz w:val="24"/>
          <w:szCs w:val="24"/>
          <w:lang w:val="en-US"/>
        </w:rPr>
        <w:t xml:space="preserve"> into which our </w:t>
      </w:r>
      <w:r w:rsidRPr="00522B85">
        <w:rPr>
          <w:rFonts w:ascii="Gill Sans MT" w:hAnsi="Gill Sans MT"/>
          <w:i/>
          <w:sz w:val="24"/>
          <w:szCs w:val="24"/>
          <w:lang w:val="en-US"/>
        </w:rPr>
        <w:t>identity and awareness are pulled</w:t>
      </w:r>
      <w:r>
        <w:rPr>
          <w:rFonts w:ascii="Gill Sans MT" w:hAnsi="Gill Sans MT"/>
          <w:sz w:val="24"/>
          <w:szCs w:val="24"/>
          <w:lang w:val="en-US"/>
        </w:rPr>
        <w:t xml:space="preserve">… an empty shell that we inhabit… we don’t just </w:t>
      </w:r>
      <w:r>
        <w:rPr>
          <w:rFonts w:ascii="Gill Sans MT" w:hAnsi="Gill Sans MT"/>
          <w:i/>
          <w:sz w:val="24"/>
          <w:szCs w:val="24"/>
          <w:lang w:val="en-US"/>
        </w:rPr>
        <w:t>observe</w:t>
      </w:r>
      <w:r>
        <w:rPr>
          <w:rFonts w:ascii="Gill Sans MT" w:hAnsi="Gill Sans MT"/>
          <w:sz w:val="24"/>
          <w:szCs w:val="24"/>
          <w:lang w:val="en-US"/>
        </w:rPr>
        <w:t xml:space="preserve"> the cartoon, we </w:t>
      </w:r>
      <w:r>
        <w:rPr>
          <w:rFonts w:ascii="Gill Sans MT" w:hAnsi="Gill Sans MT"/>
          <w:i/>
          <w:sz w:val="24"/>
          <w:szCs w:val="24"/>
          <w:lang w:val="en-US"/>
        </w:rPr>
        <w:t xml:space="preserve">become </w:t>
      </w:r>
      <w:r>
        <w:rPr>
          <w:rFonts w:ascii="Gill Sans MT" w:hAnsi="Gill Sans MT"/>
          <w:sz w:val="24"/>
          <w:szCs w:val="24"/>
          <w:lang w:val="en-US"/>
        </w:rPr>
        <w:t>it’.</w:t>
      </w:r>
      <w:r>
        <w:rPr>
          <w:rStyle w:val="FootnoteReference"/>
          <w:rFonts w:ascii="Gill Sans MT" w:hAnsi="Gill Sans MT"/>
          <w:sz w:val="24"/>
          <w:szCs w:val="24"/>
          <w:lang w:val="en-US"/>
        </w:rPr>
        <w:footnoteReference w:id="82"/>
      </w:r>
      <w:r>
        <w:rPr>
          <w:rFonts w:ascii="Gill Sans MT" w:hAnsi="Gill Sans MT"/>
          <w:sz w:val="24"/>
          <w:szCs w:val="24"/>
          <w:lang w:val="en-US"/>
        </w:rPr>
        <w:t xml:space="preserve"> The collaborative openness of the comics medium, in short, is ill-suited to the prescriptive pursuit of knowledge or truth within a closed institutional context from which one’s target audience have </w:t>
      </w:r>
      <w:r w:rsidR="006F47E9">
        <w:rPr>
          <w:rFonts w:ascii="Gill Sans MT" w:hAnsi="Gill Sans MT"/>
          <w:sz w:val="24"/>
          <w:szCs w:val="24"/>
          <w:lang w:val="en-US"/>
        </w:rPr>
        <w:t xml:space="preserve">largely </w:t>
      </w:r>
      <w:r>
        <w:rPr>
          <w:rFonts w:ascii="Gill Sans MT" w:hAnsi="Gill Sans MT"/>
          <w:sz w:val="24"/>
          <w:szCs w:val="24"/>
          <w:lang w:val="en-US"/>
        </w:rPr>
        <w:t>been excluded.</w:t>
      </w:r>
    </w:p>
    <w:p w14:paraId="1051F47D"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r>
      <w:r>
        <w:rPr>
          <w:rFonts w:ascii="Gill Sans MT" w:hAnsi="Gill Sans MT"/>
          <w:sz w:val="24"/>
          <w:szCs w:val="24"/>
        </w:rPr>
        <w:t>In</w:t>
      </w:r>
      <w:r w:rsidRPr="00FE3A70">
        <w:rPr>
          <w:rFonts w:ascii="Gill Sans MT" w:hAnsi="Gill Sans MT"/>
          <w:sz w:val="24"/>
          <w:szCs w:val="24"/>
        </w:rPr>
        <w:t xml:space="preserve"> </w:t>
      </w:r>
      <w:r w:rsidRPr="00FE3A70">
        <w:rPr>
          <w:rFonts w:ascii="Gill Sans MT" w:hAnsi="Gill Sans MT"/>
          <w:i/>
          <w:sz w:val="24"/>
          <w:szCs w:val="24"/>
        </w:rPr>
        <w:t>Maus</w:t>
      </w:r>
      <w:r>
        <w:rPr>
          <w:rFonts w:ascii="Gill Sans MT" w:hAnsi="Gill Sans MT"/>
          <w:sz w:val="24"/>
          <w:szCs w:val="24"/>
        </w:rPr>
        <w:t xml:space="preserve">, Spiegelman mobilises precisely these features of his medium </w:t>
      </w:r>
      <w:r w:rsidRPr="00FE3A70">
        <w:rPr>
          <w:rFonts w:ascii="Gill Sans MT" w:hAnsi="Gill Sans MT"/>
          <w:sz w:val="24"/>
          <w:szCs w:val="24"/>
        </w:rPr>
        <w:t xml:space="preserve">in order precisely to acknowledge the aporias and impasses that define </w:t>
      </w:r>
      <w:r>
        <w:rPr>
          <w:rFonts w:ascii="Gill Sans MT" w:hAnsi="Gill Sans MT"/>
          <w:sz w:val="24"/>
          <w:szCs w:val="24"/>
        </w:rPr>
        <w:t>his</w:t>
      </w:r>
      <w:r w:rsidRPr="00FE3A70">
        <w:rPr>
          <w:rFonts w:ascii="Gill Sans MT" w:hAnsi="Gill Sans MT"/>
          <w:sz w:val="24"/>
          <w:szCs w:val="24"/>
        </w:rPr>
        <w:t xml:space="preserve"> attempts to distil truth from his father’s testimony:</w:t>
      </w:r>
    </w:p>
    <w:p w14:paraId="331D25FE" w14:textId="77777777" w:rsidR="000F6FC6" w:rsidRPr="00FE3A70" w:rsidRDefault="000F6FC6" w:rsidP="000F6FC6">
      <w:pPr>
        <w:spacing w:after="0" w:line="480" w:lineRule="auto"/>
        <w:jc w:val="both"/>
        <w:rPr>
          <w:rFonts w:ascii="Gill Sans MT" w:hAnsi="Gill Sans MT"/>
          <w:sz w:val="24"/>
          <w:szCs w:val="24"/>
        </w:rPr>
      </w:pPr>
    </w:p>
    <w:p w14:paraId="00475F2A" w14:textId="77777777" w:rsidR="000F6FC6" w:rsidRPr="00FE3A70" w:rsidRDefault="000F6FC6" w:rsidP="000F6FC6">
      <w:pPr>
        <w:spacing w:after="0" w:line="360" w:lineRule="auto"/>
        <w:ind w:left="567" w:right="662"/>
        <w:jc w:val="both"/>
        <w:rPr>
          <w:rFonts w:ascii="Gill Sans MT" w:hAnsi="Gill Sans MT"/>
          <w:sz w:val="24"/>
          <w:szCs w:val="24"/>
        </w:rPr>
      </w:pPr>
      <w:r w:rsidRPr="00FE3A70">
        <w:rPr>
          <w:rFonts w:ascii="Gill Sans MT" w:hAnsi="Gill Sans MT"/>
          <w:i/>
          <w:sz w:val="24"/>
          <w:szCs w:val="24"/>
        </w:rPr>
        <w:t>Paradoxically, while the mice allowed for a distancing from the horrors described, they simultaneously allowed me and others to get further inside the material in a way that would have been more difficult with more realistic representation, where one could constantly question my choices: “Is that what that guy looked like?” and you know, I actually have no idea. It gave me a certain degree of wiggle room, a certain kind of slack, about getting a detail wrong despite all my research.</w:t>
      </w:r>
      <w:r w:rsidRPr="00FE3A70">
        <w:rPr>
          <w:rStyle w:val="FootnoteReference"/>
          <w:rFonts w:ascii="Gill Sans MT" w:hAnsi="Gill Sans MT"/>
          <w:i/>
          <w:sz w:val="24"/>
          <w:szCs w:val="24"/>
        </w:rPr>
        <w:footnoteReference w:id="83"/>
      </w:r>
    </w:p>
    <w:p w14:paraId="4D1A7239" w14:textId="77777777" w:rsidR="000F6FC6" w:rsidRPr="00FE3A70" w:rsidRDefault="000F6FC6" w:rsidP="000F6FC6">
      <w:pPr>
        <w:spacing w:after="0" w:line="480" w:lineRule="auto"/>
        <w:jc w:val="both"/>
        <w:rPr>
          <w:rFonts w:ascii="Gill Sans MT" w:hAnsi="Gill Sans MT"/>
          <w:sz w:val="24"/>
          <w:szCs w:val="24"/>
        </w:rPr>
      </w:pPr>
    </w:p>
    <w:p w14:paraId="0A9CD5BF"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 xml:space="preserve">This is not at all to say that </w:t>
      </w:r>
      <w:r w:rsidRPr="00FE3A70">
        <w:rPr>
          <w:rFonts w:ascii="Gill Sans MT" w:hAnsi="Gill Sans MT"/>
          <w:i/>
          <w:sz w:val="24"/>
          <w:szCs w:val="24"/>
        </w:rPr>
        <w:t>Maus</w:t>
      </w:r>
      <w:r w:rsidRPr="00FE3A70">
        <w:rPr>
          <w:rFonts w:ascii="Gill Sans MT" w:hAnsi="Gill Sans MT"/>
          <w:sz w:val="24"/>
          <w:szCs w:val="24"/>
        </w:rPr>
        <w:t xml:space="preserve"> is unconcerned with questions of accuracy or correctness: on the contrary, Spiegelman repeatedly demonstrates an obsessive level of detail regarding the material minutiae of </w:t>
      </w:r>
      <w:r>
        <w:rPr>
          <w:rFonts w:ascii="Gill Sans MT" w:hAnsi="Gill Sans MT"/>
          <w:sz w:val="24"/>
          <w:szCs w:val="24"/>
        </w:rPr>
        <w:t>his parents’</w:t>
      </w:r>
      <w:r w:rsidRPr="00FE3A70">
        <w:rPr>
          <w:rFonts w:ascii="Gill Sans MT" w:hAnsi="Gill Sans MT"/>
          <w:sz w:val="24"/>
          <w:szCs w:val="24"/>
        </w:rPr>
        <w:t xml:space="preserve"> concentrationary experience, including maps, architectural diagrams, timelines and even a step-by-step guide delineating how one should repair the sole of a shoe.</w:t>
      </w:r>
      <w:r w:rsidRPr="00FE3A70">
        <w:rPr>
          <w:rStyle w:val="FootnoteReference"/>
          <w:rFonts w:ascii="Gill Sans MT" w:hAnsi="Gill Sans MT"/>
          <w:sz w:val="24"/>
          <w:szCs w:val="24"/>
        </w:rPr>
        <w:footnoteReference w:id="84"/>
      </w:r>
      <w:r w:rsidRPr="00FE3A70">
        <w:rPr>
          <w:rFonts w:ascii="Gill Sans MT" w:hAnsi="Gill Sans MT"/>
          <w:sz w:val="24"/>
          <w:szCs w:val="24"/>
        </w:rPr>
        <w:t xml:space="preserve"> However, these impulses towards precision are presented in constant and irresolvable tension with the misrememberings, forgettings and silences that frustrate and impede Art’s desire for complete, rounded knowledge. Aside from the absence of Richieu, Art is also unable to gather testimony from his mother, who committed suicide in 1968 and whose diaries Vladek has burned.</w:t>
      </w:r>
      <w:r w:rsidRPr="00FE3A70">
        <w:rPr>
          <w:rStyle w:val="FootnoteReference"/>
          <w:rFonts w:ascii="Gill Sans MT" w:hAnsi="Gill Sans MT"/>
          <w:sz w:val="24"/>
          <w:szCs w:val="24"/>
        </w:rPr>
        <w:footnoteReference w:id="85"/>
      </w:r>
      <w:r w:rsidRPr="00FE3A70">
        <w:rPr>
          <w:rFonts w:ascii="Gill Sans MT" w:hAnsi="Gill Sans MT"/>
          <w:sz w:val="24"/>
          <w:szCs w:val="24"/>
        </w:rPr>
        <w:t xml:space="preserve"> Spiegelman thus exploits </w:t>
      </w:r>
      <w:r>
        <w:rPr>
          <w:rFonts w:ascii="Gill Sans MT" w:hAnsi="Gill Sans MT"/>
          <w:sz w:val="24"/>
          <w:szCs w:val="24"/>
        </w:rPr>
        <w:t>the representational latitude offered by the comics medium</w:t>
      </w:r>
      <w:r w:rsidRPr="00FE3A70">
        <w:rPr>
          <w:rFonts w:ascii="Gill Sans MT" w:hAnsi="Gill Sans MT"/>
          <w:sz w:val="24"/>
          <w:szCs w:val="24"/>
        </w:rPr>
        <w:t xml:space="preserve"> in order to open up a productive </w:t>
      </w:r>
      <w:r>
        <w:rPr>
          <w:rFonts w:ascii="Gill Sans MT" w:hAnsi="Gill Sans MT"/>
          <w:sz w:val="24"/>
          <w:szCs w:val="24"/>
        </w:rPr>
        <w:t>tension with respect</w:t>
      </w:r>
      <w:r w:rsidRPr="00FE3A70">
        <w:rPr>
          <w:rFonts w:ascii="Gill Sans MT" w:hAnsi="Gill Sans MT"/>
          <w:sz w:val="24"/>
          <w:szCs w:val="24"/>
        </w:rPr>
        <w:t xml:space="preserve"> to the idea of ‘truth’</w:t>
      </w:r>
      <w:r>
        <w:rPr>
          <w:rFonts w:ascii="Gill Sans MT" w:hAnsi="Gill Sans MT"/>
          <w:sz w:val="24"/>
          <w:szCs w:val="24"/>
        </w:rPr>
        <w:t>. O</w:t>
      </w:r>
      <w:r w:rsidRPr="00FE3A70">
        <w:rPr>
          <w:rFonts w:ascii="Gill Sans MT" w:hAnsi="Gill Sans MT"/>
          <w:sz w:val="24"/>
          <w:szCs w:val="24"/>
        </w:rPr>
        <w:t xml:space="preserve">n the one hand, </w:t>
      </w:r>
      <w:r>
        <w:rPr>
          <w:rFonts w:ascii="Gill Sans MT" w:hAnsi="Gill Sans MT"/>
          <w:sz w:val="24"/>
          <w:szCs w:val="24"/>
        </w:rPr>
        <w:t xml:space="preserve">there is ‘amplification through simplification’: </w:t>
      </w:r>
      <w:r w:rsidRPr="00FE3A70">
        <w:rPr>
          <w:rFonts w:ascii="Gill Sans MT" w:hAnsi="Gill Sans MT"/>
          <w:sz w:val="24"/>
          <w:szCs w:val="24"/>
        </w:rPr>
        <w:t>the reductive aesthetics of the comics form allows him to ‘get further inside the material in a way that would have been more difficult with more realistic representation’.</w:t>
      </w:r>
      <w:r w:rsidRPr="00FE3A70">
        <w:rPr>
          <w:rStyle w:val="FootnoteReference"/>
          <w:rFonts w:ascii="Gill Sans MT" w:hAnsi="Gill Sans MT"/>
          <w:sz w:val="24"/>
          <w:szCs w:val="24"/>
        </w:rPr>
        <w:footnoteReference w:id="86"/>
      </w:r>
      <w:r w:rsidRPr="00FE3A70">
        <w:rPr>
          <w:rFonts w:ascii="Gill Sans MT" w:hAnsi="Gill Sans MT"/>
          <w:sz w:val="24"/>
          <w:szCs w:val="24"/>
        </w:rPr>
        <w:t xml:space="preserve"> And yet on the other this more abstract, emotionally-informed engagement with his parents’ experiences also allows for a certain imaginative ‘wiggle room’ regarding the empirical details. His desire for truth is thus accompanied by a simultaneous acknowledgement that ‘reality is too complex for </w:t>
      </w:r>
      <w:r w:rsidRPr="00FE3A70">
        <w:rPr>
          <w:rFonts w:ascii="Gill Sans MT" w:hAnsi="Gill Sans MT"/>
          <w:sz w:val="24"/>
          <w:szCs w:val="24"/>
        </w:rPr>
        <w:lastRenderedPageBreak/>
        <w:t>comics’:</w:t>
      </w:r>
      <w:r w:rsidRPr="00FE3A70">
        <w:rPr>
          <w:rStyle w:val="FootnoteReference"/>
          <w:rFonts w:ascii="Gill Sans MT" w:hAnsi="Gill Sans MT"/>
          <w:sz w:val="24"/>
          <w:szCs w:val="24"/>
        </w:rPr>
        <w:footnoteReference w:id="87"/>
      </w:r>
      <w:r w:rsidRPr="00FE3A70">
        <w:rPr>
          <w:rFonts w:ascii="Gill Sans MT" w:hAnsi="Gill Sans MT"/>
          <w:sz w:val="24"/>
          <w:szCs w:val="24"/>
        </w:rPr>
        <w:t xml:space="preserve"> that the processes of remembrance, communication, reception, organisation and presentation underpinning his narrative must by necessity degrade the source material upon which that narrative is based:</w:t>
      </w:r>
    </w:p>
    <w:p w14:paraId="3DC0A481" w14:textId="77777777" w:rsidR="000F6FC6" w:rsidRPr="00FE3A70" w:rsidRDefault="000F6FC6" w:rsidP="000F6FC6">
      <w:pPr>
        <w:spacing w:after="0" w:line="480" w:lineRule="auto"/>
        <w:jc w:val="both"/>
        <w:rPr>
          <w:rFonts w:ascii="Gill Sans MT" w:hAnsi="Gill Sans MT"/>
          <w:sz w:val="24"/>
          <w:szCs w:val="24"/>
        </w:rPr>
      </w:pPr>
    </w:p>
    <w:p w14:paraId="2273B179" w14:textId="77777777" w:rsidR="000F6FC6" w:rsidRPr="00FE3A70" w:rsidRDefault="000F6FC6" w:rsidP="000F6FC6">
      <w:pPr>
        <w:spacing w:after="0" w:line="360" w:lineRule="auto"/>
        <w:ind w:left="567" w:right="662"/>
        <w:jc w:val="both"/>
        <w:rPr>
          <w:rFonts w:ascii="Gill Sans MT" w:hAnsi="Gill Sans MT"/>
          <w:sz w:val="24"/>
          <w:szCs w:val="24"/>
        </w:rPr>
      </w:pPr>
      <w:r w:rsidRPr="00FE3A70">
        <w:rPr>
          <w:rFonts w:ascii="Gill Sans MT" w:hAnsi="Gill Sans MT"/>
          <w:i/>
          <w:sz w:val="24"/>
          <w:szCs w:val="24"/>
        </w:rPr>
        <w:t>My father could only remember/understand a part of what he lived through. He could only tell a part of that. I, in turn, could only understand a part of what he was able to tell, and could only communicate a part of that. What remains are ghosts of ghosts, standing on the fragile foundations of memory.</w:t>
      </w:r>
      <w:r w:rsidRPr="00FE3A70">
        <w:rPr>
          <w:rStyle w:val="FootnoteReference"/>
          <w:rFonts w:ascii="Gill Sans MT" w:hAnsi="Gill Sans MT"/>
          <w:i/>
          <w:sz w:val="24"/>
          <w:szCs w:val="24"/>
        </w:rPr>
        <w:footnoteReference w:id="88"/>
      </w:r>
    </w:p>
    <w:p w14:paraId="4B6C22CF" w14:textId="77777777" w:rsidR="000F6FC6" w:rsidRPr="00FE3A70" w:rsidRDefault="000F6FC6" w:rsidP="000F6FC6">
      <w:pPr>
        <w:spacing w:after="120" w:line="480" w:lineRule="auto"/>
        <w:jc w:val="both"/>
        <w:rPr>
          <w:rFonts w:ascii="Gill Sans MT" w:hAnsi="Gill Sans MT"/>
          <w:sz w:val="24"/>
          <w:szCs w:val="24"/>
        </w:rPr>
      </w:pPr>
    </w:p>
    <w:p w14:paraId="0E802D5A"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 xml:space="preserve">Spiegelman’s use of the comics medium to emphasise the complexity, partiality and fragility of his knowledge of the story he is trying to tell stands in contradistinction to </w:t>
      </w:r>
      <w:r w:rsidRPr="00FE3A70">
        <w:rPr>
          <w:rFonts w:ascii="Gill Sans MT" w:hAnsi="Gill Sans MT"/>
          <w:i/>
          <w:sz w:val="24"/>
          <w:szCs w:val="24"/>
        </w:rPr>
        <w:t>Sierrarat</w:t>
      </w:r>
      <w:r w:rsidRPr="00FE3A70">
        <w:rPr>
          <w:rFonts w:ascii="Gill Sans MT" w:hAnsi="Gill Sans MT"/>
          <w:sz w:val="24"/>
          <w:szCs w:val="24"/>
        </w:rPr>
        <w:t xml:space="preserve">’s attempt to distil the complexities of the Sierra Leonean Civil War into a singular and institutionally-mediated truth. His self-reflexive understanding of the limits of his medium likewise contrasts with </w:t>
      </w:r>
      <w:r w:rsidRPr="00FE3A70">
        <w:rPr>
          <w:rFonts w:ascii="Gill Sans MT" w:hAnsi="Gill Sans MT"/>
          <w:i/>
          <w:sz w:val="24"/>
          <w:szCs w:val="24"/>
        </w:rPr>
        <w:t>Sierrarat</w:t>
      </w:r>
      <w:r w:rsidRPr="00FE3A70">
        <w:rPr>
          <w:rFonts w:ascii="Gill Sans MT" w:hAnsi="Gill Sans MT"/>
          <w:sz w:val="24"/>
          <w:szCs w:val="24"/>
        </w:rPr>
        <w:t xml:space="preserve">’s apparent faith in a chain of communication that flows without degradation or interpretive interruption from an initial witness through their testimony to the SLTRC, and then through the comic itself to the student reading it. And although Art’s obsessiveness with detail is everywhere </w:t>
      </w:r>
      <w:r w:rsidRPr="00FE3A70">
        <w:rPr>
          <w:rFonts w:ascii="Gill Sans MT" w:hAnsi="Gill Sans MT"/>
          <w:sz w:val="24"/>
          <w:szCs w:val="24"/>
        </w:rPr>
        <w:lastRenderedPageBreak/>
        <w:t xml:space="preserve">evident, there is no assumed causal connection between truth and reconciliation: </w:t>
      </w:r>
      <w:r w:rsidRPr="00FE3A70">
        <w:rPr>
          <w:rFonts w:ascii="Gill Sans MT" w:hAnsi="Gill Sans MT"/>
          <w:i/>
          <w:sz w:val="24"/>
          <w:szCs w:val="24"/>
        </w:rPr>
        <w:t>Maus</w:t>
      </w:r>
      <w:r w:rsidRPr="00FE3A70">
        <w:rPr>
          <w:rFonts w:ascii="Gill Sans MT" w:hAnsi="Gill Sans MT"/>
          <w:sz w:val="24"/>
          <w:szCs w:val="24"/>
        </w:rPr>
        <w:t xml:space="preserve"> is a book about coming to terms with loss and trauma, rather than overcoming it.</w:t>
      </w:r>
      <w:r w:rsidRPr="00FE3A70">
        <w:rPr>
          <w:rStyle w:val="FootnoteReference"/>
          <w:rFonts w:ascii="Gill Sans MT" w:hAnsi="Gill Sans MT"/>
          <w:sz w:val="24"/>
          <w:szCs w:val="24"/>
        </w:rPr>
        <w:footnoteReference w:id="89"/>
      </w:r>
      <w:r w:rsidRPr="00FE3A70">
        <w:rPr>
          <w:rFonts w:ascii="Gill Sans MT" w:hAnsi="Gill Sans MT"/>
          <w:sz w:val="24"/>
          <w:szCs w:val="24"/>
        </w:rPr>
        <w:t xml:space="preserve"> </w:t>
      </w:r>
    </w:p>
    <w:p w14:paraId="66589A7A" w14:textId="77777777" w:rsidR="000F6FC6" w:rsidRPr="00FE3A70" w:rsidRDefault="000F6FC6" w:rsidP="000F6FC6">
      <w:pPr>
        <w:spacing w:after="0" w:line="480" w:lineRule="auto"/>
        <w:jc w:val="both"/>
        <w:rPr>
          <w:rFonts w:ascii="Gill Sans MT" w:hAnsi="Gill Sans MT"/>
          <w:sz w:val="24"/>
          <w:szCs w:val="24"/>
        </w:rPr>
      </w:pPr>
    </w:p>
    <w:p w14:paraId="702B30C8" w14:textId="77777777" w:rsidR="000F6FC6" w:rsidRPr="00FE3A70" w:rsidRDefault="000F6FC6" w:rsidP="000F6FC6">
      <w:pPr>
        <w:spacing w:after="0" w:line="480" w:lineRule="auto"/>
        <w:jc w:val="both"/>
        <w:rPr>
          <w:rFonts w:ascii="Gill Sans MT" w:hAnsi="Gill Sans MT"/>
          <w:sz w:val="24"/>
          <w:szCs w:val="24"/>
        </w:rPr>
      </w:pPr>
    </w:p>
    <w:p w14:paraId="43FB492A"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i/>
          <w:sz w:val="24"/>
          <w:szCs w:val="24"/>
        </w:rPr>
        <w:t>Temporalities of peace and trauma</w:t>
      </w:r>
    </w:p>
    <w:p w14:paraId="1A32A84D" w14:textId="77777777" w:rsidR="000F6FC6" w:rsidRPr="00FE3A70" w:rsidRDefault="000F6FC6" w:rsidP="000F6FC6">
      <w:pPr>
        <w:spacing w:after="0" w:line="480" w:lineRule="auto"/>
        <w:jc w:val="both"/>
        <w:rPr>
          <w:rFonts w:ascii="Gill Sans MT" w:hAnsi="Gill Sans MT"/>
          <w:sz w:val="24"/>
          <w:szCs w:val="24"/>
        </w:rPr>
      </w:pPr>
    </w:p>
    <w:p w14:paraId="246F55DC" w14:textId="7768BCF1" w:rsidR="000F6FC6" w:rsidRPr="00FE3A70" w:rsidRDefault="000F6FC6" w:rsidP="000F6FC6">
      <w:pPr>
        <w:pStyle w:val="Caption"/>
        <w:spacing w:after="0" w:line="480" w:lineRule="auto"/>
        <w:jc w:val="center"/>
        <w:rPr>
          <w:rFonts w:ascii="Gill Sans MT" w:hAnsi="Gill Sans MT"/>
          <w:sz w:val="24"/>
          <w:szCs w:val="24"/>
        </w:rPr>
      </w:pPr>
      <w:r w:rsidRPr="00FE3A70">
        <w:rPr>
          <w:rFonts w:ascii="Gill Sans MT" w:hAnsi="Gill Sans MT"/>
          <w:color w:val="auto"/>
          <w:sz w:val="24"/>
          <w:szCs w:val="24"/>
        </w:rPr>
        <w:t xml:space="preserve">[Fig. </w:t>
      </w:r>
      <w:r w:rsidR="00276FEB">
        <w:rPr>
          <w:rFonts w:ascii="Gill Sans MT" w:hAnsi="Gill Sans MT"/>
          <w:color w:val="auto"/>
          <w:sz w:val="24"/>
          <w:szCs w:val="24"/>
        </w:rPr>
        <w:t>4</w:t>
      </w:r>
      <w:r w:rsidRPr="00FE3A70">
        <w:rPr>
          <w:rFonts w:ascii="Gill Sans MT" w:hAnsi="Gill Sans MT"/>
          <w:color w:val="auto"/>
          <w:sz w:val="24"/>
          <w:szCs w:val="24"/>
        </w:rPr>
        <w:t xml:space="preserve">: </w:t>
      </w:r>
      <w:r w:rsidRPr="00FE3A70">
        <w:rPr>
          <w:rFonts w:ascii="Gill Sans MT" w:hAnsi="Gill Sans MT"/>
          <w:i/>
          <w:color w:val="auto"/>
          <w:sz w:val="24"/>
          <w:szCs w:val="24"/>
        </w:rPr>
        <w:t>Sierrarat</w:t>
      </w:r>
      <w:r w:rsidRPr="00FE3A70">
        <w:rPr>
          <w:rFonts w:ascii="Gill Sans MT" w:hAnsi="Gill Sans MT"/>
          <w:color w:val="auto"/>
          <w:sz w:val="24"/>
          <w:szCs w:val="24"/>
        </w:rPr>
        <w:t>, first panel]</w:t>
      </w:r>
    </w:p>
    <w:p w14:paraId="5E3DA220" w14:textId="77777777" w:rsidR="000F6FC6" w:rsidRPr="00FE3A70" w:rsidRDefault="000F6FC6" w:rsidP="000F6FC6">
      <w:pPr>
        <w:spacing w:after="0" w:line="480" w:lineRule="auto"/>
        <w:jc w:val="both"/>
        <w:rPr>
          <w:rFonts w:ascii="Gill Sans MT" w:hAnsi="Gill Sans MT"/>
          <w:i/>
          <w:sz w:val="24"/>
          <w:szCs w:val="24"/>
        </w:rPr>
      </w:pPr>
    </w:p>
    <w:p w14:paraId="7D819138"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i/>
          <w:sz w:val="24"/>
          <w:szCs w:val="24"/>
        </w:rPr>
        <w:t>Sierrarat</w:t>
      </w:r>
      <w:r w:rsidRPr="00FE3A70">
        <w:rPr>
          <w:rFonts w:ascii="Gill Sans MT" w:hAnsi="Gill Sans MT"/>
          <w:sz w:val="24"/>
          <w:szCs w:val="24"/>
        </w:rPr>
        <w:t xml:space="preserve"> begins with a vision of Sierrarat in its prelapsarian, pre-conflict state – ‘a poor but peaceful and beautiful country’ – which is then interrupted by an intrusion of cats from the neighbouring state of ‘Liberat’, sparking a civil conflict. It is this initial state of peace, or something very like it, that the SLTRC seeks to bring about once more – a state of ‘lasting peace’ this time, in which ‘the war won’t happen again’.</w:t>
      </w:r>
      <w:r w:rsidRPr="00FE3A70">
        <w:rPr>
          <w:rStyle w:val="FootnoteReference"/>
          <w:rFonts w:ascii="Gill Sans MT" w:hAnsi="Gill Sans MT"/>
          <w:sz w:val="24"/>
          <w:szCs w:val="24"/>
        </w:rPr>
        <w:footnoteReference w:id="90"/>
      </w:r>
      <w:r w:rsidRPr="00FE3A70">
        <w:rPr>
          <w:rFonts w:ascii="Gill Sans MT" w:hAnsi="Gill Sans MT"/>
          <w:sz w:val="24"/>
          <w:szCs w:val="24"/>
        </w:rPr>
        <w:t xml:space="preserve"> The comic th</w:t>
      </w:r>
      <w:r>
        <w:rPr>
          <w:rFonts w:ascii="Gill Sans MT" w:hAnsi="Gill Sans MT"/>
          <w:sz w:val="24"/>
          <w:szCs w:val="24"/>
        </w:rPr>
        <w:t>us</w:t>
      </w:r>
      <w:r w:rsidRPr="00FE3A70">
        <w:rPr>
          <w:rFonts w:ascii="Gill Sans MT" w:hAnsi="Gill Sans MT"/>
          <w:sz w:val="24"/>
          <w:szCs w:val="24"/>
        </w:rPr>
        <w:t xml:space="preserve"> </w:t>
      </w:r>
      <w:r>
        <w:rPr>
          <w:rFonts w:ascii="Gill Sans MT" w:hAnsi="Gill Sans MT"/>
          <w:sz w:val="24"/>
          <w:szCs w:val="24"/>
        </w:rPr>
        <w:t>constructs a circular timeframe</w:t>
      </w:r>
      <w:r w:rsidRPr="00FE3A70">
        <w:rPr>
          <w:rFonts w:ascii="Gill Sans MT" w:hAnsi="Gill Sans MT"/>
          <w:sz w:val="24"/>
          <w:szCs w:val="24"/>
        </w:rPr>
        <w:t xml:space="preserve"> in which Sierrarat proceeds from an idyllic past, through the difficulties of the Civil War, before re-establishing a mature and permanent peace that resembles the pre-war state in which the country is found at the beginning of the comic. This temporal </w:t>
      </w:r>
      <w:r>
        <w:rPr>
          <w:rFonts w:ascii="Gill Sans MT" w:hAnsi="Gill Sans MT"/>
          <w:sz w:val="24"/>
          <w:szCs w:val="24"/>
        </w:rPr>
        <w:t>structure</w:t>
      </w:r>
      <w:r w:rsidRPr="00FE3A70">
        <w:rPr>
          <w:rFonts w:ascii="Gill Sans MT" w:hAnsi="Gill Sans MT"/>
          <w:sz w:val="24"/>
          <w:szCs w:val="24"/>
        </w:rPr>
        <w:t xml:space="preserve"> </w:t>
      </w:r>
      <w:r>
        <w:rPr>
          <w:rFonts w:ascii="Gill Sans MT" w:hAnsi="Gill Sans MT"/>
          <w:sz w:val="24"/>
          <w:szCs w:val="24"/>
        </w:rPr>
        <w:t>both organises</w:t>
      </w:r>
      <w:r w:rsidRPr="00FE3A70">
        <w:rPr>
          <w:rFonts w:ascii="Gill Sans MT" w:hAnsi="Gill Sans MT"/>
          <w:sz w:val="24"/>
          <w:szCs w:val="24"/>
        </w:rPr>
        <w:t xml:space="preserve"> </w:t>
      </w:r>
      <w:r w:rsidRPr="00FE3A70">
        <w:rPr>
          <w:rFonts w:ascii="Gill Sans MT" w:hAnsi="Gill Sans MT"/>
          <w:i/>
          <w:sz w:val="24"/>
          <w:szCs w:val="24"/>
        </w:rPr>
        <w:t>Sierrarat</w:t>
      </w:r>
      <w:r w:rsidRPr="00FE3A70">
        <w:rPr>
          <w:rFonts w:ascii="Gill Sans MT" w:hAnsi="Gill Sans MT"/>
          <w:sz w:val="24"/>
          <w:szCs w:val="24"/>
        </w:rPr>
        <w:t>’s narrative</w:t>
      </w:r>
      <w:r>
        <w:rPr>
          <w:rFonts w:ascii="Gill Sans MT" w:hAnsi="Gill Sans MT"/>
          <w:sz w:val="24"/>
          <w:szCs w:val="24"/>
        </w:rPr>
        <w:t xml:space="preserve"> </w:t>
      </w:r>
      <w:r>
        <w:rPr>
          <w:rFonts w:ascii="Gill Sans MT" w:hAnsi="Gill Sans MT"/>
          <w:i/>
          <w:sz w:val="24"/>
          <w:szCs w:val="24"/>
        </w:rPr>
        <w:t xml:space="preserve">and </w:t>
      </w:r>
      <w:r w:rsidRPr="00FE3A70">
        <w:rPr>
          <w:rFonts w:ascii="Gill Sans MT" w:hAnsi="Gill Sans MT"/>
          <w:sz w:val="24"/>
          <w:szCs w:val="24"/>
        </w:rPr>
        <w:t xml:space="preserve">delimits its sense of political possibility: bound up as it is with the parallel advancement of truth and </w:t>
      </w:r>
      <w:r w:rsidRPr="00FE3A70">
        <w:rPr>
          <w:rFonts w:ascii="Gill Sans MT" w:hAnsi="Gill Sans MT"/>
          <w:sz w:val="24"/>
          <w:szCs w:val="24"/>
        </w:rPr>
        <w:lastRenderedPageBreak/>
        <w:t xml:space="preserve">reconciliation, it describes a trajectory in which progress from conflict </w:t>
      </w:r>
      <w:r w:rsidRPr="00FE3A70">
        <w:rPr>
          <w:rFonts w:ascii="Gill Sans MT" w:hAnsi="Gill Sans MT"/>
          <w:i/>
          <w:sz w:val="24"/>
          <w:szCs w:val="24"/>
        </w:rPr>
        <w:t>back</w:t>
      </w:r>
      <w:r w:rsidRPr="00FE3A70">
        <w:rPr>
          <w:rFonts w:ascii="Gill Sans MT" w:hAnsi="Gill Sans MT"/>
          <w:sz w:val="24"/>
          <w:szCs w:val="24"/>
        </w:rPr>
        <w:t xml:space="preserve"> to peace proceeds irrevocably and only from the knowledge generated by the </w:t>
      </w:r>
      <w:r>
        <w:rPr>
          <w:rFonts w:ascii="Gill Sans MT" w:hAnsi="Gill Sans MT"/>
          <w:sz w:val="24"/>
          <w:szCs w:val="24"/>
        </w:rPr>
        <w:t>SL</w:t>
      </w:r>
      <w:r w:rsidRPr="00FE3A70">
        <w:rPr>
          <w:rFonts w:ascii="Gill Sans MT" w:hAnsi="Gill Sans MT"/>
          <w:sz w:val="24"/>
          <w:szCs w:val="24"/>
        </w:rPr>
        <w:t>TRC itself.</w:t>
      </w:r>
      <w:r w:rsidRPr="00FE3A70">
        <w:rPr>
          <w:rFonts w:ascii="Gill Sans MT" w:hAnsi="Gill Sans MT"/>
          <w:sz w:val="24"/>
          <w:szCs w:val="24"/>
          <w:lang w:val="en-US"/>
        </w:rPr>
        <w:t xml:space="preserve"> </w:t>
      </w:r>
    </w:p>
    <w:p w14:paraId="6EAD0B40" w14:textId="77777777" w:rsidR="000F6FC6"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t>Because th</w:t>
      </w:r>
      <w:r>
        <w:rPr>
          <w:rFonts w:ascii="Gill Sans MT" w:hAnsi="Gill Sans MT"/>
          <w:sz w:val="24"/>
          <w:szCs w:val="24"/>
        </w:rPr>
        <w:t>e comic’s</w:t>
      </w:r>
      <w:r w:rsidRPr="00FE3A70">
        <w:rPr>
          <w:rFonts w:ascii="Gill Sans MT" w:hAnsi="Gill Sans MT"/>
          <w:sz w:val="24"/>
          <w:szCs w:val="24"/>
        </w:rPr>
        <w:t xml:space="preserve"> circular temporality is designed to house a </w:t>
      </w:r>
      <w:r>
        <w:rPr>
          <w:rFonts w:ascii="Gill Sans MT" w:hAnsi="Gill Sans MT"/>
          <w:sz w:val="24"/>
          <w:szCs w:val="24"/>
        </w:rPr>
        <w:t>progressive narrative</w:t>
      </w:r>
      <w:r w:rsidRPr="00FE3A70">
        <w:rPr>
          <w:rFonts w:ascii="Gill Sans MT" w:hAnsi="Gill Sans MT"/>
          <w:sz w:val="24"/>
          <w:szCs w:val="24"/>
        </w:rPr>
        <w:t xml:space="preserve"> </w:t>
      </w:r>
      <w:r>
        <w:rPr>
          <w:rFonts w:ascii="Gill Sans MT" w:hAnsi="Gill Sans MT"/>
          <w:sz w:val="24"/>
          <w:szCs w:val="24"/>
        </w:rPr>
        <w:t>leading</w:t>
      </w:r>
      <w:r w:rsidRPr="00FE3A70">
        <w:rPr>
          <w:rFonts w:ascii="Gill Sans MT" w:hAnsi="Gill Sans MT"/>
          <w:sz w:val="24"/>
          <w:szCs w:val="24"/>
        </w:rPr>
        <w:t xml:space="preserve"> from the establishment of the </w:t>
      </w:r>
      <w:r>
        <w:rPr>
          <w:rFonts w:ascii="Gill Sans MT" w:hAnsi="Gill Sans MT"/>
          <w:sz w:val="24"/>
          <w:szCs w:val="24"/>
        </w:rPr>
        <w:t>SL</w:t>
      </w:r>
      <w:r w:rsidRPr="00FE3A70">
        <w:rPr>
          <w:rFonts w:ascii="Gill Sans MT" w:hAnsi="Gill Sans MT"/>
          <w:sz w:val="24"/>
          <w:szCs w:val="24"/>
        </w:rPr>
        <w:t>TRC towards reconciliation</w:t>
      </w:r>
      <w:r>
        <w:rPr>
          <w:rFonts w:ascii="Gill Sans MT" w:hAnsi="Gill Sans MT"/>
          <w:sz w:val="24"/>
          <w:szCs w:val="24"/>
        </w:rPr>
        <w:t>, the story it presents</w:t>
      </w:r>
      <w:r w:rsidRPr="00FE3A70">
        <w:rPr>
          <w:rFonts w:ascii="Gill Sans MT" w:hAnsi="Gill Sans MT"/>
          <w:sz w:val="24"/>
          <w:szCs w:val="24"/>
        </w:rPr>
        <w:t xml:space="preserve"> is linear and straightforward</w:t>
      </w:r>
      <w:r>
        <w:rPr>
          <w:rFonts w:ascii="Gill Sans MT" w:hAnsi="Gill Sans MT"/>
          <w:sz w:val="24"/>
          <w:szCs w:val="24"/>
        </w:rPr>
        <w:t>. This is</w:t>
      </w:r>
      <w:r w:rsidRPr="00FE3A70">
        <w:rPr>
          <w:rFonts w:ascii="Gill Sans MT" w:hAnsi="Gill Sans MT"/>
          <w:sz w:val="24"/>
          <w:szCs w:val="24"/>
        </w:rPr>
        <w:t xml:space="preserve"> a </w:t>
      </w:r>
      <w:r>
        <w:rPr>
          <w:rFonts w:ascii="Gill Sans MT" w:hAnsi="Gill Sans MT"/>
          <w:sz w:val="24"/>
          <w:szCs w:val="24"/>
        </w:rPr>
        <w:t>depoliticising move</w:t>
      </w:r>
      <w:r w:rsidRPr="00FE3A70">
        <w:rPr>
          <w:rFonts w:ascii="Gill Sans MT" w:hAnsi="Gill Sans MT"/>
          <w:sz w:val="24"/>
          <w:szCs w:val="24"/>
        </w:rPr>
        <w:t xml:space="preserve"> insofar as </w:t>
      </w:r>
      <w:r>
        <w:rPr>
          <w:rFonts w:ascii="Gill Sans MT" w:hAnsi="Gill Sans MT"/>
          <w:sz w:val="24"/>
          <w:szCs w:val="24"/>
        </w:rPr>
        <w:t xml:space="preserve">it </w:t>
      </w:r>
      <w:r w:rsidRPr="00FE3A70">
        <w:rPr>
          <w:rFonts w:ascii="Gill Sans MT" w:hAnsi="Gill Sans MT"/>
          <w:sz w:val="24"/>
          <w:szCs w:val="24"/>
        </w:rPr>
        <w:t>obscure</w:t>
      </w:r>
      <w:r>
        <w:rPr>
          <w:rFonts w:ascii="Gill Sans MT" w:hAnsi="Gill Sans MT"/>
          <w:sz w:val="24"/>
          <w:szCs w:val="24"/>
        </w:rPr>
        <w:t>s</w:t>
      </w:r>
      <w:r w:rsidRPr="00FE3A70">
        <w:rPr>
          <w:rFonts w:ascii="Gill Sans MT" w:hAnsi="Gill Sans MT"/>
          <w:sz w:val="24"/>
          <w:szCs w:val="24"/>
        </w:rPr>
        <w:t xml:space="preserve"> the ways in which</w:t>
      </w:r>
      <w:r>
        <w:rPr>
          <w:rFonts w:ascii="Gill Sans MT" w:hAnsi="Gill Sans MT"/>
          <w:sz w:val="24"/>
          <w:szCs w:val="24"/>
        </w:rPr>
        <w:t xml:space="preserve"> crises</w:t>
      </w:r>
      <w:r w:rsidRPr="00FE3A70">
        <w:rPr>
          <w:rFonts w:ascii="Gill Sans MT" w:hAnsi="Gill Sans MT"/>
          <w:sz w:val="24"/>
          <w:szCs w:val="24"/>
        </w:rPr>
        <w:t xml:space="preserve"> </w:t>
      </w:r>
      <w:r>
        <w:rPr>
          <w:rFonts w:ascii="Gill Sans MT" w:hAnsi="Gill Sans MT"/>
          <w:sz w:val="24"/>
          <w:szCs w:val="24"/>
        </w:rPr>
        <w:t xml:space="preserve">continue to </w:t>
      </w:r>
      <w:r w:rsidRPr="00522B85">
        <w:rPr>
          <w:rFonts w:ascii="Gill Sans MT" w:hAnsi="Gill Sans MT"/>
          <w:sz w:val="24"/>
          <w:szCs w:val="24"/>
        </w:rPr>
        <w:t xml:space="preserve">resonate </w:t>
      </w:r>
      <w:r>
        <w:rPr>
          <w:rFonts w:ascii="Gill Sans MT" w:hAnsi="Gill Sans MT"/>
          <w:sz w:val="24"/>
          <w:szCs w:val="24"/>
        </w:rPr>
        <w:t>after the events that constitute them. As Jenny Edkins has noted,</w:t>
      </w:r>
      <w:r w:rsidRPr="00FE3A70">
        <w:rPr>
          <w:rFonts w:ascii="Gill Sans MT" w:hAnsi="Gill Sans MT"/>
          <w:sz w:val="24"/>
          <w:szCs w:val="24"/>
        </w:rPr>
        <w:t xml:space="preserve"> </w:t>
      </w:r>
      <w:r>
        <w:rPr>
          <w:rFonts w:ascii="Gill Sans MT" w:hAnsi="Gill Sans MT"/>
          <w:sz w:val="24"/>
          <w:szCs w:val="24"/>
        </w:rPr>
        <w:t>‘</w:t>
      </w:r>
      <w:r w:rsidRPr="00FE3A70">
        <w:rPr>
          <w:rFonts w:ascii="Gill Sans MT" w:hAnsi="Gill Sans MT"/>
          <w:sz w:val="24"/>
          <w:szCs w:val="24"/>
        </w:rPr>
        <w:t>trauma is not experienced at the time; it is belated. It returns in the form of dreams or flashbacks</w:t>
      </w:r>
      <w:r>
        <w:rPr>
          <w:rFonts w:ascii="Gill Sans MT" w:hAnsi="Gill Sans MT"/>
          <w:sz w:val="24"/>
          <w:szCs w:val="24"/>
        </w:rPr>
        <w:t>’</w:t>
      </w:r>
      <w:r w:rsidRPr="00FE3A70">
        <w:rPr>
          <w:rFonts w:ascii="Gill Sans MT" w:hAnsi="Gill Sans MT"/>
          <w:sz w:val="24"/>
          <w:szCs w:val="24"/>
        </w:rPr>
        <w:t>.</w:t>
      </w:r>
      <w:r w:rsidRPr="00FE3A70">
        <w:rPr>
          <w:rStyle w:val="FootnoteReference"/>
          <w:rFonts w:ascii="Gill Sans MT" w:hAnsi="Gill Sans MT"/>
          <w:sz w:val="24"/>
          <w:szCs w:val="24"/>
        </w:rPr>
        <w:footnoteReference w:id="91"/>
      </w:r>
      <w:r w:rsidRPr="00FE3A70">
        <w:rPr>
          <w:rFonts w:ascii="Gill Sans MT" w:hAnsi="Gill Sans MT"/>
          <w:sz w:val="24"/>
          <w:szCs w:val="24"/>
        </w:rPr>
        <w:t xml:space="preserve"> </w:t>
      </w:r>
      <w:r>
        <w:rPr>
          <w:rFonts w:ascii="Gill Sans MT" w:hAnsi="Gill Sans MT"/>
          <w:sz w:val="24"/>
          <w:szCs w:val="24"/>
        </w:rPr>
        <w:t>This disruption of linear time is trauma’s defining feature,</w:t>
      </w:r>
      <w:r w:rsidRPr="00D8775F">
        <w:rPr>
          <w:rFonts w:ascii="Gill Sans MT" w:hAnsi="Gill Sans MT"/>
          <w:sz w:val="24"/>
          <w:szCs w:val="24"/>
        </w:rPr>
        <w:t xml:space="preserve"> </w:t>
      </w:r>
      <w:r>
        <w:rPr>
          <w:rFonts w:ascii="Gill Sans MT" w:hAnsi="Gill Sans MT"/>
          <w:sz w:val="24"/>
          <w:szCs w:val="24"/>
        </w:rPr>
        <w:t>according to Emma Hutchison: ‘the past is felt so intensely in the present that trauma becomes distinguished most prominently by its belated return’.</w:t>
      </w:r>
      <w:r>
        <w:rPr>
          <w:rStyle w:val="FootnoteReference"/>
          <w:rFonts w:ascii="Gill Sans MT" w:hAnsi="Gill Sans MT"/>
          <w:sz w:val="24"/>
          <w:szCs w:val="24"/>
        </w:rPr>
        <w:footnoteReference w:id="92"/>
      </w:r>
      <w:r>
        <w:rPr>
          <w:rFonts w:ascii="Gill Sans MT" w:hAnsi="Gill Sans MT"/>
          <w:sz w:val="24"/>
          <w:szCs w:val="24"/>
        </w:rPr>
        <w:t xml:space="preserve"> </w:t>
      </w:r>
      <w:r w:rsidRPr="00FE3A70">
        <w:rPr>
          <w:rFonts w:ascii="Gill Sans MT" w:hAnsi="Gill Sans MT"/>
          <w:sz w:val="24"/>
          <w:szCs w:val="24"/>
        </w:rPr>
        <w:t xml:space="preserve">Bound up with an ontology that disregards the differences, lacks and absences that result inevitably from conflict, and an epistemology that prioritises one particular institutional formation of knowledge production over </w:t>
      </w:r>
      <w:r>
        <w:rPr>
          <w:rFonts w:ascii="Gill Sans MT" w:hAnsi="Gill Sans MT"/>
          <w:sz w:val="24"/>
          <w:szCs w:val="24"/>
        </w:rPr>
        <w:t xml:space="preserve">more informal </w:t>
      </w:r>
      <w:r w:rsidRPr="00FE3A70">
        <w:rPr>
          <w:rFonts w:ascii="Gill Sans MT" w:hAnsi="Gill Sans MT"/>
          <w:sz w:val="24"/>
          <w:szCs w:val="24"/>
        </w:rPr>
        <w:t xml:space="preserve">strategies of forgetting, </w:t>
      </w:r>
      <w:r w:rsidRPr="00FE3A70">
        <w:rPr>
          <w:rFonts w:ascii="Gill Sans MT" w:hAnsi="Gill Sans MT"/>
          <w:i/>
          <w:sz w:val="24"/>
          <w:szCs w:val="24"/>
        </w:rPr>
        <w:t>Sierrarat</w:t>
      </w:r>
      <w:r w:rsidRPr="00FE3A70">
        <w:rPr>
          <w:rFonts w:ascii="Gill Sans MT" w:hAnsi="Gill Sans MT"/>
          <w:sz w:val="24"/>
          <w:szCs w:val="24"/>
        </w:rPr>
        <w:t xml:space="preserve">’s temporality similarly </w:t>
      </w:r>
      <w:r>
        <w:rPr>
          <w:rFonts w:ascii="Gill Sans MT" w:hAnsi="Gill Sans MT"/>
          <w:sz w:val="24"/>
          <w:szCs w:val="24"/>
        </w:rPr>
        <w:t xml:space="preserve">presents a closed system that </w:t>
      </w:r>
      <w:r w:rsidRPr="00FE3A70">
        <w:rPr>
          <w:rFonts w:ascii="Gill Sans MT" w:hAnsi="Gill Sans MT"/>
          <w:sz w:val="24"/>
          <w:szCs w:val="24"/>
        </w:rPr>
        <w:t xml:space="preserve">precludes the possibility of </w:t>
      </w:r>
      <w:r>
        <w:rPr>
          <w:rFonts w:ascii="Gill Sans MT" w:hAnsi="Gill Sans MT"/>
          <w:sz w:val="24"/>
          <w:szCs w:val="24"/>
        </w:rPr>
        <w:t>diversion, dissension or traumatic</w:t>
      </w:r>
      <w:r w:rsidRPr="00FE3A70">
        <w:rPr>
          <w:rFonts w:ascii="Gill Sans MT" w:hAnsi="Gill Sans MT"/>
          <w:sz w:val="24"/>
          <w:szCs w:val="24"/>
        </w:rPr>
        <w:t xml:space="preserve"> intrusion</w:t>
      </w:r>
      <w:r>
        <w:rPr>
          <w:rFonts w:ascii="Gill Sans MT" w:hAnsi="Gill Sans MT"/>
          <w:sz w:val="24"/>
          <w:szCs w:val="24"/>
        </w:rPr>
        <w:t>.</w:t>
      </w:r>
    </w:p>
    <w:p w14:paraId="7F958477" w14:textId="77777777" w:rsidR="000F6FC6" w:rsidRPr="00AD2B57" w:rsidRDefault="000F6FC6" w:rsidP="000F6FC6">
      <w:pPr>
        <w:spacing w:after="0" w:line="480" w:lineRule="auto"/>
        <w:ind w:firstLine="720"/>
        <w:jc w:val="both"/>
        <w:rPr>
          <w:rFonts w:ascii="Gill Sans MT" w:hAnsi="Gill Sans MT"/>
          <w:sz w:val="24"/>
          <w:szCs w:val="24"/>
        </w:rPr>
      </w:pPr>
      <w:r>
        <w:rPr>
          <w:rFonts w:ascii="Gill Sans MT" w:hAnsi="Gill Sans MT"/>
          <w:sz w:val="24"/>
          <w:szCs w:val="24"/>
        </w:rPr>
        <w:t>A key feature of the comics medium that would appear to lend itself more to the critical interrogation of linear time than to its</w:t>
      </w:r>
      <w:r w:rsidRPr="00FE3A70">
        <w:rPr>
          <w:rFonts w:ascii="Gill Sans MT" w:hAnsi="Gill Sans MT"/>
          <w:sz w:val="24"/>
          <w:szCs w:val="24"/>
        </w:rPr>
        <w:t xml:space="preserve"> </w:t>
      </w:r>
      <w:r>
        <w:rPr>
          <w:rFonts w:ascii="Gill Sans MT" w:hAnsi="Gill Sans MT"/>
          <w:sz w:val="24"/>
          <w:szCs w:val="24"/>
        </w:rPr>
        <w:t xml:space="preserve">reproduction is </w:t>
      </w:r>
      <w:r w:rsidRPr="00FE3A70">
        <w:rPr>
          <w:rFonts w:ascii="Gill Sans MT" w:hAnsi="Gill Sans MT"/>
          <w:sz w:val="24"/>
          <w:szCs w:val="24"/>
        </w:rPr>
        <w:t>the temporal dislocation</w:t>
      </w:r>
      <w:r>
        <w:rPr>
          <w:rFonts w:ascii="Gill Sans MT" w:hAnsi="Gill Sans MT"/>
          <w:sz w:val="24"/>
          <w:szCs w:val="24"/>
        </w:rPr>
        <w:t xml:space="preserve"> represented by </w:t>
      </w:r>
      <w:r w:rsidRPr="00FE3A70">
        <w:rPr>
          <w:rFonts w:ascii="Gill Sans MT" w:hAnsi="Gill Sans MT"/>
          <w:sz w:val="24"/>
          <w:szCs w:val="24"/>
        </w:rPr>
        <w:t xml:space="preserve">the ‘gutters’ that divide </w:t>
      </w:r>
      <w:r>
        <w:rPr>
          <w:rFonts w:ascii="Gill Sans MT" w:hAnsi="Gill Sans MT"/>
          <w:sz w:val="24"/>
          <w:szCs w:val="24"/>
        </w:rPr>
        <w:t xml:space="preserve">the </w:t>
      </w:r>
      <w:r w:rsidRPr="00FE3A70">
        <w:rPr>
          <w:rFonts w:ascii="Gill Sans MT" w:hAnsi="Gill Sans MT"/>
          <w:sz w:val="24"/>
          <w:szCs w:val="24"/>
        </w:rPr>
        <w:t xml:space="preserve">panels. </w:t>
      </w:r>
      <w:r>
        <w:rPr>
          <w:rFonts w:ascii="Gill Sans MT" w:hAnsi="Gill Sans MT"/>
          <w:sz w:val="24"/>
          <w:szCs w:val="24"/>
        </w:rPr>
        <w:t xml:space="preserve">The gutter ‘fracture[s] both time and </w:t>
      </w:r>
      <w:r>
        <w:rPr>
          <w:rFonts w:ascii="Gill Sans MT" w:hAnsi="Gill Sans MT"/>
          <w:sz w:val="24"/>
          <w:szCs w:val="24"/>
        </w:rPr>
        <w:lastRenderedPageBreak/>
        <w:t>space’, in Scott McCloud’s words, ‘offering a jagged, staccato rhythm of unconnected moments’ whose relation, coherent or otherwise, is subject to the interpretive labour of the reader.</w:t>
      </w:r>
      <w:r>
        <w:rPr>
          <w:rStyle w:val="FootnoteReference"/>
          <w:rFonts w:ascii="Gill Sans MT" w:hAnsi="Gill Sans MT"/>
          <w:sz w:val="24"/>
          <w:szCs w:val="24"/>
        </w:rPr>
        <w:footnoteReference w:id="93"/>
      </w:r>
      <w:r>
        <w:rPr>
          <w:rFonts w:ascii="Gill Sans MT" w:hAnsi="Gill Sans MT"/>
          <w:sz w:val="24"/>
          <w:szCs w:val="24"/>
        </w:rPr>
        <w:t xml:space="preserve"> As such, the gutter functions much like Foucault’s description of the margins in an illustrated book, for ‘it is there, on these few millimetres of white, the calm sand of the page, that are established all the relations of designation, nomination, description, classification’.</w:t>
      </w:r>
      <w:r>
        <w:rPr>
          <w:rStyle w:val="FootnoteReference"/>
          <w:rFonts w:ascii="Gill Sans MT" w:hAnsi="Gill Sans MT"/>
          <w:sz w:val="24"/>
          <w:szCs w:val="24"/>
        </w:rPr>
        <w:footnoteReference w:id="94"/>
      </w:r>
      <w:r>
        <w:rPr>
          <w:rFonts w:ascii="Gill Sans MT" w:hAnsi="Gill Sans MT"/>
          <w:sz w:val="24"/>
          <w:szCs w:val="24"/>
        </w:rPr>
        <w:t xml:space="preserve"> </w:t>
      </w:r>
      <w:r w:rsidRPr="00FE3A70">
        <w:rPr>
          <w:rFonts w:ascii="Gill Sans MT" w:hAnsi="Gill Sans MT"/>
          <w:sz w:val="24"/>
          <w:szCs w:val="24"/>
        </w:rPr>
        <w:t>For</w:t>
      </w:r>
      <w:r>
        <w:rPr>
          <w:rFonts w:ascii="Gill Sans MT" w:hAnsi="Gill Sans MT"/>
          <w:sz w:val="24"/>
          <w:szCs w:val="24"/>
        </w:rPr>
        <w:t xml:space="preserve"> Frank Möller</w:t>
      </w:r>
      <w:r w:rsidRPr="00FE3A70">
        <w:rPr>
          <w:rFonts w:ascii="Gill Sans MT" w:hAnsi="Gill Sans MT"/>
          <w:sz w:val="24"/>
          <w:szCs w:val="24"/>
        </w:rPr>
        <w:t>, these seemingly empty spaces are key to understanding comics’ political potential</w:t>
      </w:r>
      <w:r>
        <w:rPr>
          <w:rFonts w:ascii="Gill Sans MT" w:hAnsi="Gill Sans MT"/>
          <w:sz w:val="24"/>
          <w:szCs w:val="24"/>
        </w:rPr>
        <w:t xml:space="preserve"> with respect to questions of peace</w:t>
      </w:r>
      <w:r w:rsidRPr="00FE3A70">
        <w:rPr>
          <w:rFonts w:ascii="Gill Sans MT" w:hAnsi="Gill Sans MT"/>
          <w:sz w:val="24"/>
          <w:szCs w:val="24"/>
        </w:rPr>
        <w:t>, insofar as they function as temporally indeterminate interstices that encourage ‘readers [to] get involved in the construction of the story-line by linking otherwise disconnected panels’.</w:t>
      </w:r>
      <w:r w:rsidRPr="00FE3A70">
        <w:rPr>
          <w:rStyle w:val="FootnoteReference"/>
          <w:rFonts w:ascii="Gill Sans MT" w:hAnsi="Gill Sans MT"/>
          <w:sz w:val="24"/>
          <w:szCs w:val="24"/>
        </w:rPr>
        <w:footnoteReference w:id="95"/>
      </w:r>
      <w:r>
        <w:rPr>
          <w:rFonts w:ascii="Gill Sans MT" w:hAnsi="Gill Sans MT"/>
          <w:sz w:val="24"/>
          <w:szCs w:val="24"/>
        </w:rPr>
        <w:t xml:space="preserve"> One way in which </w:t>
      </w:r>
      <w:r>
        <w:rPr>
          <w:rFonts w:ascii="Gill Sans MT" w:hAnsi="Gill Sans MT"/>
          <w:i/>
          <w:sz w:val="24"/>
          <w:szCs w:val="24"/>
        </w:rPr>
        <w:t>Sierrarat</w:t>
      </w:r>
      <w:r>
        <w:rPr>
          <w:rFonts w:ascii="Gill Sans MT" w:hAnsi="Gill Sans MT"/>
          <w:sz w:val="24"/>
          <w:szCs w:val="24"/>
        </w:rPr>
        <w:t xml:space="preserve"> seeks to bypass the gutter is by making use of a narrator, whose descriptive asides in caption-like text boxes seek to bridge the ambiguous space between panels by summarising whatever information is perceived to be in need of clarification. ‘This is how it happened…’.</w:t>
      </w:r>
      <w:r>
        <w:rPr>
          <w:rStyle w:val="FootnoteReference"/>
          <w:rFonts w:ascii="Gill Sans MT" w:hAnsi="Gill Sans MT"/>
          <w:sz w:val="24"/>
          <w:szCs w:val="24"/>
        </w:rPr>
        <w:footnoteReference w:id="96"/>
      </w:r>
      <w:r w:rsidRPr="003F70DA">
        <w:rPr>
          <w:rFonts w:ascii="Gill Sans MT" w:hAnsi="Gill Sans MT"/>
          <w:sz w:val="24"/>
          <w:szCs w:val="24"/>
        </w:rPr>
        <w:t xml:space="preserve"> </w:t>
      </w:r>
      <w:r>
        <w:rPr>
          <w:rFonts w:ascii="Gill Sans MT" w:hAnsi="Gill Sans MT"/>
          <w:sz w:val="24"/>
          <w:szCs w:val="24"/>
        </w:rPr>
        <w:t xml:space="preserve">In the process, </w:t>
      </w:r>
      <w:r>
        <w:rPr>
          <w:rFonts w:ascii="Gill Sans MT" w:hAnsi="Gill Sans MT"/>
          <w:i/>
          <w:sz w:val="24"/>
          <w:szCs w:val="24"/>
        </w:rPr>
        <w:t xml:space="preserve">Sierrarat </w:t>
      </w:r>
      <w:r>
        <w:rPr>
          <w:rFonts w:ascii="Gill Sans MT" w:hAnsi="Gill Sans MT"/>
          <w:sz w:val="24"/>
          <w:szCs w:val="24"/>
        </w:rPr>
        <w:t>seeks to foreclose the possibility of alternative readings and counter-narratives that might disrupt its depiction of a smooth procession</w:t>
      </w:r>
      <w:r w:rsidRPr="00FE3A70">
        <w:rPr>
          <w:rFonts w:ascii="Gill Sans MT" w:hAnsi="Gill Sans MT"/>
          <w:sz w:val="24"/>
          <w:szCs w:val="24"/>
        </w:rPr>
        <w:t xml:space="preserve"> towards reconciliation</w:t>
      </w:r>
      <w:r>
        <w:rPr>
          <w:rFonts w:ascii="Gill Sans MT" w:hAnsi="Gill Sans MT"/>
          <w:sz w:val="24"/>
          <w:szCs w:val="24"/>
        </w:rPr>
        <w:t xml:space="preserve"> under the watchful gaze and parental guidance of the SLTRC</w:t>
      </w:r>
      <w:r w:rsidRPr="00FE3A70">
        <w:rPr>
          <w:rFonts w:ascii="Gill Sans MT" w:hAnsi="Gill Sans MT"/>
          <w:sz w:val="24"/>
          <w:szCs w:val="24"/>
        </w:rPr>
        <w:t>. Its implication is that the</w:t>
      </w:r>
      <w:r>
        <w:rPr>
          <w:rFonts w:ascii="Gill Sans MT" w:hAnsi="Gill Sans MT"/>
          <w:sz w:val="24"/>
          <w:szCs w:val="24"/>
        </w:rPr>
        <w:t xml:space="preserve"> reconciliatory process through </w:t>
      </w:r>
      <w:r>
        <w:rPr>
          <w:rFonts w:ascii="Gill Sans MT" w:hAnsi="Gill Sans MT"/>
          <w:sz w:val="24"/>
          <w:szCs w:val="24"/>
        </w:rPr>
        <w:lastRenderedPageBreak/>
        <w:t>which the</w:t>
      </w:r>
      <w:r w:rsidRPr="00FE3A70">
        <w:rPr>
          <w:rFonts w:ascii="Gill Sans MT" w:hAnsi="Gill Sans MT"/>
          <w:sz w:val="24"/>
          <w:szCs w:val="24"/>
        </w:rPr>
        <w:t xml:space="preserve"> horrors of the Civil War </w:t>
      </w:r>
      <w:r>
        <w:rPr>
          <w:rFonts w:ascii="Gill Sans MT" w:hAnsi="Gill Sans MT"/>
          <w:sz w:val="24"/>
          <w:szCs w:val="24"/>
        </w:rPr>
        <w:t xml:space="preserve">are to </w:t>
      </w:r>
      <w:r w:rsidRPr="00FE3A70">
        <w:rPr>
          <w:rFonts w:ascii="Gill Sans MT" w:hAnsi="Gill Sans MT"/>
          <w:sz w:val="24"/>
          <w:szCs w:val="24"/>
        </w:rPr>
        <w:t>be left behind</w:t>
      </w:r>
      <w:r>
        <w:rPr>
          <w:rFonts w:ascii="Gill Sans MT" w:hAnsi="Gill Sans MT"/>
          <w:sz w:val="24"/>
          <w:szCs w:val="24"/>
        </w:rPr>
        <w:t xml:space="preserve"> is so thorough as to short-circuit </w:t>
      </w:r>
      <w:r w:rsidRPr="00FE3A70">
        <w:rPr>
          <w:rFonts w:ascii="Gill Sans MT" w:hAnsi="Gill Sans MT"/>
          <w:sz w:val="24"/>
          <w:szCs w:val="24"/>
        </w:rPr>
        <w:t>any possibility of traumatic surprises to come.</w:t>
      </w:r>
    </w:p>
    <w:p w14:paraId="2607D0ED" w14:textId="550F4EB4" w:rsidR="000F6FC6"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ab/>
        <w:t xml:space="preserve">In contrast to </w:t>
      </w:r>
      <w:r w:rsidRPr="00FE3A70">
        <w:rPr>
          <w:rFonts w:ascii="Gill Sans MT" w:hAnsi="Gill Sans MT"/>
          <w:i/>
          <w:sz w:val="24"/>
          <w:szCs w:val="24"/>
        </w:rPr>
        <w:t>Sierrarat</w:t>
      </w:r>
      <w:r w:rsidRPr="00FE3A70">
        <w:rPr>
          <w:rFonts w:ascii="Gill Sans MT" w:hAnsi="Gill Sans MT"/>
          <w:sz w:val="24"/>
          <w:szCs w:val="24"/>
        </w:rPr>
        <w:t xml:space="preserve">’s linear framing of the passage from conflict towards reconciliation, </w:t>
      </w:r>
      <w:r w:rsidRPr="00FE3A70">
        <w:rPr>
          <w:rFonts w:ascii="Gill Sans MT" w:hAnsi="Gill Sans MT"/>
          <w:i/>
          <w:sz w:val="24"/>
          <w:szCs w:val="24"/>
        </w:rPr>
        <w:t>Maus</w:t>
      </w:r>
      <w:r w:rsidRPr="00FE3A70">
        <w:rPr>
          <w:rFonts w:ascii="Gill Sans MT" w:hAnsi="Gill Sans MT"/>
          <w:sz w:val="24"/>
          <w:szCs w:val="24"/>
        </w:rPr>
        <w:t xml:space="preserve"> presents two parallel narratives folding into one another</w:t>
      </w:r>
      <w:r>
        <w:rPr>
          <w:rFonts w:ascii="Gill Sans MT" w:hAnsi="Gill Sans MT"/>
          <w:sz w:val="24"/>
          <w:szCs w:val="24"/>
        </w:rPr>
        <w:t>, the first set in wartime Europe</w:t>
      </w:r>
      <w:r w:rsidRPr="00FE3A70">
        <w:rPr>
          <w:rFonts w:ascii="Gill Sans MT" w:hAnsi="Gill Sans MT"/>
          <w:sz w:val="24"/>
          <w:szCs w:val="24"/>
        </w:rPr>
        <w:t xml:space="preserve"> and </w:t>
      </w:r>
      <w:r>
        <w:rPr>
          <w:rFonts w:ascii="Gill Sans MT" w:hAnsi="Gill Sans MT"/>
          <w:sz w:val="24"/>
          <w:szCs w:val="24"/>
        </w:rPr>
        <w:t>the second set in post-war America</w:t>
      </w:r>
      <w:r w:rsidRPr="00FE3A70">
        <w:rPr>
          <w:rFonts w:ascii="Gill Sans MT" w:hAnsi="Gill Sans MT"/>
          <w:sz w:val="24"/>
          <w:szCs w:val="24"/>
        </w:rPr>
        <w:t xml:space="preserve">. One sees trauma at work repeatedly throughout the text, </w:t>
      </w:r>
      <w:r>
        <w:rPr>
          <w:rFonts w:ascii="Gill Sans MT" w:hAnsi="Gill Sans MT"/>
          <w:sz w:val="24"/>
          <w:szCs w:val="24"/>
        </w:rPr>
        <w:t>collapsing t</w:t>
      </w:r>
      <w:r w:rsidR="00705313">
        <w:rPr>
          <w:rFonts w:ascii="Gill Sans MT" w:hAnsi="Gill Sans MT"/>
          <w:sz w:val="24"/>
          <w:szCs w:val="24"/>
        </w:rPr>
        <w:t>he temporal distance between these</w:t>
      </w:r>
      <w:r>
        <w:rPr>
          <w:rFonts w:ascii="Gill Sans MT" w:hAnsi="Gill Sans MT"/>
          <w:sz w:val="24"/>
          <w:szCs w:val="24"/>
        </w:rPr>
        <w:t xml:space="preserve"> two narratives, as </w:t>
      </w:r>
      <w:r w:rsidRPr="00FE3A70">
        <w:rPr>
          <w:rFonts w:ascii="Gill Sans MT" w:hAnsi="Gill Sans MT"/>
          <w:sz w:val="24"/>
          <w:szCs w:val="24"/>
        </w:rPr>
        <w:t>when Vladek mistakenly appeals to his dead son Richieu,</w:t>
      </w:r>
      <w:r w:rsidRPr="00FE3A70">
        <w:rPr>
          <w:rStyle w:val="FootnoteReference"/>
          <w:rFonts w:ascii="Gill Sans MT" w:hAnsi="Gill Sans MT"/>
          <w:sz w:val="24"/>
          <w:szCs w:val="24"/>
        </w:rPr>
        <w:footnoteReference w:id="97"/>
      </w:r>
      <w:r w:rsidRPr="00FE3A70">
        <w:rPr>
          <w:rFonts w:ascii="Gill Sans MT" w:hAnsi="Gill Sans MT"/>
          <w:sz w:val="24"/>
          <w:szCs w:val="24"/>
        </w:rPr>
        <w:t xml:space="preserve"> or when Spiegelman’s early-1970s comic about his mother’s suicide is reprinted in full.</w:t>
      </w:r>
      <w:r w:rsidRPr="00FE3A70">
        <w:rPr>
          <w:rStyle w:val="FootnoteReference"/>
          <w:rFonts w:ascii="Gill Sans MT" w:hAnsi="Gill Sans MT"/>
          <w:sz w:val="24"/>
          <w:szCs w:val="24"/>
        </w:rPr>
        <w:footnoteReference w:id="98"/>
      </w:r>
      <w:r w:rsidRPr="00FE3A70">
        <w:rPr>
          <w:rFonts w:ascii="Gill Sans MT" w:hAnsi="Gill Sans MT"/>
          <w:sz w:val="24"/>
          <w:szCs w:val="24"/>
        </w:rPr>
        <w:t xml:space="preserve"> This climaxes in arguably the book’s most famous sequence, entitled ‘Time Flies…’. On this single page, the comic shifts between its own multiple temporalities with such pace that they begin to bleed into each other visually – a coincidence that becomes only gradually apparent as the viewer’s perspective is pulled back, frame by frame</w:t>
      </w:r>
      <w:r w:rsidR="00303168">
        <w:rPr>
          <w:rFonts w:ascii="Gill Sans MT" w:hAnsi="Gill Sans MT"/>
          <w:sz w:val="24"/>
          <w:szCs w:val="24"/>
        </w:rPr>
        <w:t>, to reveal a pile of corpses beneath Art’s drawing board</w:t>
      </w:r>
      <w:r w:rsidRPr="00FE3A70">
        <w:rPr>
          <w:rFonts w:ascii="Gill Sans MT" w:hAnsi="Gill Sans MT"/>
          <w:sz w:val="24"/>
          <w:szCs w:val="24"/>
        </w:rPr>
        <w:t>.</w:t>
      </w:r>
      <w:r w:rsidRPr="00FE3A70">
        <w:rPr>
          <w:rStyle w:val="FootnoteReference"/>
          <w:rFonts w:ascii="Gill Sans MT" w:hAnsi="Gill Sans MT"/>
          <w:sz w:val="24"/>
          <w:szCs w:val="24"/>
        </w:rPr>
        <w:footnoteReference w:id="99"/>
      </w:r>
      <w:r w:rsidRPr="00FE3A70">
        <w:rPr>
          <w:rFonts w:ascii="Gill Sans MT" w:hAnsi="Gill Sans MT"/>
          <w:sz w:val="24"/>
          <w:szCs w:val="24"/>
        </w:rPr>
        <w:t xml:space="preserve"> </w:t>
      </w:r>
    </w:p>
    <w:p w14:paraId="14E6EC24" w14:textId="48045AA6" w:rsidR="000F6FC6" w:rsidRPr="00FE3A70" w:rsidRDefault="000F6FC6" w:rsidP="000F6FC6">
      <w:pPr>
        <w:spacing w:after="0" w:line="480" w:lineRule="auto"/>
        <w:ind w:firstLine="720"/>
        <w:jc w:val="both"/>
        <w:rPr>
          <w:rFonts w:ascii="Gill Sans MT" w:hAnsi="Gill Sans MT"/>
          <w:sz w:val="24"/>
          <w:szCs w:val="24"/>
        </w:rPr>
      </w:pPr>
      <w:r w:rsidRPr="00FE3A70">
        <w:rPr>
          <w:rFonts w:ascii="Gill Sans MT" w:hAnsi="Gill Sans MT"/>
          <w:sz w:val="24"/>
          <w:szCs w:val="24"/>
        </w:rPr>
        <w:t xml:space="preserve">Acknowledging the lacks, absences, silences and impasses that accompany and constrain any attempt to deal with, know or move beyond past atrocity, </w:t>
      </w:r>
      <w:r w:rsidRPr="00FE3A70">
        <w:rPr>
          <w:rFonts w:ascii="Gill Sans MT" w:hAnsi="Gill Sans MT"/>
          <w:i/>
          <w:sz w:val="24"/>
          <w:szCs w:val="24"/>
        </w:rPr>
        <w:t>Maus</w:t>
      </w:r>
      <w:r w:rsidRPr="00FE3A70">
        <w:rPr>
          <w:rFonts w:ascii="Gill Sans MT" w:hAnsi="Gill Sans MT"/>
          <w:sz w:val="24"/>
          <w:szCs w:val="24"/>
        </w:rPr>
        <w:t xml:space="preserve">’s shifting temporal terrain demonstrates the reasons why ‘truth’ and ‘reconciliation’ in the senses advocated by </w:t>
      </w:r>
      <w:r w:rsidRPr="00FE3A70">
        <w:rPr>
          <w:rFonts w:ascii="Gill Sans MT" w:hAnsi="Gill Sans MT"/>
          <w:i/>
          <w:sz w:val="24"/>
          <w:szCs w:val="24"/>
        </w:rPr>
        <w:t>Sierrarat</w:t>
      </w:r>
      <w:r w:rsidRPr="00FE3A70">
        <w:rPr>
          <w:rFonts w:ascii="Gill Sans MT" w:hAnsi="Gill Sans MT"/>
          <w:sz w:val="24"/>
          <w:szCs w:val="24"/>
        </w:rPr>
        <w:t xml:space="preserve"> are more com</w:t>
      </w:r>
      <w:r w:rsidR="009B7090">
        <w:rPr>
          <w:rFonts w:ascii="Gill Sans MT" w:hAnsi="Gill Sans MT"/>
          <w:sz w:val="24"/>
          <w:szCs w:val="24"/>
        </w:rPr>
        <w:t>plex and fraught than the</w:t>
      </w:r>
      <w:r w:rsidRPr="00FE3A70">
        <w:rPr>
          <w:rFonts w:ascii="Gill Sans MT" w:hAnsi="Gill Sans MT"/>
          <w:sz w:val="24"/>
          <w:szCs w:val="24"/>
        </w:rPr>
        <w:t xml:space="preserve"> latter comic suggests them to be. Here the past is not folded up and packed away, but instead plays an active and </w:t>
      </w:r>
      <w:r w:rsidRPr="00FE3A70">
        <w:rPr>
          <w:rFonts w:ascii="Gill Sans MT" w:hAnsi="Gill Sans MT"/>
          <w:sz w:val="24"/>
          <w:szCs w:val="24"/>
        </w:rPr>
        <w:lastRenderedPageBreak/>
        <w:t xml:space="preserve">productive role in the present, insofar as it contributes to the ways in which subjects like Art and/or Vladek understand and position themselves in relation to the world around them. Achieving ‘closure’ through the reconstruction of a pre-traumatic state of affairs makes little sense in a world in which so much has been lost, and in which the shadows of the past continue traumatically to puncture the present, rendering it painfully fractured and incomplete. Possessing no formal commitment to ‘realism’ and already punctuated by the temporal ambiguity of the ‘gutter’, the comics </w:t>
      </w:r>
      <w:r>
        <w:rPr>
          <w:rFonts w:ascii="Gill Sans MT" w:hAnsi="Gill Sans MT"/>
          <w:sz w:val="24"/>
          <w:szCs w:val="24"/>
        </w:rPr>
        <w:t>medium</w:t>
      </w:r>
      <w:r w:rsidRPr="00FE3A70">
        <w:rPr>
          <w:rFonts w:ascii="Gill Sans MT" w:hAnsi="Gill Sans MT"/>
          <w:sz w:val="24"/>
          <w:szCs w:val="24"/>
        </w:rPr>
        <w:t xml:space="preserve"> allows for these multiple, non-linear temporalities to appear in a single frame, layered on top of one another and thereby captured in a single act of looking. </w:t>
      </w:r>
    </w:p>
    <w:p w14:paraId="363BDC7F" w14:textId="77777777" w:rsidR="000F6FC6" w:rsidRPr="00FE3A70" w:rsidRDefault="000F6FC6" w:rsidP="000F6FC6">
      <w:pPr>
        <w:spacing w:after="0" w:line="480" w:lineRule="auto"/>
        <w:jc w:val="both"/>
        <w:rPr>
          <w:rFonts w:ascii="Gill Sans MT" w:hAnsi="Gill Sans MT"/>
          <w:sz w:val="24"/>
          <w:szCs w:val="24"/>
        </w:rPr>
      </w:pPr>
    </w:p>
    <w:p w14:paraId="3186CEA7" w14:textId="3FE1F11E" w:rsidR="000F6FC6" w:rsidRDefault="000F6FC6" w:rsidP="000F6FC6">
      <w:pPr>
        <w:spacing w:after="0" w:line="480" w:lineRule="auto"/>
        <w:jc w:val="both"/>
        <w:rPr>
          <w:rFonts w:ascii="Gill Sans MT" w:hAnsi="Gill Sans MT"/>
          <w:sz w:val="24"/>
          <w:szCs w:val="24"/>
        </w:rPr>
      </w:pPr>
    </w:p>
    <w:p w14:paraId="59EBD8D9" w14:textId="77777777" w:rsidR="00303168" w:rsidRPr="00FE3A70" w:rsidRDefault="00303168" w:rsidP="000F6FC6">
      <w:pPr>
        <w:spacing w:after="0" w:line="480" w:lineRule="auto"/>
        <w:jc w:val="both"/>
        <w:rPr>
          <w:rFonts w:ascii="Gill Sans MT" w:hAnsi="Gill Sans MT"/>
          <w:sz w:val="24"/>
          <w:szCs w:val="24"/>
        </w:rPr>
      </w:pPr>
    </w:p>
    <w:p w14:paraId="1BB2A055" w14:textId="77777777" w:rsidR="000F6FC6" w:rsidRPr="00FE3A70" w:rsidRDefault="000F6FC6" w:rsidP="000F6FC6">
      <w:pPr>
        <w:spacing w:after="0"/>
        <w:jc w:val="both"/>
        <w:rPr>
          <w:rFonts w:ascii="Gill Sans MT" w:hAnsi="Gill Sans MT"/>
          <w:sz w:val="24"/>
          <w:szCs w:val="24"/>
        </w:rPr>
      </w:pPr>
      <w:r w:rsidRPr="00FE3A70">
        <w:rPr>
          <w:rFonts w:ascii="Gill Sans MT" w:hAnsi="Gill Sans MT"/>
          <w:sz w:val="24"/>
          <w:szCs w:val="24"/>
        </w:rPr>
        <w:t>CONCLUSION</w:t>
      </w:r>
    </w:p>
    <w:p w14:paraId="2EBD912E" w14:textId="77777777" w:rsidR="000F6FC6" w:rsidRPr="00FE3A70" w:rsidRDefault="000F6FC6" w:rsidP="000F6FC6">
      <w:pPr>
        <w:spacing w:after="0" w:line="480" w:lineRule="auto"/>
        <w:jc w:val="both"/>
        <w:rPr>
          <w:rFonts w:ascii="Gill Sans MT" w:hAnsi="Gill Sans MT"/>
          <w:sz w:val="24"/>
          <w:szCs w:val="24"/>
        </w:rPr>
      </w:pPr>
    </w:p>
    <w:p w14:paraId="3977634F" w14:textId="77777777" w:rsidR="000F6FC6" w:rsidRPr="00FE3A70" w:rsidRDefault="000F6FC6" w:rsidP="000F6FC6">
      <w:pPr>
        <w:spacing w:after="0" w:line="480" w:lineRule="auto"/>
        <w:jc w:val="both"/>
        <w:rPr>
          <w:rFonts w:ascii="Gill Sans MT" w:hAnsi="Gill Sans MT"/>
          <w:sz w:val="24"/>
          <w:szCs w:val="24"/>
        </w:rPr>
      </w:pPr>
      <w:r w:rsidRPr="00FE3A70">
        <w:rPr>
          <w:rFonts w:ascii="Gill Sans MT" w:hAnsi="Gill Sans MT"/>
          <w:sz w:val="24"/>
          <w:szCs w:val="24"/>
        </w:rPr>
        <w:t xml:space="preserve">Despite the aesthetic, formal and representational similarities between </w:t>
      </w:r>
      <w:r w:rsidRPr="00FE3A70">
        <w:rPr>
          <w:rFonts w:ascii="Gill Sans MT" w:hAnsi="Gill Sans MT"/>
          <w:i/>
          <w:sz w:val="24"/>
          <w:szCs w:val="24"/>
        </w:rPr>
        <w:t xml:space="preserve">Maus </w:t>
      </w:r>
      <w:r w:rsidRPr="00FE3A70">
        <w:rPr>
          <w:rFonts w:ascii="Gill Sans MT" w:hAnsi="Gill Sans MT"/>
          <w:sz w:val="24"/>
          <w:szCs w:val="24"/>
        </w:rPr>
        <w:t xml:space="preserve">and </w:t>
      </w:r>
      <w:r w:rsidRPr="00FE3A70">
        <w:rPr>
          <w:rFonts w:ascii="Gill Sans MT" w:hAnsi="Gill Sans MT"/>
          <w:i/>
          <w:sz w:val="24"/>
          <w:szCs w:val="24"/>
        </w:rPr>
        <w:t>Sierrarat</w:t>
      </w:r>
      <w:r w:rsidRPr="00FE3A70">
        <w:rPr>
          <w:rFonts w:ascii="Gill Sans MT" w:hAnsi="Gill Sans MT"/>
          <w:sz w:val="24"/>
          <w:szCs w:val="24"/>
        </w:rPr>
        <w:t xml:space="preserve">, the two comics offer starkly different responses to conflict, atrocity and the possibilities and limits of post-conflict ‘reconciliation’. In ontological, epistemological and temporal terms, </w:t>
      </w:r>
      <w:r w:rsidRPr="00FE3A70">
        <w:rPr>
          <w:rFonts w:ascii="Gill Sans MT" w:hAnsi="Gill Sans MT"/>
          <w:i/>
          <w:sz w:val="24"/>
          <w:szCs w:val="24"/>
        </w:rPr>
        <w:t>Sierrarat’s</w:t>
      </w:r>
      <w:r w:rsidRPr="00FE3A70">
        <w:rPr>
          <w:rFonts w:ascii="Gill Sans MT" w:hAnsi="Gill Sans MT"/>
          <w:sz w:val="24"/>
          <w:szCs w:val="24"/>
        </w:rPr>
        <w:t xml:space="preserve"> understanding of the conflict it describes </w:t>
      </w:r>
      <w:r>
        <w:rPr>
          <w:rFonts w:ascii="Gill Sans MT" w:hAnsi="Gill Sans MT"/>
          <w:sz w:val="24"/>
          <w:szCs w:val="24"/>
        </w:rPr>
        <w:t>(</w:t>
      </w:r>
      <w:r w:rsidRPr="00FE3A70">
        <w:rPr>
          <w:rFonts w:ascii="Gill Sans MT" w:hAnsi="Gill Sans MT"/>
          <w:sz w:val="24"/>
          <w:szCs w:val="24"/>
        </w:rPr>
        <w:t>and the medium it uses to describe it</w:t>
      </w:r>
      <w:r>
        <w:rPr>
          <w:rFonts w:ascii="Gill Sans MT" w:hAnsi="Gill Sans MT"/>
          <w:sz w:val="24"/>
          <w:szCs w:val="24"/>
        </w:rPr>
        <w:t>)</w:t>
      </w:r>
      <w:r w:rsidRPr="00FE3A70">
        <w:rPr>
          <w:rFonts w:ascii="Gill Sans MT" w:hAnsi="Gill Sans MT"/>
          <w:sz w:val="24"/>
          <w:szCs w:val="24"/>
        </w:rPr>
        <w:t xml:space="preserve"> serves to obscure and potentially delegitimise lingering grievance or difference, alternative institutional or non-institutional mechanisms of knowledge-production or forgetting, and the traumatic interruptions of </w:t>
      </w:r>
      <w:r>
        <w:rPr>
          <w:rFonts w:ascii="Gill Sans MT" w:hAnsi="Gill Sans MT"/>
          <w:sz w:val="24"/>
          <w:szCs w:val="24"/>
        </w:rPr>
        <w:t>the past</w:t>
      </w:r>
      <w:r w:rsidRPr="00FE3A70">
        <w:rPr>
          <w:rFonts w:ascii="Gill Sans MT" w:hAnsi="Gill Sans MT"/>
          <w:sz w:val="24"/>
          <w:szCs w:val="24"/>
        </w:rPr>
        <w:t xml:space="preserve">. As such, it appears </w:t>
      </w:r>
      <w:r w:rsidRPr="00FE3A70">
        <w:rPr>
          <w:rFonts w:ascii="Gill Sans MT" w:hAnsi="Gill Sans MT"/>
          <w:sz w:val="24"/>
          <w:szCs w:val="24"/>
        </w:rPr>
        <w:lastRenderedPageBreak/>
        <w:t>to function as an intervention into the competitive institutional politics of the SLTRC within post-conflict Sierra Leone more than it does an attempt at ‘outreach’.</w:t>
      </w:r>
    </w:p>
    <w:p w14:paraId="3429A01F" w14:textId="61EF5094" w:rsidR="000F6FC6" w:rsidRDefault="000F6FC6" w:rsidP="000F6FC6">
      <w:pPr>
        <w:spacing w:after="0" w:line="480" w:lineRule="auto"/>
        <w:ind w:firstLine="720"/>
        <w:jc w:val="both"/>
        <w:rPr>
          <w:rFonts w:ascii="Gill Sans MT" w:hAnsi="Gill Sans MT"/>
          <w:sz w:val="24"/>
          <w:szCs w:val="24"/>
        </w:rPr>
      </w:pPr>
      <w:r w:rsidRPr="00FE3A70">
        <w:rPr>
          <w:rFonts w:ascii="Gill Sans MT" w:hAnsi="Gill Sans MT"/>
          <w:sz w:val="24"/>
          <w:szCs w:val="24"/>
        </w:rPr>
        <w:t>Whil</w:t>
      </w:r>
      <w:r>
        <w:rPr>
          <w:rFonts w:ascii="Gill Sans MT" w:hAnsi="Gill Sans MT"/>
          <w:sz w:val="24"/>
          <w:szCs w:val="24"/>
        </w:rPr>
        <w:t>e</w:t>
      </w:r>
      <w:r w:rsidRPr="00FE3A70">
        <w:rPr>
          <w:rFonts w:ascii="Gill Sans MT" w:hAnsi="Gill Sans MT"/>
          <w:sz w:val="24"/>
          <w:szCs w:val="24"/>
        </w:rPr>
        <w:t xml:space="preserve"> it is perhaps unsurprising that </w:t>
      </w:r>
      <w:r w:rsidRPr="00FE3A70">
        <w:rPr>
          <w:rFonts w:ascii="Gill Sans MT" w:hAnsi="Gill Sans MT"/>
          <w:i/>
          <w:sz w:val="24"/>
          <w:szCs w:val="24"/>
        </w:rPr>
        <w:t xml:space="preserve">Sierrarat </w:t>
      </w:r>
      <w:r w:rsidRPr="00FE3A70">
        <w:rPr>
          <w:rFonts w:ascii="Gill Sans MT" w:hAnsi="Gill Sans MT"/>
          <w:sz w:val="24"/>
          <w:szCs w:val="24"/>
        </w:rPr>
        <w:t xml:space="preserve">largely reproduces the SLTRC’s understanding of its own role within the institutional politics of post-conflict Sierra Leone, </w:t>
      </w:r>
      <w:r>
        <w:rPr>
          <w:rFonts w:ascii="Gill Sans MT" w:hAnsi="Gill Sans MT"/>
          <w:sz w:val="24"/>
          <w:szCs w:val="24"/>
        </w:rPr>
        <w:t xml:space="preserve">it raises important questions about </w:t>
      </w:r>
      <w:r w:rsidR="00105165">
        <w:rPr>
          <w:rFonts w:ascii="Gill Sans MT" w:hAnsi="Gill Sans MT"/>
          <w:sz w:val="24"/>
          <w:szCs w:val="24"/>
        </w:rPr>
        <w:t xml:space="preserve">who and </w:t>
      </w:r>
      <w:r>
        <w:rPr>
          <w:rFonts w:ascii="Gill Sans MT" w:hAnsi="Gill Sans MT"/>
          <w:sz w:val="24"/>
          <w:szCs w:val="24"/>
        </w:rPr>
        <w:t xml:space="preserve">what precisely outreach is for, and how aesthetic media like comic books might contribute to its success. If the problem outreach initiatives seek to address is the perception that TJ institutions prosecute what Phil Clark calls ‘distant justice’, at a remove from the communities they are supposed to represent, then one might reasonably ask what purpose is served by an outreach text like </w:t>
      </w:r>
      <w:r>
        <w:rPr>
          <w:rFonts w:ascii="Gill Sans MT" w:hAnsi="Gill Sans MT"/>
          <w:i/>
          <w:sz w:val="24"/>
          <w:szCs w:val="24"/>
        </w:rPr>
        <w:t>Sierrarat</w:t>
      </w:r>
      <w:r>
        <w:rPr>
          <w:rFonts w:ascii="Gill Sans MT" w:hAnsi="Gill Sans MT"/>
          <w:sz w:val="24"/>
          <w:szCs w:val="24"/>
        </w:rPr>
        <w:t>.</w:t>
      </w:r>
      <w:r>
        <w:rPr>
          <w:rStyle w:val="FootnoteReference"/>
          <w:rFonts w:ascii="Gill Sans MT" w:hAnsi="Gill Sans MT"/>
          <w:sz w:val="24"/>
          <w:szCs w:val="24"/>
        </w:rPr>
        <w:footnoteReference w:id="100"/>
      </w:r>
      <w:r>
        <w:rPr>
          <w:rFonts w:ascii="Gill Sans MT" w:hAnsi="Gill Sans MT"/>
          <w:sz w:val="24"/>
          <w:szCs w:val="24"/>
        </w:rPr>
        <w:t xml:space="preserve"> Communicating institutional practice to a particular social group is unlikely to be met with much positivity if that group already feels alienated from the institution in question. This problem is only compounded if outreach initiatives prescribe a particular vision of truth and reconciliation that is unable to accommodate the methods and approaches that have already been developed by the people with whom they wish to communicate. This is precisely what is at stake in </w:t>
      </w:r>
      <w:r>
        <w:rPr>
          <w:rFonts w:ascii="Gill Sans MT" w:hAnsi="Gill Sans MT"/>
          <w:i/>
          <w:sz w:val="24"/>
          <w:szCs w:val="24"/>
        </w:rPr>
        <w:t>Sierrarat</w:t>
      </w:r>
      <w:r>
        <w:rPr>
          <w:rFonts w:ascii="Gill Sans MT" w:hAnsi="Gill Sans MT"/>
          <w:sz w:val="24"/>
          <w:szCs w:val="24"/>
        </w:rPr>
        <w:t>. The comic’s presentation of the SLTRC as the necessary and only solution to Sierra Leoneans’ problems is at odds both with the SLTRC’s place with respect to the SCSL in Sierra Leone’s TJ discourse and with the informal transition towards peace that many Sierra Leonean communities had begun to effect among themselves.</w:t>
      </w:r>
    </w:p>
    <w:p w14:paraId="3BF0979C" w14:textId="77777777" w:rsidR="000F6FC6" w:rsidRPr="00522B85" w:rsidRDefault="000F6FC6" w:rsidP="000F6FC6">
      <w:pPr>
        <w:spacing w:after="0" w:line="480" w:lineRule="auto"/>
        <w:ind w:firstLine="720"/>
        <w:jc w:val="both"/>
        <w:rPr>
          <w:rFonts w:ascii="Gill Sans MT" w:hAnsi="Gill Sans MT"/>
          <w:i/>
          <w:sz w:val="24"/>
          <w:szCs w:val="24"/>
        </w:rPr>
      </w:pPr>
      <w:r>
        <w:rPr>
          <w:rFonts w:ascii="Gill Sans MT" w:hAnsi="Gill Sans MT"/>
          <w:sz w:val="24"/>
          <w:szCs w:val="24"/>
        </w:rPr>
        <w:lastRenderedPageBreak/>
        <w:t xml:space="preserve">We do not believe this to be an indictment of the comics medium more generally. In fact, comics are in many ways ideally suited to contribute to a radical reconceptualisation of outreach within TJ discourse. If post-conflict outreach texts ought to seek to accommodate the experiences of their audience and prospective readership, then one might look, with Hillary Chute to a medium </w:t>
      </w:r>
      <w:r w:rsidRPr="00945811">
        <w:rPr>
          <w:rFonts w:ascii="Gill Sans MT" w:hAnsi="Gill Sans MT"/>
          <w:sz w:val="24"/>
          <w:szCs w:val="24"/>
        </w:rPr>
        <w:t>that ‘</w:t>
      </w:r>
      <w:r w:rsidRPr="00522B85">
        <w:rPr>
          <w:rFonts w:ascii="Gill Sans MT" w:hAnsi="Gill Sans MT"/>
          <w:sz w:val="24"/>
          <w:szCs w:val="24"/>
        </w:rPr>
        <w:t>engages presence in active and important ways, while also leaving itself open to the provisional, partial, and disjunct</w:t>
      </w:r>
      <w:r>
        <w:rPr>
          <w:rFonts w:ascii="Gill Sans MT" w:hAnsi="Gill Sans MT"/>
          <w:sz w:val="24"/>
          <w:szCs w:val="24"/>
        </w:rPr>
        <w:t>’</w:t>
      </w:r>
      <w:r w:rsidRPr="00522B85">
        <w:rPr>
          <w:rFonts w:ascii="Gill Sans MT" w:hAnsi="Gill Sans MT"/>
          <w:sz w:val="24"/>
          <w:szCs w:val="24"/>
        </w:rPr>
        <w:t>.</w:t>
      </w:r>
      <w:r w:rsidRPr="00522B85">
        <w:rPr>
          <w:rFonts w:ascii="Gill Sans MT" w:hAnsi="Gill Sans MT"/>
          <w:sz w:val="24"/>
          <w:szCs w:val="24"/>
          <w:vertAlign w:val="superscript"/>
        </w:rPr>
        <w:footnoteReference w:id="101"/>
      </w:r>
      <w:r>
        <w:rPr>
          <w:rFonts w:ascii="Gill Sans MT" w:hAnsi="Gill Sans MT"/>
          <w:sz w:val="24"/>
          <w:szCs w:val="24"/>
        </w:rPr>
        <w:t xml:space="preserve"> Comics are ‘reticent’, in Thierry Groensteen’s words: they require the collaborative participation of their audiences in order to produce meaning. ‘</w:t>
      </w:r>
      <w:r w:rsidRPr="00814DCB">
        <w:rPr>
          <w:rFonts w:ascii="Gill Sans MT" w:hAnsi="Gill Sans MT"/>
          <w:sz w:val="24"/>
          <w:szCs w:val="24"/>
          <w:lang w:val="en-US"/>
        </w:rPr>
        <w:t>Not only do the</w:t>
      </w:r>
      <w:r>
        <w:rPr>
          <w:rFonts w:ascii="Gill Sans MT" w:hAnsi="Gill Sans MT"/>
          <w:sz w:val="24"/>
          <w:szCs w:val="24"/>
          <w:lang w:val="en-US"/>
        </w:rPr>
        <w:t xml:space="preserve"> </w:t>
      </w:r>
      <w:r w:rsidRPr="00814DCB">
        <w:rPr>
          <w:rFonts w:ascii="Gill Sans MT" w:hAnsi="Gill Sans MT"/>
          <w:sz w:val="24"/>
          <w:szCs w:val="24"/>
          <w:lang w:val="en-US"/>
        </w:rPr>
        <w:t>silent and immobile images lack the illusionist power of the filmic image, but</w:t>
      </w:r>
      <w:r>
        <w:rPr>
          <w:rFonts w:ascii="Gill Sans MT" w:hAnsi="Gill Sans MT"/>
          <w:sz w:val="24"/>
          <w:szCs w:val="24"/>
          <w:lang w:val="en-US"/>
        </w:rPr>
        <w:t xml:space="preserve"> </w:t>
      </w:r>
      <w:r w:rsidRPr="00814DCB">
        <w:rPr>
          <w:rFonts w:ascii="Gill Sans MT" w:hAnsi="Gill Sans MT"/>
          <w:sz w:val="24"/>
          <w:szCs w:val="24"/>
          <w:lang w:val="en-US"/>
        </w:rPr>
        <w:t>their connections, far from producing a continuity that mimics reality, offer the</w:t>
      </w:r>
      <w:r>
        <w:rPr>
          <w:rFonts w:ascii="Gill Sans MT" w:hAnsi="Gill Sans MT"/>
          <w:sz w:val="24"/>
          <w:szCs w:val="24"/>
          <w:lang w:val="en-US"/>
        </w:rPr>
        <w:t xml:space="preserve"> </w:t>
      </w:r>
      <w:r w:rsidRPr="00814DCB">
        <w:rPr>
          <w:rFonts w:ascii="Gill Sans MT" w:hAnsi="Gill Sans MT"/>
          <w:sz w:val="24"/>
          <w:szCs w:val="24"/>
          <w:lang w:val="en-US"/>
        </w:rPr>
        <w:t>reader a story that is full of holes, which appear as gaps in the meaning</w:t>
      </w:r>
      <w:r>
        <w:rPr>
          <w:rFonts w:ascii="Gill Sans MT" w:hAnsi="Gill Sans MT"/>
          <w:sz w:val="24"/>
          <w:szCs w:val="24"/>
          <w:lang w:val="en-US"/>
        </w:rPr>
        <w:t>’</w:t>
      </w:r>
      <w:r w:rsidRPr="00814DCB">
        <w:rPr>
          <w:rFonts w:ascii="Gill Sans MT" w:hAnsi="Gill Sans MT"/>
          <w:sz w:val="24"/>
          <w:szCs w:val="24"/>
          <w:lang w:val="en-US"/>
        </w:rPr>
        <w:t>.</w:t>
      </w:r>
      <w:r>
        <w:rPr>
          <w:rStyle w:val="FootnoteReference"/>
          <w:rFonts w:ascii="Gill Sans MT" w:hAnsi="Gill Sans MT"/>
          <w:sz w:val="24"/>
          <w:szCs w:val="24"/>
          <w:lang w:val="en-US"/>
        </w:rPr>
        <w:footnoteReference w:id="102"/>
      </w:r>
      <w:r>
        <w:rPr>
          <w:rFonts w:ascii="Gill Sans MT" w:hAnsi="Gill Sans MT"/>
          <w:sz w:val="24"/>
          <w:szCs w:val="24"/>
        </w:rPr>
        <w:t xml:space="preserve"> These ‘gaps’ should not be considered limitations: on the contrary, they underpin the imaginative expansiveness and flexibility of the medium. It is here – in the involvement of readers in the production of knowledge about the conflict they have experienced and the steps required to move forwards – that we feel comics are of potential use to outreach initiatives.</w:t>
      </w:r>
    </w:p>
    <w:p w14:paraId="17F5070D" w14:textId="77777777" w:rsidR="000F6FC6" w:rsidRPr="00522B85" w:rsidRDefault="000F6FC6" w:rsidP="000F6FC6">
      <w:pPr>
        <w:spacing w:after="0" w:line="480" w:lineRule="auto"/>
        <w:jc w:val="both"/>
        <w:rPr>
          <w:rFonts w:ascii="Gill Sans MT" w:hAnsi="Gill Sans MT"/>
          <w:i/>
          <w:sz w:val="24"/>
          <w:szCs w:val="24"/>
          <w:lang w:val="en-US"/>
        </w:rPr>
      </w:pPr>
      <w:r>
        <w:rPr>
          <w:rFonts w:ascii="Gill Sans MT" w:hAnsi="Gill Sans MT"/>
          <w:sz w:val="24"/>
          <w:szCs w:val="24"/>
        </w:rPr>
        <w:tab/>
      </w:r>
      <w:r>
        <w:rPr>
          <w:rFonts w:ascii="Gill Sans MT" w:hAnsi="Gill Sans MT"/>
          <w:i/>
          <w:sz w:val="24"/>
          <w:szCs w:val="24"/>
        </w:rPr>
        <w:t>Sierrarat</w:t>
      </w:r>
      <w:r>
        <w:rPr>
          <w:rFonts w:ascii="Gill Sans MT" w:hAnsi="Gill Sans MT"/>
          <w:sz w:val="24"/>
          <w:szCs w:val="24"/>
        </w:rPr>
        <w:t xml:space="preserve">’s limitations in these regards </w:t>
      </w:r>
      <w:r w:rsidRPr="00FE3A70">
        <w:rPr>
          <w:rFonts w:ascii="Gill Sans MT" w:hAnsi="Gill Sans MT"/>
          <w:sz w:val="24"/>
          <w:szCs w:val="24"/>
        </w:rPr>
        <w:t xml:space="preserve">are </w:t>
      </w:r>
      <w:r>
        <w:rPr>
          <w:rFonts w:ascii="Gill Sans MT" w:hAnsi="Gill Sans MT"/>
          <w:sz w:val="24"/>
          <w:szCs w:val="24"/>
        </w:rPr>
        <w:t>thrown into acute relief</w:t>
      </w:r>
      <w:r w:rsidRPr="00FE3A70">
        <w:rPr>
          <w:rFonts w:ascii="Gill Sans MT" w:hAnsi="Gill Sans MT"/>
          <w:sz w:val="24"/>
          <w:szCs w:val="24"/>
        </w:rPr>
        <w:t xml:space="preserve"> when </w:t>
      </w:r>
      <w:r>
        <w:rPr>
          <w:rFonts w:ascii="Gill Sans MT" w:hAnsi="Gill Sans MT"/>
          <w:sz w:val="24"/>
          <w:szCs w:val="24"/>
        </w:rPr>
        <w:t>set side-by-side</w:t>
      </w:r>
      <w:r w:rsidRPr="00FE3A70">
        <w:rPr>
          <w:rFonts w:ascii="Gill Sans MT" w:hAnsi="Gill Sans MT"/>
          <w:sz w:val="24"/>
          <w:szCs w:val="24"/>
        </w:rPr>
        <w:t xml:space="preserve"> with the </w:t>
      </w:r>
      <w:r>
        <w:rPr>
          <w:rFonts w:ascii="Gill Sans MT" w:hAnsi="Gill Sans MT"/>
          <w:sz w:val="24"/>
          <w:szCs w:val="24"/>
        </w:rPr>
        <w:t>text</w:t>
      </w:r>
      <w:r w:rsidRPr="00FE3A70">
        <w:rPr>
          <w:rFonts w:ascii="Gill Sans MT" w:hAnsi="Gill Sans MT"/>
          <w:sz w:val="24"/>
          <w:szCs w:val="24"/>
        </w:rPr>
        <w:t xml:space="preserve"> from which it </w:t>
      </w:r>
      <w:r>
        <w:rPr>
          <w:rFonts w:ascii="Gill Sans MT" w:hAnsi="Gill Sans MT"/>
          <w:sz w:val="24"/>
          <w:szCs w:val="24"/>
        </w:rPr>
        <w:t>appears to draw</w:t>
      </w:r>
      <w:r w:rsidRPr="00FE3A70">
        <w:rPr>
          <w:rFonts w:ascii="Gill Sans MT" w:hAnsi="Gill Sans MT"/>
          <w:sz w:val="24"/>
          <w:szCs w:val="24"/>
        </w:rPr>
        <w:t xml:space="preserve"> its representational vocabulary.</w:t>
      </w:r>
      <w:r>
        <w:rPr>
          <w:rFonts w:ascii="Gill Sans MT" w:hAnsi="Gill Sans MT"/>
          <w:sz w:val="24"/>
          <w:szCs w:val="24"/>
        </w:rPr>
        <w:t xml:space="preserve"> While it may seem unfair to judge </w:t>
      </w:r>
      <w:r>
        <w:rPr>
          <w:rFonts w:ascii="Gill Sans MT" w:hAnsi="Gill Sans MT"/>
          <w:i/>
          <w:sz w:val="24"/>
          <w:szCs w:val="24"/>
        </w:rPr>
        <w:t>Sierrarat</w:t>
      </w:r>
      <w:r>
        <w:rPr>
          <w:rFonts w:ascii="Gill Sans MT" w:hAnsi="Gill Sans MT"/>
          <w:sz w:val="24"/>
          <w:szCs w:val="24"/>
        </w:rPr>
        <w:t xml:space="preserve"> with reference to one of the most widely-</w:t>
      </w:r>
      <w:r>
        <w:rPr>
          <w:rFonts w:ascii="Gill Sans MT" w:hAnsi="Gill Sans MT"/>
          <w:sz w:val="24"/>
          <w:szCs w:val="24"/>
        </w:rPr>
        <w:lastRenderedPageBreak/>
        <w:t xml:space="preserve">acclaimed of all comics texts, our turn to </w:t>
      </w:r>
      <w:r>
        <w:rPr>
          <w:rFonts w:ascii="Gill Sans MT" w:hAnsi="Gill Sans MT"/>
          <w:i/>
          <w:sz w:val="24"/>
          <w:szCs w:val="24"/>
        </w:rPr>
        <w:t>Maus</w:t>
      </w:r>
      <w:r>
        <w:rPr>
          <w:rFonts w:ascii="Gill Sans MT" w:hAnsi="Gill Sans MT"/>
          <w:sz w:val="24"/>
          <w:szCs w:val="24"/>
        </w:rPr>
        <w:t xml:space="preserve"> is rather intended to provide an example of the sort of openness that the comics medium can afford when mobilised with thought and care. While</w:t>
      </w:r>
      <w:r w:rsidRPr="00FE3A70">
        <w:rPr>
          <w:rFonts w:ascii="Gill Sans MT" w:hAnsi="Gill Sans MT"/>
          <w:sz w:val="24"/>
          <w:szCs w:val="24"/>
        </w:rPr>
        <w:t xml:space="preserve"> the use of </w:t>
      </w:r>
      <w:r>
        <w:rPr>
          <w:rFonts w:ascii="Gill Sans MT" w:hAnsi="Gill Sans MT"/>
          <w:sz w:val="24"/>
          <w:szCs w:val="24"/>
        </w:rPr>
        <w:t>comics</w:t>
      </w:r>
      <w:r w:rsidRPr="00FE3A70">
        <w:rPr>
          <w:rFonts w:ascii="Gill Sans MT" w:hAnsi="Gill Sans MT"/>
          <w:sz w:val="24"/>
          <w:szCs w:val="24"/>
        </w:rPr>
        <w:t xml:space="preserve"> in order to communicate with a population with low literacy levels </w:t>
      </w:r>
      <w:r>
        <w:rPr>
          <w:rFonts w:ascii="Gill Sans MT" w:hAnsi="Gill Sans MT"/>
          <w:sz w:val="24"/>
          <w:szCs w:val="24"/>
        </w:rPr>
        <w:t>makes intuitive sense, given the textual and pictorial hybridity of the medium</w:t>
      </w:r>
      <w:r w:rsidRPr="00FE3A70">
        <w:rPr>
          <w:rFonts w:ascii="Gill Sans MT" w:hAnsi="Gill Sans MT"/>
          <w:sz w:val="24"/>
          <w:szCs w:val="24"/>
        </w:rPr>
        <w:t xml:space="preserve">, the representational simplicity of the form does not by any means mandate a </w:t>
      </w:r>
      <w:r>
        <w:rPr>
          <w:rFonts w:ascii="Gill Sans MT" w:hAnsi="Gill Sans MT"/>
          <w:sz w:val="24"/>
          <w:szCs w:val="24"/>
        </w:rPr>
        <w:t>closed and/or prescriptive approach to the narration and visualisation of conflict, atrocity, truth, reconciliation and peace.</w:t>
      </w:r>
      <w:r w:rsidRPr="000944EF">
        <w:rPr>
          <w:rFonts w:ascii="Gill Sans MT" w:hAnsi="Gill Sans MT"/>
          <w:sz w:val="24"/>
          <w:szCs w:val="24"/>
        </w:rPr>
        <w:t xml:space="preserve"> </w:t>
      </w:r>
      <w:r w:rsidRPr="00FE3A70">
        <w:rPr>
          <w:rFonts w:ascii="Gill Sans MT" w:hAnsi="Gill Sans MT"/>
          <w:sz w:val="24"/>
          <w:szCs w:val="24"/>
        </w:rPr>
        <w:t>The comics medium is not necessarily just a way of simplifying a complex mass of information, but can also play an active and important role in the exploration and communication of difficult and sensitive issues concerning conflict and atrocity.</w:t>
      </w:r>
      <w:r w:rsidRPr="00FE3A70">
        <w:rPr>
          <w:rStyle w:val="FootnoteReference"/>
          <w:rFonts w:ascii="Gill Sans MT" w:hAnsi="Gill Sans MT"/>
          <w:sz w:val="24"/>
          <w:szCs w:val="24"/>
        </w:rPr>
        <w:footnoteReference w:id="103"/>
      </w:r>
    </w:p>
    <w:p w14:paraId="0ECB52D6" w14:textId="48A3B282" w:rsidR="00AB1911" w:rsidRPr="00FF2D23" w:rsidRDefault="000F6FC6" w:rsidP="00FF2D23">
      <w:pPr>
        <w:spacing w:after="0" w:line="480" w:lineRule="auto"/>
        <w:jc w:val="both"/>
        <w:rPr>
          <w:rFonts w:ascii="Gill Sans MT" w:hAnsi="Gill Sans MT"/>
          <w:sz w:val="24"/>
          <w:szCs w:val="24"/>
        </w:rPr>
      </w:pPr>
      <w:r w:rsidRPr="00FE3A70">
        <w:rPr>
          <w:rFonts w:ascii="Gill Sans MT" w:hAnsi="Gill Sans MT"/>
          <w:sz w:val="24"/>
          <w:szCs w:val="24"/>
        </w:rPr>
        <w:tab/>
        <w:t xml:space="preserve">We conclude by suggesting </w:t>
      </w:r>
      <w:r>
        <w:rPr>
          <w:rFonts w:ascii="Gill Sans MT" w:hAnsi="Gill Sans MT"/>
          <w:sz w:val="24"/>
          <w:szCs w:val="24"/>
        </w:rPr>
        <w:t xml:space="preserve">another possible model for outreach initiatives involving comics. The </w:t>
      </w:r>
      <w:r>
        <w:rPr>
          <w:rFonts w:ascii="Gill Sans MT" w:hAnsi="Gill Sans MT"/>
          <w:i/>
          <w:sz w:val="24"/>
          <w:szCs w:val="24"/>
        </w:rPr>
        <w:t>PositiveNegatives</w:t>
      </w:r>
      <w:r>
        <w:rPr>
          <w:rFonts w:ascii="Gill Sans MT" w:hAnsi="Gill Sans MT"/>
          <w:sz w:val="24"/>
          <w:szCs w:val="24"/>
        </w:rPr>
        <w:t xml:space="preserve"> project ‘explores issues of global concern [including conflict, migration, slavery, drug addiction and identity] through personal stories’, creating comics in direct collaboration with contributors from a range of backgrounds and places of origin.</w:t>
      </w:r>
      <w:r>
        <w:rPr>
          <w:rStyle w:val="FootnoteReference"/>
          <w:rFonts w:ascii="Gill Sans MT" w:hAnsi="Gill Sans MT"/>
          <w:sz w:val="24"/>
          <w:szCs w:val="24"/>
        </w:rPr>
        <w:footnoteReference w:id="104"/>
      </w:r>
      <w:r>
        <w:rPr>
          <w:rFonts w:ascii="Gill Sans MT" w:hAnsi="Gill Sans MT"/>
          <w:sz w:val="24"/>
          <w:szCs w:val="24"/>
        </w:rPr>
        <w:t xml:space="preserve"> Where possible, scripts are drafted in the field, in order to give contributors the chance to suggest alterations or to correct mistakes. This kind of approach would appear to be promising for outreach programmes because it potentially enables </w:t>
      </w:r>
      <w:r w:rsidR="00063D96">
        <w:rPr>
          <w:rFonts w:ascii="Gill Sans MT" w:hAnsi="Gill Sans MT"/>
          <w:sz w:val="24"/>
          <w:szCs w:val="24"/>
        </w:rPr>
        <w:t>meaningful connections</w:t>
      </w:r>
      <w:r w:rsidR="00C017DE">
        <w:rPr>
          <w:rFonts w:ascii="Gill Sans MT" w:hAnsi="Gill Sans MT"/>
          <w:sz w:val="24"/>
          <w:szCs w:val="24"/>
        </w:rPr>
        <w:t xml:space="preserve"> between </w:t>
      </w:r>
      <w:r>
        <w:rPr>
          <w:rFonts w:ascii="Gill Sans MT" w:hAnsi="Gill Sans MT"/>
          <w:sz w:val="24"/>
          <w:szCs w:val="24"/>
        </w:rPr>
        <w:t>TJ institution</w:t>
      </w:r>
      <w:r w:rsidR="00C017DE">
        <w:rPr>
          <w:rFonts w:ascii="Gill Sans MT" w:hAnsi="Gill Sans MT"/>
          <w:sz w:val="24"/>
          <w:szCs w:val="24"/>
        </w:rPr>
        <w:t xml:space="preserve">s and the population </w:t>
      </w:r>
      <w:r w:rsidR="00C017DE">
        <w:rPr>
          <w:rFonts w:ascii="Gill Sans MT" w:hAnsi="Gill Sans MT"/>
          <w:sz w:val="24"/>
          <w:szCs w:val="24"/>
        </w:rPr>
        <w:lastRenderedPageBreak/>
        <w:t>they</w:t>
      </w:r>
      <w:r>
        <w:rPr>
          <w:rFonts w:ascii="Gill Sans MT" w:hAnsi="Gill Sans MT"/>
          <w:sz w:val="24"/>
          <w:szCs w:val="24"/>
        </w:rPr>
        <w:t xml:space="preserve"> se</w:t>
      </w:r>
      <w:r w:rsidR="00C017DE">
        <w:rPr>
          <w:rFonts w:ascii="Gill Sans MT" w:hAnsi="Gill Sans MT"/>
          <w:sz w:val="24"/>
          <w:szCs w:val="24"/>
        </w:rPr>
        <w:t>rve</w:t>
      </w:r>
      <w:r>
        <w:rPr>
          <w:rFonts w:ascii="Gill Sans MT" w:hAnsi="Gill Sans MT"/>
          <w:sz w:val="24"/>
          <w:szCs w:val="24"/>
        </w:rPr>
        <w:t xml:space="preserve"> to be built in</w:t>
      </w:r>
      <w:r w:rsidR="00105165">
        <w:rPr>
          <w:rFonts w:ascii="Gill Sans MT" w:hAnsi="Gill Sans MT"/>
          <w:sz w:val="24"/>
          <w:szCs w:val="24"/>
        </w:rPr>
        <w:t>to</w:t>
      </w:r>
      <w:r>
        <w:rPr>
          <w:rFonts w:ascii="Gill Sans MT" w:hAnsi="Gill Sans MT"/>
          <w:sz w:val="24"/>
          <w:szCs w:val="24"/>
        </w:rPr>
        <w:t xml:space="preserve"> the very act of producing an outreach text, ra</w:t>
      </w:r>
      <w:r w:rsidRPr="00522B85">
        <w:rPr>
          <w:rFonts w:ascii="Gill Sans MT" w:hAnsi="Gill Sans MT"/>
          <w:sz w:val="24"/>
          <w:szCs w:val="24"/>
        </w:rPr>
        <w:t>t</w:t>
      </w:r>
      <w:r>
        <w:rPr>
          <w:rFonts w:ascii="Gill Sans MT" w:hAnsi="Gill Sans MT"/>
          <w:sz w:val="24"/>
          <w:szCs w:val="24"/>
        </w:rPr>
        <w:t>her than simply in its dissemination. Whichever strategy is used, it must be remembered that the</w:t>
      </w:r>
      <w:r w:rsidRPr="00FE3A70">
        <w:rPr>
          <w:rFonts w:ascii="Gill Sans MT" w:hAnsi="Gill Sans MT"/>
          <w:sz w:val="24"/>
          <w:szCs w:val="24"/>
        </w:rPr>
        <w:t xml:space="preserve"> choices comic book artists make are deeply political, and both reflect and produce wider frames </w:t>
      </w:r>
      <w:r w:rsidRPr="00522B85">
        <w:rPr>
          <w:rFonts w:ascii="Gill Sans MT" w:hAnsi="Gill Sans MT"/>
          <w:sz w:val="24"/>
          <w:szCs w:val="24"/>
        </w:rPr>
        <w:t>of understanding that legitimise and delegitimise different realms of lived experience. For thi</w:t>
      </w:r>
      <w:r w:rsidRPr="00FE3A70">
        <w:rPr>
          <w:rFonts w:ascii="Gill Sans MT" w:hAnsi="Gill Sans MT"/>
          <w:sz w:val="24"/>
          <w:szCs w:val="24"/>
        </w:rPr>
        <w:t>s reason, more attention needs to be paid to the aesthetic politics of truth and reconciliation in the design and execution of TJ outreach initiatives</w:t>
      </w:r>
      <w:r>
        <w:rPr>
          <w:rFonts w:ascii="Gill Sans MT" w:hAnsi="Gill Sans MT"/>
          <w:sz w:val="24"/>
          <w:szCs w:val="24"/>
        </w:rPr>
        <w:t>. This is</w:t>
      </w:r>
      <w:r w:rsidRPr="00FE3A70">
        <w:rPr>
          <w:rFonts w:ascii="Gill Sans MT" w:hAnsi="Gill Sans MT"/>
          <w:sz w:val="24"/>
          <w:szCs w:val="24"/>
        </w:rPr>
        <w:t xml:space="preserve"> in order to ensure that future efforts to communicate institutional processes to a wider public do so with a sense of the complex emotional, social and historical contexts into which they are intervening.</w:t>
      </w:r>
    </w:p>
    <w:sectPr w:rsidR="00AB1911" w:rsidRPr="00FF2D23" w:rsidSect="00AB1911">
      <w:headerReference w:type="even" r:id="rId7"/>
      <w:headerReference w:type="default" r:id="rId8"/>
      <w:footerReference w:type="even" r:id="rId9"/>
      <w:footerReference w:type="default" r:id="rId10"/>
      <w:headerReference w:type="first" r:id="rId11"/>
      <w:footerReference w:type="first" r:id="rId12"/>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BD7D8" w14:textId="77777777" w:rsidR="000F6DA4" w:rsidRDefault="000F6DA4" w:rsidP="00FE6543">
      <w:pPr>
        <w:spacing w:after="0" w:line="240" w:lineRule="auto"/>
      </w:pPr>
      <w:r>
        <w:separator/>
      </w:r>
    </w:p>
  </w:endnote>
  <w:endnote w:type="continuationSeparator" w:id="0">
    <w:p w14:paraId="0585076A" w14:textId="77777777" w:rsidR="000F6DA4" w:rsidRDefault="000F6DA4" w:rsidP="00FE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1ACB" w14:textId="77777777" w:rsidR="0041654B" w:rsidRDefault="0041654B" w:rsidP="00AB1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7CD0FD" w14:textId="77777777" w:rsidR="0041654B" w:rsidRDefault="0041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6852" w14:textId="39D67655" w:rsidR="0041654B" w:rsidRDefault="0041654B" w:rsidP="00AB1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6AD">
      <w:rPr>
        <w:rStyle w:val="PageNumber"/>
        <w:noProof/>
      </w:rPr>
      <w:t>33</w:t>
    </w:r>
    <w:r>
      <w:rPr>
        <w:rStyle w:val="PageNumber"/>
      </w:rPr>
      <w:fldChar w:fldCharType="end"/>
    </w:r>
  </w:p>
  <w:p w14:paraId="12470A0D" w14:textId="77777777" w:rsidR="0041654B" w:rsidRDefault="00416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03F3" w14:textId="77777777" w:rsidR="0041654B" w:rsidRDefault="00416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377B" w14:textId="77777777" w:rsidR="000F6DA4" w:rsidRDefault="000F6DA4" w:rsidP="00FE6543">
      <w:pPr>
        <w:spacing w:after="0" w:line="240" w:lineRule="auto"/>
      </w:pPr>
      <w:r>
        <w:separator/>
      </w:r>
    </w:p>
  </w:footnote>
  <w:footnote w:type="continuationSeparator" w:id="0">
    <w:p w14:paraId="110F7586" w14:textId="77777777" w:rsidR="000F6DA4" w:rsidRDefault="000F6DA4" w:rsidP="00FE6543">
      <w:pPr>
        <w:spacing w:after="0" w:line="240" w:lineRule="auto"/>
      </w:pPr>
      <w:r>
        <w:continuationSeparator/>
      </w:r>
    </w:p>
  </w:footnote>
  <w:footnote w:id="1">
    <w:p w14:paraId="60D46F64" w14:textId="77777777" w:rsidR="0041654B" w:rsidRPr="00A96B15" w:rsidRDefault="0041654B" w:rsidP="000F6FC6">
      <w:pPr>
        <w:spacing w:after="0" w:line="240" w:lineRule="auto"/>
      </w:pPr>
      <w:r w:rsidRPr="00A96B15">
        <w:rPr>
          <w:rStyle w:val="FootnoteReference"/>
        </w:rPr>
        <w:footnoteRef/>
      </w:r>
      <w:r w:rsidRPr="00A96B15">
        <w:t xml:space="preserve"> Pierre Hazan, </w:t>
      </w:r>
      <w:r w:rsidRPr="00A96B15">
        <w:rPr>
          <w:i/>
        </w:rPr>
        <w:t>Judging War, Judging History: Behind Truth and Reconciliation</w:t>
      </w:r>
      <w:r w:rsidRPr="00A96B15">
        <w:t>, (Stanford: Stanford University Press, 2010), p. 8.</w:t>
      </w:r>
    </w:p>
  </w:footnote>
  <w:footnote w:id="2">
    <w:p w14:paraId="50C23EBF" w14:textId="77777777" w:rsidR="0041654B" w:rsidRPr="00A96B15" w:rsidRDefault="0041654B" w:rsidP="000F6FC6">
      <w:pPr>
        <w:pStyle w:val="FootnoteText"/>
      </w:pPr>
      <w:r w:rsidRPr="00A96B15">
        <w:rPr>
          <w:rStyle w:val="FootnoteReference"/>
        </w:rPr>
        <w:footnoteRef/>
      </w:r>
      <w:r w:rsidRPr="00A96B15">
        <w:t xml:space="preserve"> For a list of current and historical TJ initiatives, see the Transitional Justice Database, available at </w:t>
      </w:r>
      <w:hyperlink r:id="rId1" w:history="1">
        <w:r w:rsidRPr="00A96B15">
          <w:rPr>
            <w:rStyle w:val="Hyperlink"/>
          </w:rPr>
          <w:t>http://www.tjdbproject.com</w:t>
        </w:r>
      </w:hyperlink>
      <w:r w:rsidRPr="00A96B15">
        <w:t xml:space="preserve"> (accessed 16</w:t>
      </w:r>
      <w:r>
        <w:t xml:space="preserve"> July </w:t>
      </w:r>
      <w:r w:rsidRPr="00A96B15">
        <w:t>2018).</w:t>
      </w:r>
    </w:p>
  </w:footnote>
  <w:footnote w:id="3">
    <w:p w14:paraId="46EE030C" w14:textId="2E98B1FD" w:rsidR="0041654B" w:rsidRPr="002E565E" w:rsidRDefault="0041654B" w:rsidP="000F6FC6">
      <w:pPr>
        <w:pStyle w:val="FootnoteText"/>
        <w:rPr>
          <w:lang w:val="en-GB"/>
        </w:rPr>
      </w:pPr>
      <w:r w:rsidRPr="00A96B15">
        <w:rPr>
          <w:rStyle w:val="FootnoteReference"/>
        </w:rPr>
        <w:footnoteRef/>
      </w:r>
      <w:r w:rsidRPr="00A96B15">
        <w:t xml:space="preserve"> </w:t>
      </w:r>
      <w:r>
        <w:rPr>
          <w:lang w:val="en-GB"/>
        </w:rPr>
        <w:fldChar w:fldCharType="begin"/>
      </w:r>
      <w:r>
        <w:rPr>
          <w:lang w:val="en-GB"/>
        </w:rPr>
        <w:instrText xml:space="preserve"> ADDIN EN.CITE &lt;EndNote&gt;&lt;Cite&gt;&lt;Author&gt;Clark&lt;/Author&gt;&lt;Year&gt;2018&lt;/Year&gt;&lt;RecNum&gt;317&lt;/RecNum&gt;&lt;DisplayText&gt;Phil Clark, &lt;style face="italic"&gt;Distant Justice: The Impact of the International Criminal Court on African Politics&lt;/style&gt; (Cambridge: Cambridge University Press, 2018).&lt;/DisplayText&gt;&lt;record&gt;&lt;rec-number&gt;317&lt;/rec-number&gt;&lt;foreign-keys&gt;&lt;key app="EN" db-id="0rewstxe3sdfepeps9f5xrt55srrdw2s5r9x" timestamp="1545311736"&gt;317&lt;/key&gt;&lt;/foreign-keys&gt;&lt;ref-type name="Book"&gt;6&lt;/ref-type&gt;&lt;contributors&gt;&lt;authors&gt;&lt;author&gt;Clark, Phil&lt;/author&gt;&lt;/authors&gt;&lt;/contributors&gt;&lt;titles&gt;&lt;title&gt;Distant Justice: The Impact of the International Criminal Court on African Politics&lt;/title&gt;&lt;short-title&gt;Distant Justice&lt;/short-title&gt;&lt;/titles&gt;&lt;keywords&gt;&lt;keyword&gt;ICC&lt;/keyword&gt;&lt;keyword&gt;International Criminal Justice&lt;/keyword&gt;&lt;keyword&gt;Politics&lt;/keyword&gt;&lt;keyword&gt;IR&lt;/keyword&gt;&lt;keyword&gt;Africa&lt;/keyword&gt;&lt;/keywords&gt;&lt;dates&gt;&lt;year&gt;2018&lt;/year&gt;&lt;/dates&gt;&lt;pub-location&gt;Cambridge&lt;/pub-location&gt;&lt;publisher&gt;Cambridge University Press&lt;/publisher&gt;&lt;urls&gt;&lt;/urls&gt;&lt;/record&gt;&lt;/Cite&gt;&lt;/EndNote&gt;</w:instrText>
      </w:r>
      <w:r>
        <w:rPr>
          <w:lang w:val="en-GB"/>
        </w:rPr>
        <w:fldChar w:fldCharType="separate"/>
      </w:r>
      <w:r>
        <w:rPr>
          <w:noProof/>
          <w:lang w:val="en-GB"/>
        </w:rPr>
        <w:t xml:space="preserve">Phil Clark, </w:t>
      </w:r>
      <w:r w:rsidRPr="00BA6592">
        <w:rPr>
          <w:i/>
          <w:noProof/>
          <w:lang w:val="en-GB"/>
        </w:rPr>
        <w:t>Distant Justice: The Impact of the International Criminal Court on African Politics</w:t>
      </w:r>
      <w:r>
        <w:rPr>
          <w:noProof/>
          <w:lang w:val="en-GB"/>
        </w:rPr>
        <w:t xml:space="preserve"> (Cambridge: Cambridge University Press, 2018).</w:t>
      </w:r>
      <w:r>
        <w:rPr>
          <w:lang w:val="en-GB"/>
        </w:rPr>
        <w:fldChar w:fldCharType="end"/>
      </w:r>
      <w:r>
        <w:rPr>
          <w:lang w:val="en-GB"/>
        </w:rPr>
        <w:t xml:space="preserve"> </w:t>
      </w:r>
      <w:r w:rsidRPr="00A96B15">
        <w:t xml:space="preserve">Alison Des Forges and Timothy Longman, ‘Legal Responses to Genocide in Rwanda’, in Eric Stover and Harvey M. Weinstein (eds.), </w:t>
      </w:r>
      <w:r w:rsidRPr="00A96B15">
        <w:rPr>
          <w:i/>
        </w:rPr>
        <w:t>My Neighbour, My Enemy: Justice and Community in the Aftermath of Mass Atrocity</w:t>
      </w:r>
      <w:r w:rsidRPr="00A96B15">
        <w:t xml:space="preserve"> (Cambridge: Cambridge University Press, 2004), p. 56; Rachel Kerr and Jessica Lincoln, 'The Special Court for Sierra Leone: Outreach, Legacy and Impact' (2008), pp. 3-6, available at </w:t>
      </w:r>
      <w:hyperlink r:id="rId2">
        <w:r w:rsidRPr="002E565E">
          <w:rPr>
            <w:rStyle w:val="Hyperlink"/>
            <w:u w:val="none"/>
          </w:rPr>
          <w:t>http://www.rscsl.org/Resources.html</w:t>
        </w:r>
      </w:hyperlink>
      <w:r w:rsidRPr="002E565E">
        <w:t xml:space="preserve"> (accessed 16</w:t>
      </w:r>
      <w:r>
        <w:t xml:space="preserve"> July </w:t>
      </w:r>
      <w:r w:rsidRPr="002E565E">
        <w:t xml:space="preserve">2018); Peter Uvin and C. Mironko, ‘Western and Local Approaches to Justice in Rwanda’, </w:t>
      </w:r>
      <w:r w:rsidRPr="002E565E">
        <w:rPr>
          <w:i/>
        </w:rPr>
        <w:t>Global Governance</w:t>
      </w:r>
      <w:r w:rsidRPr="002E565E">
        <w:t xml:space="preserve"> 9:2 (2003), pp. 219-231; Paul </w:t>
      </w:r>
      <w:r w:rsidRPr="002E565E">
        <w:rPr>
          <w:lang w:val="en-GB"/>
        </w:rPr>
        <w:t xml:space="preserve">Gready, ‘Analysis: Reconceptualising Transitional Justice: Embedded and Distanced Justice’ </w:t>
      </w:r>
      <w:r w:rsidRPr="002E565E">
        <w:rPr>
          <w:i/>
          <w:lang w:val="en-GB"/>
        </w:rPr>
        <w:t>Conflict, Security and Development</w:t>
      </w:r>
      <w:r w:rsidRPr="002E565E">
        <w:rPr>
          <w:lang w:val="en-GB"/>
        </w:rPr>
        <w:t xml:space="preserve"> 5:1 (2005), pp. 3–21</w:t>
      </w:r>
      <w:r>
        <w:rPr>
          <w:lang w:val="en-GB"/>
        </w:rPr>
        <w:t>.</w:t>
      </w:r>
    </w:p>
  </w:footnote>
  <w:footnote w:id="4">
    <w:p w14:paraId="33F7BF26" w14:textId="77777777" w:rsidR="0041654B" w:rsidRPr="00A96B15" w:rsidRDefault="0041654B" w:rsidP="000F6FC6">
      <w:pPr>
        <w:pStyle w:val="FootnoteText"/>
      </w:pPr>
      <w:r w:rsidRPr="00A96B15">
        <w:rPr>
          <w:rStyle w:val="FootnoteReference"/>
        </w:rPr>
        <w:footnoteRef/>
      </w:r>
      <w:r w:rsidRPr="00A96B15">
        <w:t xml:space="preserve"> Victor Peskin, ‘Courting Rwanda: The Promises and Pitfalls of the ICTR Outreach Programme’, </w:t>
      </w:r>
      <w:r w:rsidRPr="00A96B15">
        <w:rPr>
          <w:i/>
        </w:rPr>
        <w:t xml:space="preserve">Journal of International Criminal Justice </w:t>
      </w:r>
      <w:r w:rsidRPr="00A96B15">
        <w:t>3:4 (2005), pp. 950-1.</w:t>
      </w:r>
    </w:p>
  </w:footnote>
  <w:footnote w:id="5">
    <w:p w14:paraId="426CDBD6" w14:textId="622CE4D0" w:rsidR="0041654B" w:rsidRPr="00A96B15" w:rsidRDefault="0041654B" w:rsidP="000F6FC6">
      <w:pPr>
        <w:pStyle w:val="FootnoteText"/>
      </w:pPr>
      <w:r w:rsidRPr="00A96B15">
        <w:rPr>
          <w:rStyle w:val="FootnoteReference"/>
        </w:rPr>
        <w:footnoteRef/>
      </w:r>
      <w:r>
        <w:t xml:space="preserve"> Kerr and Lincoln, ‘The Special Court for Sierra Leone’</w:t>
      </w:r>
      <w:r w:rsidRPr="00A96B15">
        <w:t xml:space="preserve">, p. 6; </w:t>
      </w:r>
      <w:r w:rsidRPr="002E565E">
        <w:t>Clara Ramírez-Barat, 'Making an Impact: Guidelines on Designing and Implementing Outreach Programs for Transitional Justice’, W</w:t>
      </w:r>
      <w:r w:rsidRPr="002E565E">
        <w:rPr>
          <w:i/>
        </w:rPr>
        <w:t xml:space="preserve">orking Paper: International Center for Transitional Justice </w:t>
      </w:r>
      <w:r w:rsidRPr="002E565E">
        <w:t xml:space="preserve">(2011), p. 6, available at </w:t>
      </w:r>
      <w:hyperlink r:id="rId3" w:history="1">
        <w:r w:rsidRPr="002E565E">
          <w:rPr>
            <w:rStyle w:val="Hyperlink"/>
          </w:rPr>
          <w:t>https://www.ictj.org/sites/default/files/ICTJ-Global-Making-Impact-2011-English.pdf</w:t>
        </w:r>
      </w:hyperlink>
      <w:r w:rsidRPr="002E565E">
        <w:t xml:space="preserve"> (accessed 1</w:t>
      </w:r>
      <w:r>
        <w:t xml:space="preserve">6 July </w:t>
      </w:r>
      <w:r w:rsidRPr="002E565E">
        <w:t>2018).</w:t>
      </w:r>
    </w:p>
  </w:footnote>
  <w:footnote w:id="6">
    <w:p w14:paraId="653A8212" w14:textId="0CD04FF9" w:rsidR="0041654B" w:rsidRPr="00A96B15" w:rsidRDefault="0041654B" w:rsidP="000F6FC6">
      <w:pPr>
        <w:spacing w:after="0" w:line="240" w:lineRule="auto"/>
      </w:pPr>
      <w:r w:rsidRPr="00A96B15">
        <w:rPr>
          <w:rStyle w:val="FootnoteReference"/>
        </w:rPr>
        <w:footnoteRef/>
      </w:r>
      <w:r>
        <w:t xml:space="preserve"> Peskin, ‘Courting Rwanda’</w:t>
      </w:r>
      <w:r w:rsidRPr="00A96B15">
        <w:t xml:space="preserve">, pp. 950-961; </w:t>
      </w:r>
      <w:r>
        <w:t>Ramírez-Barat, ‘Making an Impact’</w:t>
      </w:r>
      <w:r w:rsidRPr="00FE3A70">
        <w:t xml:space="preserve">; Tim Kelsall and Edward Sawyer, ‘Truth vs. Justice? Popular views on the Truth and Reconciliation Commission and the Special Court for Sierra Leone’, </w:t>
      </w:r>
      <w:r w:rsidRPr="00FE3A70">
        <w:rPr>
          <w:i/>
        </w:rPr>
        <w:t xml:space="preserve">The Online Journal of Peace and Conflict Resolution </w:t>
      </w:r>
      <w:r w:rsidRPr="00FE3A70">
        <w:t xml:space="preserve">7:1 (2007), pp. 36-68. One exception is </w:t>
      </w:r>
      <w:r>
        <w:t>Kerr and Lincoln, ‘The Special Court for Sierra Leone’</w:t>
      </w:r>
      <w:r w:rsidRPr="00A96B15">
        <w:t>, especially pp. 9-14.</w:t>
      </w:r>
    </w:p>
  </w:footnote>
  <w:footnote w:id="7">
    <w:p w14:paraId="109CEADF" w14:textId="77777777" w:rsidR="0041654B" w:rsidRPr="00A96B15" w:rsidRDefault="0041654B" w:rsidP="000F6FC6">
      <w:pPr>
        <w:pStyle w:val="FootnoteText"/>
      </w:pPr>
      <w:r w:rsidRPr="00A96B15">
        <w:rPr>
          <w:rStyle w:val="FootnoteReference"/>
        </w:rPr>
        <w:footnoteRef/>
      </w:r>
      <w:r w:rsidRPr="00A96B15">
        <w:t xml:space="preserve"> Martha C. Nussbaum, ‘Form and Content, Philosophy and Literature’, in </w:t>
      </w:r>
      <w:r w:rsidRPr="00A96B15">
        <w:rPr>
          <w:i/>
        </w:rPr>
        <w:t>Love’s Knowledge: Essays on Philosophy and Literature</w:t>
      </w:r>
      <w:r w:rsidRPr="00A96B15">
        <w:t xml:space="preserve"> (Oxford: Oxford University Press, 1990), p. 5. Emphasis in original.</w:t>
      </w:r>
    </w:p>
  </w:footnote>
  <w:footnote w:id="8">
    <w:p w14:paraId="6EEB29ED" w14:textId="77777777" w:rsidR="0041654B" w:rsidRPr="00A96B15" w:rsidRDefault="0041654B" w:rsidP="000F6FC6">
      <w:pPr>
        <w:pStyle w:val="FootnoteText"/>
      </w:pPr>
      <w:r w:rsidRPr="00A96B15">
        <w:rPr>
          <w:rStyle w:val="FootnoteReference"/>
        </w:rPr>
        <w:footnoteRef/>
      </w:r>
      <w:r w:rsidRPr="00A96B15">
        <w:t xml:space="preserve"> Cf. Michael Shapiro, ‘Textualising Global Politics’, in Michael Shapiro and James Der Derian (eds), </w:t>
      </w:r>
      <w:r w:rsidRPr="00A96B15">
        <w:rPr>
          <w:i/>
        </w:rPr>
        <w:t>International/Intertextual Relations</w:t>
      </w:r>
      <w:r w:rsidRPr="00A96B15">
        <w:t xml:space="preserve"> (Lexington: Lexington Press, 1989), pp. 11-22; Cerwyn Moore &amp; Laura J. Shepherd, ‘Aesthetics and International Relations: Towards a Global Politics’, </w:t>
      </w:r>
      <w:r w:rsidRPr="00A96B15">
        <w:rPr>
          <w:i/>
        </w:rPr>
        <w:t>Global Society</w:t>
      </w:r>
      <w:r w:rsidRPr="00A96B15">
        <w:t xml:space="preserve"> 24:3 (2010), pp. 299-309.</w:t>
      </w:r>
    </w:p>
  </w:footnote>
  <w:footnote w:id="9">
    <w:p w14:paraId="4EB45CC9" w14:textId="77777777" w:rsidR="0041654B" w:rsidRPr="00902577" w:rsidRDefault="0041654B" w:rsidP="000F6FC6">
      <w:pPr>
        <w:pStyle w:val="FootnoteText"/>
        <w:rPr>
          <w:lang w:val="en-US"/>
        </w:rPr>
      </w:pPr>
      <w:r w:rsidRPr="00902577">
        <w:rPr>
          <w:rStyle w:val="FootnoteReference"/>
        </w:rPr>
        <w:footnoteRef/>
      </w:r>
      <w:r w:rsidRPr="00902577">
        <w:t xml:space="preserve"> Mohamed Sheriff and Elvira Bobson-Kamara, </w:t>
      </w:r>
      <w:r w:rsidRPr="00902577">
        <w:rPr>
          <w:i/>
        </w:rPr>
        <w:t>TRC Report: A Senior Secondary School Version</w:t>
      </w:r>
      <w:r w:rsidRPr="00902577">
        <w:t xml:space="preserve">, illustrated by Simeon Sesay (2005), available at </w:t>
      </w:r>
      <w:hyperlink r:id="rId4" w:history="1">
        <w:r w:rsidRPr="00902577">
          <w:rPr>
            <w:rStyle w:val="Hyperlink"/>
            <w:u w:val="none"/>
          </w:rPr>
          <w:t>http://www.sierraleonetrc.org/index.php/view-the-final-report/popular-reports/item/trc-report-a-secondary-school-version?category_id=16</w:t>
        </w:r>
      </w:hyperlink>
      <w:r w:rsidRPr="00902577">
        <w:t xml:space="preserve"> (accessed 16</w:t>
      </w:r>
      <w:r>
        <w:t xml:space="preserve"> July </w:t>
      </w:r>
      <w:r w:rsidRPr="00902577">
        <w:t xml:space="preserve">2018). Hereafter </w:t>
      </w:r>
      <w:r w:rsidRPr="00902577">
        <w:rPr>
          <w:i/>
        </w:rPr>
        <w:t>SSSV</w:t>
      </w:r>
      <w:r w:rsidRPr="00902577">
        <w:t xml:space="preserve">. </w:t>
      </w:r>
      <w:r w:rsidRPr="00902577">
        <w:rPr>
          <w:lang w:val="en-US"/>
        </w:rPr>
        <w:t xml:space="preserve">See also the ICTR’s </w:t>
      </w:r>
      <w:r w:rsidRPr="00902577">
        <w:rPr>
          <w:i/>
          <w:lang w:val="en-US"/>
        </w:rPr>
        <w:t>100 Days in the Land of a Thousand Hills</w:t>
      </w:r>
      <w:r w:rsidRPr="00902577">
        <w:rPr>
          <w:lang w:val="en-US"/>
        </w:rPr>
        <w:t xml:space="preserve">, available at </w:t>
      </w:r>
      <w:hyperlink r:id="rId5" w:history="1">
        <w:r w:rsidRPr="00902577">
          <w:rPr>
            <w:rStyle w:val="Hyperlink"/>
            <w:u w:val="none"/>
          </w:rPr>
          <w:t>http://www.un.org/en/preventgenocide/rwanda/education/education.shtml</w:t>
        </w:r>
      </w:hyperlink>
      <w:r w:rsidRPr="00902577">
        <w:t xml:space="preserve"> (accessed 16</w:t>
      </w:r>
      <w:r>
        <w:t xml:space="preserve"> July </w:t>
      </w:r>
      <w:r w:rsidRPr="00902577">
        <w:t>2018).</w:t>
      </w:r>
    </w:p>
  </w:footnote>
  <w:footnote w:id="10">
    <w:p w14:paraId="7858763D" w14:textId="77777777" w:rsidR="0041654B" w:rsidRPr="00A96B15" w:rsidRDefault="0041654B" w:rsidP="000F6FC6">
      <w:pPr>
        <w:pStyle w:val="FootnoteText"/>
      </w:pPr>
      <w:r w:rsidRPr="00A96B15">
        <w:rPr>
          <w:rStyle w:val="FootnoteReference"/>
        </w:rPr>
        <w:footnoteRef/>
      </w:r>
      <w:r w:rsidRPr="00A96B15">
        <w:t xml:space="preserve"> Lene Hansen: ‘Reading comics for the field of International Relations: Theory, method and the Bosnian War’. </w:t>
      </w:r>
      <w:r w:rsidRPr="00A96B15">
        <w:rPr>
          <w:i/>
        </w:rPr>
        <w:t xml:space="preserve">European Journal of International Relations </w:t>
      </w:r>
      <w:r w:rsidRPr="00A96B15">
        <w:t>23:3 (2017), p. 582.</w:t>
      </w:r>
    </w:p>
  </w:footnote>
  <w:footnote w:id="11">
    <w:p w14:paraId="74BCFF96" w14:textId="77777777" w:rsidR="0041654B" w:rsidRPr="00A96B15" w:rsidRDefault="0041654B" w:rsidP="000F6FC6">
      <w:pPr>
        <w:pStyle w:val="FootnoteText"/>
      </w:pPr>
      <w:r w:rsidRPr="00A96B15">
        <w:rPr>
          <w:rStyle w:val="FootnoteReference"/>
        </w:rPr>
        <w:footnoteRef/>
      </w:r>
      <w:r w:rsidRPr="00A96B15">
        <w:t xml:space="preserve"> Kyle Grayson, Matt Davies &amp; Simon Philpott: ‘Pop Goes IR? Researching the Popular Culture-World Politics Continuum’, </w:t>
      </w:r>
      <w:r w:rsidRPr="00A96B15">
        <w:rPr>
          <w:i/>
        </w:rPr>
        <w:t>Politics</w:t>
      </w:r>
      <w:r w:rsidRPr="00A96B15">
        <w:t xml:space="preserve"> 29:3 (2009), pp. 155-163. Cf. Clifford Geertz: </w:t>
      </w:r>
      <w:r w:rsidRPr="00A96B15">
        <w:rPr>
          <w:i/>
        </w:rPr>
        <w:t>The Interpretation of Cultures</w:t>
      </w:r>
      <w:r w:rsidRPr="00A96B15">
        <w:t xml:space="preserve"> (New York: Basic Books, 1973), p. 5.</w:t>
      </w:r>
    </w:p>
  </w:footnote>
  <w:footnote w:id="12">
    <w:p w14:paraId="11A62065" w14:textId="2F63D8E3" w:rsidR="0041654B" w:rsidRPr="00E23147" w:rsidRDefault="0041654B" w:rsidP="000F6FC6">
      <w:pPr>
        <w:pStyle w:val="FootnoteText"/>
      </w:pPr>
      <w:r w:rsidRPr="00902577">
        <w:rPr>
          <w:rStyle w:val="FootnoteReference"/>
        </w:rPr>
        <w:footnoteRef/>
      </w:r>
      <w:r w:rsidRPr="00E23147">
        <w:t xml:space="preserve"> Hil</w:t>
      </w:r>
      <w:r>
        <w:t>l</w:t>
      </w:r>
      <w:r w:rsidRPr="00E23147">
        <w:t>ary</w:t>
      </w:r>
      <w:r>
        <w:t xml:space="preserve"> L.</w:t>
      </w:r>
      <w:r w:rsidRPr="00E23147">
        <w:t xml:space="preserve"> C</w:t>
      </w:r>
      <w:r>
        <w:t xml:space="preserve">hute, </w:t>
      </w:r>
      <w:r>
        <w:rPr>
          <w:i/>
        </w:rPr>
        <w:t>Disaster Drawn: Visual Witness, Comics, and Documentary Form</w:t>
      </w:r>
      <w:r>
        <w:t xml:space="preserve"> (Cambridge: Harvard University Press, 2016), p. 4.</w:t>
      </w:r>
    </w:p>
  </w:footnote>
  <w:footnote w:id="13">
    <w:p w14:paraId="2D3582C2" w14:textId="02299472" w:rsidR="0041654B" w:rsidRPr="00A96B15" w:rsidRDefault="0041654B" w:rsidP="000F6FC6">
      <w:pPr>
        <w:pStyle w:val="FootnoteText"/>
      </w:pPr>
      <w:r w:rsidRPr="00A96B15">
        <w:rPr>
          <w:rStyle w:val="FootnoteReference"/>
        </w:rPr>
        <w:footnoteRef/>
      </w:r>
      <w:r w:rsidRPr="00A96B15">
        <w:t xml:space="preserve"> The literature on the so-called ‘visual’ and ‘pop cultural’ turns is large and varied. A range of approaches and examples can be found, however, in Roland Bleiker (ed.), </w:t>
      </w:r>
      <w:r w:rsidRPr="00A96B15">
        <w:rPr>
          <w:i/>
        </w:rPr>
        <w:t>Visual Global Politics</w:t>
      </w:r>
      <w:r>
        <w:t xml:space="preserve"> (London: Routledge, 2018);</w:t>
      </w:r>
      <w:r w:rsidRPr="00A96B15">
        <w:t xml:space="preserve"> and in the ongoing </w:t>
      </w:r>
      <w:r w:rsidRPr="00A96B15">
        <w:rPr>
          <w:i/>
        </w:rPr>
        <w:t>Popular Culture and World Politics</w:t>
      </w:r>
      <w:r w:rsidRPr="00A96B15">
        <w:t xml:space="preserve"> book series from Routledge.</w:t>
      </w:r>
    </w:p>
  </w:footnote>
  <w:footnote w:id="14">
    <w:p w14:paraId="78E60B90" w14:textId="77777777" w:rsidR="0041654B" w:rsidRPr="00A96B15" w:rsidRDefault="0041654B" w:rsidP="000F6FC6">
      <w:pPr>
        <w:pStyle w:val="FootnoteText"/>
      </w:pPr>
      <w:r w:rsidRPr="00A96B15">
        <w:rPr>
          <w:rStyle w:val="FootnoteReference"/>
        </w:rPr>
        <w:footnoteRef/>
      </w:r>
      <w:r w:rsidRPr="00A96B15">
        <w:t xml:space="preserve"> Alex Danchev &amp; Debbie Lisle, ‘Introduction: Art, Politics, Purpose’, </w:t>
      </w:r>
      <w:r w:rsidRPr="00A96B15">
        <w:rPr>
          <w:i/>
        </w:rPr>
        <w:t>Review of International Studies</w:t>
      </w:r>
      <w:r w:rsidRPr="00A96B15">
        <w:t xml:space="preserve"> 35:4 (2009), p. 775.</w:t>
      </w:r>
    </w:p>
  </w:footnote>
  <w:footnote w:id="15">
    <w:p w14:paraId="2C569145" w14:textId="77777777" w:rsidR="0041654B" w:rsidRPr="00A96B15" w:rsidRDefault="0041654B" w:rsidP="000F6FC6">
      <w:pPr>
        <w:autoSpaceDE w:val="0"/>
        <w:autoSpaceDN w:val="0"/>
        <w:adjustRightInd w:val="0"/>
        <w:spacing w:after="0" w:line="240" w:lineRule="auto"/>
        <w:rPr>
          <w:lang w:val="en-GB"/>
        </w:rPr>
      </w:pPr>
      <w:r w:rsidRPr="00A96B15">
        <w:rPr>
          <w:rStyle w:val="FootnoteReference"/>
        </w:rPr>
        <w:footnoteRef/>
      </w:r>
      <w:r w:rsidRPr="00A96B15">
        <w:t xml:space="preserve"> ‘</w:t>
      </w:r>
      <w:r w:rsidRPr="00A96B15">
        <w:rPr>
          <w:lang w:val="en-GB"/>
        </w:rPr>
        <w:t xml:space="preserve">Cultural governance involves support for diverse genres of expression to constitute and legitimise practices of sovereignty, while restricting or preventing those representations that challenge sovereignty’. David Campbell, ‘Cultural governance and pictorial resistance: reflections on the imaging of war. </w:t>
      </w:r>
      <w:r w:rsidRPr="00A96B15">
        <w:rPr>
          <w:i/>
          <w:lang w:val="en-GB"/>
        </w:rPr>
        <w:t>Review of International Studies</w:t>
      </w:r>
      <w:r w:rsidRPr="00A96B15">
        <w:rPr>
          <w:lang w:val="en-GB"/>
        </w:rPr>
        <w:t xml:space="preserve"> 29:1 (2003), p. 57. Cf. Michael J. Shapiro, </w:t>
      </w:r>
      <w:r w:rsidRPr="00A96B15">
        <w:rPr>
          <w:i/>
          <w:lang w:val="en-GB"/>
        </w:rPr>
        <w:t>Methods and Nations: Cultural Governance and the Indigenous Subject</w:t>
      </w:r>
      <w:r w:rsidRPr="00A96B15">
        <w:rPr>
          <w:lang w:val="en-GB"/>
        </w:rPr>
        <w:t xml:space="preserve"> (New York: Routledge, 2004).</w:t>
      </w:r>
    </w:p>
  </w:footnote>
  <w:footnote w:id="16">
    <w:p w14:paraId="100FC495" w14:textId="77777777" w:rsidR="0041654B" w:rsidRPr="00A96B15" w:rsidRDefault="0041654B" w:rsidP="000F6FC6">
      <w:pPr>
        <w:pStyle w:val="FootnoteText"/>
      </w:pPr>
      <w:r w:rsidRPr="00A96B15">
        <w:rPr>
          <w:rStyle w:val="FootnoteReference"/>
        </w:rPr>
        <w:footnoteRef/>
      </w:r>
      <w:r w:rsidRPr="00A96B15">
        <w:t xml:space="preserve"> Frank Möller, </w:t>
      </w:r>
      <w:r w:rsidRPr="00A96B15">
        <w:rPr>
          <w:i/>
        </w:rPr>
        <w:t>Visual Peace: Images, Spectatorship and the Politics of Violence</w:t>
      </w:r>
      <w:r w:rsidRPr="00A96B15">
        <w:t xml:space="preserve"> (Basingstoke: Palgrave, 2013), pp. 19-20.</w:t>
      </w:r>
    </w:p>
  </w:footnote>
  <w:footnote w:id="17">
    <w:p w14:paraId="47F54AAA" w14:textId="77777777" w:rsidR="0041654B" w:rsidRPr="00A96B15" w:rsidRDefault="0041654B" w:rsidP="000F6FC6">
      <w:pPr>
        <w:pStyle w:val="FootnoteText"/>
      </w:pPr>
      <w:r w:rsidRPr="00A96B15">
        <w:rPr>
          <w:rStyle w:val="FootnoteReference"/>
        </w:rPr>
        <w:footnoteRef/>
      </w:r>
      <w:r w:rsidRPr="00A96B15">
        <w:t xml:space="preserve"> </w:t>
      </w:r>
      <w:r w:rsidRPr="00A96B15">
        <w:rPr>
          <w:i/>
        </w:rPr>
        <w:t>SSSV</w:t>
      </w:r>
      <w:r w:rsidRPr="00A96B15">
        <w:t>.</w:t>
      </w:r>
    </w:p>
  </w:footnote>
  <w:footnote w:id="18">
    <w:p w14:paraId="283E40FD" w14:textId="77777777" w:rsidR="0041654B" w:rsidRPr="00A96B15" w:rsidRDefault="0041654B" w:rsidP="000F6FC6">
      <w:pPr>
        <w:pStyle w:val="FootnoteText"/>
        <w:rPr>
          <w:lang w:val="en-US"/>
        </w:rPr>
      </w:pPr>
      <w:r w:rsidRPr="00A96B15">
        <w:rPr>
          <w:rStyle w:val="FootnoteReference"/>
        </w:rPr>
        <w:footnoteRef/>
      </w:r>
      <w:r w:rsidRPr="00A96B15">
        <w:t xml:space="preserve"> The comic has no official title because it is incorporated within the </w:t>
      </w:r>
      <w:r w:rsidRPr="00A96B15">
        <w:rPr>
          <w:i/>
        </w:rPr>
        <w:t>SSSV</w:t>
      </w:r>
      <w:r w:rsidRPr="00A96B15">
        <w:t xml:space="preserve">. We call it </w:t>
      </w:r>
      <w:r w:rsidRPr="00A96B15">
        <w:rPr>
          <w:i/>
        </w:rPr>
        <w:t xml:space="preserve">Sierrarat </w:t>
      </w:r>
      <w:r w:rsidRPr="00A96B15">
        <w:t>here for the sake of convenience.</w:t>
      </w:r>
    </w:p>
  </w:footnote>
  <w:footnote w:id="19">
    <w:p w14:paraId="774FEC98" w14:textId="77777777" w:rsidR="0041654B" w:rsidRPr="00A96B15" w:rsidRDefault="0041654B" w:rsidP="000F6FC6">
      <w:pPr>
        <w:pStyle w:val="FootnoteText"/>
      </w:pPr>
      <w:r w:rsidRPr="00A96B15">
        <w:rPr>
          <w:rStyle w:val="FootnoteReference"/>
        </w:rPr>
        <w:footnoteRef/>
      </w:r>
      <w:r w:rsidRPr="00A96B15">
        <w:t xml:space="preserve"> </w:t>
      </w:r>
      <w:r w:rsidRPr="00A96B15">
        <w:rPr>
          <w:i/>
        </w:rPr>
        <w:t xml:space="preserve">SSSV, </w:t>
      </w:r>
      <w:r w:rsidRPr="00A96B15">
        <w:t>pp.</w:t>
      </w:r>
      <w:r w:rsidRPr="00A96B15">
        <w:rPr>
          <w:i/>
        </w:rPr>
        <w:t xml:space="preserve"> </w:t>
      </w:r>
      <w:r w:rsidRPr="00A96B15">
        <w:t xml:space="preserve">5-11. </w:t>
      </w:r>
    </w:p>
  </w:footnote>
  <w:footnote w:id="20">
    <w:p w14:paraId="50347662" w14:textId="77777777" w:rsidR="0041654B" w:rsidRPr="00220427" w:rsidRDefault="0041654B" w:rsidP="000F6FC6">
      <w:pPr>
        <w:pStyle w:val="FootnoteText"/>
      </w:pPr>
      <w:r w:rsidRPr="00A96B15">
        <w:rPr>
          <w:rStyle w:val="FootnoteReference"/>
        </w:rPr>
        <w:footnoteRef/>
      </w:r>
      <w:r w:rsidRPr="00A96B15">
        <w:t xml:space="preserve"> On the relationship between narrative and temporality, see Paul Ricoeur, ‘Narrative Time’, </w:t>
      </w:r>
      <w:r w:rsidRPr="00A96B15">
        <w:rPr>
          <w:i/>
        </w:rPr>
        <w:t>Critical Inquiry</w:t>
      </w:r>
      <w:r w:rsidRPr="00A96B15">
        <w:t xml:space="preserve"> 7:1 (1980), pp. 169-190.</w:t>
      </w:r>
      <w:r>
        <w:t xml:space="preserve"> For an analysis focused specifically on the ways in which narrative and time manifest themselves in comics, see Thierry Groensteen, </w:t>
      </w:r>
      <w:r>
        <w:rPr>
          <w:i/>
        </w:rPr>
        <w:t>Comics and Narration</w:t>
      </w:r>
      <w:r>
        <w:t xml:space="preserve"> (Jackson: University of Mississippi Press, 2013).</w:t>
      </w:r>
    </w:p>
  </w:footnote>
  <w:footnote w:id="21">
    <w:p w14:paraId="07AE6E7D" w14:textId="77777777" w:rsidR="0041654B" w:rsidRPr="00A96B15" w:rsidRDefault="0041654B" w:rsidP="000F6FC6">
      <w:pPr>
        <w:pStyle w:val="FootnoteText"/>
      </w:pPr>
      <w:r w:rsidRPr="00A96B15">
        <w:rPr>
          <w:rStyle w:val="FootnoteReference"/>
        </w:rPr>
        <w:footnoteRef/>
      </w:r>
      <w:r w:rsidRPr="00A96B15">
        <w:t xml:space="preserve"> In seeking to interpret the visual production of meaning, we draw on discourse-analytical techniques. These are applicable beyond the study of language because, as Linda Åhäll points out, ‘the way we interpret the world is not limited to spoken or written words’. Linda Åhäll, ‘Affect as Methodology: Feminism and the Politics of Emotion’. </w:t>
      </w:r>
      <w:r w:rsidRPr="00A96B15">
        <w:rPr>
          <w:i/>
        </w:rPr>
        <w:t>International Political Sociology</w:t>
      </w:r>
      <w:r w:rsidRPr="00A96B15">
        <w:t xml:space="preserve"> 12:1 (2018), p. 43. Cf. Gillian Rose, </w:t>
      </w:r>
      <w:r w:rsidRPr="00A96B15">
        <w:rPr>
          <w:i/>
        </w:rPr>
        <w:t>Visual Methodologies: An Introduction to the Interpretation of Visual Materials</w:t>
      </w:r>
      <w:r w:rsidRPr="00A96B15">
        <w:t xml:space="preserve"> (London: SAGE, 2001), pp. 135-186.</w:t>
      </w:r>
    </w:p>
  </w:footnote>
  <w:footnote w:id="22">
    <w:p w14:paraId="49D15F91" w14:textId="77777777" w:rsidR="0041654B" w:rsidRPr="007E354F" w:rsidRDefault="0041654B" w:rsidP="000F6FC6">
      <w:pPr>
        <w:pStyle w:val="FootnoteText"/>
        <w:rPr>
          <w:lang w:val="en-US"/>
        </w:rPr>
      </w:pPr>
      <w:r>
        <w:rPr>
          <w:rStyle w:val="FootnoteReference"/>
        </w:rPr>
        <w:footnoteRef/>
      </w:r>
      <w:r>
        <w:t xml:space="preserve"> Cf. </w:t>
      </w:r>
      <w:r>
        <w:rPr>
          <w:lang w:val="en-US"/>
        </w:rPr>
        <w:t xml:space="preserve">Thierry Groensteen, </w:t>
      </w:r>
      <w:r>
        <w:rPr>
          <w:i/>
          <w:lang w:val="en-US"/>
        </w:rPr>
        <w:t>The System of Comics</w:t>
      </w:r>
      <w:r>
        <w:rPr>
          <w:lang w:val="en-US"/>
        </w:rPr>
        <w:t xml:space="preserve"> (Jackson: University of Mississippi Press, 2007), p. 10.</w:t>
      </w:r>
    </w:p>
  </w:footnote>
  <w:footnote w:id="23">
    <w:p w14:paraId="004C1353" w14:textId="77777777" w:rsidR="0041654B" w:rsidRPr="00522B85" w:rsidRDefault="0041654B" w:rsidP="000F6FC6">
      <w:pPr>
        <w:pStyle w:val="FootnoteText"/>
        <w:rPr>
          <w:lang w:val="en-GB"/>
        </w:rPr>
      </w:pPr>
      <w:r>
        <w:rPr>
          <w:rStyle w:val="FootnoteReference"/>
        </w:rPr>
        <w:footnoteRef/>
      </w:r>
      <w:r>
        <w:t xml:space="preserve"> </w:t>
      </w:r>
      <w:r>
        <w:rPr>
          <w:lang w:val="en-GB"/>
        </w:rPr>
        <w:t xml:space="preserve">This section largely draws on the history of the conflict provided in </w:t>
      </w:r>
      <w:r w:rsidRPr="00A96B15">
        <w:t xml:space="preserve">Kirsten Ainley, Rebekka Friedman and Chris Mahony, 'Transitional justice in Sierra Leone: theory, history and evaluation', in Kirsten Ainley, Rebekka Friedman and Chris Mahony (eds), </w:t>
      </w:r>
      <w:r w:rsidRPr="00A96B15">
        <w:rPr>
          <w:i/>
        </w:rPr>
        <w:t>Evaluating Transitional Justice: Accountability and Peacebuilding in Post-Conflict Sierra Leone</w:t>
      </w:r>
      <w:r w:rsidRPr="00A96B15">
        <w:t xml:space="preserve"> (Basingstoke</w:t>
      </w:r>
      <w:r>
        <w:t>:</w:t>
      </w:r>
      <w:r w:rsidRPr="00A96B15">
        <w:t xml:space="preserve"> Palgrave Macmillan: 2015)</w:t>
      </w:r>
      <w:r>
        <w:t xml:space="preserve">, pp. </w:t>
      </w:r>
      <w:r>
        <w:rPr>
          <w:lang w:val="en-GB"/>
        </w:rPr>
        <w:t xml:space="preserve"> 1-18.</w:t>
      </w:r>
    </w:p>
  </w:footnote>
  <w:footnote w:id="24">
    <w:p w14:paraId="018DFBDF" w14:textId="269A504C" w:rsidR="0041654B" w:rsidRDefault="0041654B" w:rsidP="000F6FC6">
      <w:pPr>
        <w:pStyle w:val="FootnoteText"/>
      </w:pPr>
      <w:r>
        <w:rPr>
          <w:rStyle w:val="FootnoteReference"/>
        </w:rPr>
        <w:footnoteRef/>
      </w:r>
      <w:r>
        <w:t xml:space="preserve"> Ainley, Friedman &amp; Mahony, </w:t>
      </w:r>
      <w:r>
        <w:rPr>
          <w:i/>
        </w:rPr>
        <w:t>Evaluating Transitional Justice</w:t>
      </w:r>
      <w:r>
        <w:t xml:space="preserve">, pp. </w:t>
      </w:r>
      <w:r w:rsidRPr="00A96B15">
        <w:t>9-1</w:t>
      </w:r>
      <w:r>
        <w:t>0.</w:t>
      </w:r>
    </w:p>
  </w:footnote>
  <w:footnote w:id="25">
    <w:p w14:paraId="3F044DA4" w14:textId="47477590" w:rsidR="0041654B" w:rsidRPr="00A96B15" w:rsidRDefault="0041654B" w:rsidP="000F6FC6">
      <w:pPr>
        <w:spacing w:after="0" w:line="240" w:lineRule="auto"/>
        <w:rPr>
          <w:color w:val="000000" w:themeColor="text1"/>
        </w:rPr>
      </w:pPr>
      <w:r w:rsidRPr="00A96B15">
        <w:rPr>
          <w:rStyle w:val="FootnoteReference"/>
        </w:rPr>
        <w:footnoteRef/>
      </w:r>
      <w:r w:rsidRPr="00A96B15">
        <w:t xml:space="preserve"> </w:t>
      </w:r>
      <w:r>
        <w:t>Ainley, Friedman &amp; Mahony, ‘Transitional Justice in Sierra Leone’, pp. 9-13</w:t>
      </w:r>
      <w:r w:rsidRPr="00A96B15">
        <w:t xml:space="preserve">; Tim </w:t>
      </w:r>
      <w:r w:rsidRPr="00A96B15">
        <w:rPr>
          <w:color w:val="000000" w:themeColor="text1"/>
        </w:rPr>
        <w:t xml:space="preserve">Kelsall, </w:t>
      </w:r>
      <w:r w:rsidRPr="00A96B15">
        <w:rPr>
          <w:i/>
          <w:color w:val="000000" w:themeColor="text1"/>
        </w:rPr>
        <w:t>Culture Under Cross–Examination: International Justice and the Special Court for Sierra Leone</w:t>
      </w:r>
      <w:r w:rsidRPr="00A96B15">
        <w:rPr>
          <w:color w:val="000000" w:themeColor="text1"/>
        </w:rPr>
        <w:t xml:space="preserve"> (Cambridge: Cambridge University Press, 2009), pp. 25-30.</w:t>
      </w:r>
    </w:p>
  </w:footnote>
  <w:footnote w:id="26">
    <w:p w14:paraId="23235433" w14:textId="77777777" w:rsidR="0041654B" w:rsidRPr="00A96B15" w:rsidRDefault="0041654B" w:rsidP="000F6FC6">
      <w:pPr>
        <w:pStyle w:val="FootnoteText"/>
      </w:pPr>
      <w:r w:rsidRPr="00A96B15">
        <w:rPr>
          <w:rStyle w:val="FootnoteReference"/>
        </w:rPr>
        <w:footnoteRef/>
      </w:r>
      <w:r w:rsidRPr="00A96B15">
        <w:t xml:space="preserve"> Gearoid Millar, '</w:t>
      </w:r>
      <w:r>
        <w:t>”</w:t>
      </w:r>
      <w:r w:rsidRPr="00A96B15">
        <w:t xml:space="preserve">Our brothers who went to the bush": Post-identity conflict and the experience of reconciliation in Sierra Leone', </w:t>
      </w:r>
      <w:r w:rsidRPr="00A96B15">
        <w:rPr>
          <w:i/>
        </w:rPr>
        <w:t xml:space="preserve">Journal of Peace Research, </w:t>
      </w:r>
      <w:r w:rsidRPr="00A96B15">
        <w:t>49:5 (2012), pp. 722-724.</w:t>
      </w:r>
    </w:p>
  </w:footnote>
  <w:footnote w:id="27">
    <w:p w14:paraId="1D61E97E" w14:textId="6D347FFB" w:rsidR="0041654B" w:rsidRPr="00A96B15" w:rsidRDefault="0041654B" w:rsidP="000F6FC6">
      <w:pPr>
        <w:pStyle w:val="FootnoteText"/>
      </w:pPr>
      <w:r w:rsidRPr="00A96B15">
        <w:rPr>
          <w:rStyle w:val="FootnoteReference"/>
        </w:rPr>
        <w:footnoteRef/>
      </w:r>
      <w:r>
        <w:t xml:space="preserve"> Millar, ‘“Our Brothers”’, pp. 722-724; Kelsall, </w:t>
      </w:r>
      <w:r>
        <w:rPr>
          <w:i/>
        </w:rPr>
        <w:t>Culture Under Cross-Examination</w:t>
      </w:r>
      <w:r w:rsidRPr="00A96B15">
        <w:t>, p. 30.</w:t>
      </w:r>
    </w:p>
  </w:footnote>
  <w:footnote w:id="28">
    <w:p w14:paraId="50474CC1" w14:textId="13F1FC10" w:rsidR="0041654B" w:rsidRPr="00A96B15" w:rsidRDefault="0041654B" w:rsidP="000F6FC6">
      <w:pPr>
        <w:pStyle w:val="FootnoteText"/>
      </w:pPr>
      <w:r w:rsidRPr="00A96B15">
        <w:rPr>
          <w:rStyle w:val="FootnoteReference"/>
        </w:rPr>
        <w:footnoteRef/>
      </w:r>
      <w:r w:rsidRPr="00A96B15">
        <w:t xml:space="preserve"> Mill</w:t>
      </w:r>
      <w:r>
        <w:t xml:space="preserve">ar, ‘“Our Brothers”’, </w:t>
      </w:r>
      <w:r w:rsidRPr="00A96B15">
        <w:t xml:space="preserve">p. 725. See also Myriam Denov, ‘Wartime sexual violence: assessing a human security response to war-affected girls in Sierra Leone’, </w:t>
      </w:r>
      <w:r w:rsidRPr="00A96B15">
        <w:rPr>
          <w:i/>
        </w:rPr>
        <w:t>Security Dialogue</w:t>
      </w:r>
      <w:r w:rsidRPr="00A96B15">
        <w:t xml:space="preserve"> 37:3 (2006), pp. 319-342.</w:t>
      </w:r>
    </w:p>
  </w:footnote>
  <w:footnote w:id="29">
    <w:p w14:paraId="5A587AFA" w14:textId="77777777" w:rsidR="0041654B" w:rsidRPr="00A96B15" w:rsidRDefault="0041654B" w:rsidP="000F6FC6">
      <w:pPr>
        <w:pStyle w:val="FootnoteText"/>
      </w:pPr>
      <w:r w:rsidRPr="00A96B15">
        <w:rPr>
          <w:rStyle w:val="FootnoteReference"/>
        </w:rPr>
        <w:footnoteRef/>
      </w:r>
      <w:r w:rsidRPr="00A96B15">
        <w:t xml:space="preserve"> Beth Dougherty, 'Searching for answers: Sierra Leone's Truth and Reconciliation Commission', </w:t>
      </w:r>
      <w:r w:rsidRPr="00A96B15">
        <w:rPr>
          <w:i/>
        </w:rPr>
        <w:t xml:space="preserve">African Studies Quarterly </w:t>
      </w:r>
      <w:r w:rsidRPr="00A96B15">
        <w:t>8:1 (2004), p. 41.</w:t>
      </w:r>
    </w:p>
  </w:footnote>
  <w:footnote w:id="30">
    <w:p w14:paraId="0F72B41F" w14:textId="648C5DE5" w:rsidR="0041654B" w:rsidRPr="00A96B15" w:rsidRDefault="0041654B" w:rsidP="000F6FC6">
      <w:pPr>
        <w:pStyle w:val="FootnoteText"/>
      </w:pPr>
      <w:r w:rsidRPr="00A96B15">
        <w:rPr>
          <w:rStyle w:val="FootnoteReference"/>
        </w:rPr>
        <w:footnoteRef/>
      </w:r>
      <w:r>
        <w:t xml:space="preserve"> Dougherty, ‘Searching for answers’</w:t>
      </w:r>
      <w:r w:rsidRPr="00A96B15">
        <w:t>, p. 42.</w:t>
      </w:r>
    </w:p>
  </w:footnote>
  <w:footnote w:id="31">
    <w:p w14:paraId="3E74C0EF" w14:textId="350D00CC" w:rsidR="0041654B" w:rsidRPr="00A96B15" w:rsidRDefault="0041654B" w:rsidP="000F6FC6">
      <w:pPr>
        <w:pStyle w:val="FootnoteText"/>
      </w:pPr>
      <w:r w:rsidRPr="00A96B15">
        <w:rPr>
          <w:rStyle w:val="FootnoteReference"/>
        </w:rPr>
        <w:footnoteRef/>
      </w:r>
      <w:r>
        <w:t xml:space="preserve"> Kelsall, </w:t>
      </w:r>
      <w:r>
        <w:rPr>
          <w:i/>
        </w:rPr>
        <w:t>Culture Under Cross-Examination</w:t>
      </w:r>
      <w:r w:rsidRPr="00A96B15">
        <w:t>, p. 31.</w:t>
      </w:r>
    </w:p>
  </w:footnote>
  <w:footnote w:id="32">
    <w:p w14:paraId="201A6918" w14:textId="3BB220B6" w:rsidR="0041654B" w:rsidRPr="00A96B15" w:rsidRDefault="0041654B" w:rsidP="000F6FC6">
      <w:pPr>
        <w:pStyle w:val="FootnoteText"/>
      </w:pPr>
      <w:r w:rsidRPr="00A96B15">
        <w:rPr>
          <w:rStyle w:val="FootnoteReference"/>
        </w:rPr>
        <w:footnoteRef/>
      </w:r>
      <w:r>
        <w:t xml:space="preserve"> Kelsall, </w:t>
      </w:r>
      <w:r>
        <w:rPr>
          <w:i/>
        </w:rPr>
        <w:t>Culture Under Cross-Examination</w:t>
      </w:r>
      <w:r w:rsidRPr="00A96B15">
        <w:t>, p. 31.</w:t>
      </w:r>
    </w:p>
  </w:footnote>
  <w:footnote w:id="33">
    <w:p w14:paraId="303E7026" w14:textId="0674D003" w:rsidR="0041654B" w:rsidRPr="00A96B15" w:rsidRDefault="0041654B" w:rsidP="000F6FC6">
      <w:pPr>
        <w:pStyle w:val="FootnoteText"/>
      </w:pPr>
      <w:r w:rsidRPr="00A96B15">
        <w:rPr>
          <w:rStyle w:val="FootnoteReference"/>
        </w:rPr>
        <w:footnoteRef/>
      </w:r>
      <w:r w:rsidRPr="00A96B15">
        <w:t xml:space="preserve"> </w:t>
      </w:r>
      <w:r>
        <w:t xml:space="preserve">Ainley, Friedman &amp; Mahony, ‘Transitional Justice in Sierra Leone’, </w:t>
      </w:r>
      <w:r w:rsidRPr="00A96B15">
        <w:t xml:space="preserve">p. 11. </w:t>
      </w:r>
    </w:p>
  </w:footnote>
  <w:footnote w:id="34">
    <w:p w14:paraId="66611EA5" w14:textId="5FBAD5EA" w:rsidR="0041654B" w:rsidRPr="00A96B15" w:rsidRDefault="0041654B" w:rsidP="000F6FC6">
      <w:pPr>
        <w:pStyle w:val="FootnoteText"/>
      </w:pPr>
      <w:r w:rsidRPr="00A96B15">
        <w:rPr>
          <w:rStyle w:val="FootnoteReference"/>
        </w:rPr>
        <w:footnoteRef/>
      </w:r>
      <w:r w:rsidRPr="00A96B15">
        <w:t xml:space="preserve"> </w:t>
      </w:r>
      <w:r>
        <w:t>Ainley, Friedman &amp; Mahony, ‘Transitional Justice in Sierra Leone’, p. 11; Chris Mahon</w:t>
      </w:r>
      <w:r w:rsidRPr="00A96B15">
        <w:t xml:space="preserve">y and Yasmin Sooka, 'The Truth about the Truth: Insider Reflections on the Sierra Leonean Truth and Reconciliation Commission', in Kirsten Ainley, Rebekka Friedman and Chris Mahony (eds), </w:t>
      </w:r>
      <w:r w:rsidRPr="00A96B15">
        <w:rPr>
          <w:i/>
        </w:rPr>
        <w:t>Evaluating Transitional Justice: Accountability and Peacebuilding in Post-Conflict Sierra Leone</w:t>
      </w:r>
      <w:r w:rsidRPr="00A96B15">
        <w:t xml:space="preserve"> (Basingstoke</w:t>
      </w:r>
      <w:r>
        <w:t>:</w:t>
      </w:r>
      <w:r w:rsidRPr="00A96B15">
        <w:t xml:space="preserve"> Palgrave Macmillan 2015), p. 39.</w:t>
      </w:r>
    </w:p>
  </w:footnote>
  <w:footnote w:id="35">
    <w:p w14:paraId="36E18CAA" w14:textId="6F0BFCDE" w:rsidR="0041654B" w:rsidRPr="00A96B15" w:rsidRDefault="0041654B" w:rsidP="000F6FC6">
      <w:pPr>
        <w:pStyle w:val="FootnoteText"/>
      </w:pPr>
      <w:r w:rsidRPr="00A96B15">
        <w:rPr>
          <w:rStyle w:val="FootnoteReference"/>
        </w:rPr>
        <w:footnoteRef/>
      </w:r>
      <w:r>
        <w:t xml:space="preserve"> Mahony &amp; Sooka, ‘The Truth about the Truth’</w:t>
      </w:r>
      <w:r w:rsidRPr="00A96B15">
        <w:t>, p. 39.</w:t>
      </w:r>
    </w:p>
  </w:footnote>
  <w:footnote w:id="36">
    <w:p w14:paraId="05DE1EBE" w14:textId="1D18CB93" w:rsidR="0041654B" w:rsidRPr="00A96B15" w:rsidRDefault="0041654B" w:rsidP="000F6FC6">
      <w:pPr>
        <w:pStyle w:val="FootnoteText"/>
      </w:pPr>
      <w:r w:rsidRPr="00A96B15">
        <w:rPr>
          <w:rStyle w:val="FootnoteReference"/>
        </w:rPr>
        <w:footnoteRef/>
      </w:r>
      <w:r>
        <w:t xml:space="preserve"> Dougherty, ‘Searching for answers’</w:t>
      </w:r>
      <w:r w:rsidRPr="00A96B15">
        <w:t>, pp. 39-44.</w:t>
      </w:r>
    </w:p>
  </w:footnote>
  <w:footnote w:id="37">
    <w:p w14:paraId="354E0F5A" w14:textId="1937029F" w:rsidR="0041654B" w:rsidRPr="00A96B15" w:rsidRDefault="0041654B" w:rsidP="000F6FC6">
      <w:pPr>
        <w:pStyle w:val="FootnoteText"/>
      </w:pPr>
      <w:r w:rsidRPr="00A96B15">
        <w:rPr>
          <w:rStyle w:val="FootnoteReference"/>
        </w:rPr>
        <w:footnoteRef/>
      </w:r>
      <w:r w:rsidRPr="00A96B15">
        <w:t xml:space="preserve"> </w:t>
      </w:r>
      <w:r>
        <w:t>Mahony &amp; Sooka, ‘The Truth about the Truth’</w:t>
      </w:r>
      <w:r w:rsidRPr="00A96B15">
        <w:t xml:space="preserve">, </w:t>
      </w:r>
      <w:r>
        <w:t>p</w:t>
      </w:r>
      <w:r w:rsidRPr="00A96B15">
        <w:t>p. 38</w:t>
      </w:r>
      <w:r>
        <w:t>-9</w:t>
      </w:r>
    </w:p>
  </w:footnote>
  <w:footnote w:id="38">
    <w:p w14:paraId="0EAFCF9B" w14:textId="7613BD49" w:rsidR="0041654B" w:rsidRPr="00A96B15" w:rsidRDefault="0041654B" w:rsidP="000F6FC6">
      <w:pPr>
        <w:pStyle w:val="FootnoteText"/>
      </w:pPr>
      <w:r w:rsidRPr="00A96B15">
        <w:rPr>
          <w:rStyle w:val="FootnoteReference"/>
        </w:rPr>
        <w:footnoteRef/>
      </w:r>
      <w:r w:rsidRPr="00A96B15">
        <w:t xml:space="preserve"> Rosalind Shaw, 'Rethinking Truth and Reconciliation commissions: Lessons from Sierra Leone', </w:t>
      </w:r>
      <w:r w:rsidRPr="00A96B15">
        <w:rPr>
          <w:i/>
        </w:rPr>
        <w:t>United States Institute of Peace</w:t>
      </w:r>
      <w:r w:rsidRPr="00A96B15">
        <w:t xml:space="preserve"> </w:t>
      </w:r>
      <w:r w:rsidRPr="00A96B15">
        <w:rPr>
          <w:i/>
        </w:rPr>
        <w:t xml:space="preserve">Special Report </w:t>
      </w:r>
      <w:r w:rsidRPr="00A96B15">
        <w:t xml:space="preserve">(2005), pp. 7-8, available at </w:t>
      </w:r>
      <w:hyperlink r:id="rId6" w:history="1">
        <w:r w:rsidRPr="00A96B15">
          <w:rPr>
            <w:rStyle w:val="Hyperlink"/>
          </w:rPr>
          <w:t>https://www.usip.org/publications/2005/02/rethinking-truth-and-reconciliation-commissions-lessons-sierra-leone</w:t>
        </w:r>
      </w:hyperlink>
      <w:r>
        <w:t xml:space="preserve"> (accessed 16 July 2018); Dougherty, ‘Searching for answers’</w:t>
      </w:r>
      <w:r w:rsidRPr="00A96B15">
        <w:t>, p. 46.</w:t>
      </w:r>
    </w:p>
  </w:footnote>
  <w:footnote w:id="39">
    <w:p w14:paraId="09BC33F8" w14:textId="77777777" w:rsidR="0041654B" w:rsidRPr="00522B85" w:rsidRDefault="0041654B" w:rsidP="000F6FC6">
      <w:pPr>
        <w:spacing w:after="0" w:line="240" w:lineRule="auto"/>
      </w:pPr>
      <w:r w:rsidRPr="00A96B15">
        <w:rPr>
          <w:rStyle w:val="FootnoteReference"/>
        </w:rPr>
        <w:footnoteRef/>
      </w:r>
      <w:r w:rsidRPr="00A96B15">
        <w:t xml:space="preserve"> See also Clara Ramírez-Barat, 'Engaging Children and Youth in Transitional Justice Processes: Guidance for Outreach Programmes', </w:t>
      </w:r>
      <w:r w:rsidRPr="00A96B15">
        <w:rPr>
          <w:i/>
        </w:rPr>
        <w:t xml:space="preserve">International Centre for Transitional Justice </w:t>
      </w:r>
      <w:r w:rsidRPr="00A96B15">
        <w:t xml:space="preserve">(2012), available at </w:t>
      </w:r>
      <w:hyperlink r:id="rId7" w:history="1">
        <w:r w:rsidRPr="00A96B15">
          <w:rPr>
            <w:rStyle w:val="Hyperlink"/>
          </w:rPr>
          <w:t>https://www.ictj.org/sites/default/files/ICTJ-Report-Children-Youth-Outreach-2012.pdf</w:t>
        </w:r>
      </w:hyperlink>
      <w:r w:rsidRPr="00A96B15">
        <w:t xml:space="preserve"> (accessed 16.07.2018); </w:t>
      </w:r>
      <w:r w:rsidRPr="00A96B15">
        <w:rPr>
          <w:i/>
        </w:rPr>
        <w:t>SSSV</w:t>
      </w:r>
      <w:r w:rsidRPr="00A96B15">
        <w:t xml:space="preserve">, </w:t>
      </w:r>
      <w:r>
        <w:t xml:space="preserve">p. </w:t>
      </w:r>
      <w:r w:rsidRPr="00A96B15">
        <w:t>4.</w:t>
      </w:r>
    </w:p>
  </w:footnote>
  <w:footnote w:id="40">
    <w:p w14:paraId="14226F96" w14:textId="77777777" w:rsidR="0041654B" w:rsidRPr="00A96B15" w:rsidRDefault="0041654B" w:rsidP="000F6FC6">
      <w:pPr>
        <w:pStyle w:val="FootnoteText"/>
      </w:pPr>
      <w:r w:rsidRPr="00A96B15">
        <w:rPr>
          <w:rStyle w:val="FootnoteReference"/>
        </w:rPr>
        <w:footnoteRef/>
      </w:r>
      <w:r w:rsidRPr="00A96B15">
        <w:t xml:space="preserve"> </w:t>
      </w:r>
      <w:r w:rsidRPr="00A96B15">
        <w:rPr>
          <w:i/>
        </w:rPr>
        <w:t>SSSV</w:t>
      </w:r>
      <w:r w:rsidRPr="00A96B15">
        <w:t xml:space="preserve">, </w:t>
      </w:r>
      <w:r>
        <w:t xml:space="preserve">p. </w:t>
      </w:r>
      <w:r w:rsidRPr="00A96B15">
        <w:t>4.</w:t>
      </w:r>
    </w:p>
  </w:footnote>
  <w:footnote w:id="41">
    <w:p w14:paraId="081F93B4" w14:textId="77777777" w:rsidR="0041654B" w:rsidRPr="00A96B15" w:rsidRDefault="0041654B" w:rsidP="000F6FC6">
      <w:pPr>
        <w:pStyle w:val="FootnoteText"/>
      </w:pPr>
      <w:r w:rsidRPr="00A96B15">
        <w:rPr>
          <w:rStyle w:val="FootnoteReference"/>
        </w:rPr>
        <w:footnoteRef/>
      </w:r>
      <w:r w:rsidRPr="00A96B15">
        <w:t xml:space="preserve"> </w:t>
      </w:r>
      <w:r w:rsidRPr="00A96B15">
        <w:rPr>
          <w:i/>
        </w:rPr>
        <w:t>SSSV</w:t>
      </w:r>
      <w:r w:rsidRPr="00A96B15">
        <w:t>,</w:t>
      </w:r>
      <w:r w:rsidRPr="00A96B15">
        <w:rPr>
          <w:i/>
        </w:rPr>
        <w:t xml:space="preserve"> </w:t>
      </w:r>
      <w:r>
        <w:t xml:space="preserve">p. </w:t>
      </w:r>
      <w:r w:rsidRPr="00A96B15">
        <w:t>4.</w:t>
      </w:r>
    </w:p>
  </w:footnote>
  <w:footnote w:id="42">
    <w:p w14:paraId="3E721B6F" w14:textId="77777777" w:rsidR="0041654B" w:rsidRPr="00A96B15" w:rsidRDefault="0041654B" w:rsidP="000F6FC6">
      <w:pPr>
        <w:pStyle w:val="FootnoteText"/>
      </w:pPr>
      <w:r w:rsidRPr="00A96B15">
        <w:rPr>
          <w:rStyle w:val="FootnoteReference"/>
        </w:rPr>
        <w:footnoteRef/>
      </w:r>
      <w:r w:rsidRPr="00A96B15">
        <w:t xml:space="preserve"> </w:t>
      </w:r>
      <w:r w:rsidRPr="00A96B15">
        <w:rPr>
          <w:i/>
        </w:rPr>
        <w:t>SSSV</w:t>
      </w:r>
      <w:r w:rsidRPr="00A96B15">
        <w:t xml:space="preserve">, </w:t>
      </w:r>
      <w:r>
        <w:t xml:space="preserve">p. </w:t>
      </w:r>
      <w:r w:rsidRPr="00A96B15">
        <w:t>4.</w:t>
      </w:r>
    </w:p>
  </w:footnote>
  <w:footnote w:id="43">
    <w:p w14:paraId="3A935042" w14:textId="77777777" w:rsidR="0041654B" w:rsidRPr="00A96B15" w:rsidRDefault="0041654B" w:rsidP="000F6FC6">
      <w:pPr>
        <w:pStyle w:val="FootnoteText"/>
      </w:pPr>
      <w:r w:rsidRPr="00A96B15">
        <w:rPr>
          <w:rStyle w:val="FootnoteReference"/>
        </w:rPr>
        <w:footnoteRef/>
      </w:r>
      <w:r w:rsidRPr="00A96B15">
        <w:t xml:space="preserve"> As Hil</w:t>
      </w:r>
      <w:r>
        <w:t>l</w:t>
      </w:r>
      <w:r w:rsidRPr="00A96B15">
        <w:t>ary Chute points out, ‘</w:t>
      </w:r>
      <w:r w:rsidRPr="00A96B15">
        <w:rPr>
          <w:i/>
        </w:rPr>
        <w:t>graphic novel</w:t>
      </w:r>
      <w:r w:rsidRPr="00A96B15">
        <w:t xml:space="preserve"> is often a misnomer. Many fascinating works grouped under this umbrella – including… </w:t>
      </w:r>
      <w:r w:rsidRPr="00A96B15">
        <w:rPr>
          <w:i/>
        </w:rPr>
        <w:t>Maus</w:t>
      </w:r>
      <w:r w:rsidRPr="00A96B15">
        <w:t>, which helped rocket the term into public consciousness – aren’t novels at all: they are rich works of nonfiction’ (emphasis in original). Chute herself suggests the term ‘graphic narrative’; We use the term ‘graphic novel’ here for clarity and familiarity’s sake. Hil</w:t>
      </w:r>
      <w:r>
        <w:t>l</w:t>
      </w:r>
      <w:r w:rsidRPr="00A96B15">
        <w:t xml:space="preserve">ary Chute: ‘Comics as Literature? Reading Graphic Narrative’. </w:t>
      </w:r>
      <w:r w:rsidRPr="00A96B15">
        <w:rPr>
          <w:i/>
        </w:rPr>
        <w:t>PMLA</w:t>
      </w:r>
      <w:r w:rsidRPr="00A96B15">
        <w:t xml:space="preserve"> 123:2 (2008), pp. 452-465. Cf. Ian Gordon: ‘Making comics respectable: how </w:t>
      </w:r>
      <w:r w:rsidRPr="00A96B15">
        <w:rPr>
          <w:i/>
        </w:rPr>
        <w:t>Maus</w:t>
      </w:r>
      <w:r w:rsidRPr="00A96B15">
        <w:t xml:space="preserve"> defined a medium’, in Paul Williams &amp; James Lyons (eds): </w:t>
      </w:r>
      <w:r w:rsidRPr="00A96B15">
        <w:rPr>
          <w:i/>
        </w:rPr>
        <w:t>The Rise of the American Comics Artist: Creators and Contexts</w:t>
      </w:r>
      <w:r w:rsidRPr="00A96B15">
        <w:t xml:space="preserve"> (Jackson: University of Mississippi Press, 2010), pp. 179-193.</w:t>
      </w:r>
    </w:p>
  </w:footnote>
  <w:footnote w:id="44">
    <w:p w14:paraId="407AD323" w14:textId="77777777" w:rsidR="0041654B" w:rsidRPr="00A96B15" w:rsidRDefault="0041654B" w:rsidP="000F6FC6">
      <w:pPr>
        <w:pStyle w:val="FootnoteText"/>
      </w:pPr>
      <w:r w:rsidRPr="00A96B15">
        <w:rPr>
          <w:rStyle w:val="FootnoteReference"/>
        </w:rPr>
        <w:footnoteRef/>
      </w:r>
      <w:r w:rsidRPr="00A96B15">
        <w:t xml:space="preserve"> Art Spiegelman, </w:t>
      </w:r>
      <w:r w:rsidRPr="00A96B15">
        <w:rPr>
          <w:i/>
        </w:rPr>
        <w:t>MetaMaus</w:t>
      </w:r>
      <w:r w:rsidRPr="00A96B15">
        <w:t xml:space="preserve"> (London: Viking, 2011), pp. 22-23, p. 293. Spiegelman began taping his conversations with his father Vladek in 1972, in which year he published a short comic about the Holocaust (also called ‘Maus’) in an Apex Novelties ‘one-shot’ called </w:t>
      </w:r>
      <w:r w:rsidRPr="00A96B15">
        <w:rPr>
          <w:i/>
        </w:rPr>
        <w:t>Funny Aminals</w:t>
      </w:r>
      <w:r w:rsidRPr="00A96B15">
        <w:t xml:space="preserve"> [sic]. Art Spiegelman, ‘Maus’, in Robert Crumb </w:t>
      </w:r>
      <w:r w:rsidRPr="00A96B15">
        <w:rPr>
          <w:i/>
        </w:rPr>
        <w:t>et al</w:t>
      </w:r>
      <w:r w:rsidRPr="00A96B15">
        <w:t xml:space="preserve">. (eds), </w:t>
      </w:r>
      <w:r w:rsidRPr="00A96B15">
        <w:rPr>
          <w:i/>
        </w:rPr>
        <w:t>Funny Aminals</w:t>
      </w:r>
      <w:r w:rsidRPr="00A96B15">
        <w:t xml:space="preserve"> (San Francisco: Apex Novelties, 1972), pp. 9-11.</w:t>
      </w:r>
    </w:p>
  </w:footnote>
  <w:footnote w:id="45">
    <w:p w14:paraId="4302B36A" w14:textId="77777777" w:rsidR="0041654B" w:rsidRPr="00A96B15" w:rsidRDefault="0041654B" w:rsidP="000F6FC6">
      <w:pPr>
        <w:pStyle w:val="FootnoteText"/>
      </w:pPr>
      <w:r w:rsidRPr="00A96B15">
        <w:rPr>
          <w:rStyle w:val="FootnoteReference"/>
        </w:rPr>
        <w:footnoteRef/>
      </w:r>
      <w:r w:rsidRPr="00A96B15">
        <w:t xml:space="preserve"> For the sake of clarity, we use ‘Spiegelman’ to refer to Art Spiegelman the author, and ‘Art’ to refer to Art Spiegelman the character within the text.</w:t>
      </w:r>
    </w:p>
  </w:footnote>
  <w:footnote w:id="46">
    <w:p w14:paraId="59A9D135" w14:textId="77777777" w:rsidR="0041654B" w:rsidRPr="00A96B15" w:rsidRDefault="0041654B" w:rsidP="000F6FC6">
      <w:pPr>
        <w:pStyle w:val="FootnoteText"/>
      </w:pPr>
      <w:r w:rsidRPr="00A96B15">
        <w:rPr>
          <w:rStyle w:val="FootnoteReference"/>
        </w:rPr>
        <w:footnoteRef/>
      </w:r>
      <w:r>
        <w:t xml:space="preserve"> </w:t>
      </w:r>
      <w:r w:rsidRPr="00A96B15">
        <w:t xml:space="preserve">Marianne Hirsch, ‘Family Pictures: </w:t>
      </w:r>
      <w:r w:rsidRPr="00A96B15">
        <w:rPr>
          <w:i/>
        </w:rPr>
        <w:t>Maus</w:t>
      </w:r>
      <w:r w:rsidRPr="00A96B15">
        <w:t xml:space="preserve">, Mourning, and Post-Memory’, </w:t>
      </w:r>
      <w:r w:rsidRPr="00A96B15">
        <w:rPr>
          <w:i/>
        </w:rPr>
        <w:t>Discourse</w:t>
      </w:r>
      <w:r w:rsidRPr="00A96B15">
        <w:t xml:space="preserve"> 15:2 (1992), pp. 3-29; </w:t>
      </w:r>
      <w:r>
        <w:t xml:space="preserve">see also </w:t>
      </w:r>
      <w:r w:rsidRPr="00A96B15">
        <w:t xml:space="preserve">James Young, </w:t>
      </w:r>
      <w:r w:rsidRPr="00A96B15">
        <w:rPr>
          <w:i/>
        </w:rPr>
        <w:t>At Memory’s Edge: After-Images of the Holocaust in Contemporary Art and Architecture</w:t>
      </w:r>
      <w:r w:rsidRPr="00A96B15">
        <w:t xml:space="preserve"> (New Haven: Yale University Press, 2000).</w:t>
      </w:r>
    </w:p>
  </w:footnote>
  <w:footnote w:id="47">
    <w:p w14:paraId="62CBC714" w14:textId="77777777" w:rsidR="0041654B" w:rsidRPr="00D841E6" w:rsidRDefault="0041654B" w:rsidP="000F6FC6">
      <w:pPr>
        <w:pStyle w:val="FootnoteText"/>
      </w:pPr>
      <w:r>
        <w:rPr>
          <w:rStyle w:val="FootnoteReference"/>
        </w:rPr>
        <w:footnoteRef/>
      </w:r>
      <w:r>
        <w:t xml:space="preserve"> James Young, ‘The Holocaust as Vicarious Past: Art Spiegelman’s “Maus” and the Afterimages of History’, </w:t>
      </w:r>
      <w:r>
        <w:rPr>
          <w:i/>
        </w:rPr>
        <w:t>Critical Inquiry</w:t>
      </w:r>
      <w:r>
        <w:t xml:space="preserve"> 24:3 (1998), pp. 666-699.</w:t>
      </w:r>
    </w:p>
  </w:footnote>
  <w:footnote w:id="48">
    <w:p w14:paraId="3EA12887" w14:textId="733F4A67" w:rsidR="0041654B" w:rsidRPr="00F063F3" w:rsidRDefault="0041654B" w:rsidP="000F6FC6">
      <w:pPr>
        <w:pStyle w:val="FootnoteText"/>
      </w:pPr>
      <w:r>
        <w:rPr>
          <w:rStyle w:val="FootnoteReference"/>
        </w:rPr>
        <w:footnoteRef/>
      </w:r>
      <w:r>
        <w:t xml:space="preserve"> Young , ‘The Holocaust as Vicarious Past’, pp. 672-675. For a discussion of ‘closure’ – the interpretive work required to extract meaning from a series of static, usually demarcated panels, see </w:t>
      </w:r>
      <w:r w:rsidRPr="00A96B15">
        <w:t xml:space="preserve">Scott McCloud, </w:t>
      </w:r>
      <w:r w:rsidRPr="00A96B15">
        <w:rPr>
          <w:i/>
        </w:rPr>
        <w:t>Understanding Comics: The Invisible Art</w:t>
      </w:r>
      <w:r w:rsidRPr="00A96B15">
        <w:t xml:space="preserve"> (New York: HarperCollins, 1993)</w:t>
      </w:r>
      <w:r>
        <w:t>, pp. 60-93. As Hillary Chute similarly argues, ‘</w:t>
      </w:r>
      <w:r w:rsidRPr="006F31B4">
        <w:rPr>
          <w:i/>
        </w:rPr>
        <w:t>Maus</w:t>
      </w:r>
      <w:r>
        <w:t xml:space="preserve"> demonstrates how the vocabulary of comics – the narrative shapes its grammar offers – along with its visual surface, the extrasemantic layer of its drawn lines, conveys information while at the same time accounting for the excess (or absence) of signification and reference’. Chute, </w:t>
      </w:r>
      <w:r>
        <w:rPr>
          <w:i/>
        </w:rPr>
        <w:t>Disaster Drawn</w:t>
      </w:r>
      <w:r>
        <w:t>, p. 178.</w:t>
      </w:r>
    </w:p>
  </w:footnote>
  <w:footnote w:id="49">
    <w:p w14:paraId="479C89DA" w14:textId="10B7BEBC" w:rsidR="0041654B" w:rsidRPr="00A96B15" w:rsidRDefault="0041654B" w:rsidP="000F6FC6">
      <w:pPr>
        <w:pStyle w:val="FootnoteText"/>
      </w:pPr>
      <w:r w:rsidRPr="00A96B15">
        <w:rPr>
          <w:rStyle w:val="FootnoteReference"/>
        </w:rPr>
        <w:footnoteRef/>
      </w:r>
      <w:r w:rsidRPr="00A96B15">
        <w:t xml:space="preserve"> Jean-Phillipe Stassen, </w:t>
      </w:r>
      <w:r w:rsidRPr="00A96B15">
        <w:rPr>
          <w:i/>
        </w:rPr>
        <w:t>Deogratias: a tale of Rwanda</w:t>
      </w:r>
      <w:r w:rsidRPr="00A96B15">
        <w:t xml:space="preserve"> (New York: Roaring Brook Press, 2000); Joe Sacco, </w:t>
      </w:r>
      <w:r w:rsidRPr="00A96B15">
        <w:rPr>
          <w:i/>
        </w:rPr>
        <w:t xml:space="preserve">Safe Area Gorazade: the War in Eastern Bosnia, 1992-1995 </w:t>
      </w:r>
      <w:r w:rsidRPr="00A96B15">
        <w:t xml:space="preserve">(Seattle: Fantagraphic Books, 2001); cf. Chris Boge, ‘Crimes Against (Super)humanity: Graphic Forms of Justice and Governance’, in Thomas Giddens (ed.): </w:t>
      </w:r>
      <w:r w:rsidRPr="00A96B15">
        <w:rPr>
          <w:i/>
        </w:rPr>
        <w:t>Graphic Justice: Intersections of Comics and Law</w:t>
      </w:r>
      <w:r w:rsidRPr="00A96B15">
        <w:t xml:space="preserve"> (Abingdon &amp; NY: Routledge, 2015), pp. 219-235; Jérémie Gilbert &amp; David Keane: ‘Graphic Reporting: Human Rights Violations through the Lens of Graphic Novels’, in Thomas Giddens (ed.): </w:t>
      </w:r>
      <w:r w:rsidRPr="00A96B15">
        <w:rPr>
          <w:i/>
        </w:rPr>
        <w:t>Graphic Justice: Intersections of Comics and Law</w:t>
      </w:r>
      <w:r w:rsidRPr="00A96B15">
        <w:t xml:space="preserve"> (Abingdon &amp; NY: Routledge, 2015), pp. 236-254; Marnie K. Jorenby: ‘Comics and War: Transforming Perceptions of the Other through a Constructive Learning Experience’, </w:t>
      </w:r>
      <w:r w:rsidRPr="00A96B15">
        <w:rPr>
          <w:i/>
        </w:rPr>
        <w:t xml:space="preserve">Journal of Peace Education </w:t>
      </w:r>
      <w:r w:rsidRPr="00A96B15">
        <w:t xml:space="preserve">4:2 (2007), pp. 149-162. </w:t>
      </w:r>
    </w:p>
  </w:footnote>
  <w:footnote w:id="50">
    <w:p w14:paraId="5B613C9F" w14:textId="77777777" w:rsidR="0041654B" w:rsidRPr="00A96B15" w:rsidRDefault="0041654B" w:rsidP="000F6FC6">
      <w:pPr>
        <w:pStyle w:val="FootnoteText"/>
      </w:pPr>
      <w:r w:rsidRPr="00A96B15">
        <w:rPr>
          <w:rStyle w:val="FootnoteReference"/>
        </w:rPr>
        <w:footnoteRef/>
      </w:r>
      <w:r w:rsidRPr="00A96B15">
        <w:t xml:space="preserve"> </w:t>
      </w:r>
      <w:r w:rsidRPr="00A96B15">
        <w:rPr>
          <w:i/>
        </w:rPr>
        <w:t>SSSV</w:t>
      </w:r>
      <w:r w:rsidRPr="00A96B15">
        <w:t>, p. 5.</w:t>
      </w:r>
    </w:p>
  </w:footnote>
  <w:footnote w:id="51">
    <w:p w14:paraId="3C5F8417" w14:textId="40A0A35D" w:rsidR="0041654B" w:rsidRPr="00E93AF7" w:rsidRDefault="0041654B" w:rsidP="000F6FC6">
      <w:pPr>
        <w:pStyle w:val="FootnoteText"/>
      </w:pPr>
      <w:r>
        <w:rPr>
          <w:rStyle w:val="FootnoteReference"/>
        </w:rPr>
        <w:footnoteRef/>
      </w:r>
      <w:r>
        <w:t xml:space="preserve"> The circumstances surrounding </w:t>
      </w:r>
      <w:r>
        <w:rPr>
          <w:i/>
        </w:rPr>
        <w:t>Maus</w:t>
      </w:r>
      <w:r>
        <w:t xml:space="preserve">’ publication can be found in Spiegelman, </w:t>
      </w:r>
      <w:r>
        <w:rPr>
          <w:i/>
        </w:rPr>
        <w:t>MetaMaus</w:t>
      </w:r>
      <w:r>
        <w:t>, pp. 76-79.</w:t>
      </w:r>
    </w:p>
  </w:footnote>
  <w:footnote w:id="52">
    <w:p w14:paraId="375B4883" w14:textId="1FCF71FF" w:rsidR="0041654B" w:rsidRDefault="0041654B" w:rsidP="000F6FC6">
      <w:pPr>
        <w:pStyle w:val="FootnoteText"/>
      </w:pPr>
      <w:r>
        <w:rPr>
          <w:rStyle w:val="FootnoteReference"/>
        </w:rPr>
        <w:footnoteRef/>
      </w:r>
      <w:r>
        <w:t xml:space="preserve"> </w:t>
      </w:r>
      <w:r w:rsidR="0058617D" w:rsidRPr="00A96B15">
        <w:rPr>
          <w:lang w:val="en-US"/>
        </w:rPr>
        <w:t xml:space="preserve">Art Spiegelman: </w:t>
      </w:r>
      <w:r w:rsidR="0058617D" w:rsidRPr="00A96B15">
        <w:rPr>
          <w:i/>
          <w:lang w:val="en-US"/>
        </w:rPr>
        <w:t>The Complete Maus</w:t>
      </w:r>
      <w:r w:rsidR="0058617D" w:rsidRPr="00A96B15">
        <w:rPr>
          <w:lang w:val="en-US"/>
        </w:rPr>
        <w:t xml:space="preserve"> (London: Penguin, 2003)</w:t>
      </w:r>
      <w:r w:rsidR="0058617D" w:rsidRPr="00A96B15">
        <w:t xml:space="preserve">, </w:t>
      </w:r>
      <w:r w:rsidR="0058617D" w:rsidRPr="00A96B15">
        <w:rPr>
          <w:lang w:val="en-US"/>
        </w:rPr>
        <w:t>p. 201.</w:t>
      </w:r>
    </w:p>
  </w:footnote>
  <w:footnote w:id="53">
    <w:p w14:paraId="43F9A17B" w14:textId="5B20B00D" w:rsidR="0041654B" w:rsidRDefault="0041654B" w:rsidP="000F6FC6">
      <w:pPr>
        <w:pStyle w:val="FootnoteText"/>
      </w:pPr>
      <w:r>
        <w:rPr>
          <w:rStyle w:val="FootnoteReference"/>
        </w:rPr>
        <w:footnoteRef/>
      </w:r>
      <w:r>
        <w:t xml:space="preserve"> E.g. as outlined and discussed by Möller, who explores the visual politics of ‘entertainment’ media – including comics – to debates about spectatorship and the witnessing of war and atrocity.. Möller, </w:t>
      </w:r>
      <w:r>
        <w:rPr>
          <w:i/>
        </w:rPr>
        <w:t>Visual Peace</w:t>
      </w:r>
      <w:r>
        <w:t>, pp. 163-177.</w:t>
      </w:r>
    </w:p>
  </w:footnote>
  <w:footnote w:id="54">
    <w:p w14:paraId="5AB4C7FE" w14:textId="77777777" w:rsidR="0041654B" w:rsidRPr="00A96B15" w:rsidRDefault="0041654B" w:rsidP="000F6FC6">
      <w:pPr>
        <w:pStyle w:val="FootnoteText"/>
        <w:rPr>
          <w:lang w:val="en-US"/>
        </w:rPr>
      </w:pPr>
      <w:r w:rsidRPr="00A96B15">
        <w:rPr>
          <w:rStyle w:val="FootnoteReference"/>
        </w:rPr>
        <w:footnoteRef/>
      </w:r>
      <w:r w:rsidRPr="00A96B15">
        <w:t xml:space="preserve"> </w:t>
      </w:r>
      <w:r w:rsidRPr="00A96B15">
        <w:rPr>
          <w:i/>
        </w:rPr>
        <w:t>SSSV</w:t>
      </w:r>
      <w:r w:rsidRPr="00A96B15">
        <w:t>, p. 119.</w:t>
      </w:r>
    </w:p>
  </w:footnote>
  <w:footnote w:id="55">
    <w:p w14:paraId="64695315" w14:textId="77777777" w:rsidR="0041654B" w:rsidRPr="00A96B15" w:rsidRDefault="0041654B" w:rsidP="000F6FC6">
      <w:pPr>
        <w:pStyle w:val="FootnoteText"/>
        <w:rPr>
          <w:lang w:val="en-US"/>
        </w:rPr>
      </w:pPr>
      <w:r w:rsidRPr="00A96B15">
        <w:rPr>
          <w:rStyle w:val="FootnoteReference"/>
        </w:rPr>
        <w:footnoteRef/>
      </w:r>
      <w:r w:rsidRPr="00A96B15">
        <w:t xml:space="preserve"> Michael </w:t>
      </w:r>
      <w:r w:rsidRPr="00A96B15">
        <w:rPr>
          <w:lang w:val="en-US"/>
        </w:rPr>
        <w:t xml:space="preserve">Dillon, ‘The Sovereign and the Stranger’, in Jenny Edkins et al., eds, </w:t>
      </w:r>
      <w:r w:rsidRPr="00A96B15">
        <w:rPr>
          <w:i/>
          <w:lang w:val="en-US"/>
        </w:rPr>
        <w:t>Sovereignty and Subjectivity</w:t>
      </w:r>
      <w:r w:rsidRPr="00A96B15">
        <w:rPr>
          <w:lang w:val="en-US"/>
        </w:rPr>
        <w:t xml:space="preserve"> (Boulder: Lynne Rienner, 1999), p. 117. </w:t>
      </w:r>
    </w:p>
  </w:footnote>
  <w:footnote w:id="56">
    <w:p w14:paraId="37A5377A" w14:textId="77777777" w:rsidR="0041654B" w:rsidRPr="00FE36A3" w:rsidRDefault="0041654B" w:rsidP="000F6FC6">
      <w:pPr>
        <w:pStyle w:val="FootnoteText"/>
      </w:pPr>
      <w:r>
        <w:rPr>
          <w:rStyle w:val="FootnoteReference"/>
        </w:rPr>
        <w:footnoteRef/>
      </w:r>
      <w:r>
        <w:t xml:space="preserve"> Oliver P. Richmond, ‘Introduction’, in O. Richmond, ed., </w:t>
      </w:r>
      <w:r>
        <w:rPr>
          <w:i/>
        </w:rPr>
        <w:t>Palgrave Advances in Peacebuilding: Critical Developments and Approaches</w:t>
      </w:r>
      <w:r>
        <w:t xml:space="preserve"> (Basingstoke: Palgrave MacMillan, 2010), p. 2.</w:t>
      </w:r>
    </w:p>
  </w:footnote>
  <w:footnote w:id="57">
    <w:p w14:paraId="584E1DE8" w14:textId="79E07E9B" w:rsidR="0041654B" w:rsidRPr="00A96B15" w:rsidRDefault="0041654B" w:rsidP="000F6FC6">
      <w:pPr>
        <w:pStyle w:val="FootnoteText"/>
        <w:rPr>
          <w:lang w:val="en-US"/>
        </w:rPr>
      </w:pPr>
      <w:r w:rsidRPr="00A96B15">
        <w:rPr>
          <w:rStyle w:val="FootnoteReference"/>
        </w:rPr>
        <w:footnoteRef/>
      </w:r>
      <w:r>
        <w:t xml:space="preserve"> Millar, ‘“Our Brothers”’, </w:t>
      </w:r>
      <w:r w:rsidRPr="00A96B15">
        <w:t xml:space="preserve">p. </w:t>
      </w:r>
      <w:r>
        <w:t xml:space="preserve">724. </w:t>
      </w:r>
    </w:p>
  </w:footnote>
  <w:footnote w:id="58">
    <w:p w14:paraId="47DE3E46" w14:textId="0541C9F5" w:rsidR="0041654B" w:rsidRPr="007663CC" w:rsidRDefault="0041654B" w:rsidP="000F6FC6">
      <w:pPr>
        <w:pStyle w:val="FootnoteText"/>
        <w:rPr>
          <w:lang w:val="en-GB"/>
        </w:rPr>
      </w:pPr>
      <w:r>
        <w:rPr>
          <w:rStyle w:val="FootnoteReference"/>
        </w:rPr>
        <w:footnoteRef/>
      </w:r>
      <w:r>
        <w:t xml:space="preserve"> Millar, ‘“Our Brothers”’</w:t>
      </w:r>
      <w:r w:rsidRPr="00A96B15">
        <w:t xml:space="preserve">, </w:t>
      </w:r>
      <w:r>
        <w:t>pp. 724-5.</w:t>
      </w:r>
    </w:p>
  </w:footnote>
  <w:footnote w:id="59">
    <w:p w14:paraId="3407D9F9" w14:textId="77777777" w:rsidR="0041654B" w:rsidRPr="00A96B15" w:rsidRDefault="0041654B" w:rsidP="000F6FC6">
      <w:pPr>
        <w:pStyle w:val="FootnoteText"/>
        <w:rPr>
          <w:lang w:val="en-US"/>
        </w:rPr>
      </w:pPr>
      <w:r w:rsidRPr="00A96B15">
        <w:rPr>
          <w:rStyle w:val="FootnoteReference"/>
        </w:rPr>
        <w:footnoteRef/>
      </w:r>
      <w:r w:rsidRPr="00A96B15">
        <w:t xml:space="preserve"> </w:t>
      </w:r>
      <w:r w:rsidRPr="00A96B15">
        <w:rPr>
          <w:i/>
          <w:lang w:val="en-US"/>
        </w:rPr>
        <w:t>SSSV</w:t>
      </w:r>
      <w:r w:rsidRPr="00A96B15">
        <w:rPr>
          <w:lang w:val="en-US"/>
        </w:rPr>
        <w:t>, p. 42, pp. 110-112.</w:t>
      </w:r>
    </w:p>
  </w:footnote>
  <w:footnote w:id="60">
    <w:p w14:paraId="2C41F76E" w14:textId="77777777" w:rsidR="0041654B" w:rsidRPr="00A96B15" w:rsidRDefault="0041654B" w:rsidP="000F6FC6">
      <w:pPr>
        <w:pStyle w:val="FootnoteText"/>
      </w:pPr>
      <w:r w:rsidRPr="00A96B15">
        <w:rPr>
          <w:rStyle w:val="FootnoteReference"/>
        </w:rPr>
        <w:footnoteRef/>
      </w:r>
      <w:r w:rsidRPr="00A96B15">
        <w:t xml:space="preserve"> Alcinda Honwana, </w:t>
      </w:r>
      <w:r w:rsidRPr="00A96B15">
        <w:rPr>
          <w:i/>
        </w:rPr>
        <w:t>Child Soldiers in Africa</w:t>
      </w:r>
      <w:r w:rsidRPr="00A96B15">
        <w:t xml:space="preserve"> (Philadelphia: University of Pennsylvania Press, 2006), p. 69; Pieter Brits &amp; Michelle Nel, ‘The Criminal Liability of Child Soldiers: In Search of a Standard’, </w:t>
      </w:r>
      <w:r w:rsidRPr="00A96B15">
        <w:rPr>
          <w:i/>
        </w:rPr>
        <w:t>Journal of Psychology in Africa</w:t>
      </w:r>
      <w:r w:rsidRPr="00A96B15">
        <w:t xml:space="preserve"> 22:3 (2012), pp. 467-472.</w:t>
      </w:r>
    </w:p>
  </w:footnote>
  <w:footnote w:id="61">
    <w:p w14:paraId="79BE05DB" w14:textId="77777777" w:rsidR="0041654B" w:rsidRPr="00A96B15" w:rsidRDefault="0041654B" w:rsidP="000F6FC6">
      <w:pPr>
        <w:pStyle w:val="FootnoteText"/>
      </w:pPr>
      <w:r w:rsidRPr="00A96B15">
        <w:rPr>
          <w:rStyle w:val="FootnoteReference"/>
        </w:rPr>
        <w:footnoteRef/>
      </w:r>
      <w:r w:rsidRPr="00A96B15">
        <w:t xml:space="preserve"> Jennifer Leaning et al, ‘Sexual Violence during War and Forced Migration’, in Martin et al (eds): </w:t>
      </w:r>
      <w:r w:rsidRPr="00A96B15">
        <w:rPr>
          <w:i/>
        </w:rPr>
        <w:t>Women, Migration, and Conflict: Breaking a Deadly Cycle</w:t>
      </w:r>
      <w:r w:rsidRPr="00A96B15">
        <w:t xml:space="preserve"> (London: Springer, 2009), pp. 173–199; Megan MacKenzie, </w:t>
      </w:r>
      <w:r w:rsidRPr="00A96B15">
        <w:rPr>
          <w:i/>
        </w:rPr>
        <w:t xml:space="preserve">Female Soldiers in Sierra Leone </w:t>
      </w:r>
      <w:r w:rsidRPr="00A96B15">
        <w:t xml:space="preserve">(New York: NYU Press, 2012), pp. 110-111; Nirit Ben-Ari &amp; Ernest Harsch, ‘Sexual Violence, an “Invisible War Crime”’, </w:t>
      </w:r>
      <w:r w:rsidRPr="00A96B15">
        <w:rPr>
          <w:i/>
        </w:rPr>
        <w:t>Africa Renewal</w:t>
      </w:r>
      <w:r w:rsidRPr="00A96B15">
        <w:t xml:space="preserve"> 18:4 (2005), p. 1.</w:t>
      </w:r>
    </w:p>
  </w:footnote>
  <w:footnote w:id="62">
    <w:p w14:paraId="09F3AD08" w14:textId="77777777" w:rsidR="0041654B" w:rsidRPr="00A96B15" w:rsidRDefault="0041654B" w:rsidP="000F6FC6">
      <w:pPr>
        <w:pStyle w:val="FootnoteText"/>
        <w:rPr>
          <w:highlight w:val="yellow"/>
          <w:lang w:val="en-GB"/>
        </w:rPr>
      </w:pPr>
      <w:r w:rsidRPr="00A96B15">
        <w:rPr>
          <w:rStyle w:val="FootnoteReference"/>
        </w:rPr>
        <w:footnoteRef/>
      </w:r>
      <w:r w:rsidRPr="00A96B15">
        <w:t xml:space="preserve"> </w:t>
      </w:r>
      <w:r w:rsidRPr="00A96B15">
        <w:rPr>
          <w:i/>
          <w:lang w:val="en-GB"/>
        </w:rPr>
        <w:t>SSSV</w:t>
      </w:r>
      <w:r w:rsidRPr="00A96B15">
        <w:rPr>
          <w:lang w:val="en-GB"/>
        </w:rPr>
        <w:t xml:space="preserve">, pp. 93-5. </w:t>
      </w:r>
    </w:p>
  </w:footnote>
  <w:footnote w:id="63">
    <w:p w14:paraId="7764D0A9" w14:textId="0F5512FE" w:rsidR="006106AD" w:rsidRDefault="006106AD">
      <w:pPr>
        <w:pStyle w:val="FootnoteText"/>
      </w:pPr>
      <w:r>
        <w:rPr>
          <w:rStyle w:val="FootnoteReference"/>
        </w:rPr>
        <w:footnoteRef/>
      </w:r>
      <w:r>
        <w:t xml:space="preserve"> </w:t>
      </w:r>
      <w:r>
        <w:rPr>
          <w:rFonts w:ascii="Calibri" w:eastAsia="Times New Roman" w:hAnsi="Calibri" w:cs="Calibri"/>
          <w:color w:val="000000"/>
        </w:rPr>
        <w:t xml:space="preserve">Although we secured conditional permission to reproduce parts of </w:t>
      </w:r>
      <w:r w:rsidRPr="00312579">
        <w:rPr>
          <w:rFonts w:ascii="Calibri" w:eastAsia="Times New Roman" w:hAnsi="Calibri" w:cs="Calibri"/>
          <w:i/>
          <w:color w:val="000000"/>
        </w:rPr>
        <w:t>Maus</w:t>
      </w:r>
      <w:r>
        <w:rPr>
          <w:rFonts w:ascii="Calibri" w:eastAsia="Times New Roman" w:hAnsi="Calibri" w:cs="Calibri"/>
          <w:color w:val="000000"/>
        </w:rPr>
        <w:t xml:space="preserve"> for this article, we were unable to negotiate permission in perpetuity, as required by </w:t>
      </w:r>
      <w:r>
        <w:rPr>
          <w:rFonts w:ascii="Calibri" w:eastAsia="Times New Roman" w:hAnsi="Calibri" w:cs="Calibri"/>
          <w:i/>
          <w:color w:val="000000"/>
        </w:rPr>
        <w:t xml:space="preserve">RIS </w:t>
      </w:r>
      <w:r>
        <w:rPr>
          <w:rFonts w:ascii="Calibri" w:eastAsia="Times New Roman" w:hAnsi="Calibri" w:cs="Calibri"/>
          <w:color w:val="000000"/>
        </w:rPr>
        <w:t>and CUP.</w:t>
      </w:r>
    </w:p>
  </w:footnote>
  <w:footnote w:id="64">
    <w:p w14:paraId="6441B2CB" w14:textId="55435DC1" w:rsidR="0041654B" w:rsidRPr="00A96B15" w:rsidRDefault="0041654B" w:rsidP="000F6FC6">
      <w:pPr>
        <w:pStyle w:val="FootnoteText"/>
        <w:rPr>
          <w:lang w:val="en-US"/>
        </w:rPr>
      </w:pPr>
      <w:r w:rsidRPr="00A96B15">
        <w:rPr>
          <w:rStyle w:val="FootnoteReference"/>
        </w:rPr>
        <w:footnoteRef/>
      </w:r>
      <w:r>
        <w:t xml:space="preserve"> Cf. Spiegelman, </w:t>
      </w:r>
      <w:r>
        <w:rPr>
          <w:i/>
        </w:rPr>
        <w:t>MetaMaus</w:t>
      </w:r>
      <w:r w:rsidRPr="00A96B15">
        <w:t>, pp. 113-114.</w:t>
      </w:r>
    </w:p>
  </w:footnote>
  <w:footnote w:id="65">
    <w:p w14:paraId="4774FA00" w14:textId="6FF32215" w:rsidR="0041654B" w:rsidRPr="00A96B15" w:rsidRDefault="0041654B" w:rsidP="000F6FC6">
      <w:pPr>
        <w:pStyle w:val="FootnoteText"/>
        <w:rPr>
          <w:lang w:val="en-US"/>
        </w:rPr>
      </w:pPr>
      <w:r w:rsidRPr="00A96B15">
        <w:rPr>
          <w:rStyle w:val="FootnoteReference"/>
        </w:rPr>
        <w:footnoteRef/>
      </w:r>
      <w:r w:rsidRPr="00A96B15">
        <w:t xml:space="preserve"> </w:t>
      </w:r>
      <w:r w:rsidR="0058617D">
        <w:t xml:space="preserve">Spiegelman, </w:t>
      </w:r>
      <w:r w:rsidR="0058617D">
        <w:rPr>
          <w:i/>
        </w:rPr>
        <w:t>The Complete Maus</w:t>
      </w:r>
      <w:r w:rsidR="0058617D" w:rsidRPr="00A96B15">
        <w:t xml:space="preserve">, </w:t>
      </w:r>
      <w:r w:rsidRPr="00A96B15">
        <w:rPr>
          <w:lang w:val="en-US"/>
        </w:rPr>
        <w:t>p. 171, pp. 201-205.</w:t>
      </w:r>
    </w:p>
  </w:footnote>
  <w:footnote w:id="66">
    <w:p w14:paraId="6DA7AD2F" w14:textId="013F31EE" w:rsidR="0041654B" w:rsidRPr="00A96B15" w:rsidRDefault="0041654B" w:rsidP="000F6FC6">
      <w:pPr>
        <w:pStyle w:val="FootnoteText"/>
        <w:rPr>
          <w:lang w:val="en-US"/>
        </w:rPr>
      </w:pPr>
      <w:r w:rsidRPr="00A96B15">
        <w:rPr>
          <w:rStyle w:val="FootnoteReference"/>
        </w:rPr>
        <w:footnoteRef/>
      </w:r>
      <w:r w:rsidRPr="00A96B15">
        <w:t xml:space="preserve"> </w:t>
      </w:r>
      <w:r>
        <w:rPr>
          <w:lang w:val="en-US"/>
        </w:rPr>
        <w:t xml:space="preserve">Spiegelman, </w:t>
      </w:r>
      <w:r>
        <w:rPr>
          <w:i/>
          <w:lang w:val="en-US"/>
        </w:rPr>
        <w:t>MetaMaus</w:t>
      </w:r>
      <w:r w:rsidRPr="00A96B15">
        <w:rPr>
          <w:lang w:val="en-US"/>
        </w:rPr>
        <w:t>, pp. 119-120.</w:t>
      </w:r>
    </w:p>
  </w:footnote>
  <w:footnote w:id="67">
    <w:p w14:paraId="54ABE673" w14:textId="6BC91F89" w:rsidR="0041654B" w:rsidRDefault="0041654B" w:rsidP="000F6FC6">
      <w:pPr>
        <w:pStyle w:val="FootnoteText"/>
      </w:pPr>
      <w:r>
        <w:rPr>
          <w:rStyle w:val="FootnoteReference"/>
        </w:rPr>
        <w:footnoteRef/>
      </w:r>
      <w:r>
        <w:t xml:space="preserve"> Chute, </w:t>
      </w:r>
      <w:r>
        <w:rPr>
          <w:i/>
        </w:rPr>
        <w:t>Disaster Drawn</w:t>
      </w:r>
      <w:r>
        <w:t>, p. 117, p. 156.</w:t>
      </w:r>
    </w:p>
  </w:footnote>
  <w:footnote w:id="68">
    <w:p w14:paraId="61B4A5B6" w14:textId="4430A925" w:rsidR="0041654B" w:rsidRPr="00A96B15" w:rsidRDefault="0041654B" w:rsidP="000F6FC6">
      <w:pPr>
        <w:pStyle w:val="FootnoteText"/>
        <w:rPr>
          <w:lang w:val="en-US"/>
        </w:rPr>
      </w:pPr>
      <w:r w:rsidRPr="00A96B15">
        <w:rPr>
          <w:rStyle w:val="FootnoteReference"/>
        </w:rPr>
        <w:footnoteRef/>
      </w:r>
      <w:r w:rsidRPr="00A96B15">
        <w:t xml:space="preserve"> </w:t>
      </w:r>
      <w:r>
        <w:rPr>
          <w:lang w:val="en-US"/>
        </w:rPr>
        <w:t xml:space="preserve">Spiegelman, </w:t>
      </w:r>
      <w:r>
        <w:rPr>
          <w:i/>
          <w:lang w:val="en-US"/>
        </w:rPr>
        <w:t>The Complete Maus</w:t>
      </w:r>
      <w:r w:rsidRPr="00A96B15">
        <w:rPr>
          <w:lang w:val="en-US"/>
        </w:rPr>
        <w:t>, p. 111.</w:t>
      </w:r>
    </w:p>
  </w:footnote>
  <w:footnote w:id="69">
    <w:p w14:paraId="6A463272" w14:textId="6DBC405D" w:rsidR="0041654B" w:rsidRPr="00A96B15" w:rsidRDefault="0041654B" w:rsidP="000F6FC6">
      <w:pPr>
        <w:pStyle w:val="FootnoteText"/>
        <w:rPr>
          <w:lang w:val="en-US"/>
        </w:rPr>
      </w:pPr>
      <w:r w:rsidRPr="00A96B15">
        <w:rPr>
          <w:rStyle w:val="FootnoteReference"/>
        </w:rPr>
        <w:footnoteRef/>
      </w:r>
      <w:r w:rsidRPr="00A96B15">
        <w:t xml:space="preserve"> </w:t>
      </w:r>
      <w:r>
        <w:rPr>
          <w:lang w:val="en-US"/>
        </w:rPr>
        <w:t xml:space="preserve">Spiegelman, </w:t>
      </w:r>
      <w:r>
        <w:rPr>
          <w:i/>
          <w:lang w:val="en-US"/>
        </w:rPr>
        <w:t>The Complete Maus</w:t>
      </w:r>
      <w:r w:rsidRPr="00A96B15">
        <w:rPr>
          <w:lang w:val="en-US"/>
        </w:rPr>
        <w:t>, p. 296.</w:t>
      </w:r>
    </w:p>
  </w:footnote>
  <w:footnote w:id="70">
    <w:p w14:paraId="220A3EDF" w14:textId="77777777" w:rsidR="0041654B" w:rsidRPr="00A96B15" w:rsidRDefault="0041654B" w:rsidP="000F6FC6">
      <w:pPr>
        <w:pStyle w:val="FootnoteText"/>
      </w:pPr>
      <w:r w:rsidRPr="00A96B15">
        <w:rPr>
          <w:rStyle w:val="FootnoteReference"/>
        </w:rPr>
        <w:footnoteRef/>
      </w:r>
      <w:r w:rsidRPr="00A96B15">
        <w:t xml:space="preserve"> </w:t>
      </w:r>
      <w:r w:rsidRPr="00A96B15">
        <w:rPr>
          <w:i/>
        </w:rPr>
        <w:t>SSSV</w:t>
      </w:r>
      <w:r w:rsidRPr="00A96B15">
        <w:t>, p. 9.</w:t>
      </w:r>
    </w:p>
  </w:footnote>
  <w:footnote w:id="71">
    <w:p w14:paraId="7E1AA35C" w14:textId="77777777" w:rsidR="0041654B" w:rsidRPr="00A96B15" w:rsidRDefault="0041654B" w:rsidP="000F6FC6">
      <w:pPr>
        <w:pStyle w:val="FootnoteText"/>
      </w:pPr>
      <w:r w:rsidRPr="00A96B15">
        <w:rPr>
          <w:rStyle w:val="FootnoteReference"/>
        </w:rPr>
        <w:footnoteRef/>
      </w:r>
      <w:r w:rsidRPr="00A96B15">
        <w:t xml:space="preserve"> </w:t>
      </w:r>
      <w:r w:rsidRPr="00A96B15">
        <w:rPr>
          <w:i/>
        </w:rPr>
        <w:t>SSSV</w:t>
      </w:r>
      <w:r w:rsidRPr="00A96B15">
        <w:t>, pp. 9-11.</w:t>
      </w:r>
    </w:p>
  </w:footnote>
  <w:footnote w:id="72">
    <w:p w14:paraId="5EFA0305" w14:textId="77777777" w:rsidR="0041654B" w:rsidRPr="00A96B15" w:rsidRDefault="0041654B" w:rsidP="000F6FC6">
      <w:pPr>
        <w:pStyle w:val="FootnoteText"/>
      </w:pPr>
      <w:r w:rsidRPr="00A96B15">
        <w:rPr>
          <w:rStyle w:val="FootnoteReference"/>
        </w:rPr>
        <w:footnoteRef/>
      </w:r>
      <w:r w:rsidRPr="00A96B15">
        <w:t xml:space="preserve"> </w:t>
      </w:r>
      <w:r w:rsidRPr="00A96B15">
        <w:rPr>
          <w:i/>
        </w:rPr>
        <w:t>SSSV</w:t>
      </w:r>
      <w:r w:rsidRPr="00A96B15">
        <w:t>, p. 4</w:t>
      </w:r>
    </w:p>
  </w:footnote>
  <w:footnote w:id="73">
    <w:p w14:paraId="3852C7BC" w14:textId="4256CBB6" w:rsidR="0041654B" w:rsidRPr="00A96B15" w:rsidRDefault="0041654B" w:rsidP="000F6FC6">
      <w:pPr>
        <w:pStyle w:val="FootnoteText"/>
      </w:pPr>
      <w:r w:rsidRPr="00A96B15">
        <w:rPr>
          <w:rStyle w:val="FootnoteReference"/>
        </w:rPr>
        <w:footnoteRef/>
      </w:r>
      <w:r w:rsidRPr="00A96B15">
        <w:t xml:space="preserve"> This was acknowledged by the SLTRC report itself, which commented on ‘the… mutual failure of the [two] institutions to harmonise their objectives’. Sierra Leone Truth and Reconciliation Commission: </w:t>
      </w:r>
      <w:r w:rsidRPr="00A96B15">
        <w:rPr>
          <w:i/>
        </w:rPr>
        <w:t>Witness to Truth: Report of the Sierra Leone Truth and Reconciliation Commission</w:t>
      </w:r>
      <w:r w:rsidRPr="00A96B15">
        <w:t xml:space="preserve">, Vol. 3B, p. 430, available at </w:t>
      </w:r>
      <w:hyperlink r:id="rId8" w:history="1">
        <w:r w:rsidRPr="00A96B15">
          <w:rPr>
            <w:rStyle w:val="Hyperlink"/>
          </w:rPr>
          <w:t>http://www.sierraleonetrc.org/index.php/view-the-final-report/download-table-of-contents</w:t>
        </w:r>
      </w:hyperlink>
      <w:r w:rsidR="007F1A0D">
        <w:t xml:space="preserve"> (accessed 16 July </w:t>
      </w:r>
      <w:r w:rsidRPr="00A96B15">
        <w:t>2018).</w:t>
      </w:r>
    </w:p>
  </w:footnote>
  <w:footnote w:id="74">
    <w:p w14:paraId="5AC546DF" w14:textId="4CEA3E6F" w:rsidR="0041654B" w:rsidRPr="00A96B15" w:rsidRDefault="0041654B" w:rsidP="000F6FC6">
      <w:pPr>
        <w:pStyle w:val="FootnoteText"/>
        <w:rPr>
          <w:lang w:val="en-US"/>
        </w:rPr>
      </w:pPr>
      <w:r w:rsidRPr="00A96B15">
        <w:rPr>
          <w:rStyle w:val="FootnoteReference"/>
        </w:rPr>
        <w:footnoteRef/>
      </w:r>
      <w:r>
        <w:t xml:space="preserve"> Kelsall &amp; Sawyer, ‘Truth vs Justice?’,</w:t>
      </w:r>
      <w:r w:rsidRPr="00A96B15">
        <w:t xml:space="preserve"> p. 38</w:t>
      </w:r>
      <w:r>
        <w:t xml:space="preserve">. Whilst the relationship between the SLTRC and the SCSL remained merky in this respect, what is key is that much of the population (and especially perpetrators) feared that testifying at the SLTRC could lead to prosecutions at the SCSL. </w:t>
      </w:r>
      <w:r>
        <w:fldChar w:fldCharType="begin"/>
      </w:r>
      <w:r>
        <w:instrText xml:space="preserve"> ADDIN EN.CITE &lt;EndNote&gt;&lt;Cite&gt;&lt;Author&gt;Kelsall&lt;/Author&gt;&lt;Year&gt;2005&lt;/Year&gt;&lt;RecNum&gt;341&lt;/RecNum&gt;&lt;Pages&gt;381&lt;/Pages&gt;&lt;DisplayText&gt;Tim Kelsall, &amp;quot;Truth, Lies, Ritual: Preliminary Reflections on the Truth and Reconciliation Commission in Sierra Leone,&amp;quot; &lt;style face="italic"&gt;Human Rights Quaterly&lt;/style&gt; 27, no. 2 (2005): 381.&lt;/DisplayText&gt;&lt;record&gt;&lt;rec-number&gt;341&lt;/rec-number&gt;&lt;foreign-keys&gt;&lt;key app="EN" db-id="0rewstxe3sdfepeps9f5xrt55srrdw2s5r9x" timestamp="1548096655"&gt;341&lt;/key&gt;&lt;/foreign-keys&gt;&lt;ref-type name="Journal Article"&gt;17&lt;/ref-type&gt;&lt;contributors&gt;&lt;authors&gt;&lt;author&gt;Kelsall, Tim&lt;/author&gt;&lt;/authors&gt;&lt;/contributors&gt;&lt;titles&gt;&lt;title&gt;Truth, Lies, Ritual: Preliminary Reflections on the Truth and Reconciliation Commission in Sierra Leone&lt;/title&gt;&lt;secondary-title&gt;Human Rights Quaterly&lt;/secondary-title&gt;&lt;short-title&gt;Truth, Lies, Ritual&lt;/short-title&gt;&lt;/titles&gt;&lt;periodical&gt;&lt;full-title&gt;Human Rights Quaterly&lt;/full-title&gt;&lt;/periodical&gt;&lt;pages&gt;361-391&lt;/pages&gt;&lt;volume&gt;27&lt;/volume&gt;&lt;number&gt;2&lt;/number&gt;&lt;keywords&gt;&lt;keyword&gt;Sierra Leone&lt;/keyword&gt;&lt;keyword&gt;TRC&lt;/keyword&gt;&lt;keyword&gt;Transitional Justice&lt;/keyword&gt;&lt;keyword&gt;Truth&lt;/keyword&gt;&lt;keyword&gt;Local&lt;/keyword&gt;&lt;/keywords&gt;&lt;dates&gt;&lt;year&gt;2005&lt;/year&gt;&lt;/dates&gt;&lt;urls&gt;&lt;/urls&gt;&lt;/record&gt;&lt;/Cite&gt;&lt;/EndNote&gt;</w:instrText>
      </w:r>
      <w:r>
        <w:fldChar w:fldCharType="separate"/>
      </w:r>
      <w:r>
        <w:rPr>
          <w:noProof/>
        </w:rPr>
        <w:t xml:space="preserve">Tim Kelsall, 'Truth, Lies, Ritual: Preliminary Reflections on the Truth and Reconciliation Commission in Sierra Leone', </w:t>
      </w:r>
      <w:r w:rsidRPr="001B610D">
        <w:rPr>
          <w:i/>
          <w:noProof/>
        </w:rPr>
        <w:t>Human Rights Quaterly</w:t>
      </w:r>
      <w:r>
        <w:rPr>
          <w:noProof/>
        </w:rPr>
        <w:t xml:space="preserve"> 2:2 (2005), p. 381.</w:t>
      </w:r>
      <w:r>
        <w:fldChar w:fldCharType="end"/>
      </w:r>
    </w:p>
  </w:footnote>
  <w:footnote w:id="75">
    <w:p w14:paraId="5D3CAF1A" w14:textId="40BF9ADC" w:rsidR="0041654B" w:rsidRPr="001D42A8" w:rsidRDefault="0041654B" w:rsidP="000F6FC6">
      <w:pPr>
        <w:pStyle w:val="FootnoteText"/>
      </w:pPr>
      <w:r w:rsidRPr="00A96B15">
        <w:rPr>
          <w:rStyle w:val="FootnoteReference"/>
        </w:rPr>
        <w:footnoteRef/>
      </w:r>
      <w:r w:rsidR="00696A17">
        <w:t xml:space="preserve"> Shaw, ‘Rethinking Truth and Reconciliation Commissions’</w:t>
      </w:r>
      <w:r w:rsidRPr="00A96B15">
        <w:t>, p. 8.</w:t>
      </w:r>
      <w:r>
        <w:t>; and</w:t>
      </w:r>
      <w:r w:rsidRPr="00E36F9A">
        <w:t xml:space="preserve"> </w:t>
      </w:r>
      <w:r>
        <w:fldChar w:fldCharType="begin"/>
      </w:r>
      <w:r>
        <w:instrText xml:space="preserve"> ADDIN EN.CITE &lt;EndNote&gt;&lt;Cite&gt;&lt;Author&gt;Shaw&lt;/Author&gt;&lt;Year&gt;2007&lt;/Year&gt;&lt;RecNum&gt;339&lt;/RecNum&gt;&lt;Pages&gt;193-195&lt;/Pages&gt;&lt;DisplayText&gt;Rosalind Shaw, &amp;quot;Memory Frictions: Localizing the Truth and Reconciliation Commission,&amp;quot; &lt;style face="italic"&gt;International Journal of Transitional Justice&lt;/style&gt; 1 (2007): 193-95.&lt;/DisplayText&gt;&lt;record&gt;&lt;rec-number&gt;339&lt;/rec-number&gt;&lt;foreign-keys&gt;&lt;key app="EN" db-id="0rewstxe3sdfepeps9f5xrt55srrdw2s5r9x" timestamp="1548095567"&gt;339&lt;/key&gt;&lt;/foreign-keys&gt;&lt;ref-type name="Journal Article"&gt;17&lt;/ref-type&gt;&lt;contributors&gt;&lt;authors&gt;&lt;author&gt;Shaw, Rosalind&lt;/author&gt;&lt;/authors&gt;&lt;/contributors&gt;&lt;titles&gt;&lt;title&gt;Memory Frictions: Localizing the Truth and Reconciliation Commission&lt;/title&gt;&lt;secondary-title&gt;International Journal of Transitional Justice&lt;/secondary-title&gt;&lt;short-title&gt;Memory Frictions&lt;/short-title&gt;&lt;/titles&gt;&lt;periodical&gt;&lt;full-title&gt;International Journal of Transitional Justice&lt;/full-title&gt;&lt;/periodical&gt;&lt;pages&gt;183-207&lt;/pages&gt;&lt;volume&gt;1&lt;/volume&gt;&lt;keywords&gt;&lt;keyword&gt;Memory&lt;/keyword&gt;&lt;keyword&gt;Local&lt;/keyword&gt;&lt;keyword&gt;Transitional Justice&lt;/keyword&gt;&lt;keyword&gt;TRC&lt;/keyword&gt;&lt;/keywords&gt;&lt;dates&gt;&lt;year&gt;2007&lt;/year&gt;&lt;/dates&gt;&lt;urls&gt;&lt;/urls&gt;&lt;/record&gt;&lt;/Cite&gt;&lt;/EndNote&gt;</w:instrText>
      </w:r>
      <w:r>
        <w:fldChar w:fldCharType="separate"/>
      </w:r>
      <w:r>
        <w:rPr>
          <w:noProof/>
        </w:rPr>
        <w:t xml:space="preserve">Rosalind Shaw, 'Memory Frictions: Localizing the Truth and Reconciliation Commission', </w:t>
      </w:r>
      <w:r w:rsidRPr="00E36F9A">
        <w:rPr>
          <w:i/>
          <w:noProof/>
        </w:rPr>
        <w:t>International Journal of Transitional Justice</w:t>
      </w:r>
      <w:r>
        <w:rPr>
          <w:noProof/>
        </w:rPr>
        <w:t xml:space="preserve"> 1:2 (2007), pp. 193-95.</w:t>
      </w:r>
      <w:r>
        <w:fldChar w:fldCharType="end"/>
      </w:r>
    </w:p>
  </w:footnote>
  <w:footnote w:id="76">
    <w:p w14:paraId="7C166D55" w14:textId="77777777" w:rsidR="0041654B" w:rsidRPr="001D42A8" w:rsidRDefault="0041654B" w:rsidP="000F6FC6">
      <w:pPr>
        <w:pStyle w:val="FootnoteText"/>
      </w:pPr>
      <w:r>
        <w:rPr>
          <w:rStyle w:val="FootnoteReference"/>
        </w:rPr>
        <w:footnoteRef/>
      </w:r>
      <w:r>
        <w:t xml:space="preserve"> Rachel Anderson, ‘Compromise Without Virtue: Male Child Soldier Reintegration in Sierra Leone’, in John D. Brewer, ed., </w:t>
      </w:r>
      <w:r>
        <w:rPr>
          <w:i/>
        </w:rPr>
        <w:t>The Sociology of Compromise After Conflict</w:t>
      </w:r>
      <w:r>
        <w:t xml:space="preserve"> (Basingstoke: Palgrave MacMillan, 2018), p. 181.</w:t>
      </w:r>
    </w:p>
  </w:footnote>
  <w:footnote w:id="77">
    <w:p w14:paraId="036D3D82" w14:textId="7CE1A061" w:rsidR="0041654B" w:rsidRPr="00522B85" w:rsidRDefault="0041654B" w:rsidP="000F6FC6">
      <w:pPr>
        <w:pStyle w:val="FootnoteText"/>
        <w:rPr>
          <w:lang w:val="en-GB"/>
        </w:rPr>
      </w:pPr>
      <w:r>
        <w:rPr>
          <w:rStyle w:val="FootnoteReference"/>
        </w:rPr>
        <w:footnoteRef/>
      </w:r>
      <w:r>
        <w:t xml:space="preserve"> </w:t>
      </w:r>
      <w:r w:rsidR="00696A17">
        <w:t xml:space="preserve">Kelsall, </w:t>
      </w:r>
      <w:r w:rsidR="00696A17">
        <w:rPr>
          <w:i/>
        </w:rPr>
        <w:t>Culture Under Cross-Examination</w:t>
      </w:r>
      <w:r w:rsidR="00696A17" w:rsidRPr="00A96B15">
        <w:t>,</w:t>
      </w:r>
      <w:r w:rsidR="00696A17">
        <w:t xml:space="preserve"> p. 383.</w:t>
      </w:r>
    </w:p>
  </w:footnote>
  <w:footnote w:id="78">
    <w:p w14:paraId="10DD5FCC" w14:textId="3C552E65" w:rsidR="0041654B" w:rsidRDefault="0041654B" w:rsidP="000F6FC6">
      <w:pPr>
        <w:pStyle w:val="FootnoteText"/>
      </w:pPr>
      <w:r>
        <w:rPr>
          <w:rStyle w:val="FootnoteReference"/>
        </w:rPr>
        <w:footnoteRef/>
      </w:r>
      <w:r w:rsidR="00696A17">
        <w:t xml:space="preserve"> Shaw, ‘Memory Frictions’</w:t>
      </w:r>
      <w:r>
        <w:t>, p. 195.</w:t>
      </w:r>
    </w:p>
  </w:footnote>
  <w:footnote w:id="79">
    <w:p w14:paraId="17B0D819" w14:textId="77777777" w:rsidR="0041654B" w:rsidRPr="007C1934" w:rsidRDefault="0041654B" w:rsidP="000F6FC6">
      <w:pPr>
        <w:pStyle w:val="FootnoteText"/>
      </w:pPr>
      <w:r>
        <w:rPr>
          <w:rStyle w:val="FootnoteReference"/>
        </w:rPr>
        <w:footnoteRef/>
      </w:r>
      <w:r>
        <w:t xml:space="preserve"> </w:t>
      </w:r>
      <w:r>
        <w:fldChar w:fldCharType="begin"/>
      </w:r>
      <w:r>
        <w:instrText xml:space="preserve"> ADDIN EN.CITE &lt;EndNote&gt;&lt;Cite&gt;&lt;Author&gt;Millar&lt;/Author&gt;&lt;Year&gt;2011&lt;/Year&gt;&lt;RecNum&gt;340&lt;/RecNum&gt;&lt;Pages&gt;524-530&lt;/Pages&gt;&lt;DisplayText&gt;Gearoid Millar, &amp;quot;Local Evaluations of Justice through Truth Telling in Sierra Leone: Postwar Needs of Transitional Justice,&amp;quot; &lt;style face="italic"&gt;Human Rights Review&lt;/style&gt; 12 (2011): 524-30.&lt;/DisplayText&gt;&lt;record&gt;&lt;rec-number&gt;340&lt;/rec-number&gt;&lt;foreign-keys&gt;&lt;key app="EN" db-id="0rewstxe3sdfepeps9f5xrt55srrdw2s5r9x" timestamp="1548096538"&gt;340&lt;/key&gt;&lt;/foreign-keys&gt;&lt;ref-type name="Journal Article"&gt;17&lt;/ref-type&gt;&lt;contributors&gt;&lt;authors&gt;&lt;author&gt;Millar, Gearoid&lt;/author&gt;&lt;/authors&gt;&lt;/contributors&gt;&lt;titles&gt;&lt;title&gt;Local evaluations of Justice Through Truth Telling in Sierra Leone: Postwar Needs of Transitional Justice&lt;/title&gt;&lt;secondary-title&gt;Human Rights Review&lt;/secondary-title&gt;&lt;short-title&gt;Local evaluations&lt;/short-title&gt;&lt;/titles&gt;&lt;periodical&gt;&lt;full-title&gt;Human Rights Review&lt;/full-title&gt;&lt;/periodical&gt;&lt;pages&gt;515-55&lt;/pages&gt;&lt;volume&gt;12&lt;/volume&gt;&lt;keywords&gt;&lt;keyword&gt;TRC&lt;/keyword&gt;&lt;keyword&gt;Local&lt;/keyword&gt;&lt;keyword&gt;Truth&lt;/keyword&gt;&lt;keyword&gt;Transitional Justice&lt;/keyword&gt;&lt;/keywords&gt;&lt;dates&gt;&lt;year&gt;2011&lt;/year&gt;&lt;/dates&gt;&lt;urls&gt;&lt;/urls&gt;&lt;/record&gt;&lt;/Cite&gt;&lt;/EndNote&gt;</w:instrText>
      </w:r>
      <w:r>
        <w:fldChar w:fldCharType="separate"/>
      </w:r>
      <w:r>
        <w:rPr>
          <w:noProof/>
        </w:rPr>
        <w:t xml:space="preserve">Gearoid Millar, 'Local Evaluations of Justice through Truth Telling in Sierra Leone: Postwar Needs of Transitional Justice', </w:t>
      </w:r>
      <w:r w:rsidRPr="00427618">
        <w:rPr>
          <w:i/>
          <w:noProof/>
        </w:rPr>
        <w:t>Human Rights Review</w:t>
      </w:r>
      <w:r>
        <w:rPr>
          <w:noProof/>
        </w:rPr>
        <w:t xml:space="preserve"> 12:4 (2011), pp. 524-30.</w:t>
      </w:r>
      <w:r>
        <w:fldChar w:fldCharType="end"/>
      </w:r>
      <w:r>
        <w:t xml:space="preserve"> </w:t>
      </w:r>
    </w:p>
  </w:footnote>
  <w:footnote w:id="80">
    <w:p w14:paraId="765EF964" w14:textId="77777777" w:rsidR="0041654B" w:rsidRPr="00A96B15" w:rsidRDefault="0041654B" w:rsidP="000F6FC6">
      <w:pPr>
        <w:pStyle w:val="FootnoteText"/>
        <w:rPr>
          <w:lang w:val="en-US"/>
        </w:rPr>
      </w:pPr>
      <w:r w:rsidRPr="00A96B15">
        <w:rPr>
          <w:rStyle w:val="FootnoteReference"/>
        </w:rPr>
        <w:footnoteRef/>
      </w:r>
      <w:r w:rsidRPr="00A96B15">
        <w:t xml:space="preserve"> </w:t>
      </w:r>
      <w:r w:rsidRPr="00A96B15">
        <w:rPr>
          <w:lang w:val="en-US"/>
        </w:rPr>
        <w:t xml:space="preserve">Although the comic portrays Ratabu’s reconciliation with his daughter, who has been a ‘bush wife’ to multiple soldiers during the conflict (a role that has also involved bearing their children), it is notable that the process by which this reconciliation occurs is a confessional public hearing (“I must know the truth… you have to tell me the truth. I need to know”) that in many ways mirrors the TRC itself. </w:t>
      </w:r>
      <w:r w:rsidRPr="00A96B15">
        <w:rPr>
          <w:i/>
          <w:lang w:val="en-US"/>
        </w:rPr>
        <w:t>SSSV</w:t>
      </w:r>
      <w:r w:rsidRPr="00A96B15">
        <w:rPr>
          <w:lang w:val="en-US"/>
        </w:rPr>
        <w:t>, pp. 94-5.</w:t>
      </w:r>
    </w:p>
  </w:footnote>
  <w:footnote w:id="81">
    <w:p w14:paraId="34926804" w14:textId="6C321D14" w:rsidR="0041654B" w:rsidRDefault="0041654B" w:rsidP="000F6FC6">
      <w:pPr>
        <w:pStyle w:val="FootnoteText"/>
      </w:pPr>
      <w:r>
        <w:rPr>
          <w:rStyle w:val="FootnoteReference"/>
        </w:rPr>
        <w:footnoteRef/>
      </w:r>
      <w:r w:rsidR="00696A17">
        <w:t xml:space="preserve"> McCloud, </w:t>
      </w:r>
      <w:r w:rsidR="00696A17">
        <w:rPr>
          <w:i/>
        </w:rPr>
        <w:t>Understanding Comics</w:t>
      </w:r>
      <w:r>
        <w:t>, p. 30.</w:t>
      </w:r>
    </w:p>
  </w:footnote>
  <w:footnote w:id="82">
    <w:p w14:paraId="6FAD3080" w14:textId="17FC770D" w:rsidR="0041654B" w:rsidRDefault="0041654B" w:rsidP="000F6FC6">
      <w:pPr>
        <w:pStyle w:val="FootnoteText"/>
      </w:pPr>
      <w:r>
        <w:rPr>
          <w:rStyle w:val="FootnoteReference"/>
        </w:rPr>
        <w:footnoteRef/>
      </w:r>
      <w:r w:rsidR="00696A17">
        <w:t xml:space="preserve"> McCloud, </w:t>
      </w:r>
      <w:r w:rsidR="00696A17">
        <w:rPr>
          <w:i/>
        </w:rPr>
        <w:t>Understanding Comics</w:t>
      </w:r>
      <w:r w:rsidR="00696A17">
        <w:t>,</w:t>
      </w:r>
      <w:r>
        <w:t xml:space="preserve"> p. 36. Emphasis in original.</w:t>
      </w:r>
    </w:p>
  </w:footnote>
  <w:footnote w:id="83">
    <w:p w14:paraId="622A908A" w14:textId="4339A476" w:rsidR="0041654B" w:rsidRPr="00A96B15" w:rsidRDefault="0041654B" w:rsidP="000F6FC6">
      <w:pPr>
        <w:pStyle w:val="FootnoteText"/>
        <w:rPr>
          <w:lang w:val="en-US"/>
        </w:rPr>
      </w:pPr>
      <w:r w:rsidRPr="00A96B15">
        <w:rPr>
          <w:rStyle w:val="FootnoteReference"/>
        </w:rPr>
        <w:footnoteRef/>
      </w:r>
      <w:r w:rsidRPr="00A96B15">
        <w:t xml:space="preserve"> </w:t>
      </w:r>
      <w:r w:rsidR="00696A17">
        <w:rPr>
          <w:lang w:val="en-US"/>
        </w:rPr>
        <w:t xml:space="preserve">Spiegelman, </w:t>
      </w:r>
      <w:r w:rsidR="00696A17">
        <w:rPr>
          <w:i/>
          <w:lang w:val="en-US"/>
        </w:rPr>
        <w:t>MetaMaus</w:t>
      </w:r>
      <w:r w:rsidRPr="00A96B15">
        <w:rPr>
          <w:lang w:val="en-US"/>
        </w:rPr>
        <w:t>, p. 149.</w:t>
      </w:r>
    </w:p>
  </w:footnote>
  <w:footnote w:id="84">
    <w:p w14:paraId="15F7E9A8" w14:textId="6F75028B" w:rsidR="0041654B" w:rsidRPr="00A96B15" w:rsidRDefault="0041654B" w:rsidP="000F6FC6">
      <w:pPr>
        <w:pStyle w:val="FootnoteText"/>
        <w:rPr>
          <w:lang w:val="en-US"/>
        </w:rPr>
      </w:pPr>
      <w:r w:rsidRPr="00A96B15">
        <w:rPr>
          <w:rStyle w:val="FootnoteReference"/>
        </w:rPr>
        <w:footnoteRef/>
      </w:r>
      <w:r w:rsidR="00696A17">
        <w:t xml:space="preserve"> Cf. Spiegelman, </w:t>
      </w:r>
      <w:r w:rsidR="00696A17">
        <w:rPr>
          <w:i/>
        </w:rPr>
        <w:t>The Complete Maus</w:t>
      </w:r>
      <w:r w:rsidRPr="00A96B15">
        <w:t>, p. 112; p. 211; p. 220; p. 228; p. 230</w:t>
      </w:r>
      <w:r w:rsidR="00696A17">
        <w:t>.</w:t>
      </w:r>
    </w:p>
  </w:footnote>
  <w:footnote w:id="85">
    <w:p w14:paraId="62CB9E9B" w14:textId="77307CFB" w:rsidR="0041654B" w:rsidRPr="00A96B15" w:rsidRDefault="0041654B" w:rsidP="000F6FC6">
      <w:pPr>
        <w:pStyle w:val="FootnoteText"/>
        <w:rPr>
          <w:lang w:val="en-US"/>
        </w:rPr>
      </w:pPr>
      <w:r w:rsidRPr="00A96B15">
        <w:rPr>
          <w:rStyle w:val="FootnoteReference"/>
        </w:rPr>
        <w:footnoteRef/>
      </w:r>
      <w:r w:rsidRPr="00A96B15">
        <w:t xml:space="preserve"> </w:t>
      </w:r>
      <w:r w:rsidR="00696A17">
        <w:t xml:space="preserve">Spiegelman, </w:t>
      </w:r>
      <w:r w:rsidR="00696A17">
        <w:rPr>
          <w:i/>
        </w:rPr>
        <w:t>The Complete Maus</w:t>
      </w:r>
      <w:r w:rsidR="00696A17" w:rsidRPr="00A96B15">
        <w:t xml:space="preserve">, </w:t>
      </w:r>
      <w:r w:rsidRPr="00A96B15">
        <w:t>pp. 102-105; pp. 160-161</w:t>
      </w:r>
      <w:r w:rsidR="00696A17">
        <w:t>.</w:t>
      </w:r>
    </w:p>
  </w:footnote>
  <w:footnote w:id="86">
    <w:p w14:paraId="38909293" w14:textId="64EE46C3" w:rsidR="0041654B" w:rsidRPr="00A96B15" w:rsidRDefault="0041654B" w:rsidP="000F6FC6">
      <w:pPr>
        <w:pStyle w:val="FootnoteText"/>
        <w:rPr>
          <w:lang w:val="en-US"/>
        </w:rPr>
      </w:pPr>
      <w:r w:rsidRPr="00A96B15">
        <w:rPr>
          <w:rStyle w:val="FootnoteReference"/>
        </w:rPr>
        <w:footnoteRef/>
      </w:r>
      <w:r w:rsidRPr="00A96B15">
        <w:t xml:space="preserve"> </w:t>
      </w:r>
      <w:r w:rsidR="00696A17">
        <w:t xml:space="preserve">Spiegelman, </w:t>
      </w:r>
      <w:r w:rsidR="00696A17">
        <w:rPr>
          <w:i/>
        </w:rPr>
        <w:t>The Complete Maus</w:t>
      </w:r>
      <w:r w:rsidR="00696A17" w:rsidRPr="00A96B15">
        <w:t xml:space="preserve">, </w:t>
      </w:r>
      <w:r w:rsidRPr="00A96B15">
        <w:rPr>
          <w:lang w:val="en-US"/>
        </w:rPr>
        <w:t xml:space="preserve">p. 149. </w:t>
      </w:r>
    </w:p>
  </w:footnote>
  <w:footnote w:id="87">
    <w:p w14:paraId="1D53EB52" w14:textId="1C2EB5C1" w:rsidR="0041654B" w:rsidRPr="00A96B15" w:rsidRDefault="0041654B" w:rsidP="000F6FC6">
      <w:pPr>
        <w:pStyle w:val="FootnoteText"/>
        <w:rPr>
          <w:lang w:val="en-US"/>
        </w:rPr>
      </w:pPr>
      <w:r w:rsidRPr="00A96B15">
        <w:rPr>
          <w:rStyle w:val="FootnoteReference"/>
        </w:rPr>
        <w:footnoteRef/>
      </w:r>
      <w:r w:rsidRPr="00A96B15">
        <w:t xml:space="preserve"> </w:t>
      </w:r>
      <w:r w:rsidR="00696A17">
        <w:t xml:space="preserve">Spiegelman, </w:t>
      </w:r>
      <w:r w:rsidR="00696A17">
        <w:rPr>
          <w:i/>
        </w:rPr>
        <w:t>The Complete Maus</w:t>
      </w:r>
      <w:r w:rsidR="00696A17" w:rsidRPr="00A96B15">
        <w:t xml:space="preserve">, </w:t>
      </w:r>
      <w:r w:rsidRPr="00A96B15">
        <w:rPr>
          <w:lang w:val="en-US"/>
        </w:rPr>
        <w:t>p. 176.</w:t>
      </w:r>
    </w:p>
  </w:footnote>
  <w:footnote w:id="88">
    <w:p w14:paraId="37775B11" w14:textId="6146D1A8" w:rsidR="0041654B" w:rsidRPr="00A96B15" w:rsidRDefault="0041654B" w:rsidP="000F6FC6">
      <w:pPr>
        <w:pStyle w:val="FootnoteText"/>
        <w:rPr>
          <w:lang w:val="en-US"/>
        </w:rPr>
      </w:pPr>
      <w:r w:rsidRPr="00A96B15">
        <w:rPr>
          <w:rStyle w:val="FootnoteReference"/>
        </w:rPr>
        <w:footnoteRef/>
      </w:r>
      <w:r w:rsidRPr="00A96B15">
        <w:t xml:space="preserve"> </w:t>
      </w:r>
      <w:r w:rsidR="00696A17">
        <w:rPr>
          <w:lang w:val="en-US"/>
        </w:rPr>
        <w:t xml:space="preserve">Spiegelman, </w:t>
      </w:r>
      <w:r w:rsidR="00696A17">
        <w:rPr>
          <w:i/>
          <w:lang w:val="en-US"/>
        </w:rPr>
        <w:t>MetaMaus</w:t>
      </w:r>
      <w:r w:rsidRPr="00A96B15">
        <w:rPr>
          <w:lang w:val="en-US"/>
        </w:rPr>
        <w:t>, p. 154.</w:t>
      </w:r>
    </w:p>
  </w:footnote>
  <w:footnote w:id="89">
    <w:p w14:paraId="78ED7071" w14:textId="74E5FBA9" w:rsidR="0041654B" w:rsidRPr="00A96B15" w:rsidRDefault="0041654B" w:rsidP="000F6FC6">
      <w:pPr>
        <w:pStyle w:val="FootnoteText"/>
        <w:rPr>
          <w:lang w:val="en-US"/>
        </w:rPr>
      </w:pPr>
      <w:r w:rsidRPr="00A96B15">
        <w:rPr>
          <w:rStyle w:val="FootnoteReference"/>
        </w:rPr>
        <w:footnoteRef/>
      </w:r>
      <w:r w:rsidRPr="00A96B15">
        <w:t xml:space="preserve"> </w:t>
      </w:r>
      <w:r w:rsidRPr="00A96B15">
        <w:rPr>
          <w:lang w:val="en-US"/>
        </w:rPr>
        <w:t>Cf. Hil</w:t>
      </w:r>
      <w:r>
        <w:rPr>
          <w:lang w:val="en-US"/>
        </w:rPr>
        <w:t>l</w:t>
      </w:r>
      <w:r w:rsidRPr="00A96B15">
        <w:rPr>
          <w:lang w:val="en-US"/>
        </w:rPr>
        <w:t xml:space="preserve">ary Chute: ‘“The Shadow of a Past Time": History and Graphic Representation in </w:t>
      </w:r>
      <w:r w:rsidRPr="00A96B15">
        <w:rPr>
          <w:i/>
          <w:lang w:val="en-US"/>
        </w:rPr>
        <w:t>Maus</w:t>
      </w:r>
      <w:r w:rsidRPr="00A96B15">
        <w:rPr>
          <w:lang w:val="en-US"/>
        </w:rPr>
        <w:t xml:space="preserve">’. </w:t>
      </w:r>
      <w:r w:rsidRPr="00A96B15">
        <w:rPr>
          <w:i/>
          <w:lang w:val="en-US"/>
        </w:rPr>
        <w:t xml:space="preserve">Twentieth Century Literature </w:t>
      </w:r>
      <w:r w:rsidRPr="00A96B15">
        <w:rPr>
          <w:lang w:val="en-US"/>
        </w:rPr>
        <w:t>52:2 (2006), p. 213</w:t>
      </w:r>
      <w:r w:rsidR="00696A17">
        <w:rPr>
          <w:lang w:val="en-US"/>
        </w:rPr>
        <w:t>.</w:t>
      </w:r>
    </w:p>
  </w:footnote>
  <w:footnote w:id="90">
    <w:p w14:paraId="47FF9404" w14:textId="77777777" w:rsidR="0041654B" w:rsidRPr="00A96B15" w:rsidRDefault="0041654B" w:rsidP="000F6FC6">
      <w:pPr>
        <w:pStyle w:val="FootnoteText"/>
        <w:rPr>
          <w:lang w:val="en-US"/>
        </w:rPr>
      </w:pPr>
      <w:r w:rsidRPr="00A96B15">
        <w:rPr>
          <w:rStyle w:val="FootnoteReference"/>
        </w:rPr>
        <w:footnoteRef/>
      </w:r>
      <w:r w:rsidRPr="00A96B15">
        <w:t xml:space="preserve"> </w:t>
      </w:r>
      <w:r w:rsidRPr="00A96B15">
        <w:rPr>
          <w:i/>
          <w:lang w:val="en-US"/>
        </w:rPr>
        <w:t>SSSV</w:t>
      </w:r>
      <w:r w:rsidRPr="00A96B15">
        <w:rPr>
          <w:lang w:val="en-US"/>
        </w:rPr>
        <w:t>, p. 10.</w:t>
      </w:r>
    </w:p>
  </w:footnote>
  <w:footnote w:id="91">
    <w:p w14:paraId="32DE25C3" w14:textId="77777777" w:rsidR="0041654B" w:rsidRPr="00A96B15" w:rsidRDefault="0041654B" w:rsidP="000F6FC6">
      <w:pPr>
        <w:pStyle w:val="FootnoteText"/>
        <w:rPr>
          <w:lang w:val="en-US"/>
        </w:rPr>
      </w:pPr>
      <w:r w:rsidRPr="00A96B15">
        <w:rPr>
          <w:rStyle w:val="FootnoteReference"/>
        </w:rPr>
        <w:footnoteRef/>
      </w:r>
      <w:r w:rsidRPr="00A96B15">
        <w:t xml:space="preserve"> </w:t>
      </w:r>
      <w:r w:rsidRPr="00A96B15">
        <w:rPr>
          <w:lang w:val="en-US"/>
        </w:rPr>
        <w:t xml:space="preserve">Jenny Edkins: </w:t>
      </w:r>
      <w:r w:rsidRPr="00A96B15">
        <w:rPr>
          <w:i/>
          <w:lang w:val="en-US"/>
        </w:rPr>
        <w:t>Trauma and the Memory of Politics</w:t>
      </w:r>
      <w:r w:rsidRPr="00A96B15">
        <w:rPr>
          <w:lang w:val="en-US"/>
        </w:rPr>
        <w:t xml:space="preserve"> (Cambridge: Cambridge University Press, 2003), p. 40.</w:t>
      </w:r>
    </w:p>
  </w:footnote>
  <w:footnote w:id="92">
    <w:p w14:paraId="0F5B682F" w14:textId="77777777" w:rsidR="0041654B" w:rsidRPr="00B83347" w:rsidRDefault="0041654B" w:rsidP="000F6FC6">
      <w:pPr>
        <w:pStyle w:val="FootnoteText"/>
      </w:pPr>
      <w:r>
        <w:rPr>
          <w:rStyle w:val="FootnoteReference"/>
        </w:rPr>
        <w:footnoteRef/>
      </w:r>
      <w:r>
        <w:t xml:space="preserve"> Emma Hutchison, </w:t>
      </w:r>
      <w:r>
        <w:rPr>
          <w:i/>
        </w:rPr>
        <w:t>Affective Communities in World Politics: Collective Emotions After Trauma</w:t>
      </w:r>
      <w:r>
        <w:t xml:space="preserve"> (Cambridge: Cambridge University Press, 2016), p. 41.</w:t>
      </w:r>
    </w:p>
  </w:footnote>
  <w:footnote w:id="93">
    <w:p w14:paraId="40B88B58" w14:textId="3D849BC2" w:rsidR="0041654B" w:rsidRDefault="0041654B" w:rsidP="000F6FC6">
      <w:pPr>
        <w:pStyle w:val="FootnoteText"/>
      </w:pPr>
      <w:r>
        <w:rPr>
          <w:rStyle w:val="FootnoteReference"/>
        </w:rPr>
        <w:footnoteRef/>
      </w:r>
      <w:r w:rsidR="00696A17">
        <w:t xml:space="preserve"> McCloud, </w:t>
      </w:r>
      <w:r w:rsidR="00696A17">
        <w:rPr>
          <w:i/>
        </w:rPr>
        <w:t>Understanding Comics</w:t>
      </w:r>
      <w:r>
        <w:t>, p. 67.</w:t>
      </w:r>
    </w:p>
  </w:footnote>
  <w:footnote w:id="94">
    <w:p w14:paraId="02C6989F" w14:textId="77777777" w:rsidR="0041654B" w:rsidRPr="00C637A6" w:rsidRDefault="0041654B" w:rsidP="000F6FC6">
      <w:pPr>
        <w:pStyle w:val="FootnoteText"/>
      </w:pPr>
      <w:r>
        <w:rPr>
          <w:rStyle w:val="FootnoteReference"/>
        </w:rPr>
        <w:footnoteRef/>
      </w:r>
      <w:r>
        <w:t xml:space="preserve"> Michel Foucault, </w:t>
      </w:r>
      <w:r>
        <w:rPr>
          <w:i/>
        </w:rPr>
        <w:t>This Is Not A Pipe</w:t>
      </w:r>
      <w:r>
        <w:t xml:space="preserve"> (Berkeley: University of California Press, 2008), p. 28. We would like to thank one of the anonymous reviewers for bringing this passage to our attention.</w:t>
      </w:r>
    </w:p>
  </w:footnote>
  <w:footnote w:id="95">
    <w:p w14:paraId="17D9C396" w14:textId="3BD5A70E" w:rsidR="0041654B" w:rsidRPr="00A96B15" w:rsidRDefault="0041654B" w:rsidP="000F6FC6">
      <w:pPr>
        <w:pStyle w:val="FootnoteText"/>
      </w:pPr>
      <w:r w:rsidRPr="00A96B15">
        <w:rPr>
          <w:rStyle w:val="FootnoteReference"/>
        </w:rPr>
        <w:footnoteRef/>
      </w:r>
      <w:r w:rsidR="00696A17">
        <w:t xml:space="preserve"> Möller, </w:t>
      </w:r>
      <w:r w:rsidR="00696A17">
        <w:rPr>
          <w:i/>
        </w:rPr>
        <w:t>Visual Peace</w:t>
      </w:r>
      <w:r w:rsidRPr="00A96B15">
        <w:t>, pp. 170-171, cf. McCloud</w:t>
      </w:r>
      <w:r w:rsidR="00696A17">
        <w:t xml:space="preserve">, </w:t>
      </w:r>
      <w:r w:rsidR="00696A17">
        <w:rPr>
          <w:i/>
        </w:rPr>
        <w:t>Understanding Comics</w:t>
      </w:r>
      <w:r w:rsidR="00696A17">
        <w:t>,</w:t>
      </w:r>
      <w:r w:rsidRPr="00A96B15">
        <w:t xml:space="preserve"> p. 63.</w:t>
      </w:r>
    </w:p>
  </w:footnote>
  <w:footnote w:id="96">
    <w:p w14:paraId="18311156" w14:textId="77777777" w:rsidR="0041654B" w:rsidRPr="00AD2B57" w:rsidRDefault="0041654B" w:rsidP="000F6FC6">
      <w:pPr>
        <w:pStyle w:val="FootnoteText"/>
      </w:pPr>
      <w:r>
        <w:rPr>
          <w:rStyle w:val="FootnoteReference"/>
        </w:rPr>
        <w:footnoteRef/>
      </w:r>
      <w:r>
        <w:t xml:space="preserve"> </w:t>
      </w:r>
      <w:r>
        <w:rPr>
          <w:i/>
        </w:rPr>
        <w:t>SSSV</w:t>
      </w:r>
      <w:r>
        <w:t>, p. 81.</w:t>
      </w:r>
    </w:p>
  </w:footnote>
  <w:footnote w:id="97">
    <w:p w14:paraId="2D72D16E" w14:textId="77C63C91" w:rsidR="0041654B" w:rsidRPr="00A96B15" w:rsidRDefault="0041654B" w:rsidP="000F6FC6">
      <w:pPr>
        <w:pStyle w:val="FootnoteText"/>
        <w:rPr>
          <w:lang w:val="en-GB"/>
        </w:rPr>
      </w:pPr>
      <w:r w:rsidRPr="00A96B15">
        <w:rPr>
          <w:rStyle w:val="FootnoteReference"/>
        </w:rPr>
        <w:footnoteRef/>
      </w:r>
      <w:r w:rsidRPr="00A96B15">
        <w:t xml:space="preserve"> </w:t>
      </w:r>
      <w:r w:rsidR="00696A17">
        <w:t xml:space="preserve">Spiegelman, </w:t>
      </w:r>
      <w:r w:rsidR="00696A17">
        <w:rPr>
          <w:i/>
        </w:rPr>
        <w:t>The Complete Maus</w:t>
      </w:r>
      <w:r w:rsidR="00696A17" w:rsidRPr="00A96B15">
        <w:t xml:space="preserve">, </w:t>
      </w:r>
      <w:r w:rsidRPr="00A96B15">
        <w:t>p. 296.</w:t>
      </w:r>
    </w:p>
  </w:footnote>
  <w:footnote w:id="98">
    <w:p w14:paraId="28D943DA" w14:textId="0589A534" w:rsidR="0041654B" w:rsidRPr="00A96B15" w:rsidRDefault="0041654B" w:rsidP="000F6FC6">
      <w:pPr>
        <w:pStyle w:val="FootnoteText"/>
        <w:rPr>
          <w:lang w:val="en-GB"/>
        </w:rPr>
      </w:pPr>
      <w:r w:rsidRPr="00A96B15">
        <w:rPr>
          <w:rStyle w:val="FootnoteReference"/>
        </w:rPr>
        <w:footnoteRef/>
      </w:r>
      <w:r w:rsidRPr="00A96B15">
        <w:t xml:space="preserve"> </w:t>
      </w:r>
      <w:r w:rsidR="00696A17">
        <w:t xml:space="preserve">Spiegelman, </w:t>
      </w:r>
      <w:r w:rsidR="00696A17">
        <w:rPr>
          <w:i/>
        </w:rPr>
        <w:t>The Complete Maus</w:t>
      </w:r>
      <w:r w:rsidR="00696A17" w:rsidRPr="00A96B15">
        <w:t xml:space="preserve">, </w:t>
      </w:r>
      <w:r w:rsidRPr="00A96B15">
        <w:t>p</w:t>
      </w:r>
      <w:r w:rsidR="00696A17">
        <w:t>p</w:t>
      </w:r>
      <w:r w:rsidRPr="00A96B15">
        <w:t>.</w:t>
      </w:r>
      <w:r w:rsidRPr="00A96B15">
        <w:rPr>
          <w:i/>
        </w:rPr>
        <w:t xml:space="preserve"> </w:t>
      </w:r>
      <w:r w:rsidRPr="00A96B15">
        <w:t>102-105.</w:t>
      </w:r>
    </w:p>
  </w:footnote>
  <w:footnote w:id="99">
    <w:p w14:paraId="320CC256" w14:textId="10D3676D" w:rsidR="0041654B" w:rsidRPr="00A96B15" w:rsidRDefault="0041654B" w:rsidP="000F6FC6">
      <w:pPr>
        <w:pStyle w:val="FootnoteText"/>
        <w:rPr>
          <w:lang w:val="en-US"/>
        </w:rPr>
      </w:pPr>
      <w:r w:rsidRPr="00A96B15">
        <w:rPr>
          <w:rStyle w:val="FootnoteReference"/>
        </w:rPr>
        <w:footnoteRef/>
      </w:r>
      <w:r w:rsidRPr="00A96B15">
        <w:t xml:space="preserve"> </w:t>
      </w:r>
      <w:r w:rsidR="00696A17">
        <w:t xml:space="preserve">Spiegelman, </w:t>
      </w:r>
      <w:r w:rsidR="00696A17">
        <w:rPr>
          <w:i/>
        </w:rPr>
        <w:t>The Complete Maus</w:t>
      </w:r>
      <w:r w:rsidR="00696A17" w:rsidRPr="00A96B15">
        <w:t xml:space="preserve">, </w:t>
      </w:r>
      <w:r w:rsidRPr="00A96B15">
        <w:rPr>
          <w:lang w:val="en-US"/>
        </w:rPr>
        <w:t>p. 201.</w:t>
      </w:r>
    </w:p>
  </w:footnote>
  <w:footnote w:id="100">
    <w:p w14:paraId="2E88234D" w14:textId="037F3DCB" w:rsidR="0041654B" w:rsidRPr="00522B85" w:rsidRDefault="0041654B" w:rsidP="000F6FC6">
      <w:pPr>
        <w:pStyle w:val="FootnoteText"/>
        <w:rPr>
          <w:lang w:val="en-US"/>
        </w:rPr>
      </w:pPr>
      <w:r>
        <w:rPr>
          <w:rStyle w:val="FootnoteReference"/>
        </w:rPr>
        <w:footnoteRef/>
      </w:r>
      <w:r>
        <w:t xml:space="preserve"> </w:t>
      </w:r>
      <w:r w:rsidR="00696A17">
        <w:rPr>
          <w:lang w:val="en-US"/>
        </w:rPr>
        <w:t xml:space="preserve">Clark, </w:t>
      </w:r>
      <w:r w:rsidR="00696A17">
        <w:rPr>
          <w:i/>
          <w:lang w:val="en-US"/>
        </w:rPr>
        <w:t>Distant Justice</w:t>
      </w:r>
      <w:r>
        <w:rPr>
          <w:lang w:val="en-US"/>
        </w:rPr>
        <w:t>.</w:t>
      </w:r>
    </w:p>
  </w:footnote>
  <w:footnote w:id="101">
    <w:p w14:paraId="37BF1472" w14:textId="1995A496" w:rsidR="0041654B" w:rsidRPr="007E354F" w:rsidRDefault="0041654B" w:rsidP="000F6FC6">
      <w:pPr>
        <w:pStyle w:val="FootnoteText"/>
        <w:rPr>
          <w:lang w:val="en-GB"/>
        </w:rPr>
      </w:pPr>
      <w:r>
        <w:rPr>
          <w:rStyle w:val="FootnoteReference"/>
        </w:rPr>
        <w:footnoteRef/>
      </w:r>
      <w:r w:rsidR="00696A17">
        <w:t xml:space="preserve"> Chute, </w:t>
      </w:r>
      <w:r w:rsidR="00696A17">
        <w:rPr>
          <w:i/>
        </w:rPr>
        <w:t>Disaster Drawn</w:t>
      </w:r>
      <w:r>
        <w:t xml:space="preserve">, p. 34. </w:t>
      </w:r>
      <w:r>
        <w:rPr>
          <w:lang w:val="en-US"/>
        </w:rPr>
        <w:t xml:space="preserve">The text quoted within her quotation is from </w:t>
      </w:r>
      <w:r w:rsidRPr="00FC3125">
        <w:rPr>
          <w:lang w:val="en-GB"/>
        </w:rPr>
        <w:t xml:space="preserve">Shoshana Felman and Dori Laub, </w:t>
      </w:r>
      <w:r w:rsidRPr="007E354F">
        <w:rPr>
          <w:i/>
          <w:lang w:val="en-GB"/>
        </w:rPr>
        <w:t>Testimony: Crises of Witnessing in Literature, Psychoanalysis, and History</w:t>
      </w:r>
      <w:r w:rsidRPr="00FC3125">
        <w:rPr>
          <w:lang w:val="en-GB"/>
        </w:rPr>
        <w:t xml:space="preserve"> (New York: Routledge, 1992)</w:t>
      </w:r>
      <w:r>
        <w:rPr>
          <w:lang w:val="en-GB"/>
        </w:rPr>
        <w:t>, p. 5.</w:t>
      </w:r>
    </w:p>
  </w:footnote>
  <w:footnote w:id="102">
    <w:p w14:paraId="38801A3A" w14:textId="4E187ECB" w:rsidR="0041654B" w:rsidRPr="00522B85" w:rsidRDefault="0041654B" w:rsidP="000F6FC6">
      <w:pPr>
        <w:pStyle w:val="FootnoteText"/>
        <w:rPr>
          <w:lang w:val="en-US"/>
        </w:rPr>
      </w:pPr>
      <w:r>
        <w:rPr>
          <w:rStyle w:val="FootnoteReference"/>
        </w:rPr>
        <w:footnoteRef/>
      </w:r>
      <w:r>
        <w:t xml:space="preserve"> </w:t>
      </w:r>
      <w:r w:rsidR="00696A17">
        <w:rPr>
          <w:lang w:val="en-US"/>
        </w:rPr>
        <w:t xml:space="preserve">Groensteen, </w:t>
      </w:r>
      <w:r w:rsidR="00696A17">
        <w:rPr>
          <w:i/>
          <w:lang w:val="en-US"/>
        </w:rPr>
        <w:t>The System of Comics</w:t>
      </w:r>
      <w:r>
        <w:rPr>
          <w:lang w:val="en-US"/>
        </w:rPr>
        <w:t>, p. 10.</w:t>
      </w:r>
    </w:p>
  </w:footnote>
  <w:footnote w:id="103">
    <w:p w14:paraId="257B017B" w14:textId="77777777" w:rsidR="0041654B" w:rsidRPr="00A96B15" w:rsidRDefault="0041654B" w:rsidP="000F6FC6">
      <w:pPr>
        <w:pStyle w:val="FootnoteText"/>
        <w:rPr>
          <w:lang w:val="en-US"/>
        </w:rPr>
      </w:pPr>
      <w:r w:rsidRPr="00A96B15">
        <w:rPr>
          <w:rStyle w:val="FootnoteReference"/>
        </w:rPr>
        <w:footnoteRef/>
      </w:r>
      <w:r w:rsidRPr="00A96B15">
        <w:t xml:space="preserve"> </w:t>
      </w:r>
      <w:r w:rsidRPr="00A96B15">
        <w:rPr>
          <w:i/>
          <w:lang w:val="en-US"/>
        </w:rPr>
        <w:t>SSSV</w:t>
      </w:r>
      <w:r w:rsidRPr="00A96B15">
        <w:rPr>
          <w:lang w:val="en-US"/>
        </w:rPr>
        <w:t>, p. 4.</w:t>
      </w:r>
    </w:p>
  </w:footnote>
  <w:footnote w:id="104">
    <w:p w14:paraId="7AF4A06D" w14:textId="77777777" w:rsidR="0041654B" w:rsidRPr="00522B85" w:rsidRDefault="0041654B" w:rsidP="000F6FC6">
      <w:pPr>
        <w:pStyle w:val="FootnoteText"/>
        <w:rPr>
          <w:lang w:val="en-US"/>
        </w:rPr>
      </w:pPr>
      <w:r>
        <w:rPr>
          <w:rStyle w:val="FootnoteReference"/>
        </w:rPr>
        <w:footnoteRef/>
      </w:r>
      <w:r>
        <w:t xml:space="preserve"> </w:t>
      </w:r>
      <w:r>
        <w:rPr>
          <w:i/>
          <w:lang w:val="en-US"/>
        </w:rPr>
        <w:t>PositiveNegatives</w:t>
      </w:r>
      <w:r>
        <w:rPr>
          <w:lang w:val="en-US"/>
        </w:rPr>
        <w:t xml:space="preserve">, available at </w:t>
      </w:r>
      <w:hyperlink r:id="rId9" w:history="1">
        <w:r w:rsidRPr="004E3891">
          <w:rPr>
            <w:rStyle w:val="Hyperlink"/>
            <w:lang w:val="en-US"/>
          </w:rPr>
          <w:t>http://positivenegatives.org/about/methodology/</w:t>
        </w:r>
      </w:hyperlink>
      <w:r>
        <w:rPr>
          <w:lang w:val="en-US"/>
        </w:rPr>
        <w:t xml:space="preserve"> (accessed 24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EA0C" w14:textId="77777777" w:rsidR="0041654B" w:rsidRDefault="0041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D05D" w14:textId="77777777" w:rsidR="0041654B" w:rsidRDefault="0041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5AE4" w14:textId="77777777" w:rsidR="0041654B" w:rsidRDefault="00416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43"/>
    <w:rsid w:val="00063D96"/>
    <w:rsid w:val="000F6DA4"/>
    <w:rsid w:val="000F6FC6"/>
    <w:rsid w:val="000F7666"/>
    <w:rsid w:val="00105165"/>
    <w:rsid w:val="00120B52"/>
    <w:rsid w:val="0019692B"/>
    <w:rsid w:val="001B16E9"/>
    <w:rsid w:val="001C6F1C"/>
    <w:rsid w:val="001E6089"/>
    <w:rsid w:val="00276FEB"/>
    <w:rsid w:val="002F1DDA"/>
    <w:rsid w:val="00303168"/>
    <w:rsid w:val="00312579"/>
    <w:rsid w:val="00332AF1"/>
    <w:rsid w:val="003642AF"/>
    <w:rsid w:val="003A3BB7"/>
    <w:rsid w:val="003B0F56"/>
    <w:rsid w:val="00415759"/>
    <w:rsid w:val="0041654B"/>
    <w:rsid w:val="00570B1A"/>
    <w:rsid w:val="0058617D"/>
    <w:rsid w:val="006106AD"/>
    <w:rsid w:val="00696A17"/>
    <w:rsid w:val="006D4503"/>
    <w:rsid w:val="006F47E9"/>
    <w:rsid w:val="00705313"/>
    <w:rsid w:val="007B5663"/>
    <w:rsid w:val="007F1A0D"/>
    <w:rsid w:val="00826E6E"/>
    <w:rsid w:val="00852A10"/>
    <w:rsid w:val="008B50DB"/>
    <w:rsid w:val="008E3B3A"/>
    <w:rsid w:val="00903165"/>
    <w:rsid w:val="009048B8"/>
    <w:rsid w:val="00970419"/>
    <w:rsid w:val="009818AD"/>
    <w:rsid w:val="0098556E"/>
    <w:rsid w:val="009B7090"/>
    <w:rsid w:val="00A774D2"/>
    <w:rsid w:val="00A80477"/>
    <w:rsid w:val="00AB1911"/>
    <w:rsid w:val="00AD1350"/>
    <w:rsid w:val="00B02A0E"/>
    <w:rsid w:val="00B837F1"/>
    <w:rsid w:val="00B869E6"/>
    <w:rsid w:val="00B91F3E"/>
    <w:rsid w:val="00C017DE"/>
    <w:rsid w:val="00C5420A"/>
    <w:rsid w:val="00DD245D"/>
    <w:rsid w:val="00DD756F"/>
    <w:rsid w:val="00E820A4"/>
    <w:rsid w:val="00F063F3"/>
    <w:rsid w:val="00F877BC"/>
    <w:rsid w:val="00FC459B"/>
    <w:rsid w:val="00FE6543"/>
    <w:rsid w:val="00FF2D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7992C"/>
  <w15:docId w15:val="{A49A4555-BD80-450D-BC4A-28BF1968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543"/>
    <w:rPr>
      <w:szCs w:val="20"/>
    </w:rPr>
  </w:style>
  <w:style w:type="paragraph" w:styleId="Heading1">
    <w:name w:val="heading 1"/>
    <w:basedOn w:val="Normal"/>
    <w:next w:val="Normal"/>
    <w:link w:val="Heading1Char"/>
    <w:uiPriority w:val="9"/>
    <w:qFormat/>
    <w:rsid w:val="00FE654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43"/>
    <w:rPr>
      <w:rFonts w:asciiTheme="majorHAnsi" w:eastAsiaTheme="majorEastAsia" w:hAnsiTheme="majorHAnsi" w:cstheme="majorBidi"/>
      <w:color w:val="2E74B5" w:themeColor="accent1" w:themeShade="BF"/>
      <w:sz w:val="32"/>
      <w:szCs w:val="32"/>
      <w:lang w:val="en-GB"/>
    </w:rPr>
  </w:style>
  <w:style w:type="paragraph" w:styleId="FootnoteText">
    <w:name w:val="footnote text"/>
    <w:basedOn w:val="Normal"/>
    <w:link w:val="FootnoteTextChar"/>
    <w:uiPriority w:val="99"/>
    <w:unhideWhenUsed/>
    <w:rsid w:val="00FE6543"/>
    <w:pPr>
      <w:spacing w:after="0" w:line="240" w:lineRule="auto"/>
    </w:pPr>
  </w:style>
  <w:style w:type="character" w:customStyle="1" w:styleId="FootnoteTextChar">
    <w:name w:val="Footnote Text Char"/>
    <w:basedOn w:val="DefaultParagraphFont"/>
    <w:link w:val="FootnoteText"/>
    <w:uiPriority w:val="99"/>
    <w:rsid w:val="00FE6543"/>
    <w:rPr>
      <w:szCs w:val="20"/>
    </w:rPr>
  </w:style>
  <w:style w:type="character" w:styleId="FootnoteReference">
    <w:name w:val="footnote reference"/>
    <w:basedOn w:val="DefaultParagraphFont"/>
    <w:uiPriority w:val="99"/>
    <w:unhideWhenUsed/>
    <w:rsid w:val="00FE6543"/>
    <w:rPr>
      <w:vertAlign w:val="superscript"/>
    </w:rPr>
  </w:style>
  <w:style w:type="character" w:styleId="Hyperlink">
    <w:name w:val="Hyperlink"/>
    <w:basedOn w:val="DefaultParagraphFont"/>
    <w:uiPriority w:val="99"/>
    <w:unhideWhenUsed/>
    <w:rsid w:val="00FE6543"/>
    <w:rPr>
      <w:color w:val="0563C1" w:themeColor="hyperlink"/>
      <w:u w:val="single"/>
    </w:rPr>
  </w:style>
  <w:style w:type="paragraph" w:styleId="BalloonText">
    <w:name w:val="Balloon Text"/>
    <w:basedOn w:val="Normal"/>
    <w:link w:val="BalloonTextChar"/>
    <w:uiPriority w:val="99"/>
    <w:semiHidden/>
    <w:unhideWhenUsed/>
    <w:rsid w:val="00FE6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543"/>
    <w:rPr>
      <w:rFonts w:ascii="Segoe UI" w:hAnsi="Segoe UI" w:cs="Segoe UI"/>
      <w:sz w:val="18"/>
      <w:szCs w:val="18"/>
    </w:rPr>
  </w:style>
  <w:style w:type="paragraph" w:styleId="Caption">
    <w:name w:val="caption"/>
    <w:basedOn w:val="Normal"/>
    <w:next w:val="Normal"/>
    <w:uiPriority w:val="35"/>
    <w:unhideWhenUsed/>
    <w:qFormat/>
    <w:rsid w:val="00FE6543"/>
    <w:pPr>
      <w:spacing w:after="200" w:line="240" w:lineRule="auto"/>
    </w:pPr>
    <w:rPr>
      <w:b/>
      <w:bCs/>
      <w:color w:val="5B9BD5" w:themeColor="accent1"/>
      <w:sz w:val="18"/>
      <w:szCs w:val="18"/>
    </w:rPr>
  </w:style>
  <w:style w:type="paragraph" w:styleId="Footer">
    <w:name w:val="footer"/>
    <w:basedOn w:val="Normal"/>
    <w:link w:val="FooterChar"/>
    <w:uiPriority w:val="99"/>
    <w:unhideWhenUsed/>
    <w:rsid w:val="00FE65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6543"/>
    <w:rPr>
      <w:szCs w:val="20"/>
    </w:rPr>
  </w:style>
  <w:style w:type="character" w:styleId="PageNumber">
    <w:name w:val="page number"/>
    <w:basedOn w:val="DefaultParagraphFont"/>
    <w:uiPriority w:val="99"/>
    <w:semiHidden/>
    <w:unhideWhenUsed/>
    <w:rsid w:val="00FE6543"/>
  </w:style>
  <w:style w:type="character" w:styleId="CommentReference">
    <w:name w:val="annotation reference"/>
    <w:basedOn w:val="DefaultParagraphFont"/>
    <w:uiPriority w:val="99"/>
    <w:semiHidden/>
    <w:unhideWhenUsed/>
    <w:rsid w:val="00FE6543"/>
    <w:rPr>
      <w:sz w:val="18"/>
      <w:szCs w:val="18"/>
    </w:rPr>
  </w:style>
  <w:style w:type="paragraph" w:styleId="CommentText">
    <w:name w:val="annotation text"/>
    <w:basedOn w:val="Normal"/>
    <w:link w:val="CommentTextChar"/>
    <w:uiPriority w:val="99"/>
    <w:semiHidden/>
    <w:unhideWhenUsed/>
    <w:rsid w:val="00FE6543"/>
    <w:pPr>
      <w:spacing w:line="240" w:lineRule="auto"/>
    </w:pPr>
  </w:style>
  <w:style w:type="character" w:customStyle="1" w:styleId="CommentTextChar">
    <w:name w:val="Comment Text Char"/>
    <w:basedOn w:val="DefaultParagraphFont"/>
    <w:link w:val="CommentText"/>
    <w:uiPriority w:val="99"/>
    <w:semiHidden/>
    <w:rsid w:val="00FE6543"/>
    <w:rPr>
      <w:szCs w:val="20"/>
    </w:rPr>
  </w:style>
  <w:style w:type="paragraph" w:styleId="CommentSubject">
    <w:name w:val="annotation subject"/>
    <w:basedOn w:val="CommentText"/>
    <w:next w:val="CommentText"/>
    <w:link w:val="CommentSubjectChar"/>
    <w:uiPriority w:val="99"/>
    <w:semiHidden/>
    <w:unhideWhenUsed/>
    <w:rsid w:val="00FE6543"/>
    <w:rPr>
      <w:b/>
      <w:bCs/>
    </w:rPr>
  </w:style>
  <w:style w:type="character" w:customStyle="1" w:styleId="CommentSubjectChar">
    <w:name w:val="Comment Subject Char"/>
    <w:basedOn w:val="CommentTextChar"/>
    <w:link w:val="CommentSubject"/>
    <w:uiPriority w:val="99"/>
    <w:semiHidden/>
    <w:rsid w:val="00FE6543"/>
    <w:rPr>
      <w:b/>
      <w:bCs/>
      <w:szCs w:val="20"/>
    </w:rPr>
  </w:style>
  <w:style w:type="paragraph" w:styleId="Header">
    <w:name w:val="header"/>
    <w:basedOn w:val="Normal"/>
    <w:link w:val="HeaderChar"/>
    <w:uiPriority w:val="99"/>
    <w:unhideWhenUsed/>
    <w:rsid w:val="00FE6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543"/>
    <w:rPr>
      <w:szCs w:val="20"/>
    </w:rPr>
  </w:style>
  <w:style w:type="paragraph" w:styleId="Revision">
    <w:name w:val="Revision"/>
    <w:hidden/>
    <w:uiPriority w:val="99"/>
    <w:semiHidden/>
    <w:rsid w:val="00FE6543"/>
    <w:pPr>
      <w:spacing w:after="0" w:line="240" w:lineRule="auto"/>
    </w:pPr>
    <w:rPr>
      <w:sz w:val="24"/>
    </w:rPr>
  </w:style>
  <w:style w:type="character" w:customStyle="1" w:styleId="UnresolvedMention1">
    <w:name w:val="Unresolved Mention1"/>
    <w:basedOn w:val="DefaultParagraphFont"/>
    <w:uiPriority w:val="99"/>
    <w:semiHidden/>
    <w:unhideWhenUsed/>
    <w:rsid w:val="00FE6543"/>
    <w:rPr>
      <w:color w:val="808080"/>
      <w:shd w:val="clear" w:color="auto" w:fill="E6E6E6"/>
    </w:rPr>
  </w:style>
  <w:style w:type="character" w:styleId="FollowedHyperlink">
    <w:name w:val="FollowedHyperlink"/>
    <w:basedOn w:val="DefaultParagraphFont"/>
    <w:uiPriority w:val="99"/>
    <w:semiHidden/>
    <w:unhideWhenUsed/>
    <w:rsid w:val="00FE6543"/>
    <w:rPr>
      <w:color w:val="954F72" w:themeColor="followedHyperlink"/>
      <w:u w:val="single"/>
    </w:rPr>
  </w:style>
  <w:style w:type="paragraph" w:customStyle="1" w:styleId="EndNoteBibliographyTitle">
    <w:name w:val="EndNote Bibliography Title"/>
    <w:basedOn w:val="Normal"/>
    <w:link w:val="EndNoteBibliographyTitleChar"/>
    <w:rsid w:val="00FE6543"/>
    <w:pPr>
      <w:spacing w:after="0"/>
      <w:jc w:val="center"/>
    </w:pPr>
    <w:rPr>
      <w:noProof/>
      <w:lang w:val="en-US"/>
    </w:rPr>
  </w:style>
  <w:style w:type="character" w:customStyle="1" w:styleId="EndNoteBibliographyTitleChar">
    <w:name w:val="EndNote Bibliography Title Char"/>
    <w:basedOn w:val="FootnoteTextChar"/>
    <w:link w:val="EndNoteBibliographyTitle"/>
    <w:rsid w:val="00FE6543"/>
    <w:rPr>
      <w:noProof/>
      <w:szCs w:val="20"/>
      <w:lang w:val="en-US"/>
    </w:rPr>
  </w:style>
  <w:style w:type="paragraph" w:customStyle="1" w:styleId="EndNoteBibliography">
    <w:name w:val="EndNote Bibliography"/>
    <w:basedOn w:val="Normal"/>
    <w:link w:val="EndNoteBibliographyChar"/>
    <w:rsid w:val="00FE6543"/>
    <w:pPr>
      <w:spacing w:line="240" w:lineRule="auto"/>
      <w:jc w:val="both"/>
    </w:pPr>
    <w:rPr>
      <w:noProof/>
      <w:lang w:val="en-US"/>
    </w:rPr>
  </w:style>
  <w:style w:type="character" w:customStyle="1" w:styleId="EndNoteBibliographyChar">
    <w:name w:val="EndNote Bibliography Char"/>
    <w:basedOn w:val="FootnoteTextChar"/>
    <w:link w:val="EndNoteBibliography"/>
    <w:rsid w:val="00FE6543"/>
    <w:rPr>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7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ierraleonetrc.org/index.php/view-the-final-report/download-table-of-contents" TargetMode="External"/><Relationship Id="rId3" Type="http://schemas.openxmlformats.org/officeDocument/2006/relationships/hyperlink" Target="https://www.ictj.org/sites/default/files/ICTJ-Global-Making-Impact-2011-English.pdf" TargetMode="External"/><Relationship Id="rId7" Type="http://schemas.openxmlformats.org/officeDocument/2006/relationships/hyperlink" Target="https://www.ictj.org/sites/default/files/ICTJ-Report-Children-Youth-Outreach-2012.pdf" TargetMode="External"/><Relationship Id="rId2" Type="http://schemas.openxmlformats.org/officeDocument/2006/relationships/hyperlink" Target="http://www.rscsl.org/Resources.html" TargetMode="External"/><Relationship Id="rId1" Type="http://schemas.openxmlformats.org/officeDocument/2006/relationships/hyperlink" Target="http://www.tjdbproject.com" TargetMode="External"/><Relationship Id="rId6" Type="http://schemas.openxmlformats.org/officeDocument/2006/relationships/hyperlink" Target="https://www.usip.org/publications/2005/02/rethinking-truth-and-reconciliation-commissions-lessons-sierra-leone" TargetMode="External"/><Relationship Id="rId5" Type="http://schemas.openxmlformats.org/officeDocument/2006/relationships/hyperlink" Target="http://www.un.org/en/preventgenocide/rwanda/education/education.shtml" TargetMode="External"/><Relationship Id="rId4" Type="http://schemas.openxmlformats.org/officeDocument/2006/relationships/hyperlink" Target="http://www.sierraleonetrc.org/index.php/view-the-final-report/popular-reports/item/trc-report-a-secondary-school-version?category_id=16" TargetMode="External"/><Relationship Id="rId9" Type="http://schemas.openxmlformats.org/officeDocument/2006/relationships/hyperlink" Target="http://positivenegatives.org/about/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41EF-5649-D94F-A3C2-97232D85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7807</Words>
  <Characters>44502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Wedderburn</dc:creator>
  <cp:keywords/>
  <dc:description/>
  <cp:lastModifiedBy>Redwood, Henry</cp:lastModifiedBy>
  <cp:revision>2</cp:revision>
  <cp:lastPrinted>2019-01-25T02:04:00Z</cp:lastPrinted>
  <dcterms:created xsi:type="dcterms:W3CDTF">2019-06-21T07:57:00Z</dcterms:created>
  <dcterms:modified xsi:type="dcterms:W3CDTF">2019-06-21T07:57:00Z</dcterms:modified>
</cp:coreProperties>
</file>