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05D970" w14:textId="77777777" w:rsidR="00FD58AE" w:rsidRPr="00CC6CA3" w:rsidRDefault="00FD58AE" w:rsidP="009762AE">
      <w:pPr>
        <w:pStyle w:val="COVERPAGETEXT"/>
        <w:rPr>
          <w:rFonts w:ascii="Times New Roman" w:hAnsi="Times New Roman" w:cs="Times New Roman"/>
        </w:rPr>
      </w:pPr>
      <w:bookmarkStart w:id="0" w:name="_Hlk498715502"/>
      <w:bookmarkEnd w:id="0"/>
    </w:p>
    <w:p w14:paraId="60737580" w14:textId="77777777" w:rsidR="00FD58AE" w:rsidRPr="00CC6CA3" w:rsidRDefault="00FD58AE" w:rsidP="009762AE">
      <w:pPr>
        <w:pStyle w:val="COVERPAGETEXT"/>
        <w:rPr>
          <w:rFonts w:ascii="Times New Roman" w:hAnsi="Times New Roman" w:cs="Times New Roman"/>
        </w:rPr>
      </w:pPr>
    </w:p>
    <w:p w14:paraId="2F335802"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LONDON SOUTH BANK UNIVERSITY</w:t>
      </w:r>
    </w:p>
    <w:p w14:paraId="5FC406AA" w14:textId="77777777" w:rsidR="003115AE" w:rsidRPr="00CC6CA3" w:rsidRDefault="003115AE" w:rsidP="003115AE">
      <w:pPr>
        <w:pStyle w:val="COVERPAGETEXT"/>
        <w:rPr>
          <w:rFonts w:ascii="Times New Roman" w:hAnsi="Times New Roman" w:cs="Times New Roman"/>
        </w:rPr>
      </w:pPr>
    </w:p>
    <w:p w14:paraId="7E4089FC" w14:textId="77777777" w:rsidR="003115AE" w:rsidRPr="00CC6CA3" w:rsidRDefault="003115AE" w:rsidP="003115AE">
      <w:pPr>
        <w:pStyle w:val="COVERPAGETEXT"/>
        <w:rPr>
          <w:rFonts w:ascii="Times New Roman" w:hAnsi="Times New Roman" w:cs="Times New Roman"/>
        </w:rPr>
      </w:pPr>
      <w:r w:rsidRPr="00CC6CA3">
        <w:rPr>
          <w:noProof/>
          <w:lang w:eastAsia="zh-CN"/>
        </w:rPr>
        <w:drawing>
          <wp:inline distT="0" distB="0" distL="0" distR="0" wp14:anchorId="360B37FD" wp14:editId="676FC052">
            <wp:extent cx="1898039" cy="1898039"/>
            <wp:effectExtent l="0" t="0" r="6985" b="6985"/>
            <wp:docPr id="24" name="Picture 24" descr="Image result for ls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sb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0303" cy="1920303"/>
                    </a:xfrm>
                    <a:prstGeom prst="rect">
                      <a:avLst/>
                    </a:prstGeom>
                    <a:noFill/>
                    <a:ln>
                      <a:noFill/>
                    </a:ln>
                  </pic:spPr>
                </pic:pic>
              </a:graphicData>
            </a:graphic>
          </wp:inline>
        </w:drawing>
      </w:r>
    </w:p>
    <w:p w14:paraId="0CFA8DC6" w14:textId="77777777" w:rsidR="003115AE" w:rsidRPr="00CC6CA3" w:rsidRDefault="003115AE" w:rsidP="003115AE">
      <w:pPr>
        <w:pStyle w:val="COVERPAGETEXT"/>
        <w:rPr>
          <w:rFonts w:ascii="Times New Roman" w:hAnsi="Times New Roman" w:cs="Times New Roman"/>
        </w:rPr>
      </w:pPr>
    </w:p>
    <w:p w14:paraId="031D96E9"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XIAOXIA LIANG</w:t>
      </w:r>
    </w:p>
    <w:p w14:paraId="2133220B" w14:textId="77777777" w:rsidR="003115AE" w:rsidRPr="00CC6CA3" w:rsidRDefault="003115AE" w:rsidP="003115AE">
      <w:pPr>
        <w:pStyle w:val="COVERPAGETEXT"/>
        <w:rPr>
          <w:rFonts w:ascii="Times New Roman" w:hAnsi="Times New Roman" w:cs="Times New Roman"/>
        </w:rPr>
      </w:pPr>
    </w:p>
    <w:p w14:paraId="41ADB8B8" w14:textId="77777777" w:rsidR="003115AE" w:rsidRPr="00CC6CA3" w:rsidRDefault="003115AE" w:rsidP="003115AE">
      <w:pPr>
        <w:pStyle w:val="COVERPAGETEXT"/>
        <w:rPr>
          <w:rFonts w:ascii="Times New Roman" w:hAnsi="Times New Roman" w:cs="Times New Roman"/>
        </w:rPr>
      </w:pPr>
    </w:p>
    <w:p w14:paraId="40944894" w14:textId="1C612064" w:rsidR="003115AE" w:rsidRPr="00CC6CA3" w:rsidRDefault="002A68A8" w:rsidP="003115AE">
      <w:pPr>
        <w:pStyle w:val="COVERPAGETEXT"/>
        <w:rPr>
          <w:rFonts w:ascii="Times New Roman" w:hAnsi="Times New Roman" w:cs="Times New Roman"/>
        </w:rPr>
      </w:pPr>
      <w:r w:rsidRPr="00CC6CA3">
        <w:rPr>
          <w:rFonts w:ascii="Times New Roman" w:hAnsi="Times New Roman" w:cs="Times New Roman"/>
        </w:rPr>
        <w:t xml:space="preserve">CONDITION-BASED RISK ASSESSMENT STRATEGY AND ITS HEALTH INDICATOR WITH APPLICATION TO PUMPS AND </w:t>
      </w:r>
      <w:r w:rsidR="003115AE" w:rsidRPr="00CC6CA3">
        <w:rPr>
          <w:rFonts w:ascii="Times New Roman" w:hAnsi="Times New Roman" w:cs="Times New Roman"/>
        </w:rPr>
        <w:t>COMPRESSORS</w:t>
      </w:r>
    </w:p>
    <w:p w14:paraId="13B13886" w14:textId="77777777" w:rsidR="003115AE" w:rsidRPr="00CC6CA3" w:rsidRDefault="003115AE" w:rsidP="003115AE">
      <w:pPr>
        <w:pStyle w:val="COVERPAGETEXT"/>
        <w:rPr>
          <w:rFonts w:ascii="Times New Roman" w:hAnsi="Times New Roman" w:cs="Times New Roman"/>
        </w:rPr>
      </w:pPr>
    </w:p>
    <w:p w14:paraId="10D22F98" w14:textId="77777777" w:rsidR="003115AE" w:rsidRPr="00CC6CA3" w:rsidRDefault="003115AE" w:rsidP="003115AE">
      <w:pPr>
        <w:pStyle w:val="COVERPAGETEXT"/>
        <w:rPr>
          <w:rFonts w:ascii="Times New Roman" w:hAnsi="Times New Roman" w:cs="Times New Roman"/>
        </w:rPr>
      </w:pPr>
    </w:p>
    <w:p w14:paraId="6A78958F" w14:textId="77777777" w:rsidR="003115AE" w:rsidRPr="00CC6CA3" w:rsidRDefault="003115AE" w:rsidP="003115AE">
      <w:pPr>
        <w:pStyle w:val="COVERPAGETEXT"/>
        <w:rPr>
          <w:rFonts w:ascii="Times New Roman" w:hAnsi="Times New Roman" w:cs="Times New Roman"/>
        </w:rPr>
      </w:pPr>
    </w:p>
    <w:p w14:paraId="2F0E89C2"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SCHOOL OF ENGINEERING</w:t>
      </w:r>
    </w:p>
    <w:p w14:paraId="5BC7A626" w14:textId="77777777" w:rsidR="003115AE" w:rsidRPr="00CC6CA3" w:rsidRDefault="003115AE" w:rsidP="003115AE">
      <w:pPr>
        <w:pStyle w:val="COVERPAGETEXT"/>
        <w:rPr>
          <w:rFonts w:ascii="Times New Roman" w:hAnsi="Times New Roman" w:cs="Times New Roman"/>
        </w:rPr>
      </w:pPr>
    </w:p>
    <w:p w14:paraId="153DF55F" w14:textId="77777777" w:rsidR="003115AE" w:rsidRPr="00CC6CA3" w:rsidRDefault="003115AE" w:rsidP="003115AE">
      <w:pPr>
        <w:pStyle w:val="COVERPAGETEXT"/>
        <w:rPr>
          <w:rFonts w:ascii="Times New Roman" w:hAnsi="Times New Roman" w:cs="Times New Roman"/>
        </w:rPr>
      </w:pPr>
    </w:p>
    <w:p w14:paraId="04FAF0C4" w14:textId="24F373C6"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Full</w:t>
      </w:r>
      <w:r w:rsidR="00BF6955" w:rsidRPr="00CC6CA3">
        <w:rPr>
          <w:rFonts w:ascii="Times New Roman" w:hAnsi="Times New Roman" w:cs="Times New Roman"/>
        </w:rPr>
        <w:t>-</w:t>
      </w:r>
      <w:r w:rsidRPr="00CC6CA3">
        <w:rPr>
          <w:rFonts w:ascii="Times New Roman" w:hAnsi="Times New Roman" w:cs="Times New Roman"/>
        </w:rPr>
        <w:t>Time Ph.D.</w:t>
      </w:r>
    </w:p>
    <w:p w14:paraId="29F34BF9" w14:textId="02B561FE"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Academic Year: 2015 - 2</w:t>
      </w:r>
      <w:r w:rsidR="0002209E" w:rsidRPr="00CC6CA3">
        <w:rPr>
          <w:rFonts w:ascii="Times New Roman" w:hAnsi="Times New Roman" w:cs="Times New Roman"/>
        </w:rPr>
        <w:t>02</w:t>
      </w:r>
      <w:r w:rsidR="007946F7" w:rsidRPr="00CC6CA3">
        <w:rPr>
          <w:rFonts w:ascii="Times New Roman" w:hAnsi="Times New Roman" w:cs="Times New Roman"/>
        </w:rPr>
        <w:t>1</w:t>
      </w:r>
    </w:p>
    <w:p w14:paraId="75B64ED8" w14:textId="77777777" w:rsidR="003115AE" w:rsidRPr="00CC6CA3" w:rsidRDefault="003115AE" w:rsidP="003115AE">
      <w:pPr>
        <w:pStyle w:val="COVERPAGETEXT"/>
        <w:rPr>
          <w:rFonts w:ascii="Times New Roman" w:hAnsi="Times New Roman" w:cs="Times New Roman"/>
        </w:rPr>
      </w:pPr>
    </w:p>
    <w:p w14:paraId="6DFBA7EE" w14:textId="77777777" w:rsidR="003115AE" w:rsidRPr="00CC6CA3" w:rsidRDefault="003115AE" w:rsidP="003115AE">
      <w:pPr>
        <w:pStyle w:val="COVERPAGETEXT"/>
        <w:rPr>
          <w:rFonts w:ascii="Times New Roman" w:hAnsi="Times New Roman" w:cs="Times New Roman"/>
        </w:rPr>
      </w:pPr>
    </w:p>
    <w:p w14:paraId="6A665237" w14:textId="77777777" w:rsidR="003115AE" w:rsidRPr="00CC6CA3" w:rsidRDefault="003115AE" w:rsidP="003115AE">
      <w:pPr>
        <w:pStyle w:val="COVERPAGETEXT"/>
        <w:rPr>
          <w:rFonts w:ascii="Times New Roman" w:hAnsi="Times New Roman" w:cs="Times New Roman"/>
        </w:rPr>
      </w:pPr>
    </w:p>
    <w:p w14:paraId="726CF273"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Supervisors: Dr. Sandra Dudley</w:t>
      </w:r>
    </w:p>
    <w:p w14:paraId="589E2A40"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Dr. Fang Duan</w:t>
      </w:r>
    </w:p>
    <w:p w14:paraId="46C7B87C"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External Supervisor: Prof. David Mba</w:t>
      </w:r>
    </w:p>
    <w:p w14:paraId="76FD41B6" w14:textId="77777777" w:rsidR="003115AE" w:rsidRPr="00CC6CA3" w:rsidRDefault="003115AE" w:rsidP="003115AE">
      <w:pPr>
        <w:pStyle w:val="COVERPAGETEXT"/>
        <w:rPr>
          <w:rFonts w:ascii="Times New Roman" w:hAnsi="Times New Roman" w:cs="Times New Roman"/>
        </w:rPr>
      </w:pPr>
    </w:p>
    <w:p w14:paraId="6CCEED0F" w14:textId="77777777" w:rsidR="003115AE" w:rsidRPr="00CC6CA3" w:rsidRDefault="003115AE" w:rsidP="003115AE">
      <w:pPr>
        <w:pStyle w:val="COVERPAGETEXT"/>
        <w:rPr>
          <w:rFonts w:ascii="Times New Roman" w:hAnsi="Times New Roman" w:cs="Times New Roman"/>
        </w:rPr>
      </w:pPr>
    </w:p>
    <w:p w14:paraId="596941B9" w14:textId="20C224CA" w:rsidR="003115AE" w:rsidRPr="00CC6CA3" w:rsidRDefault="003115AE" w:rsidP="003115AE">
      <w:pPr>
        <w:pStyle w:val="COVERPAGETEXT"/>
        <w:rPr>
          <w:rFonts w:ascii="Times New Roman" w:hAnsi="Times New Roman" w:cs="Times New Roman"/>
        </w:rPr>
        <w:sectPr w:rsidR="003115AE" w:rsidRPr="00CC6CA3" w:rsidSect="000C1690">
          <w:footerReference w:type="default" r:id="rId9"/>
          <w:pgSz w:w="11906" w:h="16838" w:code="9"/>
          <w:pgMar w:top="1701" w:right="1701" w:bottom="1701" w:left="1701" w:header="709" w:footer="851" w:gutter="0"/>
          <w:pgNumType w:fmt="lowerRoman" w:start="1"/>
          <w:cols w:space="708"/>
          <w:docGrid w:linePitch="360"/>
        </w:sectPr>
      </w:pPr>
      <w:r w:rsidRPr="00CC6CA3">
        <w:rPr>
          <w:rFonts w:ascii="Times New Roman" w:hAnsi="Times New Roman" w:cs="Times New Roman"/>
        </w:rPr>
        <w:t>June 20</w:t>
      </w:r>
      <w:r w:rsidR="007946F7" w:rsidRPr="00CC6CA3">
        <w:rPr>
          <w:rFonts w:ascii="Times New Roman" w:hAnsi="Times New Roman" w:cs="Times New Roman"/>
        </w:rPr>
        <w:t>21</w:t>
      </w:r>
    </w:p>
    <w:p w14:paraId="33B06341" w14:textId="77777777" w:rsidR="003115AE" w:rsidRPr="00CC6CA3" w:rsidRDefault="003115AE" w:rsidP="003115AE">
      <w:pPr>
        <w:pStyle w:val="COVERPAGETEXT"/>
        <w:jc w:val="both"/>
        <w:rPr>
          <w:rFonts w:ascii="Times New Roman" w:hAnsi="Times New Roman" w:cs="Times New Roman"/>
        </w:rPr>
      </w:pPr>
    </w:p>
    <w:p w14:paraId="10DC7594"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LONDON SOUTH BANK UNIVERSITY</w:t>
      </w:r>
    </w:p>
    <w:p w14:paraId="749774BF" w14:textId="77777777" w:rsidR="003115AE" w:rsidRPr="00CC6CA3" w:rsidRDefault="003115AE" w:rsidP="003115AE">
      <w:pPr>
        <w:pStyle w:val="COVERPAGETEXT"/>
        <w:rPr>
          <w:rFonts w:ascii="Times New Roman" w:hAnsi="Times New Roman" w:cs="Times New Roman"/>
        </w:rPr>
      </w:pPr>
    </w:p>
    <w:p w14:paraId="7166B640" w14:textId="77777777" w:rsidR="003115AE" w:rsidRPr="00CC6CA3" w:rsidRDefault="003115AE" w:rsidP="003115AE">
      <w:pPr>
        <w:pStyle w:val="COVERPAGETEXT"/>
        <w:rPr>
          <w:rFonts w:ascii="Times New Roman" w:hAnsi="Times New Roman" w:cs="Times New Roman"/>
        </w:rPr>
      </w:pPr>
    </w:p>
    <w:p w14:paraId="0C6AA0A0"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SCHOOL OF ENGINEERING</w:t>
      </w:r>
    </w:p>
    <w:p w14:paraId="71A0D8D6" w14:textId="77777777" w:rsidR="003115AE" w:rsidRPr="00CC6CA3" w:rsidRDefault="003115AE" w:rsidP="003115AE">
      <w:pPr>
        <w:pStyle w:val="COVERPAGETEXT"/>
        <w:rPr>
          <w:rFonts w:ascii="Times New Roman" w:hAnsi="Times New Roman" w:cs="Times New Roman"/>
        </w:rPr>
      </w:pPr>
    </w:p>
    <w:p w14:paraId="42AB8B38" w14:textId="77777777" w:rsidR="003115AE" w:rsidRPr="00CC6CA3" w:rsidRDefault="003115AE" w:rsidP="003115AE">
      <w:pPr>
        <w:pStyle w:val="COVERPAGETEXT"/>
        <w:rPr>
          <w:rFonts w:ascii="Times New Roman" w:hAnsi="Times New Roman" w:cs="Times New Roman"/>
        </w:rPr>
      </w:pPr>
    </w:p>
    <w:p w14:paraId="4A08B863" w14:textId="68C5DA5D"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Full</w:t>
      </w:r>
      <w:r w:rsidR="00BF6955" w:rsidRPr="00CC6CA3">
        <w:rPr>
          <w:rFonts w:ascii="Times New Roman" w:hAnsi="Times New Roman" w:cs="Times New Roman"/>
        </w:rPr>
        <w:t>-</w:t>
      </w:r>
      <w:r w:rsidRPr="00CC6CA3">
        <w:rPr>
          <w:rFonts w:ascii="Times New Roman" w:hAnsi="Times New Roman" w:cs="Times New Roman"/>
        </w:rPr>
        <w:t>Time Ph.D.</w:t>
      </w:r>
    </w:p>
    <w:p w14:paraId="4B968E06" w14:textId="4D983ED3"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Academic Year: 2015 - 20</w:t>
      </w:r>
      <w:r w:rsidR="0002209E" w:rsidRPr="00CC6CA3">
        <w:rPr>
          <w:rFonts w:ascii="Times New Roman" w:hAnsi="Times New Roman" w:cs="Times New Roman"/>
        </w:rPr>
        <w:t>2</w:t>
      </w:r>
      <w:r w:rsidR="007946F7" w:rsidRPr="00CC6CA3">
        <w:rPr>
          <w:rFonts w:ascii="Times New Roman" w:hAnsi="Times New Roman" w:cs="Times New Roman"/>
        </w:rPr>
        <w:t>1</w:t>
      </w:r>
    </w:p>
    <w:p w14:paraId="69D350C6" w14:textId="77777777" w:rsidR="003115AE" w:rsidRPr="00CC6CA3" w:rsidRDefault="003115AE" w:rsidP="003115AE">
      <w:pPr>
        <w:pStyle w:val="COVERPAGETEXT"/>
        <w:rPr>
          <w:rFonts w:ascii="Times New Roman" w:hAnsi="Times New Roman" w:cs="Times New Roman"/>
        </w:rPr>
      </w:pPr>
    </w:p>
    <w:p w14:paraId="6ACE988A"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XIAOXIA LIANG</w:t>
      </w:r>
    </w:p>
    <w:p w14:paraId="12BED375" w14:textId="77777777" w:rsidR="003115AE" w:rsidRPr="00CC6CA3" w:rsidRDefault="003115AE" w:rsidP="003115AE">
      <w:pPr>
        <w:pStyle w:val="COVERPAGETEXT"/>
        <w:rPr>
          <w:rFonts w:ascii="Times New Roman" w:hAnsi="Times New Roman" w:cs="Times New Roman"/>
        </w:rPr>
      </w:pPr>
    </w:p>
    <w:p w14:paraId="3DC2E394" w14:textId="77777777" w:rsidR="003115AE" w:rsidRPr="00CC6CA3" w:rsidRDefault="003115AE" w:rsidP="003115AE">
      <w:pPr>
        <w:pStyle w:val="COVERPAGETEXT"/>
        <w:rPr>
          <w:rFonts w:ascii="Times New Roman" w:hAnsi="Times New Roman" w:cs="Times New Roman"/>
        </w:rPr>
      </w:pPr>
    </w:p>
    <w:p w14:paraId="78A187D1" w14:textId="552469D7" w:rsidR="003115AE" w:rsidRPr="00CC6CA3" w:rsidRDefault="002A68A8" w:rsidP="002A68A8">
      <w:pPr>
        <w:pStyle w:val="COVERPAGETEXT"/>
        <w:rPr>
          <w:rFonts w:ascii="Times New Roman" w:hAnsi="Times New Roman" w:cs="Times New Roman"/>
        </w:rPr>
      </w:pPr>
      <w:r w:rsidRPr="00CC6CA3">
        <w:rPr>
          <w:rFonts w:ascii="Times New Roman" w:hAnsi="Times New Roman" w:cs="Times New Roman"/>
        </w:rPr>
        <w:t>CONDITION-BASED RISK ASSESSMENT STRATEGY AND ITS HEALTH INDICATOR WITH APPLICATION TO PUMPS AND COMPRESSORS</w:t>
      </w:r>
    </w:p>
    <w:p w14:paraId="67E46212" w14:textId="77777777" w:rsidR="003115AE" w:rsidRPr="00CC6CA3" w:rsidRDefault="003115AE" w:rsidP="003115AE">
      <w:pPr>
        <w:pStyle w:val="COVERPAGETEXT"/>
        <w:rPr>
          <w:rFonts w:ascii="Times New Roman" w:hAnsi="Times New Roman" w:cs="Times New Roman"/>
        </w:rPr>
      </w:pPr>
    </w:p>
    <w:p w14:paraId="3F934433" w14:textId="77777777" w:rsidR="003115AE" w:rsidRPr="00CC6CA3" w:rsidRDefault="003115AE" w:rsidP="003115AE">
      <w:pPr>
        <w:pStyle w:val="COVERPAGETEXT"/>
        <w:rPr>
          <w:rFonts w:ascii="Times New Roman" w:hAnsi="Times New Roman" w:cs="Times New Roman"/>
        </w:rPr>
      </w:pPr>
    </w:p>
    <w:p w14:paraId="0FAC3571" w14:textId="77777777" w:rsidR="003115AE" w:rsidRPr="00CC6CA3" w:rsidRDefault="003115AE" w:rsidP="003115AE">
      <w:pPr>
        <w:pStyle w:val="COVERPAGETEXT"/>
        <w:rPr>
          <w:rFonts w:ascii="Times New Roman" w:hAnsi="Times New Roman" w:cs="Times New Roman"/>
        </w:rPr>
      </w:pPr>
    </w:p>
    <w:p w14:paraId="5C8AEC84"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Supervisors: Dr. Sandra Dudley</w:t>
      </w:r>
    </w:p>
    <w:p w14:paraId="58A07432"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Dr. Fang Duan</w:t>
      </w:r>
    </w:p>
    <w:p w14:paraId="1E967FC0"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External Supervisor: Prof. David Mba</w:t>
      </w:r>
    </w:p>
    <w:p w14:paraId="0EAFBD92" w14:textId="5D1478B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June 20</w:t>
      </w:r>
      <w:r w:rsidR="007946F7" w:rsidRPr="00CC6CA3">
        <w:rPr>
          <w:rFonts w:ascii="Times New Roman" w:hAnsi="Times New Roman" w:cs="Times New Roman"/>
        </w:rPr>
        <w:t>21</w:t>
      </w:r>
    </w:p>
    <w:p w14:paraId="07085532" w14:textId="77777777" w:rsidR="003115AE" w:rsidRPr="00CC6CA3" w:rsidRDefault="003115AE" w:rsidP="003115AE">
      <w:pPr>
        <w:pStyle w:val="COVERPAGETEXT"/>
        <w:rPr>
          <w:rFonts w:ascii="Times New Roman" w:hAnsi="Times New Roman" w:cs="Times New Roman"/>
        </w:rPr>
      </w:pPr>
    </w:p>
    <w:p w14:paraId="65B919C2" w14:textId="77777777" w:rsidR="003115AE" w:rsidRPr="00CC6CA3" w:rsidRDefault="003115AE" w:rsidP="003115AE">
      <w:pPr>
        <w:pStyle w:val="COVERPAGETEXT"/>
        <w:rPr>
          <w:rFonts w:ascii="Times New Roman" w:hAnsi="Times New Roman" w:cs="Times New Roman"/>
        </w:rPr>
      </w:pPr>
    </w:p>
    <w:p w14:paraId="091E02F8" w14:textId="77777777" w:rsidR="003115AE" w:rsidRPr="00CC6CA3" w:rsidRDefault="003115AE" w:rsidP="003115AE">
      <w:pPr>
        <w:pStyle w:val="COVERPAGETEXT"/>
        <w:rPr>
          <w:rFonts w:ascii="Times New Roman" w:hAnsi="Times New Roman" w:cs="Times New Roman"/>
        </w:rPr>
      </w:pPr>
      <w:r w:rsidRPr="00CC6CA3">
        <w:rPr>
          <w:rFonts w:ascii="Times New Roman" w:hAnsi="Times New Roman" w:cs="Times New Roman"/>
        </w:rPr>
        <w:t>This thesis is submitted in partial fulfilment of the requirements for the degree of PhD</w:t>
      </w:r>
    </w:p>
    <w:p w14:paraId="5F648F40" w14:textId="77777777" w:rsidR="003115AE" w:rsidRPr="00CC6CA3" w:rsidRDefault="003115AE" w:rsidP="003115AE">
      <w:pPr>
        <w:pStyle w:val="COVERPAGETEXT"/>
        <w:rPr>
          <w:rFonts w:ascii="Times New Roman" w:hAnsi="Times New Roman" w:cs="Times New Roman"/>
        </w:rPr>
      </w:pPr>
    </w:p>
    <w:p w14:paraId="2FD87C11" w14:textId="77777777" w:rsidR="003115AE" w:rsidRPr="00CC6CA3" w:rsidRDefault="003115AE" w:rsidP="003115AE">
      <w:pPr>
        <w:pStyle w:val="COVERPAGETEXT"/>
        <w:rPr>
          <w:rFonts w:ascii="Times New Roman" w:hAnsi="Times New Roman" w:cs="Times New Roman"/>
        </w:rPr>
      </w:pPr>
    </w:p>
    <w:p w14:paraId="1F1C6EA5" w14:textId="77777777" w:rsidR="003115AE" w:rsidRPr="00CC6CA3" w:rsidRDefault="003115AE" w:rsidP="003115AE">
      <w:pPr>
        <w:pStyle w:val="COVERPAGETEXT"/>
        <w:rPr>
          <w:rFonts w:ascii="Times New Roman" w:hAnsi="Times New Roman" w:cs="Times New Roman"/>
        </w:rPr>
      </w:pPr>
    </w:p>
    <w:p w14:paraId="20CD7AF2" w14:textId="77777777" w:rsidR="003115AE" w:rsidRPr="00CC6CA3" w:rsidRDefault="003115AE" w:rsidP="003115AE">
      <w:pPr>
        <w:pStyle w:val="COVERPAGETEXT"/>
        <w:rPr>
          <w:rFonts w:ascii="Times New Roman" w:hAnsi="Times New Roman" w:cs="Times New Roman"/>
        </w:rPr>
      </w:pPr>
    </w:p>
    <w:p w14:paraId="05F268F0" w14:textId="1ADFA10B" w:rsidR="003115AE" w:rsidRPr="00CC6CA3" w:rsidRDefault="003115AE" w:rsidP="003115AE">
      <w:pPr>
        <w:pStyle w:val="COVERPAGETEXT"/>
        <w:rPr>
          <w:rFonts w:ascii="Times New Roman" w:hAnsi="Times New Roman" w:cs="Times New Roman"/>
          <w:i/>
        </w:rPr>
      </w:pPr>
      <w:r w:rsidRPr="00CC6CA3">
        <w:rPr>
          <w:rFonts w:ascii="Times New Roman" w:hAnsi="Times New Roman" w:cs="Times New Roman"/>
          <w:i/>
        </w:rPr>
        <w:t xml:space="preserve">© London South Bank University </w:t>
      </w:r>
      <w:r w:rsidR="00E5690C" w:rsidRPr="00CC6CA3">
        <w:rPr>
          <w:rFonts w:ascii="Times New Roman" w:hAnsi="Times New Roman" w:cs="Times New Roman"/>
          <w:i/>
        </w:rPr>
        <w:t>2021</w:t>
      </w:r>
      <w:r w:rsidRPr="00CC6CA3">
        <w:rPr>
          <w:rFonts w:ascii="Times New Roman" w:hAnsi="Times New Roman" w:cs="Times New Roman"/>
          <w:i/>
        </w:rPr>
        <w:t>. All rights reserved. No part of this publication may be reproduced without the written permission of the copyright owner.</w:t>
      </w:r>
    </w:p>
    <w:p w14:paraId="72BF526F" w14:textId="77777777" w:rsidR="00FD58AE" w:rsidRPr="00CC6CA3" w:rsidRDefault="00FD58AE" w:rsidP="00853F42"/>
    <w:p w14:paraId="43E66AE9" w14:textId="77777777" w:rsidR="00B32D9B" w:rsidRPr="00CC6CA3" w:rsidRDefault="00B32D9B">
      <w:pPr>
        <w:spacing w:line="259" w:lineRule="auto"/>
        <w:jc w:val="left"/>
      </w:pPr>
    </w:p>
    <w:p w14:paraId="2ABFCD93" w14:textId="77777777" w:rsidR="003046BB" w:rsidRPr="00CC6CA3" w:rsidRDefault="003046BB" w:rsidP="00356EE8">
      <w:pPr>
        <w:spacing w:line="259" w:lineRule="auto"/>
        <w:jc w:val="left"/>
        <w:outlineLvl w:val="0"/>
        <w:rPr>
          <w:b/>
        </w:rPr>
      </w:pPr>
      <w:bookmarkStart w:id="1" w:name="_Toc403570348"/>
      <w:bookmarkStart w:id="2" w:name="_Toc452300183"/>
      <w:bookmarkStart w:id="3" w:name="_Toc465934438"/>
      <w:bookmarkStart w:id="4" w:name="_Toc81553236"/>
      <w:r w:rsidRPr="00CC6CA3">
        <w:rPr>
          <w:b/>
        </w:rPr>
        <w:lastRenderedPageBreak/>
        <w:t>DECLARATION</w:t>
      </w:r>
      <w:bookmarkEnd w:id="1"/>
      <w:bookmarkEnd w:id="2"/>
      <w:bookmarkEnd w:id="3"/>
      <w:bookmarkEnd w:id="4"/>
    </w:p>
    <w:p w14:paraId="4482A4E6" w14:textId="563BC29C" w:rsidR="005F6E25" w:rsidRPr="00CC6CA3" w:rsidRDefault="005F6E25" w:rsidP="005F6E25">
      <w:r w:rsidRPr="00CC6CA3">
        <w:t xml:space="preserve">This dissertation is submitted for the degree of Doctor of Philosophy at the </w:t>
      </w:r>
      <w:r w:rsidR="00584DF8" w:rsidRPr="00CC6CA3">
        <w:t xml:space="preserve">London South Bank </w:t>
      </w:r>
      <w:r w:rsidRPr="00CC6CA3">
        <w:t xml:space="preserve">University. I declare that the work in this dissertation was carried out </w:t>
      </w:r>
      <w:r w:rsidR="00584DF8" w:rsidRPr="00CC6CA3">
        <w:rPr>
          <w:sz w:val="23"/>
          <w:szCs w:val="23"/>
        </w:rPr>
        <w:t xml:space="preserve">by myself with </w:t>
      </w:r>
      <w:r w:rsidR="00BF6955" w:rsidRPr="00CC6CA3">
        <w:rPr>
          <w:sz w:val="23"/>
          <w:szCs w:val="23"/>
        </w:rPr>
        <w:t xml:space="preserve">the </w:t>
      </w:r>
      <w:r w:rsidR="00584DF8" w:rsidRPr="00CC6CA3">
        <w:rPr>
          <w:sz w:val="23"/>
          <w:szCs w:val="23"/>
        </w:rPr>
        <w:t xml:space="preserve">fabulous support of my supervisors, </w:t>
      </w:r>
      <w:r w:rsidRPr="00CC6CA3">
        <w:t xml:space="preserve">in accordance with the Regulations of </w:t>
      </w:r>
      <w:r w:rsidR="00584DF8" w:rsidRPr="00CC6CA3">
        <w:t>London South Bank University</w:t>
      </w:r>
      <w:r w:rsidRPr="00CC6CA3">
        <w:t xml:space="preserve">. </w:t>
      </w:r>
    </w:p>
    <w:p w14:paraId="62FCE7CA" w14:textId="77777777" w:rsidR="005F6E25" w:rsidRPr="00CC6CA3" w:rsidRDefault="005F6E25" w:rsidP="005F6E25">
      <w:r w:rsidRPr="00CC6CA3">
        <w:t xml:space="preserve">This work is original except where acknowledgement and references are made to the previous work. Neither this nor any substantially similar dissertation has been or is being submitted for a degree, </w:t>
      </w:r>
      <w:proofErr w:type="gramStart"/>
      <w:r w:rsidRPr="00CC6CA3">
        <w:t>diploma</w:t>
      </w:r>
      <w:proofErr w:type="gramEnd"/>
      <w:r w:rsidRPr="00CC6CA3">
        <w:t xml:space="preserve"> or other qualification at any other university.</w:t>
      </w:r>
    </w:p>
    <w:p w14:paraId="66A48436" w14:textId="50710287" w:rsidR="003046BB" w:rsidRPr="00CC6CA3" w:rsidRDefault="003046BB" w:rsidP="003046BB">
      <w:pPr>
        <w:spacing w:line="259" w:lineRule="auto"/>
        <w:jc w:val="left"/>
        <w:rPr>
          <w:b/>
        </w:rPr>
      </w:pPr>
    </w:p>
    <w:p w14:paraId="1A7AD900" w14:textId="75E39450" w:rsidR="003046BB" w:rsidRPr="00CC6CA3" w:rsidRDefault="003046BB">
      <w:pPr>
        <w:spacing w:line="259" w:lineRule="auto"/>
        <w:jc w:val="left"/>
        <w:rPr>
          <w:b/>
        </w:rPr>
      </w:pPr>
      <w:r w:rsidRPr="00CC6CA3">
        <w:rPr>
          <w:b/>
        </w:rPr>
        <w:br w:type="page"/>
      </w:r>
    </w:p>
    <w:p w14:paraId="25C28C88" w14:textId="0A22EE67" w:rsidR="00B93782" w:rsidRPr="00CC6CA3" w:rsidRDefault="00B93782" w:rsidP="00356EE8">
      <w:pPr>
        <w:spacing w:line="259" w:lineRule="auto"/>
        <w:jc w:val="left"/>
        <w:outlineLvl w:val="0"/>
        <w:rPr>
          <w:b/>
        </w:rPr>
      </w:pPr>
      <w:bookmarkStart w:id="5" w:name="_Toc81553237"/>
      <w:r w:rsidRPr="00CC6CA3">
        <w:rPr>
          <w:b/>
        </w:rPr>
        <w:lastRenderedPageBreak/>
        <w:t>A</w:t>
      </w:r>
      <w:r w:rsidR="002C5FF0" w:rsidRPr="00CC6CA3">
        <w:rPr>
          <w:b/>
        </w:rPr>
        <w:t>CKNOWLEDG</w:t>
      </w:r>
      <w:r w:rsidR="00184C57" w:rsidRPr="00CC6CA3">
        <w:rPr>
          <w:b/>
        </w:rPr>
        <w:t>EMENT</w:t>
      </w:r>
      <w:r w:rsidR="006A1E38" w:rsidRPr="00CC6CA3">
        <w:rPr>
          <w:b/>
        </w:rPr>
        <w:t>S</w:t>
      </w:r>
      <w:bookmarkEnd w:id="5"/>
    </w:p>
    <w:p w14:paraId="22FE3C69" w14:textId="53CE3756" w:rsidR="00F316E1" w:rsidRPr="00CC6CA3" w:rsidRDefault="00302C59" w:rsidP="00DE6170">
      <w:r w:rsidRPr="00CC6CA3">
        <w:t xml:space="preserve">Special mention goes to my supervisors Prof. David Mba, </w:t>
      </w:r>
      <w:bookmarkStart w:id="6" w:name="OLE_LINK77"/>
      <w:r w:rsidRPr="00CC6CA3">
        <w:t>Dr. Sandra Dudley and Dr.</w:t>
      </w:r>
      <w:bookmarkEnd w:id="6"/>
      <w:r w:rsidRPr="00CC6CA3">
        <w:t xml:space="preserve"> Fang Duan. </w:t>
      </w:r>
      <w:r w:rsidR="00DE6170" w:rsidRPr="00CC6CA3">
        <w:t xml:space="preserve">I would like to express my gratitude to Prof. David Mba for his guidance and encouragement during my research. He provides me with an excellent research environment and a lot of wonderful opportunities. </w:t>
      </w:r>
      <w:r w:rsidRPr="00CC6CA3">
        <w:t xml:space="preserve">Similarly, I am also grateful to my supervisors Dr. Dudley and Dr. Duan, for their valuable guidance, </w:t>
      </w:r>
      <w:proofErr w:type="gramStart"/>
      <w:r w:rsidRPr="00CC6CA3">
        <w:t>motivation</w:t>
      </w:r>
      <w:proofErr w:type="gramEnd"/>
      <w:r w:rsidRPr="00CC6CA3">
        <w:t xml:space="preserve"> and advice and for the trust they placed in me. During the most difficult period of my PhD, Dr. Dudley gave me the moral support and the freedom I needed to move forward. No matter how busy she was, she always set aside time to answer my questions. </w:t>
      </w:r>
      <w:r w:rsidR="00F316E1" w:rsidRPr="00CC6CA3">
        <w:t xml:space="preserve">I am grateful to my supervisor Dr. Duan for her sincere and warm-hearted help. </w:t>
      </w:r>
      <w:r w:rsidRPr="00CC6CA3">
        <w:t xml:space="preserve">She </w:t>
      </w:r>
      <w:r w:rsidR="005B1F42" w:rsidRPr="00CC6CA3">
        <w:t xml:space="preserve">helped revise my journal papers and provided constructive comments. She </w:t>
      </w:r>
      <w:r w:rsidRPr="00CC6CA3">
        <w:t xml:space="preserve">always made herself </w:t>
      </w:r>
      <w:bookmarkStart w:id="7" w:name="OLE_LINK22"/>
      <w:r w:rsidRPr="00CC6CA3">
        <w:t xml:space="preserve">available to </w:t>
      </w:r>
      <w:bookmarkEnd w:id="7"/>
      <w:r w:rsidR="004A6E8B" w:rsidRPr="00CC6CA3">
        <w:t>reply to my emails and messages promptly</w:t>
      </w:r>
      <w:r w:rsidRPr="00CC6CA3">
        <w:t>.</w:t>
      </w:r>
    </w:p>
    <w:p w14:paraId="2E7938D4" w14:textId="135742B8" w:rsidR="005B1F42" w:rsidRPr="00CC6CA3" w:rsidRDefault="00572FC4" w:rsidP="00DE6170">
      <w:r w:rsidRPr="00CC6CA3">
        <w:t xml:space="preserve">My profound gratitude also goes to the sponsor’s representative, Dr. Ian Bennett, for initiating this research project and </w:t>
      </w:r>
      <w:r w:rsidR="003C41AD" w:rsidRPr="00CC6CA3">
        <w:t>providing</w:t>
      </w:r>
      <w:r w:rsidRPr="00CC6CA3">
        <w:t xml:space="preserve"> me </w:t>
      </w:r>
      <w:r w:rsidR="003C41AD" w:rsidRPr="00CC6CA3">
        <w:t xml:space="preserve">with </w:t>
      </w:r>
      <w:r w:rsidRPr="00CC6CA3">
        <w:t xml:space="preserve">the </w:t>
      </w:r>
      <w:r w:rsidR="003C41AD" w:rsidRPr="00CC6CA3">
        <w:t xml:space="preserve">valuable </w:t>
      </w:r>
      <w:r w:rsidRPr="00CC6CA3">
        <w:t xml:space="preserve">opportunity </w:t>
      </w:r>
      <w:bookmarkStart w:id="8" w:name="OLE_LINK78"/>
      <w:r w:rsidRPr="00CC6CA3">
        <w:t>to increase my knowledge</w:t>
      </w:r>
      <w:bookmarkEnd w:id="8"/>
      <w:r w:rsidRPr="00CC6CA3">
        <w:t xml:space="preserve"> of</w:t>
      </w:r>
      <w:r w:rsidR="003C41AD" w:rsidRPr="00CC6CA3">
        <w:t xml:space="preserve"> the condition monitoring and</w:t>
      </w:r>
      <w:r w:rsidRPr="00CC6CA3">
        <w:t xml:space="preserve"> </w:t>
      </w:r>
      <w:r w:rsidR="003C41AD" w:rsidRPr="00CC6CA3">
        <w:t xml:space="preserve">maintenance field in the petrochemical </w:t>
      </w:r>
      <w:r w:rsidRPr="00CC6CA3">
        <w:t xml:space="preserve">industry. </w:t>
      </w:r>
    </w:p>
    <w:p w14:paraId="32A76804" w14:textId="3469A43B" w:rsidR="00F316E1" w:rsidRPr="00CC6CA3" w:rsidRDefault="00F316E1" w:rsidP="00DE6170">
      <w:r w:rsidRPr="00CC6CA3">
        <w:t xml:space="preserve">I would also like to express my </w:t>
      </w:r>
      <w:r w:rsidR="00C52AA4" w:rsidRPr="00CC6CA3">
        <w:t>appreciation</w:t>
      </w:r>
      <w:r w:rsidRPr="00CC6CA3">
        <w:t xml:space="preserve"> to my manager </w:t>
      </w:r>
      <w:r w:rsidR="005B1F42" w:rsidRPr="00CC6CA3">
        <w:t xml:space="preserve">Ujjwal Bharadwaj </w:t>
      </w:r>
      <w:r w:rsidRPr="00CC6CA3">
        <w:t>and colleagues</w:t>
      </w:r>
      <w:r w:rsidR="005B1F42" w:rsidRPr="00CC6CA3">
        <w:t xml:space="preserve"> Xiaofei Cui, Vipin Pillai, and Jeremy Morgan</w:t>
      </w:r>
      <w:r w:rsidRPr="00CC6CA3">
        <w:t xml:space="preserve"> in TWI Ltd. Their experience</w:t>
      </w:r>
      <w:r w:rsidR="005B1F42" w:rsidRPr="00CC6CA3">
        <w:t xml:space="preserve"> in risk-based assessment and statistical analysis</w:t>
      </w:r>
      <w:r w:rsidRPr="00CC6CA3">
        <w:t xml:space="preserve"> have greatly broadened my mind and provided me with a lot of inspirations.</w:t>
      </w:r>
    </w:p>
    <w:p w14:paraId="030C1D53" w14:textId="64FA7ABC" w:rsidR="00736A6D" w:rsidRPr="00CC6CA3" w:rsidRDefault="00736A6D" w:rsidP="00302C59">
      <w:r w:rsidRPr="00CC6CA3">
        <w:t xml:space="preserve">I would also like to </w:t>
      </w:r>
      <w:r w:rsidR="005B1F42" w:rsidRPr="00CC6CA3">
        <w:t>thank</w:t>
      </w:r>
      <w:r w:rsidRPr="00CC6CA3">
        <w:t xml:space="preserve"> my </w:t>
      </w:r>
      <w:r w:rsidR="00E5690C" w:rsidRPr="00CC6CA3">
        <w:t xml:space="preserve">husband </w:t>
      </w:r>
      <w:r w:rsidRPr="00CC6CA3">
        <w:t xml:space="preserve">Guojin Feng, who has provided me </w:t>
      </w:r>
      <w:r w:rsidR="004A6E8B" w:rsidRPr="00CC6CA3">
        <w:t xml:space="preserve">with </w:t>
      </w:r>
      <w:r w:rsidRPr="00CC6CA3">
        <w:t xml:space="preserve">a lot of understanding, </w:t>
      </w:r>
      <w:proofErr w:type="gramStart"/>
      <w:r w:rsidRPr="00CC6CA3">
        <w:t>encouragement</w:t>
      </w:r>
      <w:proofErr w:type="gramEnd"/>
      <w:r w:rsidRPr="00CC6CA3">
        <w:t xml:space="preserve"> and support </w:t>
      </w:r>
      <w:r w:rsidR="00B20337" w:rsidRPr="00CC6CA3">
        <w:t>during</w:t>
      </w:r>
      <w:r w:rsidRPr="00CC6CA3">
        <w:t xml:space="preserve"> my PhD study.</w:t>
      </w:r>
    </w:p>
    <w:p w14:paraId="0C1ED0E7" w14:textId="3DCD71C9" w:rsidR="00165AA3" w:rsidRPr="00CC6CA3" w:rsidRDefault="00736A6D" w:rsidP="00302C59">
      <w:r w:rsidRPr="00CC6CA3">
        <w:t>Finally, I would like to thank my parents and other relatives for their long-term understanding and supporting.</w:t>
      </w:r>
    </w:p>
    <w:p w14:paraId="1FDFDE94" w14:textId="02D7F85D" w:rsidR="00165AA3" w:rsidRPr="00CC6CA3" w:rsidRDefault="00165AA3" w:rsidP="00EE2337">
      <w:pPr>
        <w:spacing w:line="259" w:lineRule="auto"/>
        <w:jc w:val="left"/>
        <w:rPr>
          <w:b/>
        </w:rPr>
      </w:pPr>
      <w:r w:rsidRPr="00CC6CA3">
        <w:rPr>
          <w:b/>
        </w:rPr>
        <w:br w:type="page"/>
      </w:r>
    </w:p>
    <w:p w14:paraId="459BDC10" w14:textId="28F592C2" w:rsidR="00184C57" w:rsidRPr="00CC6CA3" w:rsidRDefault="00184C57" w:rsidP="00207200">
      <w:pPr>
        <w:spacing w:line="259" w:lineRule="auto"/>
        <w:jc w:val="left"/>
        <w:outlineLvl w:val="0"/>
        <w:rPr>
          <w:b/>
        </w:rPr>
      </w:pPr>
      <w:bookmarkStart w:id="9" w:name="_Toc81553238"/>
      <w:bookmarkStart w:id="10" w:name="_Hlk80142844"/>
      <w:r w:rsidRPr="00CC6CA3">
        <w:rPr>
          <w:b/>
        </w:rPr>
        <w:lastRenderedPageBreak/>
        <w:t>ABSTRACT</w:t>
      </w:r>
      <w:bookmarkEnd w:id="9"/>
    </w:p>
    <w:p w14:paraId="37939667" w14:textId="77777777" w:rsidR="00E5690C" w:rsidRPr="00CC6CA3" w:rsidRDefault="00E5690C" w:rsidP="00E5690C">
      <w:r w:rsidRPr="00CC6CA3">
        <w:t>Large rotating machinery, such as centrifugal gas compressors and pumps, are widely applied as crucial components in the petrochemical industries. To enable in-time and effective maintenance of these machines, the concept of a health indicator is arousing great interest.</w:t>
      </w:r>
    </w:p>
    <w:p w14:paraId="33FDC1A3" w14:textId="42CC6C2D" w:rsidR="00E5690C" w:rsidRPr="00CC6CA3" w:rsidRDefault="00E5690C" w:rsidP="00E5690C">
      <w:r w:rsidRPr="00CC6CA3">
        <w:t xml:space="preserve">A suitable health indicator indicates the overall health of the </w:t>
      </w:r>
      <w:proofErr w:type="gramStart"/>
      <w:r w:rsidRPr="00CC6CA3">
        <w:t>machinery</w:t>
      </w:r>
      <w:proofErr w:type="gramEnd"/>
      <w:r w:rsidRPr="00CC6CA3">
        <w:t xml:space="preserve"> and it is closely related to maintenance strategies and decision-making. It can be obtained either from near misses and incident data, or from real-time measured data. However, the existing health indicators have some limitations. On the one hand, the near </w:t>
      </w:r>
      <w:r w:rsidRPr="00CC6CA3">
        <w:rPr>
          <w:rFonts w:cs="Arial"/>
          <w:lang w:eastAsia="en-US"/>
        </w:rPr>
        <w:t>misses and incident data</w:t>
      </w:r>
      <w:r w:rsidRPr="00CC6CA3">
        <w:t xml:space="preserve"> may have been obtained from similar systems, reflecting population characteristics but not fully accounting for the individual features of the target system. On the other hand, the existing health indicators that use condition monitoring data, mainly focused on detecting incipient faults, and usually do not include financial cost factors when calculating the indicators. Therefore, there is the requirement to develop a single system "Health Indicator", that can show the </w:t>
      </w:r>
      <w:r w:rsidRPr="00CC6CA3">
        <w:rPr>
          <w:rFonts w:cs="Arial"/>
          <w:lang w:eastAsia="en-US"/>
        </w:rPr>
        <w:t xml:space="preserve">health condition of a system in real-time, as well as the likely financial loss incurred when a fault is detected in the system, to assist </w:t>
      </w:r>
      <w:r w:rsidRPr="00CC6CA3">
        <w:t xml:space="preserve">operators on maintenance decision making. This project has developed such an integrated health indicator for rotating machinery. </w:t>
      </w:r>
    </w:p>
    <w:p w14:paraId="28FA6A59" w14:textId="77777777" w:rsidR="00E5690C" w:rsidRPr="00CC6CA3" w:rsidRDefault="00E5690C" w:rsidP="00E5690C">
      <w:r w:rsidRPr="00CC6CA3">
        <w:t xml:space="preserve">The integrated health indicator described in this thesis is extracted from a novel condition-based risk assessment strategy, which can be regarded as an integration of risk-based maintenance with improved conventional condition-based maintenance, with financial factors </w:t>
      </w:r>
      <w:proofErr w:type="gramStart"/>
      <w:r w:rsidRPr="00CC6CA3">
        <w:t>taken into account</w:t>
      </w:r>
      <w:proofErr w:type="gramEnd"/>
      <w:r w:rsidRPr="00CC6CA3">
        <w:t>. The value of the health indicator is that it directly illustrates the risk to the system (or equipment), including likely financial loss, which makes it easier for operators to select the optimal time for maintenance or set alarm thresholds given the specific conditions in their companies or plants.</w:t>
      </w:r>
    </w:p>
    <w:p w14:paraId="40DB87CC" w14:textId="6D52D78B" w:rsidR="007946F7" w:rsidRPr="00CC6CA3" w:rsidRDefault="00E5690C" w:rsidP="00893392">
      <w:r w:rsidRPr="00CC6CA3">
        <w:t>This thesis provides a guide to set up an integrated maintenance model for large rotating machinery. It provides a useful reference for researchers working on condition-based fault detection and dynamic risk-based maintenance</w:t>
      </w:r>
      <w:r w:rsidR="007946F7" w:rsidRPr="00CC6CA3">
        <w:t>.</w:t>
      </w:r>
    </w:p>
    <w:p w14:paraId="40F57FA4" w14:textId="77777777" w:rsidR="007946F7" w:rsidRPr="00CC6CA3" w:rsidRDefault="007946F7" w:rsidP="007946F7">
      <w:pPr>
        <w:spacing w:line="259" w:lineRule="auto"/>
        <w:jc w:val="left"/>
        <w:rPr>
          <w:b/>
        </w:rPr>
      </w:pPr>
      <w:r w:rsidRPr="00CC6CA3">
        <w:rPr>
          <w:b/>
        </w:rPr>
        <w:t>Keywords:</w:t>
      </w:r>
      <w:r w:rsidRPr="00CC6CA3">
        <w:rPr>
          <w:b/>
        </w:rPr>
        <w:tab/>
      </w:r>
    </w:p>
    <w:p w14:paraId="0F9F3696" w14:textId="794E2603" w:rsidR="00CC304F" w:rsidRPr="00CC6CA3" w:rsidRDefault="007946F7" w:rsidP="002A57D9">
      <w:pPr>
        <w:rPr>
          <w:highlight w:val="yellow"/>
        </w:rPr>
      </w:pPr>
      <w:r w:rsidRPr="00CC6CA3">
        <w:t xml:space="preserve">Health indicator, risk assessment, condition-based maintenance, cost-effective, fault detection, compressor, pump. </w:t>
      </w:r>
      <w:r w:rsidR="00CC304F" w:rsidRPr="00CC6CA3">
        <w:rPr>
          <w:highlight w:val="yellow"/>
        </w:rPr>
        <w:br w:type="page"/>
      </w:r>
    </w:p>
    <w:bookmarkEnd w:id="10" w:displacedByCustomXml="next"/>
    <w:sdt>
      <w:sdtPr>
        <w:rPr>
          <w:rFonts w:ascii="Times New Roman" w:eastAsiaTheme="minorEastAsia" w:hAnsi="Times New Roman" w:cstheme="minorBidi"/>
          <w:caps w:val="0"/>
          <w:color w:val="auto"/>
          <w:sz w:val="24"/>
          <w:szCs w:val="22"/>
          <w:lang w:val="en-GB" w:eastAsia="zh-CN"/>
        </w:rPr>
        <w:id w:val="533700547"/>
        <w:docPartObj>
          <w:docPartGallery w:val="Table of Contents"/>
          <w:docPartUnique/>
        </w:docPartObj>
      </w:sdtPr>
      <w:sdtEndPr>
        <w:rPr>
          <w:b/>
          <w:bCs/>
          <w:noProof/>
        </w:rPr>
      </w:sdtEndPr>
      <w:sdtContent>
        <w:p w14:paraId="6C6C1A2C" w14:textId="734DEF72" w:rsidR="00F84EA0" w:rsidRPr="00CC6CA3" w:rsidRDefault="00F84EA0">
          <w:pPr>
            <w:pStyle w:val="TOCHeading"/>
            <w:rPr>
              <w:rFonts w:ascii="Times New Roman" w:hAnsi="Times New Roman" w:cs="Times New Roman"/>
              <w:b/>
              <w:color w:val="auto"/>
            </w:rPr>
          </w:pPr>
          <w:r w:rsidRPr="00CC6CA3">
            <w:rPr>
              <w:rFonts w:ascii="Times New Roman" w:hAnsi="Times New Roman" w:cs="Times New Roman"/>
              <w:b/>
              <w:color w:val="auto"/>
            </w:rPr>
            <w:t>Contents</w:t>
          </w:r>
        </w:p>
        <w:p w14:paraId="0A649BB1" w14:textId="26B0B000" w:rsidR="009123D8" w:rsidRPr="00CC6CA3" w:rsidRDefault="00F84EA0">
          <w:pPr>
            <w:pStyle w:val="TOC1"/>
            <w:rPr>
              <w:rFonts w:asciiTheme="minorHAnsi" w:hAnsiTheme="minorHAnsi"/>
              <w:b w:val="0"/>
              <w:sz w:val="22"/>
            </w:rPr>
          </w:pPr>
          <w:r w:rsidRPr="00CC6CA3">
            <w:rPr>
              <w:noProof w:val="0"/>
            </w:rPr>
            <w:fldChar w:fldCharType="begin"/>
          </w:r>
          <w:r w:rsidRPr="00CC6CA3">
            <w:instrText xml:space="preserve"> TOC \o "1-3" \h \z \u </w:instrText>
          </w:r>
          <w:r w:rsidRPr="00CC6CA3">
            <w:rPr>
              <w:noProof w:val="0"/>
            </w:rPr>
            <w:fldChar w:fldCharType="separate"/>
          </w:r>
          <w:hyperlink w:anchor="_Toc81553236" w:history="1">
            <w:r w:rsidR="009123D8" w:rsidRPr="00CC6CA3">
              <w:rPr>
                <w:rStyle w:val="Hyperlink"/>
                <w:color w:val="auto"/>
              </w:rPr>
              <w:t>DECLARATION</w:t>
            </w:r>
            <w:r w:rsidR="009123D8" w:rsidRPr="00CC6CA3">
              <w:rPr>
                <w:webHidden/>
              </w:rPr>
              <w:tab/>
            </w:r>
            <w:r w:rsidR="009123D8" w:rsidRPr="00CC6CA3">
              <w:rPr>
                <w:webHidden/>
              </w:rPr>
              <w:fldChar w:fldCharType="begin"/>
            </w:r>
            <w:r w:rsidR="009123D8" w:rsidRPr="00CC6CA3">
              <w:rPr>
                <w:webHidden/>
              </w:rPr>
              <w:instrText xml:space="preserve"> PAGEREF _Toc81553236 \h </w:instrText>
            </w:r>
            <w:r w:rsidR="009123D8" w:rsidRPr="00CC6CA3">
              <w:rPr>
                <w:webHidden/>
              </w:rPr>
            </w:r>
            <w:r w:rsidR="009123D8" w:rsidRPr="00CC6CA3">
              <w:rPr>
                <w:webHidden/>
              </w:rPr>
              <w:fldChar w:fldCharType="separate"/>
            </w:r>
            <w:r w:rsidR="00CB31E9" w:rsidRPr="00CC6CA3">
              <w:rPr>
                <w:webHidden/>
              </w:rPr>
              <w:t>3</w:t>
            </w:r>
            <w:r w:rsidR="009123D8" w:rsidRPr="00CC6CA3">
              <w:rPr>
                <w:webHidden/>
              </w:rPr>
              <w:fldChar w:fldCharType="end"/>
            </w:r>
          </w:hyperlink>
        </w:p>
        <w:p w14:paraId="50B58734" w14:textId="7473EB6E" w:rsidR="009123D8" w:rsidRPr="00CC6CA3" w:rsidRDefault="00D62691">
          <w:pPr>
            <w:pStyle w:val="TOC1"/>
            <w:rPr>
              <w:rFonts w:asciiTheme="minorHAnsi" w:hAnsiTheme="minorHAnsi"/>
              <w:b w:val="0"/>
              <w:sz w:val="22"/>
            </w:rPr>
          </w:pPr>
          <w:hyperlink w:anchor="_Toc81553237" w:history="1">
            <w:r w:rsidR="009123D8" w:rsidRPr="00CC6CA3">
              <w:rPr>
                <w:rStyle w:val="Hyperlink"/>
                <w:color w:val="auto"/>
              </w:rPr>
              <w:t>ACKNOWLEDGEMENTS</w:t>
            </w:r>
            <w:r w:rsidR="009123D8" w:rsidRPr="00CC6CA3">
              <w:rPr>
                <w:webHidden/>
              </w:rPr>
              <w:tab/>
            </w:r>
            <w:r w:rsidR="009123D8" w:rsidRPr="00CC6CA3">
              <w:rPr>
                <w:webHidden/>
              </w:rPr>
              <w:fldChar w:fldCharType="begin"/>
            </w:r>
            <w:r w:rsidR="009123D8" w:rsidRPr="00CC6CA3">
              <w:rPr>
                <w:webHidden/>
              </w:rPr>
              <w:instrText xml:space="preserve"> PAGEREF _Toc81553237 \h </w:instrText>
            </w:r>
            <w:r w:rsidR="009123D8" w:rsidRPr="00CC6CA3">
              <w:rPr>
                <w:webHidden/>
              </w:rPr>
            </w:r>
            <w:r w:rsidR="009123D8" w:rsidRPr="00CC6CA3">
              <w:rPr>
                <w:webHidden/>
              </w:rPr>
              <w:fldChar w:fldCharType="separate"/>
            </w:r>
            <w:r w:rsidR="00CB31E9" w:rsidRPr="00CC6CA3">
              <w:rPr>
                <w:webHidden/>
              </w:rPr>
              <w:t>4</w:t>
            </w:r>
            <w:r w:rsidR="009123D8" w:rsidRPr="00CC6CA3">
              <w:rPr>
                <w:webHidden/>
              </w:rPr>
              <w:fldChar w:fldCharType="end"/>
            </w:r>
          </w:hyperlink>
        </w:p>
        <w:p w14:paraId="5F10AEAE" w14:textId="2A1335B4" w:rsidR="009123D8" w:rsidRPr="00CC6CA3" w:rsidRDefault="00D62691">
          <w:pPr>
            <w:pStyle w:val="TOC1"/>
            <w:rPr>
              <w:rFonts w:asciiTheme="minorHAnsi" w:hAnsiTheme="minorHAnsi"/>
              <w:b w:val="0"/>
              <w:sz w:val="22"/>
            </w:rPr>
          </w:pPr>
          <w:hyperlink w:anchor="_Toc81553238" w:history="1">
            <w:r w:rsidR="009123D8" w:rsidRPr="00CC6CA3">
              <w:rPr>
                <w:rStyle w:val="Hyperlink"/>
                <w:color w:val="auto"/>
              </w:rPr>
              <w:t>ABSTRACT</w:t>
            </w:r>
            <w:r w:rsidR="009123D8" w:rsidRPr="00CC6CA3">
              <w:rPr>
                <w:webHidden/>
              </w:rPr>
              <w:tab/>
            </w:r>
            <w:r w:rsidR="009123D8" w:rsidRPr="00CC6CA3">
              <w:rPr>
                <w:webHidden/>
              </w:rPr>
              <w:fldChar w:fldCharType="begin"/>
            </w:r>
            <w:r w:rsidR="009123D8" w:rsidRPr="00CC6CA3">
              <w:rPr>
                <w:webHidden/>
              </w:rPr>
              <w:instrText xml:space="preserve"> PAGEREF _Toc81553238 \h </w:instrText>
            </w:r>
            <w:r w:rsidR="009123D8" w:rsidRPr="00CC6CA3">
              <w:rPr>
                <w:webHidden/>
              </w:rPr>
            </w:r>
            <w:r w:rsidR="009123D8" w:rsidRPr="00CC6CA3">
              <w:rPr>
                <w:webHidden/>
              </w:rPr>
              <w:fldChar w:fldCharType="separate"/>
            </w:r>
            <w:r w:rsidR="00CB31E9" w:rsidRPr="00CC6CA3">
              <w:rPr>
                <w:webHidden/>
              </w:rPr>
              <w:t>5</w:t>
            </w:r>
            <w:r w:rsidR="009123D8" w:rsidRPr="00CC6CA3">
              <w:rPr>
                <w:webHidden/>
              </w:rPr>
              <w:fldChar w:fldCharType="end"/>
            </w:r>
          </w:hyperlink>
        </w:p>
        <w:p w14:paraId="1E0A2C6B" w14:textId="224621EE" w:rsidR="009123D8" w:rsidRPr="00CC6CA3" w:rsidRDefault="00D62691">
          <w:pPr>
            <w:pStyle w:val="TOC1"/>
            <w:rPr>
              <w:rFonts w:asciiTheme="minorHAnsi" w:hAnsiTheme="minorHAnsi"/>
              <w:b w:val="0"/>
              <w:sz w:val="22"/>
            </w:rPr>
          </w:pPr>
          <w:hyperlink w:anchor="_Toc81553239" w:history="1">
            <w:r w:rsidR="009123D8" w:rsidRPr="00CC6CA3">
              <w:rPr>
                <w:rStyle w:val="Hyperlink"/>
                <w:rFonts w:cs="Times New Roman"/>
                <w:color w:val="auto"/>
              </w:rPr>
              <w:t>List of Figures</w:t>
            </w:r>
            <w:r w:rsidR="009123D8" w:rsidRPr="00CC6CA3">
              <w:rPr>
                <w:webHidden/>
              </w:rPr>
              <w:tab/>
            </w:r>
            <w:r w:rsidR="009123D8" w:rsidRPr="00CC6CA3">
              <w:rPr>
                <w:webHidden/>
              </w:rPr>
              <w:fldChar w:fldCharType="begin"/>
            </w:r>
            <w:r w:rsidR="009123D8" w:rsidRPr="00CC6CA3">
              <w:rPr>
                <w:webHidden/>
              </w:rPr>
              <w:instrText xml:space="preserve"> PAGEREF _Toc81553239 \h </w:instrText>
            </w:r>
            <w:r w:rsidR="009123D8" w:rsidRPr="00CC6CA3">
              <w:rPr>
                <w:webHidden/>
              </w:rPr>
            </w:r>
            <w:r w:rsidR="009123D8" w:rsidRPr="00CC6CA3">
              <w:rPr>
                <w:webHidden/>
              </w:rPr>
              <w:fldChar w:fldCharType="separate"/>
            </w:r>
            <w:r w:rsidR="00CB31E9" w:rsidRPr="00CC6CA3">
              <w:rPr>
                <w:webHidden/>
              </w:rPr>
              <w:t>10</w:t>
            </w:r>
            <w:r w:rsidR="009123D8" w:rsidRPr="00CC6CA3">
              <w:rPr>
                <w:webHidden/>
              </w:rPr>
              <w:fldChar w:fldCharType="end"/>
            </w:r>
          </w:hyperlink>
        </w:p>
        <w:p w14:paraId="0756CB3C" w14:textId="799E481B" w:rsidR="009123D8" w:rsidRPr="00CC6CA3" w:rsidRDefault="00D62691">
          <w:pPr>
            <w:pStyle w:val="TOC1"/>
            <w:rPr>
              <w:rFonts w:asciiTheme="minorHAnsi" w:hAnsiTheme="minorHAnsi"/>
              <w:b w:val="0"/>
              <w:sz w:val="22"/>
            </w:rPr>
          </w:pPr>
          <w:hyperlink w:anchor="_Toc81553240" w:history="1">
            <w:r w:rsidR="009123D8" w:rsidRPr="00CC6CA3">
              <w:rPr>
                <w:rStyle w:val="Hyperlink"/>
                <w:rFonts w:cs="Times New Roman"/>
                <w:color w:val="auto"/>
              </w:rPr>
              <w:t>List of Tables</w:t>
            </w:r>
            <w:r w:rsidR="009123D8" w:rsidRPr="00CC6CA3">
              <w:rPr>
                <w:webHidden/>
              </w:rPr>
              <w:tab/>
            </w:r>
            <w:r w:rsidR="009123D8" w:rsidRPr="00CC6CA3">
              <w:rPr>
                <w:webHidden/>
              </w:rPr>
              <w:fldChar w:fldCharType="begin"/>
            </w:r>
            <w:r w:rsidR="009123D8" w:rsidRPr="00CC6CA3">
              <w:rPr>
                <w:webHidden/>
              </w:rPr>
              <w:instrText xml:space="preserve"> PAGEREF _Toc81553240 \h </w:instrText>
            </w:r>
            <w:r w:rsidR="009123D8" w:rsidRPr="00CC6CA3">
              <w:rPr>
                <w:webHidden/>
              </w:rPr>
            </w:r>
            <w:r w:rsidR="009123D8" w:rsidRPr="00CC6CA3">
              <w:rPr>
                <w:webHidden/>
              </w:rPr>
              <w:fldChar w:fldCharType="separate"/>
            </w:r>
            <w:r w:rsidR="00CB31E9" w:rsidRPr="00CC6CA3">
              <w:rPr>
                <w:webHidden/>
              </w:rPr>
              <w:t>18</w:t>
            </w:r>
            <w:r w:rsidR="009123D8" w:rsidRPr="00CC6CA3">
              <w:rPr>
                <w:webHidden/>
              </w:rPr>
              <w:fldChar w:fldCharType="end"/>
            </w:r>
          </w:hyperlink>
        </w:p>
        <w:p w14:paraId="27BF5F6A" w14:textId="0516CFA3" w:rsidR="009123D8" w:rsidRPr="00CC6CA3" w:rsidRDefault="00D62691">
          <w:pPr>
            <w:pStyle w:val="TOC1"/>
            <w:rPr>
              <w:rFonts w:asciiTheme="minorHAnsi" w:hAnsiTheme="minorHAnsi"/>
              <w:b w:val="0"/>
              <w:sz w:val="22"/>
            </w:rPr>
          </w:pPr>
          <w:hyperlink w:anchor="_Toc81553241" w:history="1">
            <w:r w:rsidR="009123D8" w:rsidRPr="00CC6CA3">
              <w:rPr>
                <w:rStyle w:val="Hyperlink"/>
                <w:rFonts w:cs="Times New Roman"/>
                <w:color w:val="auto"/>
              </w:rPr>
              <w:t>List of Abbreviations</w:t>
            </w:r>
            <w:r w:rsidR="009123D8" w:rsidRPr="00CC6CA3">
              <w:rPr>
                <w:webHidden/>
              </w:rPr>
              <w:tab/>
            </w:r>
            <w:r w:rsidR="009123D8" w:rsidRPr="00CC6CA3">
              <w:rPr>
                <w:webHidden/>
              </w:rPr>
              <w:fldChar w:fldCharType="begin"/>
            </w:r>
            <w:r w:rsidR="009123D8" w:rsidRPr="00CC6CA3">
              <w:rPr>
                <w:webHidden/>
              </w:rPr>
              <w:instrText xml:space="preserve"> PAGEREF _Toc81553241 \h </w:instrText>
            </w:r>
            <w:r w:rsidR="009123D8" w:rsidRPr="00CC6CA3">
              <w:rPr>
                <w:webHidden/>
              </w:rPr>
            </w:r>
            <w:r w:rsidR="009123D8" w:rsidRPr="00CC6CA3">
              <w:rPr>
                <w:webHidden/>
              </w:rPr>
              <w:fldChar w:fldCharType="separate"/>
            </w:r>
            <w:r w:rsidR="00CB31E9" w:rsidRPr="00CC6CA3">
              <w:rPr>
                <w:webHidden/>
              </w:rPr>
              <w:t>19</w:t>
            </w:r>
            <w:r w:rsidR="009123D8" w:rsidRPr="00CC6CA3">
              <w:rPr>
                <w:webHidden/>
              </w:rPr>
              <w:fldChar w:fldCharType="end"/>
            </w:r>
          </w:hyperlink>
        </w:p>
        <w:p w14:paraId="73BC3C32" w14:textId="436704B8" w:rsidR="009123D8" w:rsidRPr="00CC6CA3" w:rsidRDefault="00D62691">
          <w:pPr>
            <w:pStyle w:val="TOC1"/>
            <w:rPr>
              <w:rFonts w:asciiTheme="minorHAnsi" w:hAnsiTheme="minorHAnsi"/>
              <w:b w:val="0"/>
              <w:sz w:val="22"/>
            </w:rPr>
          </w:pPr>
          <w:hyperlink w:anchor="_Toc81553242" w:history="1">
            <w:r w:rsidR="009123D8" w:rsidRPr="00CC6CA3">
              <w:rPr>
                <w:rStyle w:val="Hyperlink"/>
                <w:color w:val="auto"/>
              </w:rPr>
              <w:t>Chapter 1.</w:t>
            </w:r>
            <w:r w:rsidR="009123D8" w:rsidRPr="00CC6CA3">
              <w:rPr>
                <w:rFonts w:asciiTheme="minorHAnsi" w:hAnsiTheme="minorHAnsi"/>
                <w:b w:val="0"/>
                <w:sz w:val="22"/>
              </w:rPr>
              <w:tab/>
            </w:r>
            <w:r w:rsidR="009123D8" w:rsidRPr="00CC6CA3">
              <w:rPr>
                <w:rStyle w:val="Hyperlink"/>
                <w:color w:val="auto"/>
              </w:rPr>
              <w:t>Introduction</w:t>
            </w:r>
            <w:r w:rsidR="009123D8" w:rsidRPr="00CC6CA3">
              <w:rPr>
                <w:webHidden/>
              </w:rPr>
              <w:tab/>
            </w:r>
            <w:r w:rsidR="009123D8" w:rsidRPr="00CC6CA3">
              <w:rPr>
                <w:webHidden/>
              </w:rPr>
              <w:fldChar w:fldCharType="begin"/>
            </w:r>
            <w:r w:rsidR="009123D8" w:rsidRPr="00CC6CA3">
              <w:rPr>
                <w:webHidden/>
              </w:rPr>
              <w:instrText xml:space="preserve"> PAGEREF _Toc81553242 \h </w:instrText>
            </w:r>
            <w:r w:rsidR="009123D8" w:rsidRPr="00CC6CA3">
              <w:rPr>
                <w:webHidden/>
              </w:rPr>
            </w:r>
            <w:r w:rsidR="009123D8" w:rsidRPr="00CC6CA3">
              <w:rPr>
                <w:webHidden/>
              </w:rPr>
              <w:fldChar w:fldCharType="separate"/>
            </w:r>
            <w:r w:rsidR="00CB31E9" w:rsidRPr="00CC6CA3">
              <w:rPr>
                <w:webHidden/>
              </w:rPr>
              <w:t>20</w:t>
            </w:r>
            <w:r w:rsidR="009123D8" w:rsidRPr="00CC6CA3">
              <w:rPr>
                <w:webHidden/>
              </w:rPr>
              <w:fldChar w:fldCharType="end"/>
            </w:r>
          </w:hyperlink>
        </w:p>
        <w:p w14:paraId="175E5070" w14:textId="6FBFBF37" w:rsidR="009123D8" w:rsidRPr="00CC6CA3" w:rsidRDefault="00D62691">
          <w:pPr>
            <w:pStyle w:val="TOC2"/>
            <w:rPr>
              <w:rFonts w:asciiTheme="minorHAnsi" w:hAnsiTheme="minorHAnsi"/>
              <w:noProof/>
              <w:sz w:val="22"/>
            </w:rPr>
          </w:pPr>
          <w:hyperlink w:anchor="_Toc81553243" w:history="1">
            <w:r w:rsidR="009123D8" w:rsidRPr="00CC6CA3">
              <w:rPr>
                <w:rStyle w:val="Hyperlink"/>
                <w:noProof/>
                <w:color w:val="auto"/>
                <w:lang w:val="en-US"/>
              </w:rPr>
              <w:t>1.1</w:t>
            </w:r>
            <w:r w:rsidR="009123D8" w:rsidRPr="00CC6CA3">
              <w:rPr>
                <w:rFonts w:asciiTheme="minorHAnsi" w:hAnsiTheme="minorHAnsi"/>
                <w:noProof/>
                <w:sz w:val="22"/>
              </w:rPr>
              <w:tab/>
            </w:r>
            <w:r w:rsidR="009123D8" w:rsidRPr="00CC6CA3">
              <w:rPr>
                <w:rStyle w:val="Hyperlink"/>
                <w:noProof/>
                <w:color w:val="auto"/>
                <w:lang w:val="en-US"/>
              </w:rPr>
              <w:t>Importance of maintenance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_Toc81553243 \h </w:instrText>
            </w:r>
            <w:r w:rsidR="009123D8" w:rsidRPr="00CC6CA3">
              <w:rPr>
                <w:noProof/>
                <w:webHidden/>
              </w:rPr>
            </w:r>
            <w:r w:rsidR="009123D8" w:rsidRPr="00CC6CA3">
              <w:rPr>
                <w:noProof/>
                <w:webHidden/>
              </w:rPr>
              <w:fldChar w:fldCharType="separate"/>
            </w:r>
            <w:r w:rsidR="00CB31E9" w:rsidRPr="00CC6CA3">
              <w:rPr>
                <w:noProof/>
                <w:webHidden/>
              </w:rPr>
              <w:t>21</w:t>
            </w:r>
            <w:r w:rsidR="009123D8" w:rsidRPr="00CC6CA3">
              <w:rPr>
                <w:noProof/>
                <w:webHidden/>
              </w:rPr>
              <w:fldChar w:fldCharType="end"/>
            </w:r>
          </w:hyperlink>
        </w:p>
        <w:p w14:paraId="18409F59" w14:textId="678C7A06" w:rsidR="009123D8" w:rsidRPr="00CC6CA3" w:rsidRDefault="00D62691">
          <w:pPr>
            <w:pStyle w:val="TOC2"/>
            <w:rPr>
              <w:rFonts w:asciiTheme="minorHAnsi" w:hAnsiTheme="minorHAnsi"/>
              <w:noProof/>
              <w:sz w:val="22"/>
            </w:rPr>
          </w:pPr>
          <w:hyperlink w:anchor="_Toc81553244" w:history="1">
            <w:r w:rsidR="009123D8" w:rsidRPr="00CC6CA3">
              <w:rPr>
                <w:rStyle w:val="Hyperlink"/>
                <w:noProof/>
                <w:color w:val="auto"/>
                <w:lang w:val="en-US"/>
              </w:rPr>
              <w:t>1.2</w:t>
            </w:r>
            <w:r w:rsidR="009123D8" w:rsidRPr="00CC6CA3">
              <w:rPr>
                <w:rFonts w:asciiTheme="minorHAnsi" w:hAnsiTheme="minorHAnsi"/>
                <w:noProof/>
                <w:sz w:val="22"/>
              </w:rPr>
              <w:tab/>
            </w:r>
            <w:r w:rsidR="009123D8" w:rsidRPr="00CC6CA3">
              <w:rPr>
                <w:rStyle w:val="Hyperlink"/>
                <w:noProof/>
                <w:color w:val="auto"/>
                <w:lang w:val="en-US"/>
              </w:rPr>
              <w:t>Research motivation and objectives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_Toc81553244 \h </w:instrText>
            </w:r>
            <w:r w:rsidR="009123D8" w:rsidRPr="00CC6CA3">
              <w:rPr>
                <w:noProof/>
                <w:webHidden/>
              </w:rPr>
            </w:r>
            <w:r w:rsidR="009123D8" w:rsidRPr="00CC6CA3">
              <w:rPr>
                <w:noProof/>
                <w:webHidden/>
              </w:rPr>
              <w:fldChar w:fldCharType="separate"/>
            </w:r>
            <w:r w:rsidR="00CB31E9" w:rsidRPr="00CC6CA3">
              <w:rPr>
                <w:noProof/>
                <w:webHidden/>
              </w:rPr>
              <w:t>24</w:t>
            </w:r>
            <w:r w:rsidR="009123D8" w:rsidRPr="00CC6CA3">
              <w:rPr>
                <w:noProof/>
                <w:webHidden/>
              </w:rPr>
              <w:fldChar w:fldCharType="end"/>
            </w:r>
          </w:hyperlink>
        </w:p>
        <w:p w14:paraId="022DD7D4" w14:textId="058D9D1A" w:rsidR="009123D8" w:rsidRPr="00CC6CA3" w:rsidRDefault="00D62691">
          <w:pPr>
            <w:pStyle w:val="TOC2"/>
            <w:rPr>
              <w:rFonts w:asciiTheme="minorHAnsi" w:hAnsiTheme="minorHAnsi"/>
              <w:noProof/>
              <w:sz w:val="22"/>
            </w:rPr>
          </w:pPr>
          <w:hyperlink w:anchor="_Toc81553245" w:history="1">
            <w:r w:rsidR="009123D8" w:rsidRPr="00CC6CA3">
              <w:rPr>
                <w:rStyle w:val="Hyperlink"/>
                <w:noProof/>
                <w:color w:val="auto"/>
              </w:rPr>
              <w:t>1.3</w:t>
            </w:r>
            <w:r w:rsidR="009123D8" w:rsidRPr="00CC6CA3">
              <w:rPr>
                <w:rFonts w:asciiTheme="minorHAnsi" w:hAnsiTheme="minorHAnsi"/>
                <w:noProof/>
                <w:sz w:val="22"/>
              </w:rPr>
              <w:tab/>
            </w:r>
            <w:r w:rsidR="009123D8" w:rsidRPr="00CC6CA3">
              <w:rPr>
                <w:rStyle w:val="Hyperlink"/>
                <w:noProof/>
                <w:color w:val="auto"/>
              </w:rPr>
              <w:t>Thesis Outline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_Toc81553245 \h </w:instrText>
            </w:r>
            <w:r w:rsidR="009123D8" w:rsidRPr="00CC6CA3">
              <w:rPr>
                <w:noProof/>
                <w:webHidden/>
              </w:rPr>
            </w:r>
            <w:r w:rsidR="009123D8" w:rsidRPr="00CC6CA3">
              <w:rPr>
                <w:noProof/>
                <w:webHidden/>
              </w:rPr>
              <w:fldChar w:fldCharType="separate"/>
            </w:r>
            <w:r w:rsidR="00CB31E9" w:rsidRPr="00CC6CA3">
              <w:rPr>
                <w:noProof/>
                <w:webHidden/>
              </w:rPr>
              <w:t>26</w:t>
            </w:r>
            <w:r w:rsidR="009123D8" w:rsidRPr="00CC6CA3">
              <w:rPr>
                <w:noProof/>
                <w:webHidden/>
              </w:rPr>
              <w:fldChar w:fldCharType="end"/>
            </w:r>
          </w:hyperlink>
        </w:p>
        <w:p w14:paraId="33BD7FDC" w14:textId="71681D58" w:rsidR="009123D8" w:rsidRPr="00CC6CA3" w:rsidRDefault="00D62691">
          <w:pPr>
            <w:pStyle w:val="TOC1"/>
            <w:rPr>
              <w:rFonts w:asciiTheme="minorHAnsi" w:hAnsiTheme="minorHAnsi"/>
              <w:b w:val="0"/>
              <w:sz w:val="22"/>
            </w:rPr>
          </w:pPr>
          <w:hyperlink w:anchor="_Toc81553246" w:history="1">
            <w:r w:rsidR="009123D8" w:rsidRPr="00CC6CA3">
              <w:rPr>
                <w:rStyle w:val="Hyperlink"/>
                <w:color w:val="auto"/>
              </w:rPr>
              <w:t>Chapter 2.</w:t>
            </w:r>
            <w:r w:rsidR="009123D8" w:rsidRPr="00CC6CA3">
              <w:rPr>
                <w:rFonts w:asciiTheme="minorHAnsi" w:hAnsiTheme="minorHAnsi"/>
                <w:b w:val="0"/>
                <w:sz w:val="22"/>
              </w:rPr>
              <w:tab/>
            </w:r>
            <w:r w:rsidR="009123D8" w:rsidRPr="00CC6CA3">
              <w:rPr>
                <w:rStyle w:val="Hyperlink"/>
                <w:color w:val="auto"/>
              </w:rPr>
              <w:t>Literature Review</w:t>
            </w:r>
            <w:r w:rsidR="009123D8" w:rsidRPr="00CC6CA3">
              <w:rPr>
                <w:webHidden/>
              </w:rPr>
              <w:tab/>
            </w:r>
            <w:r w:rsidR="009123D8" w:rsidRPr="00CC6CA3">
              <w:rPr>
                <w:webHidden/>
              </w:rPr>
              <w:fldChar w:fldCharType="begin"/>
            </w:r>
            <w:r w:rsidR="009123D8" w:rsidRPr="00CC6CA3">
              <w:rPr>
                <w:webHidden/>
              </w:rPr>
              <w:instrText xml:space="preserve"> PAGEREF _Toc81553246 \h </w:instrText>
            </w:r>
            <w:r w:rsidR="009123D8" w:rsidRPr="00CC6CA3">
              <w:rPr>
                <w:webHidden/>
              </w:rPr>
            </w:r>
            <w:r w:rsidR="009123D8" w:rsidRPr="00CC6CA3">
              <w:rPr>
                <w:webHidden/>
              </w:rPr>
              <w:fldChar w:fldCharType="separate"/>
            </w:r>
            <w:r w:rsidR="00CB31E9" w:rsidRPr="00CC6CA3">
              <w:rPr>
                <w:webHidden/>
              </w:rPr>
              <w:t>28</w:t>
            </w:r>
            <w:r w:rsidR="009123D8" w:rsidRPr="00CC6CA3">
              <w:rPr>
                <w:webHidden/>
              </w:rPr>
              <w:fldChar w:fldCharType="end"/>
            </w:r>
          </w:hyperlink>
        </w:p>
        <w:p w14:paraId="07DEFC56" w14:textId="6237BACC" w:rsidR="009123D8" w:rsidRPr="00CC6CA3" w:rsidRDefault="00D62691">
          <w:pPr>
            <w:pStyle w:val="TOC2"/>
            <w:rPr>
              <w:rFonts w:asciiTheme="minorHAnsi" w:hAnsiTheme="minorHAnsi"/>
              <w:noProof/>
              <w:sz w:val="22"/>
            </w:rPr>
          </w:pPr>
          <w:hyperlink w:anchor="_Toc81553247" w:history="1">
            <w:r w:rsidR="009123D8" w:rsidRPr="00CC6CA3">
              <w:rPr>
                <w:rStyle w:val="Hyperlink"/>
                <w:noProof/>
                <w:color w:val="auto"/>
              </w:rPr>
              <w:t>2.1</w:t>
            </w:r>
            <w:r w:rsidR="009123D8" w:rsidRPr="00CC6CA3">
              <w:rPr>
                <w:rFonts w:asciiTheme="minorHAnsi" w:hAnsiTheme="minorHAnsi"/>
                <w:noProof/>
                <w:sz w:val="22"/>
              </w:rPr>
              <w:tab/>
            </w:r>
            <w:r w:rsidR="009123D8" w:rsidRPr="00CC6CA3">
              <w:rPr>
                <w:rStyle w:val="Hyperlink"/>
                <w:noProof/>
                <w:color w:val="auto"/>
              </w:rPr>
              <w:t>Introduction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_Toc81553247 \h </w:instrText>
            </w:r>
            <w:r w:rsidR="009123D8" w:rsidRPr="00CC6CA3">
              <w:rPr>
                <w:noProof/>
                <w:webHidden/>
              </w:rPr>
            </w:r>
            <w:r w:rsidR="009123D8" w:rsidRPr="00CC6CA3">
              <w:rPr>
                <w:noProof/>
                <w:webHidden/>
              </w:rPr>
              <w:fldChar w:fldCharType="separate"/>
            </w:r>
            <w:r w:rsidR="00CB31E9" w:rsidRPr="00CC6CA3">
              <w:rPr>
                <w:noProof/>
                <w:webHidden/>
              </w:rPr>
              <w:t>29</w:t>
            </w:r>
            <w:r w:rsidR="009123D8" w:rsidRPr="00CC6CA3">
              <w:rPr>
                <w:noProof/>
                <w:webHidden/>
              </w:rPr>
              <w:fldChar w:fldCharType="end"/>
            </w:r>
          </w:hyperlink>
        </w:p>
        <w:p w14:paraId="10831875" w14:textId="740BC386" w:rsidR="009123D8" w:rsidRPr="00CC6CA3" w:rsidRDefault="00D62691">
          <w:pPr>
            <w:pStyle w:val="TOC2"/>
            <w:rPr>
              <w:rFonts w:asciiTheme="minorHAnsi" w:hAnsiTheme="minorHAnsi"/>
              <w:noProof/>
              <w:sz w:val="22"/>
            </w:rPr>
          </w:pPr>
          <w:hyperlink w:anchor="_Toc81553248" w:history="1">
            <w:r w:rsidR="009123D8" w:rsidRPr="00CC6CA3">
              <w:rPr>
                <w:rStyle w:val="Hyperlink"/>
                <w:noProof/>
                <w:color w:val="auto"/>
              </w:rPr>
              <w:t>2.2</w:t>
            </w:r>
            <w:r w:rsidR="009123D8" w:rsidRPr="00CC6CA3">
              <w:rPr>
                <w:rFonts w:asciiTheme="minorHAnsi" w:hAnsiTheme="minorHAnsi"/>
                <w:noProof/>
                <w:sz w:val="22"/>
              </w:rPr>
              <w:tab/>
            </w:r>
            <w:r w:rsidR="009123D8" w:rsidRPr="00CC6CA3">
              <w:rPr>
                <w:rStyle w:val="Hyperlink"/>
                <w:noProof/>
                <w:color w:val="auto"/>
              </w:rPr>
              <w:t>Evolution of industrial maintenance strategies and their health indicators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_Toc81553248 \h </w:instrText>
            </w:r>
            <w:r w:rsidR="009123D8" w:rsidRPr="00CC6CA3">
              <w:rPr>
                <w:noProof/>
                <w:webHidden/>
              </w:rPr>
            </w:r>
            <w:r w:rsidR="009123D8" w:rsidRPr="00CC6CA3">
              <w:rPr>
                <w:noProof/>
                <w:webHidden/>
              </w:rPr>
              <w:fldChar w:fldCharType="separate"/>
            </w:r>
            <w:r w:rsidR="00CB31E9" w:rsidRPr="00CC6CA3">
              <w:rPr>
                <w:noProof/>
                <w:webHidden/>
              </w:rPr>
              <w:t>29</w:t>
            </w:r>
            <w:r w:rsidR="009123D8" w:rsidRPr="00CC6CA3">
              <w:rPr>
                <w:noProof/>
                <w:webHidden/>
              </w:rPr>
              <w:fldChar w:fldCharType="end"/>
            </w:r>
          </w:hyperlink>
        </w:p>
        <w:p w14:paraId="104DF03D" w14:textId="27417B94" w:rsidR="009123D8" w:rsidRPr="00CC6CA3" w:rsidRDefault="00D62691">
          <w:pPr>
            <w:pStyle w:val="TOC3"/>
            <w:tabs>
              <w:tab w:val="left" w:pos="1320"/>
              <w:tab w:val="right" w:leader="dot" w:pos="8755"/>
            </w:tabs>
            <w:rPr>
              <w:rFonts w:asciiTheme="minorHAnsi" w:hAnsiTheme="minorHAnsi"/>
              <w:noProof/>
              <w:sz w:val="22"/>
            </w:rPr>
          </w:pPr>
          <w:hyperlink w:anchor="_Toc81553249" w:history="1">
            <w:r w:rsidR="009123D8" w:rsidRPr="00CC6CA3">
              <w:rPr>
                <w:rStyle w:val="Hyperlink"/>
                <w:noProof/>
                <w:color w:val="auto"/>
              </w:rPr>
              <w:t>2.2.1</w:t>
            </w:r>
            <w:r w:rsidR="009123D8" w:rsidRPr="00CC6CA3">
              <w:rPr>
                <w:rFonts w:asciiTheme="minorHAnsi" w:hAnsiTheme="minorHAnsi"/>
                <w:noProof/>
                <w:sz w:val="22"/>
              </w:rPr>
              <w:tab/>
            </w:r>
            <w:r w:rsidR="009123D8" w:rsidRPr="00CC6CA3">
              <w:rPr>
                <w:rStyle w:val="Hyperlink"/>
                <w:noProof/>
                <w:color w:val="auto"/>
              </w:rPr>
              <w:t>Breakdown maintenance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_Toc81553249 \h </w:instrText>
            </w:r>
            <w:r w:rsidR="009123D8" w:rsidRPr="00CC6CA3">
              <w:rPr>
                <w:noProof/>
                <w:webHidden/>
              </w:rPr>
            </w:r>
            <w:r w:rsidR="009123D8" w:rsidRPr="00CC6CA3">
              <w:rPr>
                <w:noProof/>
                <w:webHidden/>
              </w:rPr>
              <w:fldChar w:fldCharType="separate"/>
            </w:r>
            <w:r w:rsidR="00CB31E9" w:rsidRPr="00CC6CA3">
              <w:rPr>
                <w:noProof/>
                <w:webHidden/>
              </w:rPr>
              <w:t>29</w:t>
            </w:r>
            <w:r w:rsidR="009123D8" w:rsidRPr="00CC6CA3">
              <w:rPr>
                <w:noProof/>
                <w:webHidden/>
              </w:rPr>
              <w:fldChar w:fldCharType="end"/>
            </w:r>
          </w:hyperlink>
        </w:p>
        <w:p w14:paraId="1905FC53" w14:textId="16F579F2" w:rsidR="009123D8" w:rsidRPr="00CC6CA3" w:rsidRDefault="00D62691">
          <w:pPr>
            <w:pStyle w:val="TOC3"/>
            <w:tabs>
              <w:tab w:val="left" w:pos="1320"/>
              <w:tab w:val="right" w:leader="dot" w:pos="8755"/>
            </w:tabs>
            <w:rPr>
              <w:rFonts w:asciiTheme="minorHAnsi" w:hAnsiTheme="minorHAnsi"/>
              <w:noProof/>
              <w:sz w:val="22"/>
            </w:rPr>
          </w:pPr>
          <w:hyperlink w:anchor="_Toc81553250" w:history="1">
            <w:r w:rsidR="009123D8" w:rsidRPr="00CC6CA3">
              <w:rPr>
                <w:rStyle w:val="Hyperlink"/>
                <w:noProof/>
                <w:color w:val="auto"/>
              </w:rPr>
              <w:t>2.2.2</w:t>
            </w:r>
            <w:r w:rsidR="009123D8" w:rsidRPr="00CC6CA3">
              <w:rPr>
                <w:rFonts w:asciiTheme="minorHAnsi" w:hAnsiTheme="minorHAnsi"/>
                <w:noProof/>
                <w:sz w:val="22"/>
              </w:rPr>
              <w:tab/>
            </w:r>
            <w:r w:rsidR="009123D8" w:rsidRPr="00CC6CA3">
              <w:rPr>
                <w:rStyle w:val="Hyperlink"/>
                <w:noProof/>
                <w:color w:val="auto"/>
              </w:rPr>
              <w:t>Planned preventive maintenance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_Toc81553250 \h </w:instrText>
            </w:r>
            <w:r w:rsidR="009123D8" w:rsidRPr="00CC6CA3">
              <w:rPr>
                <w:noProof/>
                <w:webHidden/>
              </w:rPr>
            </w:r>
            <w:r w:rsidR="009123D8" w:rsidRPr="00CC6CA3">
              <w:rPr>
                <w:noProof/>
                <w:webHidden/>
              </w:rPr>
              <w:fldChar w:fldCharType="separate"/>
            </w:r>
            <w:r w:rsidR="00CB31E9" w:rsidRPr="00CC6CA3">
              <w:rPr>
                <w:noProof/>
                <w:webHidden/>
              </w:rPr>
              <w:t>29</w:t>
            </w:r>
            <w:r w:rsidR="009123D8" w:rsidRPr="00CC6CA3">
              <w:rPr>
                <w:noProof/>
                <w:webHidden/>
              </w:rPr>
              <w:fldChar w:fldCharType="end"/>
            </w:r>
          </w:hyperlink>
        </w:p>
        <w:p w14:paraId="15ADBD6B" w14:textId="4B6969ED" w:rsidR="009123D8" w:rsidRPr="00CC6CA3" w:rsidRDefault="00D62691">
          <w:pPr>
            <w:pStyle w:val="TOC3"/>
            <w:tabs>
              <w:tab w:val="left" w:pos="1320"/>
              <w:tab w:val="right" w:leader="dot" w:pos="8755"/>
            </w:tabs>
            <w:rPr>
              <w:rFonts w:asciiTheme="minorHAnsi" w:hAnsiTheme="minorHAnsi"/>
              <w:noProof/>
              <w:sz w:val="22"/>
            </w:rPr>
          </w:pPr>
          <w:hyperlink w:anchor="_Toc81553251" w:history="1">
            <w:r w:rsidR="009123D8" w:rsidRPr="00CC6CA3">
              <w:rPr>
                <w:rStyle w:val="Hyperlink"/>
                <w:noProof/>
                <w:color w:val="auto"/>
              </w:rPr>
              <w:t>2.2.3</w:t>
            </w:r>
            <w:r w:rsidR="009123D8" w:rsidRPr="00CC6CA3">
              <w:rPr>
                <w:rFonts w:asciiTheme="minorHAnsi" w:hAnsiTheme="minorHAnsi"/>
                <w:noProof/>
                <w:sz w:val="22"/>
              </w:rPr>
              <w:tab/>
            </w:r>
            <w:r w:rsidR="009123D8" w:rsidRPr="00CC6CA3">
              <w:rPr>
                <w:rStyle w:val="Hyperlink"/>
                <w:noProof/>
                <w:color w:val="auto"/>
              </w:rPr>
              <w:t>Risk-based inspection/maintenance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_Toc81553251 \h </w:instrText>
            </w:r>
            <w:r w:rsidR="009123D8" w:rsidRPr="00CC6CA3">
              <w:rPr>
                <w:noProof/>
                <w:webHidden/>
              </w:rPr>
            </w:r>
            <w:r w:rsidR="009123D8" w:rsidRPr="00CC6CA3">
              <w:rPr>
                <w:noProof/>
                <w:webHidden/>
              </w:rPr>
              <w:fldChar w:fldCharType="separate"/>
            </w:r>
            <w:r w:rsidR="00CB31E9" w:rsidRPr="00CC6CA3">
              <w:rPr>
                <w:noProof/>
                <w:webHidden/>
              </w:rPr>
              <w:t>31</w:t>
            </w:r>
            <w:r w:rsidR="009123D8" w:rsidRPr="00CC6CA3">
              <w:rPr>
                <w:noProof/>
                <w:webHidden/>
              </w:rPr>
              <w:fldChar w:fldCharType="end"/>
            </w:r>
          </w:hyperlink>
        </w:p>
        <w:p w14:paraId="45486D5D" w14:textId="0AD8ABD8" w:rsidR="009123D8" w:rsidRPr="00CC6CA3" w:rsidRDefault="00D62691">
          <w:pPr>
            <w:pStyle w:val="TOC3"/>
            <w:tabs>
              <w:tab w:val="left" w:pos="1320"/>
              <w:tab w:val="right" w:leader="dot" w:pos="8755"/>
            </w:tabs>
            <w:rPr>
              <w:rFonts w:asciiTheme="minorHAnsi" w:hAnsiTheme="minorHAnsi"/>
              <w:noProof/>
              <w:sz w:val="22"/>
            </w:rPr>
          </w:pPr>
          <w:hyperlink w:anchor="_Toc81553252" w:history="1">
            <w:r w:rsidR="009123D8" w:rsidRPr="00CC6CA3">
              <w:rPr>
                <w:rStyle w:val="Hyperlink"/>
                <w:noProof/>
                <w:color w:val="auto"/>
              </w:rPr>
              <w:t>2.2.4</w:t>
            </w:r>
            <w:r w:rsidR="009123D8" w:rsidRPr="00CC6CA3">
              <w:rPr>
                <w:rFonts w:asciiTheme="minorHAnsi" w:hAnsiTheme="minorHAnsi"/>
                <w:noProof/>
                <w:sz w:val="22"/>
              </w:rPr>
              <w:tab/>
            </w:r>
            <w:r w:rsidR="009123D8" w:rsidRPr="00CC6CA3">
              <w:rPr>
                <w:rStyle w:val="Hyperlink"/>
                <w:noProof/>
                <w:color w:val="auto"/>
              </w:rPr>
              <w:t>Condition-based maintenance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_Toc81553252 \h </w:instrText>
            </w:r>
            <w:r w:rsidR="009123D8" w:rsidRPr="00CC6CA3">
              <w:rPr>
                <w:noProof/>
                <w:webHidden/>
              </w:rPr>
            </w:r>
            <w:r w:rsidR="009123D8" w:rsidRPr="00CC6CA3">
              <w:rPr>
                <w:noProof/>
                <w:webHidden/>
              </w:rPr>
              <w:fldChar w:fldCharType="separate"/>
            </w:r>
            <w:r w:rsidR="00CB31E9" w:rsidRPr="00CC6CA3">
              <w:rPr>
                <w:noProof/>
                <w:webHidden/>
              </w:rPr>
              <w:t>34</w:t>
            </w:r>
            <w:r w:rsidR="009123D8" w:rsidRPr="00CC6CA3">
              <w:rPr>
                <w:noProof/>
                <w:webHidden/>
              </w:rPr>
              <w:fldChar w:fldCharType="end"/>
            </w:r>
          </w:hyperlink>
        </w:p>
        <w:p w14:paraId="06986B2B" w14:textId="39B00E61" w:rsidR="009123D8" w:rsidRPr="00CC6CA3" w:rsidRDefault="00D62691">
          <w:pPr>
            <w:pStyle w:val="TOC3"/>
            <w:tabs>
              <w:tab w:val="left" w:pos="1320"/>
              <w:tab w:val="right" w:leader="dot" w:pos="8755"/>
            </w:tabs>
            <w:rPr>
              <w:rFonts w:asciiTheme="minorHAnsi" w:hAnsiTheme="minorHAnsi"/>
              <w:noProof/>
              <w:sz w:val="22"/>
            </w:rPr>
          </w:pPr>
          <w:hyperlink w:anchor="_Toc81553253" w:history="1">
            <w:r w:rsidR="009123D8" w:rsidRPr="00CC6CA3">
              <w:rPr>
                <w:rStyle w:val="Hyperlink"/>
                <w:noProof/>
                <w:color w:val="auto"/>
              </w:rPr>
              <w:t>2.2.5</w:t>
            </w:r>
            <w:r w:rsidR="009123D8" w:rsidRPr="00CC6CA3">
              <w:rPr>
                <w:rFonts w:asciiTheme="minorHAnsi" w:hAnsiTheme="minorHAnsi"/>
                <w:noProof/>
                <w:sz w:val="22"/>
              </w:rPr>
              <w:tab/>
            </w:r>
            <w:r w:rsidR="009123D8" w:rsidRPr="00CC6CA3">
              <w:rPr>
                <w:rStyle w:val="Hyperlink"/>
                <w:noProof/>
                <w:color w:val="auto"/>
              </w:rPr>
              <w:t>Comments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_Toc81553253 \h </w:instrText>
            </w:r>
            <w:r w:rsidR="009123D8" w:rsidRPr="00CC6CA3">
              <w:rPr>
                <w:noProof/>
                <w:webHidden/>
              </w:rPr>
            </w:r>
            <w:r w:rsidR="009123D8" w:rsidRPr="00CC6CA3">
              <w:rPr>
                <w:noProof/>
                <w:webHidden/>
              </w:rPr>
              <w:fldChar w:fldCharType="separate"/>
            </w:r>
            <w:r w:rsidR="00CB31E9" w:rsidRPr="00CC6CA3">
              <w:rPr>
                <w:noProof/>
                <w:webHidden/>
              </w:rPr>
              <w:t>39</w:t>
            </w:r>
            <w:r w:rsidR="009123D8" w:rsidRPr="00CC6CA3">
              <w:rPr>
                <w:noProof/>
                <w:webHidden/>
              </w:rPr>
              <w:fldChar w:fldCharType="end"/>
            </w:r>
          </w:hyperlink>
        </w:p>
        <w:p w14:paraId="2054170E" w14:textId="3DF4F28A" w:rsidR="009123D8" w:rsidRPr="00CC6CA3" w:rsidRDefault="00D62691">
          <w:pPr>
            <w:pStyle w:val="TOC2"/>
            <w:rPr>
              <w:rFonts w:asciiTheme="minorHAnsi" w:hAnsiTheme="minorHAnsi"/>
              <w:noProof/>
              <w:sz w:val="22"/>
            </w:rPr>
          </w:pPr>
          <w:hyperlink w:anchor="_Toc81553254" w:history="1">
            <w:r w:rsidR="009123D8" w:rsidRPr="00CC6CA3">
              <w:rPr>
                <w:rStyle w:val="Hyperlink"/>
                <w:noProof/>
                <w:color w:val="auto"/>
              </w:rPr>
              <w:t>2.3</w:t>
            </w:r>
            <w:r w:rsidR="009123D8" w:rsidRPr="00CC6CA3">
              <w:rPr>
                <w:rFonts w:asciiTheme="minorHAnsi" w:hAnsiTheme="minorHAnsi"/>
                <w:noProof/>
                <w:sz w:val="22"/>
              </w:rPr>
              <w:tab/>
            </w:r>
            <w:r w:rsidR="009123D8" w:rsidRPr="00CC6CA3">
              <w:rPr>
                <w:rStyle w:val="Hyperlink"/>
                <w:noProof/>
                <w:color w:val="auto"/>
              </w:rPr>
              <w:t>Development of a condition-based risk assessment maintenance strategy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_Toc81553254 \h </w:instrText>
            </w:r>
            <w:r w:rsidR="009123D8" w:rsidRPr="00CC6CA3">
              <w:rPr>
                <w:noProof/>
                <w:webHidden/>
              </w:rPr>
            </w:r>
            <w:r w:rsidR="009123D8" w:rsidRPr="00CC6CA3">
              <w:rPr>
                <w:noProof/>
                <w:webHidden/>
              </w:rPr>
              <w:fldChar w:fldCharType="separate"/>
            </w:r>
            <w:r w:rsidR="00CB31E9" w:rsidRPr="00CC6CA3">
              <w:rPr>
                <w:noProof/>
                <w:webHidden/>
              </w:rPr>
              <w:t>40</w:t>
            </w:r>
            <w:r w:rsidR="009123D8" w:rsidRPr="00CC6CA3">
              <w:rPr>
                <w:noProof/>
                <w:webHidden/>
              </w:rPr>
              <w:fldChar w:fldCharType="end"/>
            </w:r>
          </w:hyperlink>
        </w:p>
        <w:p w14:paraId="55054409" w14:textId="79AE3767" w:rsidR="009123D8" w:rsidRPr="00CC6CA3" w:rsidRDefault="00D62691">
          <w:pPr>
            <w:pStyle w:val="TOC3"/>
            <w:tabs>
              <w:tab w:val="left" w:pos="1320"/>
              <w:tab w:val="right" w:leader="dot" w:pos="8755"/>
            </w:tabs>
            <w:rPr>
              <w:rFonts w:asciiTheme="minorHAnsi" w:hAnsiTheme="minorHAnsi"/>
              <w:noProof/>
              <w:sz w:val="22"/>
            </w:rPr>
          </w:pPr>
          <w:hyperlink w:anchor="_Toc81553255" w:history="1">
            <w:r w:rsidR="009123D8" w:rsidRPr="00CC6CA3">
              <w:rPr>
                <w:rStyle w:val="Hyperlink"/>
                <w:noProof/>
                <w:color w:val="auto"/>
              </w:rPr>
              <w:t>2.3.1</w:t>
            </w:r>
            <w:r w:rsidR="009123D8" w:rsidRPr="00CC6CA3">
              <w:rPr>
                <w:rFonts w:asciiTheme="minorHAnsi" w:hAnsiTheme="minorHAnsi"/>
                <w:noProof/>
                <w:sz w:val="22"/>
              </w:rPr>
              <w:tab/>
            </w:r>
            <w:r w:rsidR="009123D8" w:rsidRPr="00CC6CA3">
              <w:rPr>
                <w:rStyle w:val="Hyperlink"/>
                <w:noProof/>
                <w:color w:val="auto"/>
              </w:rPr>
              <w:t>Condition-based fault detection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_Toc81553255 \h </w:instrText>
            </w:r>
            <w:r w:rsidR="009123D8" w:rsidRPr="00CC6CA3">
              <w:rPr>
                <w:noProof/>
                <w:webHidden/>
              </w:rPr>
            </w:r>
            <w:r w:rsidR="009123D8" w:rsidRPr="00CC6CA3">
              <w:rPr>
                <w:noProof/>
                <w:webHidden/>
              </w:rPr>
              <w:fldChar w:fldCharType="separate"/>
            </w:r>
            <w:r w:rsidR="00CB31E9" w:rsidRPr="00CC6CA3">
              <w:rPr>
                <w:noProof/>
                <w:webHidden/>
              </w:rPr>
              <w:t>41</w:t>
            </w:r>
            <w:r w:rsidR="009123D8" w:rsidRPr="00CC6CA3">
              <w:rPr>
                <w:noProof/>
                <w:webHidden/>
              </w:rPr>
              <w:fldChar w:fldCharType="end"/>
            </w:r>
          </w:hyperlink>
        </w:p>
        <w:p w14:paraId="460FDFD7" w14:textId="5D93B04D" w:rsidR="009123D8" w:rsidRPr="00CC6CA3" w:rsidRDefault="00D62691">
          <w:pPr>
            <w:pStyle w:val="TOC3"/>
            <w:tabs>
              <w:tab w:val="left" w:pos="1320"/>
              <w:tab w:val="right" w:leader="dot" w:pos="8755"/>
            </w:tabs>
            <w:rPr>
              <w:rFonts w:asciiTheme="minorHAnsi" w:hAnsiTheme="minorHAnsi"/>
              <w:noProof/>
              <w:sz w:val="22"/>
            </w:rPr>
          </w:pPr>
          <w:hyperlink w:anchor="_Toc81553256" w:history="1">
            <w:r w:rsidR="009123D8" w:rsidRPr="00CC6CA3">
              <w:rPr>
                <w:rStyle w:val="Hyperlink"/>
                <w:noProof/>
                <w:color w:val="auto"/>
              </w:rPr>
              <w:t>2.3.2</w:t>
            </w:r>
            <w:r w:rsidR="009123D8" w:rsidRPr="00CC6CA3">
              <w:rPr>
                <w:rFonts w:asciiTheme="minorHAnsi" w:hAnsiTheme="minorHAnsi"/>
                <w:noProof/>
                <w:sz w:val="22"/>
              </w:rPr>
              <w:tab/>
            </w:r>
            <w:r w:rsidR="009123D8" w:rsidRPr="00CC6CA3">
              <w:rPr>
                <w:rStyle w:val="Hyperlink"/>
                <w:noProof/>
                <w:color w:val="auto"/>
              </w:rPr>
              <w:t>Calculation of probability of fault in risk assessment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_Toc81553256 \h </w:instrText>
            </w:r>
            <w:r w:rsidR="009123D8" w:rsidRPr="00CC6CA3">
              <w:rPr>
                <w:noProof/>
                <w:webHidden/>
              </w:rPr>
            </w:r>
            <w:r w:rsidR="009123D8" w:rsidRPr="00CC6CA3">
              <w:rPr>
                <w:noProof/>
                <w:webHidden/>
              </w:rPr>
              <w:fldChar w:fldCharType="separate"/>
            </w:r>
            <w:r w:rsidR="00CB31E9" w:rsidRPr="00CC6CA3">
              <w:rPr>
                <w:noProof/>
                <w:webHidden/>
              </w:rPr>
              <w:t>47</w:t>
            </w:r>
            <w:r w:rsidR="009123D8" w:rsidRPr="00CC6CA3">
              <w:rPr>
                <w:noProof/>
                <w:webHidden/>
              </w:rPr>
              <w:fldChar w:fldCharType="end"/>
            </w:r>
          </w:hyperlink>
        </w:p>
        <w:p w14:paraId="6A0B1B63" w14:textId="6659A4CE" w:rsidR="009123D8" w:rsidRPr="00CC6CA3" w:rsidRDefault="00D62691">
          <w:pPr>
            <w:pStyle w:val="TOC3"/>
            <w:tabs>
              <w:tab w:val="left" w:pos="1320"/>
              <w:tab w:val="right" w:leader="dot" w:pos="8755"/>
            </w:tabs>
            <w:rPr>
              <w:rFonts w:asciiTheme="minorHAnsi" w:hAnsiTheme="minorHAnsi"/>
              <w:noProof/>
              <w:sz w:val="22"/>
            </w:rPr>
          </w:pPr>
          <w:hyperlink w:anchor="_Toc81553257" w:history="1">
            <w:r w:rsidR="009123D8" w:rsidRPr="00CC6CA3">
              <w:rPr>
                <w:rStyle w:val="Hyperlink"/>
                <w:noProof/>
                <w:color w:val="auto"/>
              </w:rPr>
              <w:t>2.3.3</w:t>
            </w:r>
            <w:r w:rsidR="009123D8" w:rsidRPr="00CC6CA3">
              <w:rPr>
                <w:rFonts w:asciiTheme="minorHAnsi" w:hAnsiTheme="minorHAnsi"/>
                <w:noProof/>
                <w:sz w:val="22"/>
              </w:rPr>
              <w:tab/>
            </w:r>
            <w:r w:rsidR="009123D8" w:rsidRPr="00CC6CA3">
              <w:rPr>
                <w:rStyle w:val="Hyperlink"/>
                <w:noProof/>
                <w:color w:val="auto"/>
              </w:rPr>
              <w:t>Calculation of consequence in risk assessment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_Toc81553257 \h </w:instrText>
            </w:r>
            <w:r w:rsidR="009123D8" w:rsidRPr="00CC6CA3">
              <w:rPr>
                <w:noProof/>
                <w:webHidden/>
              </w:rPr>
            </w:r>
            <w:r w:rsidR="009123D8" w:rsidRPr="00CC6CA3">
              <w:rPr>
                <w:noProof/>
                <w:webHidden/>
              </w:rPr>
              <w:fldChar w:fldCharType="separate"/>
            </w:r>
            <w:r w:rsidR="00CB31E9" w:rsidRPr="00CC6CA3">
              <w:rPr>
                <w:noProof/>
                <w:webHidden/>
              </w:rPr>
              <w:t>49</w:t>
            </w:r>
            <w:r w:rsidR="009123D8" w:rsidRPr="00CC6CA3">
              <w:rPr>
                <w:noProof/>
                <w:webHidden/>
              </w:rPr>
              <w:fldChar w:fldCharType="end"/>
            </w:r>
          </w:hyperlink>
        </w:p>
        <w:p w14:paraId="47268E77" w14:textId="62E47FEF" w:rsidR="009123D8" w:rsidRPr="00CC6CA3" w:rsidRDefault="00D62691">
          <w:pPr>
            <w:pStyle w:val="TOC3"/>
            <w:tabs>
              <w:tab w:val="left" w:pos="1320"/>
              <w:tab w:val="right" w:leader="dot" w:pos="8755"/>
            </w:tabs>
            <w:rPr>
              <w:rFonts w:asciiTheme="minorHAnsi" w:hAnsiTheme="minorHAnsi"/>
              <w:noProof/>
              <w:sz w:val="22"/>
            </w:rPr>
          </w:pPr>
          <w:hyperlink w:anchor="_Toc81553258" w:history="1">
            <w:r w:rsidR="009123D8" w:rsidRPr="00CC6CA3">
              <w:rPr>
                <w:rStyle w:val="Hyperlink"/>
                <w:noProof/>
                <w:color w:val="auto"/>
              </w:rPr>
              <w:t>2.3.4</w:t>
            </w:r>
            <w:r w:rsidR="009123D8" w:rsidRPr="00CC6CA3">
              <w:rPr>
                <w:rFonts w:asciiTheme="minorHAnsi" w:hAnsiTheme="minorHAnsi"/>
                <w:noProof/>
                <w:sz w:val="22"/>
              </w:rPr>
              <w:tab/>
            </w:r>
            <w:r w:rsidR="009123D8" w:rsidRPr="00CC6CA3">
              <w:rPr>
                <w:rStyle w:val="Hyperlink"/>
                <w:noProof/>
                <w:color w:val="auto"/>
              </w:rPr>
              <w:t>Dynamic indicator for condition-based risk assessment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_Toc81553258 \h </w:instrText>
            </w:r>
            <w:r w:rsidR="009123D8" w:rsidRPr="00CC6CA3">
              <w:rPr>
                <w:noProof/>
                <w:webHidden/>
              </w:rPr>
            </w:r>
            <w:r w:rsidR="009123D8" w:rsidRPr="00CC6CA3">
              <w:rPr>
                <w:noProof/>
                <w:webHidden/>
              </w:rPr>
              <w:fldChar w:fldCharType="separate"/>
            </w:r>
            <w:r w:rsidR="00CB31E9" w:rsidRPr="00CC6CA3">
              <w:rPr>
                <w:noProof/>
                <w:webHidden/>
              </w:rPr>
              <w:t>52</w:t>
            </w:r>
            <w:r w:rsidR="009123D8" w:rsidRPr="00CC6CA3">
              <w:rPr>
                <w:noProof/>
                <w:webHidden/>
              </w:rPr>
              <w:fldChar w:fldCharType="end"/>
            </w:r>
          </w:hyperlink>
        </w:p>
        <w:p w14:paraId="2D343B7B" w14:textId="4F1ACED5" w:rsidR="009123D8" w:rsidRPr="00CC6CA3" w:rsidRDefault="00D62691">
          <w:pPr>
            <w:pStyle w:val="TOC3"/>
            <w:tabs>
              <w:tab w:val="left" w:pos="1320"/>
              <w:tab w:val="right" w:leader="dot" w:pos="8755"/>
            </w:tabs>
            <w:rPr>
              <w:rFonts w:asciiTheme="minorHAnsi" w:hAnsiTheme="minorHAnsi"/>
              <w:noProof/>
              <w:sz w:val="22"/>
            </w:rPr>
          </w:pPr>
          <w:hyperlink w:anchor="_Toc81553259" w:history="1">
            <w:r w:rsidR="009123D8" w:rsidRPr="00CC6CA3">
              <w:rPr>
                <w:rStyle w:val="Hyperlink"/>
                <w:noProof/>
                <w:color w:val="auto"/>
              </w:rPr>
              <w:t>2.3.5</w:t>
            </w:r>
            <w:r w:rsidR="009123D8" w:rsidRPr="00CC6CA3">
              <w:rPr>
                <w:rFonts w:asciiTheme="minorHAnsi" w:hAnsiTheme="minorHAnsi"/>
                <w:noProof/>
                <w:sz w:val="22"/>
              </w:rPr>
              <w:tab/>
            </w:r>
            <w:r w:rsidR="009123D8" w:rsidRPr="00CC6CA3">
              <w:rPr>
                <w:rStyle w:val="Hyperlink"/>
                <w:noProof/>
                <w:color w:val="auto"/>
              </w:rPr>
              <w:t>Comments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_Toc81553259 \h </w:instrText>
            </w:r>
            <w:r w:rsidR="009123D8" w:rsidRPr="00CC6CA3">
              <w:rPr>
                <w:noProof/>
                <w:webHidden/>
              </w:rPr>
            </w:r>
            <w:r w:rsidR="009123D8" w:rsidRPr="00CC6CA3">
              <w:rPr>
                <w:noProof/>
                <w:webHidden/>
              </w:rPr>
              <w:fldChar w:fldCharType="separate"/>
            </w:r>
            <w:r w:rsidR="00CB31E9" w:rsidRPr="00CC6CA3">
              <w:rPr>
                <w:noProof/>
                <w:webHidden/>
              </w:rPr>
              <w:t>52</w:t>
            </w:r>
            <w:r w:rsidR="009123D8" w:rsidRPr="00CC6CA3">
              <w:rPr>
                <w:noProof/>
                <w:webHidden/>
              </w:rPr>
              <w:fldChar w:fldCharType="end"/>
            </w:r>
          </w:hyperlink>
        </w:p>
        <w:p w14:paraId="47DAA5C4" w14:textId="380341A7" w:rsidR="009123D8" w:rsidRPr="00CC6CA3" w:rsidRDefault="00D62691">
          <w:pPr>
            <w:pStyle w:val="TOC2"/>
            <w:rPr>
              <w:rFonts w:asciiTheme="minorHAnsi" w:hAnsiTheme="minorHAnsi"/>
              <w:noProof/>
              <w:sz w:val="22"/>
            </w:rPr>
          </w:pPr>
          <w:hyperlink w:anchor="_Toc81553260" w:history="1">
            <w:r w:rsidR="009123D8" w:rsidRPr="00CC6CA3">
              <w:rPr>
                <w:rStyle w:val="Hyperlink"/>
                <w:noProof/>
                <w:color w:val="auto"/>
              </w:rPr>
              <w:t>2.4</w:t>
            </w:r>
            <w:r w:rsidR="009123D8" w:rsidRPr="00CC6CA3">
              <w:rPr>
                <w:rFonts w:asciiTheme="minorHAnsi" w:hAnsiTheme="minorHAnsi"/>
                <w:noProof/>
                <w:sz w:val="22"/>
              </w:rPr>
              <w:tab/>
            </w:r>
            <w:r w:rsidR="009123D8" w:rsidRPr="00CC6CA3">
              <w:rPr>
                <w:rStyle w:val="Hyperlink"/>
                <w:noProof/>
                <w:color w:val="auto"/>
              </w:rPr>
              <w:t>Summary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_Toc81553260 \h </w:instrText>
            </w:r>
            <w:r w:rsidR="009123D8" w:rsidRPr="00CC6CA3">
              <w:rPr>
                <w:noProof/>
                <w:webHidden/>
              </w:rPr>
            </w:r>
            <w:r w:rsidR="009123D8" w:rsidRPr="00CC6CA3">
              <w:rPr>
                <w:noProof/>
                <w:webHidden/>
              </w:rPr>
              <w:fldChar w:fldCharType="separate"/>
            </w:r>
            <w:r w:rsidR="00CB31E9" w:rsidRPr="00CC6CA3">
              <w:rPr>
                <w:noProof/>
                <w:webHidden/>
              </w:rPr>
              <w:t>53</w:t>
            </w:r>
            <w:r w:rsidR="009123D8" w:rsidRPr="00CC6CA3">
              <w:rPr>
                <w:noProof/>
                <w:webHidden/>
              </w:rPr>
              <w:fldChar w:fldCharType="end"/>
            </w:r>
          </w:hyperlink>
        </w:p>
        <w:p w14:paraId="2A162001" w14:textId="78CD28F6" w:rsidR="009123D8" w:rsidRPr="00CC6CA3" w:rsidRDefault="00D62691">
          <w:pPr>
            <w:pStyle w:val="TOC1"/>
            <w:rPr>
              <w:rFonts w:asciiTheme="minorHAnsi" w:hAnsiTheme="minorHAnsi"/>
              <w:b w:val="0"/>
              <w:sz w:val="22"/>
            </w:rPr>
          </w:pPr>
          <w:hyperlink w:anchor="_Toc81553261" w:history="1">
            <w:r w:rsidR="009123D8" w:rsidRPr="00CC6CA3">
              <w:rPr>
                <w:rStyle w:val="Hyperlink"/>
                <w:color w:val="auto"/>
              </w:rPr>
              <w:t>Chapter 3.</w:t>
            </w:r>
            <w:r w:rsidR="009123D8" w:rsidRPr="00CC6CA3">
              <w:rPr>
                <w:rFonts w:asciiTheme="minorHAnsi" w:hAnsiTheme="minorHAnsi"/>
                <w:b w:val="0"/>
                <w:sz w:val="22"/>
              </w:rPr>
              <w:tab/>
            </w:r>
            <w:r w:rsidR="009123D8" w:rsidRPr="00CC6CA3">
              <w:rPr>
                <w:rStyle w:val="Hyperlink"/>
                <w:color w:val="auto"/>
              </w:rPr>
              <w:t>Data Description and Pre-processing</w:t>
            </w:r>
            <w:r w:rsidR="009123D8" w:rsidRPr="00CC6CA3">
              <w:rPr>
                <w:webHidden/>
              </w:rPr>
              <w:tab/>
            </w:r>
            <w:r w:rsidR="009123D8" w:rsidRPr="00CC6CA3">
              <w:rPr>
                <w:webHidden/>
              </w:rPr>
              <w:fldChar w:fldCharType="begin"/>
            </w:r>
            <w:r w:rsidR="009123D8" w:rsidRPr="00CC6CA3">
              <w:rPr>
                <w:webHidden/>
              </w:rPr>
              <w:instrText xml:space="preserve"> PAGEREF _Toc81553261 \h </w:instrText>
            </w:r>
            <w:r w:rsidR="009123D8" w:rsidRPr="00CC6CA3">
              <w:rPr>
                <w:webHidden/>
              </w:rPr>
            </w:r>
            <w:r w:rsidR="009123D8" w:rsidRPr="00CC6CA3">
              <w:rPr>
                <w:webHidden/>
              </w:rPr>
              <w:fldChar w:fldCharType="separate"/>
            </w:r>
            <w:r w:rsidR="00CB31E9" w:rsidRPr="00CC6CA3">
              <w:rPr>
                <w:webHidden/>
              </w:rPr>
              <w:t>54</w:t>
            </w:r>
            <w:r w:rsidR="009123D8" w:rsidRPr="00CC6CA3">
              <w:rPr>
                <w:webHidden/>
              </w:rPr>
              <w:fldChar w:fldCharType="end"/>
            </w:r>
          </w:hyperlink>
        </w:p>
        <w:p w14:paraId="2DD68B00" w14:textId="0C1A533C" w:rsidR="009123D8" w:rsidRPr="00CC6CA3" w:rsidRDefault="00D62691">
          <w:pPr>
            <w:pStyle w:val="TOC2"/>
            <w:rPr>
              <w:rFonts w:asciiTheme="minorHAnsi" w:hAnsiTheme="minorHAnsi"/>
              <w:noProof/>
              <w:sz w:val="22"/>
            </w:rPr>
          </w:pPr>
          <w:hyperlink w:anchor="_Toc81553262" w:history="1">
            <w:r w:rsidR="009123D8" w:rsidRPr="00CC6CA3">
              <w:rPr>
                <w:rStyle w:val="Hyperlink"/>
                <w:noProof/>
                <w:color w:val="auto"/>
              </w:rPr>
              <w:t>3.1</w:t>
            </w:r>
            <w:r w:rsidR="009123D8" w:rsidRPr="00CC6CA3">
              <w:rPr>
                <w:rFonts w:asciiTheme="minorHAnsi" w:hAnsiTheme="minorHAnsi"/>
                <w:noProof/>
                <w:sz w:val="22"/>
              </w:rPr>
              <w:tab/>
            </w:r>
            <w:r w:rsidR="009123D8" w:rsidRPr="00CC6CA3">
              <w:rPr>
                <w:rStyle w:val="Hyperlink"/>
                <w:noProof/>
                <w:color w:val="auto"/>
              </w:rPr>
              <w:t>Introduction of the centrifugal gas compressor and pump</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_Toc81553262 \h </w:instrText>
            </w:r>
            <w:r w:rsidR="009123D8" w:rsidRPr="00CC6CA3">
              <w:rPr>
                <w:noProof/>
                <w:webHidden/>
              </w:rPr>
            </w:r>
            <w:r w:rsidR="009123D8" w:rsidRPr="00CC6CA3">
              <w:rPr>
                <w:noProof/>
                <w:webHidden/>
              </w:rPr>
              <w:fldChar w:fldCharType="separate"/>
            </w:r>
            <w:r w:rsidR="00CB31E9" w:rsidRPr="00CC6CA3">
              <w:rPr>
                <w:noProof/>
                <w:webHidden/>
              </w:rPr>
              <w:t>55</w:t>
            </w:r>
            <w:r w:rsidR="009123D8" w:rsidRPr="00CC6CA3">
              <w:rPr>
                <w:noProof/>
                <w:webHidden/>
              </w:rPr>
              <w:fldChar w:fldCharType="end"/>
            </w:r>
          </w:hyperlink>
        </w:p>
        <w:p w14:paraId="1A9F412A" w14:textId="099DAB2C" w:rsidR="009123D8" w:rsidRPr="00CC6CA3" w:rsidRDefault="00D62691">
          <w:pPr>
            <w:pStyle w:val="TOC3"/>
            <w:tabs>
              <w:tab w:val="left" w:pos="1320"/>
              <w:tab w:val="right" w:leader="dot" w:pos="8755"/>
            </w:tabs>
            <w:rPr>
              <w:rFonts w:asciiTheme="minorHAnsi" w:hAnsiTheme="minorHAnsi"/>
              <w:noProof/>
              <w:sz w:val="22"/>
            </w:rPr>
          </w:pPr>
          <w:hyperlink w:anchor="_Toc81553263" w:history="1">
            <w:r w:rsidR="009123D8" w:rsidRPr="00CC6CA3">
              <w:rPr>
                <w:rStyle w:val="Hyperlink"/>
                <w:noProof/>
                <w:color w:val="auto"/>
              </w:rPr>
              <w:t>3.1.1</w:t>
            </w:r>
            <w:r w:rsidR="009123D8" w:rsidRPr="00CC6CA3">
              <w:rPr>
                <w:rFonts w:asciiTheme="minorHAnsi" w:hAnsiTheme="minorHAnsi"/>
                <w:noProof/>
                <w:sz w:val="22"/>
              </w:rPr>
              <w:tab/>
            </w:r>
            <w:r w:rsidR="009123D8" w:rsidRPr="00CC6CA3">
              <w:rPr>
                <w:rStyle w:val="Hyperlink"/>
                <w:noProof/>
                <w:color w:val="auto"/>
              </w:rPr>
              <w:t>Structure of a typical centrifugal compressor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_Toc81553263 \h </w:instrText>
            </w:r>
            <w:r w:rsidR="009123D8" w:rsidRPr="00CC6CA3">
              <w:rPr>
                <w:noProof/>
                <w:webHidden/>
              </w:rPr>
            </w:r>
            <w:r w:rsidR="009123D8" w:rsidRPr="00CC6CA3">
              <w:rPr>
                <w:noProof/>
                <w:webHidden/>
              </w:rPr>
              <w:fldChar w:fldCharType="separate"/>
            </w:r>
            <w:r w:rsidR="00CB31E9" w:rsidRPr="00CC6CA3">
              <w:rPr>
                <w:noProof/>
                <w:webHidden/>
              </w:rPr>
              <w:t>55</w:t>
            </w:r>
            <w:r w:rsidR="009123D8" w:rsidRPr="00CC6CA3">
              <w:rPr>
                <w:noProof/>
                <w:webHidden/>
              </w:rPr>
              <w:fldChar w:fldCharType="end"/>
            </w:r>
          </w:hyperlink>
        </w:p>
        <w:p w14:paraId="6A93AAA4" w14:textId="5610D0C4" w:rsidR="009123D8" w:rsidRPr="00CC6CA3" w:rsidRDefault="00D62691">
          <w:pPr>
            <w:pStyle w:val="TOC3"/>
            <w:tabs>
              <w:tab w:val="left" w:pos="1320"/>
              <w:tab w:val="right" w:leader="dot" w:pos="8755"/>
            </w:tabs>
            <w:rPr>
              <w:rFonts w:asciiTheme="minorHAnsi" w:hAnsiTheme="minorHAnsi"/>
              <w:noProof/>
              <w:sz w:val="22"/>
            </w:rPr>
          </w:pPr>
          <w:hyperlink w:anchor="_Toc81553264" w:history="1">
            <w:r w:rsidR="009123D8" w:rsidRPr="00CC6CA3">
              <w:rPr>
                <w:rStyle w:val="Hyperlink"/>
                <w:noProof/>
                <w:color w:val="auto"/>
              </w:rPr>
              <w:t>3.1.2</w:t>
            </w:r>
            <w:r w:rsidR="009123D8" w:rsidRPr="00CC6CA3">
              <w:rPr>
                <w:rFonts w:asciiTheme="minorHAnsi" w:hAnsiTheme="minorHAnsi"/>
                <w:noProof/>
                <w:sz w:val="22"/>
              </w:rPr>
              <w:tab/>
            </w:r>
            <w:r w:rsidR="009123D8" w:rsidRPr="00CC6CA3">
              <w:rPr>
                <w:rStyle w:val="Hyperlink"/>
                <w:noProof/>
                <w:color w:val="auto"/>
              </w:rPr>
              <w:t>Structure of a typical high-pressure injection pump</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_Toc81553264 \h </w:instrText>
            </w:r>
            <w:r w:rsidR="009123D8" w:rsidRPr="00CC6CA3">
              <w:rPr>
                <w:noProof/>
                <w:webHidden/>
              </w:rPr>
            </w:r>
            <w:r w:rsidR="009123D8" w:rsidRPr="00CC6CA3">
              <w:rPr>
                <w:noProof/>
                <w:webHidden/>
              </w:rPr>
              <w:fldChar w:fldCharType="separate"/>
            </w:r>
            <w:r w:rsidR="00CB31E9" w:rsidRPr="00CC6CA3">
              <w:rPr>
                <w:noProof/>
                <w:webHidden/>
              </w:rPr>
              <w:t>56</w:t>
            </w:r>
            <w:r w:rsidR="009123D8" w:rsidRPr="00CC6CA3">
              <w:rPr>
                <w:noProof/>
                <w:webHidden/>
              </w:rPr>
              <w:fldChar w:fldCharType="end"/>
            </w:r>
          </w:hyperlink>
        </w:p>
        <w:p w14:paraId="3E06533C" w14:textId="697F1510" w:rsidR="009123D8" w:rsidRPr="00CC6CA3" w:rsidRDefault="00D62691">
          <w:pPr>
            <w:pStyle w:val="TOC2"/>
            <w:rPr>
              <w:rFonts w:asciiTheme="minorHAnsi" w:hAnsiTheme="minorHAnsi"/>
              <w:noProof/>
              <w:sz w:val="22"/>
            </w:rPr>
          </w:pPr>
          <w:hyperlink w:anchor="_Toc81553265" w:history="1">
            <w:r w:rsidR="009123D8" w:rsidRPr="00CC6CA3">
              <w:rPr>
                <w:rStyle w:val="Hyperlink"/>
                <w:noProof/>
                <w:color w:val="auto"/>
              </w:rPr>
              <w:t>3.2</w:t>
            </w:r>
            <w:r w:rsidR="009123D8" w:rsidRPr="00CC6CA3">
              <w:rPr>
                <w:rFonts w:asciiTheme="minorHAnsi" w:hAnsiTheme="minorHAnsi"/>
                <w:noProof/>
                <w:sz w:val="22"/>
              </w:rPr>
              <w:tab/>
            </w:r>
            <w:r w:rsidR="009123D8" w:rsidRPr="00CC6CA3">
              <w:rPr>
                <w:rStyle w:val="Hyperlink"/>
                <w:noProof/>
                <w:color w:val="auto"/>
              </w:rPr>
              <w:t>Pump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_Toc81553265 \h </w:instrText>
            </w:r>
            <w:r w:rsidR="009123D8" w:rsidRPr="00CC6CA3">
              <w:rPr>
                <w:noProof/>
                <w:webHidden/>
              </w:rPr>
            </w:r>
            <w:r w:rsidR="009123D8" w:rsidRPr="00CC6CA3">
              <w:rPr>
                <w:noProof/>
                <w:webHidden/>
              </w:rPr>
              <w:fldChar w:fldCharType="separate"/>
            </w:r>
            <w:r w:rsidR="00CB31E9" w:rsidRPr="00CC6CA3">
              <w:rPr>
                <w:noProof/>
                <w:webHidden/>
              </w:rPr>
              <w:t>57</w:t>
            </w:r>
            <w:r w:rsidR="009123D8" w:rsidRPr="00CC6CA3">
              <w:rPr>
                <w:noProof/>
                <w:webHidden/>
              </w:rPr>
              <w:fldChar w:fldCharType="end"/>
            </w:r>
          </w:hyperlink>
        </w:p>
        <w:p w14:paraId="13B3EFBA" w14:textId="0851B5D0" w:rsidR="009123D8" w:rsidRPr="00CC6CA3" w:rsidRDefault="00D62691">
          <w:pPr>
            <w:pStyle w:val="TOC3"/>
            <w:tabs>
              <w:tab w:val="left" w:pos="1320"/>
              <w:tab w:val="right" w:leader="dot" w:pos="8755"/>
            </w:tabs>
            <w:rPr>
              <w:rFonts w:asciiTheme="minorHAnsi" w:hAnsiTheme="minorHAnsi"/>
              <w:noProof/>
              <w:sz w:val="22"/>
            </w:rPr>
          </w:pPr>
          <w:hyperlink w:anchor="_Toc81553266" w:history="1">
            <w:r w:rsidR="009123D8" w:rsidRPr="00CC6CA3">
              <w:rPr>
                <w:rStyle w:val="Hyperlink"/>
                <w:noProof/>
                <w:color w:val="auto"/>
              </w:rPr>
              <w:t>3.2.1</w:t>
            </w:r>
            <w:r w:rsidR="009123D8" w:rsidRPr="00CC6CA3">
              <w:rPr>
                <w:rFonts w:asciiTheme="minorHAnsi" w:hAnsiTheme="minorHAnsi"/>
                <w:noProof/>
                <w:sz w:val="22"/>
              </w:rPr>
              <w:tab/>
            </w:r>
            <w:r w:rsidR="009123D8" w:rsidRPr="00CC6CA3">
              <w:rPr>
                <w:rStyle w:val="Hyperlink"/>
                <w:noProof/>
                <w:color w:val="auto"/>
              </w:rPr>
              <w:t>Overview of the pump data before pre-processing</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_Toc81553266 \h </w:instrText>
            </w:r>
            <w:r w:rsidR="009123D8" w:rsidRPr="00CC6CA3">
              <w:rPr>
                <w:noProof/>
                <w:webHidden/>
              </w:rPr>
            </w:r>
            <w:r w:rsidR="009123D8" w:rsidRPr="00CC6CA3">
              <w:rPr>
                <w:noProof/>
                <w:webHidden/>
              </w:rPr>
              <w:fldChar w:fldCharType="separate"/>
            </w:r>
            <w:r w:rsidR="00CB31E9" w:rsidRPr="00CC6CA3">
              <w:rPr>
                <w:noProof/>
                <w:webHidden/>
              </w:rPr>
              <w:t>57</w:t>
            </w:r>
            <w:r w:rsidR="009123D8" w:rsidRPr="00CC6CA3">
              <w:rPr>
                <w:noProof/>
                <w:webHidden/>
              </w:rPr>
              <w:fldChar w:fldCharType="end"/>
            </w:r>
          </w:hyperlink>
        </w:p>
        <w:p w14:paraId="79007E9F" w14:textId="64A3BD00" w:rsidR="009123D8" w:rsidRPr="00CC6CA3" w:rsidRDefault="00D62691">
          <w:pPr>
            <w:pStyle w:val="TOC3"/>
            <w:tabs>
              <w:tab w:val="left" w:pos="1320"/>
              <w:tab w:val="right" w:leader="dot" w:pos="8755"/>
            </w:tabs>
            <w:rPr>
              <w:rFonts w:asciiTheme="minorHAnsi" w:hAnsiTheme="minorHAnsi"/>
              <w:noProof/>
              <w:sz w:val="22"/>
            </w:rPr>
          </w:pPr>
          <w:hyperlink w:anchor="_Toc81553267" w:history="1">
            <w:r w:rsidR="009123D8" w:rsidRPr="00CC6CA3">
              <w:rPr>
                <w:rStyle w:val="Hyperlink"/>
                <w:noProof/>
                <w:color w:val="auto"/>
              </w:rPr>
              <w:t>3.2.2</w:t>
            </w:r>
            <w:r w:rsidR="009123D8" w:rsidRPr="00CC6CA3">
              <w:rPr>
                <w:rFonts w:asciiTheme="minorHAnsi" w:hAnsiTheme="minorHAnsi"/>
                <w:noProof/>
                <w:sz w:val="22"/>
              </w:rPr>
              <w:tab/>
            </w:r>
            <w:r w:rsidR="009123D8" w:rsidRPr="00CC6CA3">
              <w:rPr>
                <w:rStyle w:val="Hyperlink"/>
                <w:noProof/>
                <w:color w:val="auto"/>
              </w:rPr>
              <w:t>Overview of the pump data after pre-processing</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_Toc81553267 \h </w:instrText>
            </w:r>
            <w:r w:rsidR="009123D8" w:rsidRPr="00CC6CA3">
              <w:rPr>
                <w:noProof/>
                <w:webHidden/>
              </w:rPr>
            </w:r>
            <w:r w:rsidR="009123D8" w:rsidRPr="00CC6CA3">
              <w:rPr>
                <w:noProof/>
                <w:webHidden/>
              </w:rPr>
              <w:fldChar w:fldCharType="separate"/>
            </w:r>
            <w:r w:rsidR="00CB31E9" w:rsidRPr="00CC6CA3">
              <w:rPr>
                <w:noProof/>
                <w:webHidden/>
              </w:rPr>
              <w:t>62</w:t>
            </w:r>
            <w:r w:rsidR="009123D8" w:rsidRPr="00CC6CA3">
              <w:rPr>
                <w:noProof/>
                <w:webHidden/>
              </w:rPr>
              <w:fldChar w:fldCharType="end"/>
            </w:r>
          </w:hyperlink>
        </w:p>
        <w:p w14:paraId="2306819D" w14:textId="41DB5BA1" w:rsidR="009123D8" w:rsidRPr="00CC6CA3" w:rsidRDefault="00D62691">
          <w:pPr>
            <w:pStyle w:val="TOC3"/>
            <w:tabs>
              <w:tab w:val="left" w:pos="1320"/>
              <w:tab w:val="right" w:leader="dot" w:pos="8755"/>
            </w:tabs>
            <w:rPr>
              <w:rFonts w:asciiTheme="minorHAnsi" w:hAnsiTheme="minorHAnsi"/>
              <w:noProof/>
              <w:sz w:val="22"/>
            </w:rPr>
          </w:pPr>
          <w:hyperlink w:anchor="_Toc81553268" w:history="1">
            <w:r w:rsidR="009123D8" w:rsidRPr="00CC6CA3">
              <w:rPr>
                <w:rStyle w:val="Hyperlink"/>
                <w:noProof/>
                <w:color w:val="auto"/>
              </w:rPr>
              <w:t>3.2.3</w:t>
            </w:r>
            <w:r w:rsidR="009123D8" w:rsidRPr="00CC6CA3">
              <w:rPr>
                <w:rFonts w:asciiTheme="minorHAnsi" w:hAnsiTheme="minorHAnsi"/>
                <w:noProof/>
                <w:sz w:val="22"/>
              </w:rPr>
              <w:tab/>
            </w:r>
            <w:r w:rsidR="009123D8" w:rsidRPr="00CC6CA3">
              <w:rPr>
                <w:rStyle w:val="Hyperlink"/>
                <w:noProof/>
                <w:color w:val="auto"/>
              </w:rPr>
              <w:t>Working conditions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_Toc81553268 \h </w:instrText>
            </w:r>
            <w:r w:rsidR="009123D8" w:rsidRPr="00CC6CA3">
              <w:rPr>
                <w:noProof/>
                <w:webHidden/>
              </w:rPr>
            </w:r>
            <w:r w:rsidR="009123D8" w:rsidRPr="00CC6CA3">
              <w:rPr>
                <w:noProof/>
                <w:webHidden/>
              </w:rPr>
              <w:fldChar w:fldCharType="separate"/>
            </w:r>
            <w:r w:rsidR="00CB31E9" w:rsidRPr="00CC6CA3">
              <w:rPr>
                <w:noProof/>
                <w:webHidden/>
              </w:rPr>
              <w:t>64</w:t>
            </w:r>
            <w:r w:rsidR="009123D8" w:rsidRPr="00CC6CA3">
              <w:rPr>
                <w:noProof/>
                <w:webHidden/>
              </w:rPr>
              <w:fldChar w:fldCharType="end"/>
            </w:r>
          </w:hyperlink>
        </w:p>
        <w:p w14:paraId="4BA73495" w14:textId="02555E73" w:rsidR="009123D8" w:rsidRPr="00CC6CA3" w:rsidRDefault="00D62691">
          <w:pPr>
            <w:pStyle w:val="TOC3"/>
            <w:tabs>
              <w:tab w:val="left" w:pos="1320"/>
              <w:tab w:val="right" w:leader="dot" w:pos="8755"/>
            </w:tabs>
            <w:rPr>
              <w:rFonts w:asciiTheme="minorHAnsi" w:hAnsiTheme="minorHAnsi"/>
              <w:noProof/>
              <w:sz w:val="22"/>
            </w:rPr>
          </w:pPr>
          <w:hyperlink w:anchor="_Toc81553269" w:history="1">
            <w:r w:rsidR="009123D8" w:rsidRPr="00CC6CA3">
              <w:rPr>
                <w:rStyle w:val="Hyperlink"/>
                <w:noProof/>
                <w:color w:val="auto"/>
              </w:rPr>
              <w:t>3.2.4</w:t>
            </w:r>
            <w:r w:rsidR="009123D8" w:rsidRPr="00CC6CA3">
              <w:rPr>
                <w:rFonts w:asciiTheme="minorHAnsi" w:hAnsiTheme="minorHAnsi"/>
                <w:noProof/>
                <w:sz w:val="22"/>
              </w:rPr>
              <w:tab/>
            </w:r>
            <w:r w:rsidR="009123D8" w:rsidRPr="00CC6CA3">
              <w:rPr>
                <w:rStyle w:val="Hyperlink"/>
                <w:noProof/>
                <w:color w:val="auto"/>
              </w:rPr>
              <w:t>Representative faults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_Toc81553269 \h </w:instrText>
            </w:r>
            <w:r w:rsidR="009123D8" w:rsidRPr="00CC6CA3">
              <w:rPr>
                <w:noProof/>
                <w:webHidden/>
              </w:rPr>
            </w:r>
            <w:r w:rsidR="009123D8" w:rsidRPr="00CC6CA3">
              <w:rPr>
                <w:noProof/>
                <w:webHidden/>
              </w:rPr>
              <w:fldChar w:fldCharType="separate"/>
            </w:r>
            <w:r w:rsidR="00CB31E9" w:rsidRPr="00CC6CA3">
              <w:rPr>
                <w:noProof/>
                <w:webHidden/>
              </w:rPr>
              <w:t>65</w:t>
            </w:r>
            <w:r w:rsidR="009123D8" w:rsidRPr="00CC6CA3">
              <w:rPr>
                <w:noProof/>
                <w:webHidden/>
              </w:rPr>
              <w:fldChar w:fldCharType="end"/>
            </w:r>
          </w:hyperlink>
        </w:p>
        <w:p w14:paraId="68991C15" w14:textId="6261C15B" w:rsidR="009123D8" w:rsidRPr="00CC6CA3" w:rsidRDefault="00D62691">
          <w:pPr>
            <w:pStyle w:val="TOC2"/>
            <w:rPr>
              <w:rFonts w:asciiTheme="minorHAnsi" w:hAnsiTheme="minorHAnsi"/>
              <w:noProof/>
              <w:sz w:val="22"/>
            </w:rPr>
          </w:pPr>
          <w:hyperlink w:anchor="_Toc81553270" w:history="1">
            <w:r w:rsidR="009123D8" w:rsidRPr="00CC6CA3">
              <w:rPr>
                <w:rStyle w:val="Hyperlink"/>
                <w:noProof/>
                <w:color w:val="auto"/>
              </w:rPr>
              <w:t>3.3</w:t>
            </w:r>
            <w:r w:rsidR="009123D8" w:rsidRPr="00CC6CA3">
              <w:rPr>
                <w:rFonts w:asciiTheme="minorHAnsi" w:hAnsiTheme="minorHAnsi"/>
                <w:noProof/>
                <w:sz w:val="22"/>
              </w:rPr>
              <w:tab/>
            </w:r>
            <w:r w:rsidR="009123D8" w:rsidRPr="00CC6CA3">
              <w:rPr>
                <w:rStyle w:val="Hyperlink"/>
                <w:noProof/>
                <w:color w:val="auto"/>
              </w:rPr>
              <w:t>Compressor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_Toc81553270 \h </w:instrText>
            </w:r>
            <w:r w:rsidR="009123D8" w:rsidRPr="00CC6CA3">
              <w:rPr>
                <w:noProof/>
                <w:webHidden/>
              </w:rPr>
            </w:r>
            <w:r w:rsidR="009123D8" w:rsidRPr="00CC6CA3">
              <w:rPr>
                <w:noProof/>
                <w:webHidden/>
              </w:rPr>
              <w:fldChar w:fldCharType="separate"/>
            </w:r>
            <w:r w:rsidR="00CB31E9" w:rsidRPr="00CC6CA3">
              <w:rPr>
                <w:noProof/>
                <w:webHidden/>
              </w:rPr>
              <w:t>67</w:t>
            </w:r>
            <w:r w:rsidR="009123D8" w:rsidRPr="00CC6CA3">
              <w:rPr>
                <w:noProof/>
                <w:webHidden/>
              </w:rPr>
              <w:fldChar w:fldCharType="end"/>
            </w:r>
          </w:hyperlink>
        </w:p>
        <w:p w14:paraId="54D7374E" w14:textId="4FDD8B67" w:rsidR="009123D8" w:rsidRPr="00CC6CA3" w:rsidRDefault="00D62691">
          <w:pPr>
            <w:pStyle w:val="TOC3"/>
            <w:tabs>
              <w:tab w:val="left" w:pos="1320"/>
              <w:tab w:val="right" w:leader="dot" w:pos="8755"/>
            </w:tabs>
            <w:rPr>
              <w:rFonts w:asciiTheme="minorHAnsi" w:hAnsiTheme="minorHAnsi"/>
              <w:noProof/>
              <w:sz w:val="22"/>
            </w:rPr>
          </w:pPr>
          <w:hyperlink w:anchor="_Toc81553271" w:history="1">
            <w:r w:rsidR="009123D8" w:rsidRPr="00CC6CA3">
              <w:rPr>
                <w:rStyle w:val="Hyperlink"/>
                <w:noProof/>
                <w:color w:val="auto"/>
              </w:rPr>
              <w:t>3.3.1</w:t>
            </w:r>
            <w:r w:rsidR="009123D8" w:rsidRPr="00CC6CA3">
              <w:rPr>
                <w:rFonts w:asciiTheme="minorHAnsi" w:hAnsiTheme="minorHAnsi"/>
                <w:noProof/>
                <w:sz w:val="22"/>
              </w:rPr>
              <w:tab/>
            </w:r>
            <w:r w:rsidR="009123D8" w:rsidRPr="00CC6CA3">
              <w:rPr>
                <w:rStyle w:val="Hyperlink"/>
                <w:noProof/>
                <w:color w:val="auto"/>
              </w:rPr>
              <w:t>Overview of the compressor data before and after pre-processing</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_Toc81553271 \h </w:instrText>
            </w:r>
            <w:r w:rsidR="009123D8" w:rsidRPr="00CC6CA3">
              <w:rPr>
                <w:noProof/>
                <w:webHidden/>
              </w:rPr>
            </w:r>
            <w:r w:rsidR="009123D8" w:rsidRPr="00CC6CA3">
              <w:rPr>
                <w:noProof/>
                <w:webHidden/>
              </w:rPr>
              <w:fldChar w:fldCharType="separate"/>
            </w:r>
            <w:r w:rsidR="00CB31E9" w:rsidRPr="00CC6CA3">
              <w:rPr>
                <w:noProof/>
                <w:webHidden/>
              </w:rPr>
              <w:t>67</w:t>
            </w:r>
            <w:r w:rsidR="009123D8" w:rsidRPr="00CC6CA3">
              <w:rPr>
                <w:noProof/>
                <w:webHidden/>
              </w:rPr>
              <w:fldChar w:fldCharType="end"/>
            </w:r>
          </w:hyperlink>
        </w:p>
        <w:p w14:paraId="5F7197D5" w14:textId="1F740CC8" w:rsidR="009123D8" w:rsidRPr="00CC6CA3" w:rsidRDefault="00D62691">
          <w:pPr>
            <w:pStyle w:val="TOC3"/>
            <w:tabs>
              <w:tab w:val="left" w:pos="1320"/>
              <w:tab w:val="right" w:leader="dot" w:pos="8755"/>
            </w:tabs>
            <w:rPr>
              <w:rFonts w:asciiTheme="minorHAnsi" w:hAnsiTheme="minorHAnsi"/>
              <w:noProof/>
              <w:sz w:val="22"/>
            </w:rPr>
          </w:pPr>
          <w:hyperlink w:anchor="_Toc81553272" w:history="1">
            <w:r w:rsidR="009123D8" w:rsidRPr="00CC6CA3">
              <w:rPr>
                <w:rStyle w:val="Hyperlink"/>
                <w:noProof/>
                <w:color w:val="auto"/>
              </w:rPr>
              <w:t>3.3.2</w:t>
            </w:r>
            <w:r w:rsidR="009123D8" w:rsidRPr="00CC6CA3">
              <w:rPr>
                <w:rFonts w:asciiTheme="minorHAnsi" w:hAnsiTheme="minorHAnsi"/>
                <w:noProof/>
                <w:sz w:val="22"/>
              </w:rPr>
              <w:tab/>
            </w:r>
            <w:r w:rsidR="009123D8" w:rsidRPr="00CC6CA3">
              <w:rPr>
                <w:rStyle w:val="Hyperlink"/>
                <w:noProof/>
                <w:color w:val="auto"/>
              </w:rPr>
              <w:t>Working condition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_Toc81553272 \h </w:instrText>
            </w:r>
            <w:r w:rsidR="009123D8" w:rsidRPr="00CC6CA3">
              <w:rPr>
                <w:noProof/>
                <w:webHidden/>
              </w:rPr>
            </w:r>
            <w:r w:rsidR="009123D8" w:rsidRPr="00CC6CA3">
              <w:rPr>
                <w:noProof/>
                <w:webHidden/>
              </w:rPr>
              <w:fldChar w:fldCharType="separate"/>
            </w:r>
            <w:r w:rsidR="00CB31E9" w:rsidRPr="00CC6CA3">
              <w:rPr>
                <w:noProof/>
                <w:webHidden/>
              </w:rPr>
              <w:t>71</w:t>
            </w:r>
            <w:r w:rsidR="009123D8" w:rsidRPr="00CC6CA3">
              <w:rPr>
                <w:noProof/>
                <w:webHidden/>
              </w:rPr>
              <w:fldChar w:fldCharType="end"/>
            </w:r>
          </w:hyperlink>
        </w:p>
        <w:p w14:paraId="23DAA0D2" w14:textId="254718AB" w:rsidR="009123D8" w:rsidRPr="00CC6CA3" w:rsidRDefault="00D62691">
          <w:pPr>
            <w:pStyle w:val="TOC3"/>
            <w:tabs>
              <w:tab w:val="left" w:pos="1320"/>
              <w:tab w:val="right" w:leader="dot" w:pos="8755"/>
            </w:tabs>
            <w:rPr>
              <w:rFonts w:asciiTheme="minorHAnsi" w:hAnsiTheme="minorHAnsi"/>
              <w:noProof/>
              <w:sz w:val="22"/>
            </w:rPr>
          </w:pPr>
          <w:hyperlink w:anchor="_Toc81553273" w:history="1">
            <w:r w:rsidR="009123D8" w:rsidRPr="00CC6CA3">
              <w:rPr>
                <w:rStyle w:val="Hyperlink"/>
                <w:noProof/>
                <w:color w:val="auto"/>
              </w:rPr>
              <w:t>3.3.3</w:t>
            </w:r>
            <w:r w:rsidR="009123D8" w:rsidRPr="00CC6CA3">
              <w:rPr>
                <w:rFonts w:asciiTheme="minorHAnsi" w:hAnsiTheme="minorHAnsi"/>
                <w:noProof/>
                <w:sz w:val="22"/>
              </w:rPr>
              <w:tab/>
            </w:r>
            <w:r w:rsidR="009123D8" w:rsidRPr="00CC6CA3">
              <w:rPr>
                <w:rStyle w:val="Hyperlink"/>
                <w:noProof/>
                <w:color w:val="auto"/>
              </w:rPr>
              <w:t>Representative Faults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_Toc81553273 \h </w:instrText>
            </w:r>
            <w:r w:rsidR="009123D8" w:rsidRPr="00CC6CA3">
              <w:rPr>
                <w:noProof/>
                <w:webHidden/>
              </w:rPr>
            </w:r>
            <w:r w:rsidR="009123D8" w:rsidRPr="00CC6CA3">
              <w:rPr>
                <w:noProof/>
                <w:webHidden/>
              </w:rPr>
              <w:fldChar w:fldCharType="separate"/>
            </w:r>
            <w:r w:rsidR="00CB31E9" w:rsidRPr="00CC6CA3">
              <w:rPr>
                <w:noProof/>
                <w:webHidden/>
              </w:rPr>
              <w:t>71</w:t>
            </w:r>
            <w:r w:rsidR="009123D8" w:rsidRPr="00CC6CA3">
              <w:rPr>
                <w:noProof/>
                <w:webHidden/>
              </w:rPr>
              <w:fldChar w:fldCharType="end"/>
            </w:r>
          </w:hyperlink>
        </w:p>
        <w:p w14:paraId="155854FC" w14:textId="56442C34" w:rsidR="009123D8" w:rsidRPr="00CC6CA3" w:rsidRDefault="00D62691">
          <w:pPr>
            <w:pStyle w:val="TOC2"/>
            <w:rPr>
              <w:rFonts w:asciiTheme="minorHAnsi" w:hAnsiTheme="minorHAnsi"/>
              <w:noProof/>
              <w:sz w:val="22"/>
            </w:rPr>
          </w:pPr>
          <w:hyperlink w:anchor="_Toc81553274" w:history="1">
            <w:r w:rsidR="009123D8" w:rsidRPr="00CC6CA3">
              <w:rPr>
                <w:rStyle w:val="Hyperlink"/>
                <w:noProof/>
                <w:color w:val="auto"/>
              </w:rPr>
              <w:t>3.4</w:t>
            </w:r>
            <w:r w:rsidR="009123D8" w:rsidRPr="00CC6CA3">
              <w:rPr>
                <w:rFonts w:asciiTheme="minorHAnsi" w:hAnsiTheme="minorHAnsi"/>
                <w:noProof/>
                <w:sz w:val="22"/>
              </w:rPr>
              <w:tab/>
            </w:r>
            <w:r w:rsidR="009123D8" w:rsidRPr="00CC6CA3">
              <w:rPr>
                <w:rStyle w:val="Hyperlink"/>
                <w:noProof/>
                <w:color w:val="auto"/>
              </w:rPr>
              <w:t>Summary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_Toc81553274 \h </w:instrText>
            </w:r>
            <w:r w:rsidR="009123D8" w:rsidRPr="00CC6CA3">
              <w:rPr>
                <w:noProof/>
                <w:webHidden/>
              </w:rPr>
            </w:r>
            <w:r w:rsidR="009123D8" w:rsidRPr="00CC6CA3">
              <w:rPr>
                <w:noProof/>
                <w:webHidden/>
              </w:rPr>
              <w:fldChar w:fldCharType="separate"/>
            </w:r>
            <w:r w:rsidR="00CB31E9" w:rsidRPr="00CC6CA3">
              <w:rPr>
                <w:noProof/>
                <w:webHidden/>
              </w:rPr>
              <w:t>73</w:t>
            </w:r>
            <w:r w:rsidR="009123D8" w:rsidRPr="00CC6CA3">
              <w:rPr>
                <w:noProof/>
                <w:webHidden/>
              </w:rPr>
              <w:fldChar w:fldCharType="end"/>
            </w:r>
          </w:hyperlink>
        </w:p>
        <w:p w14:paraId="78C0FFF7" w14:textId="68673C0F" w:rsidR="009123D8" w:rsidRPr="00CC6CA3" w:rsidRDefault="00D62691">
          <w:pPr>
            <w:pStyle w:val="TOC1"/>
            <w:rPr>
              <w:rFonts w:asciiTheme="minorHAnsi" w:hAnsiTheme="minorHAnsi"/>
              <w:b w:val="0"/>
              <w:sz w:val="22"/>
            </w:rPr>
          </w:pPr>
          <w:hyperlink w:anchor="_Toc81553275" w:history="1">
            <w:r w:rsidR="009123D8" w:rsidRPr="00CC6CA3">
              <w:rPr>
                <w:rStyle w:val="Hyperlink"/>
                <w:color w:val="auto"/>
              </w:rPr>
              <w:t>Chapter 4.</w:t>
            </w:r>
            <w:r w:rsidR="009123D8" w:rsidRPr="00CC6CA3">
              <w:rPr>
                <w:rFonts w:asciiTheme="minorHAnsi" w:hAnsiTheme="minorHAnsi"/>
                <w:b w:val="0"/>
                <w:sz w:val="22"/>
              </w:rPr>
              <w:tab/>
            </w:r>
            <w:r w:rsidR="009123D8" w:rsidRPr="00CC6CA3">
              <w:rPr>
                <w:rStyle w:val="Hyperlink"/>
                <w:color w:val="auto"/>
              </w:rPr>
              <w:t>Fault Detection in Petrochemical plant and Machinery using Multivariate Data</w:t>
            </w:r>
            <w:r w:rsidR="009123D8" w:rsidRPr="00CC6CA3">
              <w:rPr>
                <w:webHidden/>
              </w:rPr>
              <w:tab/>
            </w:r>
            <w:r w:rsidR="009123D8" w:rsidRPr="00CC6CA3">
              <w:rPr>
                <w:webHidden/>
              </w:rPr>
              <w:fldChar w:fldCharType="begin"/>
            </w:r>
            <w:r w:rsidR="009123D8" w:rsidRPr="00CC6CA3">
              <w:rPr>
                <w:webHidden/>
              </w:rPr>
              <w:instrText xml:space="preserve"> PAGEREF _Toc81553275 \h </w:instrText>
            </w:r>
            <w:r w:rsidR="009123D8" w:rsidRPr="00CC6CA3">
              <w:rPr>
                <w:webHidden/>
              </w:rPr>
            </w:r>
            <w:r w:rsidR="009123D8" w:rsidRPr="00CC6CA3">
              <w:rPr>
                <w:webHidden/>
              </w:rPr>
              <w:fldChar w:fldCharType="separate"/>
            </w:r>
            <w:r w:rsidR="00CB31E9" w:rsidRPr="00CC6CA3">
              <w:rPr>
                <w:webHidden/>
              </w:rPr>
              <w:t>74</w:t>
            </w:r>
            <w:r w:rsidR="009123D8" w:rsidRPr="00CC6CA3">
              <w:rPr>
                <w:webHidden/>
              </w:rPr>
              <w:fldChar w:fldCharType="end"/>
            </w:r>
          </w:hyperlink>
        </w:p>
        <w:p w14:paraId="1F289E51" w14:textId="22423272" w:rsidR="009123D8" w:rsidRPr="00CC6CA3" w:rsidRDefault="00D62691">
          <w:pPr>
            <w:pStyle w:val="TOC2"/>
            <w:rPr>
              <w:rFonts w:asciiTheme="minorHAnsi" w:hAnsiTheme="minorHAnsi"/>
              <w:noProof/>
              <w:sz w:val="22"/>
            </w:rPr>
          </w:pPr>
          <w:hyperlink w:anchor="_Toc81553276" w:history="1">
            <w:r w:rsidR="009123D8" w:rsidRPr="00CC6CA3">
              <w:rPr>
                <w:rStyle w:val="Hyperlink"/>
                <w:noProof/>
                <w:color w:val="auto"/>
              </w:rPr>
              <w:t>4.1</w:t>
            </w:r>
            <w:r w:rsidR="009123D8" w:rsidRPr="00CC6CA3">
              <w:rPr>
                <w:rFonts w:asciiTheme="minorHAnsi" w:hAnsiTheme="minorHAnsi"/>
                <w:noProof/>
                <w:sz w:val="22"/>
              </w:rPr>
              <w:tab/>
            </w:r>
            <w:r w:rsidR="009123D8" w:rsidRPr="00CC6CA3">
              <w:rPr>
                <w:rStyle w:val="Hyperlink"/>
                <w:noProof/>
                <w:color w:val="auto"/>
              </w:rPr>
              <w:t>Theoretical background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_Toc81553276 \h </w:instrText>
            </w:r>
            <w:r w:rsidR="009123D8" w:rsidRPr="00CC6CA3">
              <w:rPr>
                <w:noProof/>
                <w:webHidden/>
              </w:rPr>
            </w:r>
            <w:r w:rsidR="009123D8" w:rsidRPr="00CC6CA3">
              <w:rPr>
                <w:noProof/>
                <w:webHidden/>
              </w:rPr>
              <w:fldChar w:fldCharType="separate"/>
            </w:r>
            <w:r w:rsidR="00CB31E9" w:rsidRPr="00CC6CA3">
              <w:rPr>
                <w:noProof/>
                <w:webHidden/>
              </w:rPr>
              <w:t>75</w:t>
            </w:r>
            <w:r w:rsidR="009123D8" w:rsidRPr="00CC6CA3">
              <w:rPr>
                <w:noProof/>
                <w:webHidden/>
              </w:rPr>
              <w:fldChar w:fldCharType="end"/>
            </w:r>
          </w:hyperlink>
        </w:p>
        <w:p w14:paraId="744E5F5E" w14:textId="7409C132" w:rsidR="009123D8" w:rsidRPr="00CC6CA3" w:rsidRDefault="00D62691">
          <w:pPr>
            <w:pStyle w:val="TOC3"/>
            <w:tabs>
              <w:tab w:val="left" w:pos="1320"/>
              <w:tab w:val="right" w:leader="dot" w:pos="8755"/>
            </w:tabs>
            <w:rPr>
              <w:rFonts w:asciiTheme="minorHAnsi" w:hAnsiTheme="minorHAnsi"/>
              <w:noProof/>
              <w:sz w:val="22"/>
            </w:rPr>
          </w:pPr>
          <w:hyperlink w:anchor="_Toc81553277" w:history="1">
            <w:r w:rsidR="009123D8" w:rsidRPr="00CC6CA3">
              <w:rPr>
                <w:rStyle w:val="Hyperlink"/>
                <w:noProof/>
                <w:color w:val="auto"/>
              </w:rPr>
              <w:t>4.1.1</w:t>
            </w:r>
            <w:r w:rsidR="009123D8" w:rsidRPr="00CC6CA3">
              <w:rPr>
                <w:rFonts w:asciiTheme="minorHAnsi" w:hAnsiTheme="minorHAnsi"/>
                <w:noProof/>
                <w:sz w:val="22"/>
              </w:rPr>
              <w:tab/>
            </w:r>
            <w:r w:rsidR="009123D8" w:rsidRPr="00CC6CA3">
              <w:rPr>
                <w:rStyle w:val="Hyperlink"/>
                <w:noProof/>
                <w:color w:val="auto"/>
              </w:rPr>
              <w:t>Data standardisation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_Toc81553277 \h </w:instrText>
            </w:r>
            <w:r w:rsidR="009123D8" w:rsidRPr="00CC6CA3">
              <w:rPr>
                <w:noProof/>
                <w:webHidden/>
              </w:rPr>
            </w:r>
            <w:r w:rsidR="009123D8" w:rsidRPr="00CC6CA3">
              <w:rPr>
                <w:noProof/>
                <w:webHidden/>
              </w:rPr>
              <w:fldChar w:fldCharType="separate"/>
            </w:r>
            <w:r w:rsidR="00CB31E9" w:rsidRPr="00CC6CA3">
              <w:rPr>
                <w:noProof/>
                <w:webHidden/>
              </w:rPr>
              <w:t>75</w:t>
            </w:r>
            <w:r w:rsidR="009123D8" w:rsidRPr="00CC6CA3">
              <w:rPr>
                <w:noProof/>
                <w:webHidden/>
              </w:rPr>
              <w:fldChar w:fldCharType="end"/>
            </w:r>
          </w:hyperlink>
        </w:p>
        <w:p w14:paraId="7DAD8019" w14:textId="4801F284" w:rsidR="009123D8" w:rsidRPr="00CC6CA3" w:rsidRDefault="00D62691">
          <w:pPr>
            <w:pStyle w:val="TOC3"/>
            <w:tabs>
              <w:tab w:val="left" w:pos="1320"/>
              <w:tab w:val="right" w:leader="dot" w:pos="8755"/>
            </w:tabs>
            <w:rPr>
              <w:rFonts w:asciiTheme="minorHAnsi" w:hAnsiTheme="minorHAnsi"/>
              <w:noProof/>
              <w:sz w:val="22"/>
            </w:rPr>
          </w:pPr>
          <w:hyperlink w:anchor="_Toc81553278" w:history="1">
            <w:r w:rsidR="009123D8" w:rsidRPr="00CC6CA3">
              <w:rPr>
                <w:rStyle w:val="Hyperlink"/>
                <w:noProof/>
                <w:color w:val="auto"/>
              </w:rPr>
              <w:t>4.1.2</w:t>
            </w:r>
            <w:r w:rsidR="009123D8" w:rsidRPr="00CC6CA3">
              <w:rPr>
                <w:rFonts w:asciiTheme="minorHAnsi" w:hAnsiTheme="minorHAnsi"/>
                <w:noProof/>
                <w:sz w:val="22"/>
              </w:rPr>
              <w:tab/>
            </w:r>
            <w:r w:rsidR="009123D8" w:rsidRPr="00CC6CA3">
              <w:rPr>
                <w:rStyle w:val="Hyperlink"/>
                <w:noProof/>
                <w:color w:val="auto"/>
              </w:rPr>
              <w:t>Nonlinear autoregressive neural network</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_Toc81553278 \h </w:instrText>
            </w:r>
            <w:r w:rsidR="009123D8" w:rsidRPr="00CC6CA3">
              <w:rPr>
                <w:noProof/>
                <w:webHidden/>
              </w:rPr>
            </w:r>
            <w:r w:rsidR="009123D8" w:rsidRPr="00CC6CA3">
              <w:rPr>
                <w:noProof/>
                <w:webHidden/>
              </w:rPr>
              <w:fldChar w:fldCharType="separate"/>
            </w:r>
            <w:r w:rsidR="00CB31E9" w:rsidRPr="00CC6CA3">
              <w:rPr>
                <w:noProof/>
                <w:webHidden/>
              </w:rPr>
              <w:t>75</w:t>
            </w:r>
            <w:r w:rsidR="009123D8" w:rsidRPr="00CC6CA3">
              <w:rPr>
                <w:noProof/>
                <w:webHidden/>
              </w:rPr>
              <w:fldChar w:fldCharType="end"/>
            </w:r>
          </w:hyperlink>
        </w:p>
        <w:p w14:paraId="04182F1B" w14:textId="5672CD07" w:rsidR="009123D8" w:rsidRPr="00CC6CA3" w:rsidRDefault="00D62691">
          <w:pPr>
            <w:pStyle w:val="TOC3"/>
            <w:tabs>
              <w:tab w:val="left" w:pos="1320"/>
              <w:tab w:val="right" w:leader="dot" w:pos="8755"/>
            </w:tabs>
            <w:rPr>
              <w:rFonts w:asciiTheme="minorHAnsi" w:hAnsiTheme="minorHAnsi"/>
              <w:noProof/>
              <w:sz w:val="22"/>
            </w:rPr>
          </w:pPr>
          <w:hyperlink w:anchor="_Toc81553279" w:history="1">
            <w:r w:rsidR="009123D8" w:rsidRPr="00CC6CA3">
              <w:rPr>
                <w:rStyle w:val="Hyperlink"/>
                <w:noProof/>
                <w:color w:val="auto"/>
              </w:rPr>
              <w:t>4.1.3</w:t>
            </w:r>
            <w:r w:rsidR="009123D8" w:rsidRPr="00CC6CA3">
              <w:rPr>
                <w:rFonts w:asciiTheme="minorHAnsi" w:hAnsiTheme="minorHAnsi"/>
                <w:noProof/>
                <w:sz w:val="22"/>
              </w:rPr>
              <w:tab/>
            </w:r>
            <w:r w:rsidR="009123D8" w:rsidRPr="00CC6CA3">
              <w:rPr>
                <w:rStyle w:val="Hyperlink"/>
                <w:noProof/>
                <w:color w:val="auto"/>
                <w:shd w:val="clear" w:color="auto" w:fill="FFFFFF"/>
              </w:rPr>
              <w:t>Principle component analysis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_Toc81553279 \h </w:instrText>
            </w:r>
            <w:r w:rsidR="009123D8" w:rsidRPr="00CC6CA3">
              <w:rPr>
                <w:noProof/>
                <w:webHidden/>
              </w:rPr>
            </w:r>
            <w:r w:rsidR="009123D8" w:rsidRPr="00CC6CA3">
              <w:rPr>
                <w:noProof/>
                <w:webHidden/>
              </w:rPr>
              <w:fldChar w:fldCharType="separate"/>
            </w:r>
            <w:r w:rsidR="00CB31E9" w:rsidRPr="00CC6CA3">
              <w:rPr>
                <w:noProof/>
                <w:webHidden/>
              </w:rPr>
              <w:t>77</w:t>
            </w:r>
            <w:r w:rsidR="009123D8" w:rsidRPr="00CC6CA3">
              <w:rPr>
                <w:noProof/>
                <w:webHidden/>
              </w:rPr>
              <w:fldChar w:fldCharType="end"/>
            </w:r>
          </w:hyperlink>
        </w:p>
        <w:p w14:paraId="2ED3C134" w14:textId="14F5D6B2" w:rsidR="009123D8" w:rsidRPr="00CC6CA3" w:rsidRDefault="00D62691">
          <w:pPr>
            <w:pStyle w:val="TOC3"/>
            <w:tabs>
              <w:tab w:val="left" w:pos="1320"/>
              <w:tab w:val="right" w:leader="dot" w:pos="8755"/>
            </w:tabs>
            <w:rPr>
              <w:rFonts w:asciiTheme="minorHAnsi" w:hAnsiTheme="minorHAnsi"/>
              <w:noProof/>
              <w:sz w:val="22"/>
            </w:rPr>
          </w:pPr>
          <w:hyperlink w:anchor="_Toc81553280" w:history="1">
            <w:r w:rsidR="009123D8" w:rsidRPr="00CC6CA3">
              <w:rPr>
                <w:rStyle w:val="Hyperlink"/>
                <w:noProof/>
                <w:color w:val="auto"/>
              </w:rPr>
              <w:t>4.1.4</w:t>
            </w:r>
            <w:r w:rsidR="009123D8" w:rsidRPr="00CC6CA3">
              <w:rPr>
                <w:rFonts w:asciiTheme="minorHAnsi" w:hAnsiTheme="minorHAnsi"/>
                <w:noProof/>
                <w:sz w:val="22"/>
              </w:rPr>
              <w:tab/>
            </w:r>
            <w:r w:rsidR="009123D8" w:rsidRPr="00CC6CA3">
              <w:rPr>
                <w:rStyle w:val="Hyperlink"/>
                <w:noProof/>
                <w:color w:val="auto"/>
              </w:rPr>
              <w:t>Sparse autoencoder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_Toc81553280 \h </w:instrText>
            </w:r>
            <w:r w:rsidR="009123D8" w:rsidRPr="00CC6CA3">
              <w:rPr>
                <w:noProof/>
                <w:webHidden/>
              </w:rPr>
            </w:r>
            <w:r w:rsidR="009123D8" w:rsidRPr="00CC6CA3">
              <w:rPr>
                <w:noProof/>
                <w:webHidden/>
              </w:rPr>
              <w:fldChar w:fldCharType="separate"/>
            </w:r>
            <w:r w:rsidR="00CB31E9" w:rsidRPr="00CC6CA3">
              <w:rPr>
                <w:noProof/>
                <w:webHidden/>
              </w:rPr>
              <w:t>77</w:t>
            </w:r>
            <w:r w:rsidR="009123D8" w:rsidRPr="00CC6CA3">
              <w:rPr>
                <w:noProof/>
                <w:webHidden/>
              </w:rPr>
              <w:fldChar w:fldCharType="end"/>
            </w:r>
          </w:hyperlink>
        </w:p>
        <w:p w14:paraId="0CA7A9AE" w14:textId="72B68DCD" w:rsidR="009123D8" w:rsidRPr="00CC6CA3" w:rsidRDefault="00D62691">
          <w:pPr>
            <w:pStyle w:val="TOC3"/>
            <w:tabs>
              <w:tab w:val="left" w:pos="1320"/>
              <w:tab w:val="right" w:leader="dot" w:pos="8755"/>
            </w:tabs>
            <w:rPr>
              <w:rFonts w:asciiTheme="minorHAnsi" w:hAnsiTheme="minorHAnsi"/>
              <w:noProof/>
              <w:sz w:val="22"/>
            </w:rPr>
          </w:pPr>
          <w:hyperlink w:anchor="_Toc81553281" w:history="1">
            <w:r w:rsidR="009123D8" w:rsidRPr="00CC6CA3">
              <w:rPr>
                <w:rStyle w:val="Hyperlink"/>
                <w:noProof/>
                <w:color w:val="auto"/>
              </w:rPr>
              <w:t>4.1.5</w:t>
            </w:r>
            <w:r w:rsidR="009123D8" w:rsidRPr="00CC6CA3">
              <w:rPr>
                <w:rFonts w:asciiTheme="minorHAnsi" w:hAnsiTheme="minorHAnsi"/>
                <w:noProof/>
                <w:sz w:val="22"/>
              </w:rPr>
              <w:tab/>
            </w:r>
            <w:r w:rsidR="009123D8" w:rsidRPr="00CC6CA3">
              <w:rPr>
                <w:rStyle w:val="Hyperlink"/>
                <w:noProof/>
                <w:color w:val="auto"/>
              </w:rPr>
              <w:t>Residual evaluation and threshold calculation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_Toc81553281 \h </w:instrText>
            </w:r>
            <w:r w:rsidR="009123D8" w:rsidRPr="00CC6CA3">
              <w:rPr>
                <w:noProof/>
                <w:webHidden/>
              </w:rPr>
            </w:r>
            <w:r w:rsidR="009123D8" w:rsidRPr="00CC6CA3">
              <w:rPr>
                <w:noProof/>
                <w:webHidden/>
              </w:rPr>
              <w:fldChar w:fldCharType="separate"/>
            </w:r>
            <w:r w:rsidR="00CB31E9" w:rsidRPr="00CC6CA3">
              <w:rPr>
                <w:noProof/>
                <w:webHidden/>
              </w:rPr>
              <w:t>79</w:t>
            </w:r>
            <w:r w:rsidR="009123D8" w:rsidRPr="00CC6CA3">
              <w:rPr>
                <w:noProof/>
                <w:webHidden/>
              </w:rPr>
              <w:fldChar w:fldCharType="end"/>
            </w:r>
          </w:hyperlink>
        </w:p>
        <w:p w14:paraId="17253E1F" w14:textId="01BDABE9" w:rsidR="009123D8" w:rsidRPr="00CC6CA3" w:rsidRDefault="00D62691">
          <w:pPr>
            <w:pStyle w:val="TOC3"/>
            <w:tabs>
              <w:tab w:val="left" w:pos="1320"/>
              <w:tab w:val="right" w:leader="dot" w:pos="8755"/>
            </w:tabs>
            <w:rPr>
              <w:rFonts w:asciiTheme="minorHAnsi" w:hAnsiTheme="minorHAnsi"/>
              <w:noProof/>
              <w:sz w:val="22"/>
            </w:rPr>
          </w:pPr>
          <w:hyperlink w:anchor="_Toc81553282" w:history="1">
            <w:r w:rsidR="009123D8" w:rsidRPr="00CC6CA3">
              <w:rPr>
                <w:rStyle w:val="Hyperlink"/>
                <w:noProof/>
                <w:color w:val="auto"/>
              </w:rPr>
              <w:t>4.1.6</w:t>
            </w:r>
            <w:r w:rsidR="009123D8" w:rsidRPr="00CC6CA3">
              <w:rPr>
                <w:rFonts w:asciiTheme="minorHAnsi" w:hAnsiTheme="minorHAnsi"/>
                <w:noProof/>
                <w:sz w:val="22"/>
              </w:rPr>
              <w:tab/>
            </w:r>
            <w:r w:rsidR="009123D8" w:rsidRPr="00CC6CA3">
              <w:rPr>
                <w:rStyle w:val="Hyperlink"/>
                <w:noProof/>
                <w:color w:val="auto"/>
              </w:rPr>
              <w:t xml:space="preserve">Fault analysis using </w:t>
            </w:r>
            <m:oMath>
              <m:r>
                <m:rPr>
                  <m:sty m:val="bi"/>
                </m:rPr>
                <w:rPr>
                  <w:rStyle w:val="Hyperlink"/>
                  <w:rFonts w:ascii="Cambria Math" w:hAnsi="Cambria Math"/>
                  <w:noProof/>
                  <w:color w:val="auto"/>
                </w:rPr>
                <m:t>Q</m:t>
              </m:r>
            </m:oMath>
            <w:r w:rsidR="009123D8" w:rsidRPr="00CC6CA3">
              <w:rPr>
                <w:rStyle w:val="Hyperlink"/>
                <w:noProof/>
                <w:color w:val="auto"/>
              </w:rPr>
              <w:t xml:space="preserve"> statistic</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_Toc81553282 \h </w:instrText>
            </w:r>
            <w:r w:rsidR="009123D8" w:rsidRPr="00CC6CA3">
              <w:rPr>
                <w:noProof/>
                <w:webHidden/>
              </w:rPr>
            </w:r>
            <w:r w:rsidR="009123D8" w:rsidRPr="00CC6CA3">
              <w:rPr>
                <w:noProof/>
                <w:webHidden/>
              </w:rPr>
              <w:fldChar w:fldCharType="separate"/>
            </w:r>
            <w:r w:rsidR="00CB31E9" w:rsidRPr="00CC6CA3">
              <w:rPr>
                <w:noProof/>
                <w:webHidden/>
              </w:rPr>
              <w:t>80</w:t>
            </w:r>
            <w:r w:rsidR="009123D8" w:rsidRPr="00CC6CA3">
              <w:rPr>
                <w:noProof/>
                <w:webHidden/>
              </w:rPr>
              <w:fldChar w:fldCharType="end"/>
            </w:r>
          </w:hyperlink>
        </w:p>
        <w:p w14:paraId="0ACCF0CC" w14:textId="08C52B60" w:rsidR="009123D8" w:rsidRPr="00CC6CA3" w:rsidRDefault="00D62691">
          <w:pPr>
            <w:pStyle w:val="TOC3"/>
            <w:tabs>
              <w:tab w:val="left" w:pos="1320"/>
              <w:tab w:val="right" w:leader="dot" w:pos="8755"/>
            </w:tabs>
            <w:rPr>
              <w:rFonts w:asciiTheme="minorHAnsi" w:hAnsiTheme="minorHAnsi"/>
              <w:noProof/>
              <w:sz w:val="22"/>
            </w:rPr>
          </w:pPr>
          <w:hyperlink w:anchor="_Toc81553283" w:history="1">
            <w:r w:rsidR="009123D8" w:rsidRPr="00CC6CA3">
              <w:rPr>
                <w:rStyle w:val="Hyperlink"/>
                <w:noProof/>
                <w:color w:val="auto"/>
              </w:rPr>
              <w:t>4.1.7</w:t>
            </w:r>
            <w:r w:rsidR="009123D8" w:rsidRPr="00CC6CA3">
              <w:rPr>
                <w:rFonts w:asciiTheme="minorHAnsi" w:hAnsiTheme="minorHAnsi"/>
                <w:noProof/>
                <w:sz w:val="22"/>
              </w:rPr>
              <w:tab/>
            </w:r>
            <w:r w:rsidR="009123D8" w:rsidRPr="00CC6CA3">
              <w:rPr>
                <w:rStyle w:val="Hyperlink"/>
                <w:noProof/>
                <w:color w:val="auto"/>
              </w:rPr>
              <w:t>Performance metrics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_Toc81553283 \h </w:instrText>
            </w:r>
            <w:r w:rsidR="009123D8" w:rsidRPr="00CC6CA3">
              <w:rPr>
                <w:noProof/>
                <w:webHidden/>
              </w:rPr>
            </w:r>
            <w:r w:rsidR="009123D8" w:rsidRPr="00CC6CA3">
              <w:rPr>
                <w:noProof/>
                <w:webHidden/>
              </w:rPr>
              <w:fldChar w:fldCharType="separate"/>
            </w:r>
            <w:r w:rsidR="00CB31E9" w:rsidRPr="00CC6CA3">
              <w:rPr>
                <w:noProof/>
                <w:webHidden/>
              </w:rPr>
              <w:t>81</w:t>
            </w:r>
            <w:r w:rsidR="009123D8" w:rsidRPr="00CC6CA3">
              <w:rPr>
                <w:noProof/>
                <w:webHidden/>
              </w:rPr>
              <w:fldChar w:fldCharType="end"/>
            </w:r>
          </w:hyperlink>
        </w:p>
        <w:p w14:paraId="733E8B29" w14:textId="04AE6DBF" w:rsidR="009123D8" w:rsidRPr="00CC6CA3" w:rsidRDefault="00D62691">
          <w:pPr>
            <w:pStyle w:val="TOC2"/>
            <w:rPr>
              <w:rFonts w:asciiTheme="minorHAnsi" w:hAnsiTheme="minorHAnsi"/>
              <w:noProof/>
              <w:sz w:val="22"/>
            </w:rPr>
          </w:pPr>
          <w:hyperlink w:anchor="_Toc81553284" w:history="1">
            <w:r w:rsidR="009123D8" w:rsidRPr="00CC6CA3">
              <w:rPr>
                <w:rStyle w:val="Hyperlink"/>
                <w:noProof/>
                <w:color w:val="auto"/>
              </w:rPr>
              <w:t>4.2</w:t>
            </w:r>
            <w:r w:rsidR="009123D8" w:rsidRPr="00CC6CA3">
              <w:rPr>
                <w:rFonts w:asciiTheme="minorHAnsi" w:hAnsiTheme="minorHAnsi"/>
                <w:noProof/>
                <w:sz w:val="22"/>
              </w:rPr>
              <w:tab/>
            </w:r>
            <w:r w:rsidR="009123D8" w:rsidRPr="00CC6CA3">
              <w:rPr>
                <w:rStyle w:val="Hyperlink"/>
                <w:noProof/>
                <w:color w:val="auto"/>
              </w:rPr>
              <w:t>NARX based anomaly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_Toc81553284 \h </w:instrText>
            </w:r>
            <w:r w:rsidR="009123D8" w:rsidRPr="00CC6CA3">
              <w:rPr>
                <w:noProof/>
                <w:webHidden/>
              </w:rPr>
            </w:r>
            <w:r w:rsidR="009123D8" w:rsidRPr="00CC6CA3">
              <w:rPr>
                <w:noProof/>
                <w:webHidden/>
              </w:rPr>
              <w:fldChar w:fldCharType="separate"/>
            </w:r>
            <w:r w:rsidR="00CB31E9" w:rsidRPr="00CC6CA3">
              <w:rPr>
                <w:noProof/>
                <w:webHidden/>
              </w:rPr>
              <w:t>82</w:t>
            </w:r>
            <w:r w:rsidR="009123D8" w:rsidRPr="00CC6CA3">
              <w:rPr>
                <w:noProof/>
                <w:webHidden/>
              </w:rPr>
              <w:fldChar w:fldCharType="end"/>
            </w:r>
          </w:hyperlink>
        </w:p>
        <w:p w14:paraId="416DA7EB" w14:textId="621F8B13" w:rsidR="009123D8" w:rsidRPr="00CC6CA3" w:rsidRDefault="00D62691">
          <w:pPr>
            <w:pStyle w:val="TOC3"/>
            <w:tabs>
              <w:tab w:val="left" w:pos="1320"/>
              <w:tab w:val="right" w:leader="dot" w:pos="8755"/>
            </w:tabs>
            <w:rPr>
              <w:rFonts w:asciiTheme="minorHAnsi" w:hAnsiTheme="minorHAnsi"/>
              <w:noProof/>
              <w:sz w:val="22"/>
            </w:rPr>
          </w:pPr>
          <w:hyperlink w:anchor="_Toc81553285" w:history="1">
            <w:r w:rsidR="009123D8" w:rsidRPr="00CC6CA3">
              <w:rPr>
                <w:rStyle w:val="Hyperlink"/>
                <w:noProof/>
                <w:color w:val="auto"/>
              </w:rPr>
              <w:t>4.2.1</w:t>
            </w:r>
            <w:r w:rsidR="009123D8" w:rsidRPr="00CC6CA3">
              <w:rPr>
                <w:rFonts w:asciiTheme="minorHAnsi" w:hAnsiTheme="minorHAnsi"/>
                <w:noProof/>
                <w:sz w:val="22"/>
              </w:rPr>
              <w:tab/>
            </w:r>
            <w:r w:rsidR="009123D8" w:rsidRPr="00CC6CA3">
              <w:rPr>
                <w:rStyle w:val="Hyperlink"/>
                <w:noProof/>
                <w:color w:val="auto"/>
              </w:rPr>
              <w:t>Implementation of NARX based fault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_Toc81553285 \h </w:instrText>
            </w:r>
            <w:r w:rsidR="009123D8" w:rsidRPr="00CC6CA3">
              <w:rPr>
                <w:noProof/>
                <w:webHidden/>
              </w:rPr>
            </w:r>
            <w:r w:rsidR="009123D8" w:rsidRPr="00CC6CA3">
              <w:rPr>
                <w:noProof/>
                <w:webHidden/>
              </w:rPr>
              <w:fldChar w:fldCharType="separate"/>
            </w:r>
            <w:r w:rsidR="00CB31E9" w:rsidRPr="00CC6CA3">
              <w:rPr>
                <w:noProof/>
                <w:webHidden/>
              </w:rPr>
              <w:t>82</w:t>
            </w:r>
            <w:r w:rsidR="009123D8" w:rsidRPr="00CC6CA3">
              <w:rPr>
                <w:noProof/>
                <w:webHidden/>
              </w:rPr>
              <w:fldChar w:fldCharType="end"/>
            </w:r>
          </w:hyperlink>
        </w:p>
        <w:p w14:paraId="26CFBE4F" w14:textId="5212E500" w:rsidR="009123D8" w:rsidRPr="00CC6CA3" w:rsidRDefault="00D62691">
          <w:pPr>
            <w:pStyle w:val="TOC3"/>
            <w:tabs>
              <w:tab w:val="left" w:pos="1320"/>
              <w:tab w:val="right" w:leader="dot" w:pos="8755"/>
            </w:tabs>
            <w:rPr>
              <w:rFonts w:asciiTheme="minorHAnsi" w:hAnsiTheme="minorHAnsi"/>
              <w:noProof/>
              <w:sz w:val="22"/>
            </w:rPr>
          </w:pPr>
          <w:hyperlink w:anchor="_Toc81553286" w:history="1">
            <w:r w:rsidR="009123D8" w:rsidRPr="00CC6CA3">
              <w:rPr>
                <w:rStyle w:val="Hyperlink"/>
                <w:noProof/>
                <w:color w:val="auto"/>
              </w:rPr>
              <w:t>4.2.2</w:t>
            </w:r>
            <w:r w:rsidR="009123D8" w:rsidRPr="00CC6CA3">
              <w:rPr>
                <w:rFonts w:asciiTheme="minorHAnsi" w:hAnsiTheme="minorHAnsi"/>
                <w:noProof/>
                <w:sz w:val="22"/>
              </w:rPr>
              <w:tab/>
            </w:r>
            <w:r w:rsidR="009123D8" w:rsidRPr="00CC6CA3">
              <w:rPr>
                <w:rStyle w:val="Hyperlink"/>
                <w:noProof/>
                <w:color w:val="auto"/>
              </w:rPr>
              <w:t>Case studies: fault detection using the NARX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_Toc81553286 \h </w:instrText>
            </w:r>
            <w:r w:rsidR="009123D8" w:rsidRPr="00CC6CA3">
              <w:rPr>
                <w:noProof/>
                <w:webHidden/>
              </w:rPr>
            </w:r>
            <w:r w:rsidR="009123D8" w:rsidRPr="00CC6CA3">
              <w:rPr>
                <w:noProof/>
                <w:webHidden/>
              </w:rPr>
              <w:fldChar w:fldCharType="separate"/>
            </w:r>
            <w:r w:rsidR="00CB31E9" w:rsidRPr="00CC6CA3">
              <w:rPr>
                <w:noProof/>
                <w:webHidden/>
              </w:rPr>
              <w:t>83</w:t>
            </w:r>
            <w:r w:rsidR="009123D8" w:rsidRPr="00CC6CA3">
              <w:rPr>
                <w:noProof/>
                <w:webHidden/>
              </w:rPr>
              <w:fldChar w:fldCharType="end"/>
            </w:r>
          </w:hyperlink>
        </w:p>
        <w:p w14:paraId="0AC4B1AC" w14:textId="1548338A" w:rsidR="009123D8" w:rsidRPr="00CC6CA3" w:rsidRDefault="00D62691">
          <w:pPr>
            <w:pStyle w:val="TOC2"/>
            <w:rPr>
              <w:rFonts w:asciiTheme="minorHAnsi" w:hAnsiTheme="minorHAnsi"/>
              <w:noProof/>
              <w:sz w:val="22"/>
            </w:rPr>
          </w:pPr>
          <w:hyperlink w:anchor="_Toc81553287" w:history="1">
            <w:r w:rsidR="009123D8" w:rsidRPr="00CC6CA3">
              <w:rPr>
                <w:rStyle w:val="Hyperlink"/>
                <w:noProof/>
                <w:color w:val="auto"/>
              </w:rPr>
              <w:t>4.3</w:t>
            </w:r>
            <w:r w:rsidR="009123D8" w:rsidRPr="00CC6CA3">
              <w:rPr>
                <w:rFonts w:asciiTheme="minorHAnsi" w:hAnsiTheme="minorHAnsi"/>
                <w:noProof/>
                <w:sz w:val="22"/>
              </w:rPr>
              <w:tab/>
            </w:r>
            <w:r w:rsidR="009123D8" w:rsidRPr="00CC6CA3">
              <w:rPr>
                <w:rStyle w:val="Hyperlink"/>
                <w:noProof/>
                <w:color w:val="auto"/>
              </w:rPr>
              <w:t>PCA based anomaly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_Toc81553287 \h </w:instrText>
            </w:r>
            <w:r w:rsidR="009123D8" w:rsidRPr="00CC6CA3">
              <w:rPr>
                <w:noProof/>
                <w:webHidden/>
              </w:rPr>
            </w:r>
            <w:r w:rsidR="009123D8" w:rsidRPr="00CC6CA3">
              <w:rPr>
                <w:noProof/>
                <w:webHidden/>
              </w:rPr>
              <w:fldChar w:fldCharType="separate"/>
            </w:r>
            <w:r w:rsidR="00CB31E9" w:rsidRPr="00CC6CA3">
              <w:rPr>
                <w:noProof/>
                <w:webHidden/>
              </w:rPr>
              <w:t>96</w:t>
            </w:r>
            <w:r w:rsidR="009123D8" w:rsidRPr="00CC6CA3">
              <w:rPr>
                <w:noProof/>
                <w:webHidden/>
              </w:rPr>
              <w:fldChar w:fldCharType="end"/>
            </w:r>
          </w:hyperlink>
        </w:p>
        <w:p w14:paraId="36E0C636" w14:textId="7D7F9DA1" w:rsidR="009123D8" w:rsidRPr="00CC6CA3" w:rsidRDefault="00D62691">
          <w:pPr>
            <w:pStyle w:val="TOC3"/>
            <w:tabs>
              <w:tab w:val="left" w:pos="1320"/>
              <w:tab w:val="right" w:leader="dot" w:pos="8755"/>
            </w:tabs>
            <w:rPr>
              <w:rFonts w:asciiTheme="minorHAnsi" w:hAnsiTheme="minorHAnsi"/>
              <w:noProof/>
              <w:sz w:val="22"/>
            </w:rPr>
          </w:pPr>
          <w:hyperlink w:anchor="_Toc81553288" w:history="1">
            <w:r w:rsidR="009123D8" w:rsidRPr="00CC6CA3">
              <w:rPr>
                <w:rStyle w:val="Hyperlink"/>
                <w:noProof/>
                <w:color w:val="auto"/>
              </w:rPr>
              <w:t>4.3.1</w:t>
            </w:r>
            <w:r w:rsidR="009123D8" w:rsidRPr="00CC6CA3">
              <w:rPr>
                <w:rFonts w:asciiTheme="minorHAnsi" w:hAnsiTheme="minorHAnsi"/>
                <w:noProof/>
                <w:sz w:val="22"/>
              </w:rPr>
              <w:tab/>
            </w:r>
            <w:r w:rsidR="009123D8" w:rsidRPr="00CC6CA3">
              <w:rPr>
                <w:rStyle w:val="Hyperlink"/>
                <w:noProof/>
                <w:color w:val="auto"/>
              </w:rPr>
              <w:t>Implementation of PCA based fault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_Toc81553288 \h </w:instrText>
            </w:r>
            <w:r w:rsidR="009123D8" w:rsidRPr="00CC6CA3">
              <w:rPr>
                <w:noProof/>
                <w:webHidden/>
              </w:rPr>
            </w:r>
            <w:r w:rsidR="009123D8" w:rsidRPr="00CC6CA3">
              <w:rPr>
                <w:noProof/>
                <w:webHidden/>
              </w:rPr>
              <w:fldChar w:fldCharType="separate"/>
            </w:r>
            <w:r w:rsidR="00CB31E9" w:rsidRPr="00CC6CA3">
              <w:rPr>
                <w:noProof/>
                <w:webHidden/>
              </w:rPr>
              <w:t>96</w:t>
            </w:r>
            <w:r w:rsidR="009123D8" w:rsidRPr="00CC6CA3">
              <w:rPr>
                <w:noProof/>
                <w:webHidden/>
              </w:rPr>
              <w:fldChar w:fldCharType="end"/>
            </w:r>
          </w:hyperlink>
        </w:p>
        <w:p w14:paraId="6820DE55" w14:textId="5E4E33BC" w:rsidR="009123D8" w:rsidRPr="00CC6CA3" w:rsidRDefault="00D62691">
          <w:pPr>
            <w:pStyle w:val="TOC3"/>
            <w:tabs>
              <w:tab w:val="left" w:pos="1320"/>
              <w:tab w:val="right" w:leader="dot" w:pos="8755"/>
            </w:tabs>
            <w:rPr>
              <w:rFonts w:asciiTheme="minorHAnsi" w:hAnsiTheme="minorHAnsi"/>
              <w:noProof/>
              <w:sz w:val="22"/>
            </w:rPr>
          </w:pPr>
          <w:hyperlink w:anchor="_Toc81553289" w:history="1">
            <w:r w:rsidR="009123D8" w:rsidRPr="00CC6CA3">
              <w:rPr>
                <w:rStyle w:val="Hyperlink"/>
                <w:noProof/>
                <w:color w:val="auto"/>
              </w:rPr>
              <w:t>4.3.2</w:t>
            </w:r>
            <w:r w:rsidR="009123D8" w:rsidRPr="00CC6CA3">
              <w:rPr>
                <w:rFonts w:asciiTheme="minorHAnsi" w:hAnsiTheme="minorHAnsi"/>
                <w:noProof/>
                <w:sz w:val="22"/>
              </w:rPr>
              <w:tab/>
            </w:r>
            <w:r w:rsidR="009123D8" w:rsidRPr="00CC6CA3">
              <w:rPr>
                <w:rStyle w:val="Hyperlink"/>
                <w:noProof/>
                <w:color w:val="auto"/>
              </w:rPr>
              <w:t>Case studies: fault detection using the PCA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_Toc81553289 \h </w:instrText>
            </w:r>
            <w:r w:rsidR="009123D8" w:rsidRPr="00CC6CA3">
              <w:rPr>
                <w:noProof/>
                <w:webHidden/>
              </w:rPr>
            </w:r>
            <w:r w:rsidR="009123D8" w:rsidRPr="00CC6CA3">
              <w:rPr>
                <w:noProof/>
                <w:webHidden/>
              </w:rPr>
              <w:fldChar w:fldCharType="separate"/>
            </w:r>
            <w:r w:rsidR="00CB31E9" w:rsidRPr="00CC6CA3">
              <w:rPr>
                <w:noProof/>
                <w:webHidden/>
              </w:rPr>
              <w:t>97</w:t>
            </w:r>
            <w:r w:rsidR="009123D8" w:rsidRPr="00CC6CA3">
              <w:rPr>
                <w:noProof/>
                <w:webHidden/>
              </w:rPr>
              <w:fldChar w:fldCharType="end"/>
            </w:r>
          </w:hyperlink>
        </w:p>
        <w:p w14:paraId="4FFE3F1D" w14:textId="666B4C8C" w:rsidR="009123D8" w:rsidRPr="00CC6CA3" w:rsidRDefault="00D62691">
          <w:pPr>
            <w:pStyle w:val="TOC2"/>
            <w:rPr>
              <w:rFonts w:asciiTheme="minorHAnsi" w:hAnsiTheme="minorHAnsi"/>
              <w:noProof/>
              <w:sz w:val="22"/>
            </w:rPr>
          </w:pPr>
          <w:hyperlink w:anchor="_Toc81553290" w:history="1">
            <w:r w:rsidR="009123D8" w:rsidRPr="00CC6CA3">
              <w:rPr>
                <w:rStyle w:val="Hyperlink"/>
                <w:noProof/>
                <w:color w:val="auto"/>
              </w:rPr>
              <w:t>4.4</w:t>
            </w:r>
            <w:r w:rsidR="009123D8" w:rsidRPr="00CC6CA3">
              <w:rPr>
                <w:rFonts w:asciiTheme="minorHAnsi" w:hAnsiTheme="minorHAnsi"/>
                <w:noProof/>
                <w:sz w:val="22"/>
              </w:rPr>
              <w:tab/>
            </w:r>
            <w:r w:rsidR="009123D8" w:rsidRPr="00CC6CA3">
              <w:rPr>
                <w:rStyle w:val="Hyperlink"/>
                <w:noProof/>
                <w:color w:val="auto"/>
              </w:rPr>
              <w:t>SAE based anomaly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_Toc81553290 \h </w:instrText>
            </w:r>
            <w:r w:rsidR="009123D8" w:rsidRPr="00CC6CA3">
              <w:rPr>
                <w:noProof/>
                <w:webHidden/>
              </w:rPr>
            </w:r>
            <w:r w:rsidR="009123D8" w:rsidRPr="00CC6CA3">
              <w:rPr>
                <w:noProof/>
                <w:webHidden/>
              </w:rPr>
              <w:fldChar w:fldCharType="separate"/>
            </w:r>
            <w:r w:rsidR="00CB31E9" w:rsidRPr="00CC6CA3">
              <w:rPr>
                <w:noProof/>
                <w:webHidden/>
              </w:rPr>
              <w:t>107</w:t>
            </w:r>
            <w:r w:rsidR="009123D8" w:rsidRPr="00CC6CA3">
              <w:rPr>
                <w:noProof/>
                <w:webHidden/>
              </w:rPr>
              <w:fldChar w:fldCharType="end"/>
            </w:r>
          </w:hyperlink>
        </w:p>
        <w:p w14:paraId="67C82C60" w14:textId="5178125F" w:rsidR="009123D8" w:rsidRPr="00CC6CA3" w:rsidRDefault="00D62691">
          <w:pPr>
            <w:pStyle w:val="TOC3"/>
            <w:tabs>
              <w:tab w:val="left" w:pos="1320"/>
              <w:tab w:val="right" w:leader="dot" w:pos="8755"/>
            </w:tabs>
            <w:rPr>
              <w:rFonts w:asciiTheme="minorHAnsi" w:hAnsiTheme="minorHAnsi"/>
              <w:noProof/>
              <w:sz w:val="22"/>
            </w:rPr>
          </w:pPr>
          <w:hyperlink w:anchor="_Toc81553291" w:history="1">
            <w:r w:rsidR="009123D8" w:rsidRPr="00CC6CA3">
              <w:rPr>
                <w:rStyle w:val="Hyperlink"/>
                <w:noProof/>
                <w:color w:val="auto"/>
              </w:rPr>
              <w:t>4.4.1</w:t>
            </w:r>
            <w:r w:rsidR="009123D8" w:rsidRPr="00CC6CA3">
              <w:rPr>
                <w:rFonts w:asciiTheme="minorHAnsi" w:hAnsiTheme="minorHAnsi"/>
                <w:noProof/>
                <w:sz w:val="22"/>
              </w:rPr>
              <w:tab/>
            </w:r>
            <w:r w:rsidR="009123D8" w:rsidRPr="00CC6CA3">
              <w:rPr>
                <w:rStyle w:val="Hyperlink"/>
                <w:noProof/>
                <w:color w:val="auto"/>
              </w:rPr>
              <w:t>Implementation of SAE based fault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_Toc81553291 \h </w:instrText>
            </w:r>
            <w:r w:rsidR="009123D8" w:rsidRPr="00CC6CA3">
              <w:rPr>
                <w:noProof/>
                <w:webHidden/>
              </w:rPr>
            </w:r>
            <w:r w:rsidR="009123D8" w:rsidRPr="00CC6CA3">
              <w:rPr>
                <w:noProof/>
                <w:webHidden/>
              </w:rPr>
              <w:fldChar w:fldCharType="separate"/>
            </w:r>
            <w:r w:rsidR="00CB31E9" w:rsidRPr="00CC6CA3">
              <w:rPr>
                <w:noProof/>
                <w:webHidden/>
              </w:rPr>
              <w:t>107</w:t>
            </w:r>
            <w:r w:rsidR="009123D8" w:rsidRPr="00CC6CA3">
              <w:rPr>
                <w:noProof/>
                <w:webHidden/>
              </w:rPr>
              <w:fldChar w:fldCharType="end"/>
            </w:r>
          </w:hyperlink>
        </w:p>
        <w:p w14:paraId="055B4DD9" w14:textId="0415EAC0" w:rsidR="009123D8" w:rsidRPr="00CC6CA3" w:rsidRDefault="00D62691">
          <w:pPr>
            <w:pStyle w:val="TOC3"/>
            <w:tabs>
              <w:tab w:val="left" w:pos="1320"/>
              <w:tab w:val="right" w:leader="dot" w:pos="8755"/>
            </w:tabs>
            <w:rPr>
              <w:rFonts w:asciiTheme="minorHAnsi" w:hAnsiTheme="minorHAnsi"/>
              <w:noProof/>
              <w:sz w:val="22"/>
            </w:rPr>
          </w:pPr>
          <w:hyperlink w:anchor="_Toc81553292" w:history="1">
            <w:r w:rsidR="009123D8" w:rsidRPr="00CC6CA3">
              <w:rPr>
                <w:rStyle w:val="Hyperlink"/>
                <w:noProof/>
                <w:color w:val="auto"/>
              </w:rPr>
              <w:t>4.4.2</w:t>
            </w:r>
            <w:r w:rsidR="009123D8" w:rsidRPr="00CC6CA3">
              <w:rPr>
                <w:rFonts w:asciiTheme="minorHAnsi" w:hAnsiTheme="minorHAnsi"/>
                <w:noProof/>
                <w:sz w:val="22"/>
              </w:rPr>
              <w:tab/>
            </w:r>
            <w:r w:rsidR="009123D8" w:rsidRPr="00CC6CA3">
              <w:rPr>
                <w:rStyle w:val="Hyperlink"/>
                <w:noProof/>
                <w:color w:val="auto"/>
              </w:rPr>
              <w:t>Case studies: fault detection using the SAE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_Toc81553292 \h </w:instrText>
            </w:r>
            <w:r w:rsidR="009123D8" w:rsidRPr="00CC6CA3">
              <w:rPr>
                <w:noProof/>
                <w:webHidden/>
              </w:rPr>
            </w:r>
            <w:r w:rsidR="009123D8" w:rsidRPr="00CC6CA3">
              <w:rPr>
                <w:noProof/>
                <w:webHidden/>
              </w:rPr>
              <w:fldChar w:fldCharType="separate"/>
            </w:r>
            <w:r w:rsidR="00CB31E9" w:rsidRPr="00CC6CA3">
              <w:rPr>
                <w:noProof/>
                <w:webHidden/>
              </w:rPr>
              <w:t>108</w:t>
            </w:r>
            <w:r w:rsidR="009123D8" w:rsidRPr="00CC6CA3">
              <w:rPr>
                <w:noProof/>
                <w:webHidden/>
              </w:rPr>
              <w:fldChar w:fldCharType="end"/>
            </w:r>
          </w:hyperlink>
        </w:p>
        <w:p w14:paraId="1AC631AF" w14:textId="19F6730A" w:rsidR="009123D8" w:rsidRPr="00CC6CA3" w:rsidRDefault="00D62691">
          <w:pPr>
            <w:pStyle w:val="TOC2"/>
            <w:rPr>
              <w:rFonts w:asciiTheme="minorHAnsi" w:hAnsiTheme="minorHAnsi"/>
              <w:noProof/>
              <w:sz w:val="22"/>
            </w:rPr>
          </w:pPr>
          <w:hyperlink w:anchor="_Toc81553293" w:history="1">
            <w:r w:rsidR="009123D8" w:rsidRPr="00CC6CA3">
              <w:rPr>
                <w:rStyle w:val="Hyperlink"/>
                <w:noProof/>
                <w:color w:val="auto"/>
              </w:rPr>
              <w:t>4.5</w:t>
            </w:r>
            <w:r w:rsidR="009123D8" w:rsidRPr="00CC6CA3">
              <w:rPr>
                <w:rFonts w:asciiTheme="minorHAnsi" w:hAnsiTheme="minorHAnsi"/>
                <w:noProof/>
                <w:sz w:val="22"/>
              </w:rPr>
              <w:tab/>
            </w:r>
            <w:r w:rsidR="009123D8" w:rsidRPr="00CC6CA3">
              <w:rPr>
                <w:rStyle w:val="Hyperlink"/>
                <w:noProof/>
                <w:color w:val="auto"/>
              </w:rPr>
              <w:t>Results and discussion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_Toc81553293 \h </w:instrText>
            </w:r>
            <w:r w:rsidR="009123D8" w:rsidRPr="00CC6CA3">
              <w:rPr>
                <w:noProof/>
                <w:webHidden/>
              </w:rPr>
            </w:r>
            <w:r w:rsidR="009123D8" w:rsidRPr="00CC6CA3">
              <w:rPr>
                <w:noProof/>
                <w:webHidden/>
              </w:rPr>
              <w:fldChar w:fldCharType="separate"/>
            </w:r>
            <w:r w:rsidR="00CB31E9" w:rsidRPr="00CC6CA3">
              <w:rPr>
                <w:noProof/>
                <w:webHidden/>
              </w:rPr>
              <w:t>120</w:t>
            </w:r>
            <w:r w:rsidR="009123D8" w:rsidRPr="00CC6CA3">
              <w:rPr>
                <w:noProof/>
                <w:webHidden/>
              </w:rPr>
              <w:fldChar w:fldCharType="end"/>
            </w:r>
          </w:hyperlink>
        </w:p>
        <w:p w14:paraId="406CD4BA" w14:textId="2D8ED1B5" w:rsidR="009123D8" w:rsidRPr="00CC6CA3" w:rsidRDefault="00D62691">
          <w:pPr>
            <w:pStyle w:val="TOC3"/>
            <w:tabs>
              <w:tab w:val="left" w:pos="1320"/>
              <w:tab w:val="right" w:leader="dot" w:pos="8755"/>
            </w:tabs>
            <w:rPr>
              <w:rFonts w:asciiTheme="minorHAnsi" w:hAnsiTheme="minorHAnsi"/>
              <w:noProof/>
              <w:sz w:val="22"/>
            </w:rPr>
          </w:pPr>
          <w:hyperlink w:anchor="_Toc81553294" w:history="1">
            <w:r w:rsidR="009123D8" w:rsidRPr="00CC6CA3">
              <w:rPr>
                <w:rStyle w:val="Hyperlink"/>
                <w:noProof/>
                <w:color w:val="auto"/>
              </w:rPr>
              <w:t>4.5.1</w:t>
            </w:r>
            <w:r w:rsidR="009123D8" w:rsidRPr="00CC6CA3">
              <w:rPr>
                <w:rFonts w:asciiTheme="minorHAnsi" w:hAnsiTheme="minorHAnsi"/>
                <w:noProof/>
                <w:sz w:val="22"/>
              </w:rPr>
              <w:tab/>
            </w:r>
            <w:r w:rsidR="009123D8" w:rsidRPr="00CC6CA3">
              <w:rPr>
                <w:rStyle w:val="Hyperlink"/>
                <w:noProof/>
                <w:color w:val="auto"/>
              </w:rPr>
              <w:t>Case 1: misalignment fault in a pump</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_Toc81553294 \h </w:instrText>
            </w:r>
            <w:r w:rsidR="009123D8" w:rsidRPr="00CC6CA3">
              <w:rPr>
                <w:noProof/>
                <w:webHidden/>
              </w:rPr>
            </w:r>
            <w:r w:rsidR="009123D8" w:rsidRPr="00CC6CA3">
              <w:rPr>
                <w:noProof/>
                <w:webHidden/>
              </w:rPr>
              <w:fldChar w:fldCharType="separate"/>
            </w:r>
            <w:r w:rsidR="00CB31E9" w:rsidRPr="00CC6CA3">
              <w:rPr>
                <w:noProof/>
                <w:webHidden/>
              </w:rPr>
              <w:t>120</w:t>
            </w:r>
            <w:r w:rsidR="009123D8" w:rsidRPr="00CC6CA3">
              <w:rPr>
                <w:noProof/>
                <w:webHidden/>
              </w:rPr>
              <w:fldChar w:fldCharType="end"/>
            </w:r>
          </w:hyperlink>
        </w:p>
        <w:p w14:paraId="2A29A85B" w14:textId="097904A4" w:rsidR="009123D8" w:rsidRPr="00CC6CA3" w:rsidRDefault="00D62691">
          <w:pPr>
            <w:pStyle w:val="TOC3"/>
            <w:tabs>
              <w:tab w:val="left" w:pos="1320"/>
              <w:tab w:val="right" w:leader="dot" w:pos="8755"/>
            </w:tabs>
            <w:rPr>
              <w:rFonts w:asciiTheme="minorHAnsi" w:hAnsiTheme="minorHAnsi"/>
              <w:noProof/>
              <w:sz w:val="22"/>
            </w:rPr>
          </w:pPr>
          <w:hyperlink w:anchor="_Toc81553295" w:history="1">
            <w:r w:rsidR="009123D8" w:rsidRPr="00CC6CA3">
              <w:rPr>
                <w:rStyle w:val="Hyperlink"/>
                <w:noProof/>
                <w:color w:val="auto"/>
              </w:rPr>
              <w:t>4.5.2</w:t>
            </w:r>
            <w:r w:rsidR="009123D8" w:rsidRPr="00CC6CA3">
              <w:rPr>
                <w:rFonts w:asciiTheme="minorHAnsi" w:hAnsiTheme="minorHAnsi"/>
                <w:noProof/>
                <w:sz w:val="22"/>
              </w:rPr>
              <w:tab/>
            </w:r>
            <w:r w:rsidR="009123D8" w:rsidRPr="00CC6CA3">
              <w:rPr>
                <w:rStyle w:val="Hyperlink"/>
                <w:noProof/>
                <w:color w:val="auto"/>
              </w:rPr>
              <w:t>Case 2: misalignment fault and pump bearing fault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_Toc81553295 \h </w:instrText>
            </w:r>
            <w:r w:rsidR="009123D8" w:rsidRPr="00CC6CA3">
              <w:rPr>
                <w:noProof/>
                <w:webHidden/>
              </w:rPr>
            </w:r>
            <w:r w:rsidR="009123D8" w:rsidRPr="00CC6CA3">
              <w:rPr>
                <w:noProof/>
                <w:webHidden/>
              </w:rPr>
              <w:fldChar w:fldCharType="separate"/>
            </w:r>
            <w:r w:rsidR="00CB31E9" w:rsidRPr="00CC6CA3">
              <w:rPr>
                <w:noProof/>
                <w:webHidden/>
              </w:rPr>
              <w:t>122</w:t>
            </w:r>
            <w:r w:rsidR="009123D8" w:rsidRPr="00CC6CA3">
              <w:rPr>
                <w:noProof/>
                <w:webHidden/>
              </w:rPr>
              <w:fldChar w:fldCharType="end"/>
            </w:r>
          </w:hyperlink>
        </w:p>
        <w:p w14:paraId="1B2C7B29" w14:textId="425B6DEF" w:rsidR="009123D8" w:rsidRPr="00CC6CA3" w:rsidRDefault="00D62691">
          <w:pPr>
            <w:pStyle w:val="TOC3"/>
            <w:tabs>
              <w:tab w:val="left" w:pos="1320"/>
              <w:tab w:val="right" w:leader="dot" w:pos="8755"/>
            </w:tabs>
            <w:rPr>
              <w:rFonts w:asciiTheme="minorHAnsi" w:hAnsiTheme="minorHAnsi"/>
              <w:noProof/>
              <w:sz w:val="22"/>
            </w:rPr>
          </w:pPr>
          <w:hyperlink w:anchor="_Toc81553296" w:history="1">
            <w:r w:rsidR="009123D8" w:rsidRPr="00CC6CA3">
              <w:rPr>
                <w:rStyle w:val="Hyperlink"/>
                <w:noProof/>
                <w:color w:val="auto"/>
              </w:rPr>
              <w:t>4.5.3</w:t>
            </w:r>
            <w:r w:rsidR="009123D8" w:rsidRPr="00CC6CA3">
              <w:rPr>
                <w:rFonts w:asciiTheme="minorHAnsi" w:hAnsiTheme="minorHAnsi"/>
                <w:noProof/>
                <w:sz w:val="22"/>
              </w:rPr>
              <w:tab/>
            </w:r>
            <w:r w:rsidR="009123D8" w:rsidRPr="00CC6CA3">
              <w:rPr>
                <w:rStyle w:val="Hyperlink"/>
                <w:noProof/>
                <w:color w:val="auto"/>
              </w:rPr>
              <w:t>Case 3: bearing faults in compressor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_Toc81553296 \h </w:instrText>
            </w:r>
            <w:r w:rsidR="009123D8" w:rsidRPr="00CC6CA3">
              <w:rPr>
                <w:noProof/>
                <w:webHidden/>
              </w:rPr>
            </w:r>
            <w:r w:rsidR="009123D8" w:rsidRPr="00CC6CA3">
              <w:rPr>
                <w:noProof/>
                <w:webHidden/>
              </w:rPr>
              <w:fldChar w:fldCharType="separate"/>
            </w:r>
            <w:r w:rsidR="00CB31E9" w:rsidRPr="00CC6CA3">
              <w:rPr>
                <w:noProof/>
                <w:webHidden/>
              </w:rPr>
              <w:t>126</w:t>
            </w:r>
            <w:r w:rsidR="009123D8" w:rsidRPr="00CC6CA3">
              <w:rPr>
                <w:noProof/>
                <w:webHidden/>
              </w:rPr>
              <w:fldChar w:fldCharType="end"/>
            </w:r>
          </w:hyperlink>
        </w:p>
        <w:p w14:paraId="147D8E0B" w14:textId="1FDC0A3F" w:rsidR="009123D8" w:rsidRPr="00CC6CA3" w:rsidRDefault="00D62691">
          <w:pPr>
            <w:pStyle w:val="TOC2"/>
            <w:rPr>
              <w:rFonts w:asciiTheme="minorHAnsi" w:hAnsiTheme="minorHAnsi"/>
              <w:noProof/>
              <w:sz w:val="22"/>
            </w:rPr>
          </w:pPr>
          <w:hyperlink w:anchor="_Toc81553297" w:history="1">
            <w:r w:rsidR="009123D8" w:rsidRPr="00CC6CA3">
              <w:rPr>
                <w:rStyle w:val="Hyperlink"/>
                <w:noProof/>
                <w:color w:val="auto"/>
              </w:rPr>
              <w:t>4.6</w:t>
            </w:r>
            <w:r w:rsidR="009123D8" w:rsidRPr="00CC6CA3">
              <w:rPr>
                <w:rFonts w:asciiTheme="minorHAnsi" w:hAnsiTheme="minorHAnsi"/>
                <w:noProof/>
                <w:sz w:val="22"/>
              </w:rPr>
              <w:tab/>
            </w:r>
            <w:r w:rsidR="009123D8" w:rsidRPr="00CC6CA3">
              <w:rPr>
                <w:rStyle w:val="Hyperlink"/>
                <w:noProof/>
                <w:color w:val="auto"/>
              </w:rPr>
              <w:t>Summary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_Toc81553297 \h </w:instrText>
            </w:r>
            <w:r w:rsidR="009123D8" w:rsidRPr="00CC6CA3">
              <w:rPr>
                <w:noProof/>
                <w:webHidden/>
              </w:rPr>
            </w:r>
            <w:r w:rsidR="009123D8" w:rsidRPr="00CC6CA3">
              <w:rPr>
                <w:noProof/>
                <w:webHidden/>
              </w:rPr>
              <w:fldChar w:fldCharType="separate"/>
            </w:r>
            <w:r w:rsidR="00CB31E9" w:rsidRPr="00CC6CA3">
              <w:rPr>
                <w:noProof/>
                <w:webHidden/>
              </w:rPr>
              <w:t>128</w:t>
            </w:r>
            <w:r w:rsidR="009123D8" w:rsidRPr="00CC6CA3">
              <w:rPr>
                <w:noProof/>
                <w:webHidden/>
              </w:rPr>
              <w:fldChar w:fldCharType="end"/>
            </w:r>
          </w:hyperlink>
        </w:p>
        <w:p w14:paraId="2FBEEDAD" w14:textId="2CC29FFF" w:rsidR="009123D8" w:rsidRPr="00CC6CA3" w:rsidRDefault="00D62691">
          <w:pPr>
            <w:pStyle w:val="TOC1"/>
            <w:rPr>
              <w:rFonts w:asciiTheme="minorHAnsi" w:hAnsiTheme="minorHAnsi"/>
              <w:b w:val="0"/>
              <w:sz w:val="22"/>
            </w:rPr>
          </w:pPr>
          <w:hyperlink w:anchor="_Toc81553298" w:history="1">
            <w:r w:rsidR="009123D8" w:rsidRPr="00CC6CA3">
              <w:rPr>
                <w:rStyle w:val="Hyperlink"/>
                <w:color w:val="auto"/>
              </w:rPr>
              <w:t>Chapter 5.</w:t>
            </w:r>
            <w:r w:rsidR="009123D8" w:rsidRPr="00CC6CA3">
              <w:rPr>
                <w:rFonts w:asciiTheme="minorHAnsi" w:hAnsiTheme="minorHAnsi"/>
                <w:b w:val="0"/>
                <w:sz w:val="22"/>
              </w:rPr>
              <w:tab/>
            </w:r>
            <w:r w:rsidR="009123D8" w:rsidRPr="00CC6CA3">
              <w:rPr>
                <w:rStyle w:val="Hyperlink"/>
                <w:color w:val="auto"/>
              </w:rPr>
              <w:t>A Comprehensive Health Indicator based on Condition Monitoring Data for Pump and Compressor System</w:t>
            </w:r>
            <w:r w:rsidR="009123D8" w:rsidRPr="00CC6CA3">
              <w:rPr>
                <w:webHidden/>
              </w:rPr>
              <w:tab/>
            </w:r>
            <w:r w:rsidR="009123D8" w:rsidRPr="00CC6CA3">
              <w:rPr>
                <w:webHidden/>
              </w:rPr>
              <w:fldChar w:fldCharType="begin"/>
            </w:r>
            <w:r w:rsidR="009123D8" w:rsidRPr="00CC6CA3">
              <w:rPr>
                <w:webHidden/>
              </w:rPr>
              <w:instrText xml:space="preserve"> PAGEREF _Toc81553298 \h </w:instrText>
            </w:r>
            <w:r w:rsidR="009123D8" w:rsidRPr="00CC6CA3">
              <w:rPr>
                <w:webHidden/>
              </w:rPr>
            </w:r>
            <w:r w:rsidR="009123D8" w:rsidRPr="00CC6CA3">
              <w:rPr>
                <w:webHidden/>
              </w:rPr>
              <w:fldChar w:fldCharType="separate"/>
            </w:r>
            <w:r w:rsidR="00CB31E9" w:rsidRPr="00CC6CA3">
              <w:rPr>
                <w:webHidden/>
              </w:rPr>
              <w:t>130</w:t>
            </w:r>
            <w:r w:rsidR="009123D8" w:rsidRPr="00CC6CA3">
              <w:rPr>
                <w:webHidden/>
              </w:rPr>
              <w:fldChar w:fldCharType="end"/>
            </w:r>
          </w:hyperlink>
        </w:p>
        <w:p w14:paraId="4AB0C9BB" w14:textId="03BCBDD6" w:rsidR="009123D8" w:rsidRPr="00CC6CA3" w:rsidRDefault="00D62691">
          <w:pPr>
            <w:pStyle w:val="TOC2"/>
            <w:rPr>
              <w:rFonts w:asciiTheme="minorHAnsi" w:hAnsiTheme="minorHAnsi"/>
              <w:noProof/>
              <w:sz w:val="22"/>
            </w:rPr>
          </w:pPr>
          <w:hyperlink w:anchor="_Toc81553299" w:history="1">
            <w:r w:rsidR="009123D8" w:rsidRPr="00CC6CA3">
              <w:rPr>
                <w:rStyle w:val="Hyperlink"/>
                <w:noProof/>
                <w:color w:val="auto"/>
                <w:lang w:val="en-US"/>
              </w:rPr>
              <w:t>5.1</w:t>
            </w:r>
            <w:r w:rsidR="009123D8" w:rsidRPr="00CC6CA3">
              <w:rPr>
                <w:rFonts w:asciiTheme="minorHAnsi" w:hAnsiTheme="minorHAnsi"/>
                <w:noProof/>
                <w:sz w:val="22"/>
              </w:rPr>
              <w:tab/>
            </w:r>
            <w:r w:rsidR="009123D8" w:rsidRPr="00CC6CA3">
              <w:rPr>
                <w:rStyle w:val="Hyperlink"/>
                <w:noProof/>
                <w:color w:val="auto"/>
                <w:lang w:val="en-US"/>
              </w:rPr>
              <w:t>Condition-based risk assessment maintenance methodology based on PCA approach</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_Toc81553299 \h </w:instrText>
            </w:r>
            <w:r w:rsidR="009123D8" w:rsidRPr="00CC6CA3">
              <w:rPr>
                <w:noProof/>
                <w:webHidden/>
              </w:rPr>
            </w:r>
            <w:r w:rsidR="009123D8" w:rsidRPr="00CC6CA3">
              <w:rPr>
                <w:noProof/>
                <w:webHidden/>
              </w:rPr>
              <w:fldChar w:fldCharType="separate"/>
            </w:r>
            <w:r w:rsidR="00CB31E9" w:rsidRPr="00CC6CA3">
              <w:rPr>
                <w:noProof/>
                <w:webHidden/>
              </w:rPr>
              <w:t>131</w:t>
            </w:r>
            <w:r w:rsidR="009123D8" w:rsidRPr="00CC6CA3">
              <w:rPr>
                <w:noProof/>
                <w:webHidden/>
              </w:rPr>
              <w:fldChar w:fldCharType="end"/>
            </w:r>
          </w:hyperlink>
        </w:p>
        <w:p w14:paraId="7B37FA80" w14:textId="68FCCFC4" w:rsidR="009123D8" w:rsidRPr="00CC6CA3" w:rsidRDefault="00D62691">
          <w:pPr>
            <w:pStyle w:val="TOC3"/>
            <w:tabs>
              <w:tab w:val="left" w:pos="1320"/>
              <w:tab w:val="right" w:leader="dot" w:pos="8755"/>
            </w:tabs>
            <w:rPr>
              <w:rFonts w:asciiTheme="minorHAnsi" w:hAnsiTheme="minorHAnsi"/>
              <w:noProof/>
              <w:sz w:val="22"/>
            </w:rPr>
          </w:pPr>
          <w:hyperlink w:anchor="_Toc81553300" w:history="1">
            <w:r w:rsidR="009123D8" w:rsidRPr="00CC6CA3">
              <w:rPr>
                <w:rStyle w:val="Hyperlink"/>
                <w:noProof/>
                <w:color w:val="auto"/>
                <w:lang w:val="en-US"/>
              </w:rPr>
              <w:t>5.1.1</w:t>
            </w:r>
            <w:r w:rsidR="009123D8" w:rsidRPr="00CC6CA3">
              <w:rPr>
                <w:rFonts w:asciiTheme="minorHAnsi" w:hAnsiTheme="minorHAnsi"/>
                <w:noProof/>
                <w:sz w:val="22"/>
              </w:rPr>
              <w:tab/>
            </w:r>
            <w:r w:rsidR="009123D8" w:rsidRPr="00CC6CA3">
              <w:rPr>
                <w:rStyle w:val="Hyperlink"/>
                <w:noProof/>
                <w:color w:val="auto"/>
                <w:lang w:val="en-US"/>
              </w:rPr>
              <w:t>Overall methodology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_Toc81553300 \h </w:instrText>
            </w:r>
            <w:r w:rsidR="009123D8" w:rsidRPr="00CC6CA3">
              <w:rPr>
                <w:noProof/>
                <w:webHidden/>
              </w:rPr>
            </w:r>
            <w:r w:rsidR="009123D8" w:rsidRPr="00CC6CA3">
              <w:rPr>
                <w:noProof/>
                <w:webHidden/>
              </w:rPr>
              <w:fldChar w:fldCharType="separate"/>
            </w:r>
            <w:r w:rsidR="00CB31E9" w:rsidRPr="00CC6CA3">
              <w:rPr>
                <w:noProof/>
                <w:webHidden/>
              </w:rPr>
              <w:t>131</w:t>
            </w:r>
            <w:r w:rsidR="009123D8" w:rsidRPr="00CC6CA3">
              <w:rPr>
                <w:noProof/>
                <w:webHidden/>
              </w:rPr>
              <w:fldChar w:fldCharType="end"/>
            </w:r>
          </w:hyperlink>
        </w:p>
        <w:p w14:paraId="2D91EC19" w14:textId="42C7ECAF" w:rsidR="009123D8" w:rsidRPr="00CC6CA3" w:rsidRDefault="00D62691">
          <w:pPr>
            <w:pStyle w:val="TOC3"/>
            <w:tabs>
              <w:tab w:val="left" w:pos="1320"/>
              <w:tab w:val="right" w:leader="dot" w:pos="8755"/>
            </w:tabs>
            <w:rPr>
              <w:rFonts w:asciiTheme="minorHAnsi" w:hAnsiTheme="minorHAnsi"/>
              <w:noProof/>
              <w:sz w:val="22"/>
            </w:rPr>
          </w:pPr>
          <w:hyperlink w:anchor="_Toc81553301" w:history="1">
            <w:r w:rsidR="009123D8" w:rsidRPr="00CC6CA3">
              <w:rPr>
                <w:rStyle w:val="Hyperlink"/>
                <w:noProof/>
                <w:color w:val="auto"/>
                <w:lang w:val="en-US"/>
              </w:rPr>
              <w:t>5.1.2</w:t>
            </w:r>
            <w:r w:rsidR="009123D8" w:rsidRPr="00CC6CA3">
              <w:rPr>
                <w:rFonts w:asciiTheme="minorHAnsi" w:hAnsiTheme="minorHAnsi"/>
                <w:noProof/>
                <w:sz w:val="22"/>
              </w:rPr>
              <w:tab/>
            </w:r>
            <w:r w:rsidR="009123D8" w:rsidRPr="00CC6CA3">
              <w:rPr>
                <w:rStyle w:val="Hyperlink"/>
                <w:noProof/>
                <w:color w:val="auto"/>
                <w:lang w:val="en-US"/>
              </w:rPr>
              <w:t>Probability of fault model designed for PCA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_Toc81553301 \h </w:instrText>
            </w:r>
            <w:r w:rsidR="009123D8" w:rsidRPr="00CC6CA3">
              <w:rPr>
                <w:noProof/>
                <w:webHidden/>
              </w:rPr>
            </w:r>
            <w:r w:rsidR="009123D8" w:rsidRPr="00CC6CA3">
              <w:rPr>
                <w:noProof/>
                <w:webHidden/>
              </w:rPr>
              <w:fldChar w:fldCharType="separate"/>
            </w:r>
            <w:r w:rsidR="00CB31E9" w:rsidRPr="00CC6CA3">
              <w:rPr>
                <w:noProof/>
                <w:webHidden/>
              </w:rPr>
              <w:t>132</w:t>
            </w:r>
            <w:r w:rsidR="009123D8" w:rsidRPr="00CC6CA3">
              <w:rPr>
                <w:noProof/>
                <w:webHidden/>
              </w:rPr>
              <w:fldChar w:fldCharType="end"/>
            </w:r>
          </w:hyperlink>
        </w:p>
        <w:p w14:paraId="521B4EA0" w14:textId="6268DAC3" w:rsidR="009123D8" w:rsidRPr="00CC6CA3" w:rsidRDefault="00D62691">
          <w:pPr>
            <w:pStyle w:val="TOC3"/>
            <w:tabs>
              <w:tab w:val="left" w:pos="1320"/>
              <w:tab w:val="right" w:leader="dot" w:pos="8755"/>
            </w:tabs>
            <w:rPr>
              <w:rFonts w:asciiTheme="minorHAnsi" w:hAnsiTheme="minorHAnsi"/>
              <w:noProof/>
              <w:sz w:val="22"/>
            </w:rPr>
          </w:pPr>
          <w:hyperlink w:anchor="_Toc81553302" w:history="1">
            <w:r w:rsidR="009123D8" w:rsidRPr="00CC6CA3">
              <w:rPr>
                <w:rStyle w:val="Hyperlink"/>
                <w:noProof/>
                <w:color w:val="auto"/>
                <w:lang w:val="en-US"/>
              </w:rPr>
              <w:t>5.1.3</w:t>
            </w:r>
            <w:r w:rsidR="009123D8" w:rsidRPr="00CC6CA3">
              <w:rPr>
                <w:rFonts w:asciiTheme="minorHAnsi" w:hAnsiTheme="minorHAnsi"/>
                <w:noProof/>
                <w:sz w:val="22"/>
              </w:rPr>
              <w:tab/>
            </w:r>
            <w:r w:rsidR="009123D8" w:rsidRPr="00CC6CA3">
              <w:rPr>
                <w:rStyle w:val="Hyperlink"/>
                <w:noProof/>
                <w:color w:val="auto"/>
                <w:lang w:val="en-US"/>
              </w:rPr>
              <w:t>Severity of fault model designed for PCA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_Toc81553302 \h </w:instrText>
            </w:r>
            <w:r w:rsidR="009123D8" w:rsidRPr="00CC6CA3">
              <w:rPr>
                <w:noProof/>
                <w:webHidden/>
              </w:rPr>
            </w:r>
            <w:r w:rsidR="009123D8" w:rsidRPr="00CC6CA3">
              <w:rPr>
                <w:noProof/>
                <w:webHidden/>
              </w:rPr>
              <w:fldChar w:fldCharType="separate"/>
            </w:r>
            <w:r w:rsidR="00CB31E9" w:rsidRPr="00CC6CA3">
              <w:rPr>
                <w:noProof/>
                <w:webHidden/>
              </w:rPr>
              <w:t>132</w:t>
            </w:r>
            <w:r w:rsidR="009123D8" w:rsidRPr="00CC6CA3">
              <w:rPr>
                <w:noProof/>
                <w:webHidden/>
              </w:rPr>
              <w:fldChar w:fldCharType="end"/>
            </w:r>
          </w:hyperlink>
        </w:p>
        <w:p w14:paraId="7CA43E44" w14:textId="0F432C24" w:rsidR="009123D8" w:rsidRPr="00CC6CA3" w:rsidRDefault="00D62691">
          <w:pPr>
            <w:pStyle w:val="TOC3"/>
            <w:tabs>
              <w:tab w:val="left" w:pos="1320"/>
              <w:tab w:val="right" w:leader="dot" w:pos="8755"/>
            </w:tabs>
            <w:rPr>
              <w:rFonts w:asciiTheme="minorHAnsi" w:hAnsiTheme="minorHAnsi"/>
              <w:noProof/>
              <w:sz w:val="22"/>
            </w:rPr>
          </w:pPr>
          <w:hyperlink w:anchor="_Toc81553303" w:history="1">
            <w:r w:rsidR="009123D8" w:rsidRPr="00CC6CA3">
              <w:rPr>
                <w:rStyle w:val="Hyperlink"/>
                <w:noProof/>
                <w:color w:val="auto"/>
                <w:lang w:val="en-US"/>
              </w:rPr>
              <w:t>5.1.4</w:t>
            </w:r>
            <w:r w:rsidR="009123D8" w:rsidRPr="00CC6CA3">
              <w:rPr>
                <w:rFonts w:asciiTheme="minorHAnsi" w:hAnsiTheme="minorHAnsi"/>
                <w:noProof/>
                <w:sz w:val="22"/>
              </w:rPr>
              <w:tab/>
            </w:r>
            <w:r w:rsidR="009123D8" w:rsidRPr="00CC6CA3">
              <w:rPr>
                <w:rStyle w:val="Hyperlink"/>
                <w:noProof/>
                <w:color w:val="auto"/>
                <w:lang w:val="en-US"/>
              </w:rPr>
              <w:t>System health indicator designed for PCA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_Toc81553303 \h </w:instrText>
            </w:r>
            <w:r w:rsidR="009123D8" w:rsidRPr="00CC6CA3">
              <w:rPr>
                <w:noProof/>
                <w:webHidden/>
              </w:rPr>
            </w:r>
            <w:r w:rsidR="009123D8" w:rsidRPr="00CC6CA3">
              <w:rPr>
                <w:noProof/>
                <w:webHidden/>
              </w:rPr>
              <w:fldChar w:fldCharType="separate"/>
            </w:r>
            <w:r w:rsidR="00CB31E9" w:rsidRPr="00CC6CA3">
              <w:rPr>
                <w:noProof/>
                <w:webHidden/>
              </w:rPr>
              <w:t>132</w:t>
            </w:r>
            <w:r w:rsidR="009123D8" w:rsidRPr="00CC6CA3">
              <w:rPr>
                <w:noProof/>
                <w:webHidden/>
              </w:rPr>
              <w:fldChar w:fldCharType="end"/>
            </w:r>
          </w:hyperlink>
        </w:p>
        <w:p w14:paraId="43F5B75B" w14:textId="0675E929" w:rsidR="009123D8" w:rsidRPr="00CC6CA3" w:rsidRDefault="00D62691">
          <w:pPr>
            <w:pStyle w:val="TOC3"/>
            <w:tabs>
              <w:tab w:val="left" w:pos="1320"/>
              <w:tab w:val="right" w:leader="dot" w:pos="8755"/>
            </w:tabs>
            <w:rPr>
              <w:rFonts w:asciiTheme="minorHAnsi" w:hAnsiTheme="minorHAnsi"/>
              <w:noProof/>
              <w:sz w:val="22"/>
            </w:rPr>
          </w:pPr>
          <w:hyperlink w:anchor="_Toc81553304" w:history="1">
            <w:r w:rsidR="009123D8" w:rsidRPr="00CC6CA3">
              <w:rPr>
                <w:rStyle w:val="Hyperlink"/>
                <w:noProof/>
                <w:color w:val="auto"/>
              </w:rPr>
              <w:t>5.1.5</w:t>
            </w:r>
            <w:r w:rsidR="009123D8" w:rsidRPr="00CC6CA3">
              <w:rPr>
                <w:rFonts w:asciiTheme="minorHAnsi" w:hAnsiTheme="minorHAnsi"/>
                <w:noProof/>
                <w:sz w:val="22"/>
              </w:rPr>
              <w:tab/>
            </w:r>
            <w:r w:rsidR="009123D8" w:rsidRPr="00CC6CA3">
              <w:rPr>
                <w:rStyle w:val="Hyperlink"/>
                <w:noProof/>
                <w:color w:val="auto"/>
              </w:rPr>
              <w:t>Case studies: development of system health indicator using PCA approach</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_Toc81553304 \h </w:instrText>
            </w:r>
            <w:r w:rsidR="009123D8" w:rsidRPr="00CC6CA3">
              <w:rPr>
                <w:noProof/>
                <w:webHidden/>
              </w:rPr>
            </w:r>
            <w:r w:rsidR="009123D8" w:rsidRPr="00CC6CA3">
              <w:rPr>
                <w:noProof/>
                <w:webHidden/>
              </w:rPr>
              <w:fldChar w:fldCharType="separate"/>
            </w:r>
            <w:r w:rsidR="00CB31E9" w:rsidRPr="00CC6CA3">
              <w:rPr>
                <w:noProof/>
                <w:webHidden/>
              </w:rPr>
              <w:t>133</w:t>
            </w:r>
            <w:r w:rsidR="009123D8" w:rsidRPr="00CC6CA3">
              <w:rPr>
                <w:noProof/>
                <w:webHidden/>
              </w:rPr>
              <w:fldChar w:fldCharType="end"/>
            </w:r>
          </w:hyperlink>
        </w:p>
        <w:p w14:paraId="4487F341" w14:textId="32DEBFB8" w:rsidR="009123D8" w:rsidRPr="00CC6CA3" w:rsidRDefault="00D62691">
          <w:pPr>
            <w:pStyle w:val="TOC2"/>
            <w:rPr>
              <w:rFonts w:asciiTheme="minorHAnsi" w:hAnsiTheme="minorHAnsi"/>
              <w:noProof/>
              <w:sz w:val="22"/>
            </w:rPr>
          </w:pPr>
          <w:hyperlink w:anchor="_Toc81553305" w:history="1">
            <w:r w:rsidR="009123D8" w:rsidRPr="00CC6CA3">
              <w:rPr>
                <w:rStyle w:val="Hyperlink"/>
                <w:noProof/>
                <w:color w:val="auto"/>
                <w:lang w:val="en-US"/>
              </w:rPr>
              <w:t>5.2</w:t>
            </w:r>
            <w:r w:rsidR="009123D8" w:rsidRPr="00CC6CA3">
              <w:rPr>
                <w:rFonts w:asciiTheme="minorHAnsi" w:hAnsiTheme="minorHAnsi"/>
                <w:noProof/>
                <w:sz w:val="22"/>
              </w:rPr>
              <w:tab/>
            </w:r>
            <w:r w:rsidR="009123D8" w:rsidRPr="00CC6CA3">
              <w:rPr>
                <w:rStyle w:val="Hyperlink"/>
                <w:noProof/>
                <w:color w:val="auto"/>
                <w:lang w:val="en-US"/>
              </w:rPr>
              <w:t>SAE</w:t>
            </w:r>
            <w:r w:rsidR="009123D8" w:rsidRPr="00CC6CA3">
              <w:rPr>
                <w:rStyle w:val="Hyperlink"/>
                <w:rFonts w:cs="Times New Roman"/>
                <w:bCs/>
                <w:noProof/>
                <w:color w:val="auto"/>
              </w:rPr>
              <w:t xml:space="preserve"> </w:t>
            </w:r>
            <w:r w:rsidR="009123D8" w:rsidRPr="00CC6CA3">
              <w:rPr>
                <w:rStyle w:val="Hyperlink"/>
                <w:noProof/>
                <w:color w:val="auto"/>
                <w:lang w:val="en-US"/>
              </w:rPr>
              <w:t>based risk assessment maintenance methodology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_Toc81553305 \h </w:instrText>
            </w:r>
            <w:r w:rsidR="009123D8" w:rsidRPr="00CC6CA3">
              <w:rPr>
                <w:noProof/>
                <w:webHidden/>
              </w:rPr>
            </w:r>
            <w:r w:rsidR="009123D8" w:rsidRPr="00CC6CA3">
              <w:rPr>
                <w:noProof/>
                <w:webHidden/>
              </w:rPr>
              <w:fldChar w:fldCharType="separate"/>
            </w:r>
            <w:r w:rsidR="00CB31E9" w:rsidRPr="00CC6CA3">
              <w:rPr>
                <w:noProof/>
                <w:webHidden/>
              </w:rPr>
              <w:t>144</w:t>
            </w:r>
            <w:r w:rsidR="009123D8" w:rsidRPr="00CC6CA3">
              <w:rPr>
                <w:noProof/>
                <w:webHidden/>
              </w:rPr>
              <w:fldChar w:fldCharType="end"/>
            </w:r>
          </w:hyperlink>
        </w:p>
        <w:p w14:paraId="2E8BCC3F" w14:textId="5E383912" w:rsidR="009123D8" w:rsidRPr="00CC6CA3" w:rsidRDefault="00D62691">
          <w:pPr>
            <w:pStyle w:val="TOC3"/>
            <w:tabs>
              <w:tab w:val="left" w:pos="1320"/>
              <w:tab w:val="right" w:leader="dot" w:pos="8755"/>
            </w:tabs>
            <w:rPr>
              <w:rFonts w:asciiTheme="minorHAnsi" w:hAnsiTheme="minorHAnsi"/>
              <w:noProof/>
              <w:sz w:val="22"/>
            </w:rPr>
          </w:pPr>
          <w:hyperlink w:anchor="_Toc81553306" w:history="1">
            <w:r w:rsidR="009123D8" w:rsidRPr="00CC6CA3">
              <w:rPr>
                <w:rStyle w:val="Hyperlink"/>
                <w:noProof/>
                <w:color w:val="auto"/>
                <w:lang w:val="en-US"/>
              </w:rPr>
              <w:t>5.2.1</w:t>
            </w:r>
            <w:r w:rsidR="009123D8" w:rsidRPr="00CC6CA3">
              <w:rPr>
                <w:rFonts w:asciiTheme="minorHAnsi" w:hAnsiTheme="minorHAnsi"/>
                <w:noProof/>
                <w:sz w:val="22"/>
              </w:rPr>
              <w:tab/>
            </w:r>
            <w:r w:rsidR="009123D8" w:rsidRPr="00CC6CA3">
              <w:rPr>
                <w:rStyle w:val="Hyperlink"/>
                <w:noProof/>
                <w:color w:val="auto"/>
                <w:lang w:val="en-US"/>
              </w:rPr>
              <w:t>Overall methodology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_Toc81553306 \h </w:instrText>
            </w:r>
            <w:r w:rsidR="009123D8" w:rsidRPr="00CC6CA3">
              <w:rPr>
                <w:noProof/>
                <w:webHidden/>
              </w:rPr>
            </w:r>
            <w:r w:rsidR="009123D8" w:rsidRPr="00CC6CA3">
              <w:rPr>
                <w:noProof/>
                <w:webHidden/>
              </w:rPr>
              <w:fldChar w:fldCharType="separate"/>
            </w:r>
            <w:r w:rsidR="00CB31E9" w:rsidRPr="00CC6CA3">
              <w:rPr>
                <w:noProof/>
                <w:webHidden/>
              </w:rPr>
              <w:t>144</w:t>
            </w:r>
            <w:r w:rsidR="009123D8" w:rsidRPr="00CC6CA3">
              <w:rPr>
                <w:noProof/>
                <w:webHidden/>
              </w:rPr>
              <w:fldChar w:fldCharType="end"/>
            </w:r>
          </w:hyperlink>
        </w:p>
        <w:p w14:paraId="4427593D" w14:textId="45BC8A21" w:rsidR="009123D8" w:rsidRPr="00CC6CA3" w:rsidRDefault="00D62691">
          <w:pPr>
            <w:pStyle w:val="TOC3"/>
            <w:tabs>
              <w:tab w:val="left" w:pos="1320"/>
              <w:tab w:val="right" w:leader="dot" w:pos="8755"/>
            </w:tabs>
            <w:rPr>
              <w:rFonts w:asciiTheme="minorHAnsi" w:hAnsiTheme="minorHAnsi"/>
              <w:noProof/>
              <w:sz w:val="22"/>
            </w:rPr>
          </w:pPr>
          <w:hyperlink w:anchor="_Toc81553307" w:history="1">
            <w:r w:rsidR="009123D8" w:rsidRPr="00CC6CA3">
              <w:rPr>
                <w:rStyle w:val="Hyperlink"/>
                <w:noProof/>
                <w:color w:val="auto"/>
                <w:lang w:val="en-US"/>
              </w:rPr>
              <w:t>5.2.2</w:t>
            </w:r>
            <w:r w:rsidR="009123D8" w:rsidRPr="00CC6CA3">
              <w:rPr>
                <w:rFonts w:asciiTheme="minorHAnsi" w:hAnsiTheme="minorHAnsi"/>
                <w:noProof/>
                <w:sz w:val="22"/>
              </w:rPr>
              <w:tab/>
            </w:r>
            <w:r w:rsidR="009123D8" w:rsidRPr="00CC6CA3">
              <w:rPr>
                <w:rStyle w:val="Hyperlink"/>
                <w:noProof/>
                <w:color w:val="auto"/>
                <w:lang w:val="en-US"/>
              </w:rPr>
              <w:t>Probability of fault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_Toc81553307 \h </w:instrText>
            </w:r>
            <w:r w:rsidR="009123D8" w:rsidRPr="00CC6CA3">
              <w:rPr>
                <w:noProof/>
                <w:webHidden/>
              </w:rPr>
            </w:r>
            <w:r w:rsidR="009123D8" w:rsidRPr="00CC6CA3">
              <w:rPr>
                <w:noProof/>
                <w:webHidden/>
              </w:rPr>
              <w:fldChar w:fldCharType="separate"/>
            </w:r>
            <w:r w:rsidR="00CB31E9" w:rsidRPr="00CC6CA3">
              <w:rPr>
                <w:noProof/>
                <w:webHidden/>
              </w:rPr>
              <w:t>145</w:t>
            </w:r>
            <w:r w:rsidR="009123D8" w:rsidRPr="00CC6CA3">
              <w:rPr>
                <w:noProof/>
                <w:webHidden/>
              </w:rPr>
              <w:fldChar w:fldCharType="end"/>
            </w:r>
          </w:hyperlink>
        </w:p>
        <w:p w14:paraId="34975686" w14:textId="7D763245" w:rsidR="009123D8" w:rsidRPr="00CC6CA3" w:rsidRDefault="00D62691">
          <w:pPr>
            <w:pStyle w:val="TOC3"/>
            <w:tabs>
              <w:tab w:val="left" w:pos="1320"/>
              <w:tab w:val="right" w:leader="dot" w:pos="8755"/>
            </w:tabs>
            <w:rPr>
              <w:rFonts w:asciiTheme="minorHAnsi" w:hAnsiTheme="minorHAnsi"/>
              <w:noProof/>
              <w:sz w:val="22"/>
            </w:rPr>
          </w:pPr>
          <w:hyperlink w:anchor="_Toc81553308" w:history="1">
            <w:r w:rsidR="009123D8" w:rsidRPr="00CC6CA3">
              <w:rPr>
                <w:rStyle w:val="Hyperlink"/>
                <w:noProof/>
                <w:color w:val="auto"/>
                <w:lang w:val="en-US"/>
              </w:rPr>
              <w:t>5.2.3</w:t>
            </w:r>
            <w:r w:rsidR="009123D8" w:rsidRPr="00CC6CA3">
              <w:rPr>
                <w:rFonts w:asciiTheme="minorHAnsi" w:hAnsiTheme="minorHAnsi"/>
                <w:noProof/>
                <w:sz w:val="22"/>
              </w:rPr>
              <w:tab/>
            </w:r>
            <w:r w:rsidR="009123D8" w:rsidRPr="00CC6CA3">
              <w:rPr>
                <w:rStyle w:val="Hyperlink"/>
                <w:noProof/>
                <w:color w:val="auto"/>
                <w:lang w:val="en-US"/>
              </w:rPr>
              <w:t>Consequence of fault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_Toc81553308 \h </w:instrText>
            </w:r>
            <w:r w:rsidR="009123D8" w:rsidRPr="00CC6CA3">
              <w:rPr>
                <w:noProof/>
                <w:webHidden/>
              </w:rPr>
            </w:r>
            <w:r w:rsidR="009123D8" w:rsidRPr="00CC6CA3">
              <w:rPr>
                <w:noProof/>
                <w:webHidden/>
              </w:rPr>
              <w:fldChar w:fldCharType="separate"/>
            </w:r>
            <w:r w:rsidR="00CB31E9" w:rsidRPr="00CC6CA3">
              <w:rPr>
                <w:noProof/>
                <w:webHidden/>
              </w:rPr>
              <w:t>147</w:t>
            </w:r>
            <w:r w:rsidR="009123D8" w:rsidRPr="00CC6CA3">
              <w:rPr>
                <w:noProof/>
                <w:webHidden/>
              </w:rPr>
              <w:fldChar w:fldCharType="end"/>
            </w:r>
          </w:hyperlink>
        </w:p>
        <w:p w14:paraId="2CDF1298" w14:textId="7D01FC80" w:rsidR="009123D8" w:rsidRPr="00CC6CA3" w:rsidRDefault="00D62691">
          <w:pPr>
            <w:pStyle w:val="TOC3"/>
            <w:tabs>
              <w:tab w:val="left" w:pos="1320"/>
              <w:tab w:val="right" w:leader="dot" w:pos="8755"/>
            </w:tabs>
            <w:rPr>
              <w:rFonts w:asciiTheme="minorHAnsi" w:hAnsiTheme="minorHAnsi"/>
              <w:noProof/>
              <w:sz w:val="22"/>
            </w:rPr>
          </w:pPr>
          <w:hyperlink w:anchor="_Toc81553309" w:history="1">
            <w:r w:rsidR="009123D8" w:rsidRPr="00CC6CA3">
              <w:rPr>
                <w:rStyle w:val="Hyperlink"/>
                <w:noProof/>
                <w:color w:val="auto"/>
                <w:lang w:val="en-US"/>
              </w:rPr>
              <w:t>5.2.4</w:t>
            </w:r>
            <w:r w:rsidR="009123D8" w:rsidRPr="00CC6CA3">
              <w:rPr>
                <w:rFonts w:asciiTheme="minorHAnsi" w:hAnsiTheme="minorHAnsi"/>
                <w:noProof/>
                <w:sz w:val="22"/>
              </w:rPr>
              <w:tab/>
            </w:r>
            <w:r w:rsidR="009123D8" w:rsidRPr="00CC6CA3">
              <w:rPr>
                <w:rStyle w:val="Hyperlink"/>
                <w:noProof/>
                <w:color w:val="auto"/>
                <w:lang w:val="en-US"/>
              </w:rPr>
              <w:t>System health indicator using condition monitoring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_Toc81553309 \h </w:instrText>
            </w:r>
            <w:r w:rsidR="009123D8" w:rsidRPr="00CC6CA3">
              <w:rPr>
                <w:noProof/>
                <w:webHidden/>
              </w:rPr>
            </w:r>
            <w:r w:rsidR="009123D8" w:rsidRPr="00CC6CA3">
              <w:rPr>
                <w:noProof/>
                <w:webHidden/>
              </w:rPr>
              <w:fldChar w:fldCharType="separate"/>
            </w:r>
            <w:r w:rsidR="00CB31E9" w:rsidRPr="00CC6CA3">
              <w:rPr>
                <w:noProof/>
                <w:webHidden/>
              </w:rPr>
              <w:t>149</w:t>
            </w:r>
            <w:r w:rsidR="009123D8" w:rsidRPr="00CC6CA3">
              <w:rPr>
                <w:noProof/>
                <w:webHidden/>
              </w:rPr>
              <w:fldChar w:fldCharType="end"/>
            </w:r>
          </w:hyperlink>
        </w:p>
        <w:p w14:paraId="04D928BD" w14:textId="5B08A296" w:rsidR="009123D8" w:rsidRPr="00CC6CA3" w:rsidRDefault="00D62691">
          <w:pPr>
            <w:pStyle w:val="TOC3"/>
            <w:tabs>
              <w:tab w:val="left" w:pos="1320"/>
              <w:tab w:val="right" w:leader="dot" w:pos="8755"/>
            </w:tabs>
            <w:rPr>
              <w:rFonts w:asciiTheme="minorHAnsi" w:hAnsiTheme="minorHAnsi"/>
              <w:noProof/>
              <w:sz w:val="22"/>
            </w:rPr>
          </w:pPr>
          <w:hyperlink w:anchor="_Toc81553310" w:history="1">
            <w:r w:rsidR="009123D8" w:rsidRPr="00CC6CA3">
              <w:rPr>
                <w:rStyle w:val="Hyperlink"/>
                <w:noProof/>
                <w:color w:val="auto"/>
                <w:lang w:val="en-US"/>
              </w:rPr>
              <w:t>5.2.5</w:t>
            </w:r>
            <w:r w:rsidR="009123D8" w:rsidRPr="00CC6CA3">
              <w:rPr>
                <w:rFonts w:asciiTheme="minorHAnsi" w:hAnsiTheme="minorHAnsi"/>
                <w:noProof/>
                <w:sz w:val="22"/>
              </w:rPr>
              <w:tab/>
            </w:r>
            <w:r w:rsidR="009123D8" w:rsidRPr="00CC6CA3">
              <w:rPr>
                <w:rStyle w:val="Hyperlink"/>
                <w:noProof/>
                <w:color w:val="auto"/>
              </w:rPr>
              <w:t>Case studies: development of the SAE based system health indicator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_Toc81553310 \h </w:instrText>
            </w:r>
            <w:r w:rsidR="009123D8" w:rsidRPr="00CC6CA3">
              <w:rPr>
                <w:noProof/>
                <w:webHidden/>
              </w:rPr>
            </w:r>
            <w:r w:rsidR="009123D8" w:rsidRPr="00CC6CA3">
              <w:rPr>
                <w:noProof/>
                <w:webHidden/>
              </w:rPr>
              <w:fldChar w:fldCharType="separate"/>
            </w:r>
            <w:r w:rsidR="00CB31E9" w:rsidRPr="00CC6CA3">
              <w:rPr>
                <w:noProof/>
                <w:webHidden/>
              </w:rPr>
              <w:t>150</w:t>
            </w:r>
            <w:r w:rsidR="009123D8" w:rsidRPr="00CC6CA3">
              <w:rPr>
                <w:noProof/>
                <w:webHidden/>
              </w:rPr>
              <w:fldChar w:fldCharType="end"/>
            </w:r>
          </w:hyperlink>
        </w:p>
        <w:p w14:paraId="19FC9422" w14:textId="6F0FCA4C" w:rsidR="009123D8" w:rsidRPr="00CC6CA3" w:rsidRDefault="00D62691">
          <w:pPr>
            <w:pStyle w:val="TOC2"/>
            <w:rPr>
              <w:rFonts w:asciiTheme="minorHAnsi" w:hAnsiTheme="minorHAnsi"/>
              <w:noProof/>
              <w:sz w:val="22"/>
            </w:rPr>
          </w:pPr>
          <w:hyperlink w:anchor="_Toc81553311" w:history="1">
            <w:r w:rsidR="009123D8" w:rsidRPr="00CC6CA3">
              <w:rPr>
                <w:rStyle w:val="Hyperlink"/>
                <w:noProof/>
                <w:color w:val="auto"/>
              </w:rPr>
              <w:t>5.3</w:t>
            </w:r>
            <w:r w:rsidR="009123D8" w:rsidRPr="00CC6CA3">
              <w:rPr>
                <w:rFonts w:asciiTheme="minorHAnsi" w:hAnsiTheme="minorHAnsi"/>
                <w:noProof/>
                <w:sz w:val="22"/>
              </w:rPr>
              <w:tab/>
            </w:r>
            <w:r w:rsidR="009123D8" w:rsidRPr="00CC6CA3">
              <w:rPr>
                <w:rStyle w:val="Hyperlink"/>
                <w:noProof/>
                <w:color w:val="auto"/>
              </w:rPr>
              <w:t>Methodology and results comparison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_Toc81553311 \h </w:instrText>
            </w:r>
            <w:r w:rsidR="009123D8" w:rsidRPr="00CC6CA3">
              <w:rPr>
                <w:noProof/>
                <w:webHidden/>
              </w:rPr>
            </w:r>
            <w:r w:rsidR="009123D8" w:rsidRPr="00CC6CA3">
              <w:rPr>
                <w:noProof/>
                <w:webHidden/>
              </w:rPr>
              <w:fldChar w:fldCharType="separate"/>
            </w:r>
            <w:r w:rsidR="00CB31E9" w:rsidRPr="00CC6CA3">
              <w:rPr>
                <w:noProof/>
                <w:webHidden/>
              </w:rPr>
              <w:t>168</w:t>
            </w:r>
            <w:r w:rsidR="009123D8" w:rsidRPr="00CC6CA3">
              <w:rPr>
                <w:noProof/>
                <w:webHidden/>
              </w:rPr>
              <w:fldChar w:fldCharType="end"/>
            </w:r>
          </w:hyperlink>
        </w:p>
        <w:p w14:paraId="09CB9C0B" w14:textId="1E90045F" w:rsidR="009123D8" w:rsidRPr="00CC6CA3" w:rsidRDefault="00D62691">
          <w:pPr>
            <w:pStyle w:val="TOC3"/>
            <w:tabs>
              <w:tab w:val="left" w:pos="1320"/>
              <w:tab w:val="right" w:leader="dot" w:pos="8755"/>
            </w:tabs>
            <w:rPr>
              <w:rFonts w:asciiTheme="minorHAnsi" w:hAnsiTheme="minorHAnsi"/>
              <w:noProof/>
              <w:sz w:val="22"/>
            </w:rPr>
          </w:pPr>
          <w:hyperlink w:anchor="_Toc81553312" w:history="1">
            <w:r w:rsidR="009123D8" w:rsidRPr="00CC6CA3">
              <w:rPr>
                <w:rStyle w:val="Hyperlink"/>
                <w:noProof/>
                <w:color w:val="auto"/>
                <w:lang w:val="en-US"/>
              </w:rPr>
              <w:t>5.3.1</w:t>
            </w:r>
            <w:r w:rsidR="009123D8" w:rsidRPr="00CC6CA3">
              <w:rPr>
                <w:rFonts w:asciiTheme="minorHAnsi" w:hAnsiTheme="minorHAnsi"/>
                <w:noProof/>
                <w:sz w:val="22"/>
              </w:rPr>
              <w:tab/>
            </w:r>
            <w:r w:rsidR="009123D8" w:rsidRPr="00CC6CA3">
              <w:rPr>
                <w:rStyle w:val="Hyperlink"/>
                <w:noProof/>
                <w:color w:val="auto"/>
                <w:lang w:val="en-US"/>
              </w:rPr>
              <w:t>Methodology comparison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_Toc81553312 \h </w:instrText>
            </w:r>
            <w:r w:rsidR="009123D8" w:rsidRPr="00CC6CA3">
              <w:rPr>
                <w:noProof/>
                <w:webHidden/>
              </w:rPr>
            </w:r>
            <w:r w:rsidR="009123D8" w:rsidRPr="00CC6CA3">
              <w:rPr>
                <w:noProof/>
                <w:webHidden/>
              </w:rPr>
              <w:fldChar w:fldCharType="separate"/>
            </w:r>
            <w:r w:rsidR="00CB31E9" w:rsidRPr="00CC6CA3">
              <w:rPr>
                <w:noProof/>
                <w:webHidden/>
              </w:rPr>
              <w:t>168</w:t>
            </w:r>
            <w:r w:rsidR="009123D8" w:rsidRPr="00CC6CA3">
              <w:rPr>
                <w:noProof/>
                <w:webHidden/>
              </w:rPr>
              <w:fldChar w:fldCharType="end"/>
            </w:r>
          </w:hyperlink>
        </w:p>
        <w:p w14:paraId="632E149B" w14:textId="41E70DCC" w:rsidR="009123D8" w:rsidRPr="00CC6CA3" w:rsidRDefault="00D62691">
          <w:pPr>
            <w:pStyle w:val="TOC3"/>
            <w:tabs>
              <w:tab w:val="left" w:pos="1320"/>
              <w:tab w:val="right" w:leader="dot" w:pos="8755"/>
            </w:tabs>
            <w:rPr>
              <w:rFonts w:asciiTheme="minorHAnsi" w:hAnsiTheme="minorHAnsi"/>
              <w:noProof/>
              <w:sz w:val="22"/>
            </w:rPr>
          </w:pPr>
          <w:hyperlink w:anchor="_Toc81553313" w:history="1">
            <w:r w:rsidR="009123D8" w:rsidRPr="00CC6CA3">
              <w:rPr>
                <w:rStyle w:val="Hyperlink"/>
                <w:noProof/>
                <w:color w:val="auto"/>
                <w:lang w:val="en-US"/>
              </w:rPr>
              <w:t>5.3.2</w:t>
            </w:r>
            <w:r w:rsidR="009123D8" w:rsidRPr="00CC6CA3">
              <w:rPr>
                <w:rFonts w:asciiTheme="minorHAnsi" w:hAnsiTheme="minorHAnsi"/>
                <w:noProof/>
                <w:sz w:val="22"/>
              </w:rPr>
              <w:tab/>
            </w:r>
            <w:r w:rsidR="009123D8" w:rsidRPr="00CC6CA3">
              <w:rPr>
                <w:rStyle w:val="Hyperlink"/>
                <w:noProof/>
                <w:color w:val="auto"/>
                <w:lang w:val="en-US"/>
              </w:rPr>
              <w:t>Case 1</w:t>
            </w:r>
            <w:r w:rsidR="009123D8" w:rsidRPr="00CC6CA3">
              <w:rPr>
                <w:rStyle w:val="Hyperlink"/>
                <w:noProof/>
                <w:color w:val="auto"/>
              </w:rPr>
              <w:t>: misalignment fault in a pump</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_Toc81553313 \h </w:instrText>
            </w:r>
            <w:r w:rsidR="009123D8" w:rsidRPr="00CC6CA3">
              <w:rPr>
                <w:noProof/>
                <w:webHidden/>
              </w:rPr>
            </w:r>
            <w:r w:rsidR="009123D8" w:rsidRPr="00CC6CA3">
              <w:rPr>
                <w:noProof/>
                <w:webHidden/>
              </w:rPr>
              <w:fldChar w:fldCharType="separate"/>
            </w:r>
            <w:r w:rsidR="00CB31E9" w:rsidRPr="00CC6CA3">
              <w:rPr>
                <w:noProof/>
                <w:webHidden/>
              </w:rPr>
              <w:t>169</w:t>
            </w:r>
            <w:r w:rsidR="009123D8" w:rsidRPr="00CC6CA3">
              <w:rPr>
                <w:noProof/>
                <w:webHidden/>
              </w:rPr>
              <w:fldChar w:fldCharType="end"/>
            </w:r>
          </w:hyperlink>
        </w:p>
        <w:p w14:paraId="79D96A80" w14:textId="71EF6F0B" w:rsidR="009123D8" w:rsidRPr="00CC6CA3" w:rsidRDefault="00D62691">
          <w:pPr>
            <w:pStyle w:val="TOC3"/>
            <w:tabs>
              <w:tab w:val="left" w:pos="1320"/>
              <w:tab w:val="right" w:leader="dot" w:pos="8755"/>
            </w:tabs>
            <w:rPr>
              <w:rFonts w:asciiTheme="minorHAnsi" w:hAnsiTheme="minorHAnsi"/>
              <w:noProof/>
              <w:sz w:val="22"/>
            </w:rPr>
          </w:pPr>
          <w:hyperlink w:anchor="_Toc81553314" w:history="1">
            <w:r w:rsidR="009123D8" w:rsidRPr="00CC6CA3">
              <w:rPr>
                <w:rStyle w:val="Hyperlink"/>
                <w:noProof/>
                <w:color w:val="auto"/>
                <w:lang w:val="en-US"/>
              </w:rPr>
              <w:t>5.3.3</w:t>
            </w:r>
            <w:r w:rsidR="009123D8" w:rsidRPr="00CC6CA3">
              <w:rPr>
                <w:rFonts w:asciiTheme="minorHAnsi" w:hAnsiTheme="minorHAnsi"/>
                <w:noProof/>
                <w:sz w:val="22"/>
              </w:rPr>
              <w:tab/>
            </w:r>
            <w:r w:rsidR="009123D8" w:rsidRPr="00CC6CA3">
              <w:rPr>
                <w:rStyle w:val="Hyperlink"/>
                <w:noProof/>
                <w:color w:val="auto"/>
                <w:lang w:val="en-US"/>
              </w:rPr>
              <w:t>Case 2</w:t>
            </w:r>
            <w:r w:rsidR="009123D8" w:rsidRPr="00CC6CA3">
              <w:rPr>
                <w:rStyle w:val="Hyperlink"/>
                <w:noProof/>
                <w:color w:val="auto"/>
              </w:rPr>
              <w:t>: misalignment fault and pump bearing fault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_Toc81553314 \h </w:instrText>
            </w:r>
            <w:r w:rsidR="009123D8" w:rsidRPr="00CC6CA3">
              <w:rPr>
                <w:noProof/>
                <w:webHidden/>
              </w:rPr>
            </w:r>
            <w:r w:rsidR="009123D8" w:rsidRPr="00CC6CA3">
              <w:rPr>
                <w:noProof/>
                <w:webHidden/>
              </w:rPr>
              <w:fldChar w:fldCharType="separate"/>
            </w:r>
            <w:r w:rsidR="00CB31E9" w:rsidRPr="00CC6CA3">
              <w:rPr>
                <w:noProof/>
                <w:webHidden/>
              </w:rPr>
              <w:t>170</w:t>
            </w:r>
            <w:r w:rsidR="009123D8" w:rsidRPr="00CC6CA3">
              <w:rPr>
                <w:noProof/>
                <w:webHidden/>
              </w:rPr>
              <w:fldChar w:fldCharType="end"/>
            </w:r>
          </w:hyperlink>
        </w:p>
        <w:p w14:paraId="24D7BBCB" w14:textId="2297FDC5" w:rsidR="009123D8" w:rsidRPr="00CC6CA3" w:rsidRDefault="00D62691">
          <w:pPr>
            <w:pStyle w:val="TOC3"/>
            <w:tabs>
              <w:tab w:val="left" w:pos="1320"/>
              <w:tab w:val="right" w:leader="dot" w:pos="8755"/>
            </w:tabs>
            <w:rPr>
              <w:rFonts w:asciiTheme="minorHAnsi" w:hAnsiTheme="minorHAnsi"/>
              <w:noProof/>
              <w:sz w:val="22"/>
            </w:rPr>
          </w:pPr>
          <w:hyperlink w:anchor="_Toc81553315" w:history="1">
            <w:r w:rsidR="009123D8" w:rsidRPr="00CC6CA3">
              <w:rPr>
                <w:rStyle w:val="Hyperlink"/>
                <w:noProof/>
                <w:color w:val="auto"/>
                <w:lang w:val="en-US"/>
              </w:rPr>
              <w:t>5.3.4</w:t>
            </w:r>
            <w:r w:rsidR="009123D8" w:rsidRPr="00CC6CA3">
              <w:rPr>
                <w:rFonts w:asciiTheme="minorHAnsi" w:hAnsiTheme="minorHAnsi"/>
                <w:noProof/>
                <w:sz w:val="22"/>
              </w:rPr>
              <w:tab/>
            </w:r>
            <w:r w:rsidR="009123D8" w:rsidRPr="00CC6CA3">
              <w:rPr>
                <w:rStyle w:val="Hyperlink"/>
                <w:noProof/>
                <w:color w:val="auto"/>
                <w:lang w:val="en-US"/>
              </w:rPr>
              <w:t>Case 3: bearing faults in compressor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_Toc81553315 \h </w:instrText>
            </w:r>
            <w:r w:rsidR="009123D8" w:rsidRPr="00CC6CA3">
              <w:rPr>
                <w:noProof/>
                <w:webHidden/>
              </w:rPr>
            </w:r>
            <w:r w:rsidR="009123D8" w:rsidRPr="00CC6CA3">
              <w:rPr>
                <w:noProof/>
                <w:webHidden/>
              </w:rPr>
              <w:fldChar w:fldCharType="separate"/>
            </w:r>
            <w:r w:rsidR="00CB31E9" w:rsidRPr="00CC6CA3">
              <w:rPr>
                <w:noProof/>
                <w:webHidden/>
              </w:rPr>
              <w:t>172</w:t>
            </w:r>
            <w:r w:rsidR="009123D8" w:rsidRPr="00CC6CA3">
              <w:rPr>
                <w:noProof/>
                <w:webHidden/>
              </w:rPr>
              <w:fldChar w:fldCharType="end"/>
            </w:r>
          </w:hyperlink>
        </w:p>
        <w:p w14:paraId="034C2800" w14:textId="5FEB7250" w:rsidR="009123D8" w:rsidRPr="00CC6CA3" w:rsidRDefault="00D62691">
          <w:pPr>
            <w:pStyle w:val="TOC2"/>
            <w:rPr>
              <w:rFonts w:asciiTheme="minorHAnsi" w:hAnsiTheme="minorHAnsi"/>
              <w:noProof/>
              <w:sz w:val="22"/>
            </w:rPr>
          </w:pPr>
          <w:hyperlink w:anchor="_Toc81553316" w:history="1">
            <w:r w:rsidR="009123D8" w:rsidRPr="00CC6CA3">
              <w:rPr>
                <w:rStyle w:val="Hyperlink"/>
                <w:noProof/>
                <w:color w:val="auto"/>
              </w:rPr>
              <w:t>5.4</w:t>
            </w:r>
            <w:r w:rsidR="009123D8" w:rsidRPr="00CC6CA3">
              <w:rPr>
                <w:rFonts w:asciiTheme="minorHAnsi" w:hAnsiTheme="minorHAnsi"/>
                <w:noProof/>
                <w:sz w:val="22"/>
              </w:rPr>
              <w:tab/>
            </w:r>
            <w:r w:rsidR="009123D8" w:rsidRPr="00CC6CA3">
              <w:rPr>
                <w:rStyle w:val="Hyperlink"/>
                <w:noProof/>
                <w:color w:val="auto"/>
              </w:rPr>
              <w:t>Summary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_Toc81553316 \h </w:instrText>
            </w:r>
            <w:r w:rsidR="009123D8" w:rsidRPr="00CC6CA3">
              <w:rPr>
                <w:noProof/>
                <w:webHidden/>
              </w:rPr>
            </w:r>
            <w:r w:rsidR="009123D8" w:rsidRPr="00CC6CA3">
              <w:rPr>
                <w:noProof/>
                <w:webHidden/>
              </w:rPr>
              <w:fldChar w:fldCharType="separate"/>
            </w:r>
            <w:r w:rsidR="00CB31E9" w:rsidRPr="00CC6CA3">
              <w:rPr>
                <w:noProof/>
                <w:webHidden/>
              </w:rPr>
              <w:t>173</w:t>
            </w:r>
            <w:r w:rsidR="009123D8" w:rsidRPr="00CC6CA3">
              <w:rPr>
                <w:noProof/>
                <w:webHidden/>
              </w:rPr>
              <w:fldChar w:fldCharType="end"/>
            </w:r>
          </w:hyperlink>
        </w:p>
        <w:p w14:paraId="1BA745E5" w14:textId="5704ECCD" w:rsidR="009123D8" w:rsidRPr="00CC6CA3" w:rsidRDefault="00D62691">
          <w:pPr>
            <w:pStyle w:val="TOC1"/>
            <w:rPr>
              <w:rFonts w:asciiTheme="minorHAnsi" w:hAnsiTheme="minorHAnsi"/>
              <w:b w:val="0"/>
              <w:sz w:val="22"/>
            </w:rPr>
          </w:pPr>
          <w:hyperlink w:anchor="_Toc81553317" w:history="1">
            <w:r w:rsidR="009123D8" w:rsidRPr="00CC6CA3">
              <w:rPr>
                <w:rStyle w:val="Hyperlink"/>
                <w:color w:val="auto"/>
              </w:rPr>
              <w:t>Chapter 6.</w:t>
            </w:r>
            <w:r w:rsidR="009123D8" w:rsidRPr="00CC6CA3">
              <w:rPr>
                <w:rFonts w:asciiTheme="minorHAnsi" w:hAnsiTheme="minorHAnsi"/>
                <w:b w:val="0"/>
                <w:sz w:val="22"/>
              </w:rPr>
              <w:tab/>
            </w:r>
            <w:r w:rsidR="009123D8" w:rsidRPr="00CC6CA3">
              <w:rPr>
                <w:rStyle w:val="Hyperlink"/>
                <w:color w:val="auto"/>
              </w:rPr>
              <w:t>Conclusions and Future Work</w:t>
            </w:r>
            <w:r w:rsidR="009123D8" w:rsidRPr="00CC6CA3">
              <w:rPr>
                <w:webHidden/>
              </w:rPr>
              <w:tab/>
            </w:r>
            <w:r w:rsidR="009123D8" w:rsidRPr="00CC6CA3">
              <w:rPr>
                <w:webHidden/>
              </w:rPr>
              <w:fldChar w:fldCharType="begin"/>
            </w:r>
            <w:r w:rsidR="009123D8" w:rsidRPr="00CC6CA3">
              <w:rPr>
                <w:webHidden/>
              </w:rPr>
              <w:instrText xml:space="preserve"> PAGEREF _Toc81553317 \h </w:instrText>
            </w:r>
            <w:r w:rsidR="009123D8" w:rsidRPr="00CC6CA3">
              <w:rPr>
                <w:webHidden/>
              </w:rPr>
            </w:r>
            <w:r w:rsidR="009123D8" w:rsidRPr="00CC6CA3">
              <w:rPr>
                <w:webHidden/>
              </w:rPr>
              <w:fldChar w:fldCharType="separate"/>
            </w:r>
            <w:r w:rsidR="00CB31E9" w:rsidRPr="00CC6CA3">
              <w:rPr>
                <w:webHidden/>
              </w:rPr>
              <w:t>175</w:t>
            </w:r>
            <w:r w:rsidR="009123D8" w:rsidRPr="00CC6CA3">
              <w:rPr>
                <w:webHidden/>
              </w:rPr>
              <w:fldChar w:fldCharType="end"/>
            </w:r>
          </w:hyperlink>
        </w:p>
        <w:p w14:paraId="7B311704" w14:textId="7B393EA7" w:rsidR="009123D8" w:rsidRPr="00CC6CA3" w:rsidRDefault="00D62691">
          <w:pPr>
            <w:pStyle w:val="TOC2"/>
            <w:rPr>
              <w:rFonts w:asciiTheme="minorHAnsi" w:hAnsiTheme="minorHAnsi"/>
              <w:noProof/>
              <w:sz w:val="22"/>
            </w:rPr>
          </w:pPr>
          <w:hyperlink w:anchor="_Toc81553318" w:history="1">
            <w:r w:rsidR="009123D8" w:rsidRPr="00CC6CA3">
              <w:rPr>
                <w:rStyle w:val="Hyperlink"/>
                <w:noProof/>
                <w:color w:val="auto"/>
              </w:rPr>
              <w:t>6.1</w:t>
            </w:r>
            <w:r w:rsidR="009123D8" w:rsidRPr="00CC6CA3">
              <w:rPr>
                <w:rFonts w:asciiTheme="minorHAnsi" w:hAnsiTheme="minorHAnsi"/>
                <w:noProof/>
                <w:sz w:val="22"/>
              </w:rPr>
              <w:tab/>
            </w:r>
            <w:r w:rsidR="009123D8" w:rsidRPr="00CC6CA3">
              <w:rPr>
                <w:rStyle w:val="Hyperlink"/>
                <w:noProof/>
                <w:color w:val="auto"/>
              </w:rPr>
              <w:t>Review of research objectives and achievements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_Toc81553318 \h </w:instrText>
            </w:r>
            <w:r w:rsidR="009123D8" w:rsidRPr="00CC6CA3">
              <w:rPr>
                <w:noProof/>
                <w:webHidden/>
              </w:rPr>
            </w:r>
            <w:r w:rsidR="009123D8" w:rsidRPr="00CC6CA3">
              <w:rPr>
                <w:noProof/>
                <w:webHidden/>
              </w:rPr>
              <w:fldChar w:fldCharType="separate"/>
            </w:r>
            <w:r w:rsidR="00CB31E9" w:rsidRPr="00CC6CA3">
              <w:rPr>
                <w:noProof/>
                <w:webHidden/>
              </w:rPr>
              <w:t>176</w:t>
            </w:r>
            <w:r w:rsidR="009123D8" w:rsidRPr="00CC6CA3">
              <w:rPr>
                <w:noProof/>
                <w:webHidden/>
              </w:rPr>
              <w:fldChar w:fldCharType="end"/>
            </w:r>
          </w:hyperlink>
        </w:p>
        <w:p w14:paraId="254CE778" w14:textId="6143DCA3" w:rsidR="009123D8" w:rsidRPr="00CC6CA3" w:rsidRDefault="00D62691">
          <w:pPr>
            <w:pStyle w:val="TOC2"/>
            <w:rPr>
              <w:rFonts w:asciiTheme="minorHAnsi" w:hAnsiTheme="minorHAnsi"/>
              <w:noProof/>
              <w:sz w:val="22"/>
            </w:rPr>
          </w:pPr>
          <w:hyperlink w:anchor="_Toc81553319" w:history="1">
            <w:r w:rsidR="009123D8" w:rsidRPr="00CC6CA3">
              <w:rPr>
                <w:rStyle w:val="Hyperlink"/>
                <w:noProof/>
                <w:color w:val="auto"/>
              </w:rPr>
              <w:t>6.2</w:t>
            </w:r>
            <w:r w:rsidR="009123D8" w:rsidRPr="00CC6CA3">
              <w:rPr>
                <w:rFonts w:asciiTheme="minorHAnsi" w:hAnsiTheme="minorHAnsi"/>
                <w:noProof/>
                <w:sz w:val="22"/>
              </w:rPr>
              <w:tab/>
            </w:r>
            <w:r w:rsidR="009123D8" w:rsidRPr="00CC6CA3">
              <w:rPr>
                <w:rStyle w:val="Hyperlink"/>
                <w:noProof/>
                <w:color w:val="auto"/>
              </w:rPr>
              <w:t>Conclusions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_Toc81553319 \h </w:instrText>
            </w:r>
            <w:r w:rsidR="009123D8" w:rsidRPr="00CC6CA3">
              <w:rPr>
                <w:noProof/>
                <w:webHidden/>
              </w:rPr>
            </w:r>
            <w:r w:rsidR="009123D8" w:rsidRPr="00CC6CA3">
              <w:rPr>
                <w:noProof/>
                <w:webHidden/>
              </w:rPr>
              <w:fldChar w:fldCharType="separate"/>
            </w:r>
            <w:r w:rsidR="00CB31E9" w:rsidRPr="00CC6CA3">
              <w:rPr>
                <w:noProof/>
                <w:webHidden/>
              </w:rPr>
              <w:t>178</w:t>
            </w:r>
            <w:r w:rsidR="009123D8" w:rsidRPr="00CC6CA3">
              <w:rPr>
                <w:noProof/>
                <w:webHidden/>
              </w:rPr>
              <w:fldChar w:fldCharType="end"/>
            </w:r>
          </w:hyperlink>
        </w:p>
        <w:p w14:paraId="1258B98B" w14:textId="1E1937C4" w:rsidR="009123D8" w:rsidRPr="00CC6CA3" w:rsidRDefault="00D62691">
          <w:pPr>
            <w:pStyle w:val="TOC2"/>
            <w:rPr>
              <w:rFonts w:asciiTheme="minorHAnsi" w:hAnsiTheme="minorHAnsi"/>
              <w:noProof/>
              <w:sz w:val="22"/>
            </w:rPr>
          </w:pPr>
          <w:hyperlink w:anchor="_Toc81553320" w:history="1">
            <w:r w:rsidR="009123D8" w:rsidRPr="00CC6CA3">
              <w:rPr>
                <w:rStyle w:val="Hyperlink"/>
                <w:noProof/>
                <w:color w:val="auto"/>
              </w:rPr>
              <w:t>6.3</w:t>
            </w:r>
            <w:r w:rsidR="009123D8" w:rsidRPr="00CC6CA3">
              <w:rPr>
                <w:rFonts w:asciiTheme="minorHAnsi" w:hAnsiTheme="minorHAnsi"/>
                <w:noProof/>
                <w:sz w:val="22"/>
              </w:rPr>
              <w:tab/>
            </w:r>
            <w:r w:rsidR="009123D8" w:rsidRPr="00CC6CA3">
              <w:rPr>
                <w:rStyle w:val="Hyperlink"/>
                <w:noProof/>
                <w:color w:val="auto"/>
              </w:rPr>
              <w:t>Contributions to knowledge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_Toc81553320 \h </w:instrText>
            </w:r>
            <w:r w:rsidR="009123D8" w:rsidRPr="00CC6CA3">
              <w:rPr>
                <w:noProof/>
                <w:webHidden/>
              </w:rPr>
            </w:r>
            <w:r w:rsidR="009123D8" w:rsidRPr="00CC6CA3">
              <w:rPr>
                <w:noProof/>
                <w:webHidden/>
              </w:rPr>
              <w:fldChar w:fldCharType="separate"/>
            </w:r>
            <w:r w:rsidR="00CB31E9" w:rsidRPr="00CC6CA3">
              <w:rPr>
                <w:noProof/>
                <w:webHidden/>
              </w:rPr>
              <w:t>180</w:t>
            </w:r>
            <w:r w:rsidR="009123D8" w:rsidRPr="00CC6CA3">
              <w:rPr>
                <w:noProof/>
                <w:webHidden/>
              </w:rPr>
              <w:fldChar w:fldCharType="end"/>
            </w:r>
          </w:hyperlink>
        </w:p>
        <w:p w14:paraId="70D2BFE4" w14:textId="02CA23A2" w:rsidR="009123D8" w:rsidRPr="00CC6CA3" w:rsidRDefault="00D62691">
          <w:pPr>
            <w:pStyle w:val="TOC2"/>
            <w:rPr>
              <w:rFonts w:asciiTheme="minorHAnsi" w:hAnsiTheme="minorHAnsi"/>
              <w:noProof/>
              <w:sz w:val="22"/>
            </w:rPr>
          </w:pPr>
          <w:hyperlink w:anchor="_Toc81553321" w:history="1">
            <w:r w:rsidR="009123D8" w:rsidRPr="00CC6CA3">
              <w:rPr>
                <w:rStyle w:val="Hyperlink"/>
                <w:noProof/>
                <w:color w:val="auto"/>
              </w:rPr>
              <w:t>6.4</w:t>
            </w:r>
            <w:r w:rsidR="009123D8" w:rsidRPr="00CC6CA3">
              <w:rPr>
                <w:rFonts w:asciiTheme="minorHAnsi" w:hAnsiTheme="minorHAnsi"/>
                <w:noProof/>
                <w:sz w:val="22"/>
              </w:rPr>
              <w:tab/>
            </w:r>
            <w:r w:rsidR="009123D8" w:rsidRPr="00CC6CA3">
              <w:rPr>
                <w:rStyle w:val="Hyperlink"/>
                <w:noProof/>
                <w:color w:val="auto"/>
              </w:rPr>
              <w:t>Future work</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_Toc81553321 \h </w:instrText>
            </w:r>
            <w:r w:rsidR="009123D8" w:rsidRPr="00CC6CA3">
              <w:rPr>
                <w:noProof/>
                <w:webHidden/>
              </w:rPr>
            </w:r>
            <w:r w:rsidR="009123D8" w:rsidRPr="00CC6CA3">
              <w:rPr>
                <w:noProof/>
                <w:webHidden/>
              </w:rPr>
              <w:fldChar w:fldCharType="separate"/>
            </w:r>
            <w:r w:rsidR="00CB31E9" w:rsidRPr="00CC6CA3">
              <w:rPr>
                <w:noProof/>
                <w:webHidden/>
              </w:rPr>
              <w:t>182</w:t>
            </w:r>
            <w:r w:rsidR="009123D8" w:rsidRPr="00CC6CA3">
              <w:rPr>
                <w:noProof/>
                <w:webHidden/>
              </w:rPr>
              <w:fldChar w:fldCharType="end"/>
            </w:r>
          </w:hyperlink>
        </w:p>
        <w:p w14:paraId="60188915" w14:textId="7F3C0929" w:rsidR="009123D8" w:rsidRPr="00CC6CA3" w:rsidRDefault="00D62691">
          <w:pPr>
            <w:pStyle w:val="TOC1"/>
            <w:rPr>
              <w:rFonts w:asciiTheme="minorHAnsi" w:hAnsiTheme="minorHAnsi"/>
              <w:b w:val="0"/>
              <w:sz w:val="22"/>
            </w:rPr>
          </w:pPr>
          <w:hyperlink w:anchor="_Toc81553322" w:history="1">
            <w:r w:rsidR="009123D8" w:rsidRPr="00CC6CA3">
              <w:rPr>
                <w:rStyle w:val="Hyperlink"/>
                <w:color w:val="auto"/>
              </w:rPr>
              <w:t>List of Publications</w:t>
            </w:r>
            <w:r w:rsidR="009123D8" w:rsidRPr="00CC6CA3">
              <w:rPr>
                <w:webHidden/>
              </w:rPr>
              <w:tab/>
            </w:r>
            <w:r w:rsidR="009123D8" w:rsidRPr="00CC6CA3">
              <w:rPr>
                <w:webHidden/>
              </w:rPr>
              <w:fldChar w:fldCharType="begin"/>
            </w:r>
            <w:r w:rsidR="009123D8" w:rsidRPr="00CC6CA3">
              <w:rPr>
                <w:webHidden/>
              </w:rPr>
              <w:instrText xml:space="preserve"> PAGEREF _Toc81553322 \h </w:instrText>
            </w:r>
            <w:r w:rsidR="009123D8" w:rsidRPr="00CC6CA3">
              <w:rPr>
                <w:webHidden/>
              </w:rPr>
            </w:r>
            <w:r w:rsidR="009123D8" w:rsidRPr="00CC6CA3">
              <w:rPr>
                <w:webHidden/>
              </w:rPr>
              <w:fldChar w:fldCharType="separate"/>
            </w:r>
            <w:r w:rsidR="00CB31E9" w:rsidRPr="00CC6CA3">
              <w:rPr>
                <w:webHidden/>
              </w:rPr>
              <w:t>183</w:t>
            </w:r>
            <w:r w:rsidR="009123D8" w:rsidRPr="00CC6CA3">
              <w:rPr>
                <w:webHidden/>
              </w:rPr>
              <w:fldChar w:fldCharType="end"/>
            </w:r>
          </w:hyperlink>
        </w:p>
        <w:p w14:paraId="284FE331" w14:textId="35FAED79" w:rsidR="009123D8" w:rsidRPr="00CC6CA3" w:rsidRDefault="00D62691">
          <w:pPr>
            <w:pStyle w:val="TOC1"/>
            <w:rPr>
              <w:rFonts w:asciiTheme="minorHAnsi" w:hAnsiTheme="minorHAnsi"/>
              <w:b w:val="0"/>
              <w:sz w:val="22"/>
            </w:rPr>
          </w:pPr>
          <w:hyperlink w:anchor="_Toc81553323" w:history="1">
            <w:r w:rsidR="009123D8" w:rsidRPr="00CC6CA3">
              <w:rPr>
                <w:rStyle w:val="Hyperlink"/>
                <w:color w:val="auto"/>
              </w:rPr>
              <w:t>References</w:t>
            </w:r>
            <w:r w:rsidR="009123D8" w:rsidRPr="00CC6CA3">
              <w:rPr>
                <w:webHidden/>
              </w:rPr>
              <w:tab/>
            </w:r>
            <w:r w:rsidR="00946915" w:rsidRPr="00CC6CA3">
              <w:rPr>
                <w:webHidden/>
              </w:rPr>
              <w:tab/>
            </w:r>
            <w:r w:rsidR="009123D8" w:rsidRPr="00CC6CA3">
              <w:rPr>
                <w:webHidden/>
              </w:rPr>
              <w:fldChar w:fldCharType="begin"/>
            </w:r>
            <w:r w:rsidR="009123D8" w:rsidRPr="00CC6CA3">
              <w:rPr>
                <w:webHidden/>
              </w:rPr>
              <w:instrText xml:space="preserve"> PAGEREF _Toc81553323 \h </w:instrText>
            </w:r>
            <w:r w:rsidR="009123D8" w:rsidRPr="00CC6CA3">
              <w:rPr>
                <w:webHidden/>
              </w:rPr>
            </w:r>
            <w:r w:rsidR="009123D8" w:rsidRPr="00CC6CA3">
              <w:rPr>
                <w:webHidden/>
              </w:rPr>
              <w:fldChar w:fldCharType="separate"/>
            </w:r>
            <w:r w:rsidR="00CB31E9" w:rsidRPr="00CC6CA3">
              <w:rPr>
                <w:webHidden/>
              </w:rPr>
              <w:t>185</w:t>
            </w:r>
            <w:r w:rsidR="009123D8" w:rsidRPr="00CC6CA3">
              <w:rPr>
                <w:webHidden/>
              </w:rPr>
              <w:fldChar w:fldCharType="end"/>
            </w:r>
          </w:hyperlink>
        </w:p>
        <w:p w14:paraId="0A350326" w14:textId="1BCB8C3F" w:rsidR="00F84EA0" w:rsidRPr="00CC6CA3" w:rsidRDefault="00F84EA0">
          <w:r w:rsidRPr="00CC6CA3">
            <w:rPr>
              <w:b/>
              <w:bCs/>
              <w:noProof/>
            </w:rPr>
            <w:fldChar w:fldCharType="end"/>
          </w:r>
        </w:p>
      </w:sdtContent>
    </w:sdt>
    <w:p w14:paraId="092F006D" w14:textId="77777777" w:rsidR="00F23419" w:rsidRPr="00CC6CA3" w:rsidRDefault="00F23419">
      <w:pPr>
        <w:spacing w:line="259" w:lineRule="auto"/>
        <w:jc w:val="left"/>
      </w:pPr>
    </w:p>
    <w:p w14:paraId="2D8567D1" w14:textId="77777777" w:rsidR="00F23419" w:rsidRPr="00CC6CA3" w:rsidRDefault="00F23419">
      <w:pPr>
        <w:spacing w:line="259" w:lineRule="auto"/>
        <w:jc w:val="left"/>
      </w:pPr>
    </w:p>
    <w:p w14:paraId="19C5CCE2" w14:textId="77777777" w:rsidR="00F23419" w:rsidRPr="00CC6CA3" w:rsidRDefault="00F23419">
      <w:pPr>
        <w:spacing w:line="259" w:lineRule="auto"/>
        <w:jc w:val="left"/>
      </w:pPr>
    </w:p>
    <w:p w14:paraId="5BFE5E20" w14:textId="77777777" w:rsidR="00F23419" w:rsidRPr="00CC6CA3" w:rsidRDefault="00F23419">
      <w:pPr>
        <w:spacing w:line="259" w:lineRule="auto"/>
        <w:jc w:val="left"/>
      </w:pPr>
    </w:p>
    <w:p w14:paraId="3B3F7692" w14:textId="77777777" w:rsidR="00F23419" w:rsidRPr="00CC6CA3" w:rsidRDefault="00F23419">
      <w:pPr>
        <w:spacing w:line="259" w:lineRule="auto"/>
        <w:jc w:val="left"/>
      </w:pPr>
    </w:p>
    <w:p w14:paraId="0576D724" w14:textId="77777777" w:rsidR="00F23419" w:rsidRPr="00CC6CA3" w:rsidRDefault="00F23419">
      <w:pPr>
        <w:spacing w:line="259" w:lineRule="auto"/>
        <w:jc w:val="left"/>
      </w:pPr>
    </w:p>
    <w:p w14:paraId="5C56F78F" w14:textId="77777777" w:rsidR="008662D3" w:rsidRPr="00CC6CA3" w:rsidRDefault="008662D3">
      <w:pPr>
        <w:pStyle w:val="TableofFigures"/>
        <w:tabs>
          <w:tab w:val="right" w:leader="dot" w:pos="8755"/>
        </w:tabs>
        <w:rPr>
          <w:rFonts w:ascii="Times New Roman" w:hAnsi="Times New Roman" w:cs="Times New Roman"/>
          <w:sz w:val="32"/>
          <w:szCs w:val="32"/>
        </w:rPr>
      </w:pPr>
      <w:r w:rsidRPr="00CC6CA3">
        <w:rPr>
          <w:rFonts w:ascii="Times New Roman" w:hAnsi="Times New Roman" w:cs="Times New Roman"/>
          <w:sz w:val="32"/>
          <w:szCs w:val="32"/>
        </w:rPr>
        <w:br w:type="page"/>
      </w:r>
    </w:p>
    <w:p w14:paraId="3E9E6F93" w14:textId="3DF0DCE4" w:rsidR="00F23419" w:rsidRPr="00CC6CA3" w:rsidRDefault="00F23419" w:rsidP="001A014F">
      <w:pPr>
        <w:pStyle w:val="TableofFigures"/>
        <w:tabs>
          <w:tab w:val="right" w:leader="dot" w:pos="8755"/>
        </w:tabs>
        <w:ind w:left="482" w:hanging="482"/>
        <w:outlineLvl w:val="0"/>
        <w:rPr>
          <w:rFonts w:ascii="Times New Roman" w:hAnsi="Times New Roman" w:cs="Times New Roman"/>
          <w:sz w:val="32"/>
          <w:szCs w:val="32"/>
        </w:rPr>
      </w:pPr>
      <w:bookmarkStart w:id="11" w:name="_Toc81553239"/>
      <w:r w:rsidRPr="00CC6CA3">
        <w:rPr>
          <w:rFonts w:ascii="Times New Roman" w:hAnsi="Times New Roman" w:cs="Times New Roman"/>
          <w:sz w:val="32"/>
          <w:szCs w:val="32"/>
        </w:rPr>
        <w:lastRenderedPageBreak/>
        <w:t>List of Figures</w:t>
      </w:r>
      <w:bookmarkEnd w:id="11"/>
    </w:p>
    <w:p w14:paraId="7403B44A" w14:textId="20B7467A" w:rsidR="009123D8" w:rsidRPr="00CC6CA3" w:rsidRDefault="00F23419">
      <w:pPr>
        <w:pStyle w:val="TableofFigures"/>
        <w:tabs>
          <w:tab w:val="right" w:leader="dot" w:pos="8755"/>
        </w:tabs>
        <w:rPr>
          <w:rFonts w:cstheme="minorBidi"/>
          <w:b w:val="0"/>
          <w:bCs w:val="0"/>
          <w:noProof/>
          <w:sz w:val="22"/>
          <w:szCs w:val="22"/>
        </w:rPr>
      </w:pPr>
      <w:r w:rsidRPr="00CC6CA3">
        <w:rPr>
          <w:rStyle w:val="Hyperlink"/>
          <w:rFonts w:ascii="Times New Roman" w:hAnsi="Times New Roman" w:cs="Times New Roman"/>
          <w:b w:val="0"/>
          <w:bCs w:val="0"/>
          <w:noProof/>
          <w:color w:val="auto"/>
          <w:sz w:val="24"/>
          <w:szCs w:val="24"/>
        </w:rPr>
        <w:fldChar w:fldCharType="begin"/>
      </w:r>
      <w:r w:rsidRPr="00CC6CA3">
        <w:rPr>
          <w:rStyle w:val="Hyperlink"/>
          <w:rFonts w:ascii="Times New Roman" w:hAnsi="Times New Roman" w:cs="Times New Roman"/>
          <w:b w:val="0"/>
          <w:bCs w:val="0"/>
          <w:noProof/>
          <w:color w:val="auto"/>
          <w:sz w:val="24"/>
          <w:szCs w:val="24"/>
        </w:rPr>
        <w:instrText xml:space="preserve"> TOC \h \z \c "Figure" </w:instrText>
      </w:r>
      <w:r w:rsidRPr="00CC6CA3">
        <w:rPr>
          <w:rStyle w:val="Hyperlink"/>
          <w:rFonts w:ascii="Times New Roman" w:hAnsi="Times New Roman" w:cs="Times New Roman"/>
          <w:b w:val="0"/>
          <w:bCs w:val="0"/>
          <w:noProof/>
          <w:color w:val="auto"/>
          <w:sz w:val="24"/>
          <w:szCs w:val="24"/>
        </w:rPr>
        <w:fldChar w:fldCharType="separate"/>
      </w:r>
      <w:hyperlink w:anchor="_Toc81553324" w:history="1">
        <w:r w:rsidR="009123D8" w:rsidRPr="00CC6CA3">
          <w:rPr>
            <w:rStyle w:val="Hyperlink"/>
            <w:noProof/>
            <w:color w:val="auto"/>
          </w:rPr>
          <w:t xml:space="preserve">Figure 1.1 The smoke reached hundreds of feet above Piper Alpha </w:t>
        </w:r>
        <w:r w:rsidR="009123D8" w:rsidRPr="00CC6CA3">
          <w:rPr>
            <w:rStyle w:val="Hyperlink"/>
            <w:rFonts w:cs="Times New Roman"/>
            <w:noProof/>
            <w:color w:val="auto"/>
          </w:rPr>
          <w:t>[2]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_Toc81553324 \h </w:instrText>
        </w:r>
        <w:r w:rsidR="009123D8" w:rsidRPr="00CC6CA3">
          <w:rPr>
            <w:noProof/>
            <w:webHidden/>
          </w:rPr>
        </w:r>
        <w:r w:rsidR="009123D8" w:rsidRPr="00CC6CA3">
          <w:rPr>
            <w:noProof/>
            <w:webHidden/>
          </w:rPr>
          <w:fldChar w:fldCharType="separate"/>
        </w:r>
        <w:r w:rsidR="001906D9" w:rsidRPr="00CC6CA3">
          <w:rPr>
            <w:noProof/>
            <w:webHidden/>
          </w:rPr>
          <w:t>21</w:t>
        </w:r>
        <w:r w:rsidR="009123D8" w:rsidRPr="00CC6CA3">
          <w:rPr>
            <w:noProof/>
            <w:webHidden/>
          </w:rPr>
          <w:fldChar w:fldCharType="end"/>
        </w:r>
      </w:hyperlink>
    </w:p>
    <w:p w14:paraId="4D288294" w14:textId="4B787849" w:rsidR="009123D8" w:rsidRPr="00CC6CA3" w:rsidRDefault="00D62691">
      <w:pPr>
        <w:pStyle w:val="TableofFigures"/>
        <w:tabs>
          <w:tab w:val="right" w:leader="dot" w:pos="8755"/>
        </w:tabs>
        <w:rPr>
          <w:rFonts w:cstheme="minorBidi"/>
          <w:b w:val="0"/>
          <w:bCs w:val="0"/>
          <w:noProof/>
          <w:sz w:val="22"/>
          <w:szCs w:val="22"/>
        </w:rPr>
      </w:pPr>
      <w:hyperlink w:anchor="_Toc81553325" w:history="1">
        <w:r w:rsidR="009123D8" w:rsidRPr="00CC6CA3">
          <w:rPr>
            <w:rStyle w:val="Hyperlink"/>
            <w:noProof/>
            <w:color w:val="auto"/>
          </w:rPr>
          <w:t xml:space="preserve">Figure 1.2 Huntly derailment site </w:t>
        </w:r>
        <w:r w:rsidR="009123D8" w:rsidRPr="00CC6CA3">
          <w:rPr>
            <w:rStyle w:val="Hyperlink"/>
            <w:rFonts w:cs="Times New Roman"/>
            <w:noProof/>
            <w:color w:val="auto"/>
          </w:rPr>
          <w:t>[3]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_Toc81553325 \h </w:instrText>
        </w:r>
        <w:r w:rsidR="009123D8" w:rsidRPr="00CC6CA3">
          <w:rPr>
            <w:noProof/>
            <w:webHidden/>
          </w:rPr>
        </w:r>
        <w:r w:rsidR="009123D8" w:rsidRPr="00CC6CA3">
          <w:rPr>
            <w:noProof/>
            <w:webHidden/>
          </w:rPr>
          <w:fldChar w:fldCharType="separate"/>
        </w:r>
        <w:r w:rsidR="001906D9" w:rsidRPr="00CC6CA3">
          <w:rPr>
            <w:noProof/>
            <w:webHidden/>
          </w:rPr>
          <w:t>22</w:t>
        </w:r>
        <w:r w:rsidR="009123D8" w:rsidRPr="00CC6CA3">
          <w:rPr>
            <w:noProof/>
            <w:webHidden/>
          </w:rPr>
          <w:fldChar w:fldCharType="end"/>
        </w:r>
      </w:hyperlink>
    </w:p>
    <w:p w14:paraId="26263FCF" w14:textId="3337289F" w:rsidR="009123D8" w:rsidRPr="00CC6CA3" w:rsidRDefault="00D62691">
      <w:pPr>
        <w:pStyle w:val="TableofFigures"/>
        <w:tabs>
          <w:tab w:val="right" w:leader="dot" w:pos="8755"/>
        </w:tabs>
        <w:rPr>
          <w:rFonts w:cstheme="minorBidi"/>
          <w:b w:val="0"/>
          <w:bCs w:val="0"/>
          <w:noProof/>
          <w:sz w:val="22"/>
          <w:szCs w:val="22"/>
        </w:rPr>
      </w:pPr>
      <w:hyperlink w:anchor="_Toc81553326" w:history="1">
        <w:r w:rsidR="009123D8" w:rsidRPr="00CC6CA3">
          <w:rPr>
            <w:rStyle w:val="Hyperlink"/>
            <w:noProof/>
            <w:color w:val="auto"/>
          </w:rPr>
          <w:t xml:space="preserve">Figure 1.3 A wind turbine which collapsed at Screggagh wind farm </w:t>
        </w:r>
        <w:r w:rsidR="009123D8" w:rsidRPr="00CC6CA3">
          <w:rPr>
            <w:rStyle w:val="Hyperlink"/>
            <w:rFonts w:cs="Times New Roman"/>
            <w:noProof/>
            <w:color w:val="auto"/>
          </w:rPr>
          <w:t>[4]</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_Toc81553326 \h </w:instrText>
        </w:r>
        <w:r w:rsidR="009123D8" w:rsidRPr="00CC6CA3">
          <w:rPr>
            <w:noProof/>
            <w:webHidden/>
          </w:rPr>
        </w:r>
        <w:r w:rsidR="009123D8" w:rsidRPr="00CC6CA3">
          <w:rPr>
            <w:noProof/>
            <w:webHidden/>
          </w:rPr>
          <w:fldChar w:fldCharType="separate"/>
        </w:r>
        <w:r w:rsidR="001906D9" w:rsidRPr="00CC6CA3">
          <w:rPr>
            <w:noProof/>
            <w:webHidden/>
          </w:rPr>
          <w:t>22</w:t>
        </w:r>
        <w:r w:rsidR="009123D8" w:rsidRPr="00CC6CA3">
          <w:rPr>
            <w:noProof/>
            <w:webHidden/>
          </w:rPr>
          <w:fldChar w:fldCharType="end"/>
        </w:r>
      </w:hyperlink>
    </w:p>
    <w:p w14:paraId="246AAC16" w14:textId="312EB8C8" w:rsidR="009123D8" w:rsidRPr="00CC6CA3" w:rsidRDefault="00D62691">
      <w:pPr>
        <w:pStyle w:val="TableofFigures"/>
        <w:tabs>
          <w:tab w:val="right" w:leader="dot" w:pos="8755"/>
        </w:tabs>
        <w:rPr>
          <w:rFonts w:cstheme="minorBidi"/>
          <w:b w:val="0"/>
          <w:bCs w:val="0"/>
          <w:noProof/>
          <w:sz w:val="22"/>
          <w:szCs w:val="22"/>
        </w:rPr>
      </w:pPr>
      <w:hyperlink w:anchor="_Toc81553327" w:history="1">
        <w:r w:rsidR="009123D8" w:rsidRPr="00CC6CA3">
          <w:rPr>
            <w:rStyle w:val="Hyperlink"/>
            <w:noProof/>
            <w:color w:val="auto"/>
          </w:rPr>
          <w:t xml:space="preserve">Figure 1.4 Boeing 767-323ER suffered an uncontained engine failure in 2016 </w:t>
        </w:r>
        <w:r w:rsidR="009123D8" w:rsidRPr="00CC6CA3">
          <w:rPr>
            <w:rStyle w:val="Hyperlink"/>
            <w:rFonts w:cs="Times New Roman"/>
            <w:noProof/>
            <w:color w:val="auto"/>
          </w:rPr>
          <w:t>[6]</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_Toc81553327 \h </w:instrText>
        </w:r>
        <w:r w:rsidR="009123D8" w:rsidRPr="00CC6CA3">
          <w:rPr>
            <w:noProof/>
            <w:webHidden/>
          </w:rPr>
        </w:r>
        <w:r w:rsidR="009123D8" w:rsidRPr="00CC6CA3">
          <w:rPr>
            <w:noProof/>
            <w:webHidden/>
          </w:rPr>
          <w:fldChar w:fldCharType="separate"/>
        </w:r>
        <w:r w:rsidR="001906D9" w:rsidRPr="00CC6CA3">
          <w:rPr>
            <w:noProof/>
            <w:webHidden/>
          </w:rPr>
          <w:t>23</w:t>
        </w:r>
        <w:r w:rsidR="009123D8" w:rsidRPr="00CC6CA3">
          <w:rPr>
            <w:noProof/>
            <w:webHidden/>
          </w:rPr>
          <w:fldChar w:fldCharType="end"/>
        </w:r>
      </w:hyperlink>
    </w:p>
    <w:p w14:paraId="2B589133" w14:textId="35781D4E" w:rsidR="009123D8" w:rsidRPr="00CC6CA3" w:rsidRDefault="00D62691">
      <w:pPr>
        <w:pStyle w:val="TableofFigures"/>
        <w:tabs>
          <w:tab w:val="right" w:leader="dot" w:pos="8755"/>
        </w:tabs>
        <w:rPr>
          <w:rFonts w:cstheme="minorBidi"/>
          <w:b w:val="0"/>
          <w:bCs w:val="0"/>
          <w:noProof/>
          <w:sz w:val="22"/>
          <w:szCs w:val="22"/>
        </w:rPr>
      </w:pPr>
      <w:hyperlink w:anchor="_Toc81553328" w:history="1">
        <w:r w:rsidR="009123D8" w:rsidRPr="00CC6CA3">
          <w:rPr>
            <w:rStyle w:val="Hyperlink"/>
            <w:noProof/>
            <w:color w:val="auto"/>
          </w:rPr>
          <w:t xml:space="preserve">Figure 1.5 Boeing 737-700 suffered an uncontained engine failure in 2018 </w:t>
        </w:r>
        <w:r w:rsidR="009123D8" w:rsidRPr="00CC6CA3">
          <w:rPr>
            <w:rStyle w:val="Hyperlink"/>
            <w:rFonts w:cs="Times New Roman"/>
            <w:noProof/>
            <w:color w:val="auto"/>
          </w:rPr>
          <w:t>[8]</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_Toc81553328 \h </w:instrText>
        </w:r>
        <w:r w:rsidR="009123D8" w:rsidRPr="00CC6CA3">
          <w:rPr>
            <w:noProof/>
            <w:webHidden/>
          </w:rPr>
        </w:r>
        <w:r w:rsidR="009123D8" w:rsidRPr="00CC6CA3">
          <w:rPr>
            <w:noProof/>
            <w:webHidden/>
          </w:rPr>
          <w:fldChar w:fldCharType="separate"/>
        </w:r>
        <w:r w:rsidR="001906D9" w:rsidRPr="00CC6CA3">
          <w:rPr>
            <w:noProof/>
            <w:webHidden/>
          </w:rPr>
          <w:t>23</w:t>
        </w:r>
        <w:r w:rsidR="009123D8" w:rsidRPr="00CC6CA3">
          <w:rPr>
            <w:noProof/>
            <w:webHidden/>
          </w:rPr>
          <w:fldChar w:fldCharType="end"/>
        </w:r>
      </w:hyperlink>
    </w:p>
    <w:p w14:paraId="7FC716C2" w14:textId="621AA390" w:rsidR="009123D8" w:rsidRPr="00CC6CA3" w:rsidRDefault="00D62691">
      <w:pPr>
        <w:pStyle w:val="TableofFigures"/>
        <w:tabs>
          <w:tab w:val="right" w:leader="dot" w:pos="8755"/>
        </w:tabs>
        <w:rPr>
          <w:rFonts w:cstheme="minorBidi"/>
          <w:b w:val="0"/>
          <w:bCs w:val="0"/>
          <w:noProof/>
          <w:sz w:val="22"/>
          <w:szCs w:val="22"/>
        </w:rPr>
      </w:pPr>
      <w:hyperlink w:anchor="_Toc81553329" w:history="1">
        <w:r w:rsidR="009123D8" w:rsidRPr="00CC6CA3">
          <w:rPr>
            <w:rStyle w:val="Hyperlink"/>
            <w:noProof/>
            <w:color w:val="auto"/>
          </w:rPr>
          <w:t>Figure 1.6 Thesis structure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_Toc81553329 \h </w:instrText>
        </w:r>
        <w:r w:rsidR="009123D8" w:rsidRPr="00CC6CA3">
          <w:rPr>
            <w:noProof/>
            <w:webHidden/>
          </w:rPr>
        </w:r>
        <w:r w:rsidR="009123D8" w:rsidRPr="00CC6CA3">
          <w:rPr>
            <w:noProof/>
            <w:webHidden/>
          </w:rPr>
          <w:fldChar w:fldCharType="separate"/>
        </w:r>
        <w:r w:rsidR="001906D9" w:rsidRPr="00CC6CA3">
          <w:rPr>
            <w:noProof/>
            <w:webHidden/>
          </w:rPr>
          <w:t>26</w:t>
        </w:r>
        <w:r w:rsidR="009123D8" w:rsidRPr="00CC6CA3">
          <w:rPr>
            <w:noProof/>
            <w:webHidden/>
          </w:rPr>
          <w:fldChar w:fldCharType="end"/>
        </w:r>
      </w:hyperlink>
    </w:p>
    <w:p w14:paraId="13C10A63" w14:textId="63825FCF" w:rsidR="009123D8" w:rsidRPr="00CC6CA3" w:rsidRDefault="00D62691">
      <w:pPr>
        <w:pStyle w:val="TableofFigures"/>
        <w:tabs>
          <w:tab w:val="right" w:leader="dot" w:pos="8755"/>
        </w:tabs>
        <w:rPr>
          <w:rFonts w:cstheme="minorBidi"/>
          <w:b w:val="0"/>
          <w:bCs w:val="0"/>
          <w:noProof/>
          <w:sz w:val="22"/>
          <w:szCs w:val="22"/>
        </w:rPr>
      </w:pPr>
      <w:hyperlink w:anchor="_Toc81553330" w:history="1">
        <w:r w:rsidR="009123D8" w:rsidRPr="00CC6CA3">
          <w:rPr>
            <w:rStyle w:val="Hyperlink"/>
            <w:noProof/>
            <w:color w:val="auto"/>
          </w:rPr>
          <w:t xml:space="preserve">Figure 2.1 The bathtub curve </w:t>
        </w:r>
        <w:r w:rsidR="009123D8" w:rsidRPr="00CC6CA3">
          <w:rPr>
            <w:rStyle w:val="Hyperlink"/>
            <w:rFonts w:cs="Times New Roman"/>
            <w:noProof/>
            <w:color w:val="auto"/>
          </w:rPr>
          <w:t>[15]</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_Toc81553330 \h </w:instrText>
        </w:r>
        <w:r w:rsidR="009123D8" w:rsidRPr="00CC6CA3">
          <w:rPr>
            <w:noProof/>
            <w:webHidden/>
          </w:rPr>
        </w:r>
        <w:r w:rsidR="009123D8" w:rsidRPr="00CC6CA3">
          <w:rPr>
            <w:noProof/>
            <w:webHidden/>
          </w:rPr>
          <w:fldChar w:fldCharType="separate"/>
        </w:r>
        <w:r w:rsidR="001906D9" w:rsidRPr="00CC6CA3">
          <w:rPr>
            <w:noProof/>
            <w:webHidden/>
          </w:rPr>
          <w:t>30</w:t>
        </w:r>
        <w:r w:rsidR="009123D8" w:rsidRPr="00CC6CA3">
          <w:rPr>
            <w:noProof/>
            <w:webHidden/>
          </w:rPr>
          <w:fldChar w:fldCharType="end"/>
        </w:r>
      </w:hyperlink>
    </w:p>
    <w:p w14:paraId="6FB83FD2" w14:textId="42AE67BD" w:rsidR="009123D8" w:rsidRPr="00CC6CA3" w:rsidRDefault="00D62691">
      <w:pPr>
        <w:pStyle w:val="TableofFigures"/>
        <w:tabs>
          <w:tab w:val="right" w:leader="dot" w:pos="8755"/>
        </w:tabs>
        <w:rPr>
          <w:rFonts w:cstheme="minorBidi"/>
          <w:b w:val="0"/>
          <w:bCs w:val="0"/>
          <w:noProof/>
          <w:sz w:val="22"/>
          <w:szCs w:val="22"/>
        </w:rPr>
      </w:pPr>
      <w:hyperlink w:anchor="_Toc81553331" w:history="1">
        <w:r w:rsidR="009123D8" w:rsidRPr="00CC6CA3">
          <w:rPr>
            <w:rStyle w:val="Hyperlink"/>
            <w:noProof/>
            <w:color w:val="auto"/>
          </w:rPr>
          <w:t xml:space="preserve">Figure 2.2 Process of PPM </w:t>
        </w:r>
        <w:r w:rsidR="009123D8" w:rsidRPr="00CC6CA3">
          <w:rPr>
            <w:rStyle w:val="Hyperlink"/>
            <w:rFonts w:cs="Times New Roman"/>
            <w:noProof/>
            <w:color w:val="auto"/>
          </w:rPr>
          <w:t>[15]</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_Toc81553331 \h </w:instrText>
        </w:r>
        <w:r w:rsidR="009123D8" w:rsidRPr="00CC6CA3">
          <w:rPr>
            <w:noProof/>
            <w:webHidden/>
          </w:rPr>
        </w:r>
        <w:r w:rsidR="009123D8" w:rsidRPr="00CC6CA3">
          <w:rPr>
            <w:noProof/>
            <w:webHidden/>
          </w:rPr>
          <w:fldChar w:fldCharType="separate"/>
        </w:r>
        <w:r w:rsidR="001906D9" w:rsidRPr="00CC6CA3">
          <w:rPr>
            <w:noProof/>
            <w:webHidden/>
          </w:rPr>
          <w:t>31</w:t>
        </w:r>
        <w:r w:rsidR="009123D8" w:rsidRPr="00CC6CA3">
          <w:rPr>
            <w:noProof/>
            <w:webHidden/>
          </w:rPr>
          <w:fldChar w:fldCharType="end"/>
        </w:r>
      </w:hyperlink>
    </w:p>
    <w:p w14:paraId="0A753C8D" w14:textId="0E291D8F" w:rsidR="009123D8" w:rsidRPr="00CC6CA3" w:rsidRDefault="00D62691">
      <w:pPr>
        <w:pStyle w:val="TableofFigures"/>
        <w:tabs>
          <w:tab w:val="right" w:leader="dot" w:pos="8755"/>
        </w:tabs>
        <w:rPr>
          <w:rFonts w:cstheme="minorBidi"/>
          <w:b w:val="0"/>
          <w:bCs w:val="0"/>
          <w:noProof/>
          <w:sz w:val="22"/>
          <w:szCs w:val="22"/>
        </w:rPr>
      </w:pPr>
      <w:hyperlink w:anchor="_Toc81553332" w:history="1">
        <w:r w:rsidR="009123D8" w:rsidRPr="00CC6CA3">
          <w:rPr>
            <w:rStyle w:val="Hyperlink"/>
            <w:noProof/>
            <w:color w:val="auto"/>
          </w:rPr>
          <w:t xml:space="preserve">Figure 2.3 A general process of a risk-based maintenance and risk profiles (a) Schematic of a general risk-based maintenance approach </w:t>
        </w:r>
        <w:r w:rsidR="009123D8" w:rsidRPr="00CC6CA3">
          <w:rPr>
            <w:rStyle w:val="Hyperlink"/>
            <w:rFonts w:cs="Times New Roman"/>
            <w:noProof/>
            <w:color w:val="auto"/>
          </w:rPr>
          <w:t>[17]</w:t>
        </w:r>
        <w:r w:rsidR="009123D8" w:rsidRPr="00CC6CA3">
          <w:rPr>
            <w:rStyle w:val="Hyperlink"/>
            <w:noProof/>
            <w:color w:val="auto"/>
          </w:rPr>
          <w:t>, (b) an example of a risk matrix, (c) an example of a risk profile that changes with time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_Toc81553332 \h </w:instrText>
        </w:r>
        <w:r w:rsidR="009123D8" w:rsidRPr="00CC6CA3">
          <w:rPr>
            <w:noProof/>
            <w:webHidden/>
          </w:rPr>
        </w:r>
        <w:r w:rsidR="009123D8" w:rsidRPr="00CC6CA3">
          <w:rPr>
            <w:noProof/>
            <w:webHidden/>
          </w:rPr>
          <w:fldChar w:fldCharType="separate"/>
        </w:r>
        <w:r w:rsidR="001906D9" w:rsidRPr="00CC6CA3">
          <w:rPr>
            <w:noProof/>
            <w:webHidden/>
          </w:rPr>
          <w:t>32</w:t>
        </w:r>
        <w:r w:rsidR="009123D8" w:rsidRPr="00CC6CA3">
          <w:rPr>
            <w:noProof/>
            <w:webHidden/>
          </w:rPr>
          <w:fldChar w:fldCharType="end"/>
        </w:r>
      </w:hyperlink>
    </w:p>
    <w:p w14:paraId="4EA09802" w14:textId="2555EF89" w:rsidR="009123D8" w:rsidRPr="00CC6CA3" w:rsidRDefault="00D62691">
      <w:pPr>
        <w:pStyle w:val="TableofFigures"/>
        <w:tabs>
          <w:tab w:val="right" w:leader="dot" w:pos="8755"/>
        </w:tabs>
        <w:rPr>
          <w:rFonts w:cstheme="minorBidi"/>
          <w:b w:val="0"/>
          <w:bCs w:val="0"/>
          <w:noProof/>
          <w:sz w:val="22"/>
          <w:szCs w:val="22"/>
        </w:rPr>
      </w:pPr>
      <w:hyperlink w:anchor="_Toc81553333" w:history="1">
        <w:r w:rsidR="009123D8" w:rsidRPr="00CC6CA3">
          <w:rPr>
            <w:rStyle w:val="Hyperlink"/>
            <w:noProof/>
            <w:color w:val="auto"/>
          </w:rPr>
          <w:t xml:space="preserve">Figure 2.4 Main processes in a CBM program </w:t>
        </w:r>
        <w:r w:rsidR="009123D8" w:rsidRPr="00CC6CA3">
          <w:rPr>
            <w:rStyle w:val="Hyperlink"/>
            <w:rFonts w:cs="Times New Roman"/>
            <w:noProof/>
            <w:color w:val="auto"/>
          </w:rPr>
          <w:t>[11]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_Toc81553333 \h </w:instrText>
        </w:r>
        <w:r w:rsidR="009123D8" w:rsidRPr="00CC6CA3">
          <w:rPr>
            <w:noProof/>
            <w:webHidden/>
          </w:rPr>
        </w:r>
        <w:r w:rsidR="009123D8" w:rsidRPr="00CC6CA3">
          <w:rPr>
            <w:noProof/>
            <w:webHidden/>
          </w:rPr>
          <w:fldChar w:fldCharType="separate"/>
        </w:r>
        <w:r w:rsidR="001906D9" w:rsidRPr="00CC6CA3">
          <w:rPr>
            <w:noProof/>
            <w:webHidden/>
          </w:rPr>
          <w:t>34</w:t>
        </w:r>
        <w:r w:rsidR="009123D8" w:rsidRPr="00CC6CA3">
          <w:rPr>
            <w:noProof/>
            <w:webHidden/>
          </w:rPr>
          <w:fldChar w:fldCharType="end"/>
        </w:r>
      </w:hyperlink>
    </w:p>
    <w:p w14:paraId="01F453B5" w14:textId="7B5A1014" w:rsidR="009123D8" w:rsidRPr="00CC6CA3" w:rsidRDefault="00D62691">
      <w:pPr>
        <w:pStyle w:val="TableofFigures"/>
        <w:tabs>
          <w:tab w:val="right" w:leader="dot" w:pos="8755"/>
        </w:tabs>
        <w:rPr>
          <w:rFonts w:cstheme="minorBidi"/>
          <w:b w:val="0"/>
          <w:bCs w:val="0"/>
          <w:noProof/>
          <w:sz w:val="22"/>
          <w:szCs w:val="22"/>
        </w:rPr>
      </w:pPr>
      <w:hyperlink w:anchor="_Toc81553334" w:history="1">
        <w:r w:rsidR="009123D8" w:rsidRPr="00CC6CA3">
          <w:rPr>
            <w:rStyle w:val="Hyperlink"/>
            <w:noProof/>
            <w:color w:val="auto"/>
          </w:rPr>
          <w:t>Figure 2.5 A sketch of a degradation process and RUL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_Toc81553334 \h </w:instrText>
        </w:r>
        <w:r w:rsidR="009123D8" w:rsidRPr="00CC6CA3">
          <w:rPr>
            <w:noProof/>
            <w:webHidden/>
          </w:rPr>
        </w:r>
        <w:r w:rsidR="009123D8" w:rsidRPr="00CC6CA3">
          <w:rPr>
            <w:noProof/>
            <w:webHidden/>
          </w:rPr>
          <w:fldChar w:fldCharType="separate"/>
        </w:r>
        <w:r w:rsidR="001906D9" w:rsidRPr="00CC6CA3">
          <w:rPr>
            <w:noProof/>
            <w:webHidden/>
          </w:rPr>
          <w:t>38</w:t>
        </w:r>
        <w:r w:rsidR="009123D8" w:rsidRPr="00CC6CA3">
          <w:rPr>
            <w:noProof/>
            <w:webHidden/>
          </w:rPr>
          <w:fldChar w:fldCharType="end"/>
        </w:r>
      </w:hyperlink>
    </w:p>
    <w:p w14:paraId="153BE51A" w14:textId="13ABAA3F" w:rsidR="009123D8" w:rsidRPr="00CC6CA3" w:rsidRDefault="00D62691">
      <w:pPr>
        <w:pStyle w:val="TableofFigures"/>
        <w:tabs>
          <w:tab w:val="right" w:leader="dot" w:pos="8755"/>
        </w:tabs>
        <w:rPr>
          <w:rFonts w:cstheme="minorBidi"/>
          <w:b w:val="0"/>
          <w:bCs w:val="0"/>
          <w:noProof/>
          <w:sz w:val="22"/>
          <w:szCs w:val="22"/>
        </w:rPr>
      </w:pPr>
      <w:hyperlink w:anchor="_Toc81553335" w:history="1">
        <w:r w:rsidR="009123D8" w:rsidRPr="00CC6CA3">
          <w:rPr>
            <w:rStyle w:val="Hyperlink"/>
            <w:noProof/>
            <w:color w:val="auto"/>
          </w:rPr>
          <w:t xml:space="preserve">Figure 2.6 Maintenance strategies and their corresponding efficiencies </w:t>
        </w:r>
        <w:r w:rsidR="009123D8" w:rsidRPr="00CC6CA3">
          <w:rPr>
            <w:rStyle w:val="Hyperlink"/>
            <w:rFonts w:cs="Times New Roman"/>
            <w:noProof/>
            <w:color w:val="auto"/>
          </w:rPr>
          <w:t>[83]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_Toc81553335 \h </w:instrText>
        </w:r>
        <w:r w:rsidR="009123D8" w:rsidRPr="00CC6CA3">
          <w:rPr>
            <w:noProof/>
            <w:webHidden/>
          </w:rPr>
        </w:r>
        <w:r w:rsidR="009123D8" w:rsidRPr="00CC6CA3">
          <w:rPr>
            <w:noProof/>
            <w:webHidden/>
          </w:rPr>
          <w:fldChar w:fldCharType="separate"/>
        </w:r>
        <w:r w:rsidR="001906D9" w:rsidRPr="00CC6CA3">
          <w:rPr>
            <w:noProof/>
            <w:webHidden/>
          </w:rPr>
          <w:t>40</w:t>
        </w:r>
        <w:r w:rsidR="009123D8" w:rsidRPr="00CC6CA3">
          <w:rPr>
            <w:noProof/>
            <w:webHidden/>
          </w:rPr>
          <w:fldChar w:fldCharType="end"/>
        </w:r>
      </w:hyperlink>
    </w:p>
    <w:p w14:paraId="35D0DF94" w14:textId="3FA2F123" w:rsidR="009123D8" w:rsidRPr="00CC6CA3" w:rsidRDefault="00D62691">
      <w:pPr>
        <w:pStyle w:val="TableofFigures"/>
        <w:tabs>
          <w:tab w:val="right" w:leader="dot" w:pos="8755"/>
        </w:tabs>
        <w:rPr>
          <w:rFonts w:cstheme="minorBidi"/>
          <w:b w:val="0"/>
          <w:bCs w:val="0"/>
          <w:noProof/>
          <w:sz w:val="22"/>
          <w:szCs w:val="22"/>
        </w:rPr>
      </w:pPr>
      <w:hyperlink w:anchor="_Toc81553336" w:history="1">
        <w:r w:rsidR="009123D8" w:rsidRPr="00CC6CA3">
          <w:rPr>
            <w:rStyle w:val="Hyperlink"/>
            <w:noProof/>
            <w:color w:val="auto"/>
          </w:rPr>
          <w:t xml:space="preserve">Figure 2.7 Management strategies and their life cycle costs </w:t>
        </w:r>
        <w:r w:rsidR="009123D8" w:rsidRPr="00CC6CA3">
          <w:rPr>
            <w:rStyle w:val="Hyperlink"/>
            <w:rFonts w:cs="Times New Roman"/>
            <w:noProof/>
            <w:color w:val="auto"/>
          </w:rPr>
          <w:t>[84]</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_Toc81553336 \h </w:instrText>
        </w:r>
        <w:r w:rsidR="009123D8" w:rsidRPr="00CC6CA3">
          <w:rPr>
            <w:noProof/>
            <w:webHidden/>
          </w:rPr>
        </w:r>
        <w:r w:rsidR="009123D8" w:rsidRPr="00CC6CA3">
          <w:rPr>
            <w:noProof/>
            <w:webHidden/>
          </w:rPr>
          <w:fldChar w:fldCharType="separate"/>
        </w:r>
        <w:r w:rsidR="001906D9" w:rsidRPr="00CC6CA3">
          <w:rPr>
            <w:noProof/>
            <w:webHidden/>
          </w:rPr>
          <w:t>40</w:t>
        </w:r>
        <w:r w:rsidR="009123D8" w:rsidRPr="00CC6CA3">
          <w:rPr>
            <w:noProof/>
            <w:webHidden/>
          </w:rPr>
          <w:fldChar w:fldCharType="end"/>
        </w:r>
      </w:hyperlink>
    </w:p>
    <w:p w14:paraId="291E0609" w14:textId="345750C8" w:rsidR="009123D8" w:rsidRPr="00CC6CA3" w:rsidRDefault="00D62691">
      <w:pPr>
        <w:pStyle w:val="TableofFigures"/>
        <w:tabs>
          <w:tab w:val="right" w:leader="dot" w:pos="8755"/>
        </w:tabs>
        <w:rPr>
          <w:rFonts w:cstheme="minorBidi"/>
          <w:b w:val="0"/>
          <w:bCs w:val="0"/>
          <w:noProof/>
          <w:sz w:val="22"/>
          <w:szCs w:val="22"/>
        </w:rPr>
      </w:pPr>
      <w:hyperlink w:anchor="_Toc81553337" w:history="1">
        <w:r w:rsidR="009123D8" w:rsidRPr="00CC6CA3">
          <w:rPr>
            <w:rStyle w:val="Hyperlink"/>
            <w:noProof/>
            <w:color w:val="auto"/>
          </w:rPr>
          <w:t>Figure 2.8 The idea behind developing an intelligent cost-saving maintenance strategy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_Toc81553337 \h </w:instrText>
        </w:r>
        <w:r w:rsidR="009123D8" w:rsidRPr="00CC6CA3">
          <w:rPr>
            <w:noProof/>
            <w:webHidden/>
          </w:rPr>
        </w:r>
        <w:r w:rsidR="009123D8" w:rsidRPr="00CC6CA3">
          <w:rPr>
            <w:noProof/>
            <w:webHidden/>
          </w:rPr>
          <w:fldChar w:fldCharType="separate"/>
        </w:r>
        <w:r w:rsidR="001906D9" w:rsidRPr="00CC6CA3">
          <w:rPr>
            <w:noProof/>
            <w:webHidden/>
          </w:rPr>
          <w:t>41</w:t>
        </w:r>
        <w:r w:rsidR="009123D8" w:rsidRPr="00CC6CA3">
          <w:rPr>
            <w:noProof/>
            <w:webHidden/>
          </w:rPr>
          <w:fldChar w:fldCharType="end"/>
        </w:r>
      </w:hyperlink>
    </w:p>
    <w:p w14:paraId="7FDA55DE" w14:textId="12781F52" w:rsidR="009123D8" w:rsidRPr="00CC6CA3" w:rsidRDefault="00D62691">
      <w:pPr>
        <w:pStyle w:val="TableofFigures"/>
        <w:tabs>
          <w:tab w:val="right" w:leader="dot" w:pos="8755"/>
        </w:tabs>
        <w:rPr>
          <w:rFonts w:cstheme="minorBidi"/>
          <w:b w:val="0"/>
          <w:bCs w:val="0"/>
          <w:noProof/>
          <w:sz w:val="22"/>
          <w:szCs w:val="22"/>
        </w:rPr>
      </w:pPr>
      <w:hyperlink w:anchor="_Toc81553338" w:history="1">
        <w:r w:rsidR="009123D8" w:rsidRPr="00CC6CA3">
          <w:rPr>
            <w:rStyle w:val="Hyperlink"/>
            <w:noProof/>
            <w:color w:val="auto"/>
          </w:rPr>
          <w:t xml:space="preserve">Figure 2.9 Fault detection and diagnosis methods </w:t>
        </w:r>
        <w:r w:rsidR="009123D8" w:rsidRPr="00CC6CA3">
          <w:rPr>
            <w:rStyle w:val="Hyperlink"/>
            <w:rFonts w:cs="Times New Roman"/>
            <w:noProof/>
            <w:color w:val="auto"/>
          </w:rPr>
          <w:t>[87]</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_Toc81553338 \h </w:instrText>
        </w:r>
        <w:r w:rsidR="009123D8" w:rsidRPr="00CC6CA3">
          <w:rPr>
            <w:noProof/>
            <w:webHidden/>
          </w:rPr>
        </w:r>
        <w:r w:rsidR="009123D8" w:rsidRPr="00CC6CA3">
          <w:rPr>
            <w:noProof/>
            <w:webHidden/>
          </w:rPr>
          <w:fldChar w:fldCharType="separate"/>
        </w:r>
        <w:r w:rsidR="001906D9" w:rsidRPr="00CC6CA3">
          <w:rPr>
            <w:noProof/>
            <w:webHidden/>
          </w:rPr>
          <w:t>42</w:t>
        </w:r>
        <w:r w:rsidR="009123D8" w:rsidRPr="00CC6CA3">
          <w:rPr>
            <w:noProof/>
            <w:webHidden/>
          </w:rPr>
          <w:fldChar w:fldCharType="end"/>
        </w:r>
      </w:hyperlink>
    </w:p>
    <w:p w14:paraId="761D143D" w14:textId="7C13FE08" w:rsidR="009123D8" w:rsidRPr="00CC6CA3" w:rsidRDefault="00D62691">
      <w:pPr>
        <w:pStyle w:val="TableofFigures"/>
        <w:tabs>
          <w:tab w:val="right" w:leader="dot" w:pos="8755"/>
        </w:tabs>
        <w:rPr>
          <w:rFonts w:cstheme="minorBidi"/>
          <w:b w:val="0"/>
          <w:bCs w:val="0"/>
          <w:noProof/>
          <w:sz w:val="22"/>
          <w:szCs w:val="22"/>
        </w:rPr>
      </w:pPr>
      <w:hyperlink w:anchor="_Toc81553339" w:history="1">
        <w:r w:rsidR="009123D8" w:rsidRPr="00CC6CA3">
          <w:rPr>
            <w:rStyle w:val="Hyperlink"/>
            <w:noProof/>
            <w:color w:val="auto"/>
          </w:rPr>
          <w:t xml:space="preserve">Figure 2.10 Model-based fault detection strategy </w:t>
        </w:r>
        <w:r w:rsidR="009123D8" w:rsidRPr="00CC6CA3">
          <w:rPr>
            <w:rStyle w:val="Hyperlink"/>
            <w:rFonts w:cs="Times New Roman"/>
            <w:noProof/>
            <w:color w:val="auto"/>
          </w:rPr>
          <w:t>[89]</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_Toc81553339 \h </w:instrText>
        </w:r>
        <w:r w:rsidR="009123D8" w:rsidRPr="00CC6CA3">
          <w:rPr>
            <w:noProof/>
            <w:webHidden/>
          </w:rPr>
        </w:r>
        <w:r w:rsidR="009123D8" w:rsidRPr="00CC6CA3">
          <w:rPr>
            <w:noProof/>
            <w:webHidden/>
          </w:rPr>
          <w:fldChar w:fldCharType="separate"/>
        </w:r>
        <w:r w:rsidR="001906D9" w:rsidRPr="00CC6CA3">
          <w:rPr>
            <w:noProof/>
            <w:webHidden/>
          </w:rPr>
          <w:t>42</w:t>
        </w:r>
        <w:r w:rsidR="009123D8" w:rsidRPr="00CC6CA3">
          <w:rPr>
            <w:noProof/>
            <w:webHidden/>
          </w:rPr>
          <w:fldChar w:fldCharType="end"/>
        </w:r>
      </w:hyperlink>
    </w:p>
    <w:p w14:paraId="549E6C42" w14:textId="39E1A60E" w:rsidR="009123D8" w:rsidRPr="00CC6CA3" w:rsidRDefault="00D62691">
      <w:pPr>
        <w:pStyle w:val="TableofFigures"/>
        <w:tabs>
          <w:tab w:val="right" w:leader="dot" w:pos="8755"/>
        </w:tabs>
        <w:rPr>
          <w:rFonts w:cstheme="minorBidi"/>
          <w:b w:val="0"/>
          <w:bCs w:val="0"/>
          <w:noProof/>
          <w:sz w:val="22"/>
          <w:szCs w:val="22"/>
        </w:rPr>
      </w:pPr>
      <w:hyperlink w:anchor="_Toc81553340" w:history="1">
        <w:r w:rsidR="009123D8" w:rsidRPr="00CC6CA3">
          <w:rPr>
            <w:rStyle w:val="Hyperlink"/>
            <w:noProof/>
            <w:color w:val="auto"/>
          </w:rPr>
          <w:t>Figure 2.11 A typical structure of the MLP neural network</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_Toc81553340 \h </w:instrText>
        </w:r>
        <w:r w:rsidR="009123D8" w:rsidRPr="00CC6CA3">
          <w:rPr>
            <w:noProof/>
            <w:webHidden/>
          </w:rPr>
        </w:r>
        <w:r w:rsidR="009123D8" w:rsidRPr="00CC6CA3">
          <w:rPr>
            <w:noProof/>
            <w:webHidden/>
          </w:rPr>
          <w:fldChar w:fldCharType="separate"/>
        </w:r>
        <w:r w:rsidR="001906D9" w:rsidRPr="00CC6CA3">
          <w:rPr>
            <w:noProof/>
            <w:webHidden/>
          </w:rPr>
          <w:t>44</w:t>
        </w:r>
        <w:r w:rsidR="009123D8" w:rsidRPr="00CC6CA3">
          <w:rPr>
            <w:noProof/>
            <w:webHidden/>
          </w:rPr>
          <w:fldChar w:fldCharType="end"/>
        </w:r>
      </w:hyperlink>
    </w:p>
    <w:p w14:paraId="5CAC02CE" w14:textId="0C6BA874" w:rsidR="009123D8" w:rsidRPr="00CC6CA3" w:rsidRDefault="00D62691">
      <w:pPr>
        <w:pStyle w:val="TableofFigures"/>
        <w:tabs>
          <w:tab w:val="right" w:leader="dot" w:pos="8755"/>
        </w:tabs>
        <w:rPr>
          <w:rFonts w:cstheme="minorBidi"/>
          <w:b w:val="0"/>
          <w:bCs w:val="0"/>
          <w:noProof/>
          <w:sz w:val="22"/>
          <w:szCs w:val="22"/>
        </w:rPr>
      </w:pPr>
      <w:hyperlink w:anchor="_Toc81553341" w:history="1">
        <w:r w:rsidR="009123D8" w:rsidRPr="00CC6CA3">
          <w:rPr>
            <w:rStyle w:val="Hyperlink"/>
            <w:noProof/>
            <w:color w:val="auto"/>
          </w:rPr>
          <w:t xml:space="preserve">Figure 2.12 Change in probability of fault (φ) with the deviation of score from the mean </w:t>
        </w:r>
        <w:r w:rsidR="009123D8" w:rsidRPr="00CC6CA3">
          <w:rPr>
            <w:rStyle w:val="Hyperlink"/>
            <w:rFonts w:cs="Times New Roman"/>
            <w:noProof/>
            <w:color w:val="auto"/>
          </w:rPr>
          <w:t>[94]</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_Toc81553341 \h </w:instrText>
        </w:r>
        <w:r w:rsidR="009123D8" w:rsidRPr="00CC6CA3">
          <w:rPr>
            <w:noProof/>
            <w:webHidden/>
          </w:rPr>
        </w:r>
        <w:r w:rsidR="009123D8" w:rsidRPr="00CC6CA3">
          <w:rPr>
            <w:noProof/>
            <w:webHidden/>
          </w:rPr>
          <w:fldChar w:fldCharType="separate"/>
        </w:r>
        <w:r w:rsidR="001906D9" w:rsidRPr="00CC6CA3">
          <w:rPr>
            <w:noProof/>
            <w:webHidden/>
          </w:rPr>
          <w:t>48</w:t>
        </w:r>
        <w:r w:rsidR="009123D8" w:rsidRPr="00CC6CA3">
          <w:rPr>
            <w:noProof/>
            <w:webHidden/>
          </w:rPr>
          <w:fldChar w:fldCharType="end"/>
        </w:r>
      </w:hyperlink>
    </w:p>
    <w:p w14:paraId="4DF48914" w14:textId="7F4EED1C" w:rsidR="009123D8" w:rsidRPr="00CC6CA3" w:rsidRDefault="00D62691">
      <w:pPr>
        <w:pStyle w:val="TableofFigures"/>
        <w:tabs>
          <w:tab w:val="right" w:leader="dot" w:pos="8755"/>
        </w:tabs>
        <w:rPr>
          <w:rFonts w:cstheme="minorBidi"/>
          <w:b w:val="0"/>
          <w:bCs w:val="0"/>
          <w:noProof/>
          <w:sz w:val="22"/>
          <w:szCs w:val="22"/>
        </w:rPr>
      </w:pPr>
      <w:hyperlink w:anchor="_Toc81553342" w:history="1">
        <w:r w:rsidR="009123D8" w:rsidRPr="00CC6CA3">
          <w:rPr>
            <w:rStyle w:val="Hyperlink"/>
            <w:noProof/>
            <w:color w:val="auto"/>
          </w:rPr>
          <w:t xml:space="preserve">Figure 2.13 Loss categories can be considered for the calculation of the estimated maximum loss  </w:t>
        </w:r>
        <w:r w:rsidR="009123D8" w:rsidRPr="00CC6CA3">
          <w:rPr>
            <w:rStyle w:val="Hyperlink"/>
            <w:rFonts w:cs="Times New Roman"/>
            <w:noProof/>
            <w:color w:val="auto"/>
          </w:rPr>
          <w:t>[127]</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_Toc81553342 \h </w:instrText>
        </w:r>
        <w:r w:rsidR="009123D8" w:rsidRPr="00CC6CA3">
          <w:rPr>
            <w:noProof/>
            <w:webHidden/>
          </w:rPr>
        </w:r>
        <w:r w:rsidR="009123D8" w:rsidRPr="00CC6CA3">
          <w:rPr>
            <w:noProof/>
            <w:webHidden/>
          </w:rPr>
          <w:fldChar w:fldCharType="separate"/>
        </w:r>
        <w:r w:rsidR="001906D9" w:rsidRPr="00CC6CA3">
          <w:rPr>
            <w:noProof/>
            <w:webHidden/>
          </w:rPr>
          <w:t>50</w:t>
        </w:r>
        <w:r w:rsidR="009123D8" w:rsidRPr="00CC6CA3">
          <w:rPr>
            <w:noProof/>
            <w:webHidden/>
          </w:rPr>
          <w:fldChar w:fldCharType="end"/>
        </w:r>
      </w:hyperlink>
    </w:p>
    <w:p w14:paraId="393BA1DA" w14:textId="0BBD07EE" w:rsidR="009123D8" w:rsidRPr="00CC6CA3" w:rsidRDefault="00D62691">
      <w:pPr>
        <w:pStyle w:val="TableofFigures"/>
        <w:tabs>
          <w:tab w:val="right" w:leader="dot" w:pos="8755"/>
        </w:tabs>
        <w:rPr>
          <w:rFonts w:cstheme="minorBidi"/>
          <w:b w:val="0"/>
          <w:bCs w:val="0"/>
          <w:noProof/>
          <w:sz w:val="22"/>
          <w:szCs w:val="22"/>
        </w:rPr>
      </w:pPr>
      <w:hyperlink w:anchor="_Toc81553343" w:history="1">
        <w:r w:rsidR="009123D8" w:rsidRPr="00CC6CA3">
          <w:rPr>
            <w:rStyle w:val="Hyperlink"/>
            <w:noProof/>
            <w:color w:val="auto"/>
          </w:rPr>
          <w:t xml:space="preserve">Figure 3.1 STC-SH single-shaft centrifugal compressor </w:t>
        </w:r>
        <w:r w:rsidR="009123D8" w:rsidRPr="00CC6CA3">
          <w:rPr>
            <w:rStyle w:val="Hyperlink"/>
            <w:rFonts w:cs="Times New Roman"/>
            <w:noProof/>
            <w:color w:val="auto"/>
          </w:rPr>
          <w:t>[132]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_Toc81553343 \h </w:instrText>
        </w:r>
        <w:r w:rsidR="009123D8" w:rsidRPr="00CC6CA3">
          <w:rPr>
            <w:noProof/>
            <w:webHidden/>
          </w:rPr>
        </w:r>
        <w:r w:rsidR="009123D8" w:rsidRPr="00CC6CA3">
          <w:rPr>
            <w:noProof/>
            <w:webHidden/>
          </w:rPr>
          <w:fldChar w:fldCharType="separate"/>
        </w:r>
        <w:r w:rsidR="001906D9" w:rsidRPr="00CC6CA3">
          <w:rPr>
            <w:noProof/>
            <w:webHidden/>
          </w:rPr>
          <w:t>56</w:t>
        </w:r>
        <w:r w:rsidR="009123D8" w:rsidRPr="00CC6CA3">
          <w:rPr>
            <w:noProof/>
            <w:webHidden/>
          </w:rPr>
          <w:fldChar w:fldCharType="end"/>
        </w:r>
      </w:hyperlink>
    </w:p>
    <w:p w14:paraId="3FBCFD04" w14:textId="2B760AB6" w:rsidR="009123D8" w:rsidRPr="00CC6CA3" w:rsidRDefault="00D62691">
      <w:pPr>
        <w:pStyle w:val="TableofFigures"/>
        <w:tabs>
          <w:tab w:val="right" w:leader="dot" w:pos="8755"/>
        </w:tabs>
        <w:rPr>
          <w:rFonts w:cstheme="minorBidi"/>
          <w:b w:val="0"/>
          <w:bCs w:val="0"/>
          <w:noProof/>
          <w:sz w:val="22"/>
          <w:szCs w:val="22"/>
        </w:rPr>
      </w:pPr>
      <w:hyperlink w:anchor="_Toc81553344" w:history="1">
        <w:r w:rsidR="009123D8" w:rsidRPr="00CC6CA3">
          <w:rPr>
            <w:rStyle w:val="Hyperlink"/>
            <w:noProof/>
            <w:color w:val="auto"/>
          </w:rPr>
          <w:t xml:space="preserve">Figure 3.2 A typical centrifugal pump </w:t>
        </w:r>
        <w:r w:rsidR="009123D8" w:rsidRPr="00CC6CA3">
          <w:rPr>
            <w:rStyle w:val="Hyperlink"/>
            <w:rFonts w:cs="Times New Roman"/>
            <w:noProof/>
            <w:color w:val="auto"/>
          </w:rPr>
          <w:t>[133]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_Toc81553344 \h </w:instrText>
        </w:r>
        <w:r w:rsidR="009123D8" w:rsidRPr="00CC6CA3">
          <w:rPr>
            <w:noProof/>
            <w:webHidden/>
          </w:rPr>
        </w:r>
        <w:r w:rsidR="009123D8" w:rsidRPr="00CC6CA3">
          <w:rPr>
            <w:noProof/>
            <w:webHidden/>
          </w:rPr>
          <w:fldChar w:fldCharType="separate"/>
        </w:r>
        <w:r w:rsidR="001906D9" w:rsidRPr="00CC6CA3">
          <w:rPr>
            <w:noProof/>
            <w:webHidden/>
          </w:rPr>
          <w:t>56</w:t>
        </w:r>
        <w:r w:rsidR="009123D8" w:rsidRPr="00CC6CA3">
          <w:rPr>
            <w:noProof/>
            <w:webHidden/>
          </w:rPr>
          <w:fldChar w:fldCharType="end"/>
        </w:r>
      </w:hyperlink>
    </w:p>
    <w:p w14:paraId="50434D9B" w14:textId="246993FA" w:rsidR="009123D8" w:rsidRPr="00CC6CA3" w:rsidRDefault="00D62691">
      <w:pPr>
        <w:pStyle w:val="TableofFigures"/>
        <w:tabs>
          <w:tab w:val="right" w:leader="dot" w:pos="8755"/>
        </w:tabs>
        <w:rPr>
          <w:rFonts w:cstheme="minorBidi"/>
          <w:b w:val="0"/>
          <w:bCs w:val="0"/>
          <w:noProof/>
          <w:sz w:val="22"/>
          <w:szCs w:val="22"/>
        </w:rPr>
      </w:pPr>
      <w:hyperlink w:anchor="_Toc81553345" w:history="1">
        <w:r w:rsidR="009123D8" w:rsidRPr="00CC6CA3">
          <w:rPr>
            <w:rStyle w:val="Hyperlink"/>
            <w:noProof/>
            <w:color w:val="auto"/>
          </w:rPr>
          <w:t>Figure 3.3 Shaft speed of a pump before pre-processing, (a) raw data, (b) histogram of the raw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_Toc81553345 \h </w:instrText>
        </w:r>
        <w:r w:rsidR="009123D8" w:rsidRPr="00CC6CA3">
          <w:rPr>
            <w:noProof/>
            <w:webHidden/>
          </w:rPr>
        </w:r>
        <w:r w:rsidR="009123D8" w:rsidRPr="00CC6CA3">
          <w:rPr>
            <w:noProof/>
            <w:webHidden/>
          </w:rPr>
          <w:fldChar w:fldCharType="separate"/>
        </w:r>
        <w:r w:rsidR="001906D9" w:rsidRPr="00CC6CA3">
          <w:rPr>
            <w:noProof/>
            <w:webHidden/>
          </w:rPr>
          <w:t>58</w:t>
        </w:r>
        <w:r w:rsidR="009123D8" w:rsidRPr="00CC6CA3">
          <w:rPr>
            <w:noProof/>
            <w:webHidden/>
          </w:rPr>
          <w:fldChar w:fldCharType="end"/>
        </w:r>
      </w:hyperlink>
    </w:p>
    <w:p w14:paraId="41051444" w14:textId="268844CC" w:rsidR="009123D8" w:rsidRPr="00CC6CA3" w:rsidRDefault="00D62691">
      <w:pPr>
        <w:pStyle w:val="TableofFigures"/>
        <w:tabs>
          <w:tab w:val="right" w:leader="dot" w:pos="8755"/>
        </w:tabs>
        <w:rPr>
          <w:rFonts w:cstheme="minorBidi"/>
          <w:b w:val="0"/>
          <w:bCs w:val="0"/>
          <w:noProof/>
          <w:sz w:val="22"/>
          <w:szCs w:val="22"/>
        </w:rPr>
      </w:pPr>
      <w:hyperlink w:anchor="_Toc81553346" w:history="1">
        <w:r w:rsidR="009123D8" w:rsidRPr="00CC6CA3">
          <w:rPr>
            <w:rStyle w:val="Hyperlink"/>
            <w:noProof/>
            <w:color w:val="auto"/>
          </w:rPr>
          <w:t>Figure 3.4 Discharge pressure of a pump before pre-processing, (a) raw data, (b) histogram of the raw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_Toc81553346 \h </w:instrText>
        </w:r>
        <w:r w:rsidR="009123D8" w:rsidRPr="00CC6CA3">
          <w:rPr>
            <w:noProof/>
            <w:webHidden/>
          </w:rPr>
        </w:r>
        <w:r w:rsidR="009123D8" w:rsidRPr="00CC6CA3">
          <w:rPr>
            <w:noProof/>
            <w:webHidden/>
          </w:rPr>
          <w:fldChar w:fldCharType="separate"/>
        </w:r>
        <w:r w:rsidR="001906D9" w:rsidRPr="00CC6CA3">
          <w:rPr>
            <w:noProof/>
            <w:webHidden/>
          </w:rPr>
          <w:t>58</w:t>
        </w:r>
        <w:r w:rsidR="009123D8" w:rsidRPr="00CC6CA3">
          <w:rPr>
            <w:noProof/>
            <w:webHidden/>
          </w:rPr>
          <w:fldChar w:fldCharType="end"/>
        </w:r>
      </w:hyperlink>
    </w:p>
    <w:p w14:paraId="7AE75030" w14:textId="0024EBD2" w:rsidR="009123D8" w:rsidRPr="00CC6CA3" w:rsidRDefault="00D62691">
      <w:pPr>
        <w:pStyle w:val="TableofFigures"/>
        <w:tabs>
          <w:tab w:val="right" w:leader="dot" w:pos="8755"/>
        </w:tabs>
        <w:rPr>
          <w:rFonts w:cstheme="minorBidi"/>
          <w:b w:val="0"/>
          <w:bCs w:val="0"/>
          <w:noProof/>
          <w:sz w:val="22"/>
          <w:szCs w:val="22"/>
        </w:rPr>
      </w:pPr>
      <w:hyperlink w:anchor="_Toc81553347" w:history="1">
        <w:r w:rsidR="009123D8" w:rsidRPr="00CC6CA3">
          <w:rPr>
            <w:rStyle w:val="Hyperlink"/>
            <w:noProof/>
            <w:color w:val="auto"/>
          </w:rPr>
          <w:t>Figure 3.5 Discharge temperature of a pump before pre-processing, (a) raw data, (b) histogram of the raw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_Toc81553347 \h </w:instrText>
        </w:r>
        <w:r w:rsidR="009123D8" w:rsidRPr="00CC6CA3">
          <w:rPr>
            <w:noProof/>
            <w:webHidden/>
          </w:rPr>
        </w:r>
        <w:r w:rsidR="009123D8" w:rsidRPr="00CC6CA3">
          <w:rPr>
            <w:noProof/>
            <w:webHidden/>
          </w:rPr>
          <w:fldChar w:fldCharType="separate"/>
        </w:r>
        <w:r w:rsidR="001906D9" w:rsidRPr="00CC6CA3">
          <w:rPr>
            <w:noProof/>
            <w:webHidden/>
          </w:rPr>
          <w:t>58</w:t>
        </w:r>
        <w:r w:rsidR="009123D8" w:rsidRPr="00CC6CA3">
          <w:rPr>
            <w:noProof/>
            <w:webHidden/>
          </w:rPr>
          <w:fldChar w:fldCharType="end"/>
        </w:r>
      </w:hyperlink>
    </w:p>
    <w:p w14:paraId="16FC3953" w14:textId="3C8EED51" w:rsidR="009123D8" w:rsidRPr="00CC6CA3" w:rsidRDefault="00D62691">
      <w:pPr>
        <w:pStyle w:val="TableofFigures"/>
        <w:tabs>
          <w:tab w:val="right" w:leader="dot" w:pos="8755"/>
        </w:tabs>
        <w:rPr>
          <w:rFonts w:cstheme="minorBidi"/>
          <w:b w:val="0"/>
          <w:bCs w:val="0"/>
          <w:noProof/>
          <w:sz w:val="22"/>
          <w:szCs w:val="22"/>
        </w:rPr>
      </w:pPr>
      <w:hyperlink w:anchor="_Toc81553348" w:history="1">
        <w:r w:rsidR="009123D8" w:rsidRPr="00CC6CA3">
          <w:rPr>
            <w:rStyle w:val="Hyperlink"/>
            <w:noProof/>
            <w:color w:val="auto"/>
          </w:rPr>
          <w:t>Figure 3.6 Correlation between actual flow and shaft speed before data pre-processing</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_Toc81553348 \h </w:instrText>
        </w:r>
        <w:r w:rsidR="009123D8" w:rsidRPr="00CC6CA3">
          <w:rPr>
            <w:noProof/>
            <w:webHidden/>
          </w:rPr>
        </w:r>
        <w:r w:rsidR="009123D8" w:rsidRPr="00CC6CA3">
          <w:rPr>
            <w:noProof/>
            <w:webHidden/>
          </w:rPr>
          <w:fldChar w:fldCharType="separate"/>
        </w:r>
        <w:r w:rsidR="001906D9" w:rsidRPr="00CC6CA3">
          <w:rPr>
            <w:noProof/>
            <w:webHidden/>
          </w:rPr>
          <w:t>59</w:t>
        </w:r>
        <w:r w:rsidR="009123D8" w:rsidRPr="00CC6CA3">
          <w:rPr>
            <w:noProof/>
            <w:webHidden/>
          </w:rPr>
          <w:fldChar w:fldCharType="end"/>
        </w:r>
      </w:hyperlink>
    </w:p>
    <w:p w14:paraId="652FF09A" w14:textId="0B717152" w:rsidR="009123D8" w:rsidRPr="00CC6CA3" w:rsidRDefault="00D62691">
      <w:pPr>
        <w:pStyle w:val="TableofFigures"/>
        <w:tabs>
          <w:tab w:val="right" w:leader="dot" w:pos="8755"/>
        </w:tabs>
        <w:rPr>
          <w:rFonts w:cstheme="minorBidi"/>
          <w:b w:val="0"/>
          <w:bCs w:val="0"/>
          <w:noProof/>
          <w:sz w:val="22"/>
          <w:szCs w:val="22"/>
        </w:rPr>
      </w:pPr>
      <w:hyperlink w:anchor="_Toc81553349" w:history="1">
        <w:r w:rsidR="009123D8" w:rsidRPr="00CC6CA3">
          <w:rPr>
            <w:rStyle w:val="Hyperlink"/>
            <w:noProof/>
            <w:color w:val="auto"/>
          </w:rPr>
          <w:t>Figure 3.7 Correlation between overall vibration X1 and Y1 of bearing 1 before data pre-processing</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_Toc81553349 \h </w:instrText>
        </w:r>
        <w:r w:rsidR="009123D8" w:rsidRPr="00CC6CA3">
          <w:rPr>
            <w:noProof/>
            <w:webHidden/>
          </w:rPr>
        </w:r>
        <w:r w:rsidR="009123D8" w:rsidRPr="00CC6CA3">
          <w:rPr>
            <w:noProof/>
            <w:webHidden/>
          </w:rPr>
          <w:fldChar w:fldCharType="separate"/>
        </w:r>
        <w:r w:rsidR="001906D9" w:rsidRPr="00CC6CA3">
          <w:rPr>
            <w:noProof/>
            <w:webHidden/>
          </w:rPr>
          <w:t>59</w:t>
        </w:r>
        <w:r w:rsidR="009123D8" w:rsidRPr="00CC6CA3">
          <w:rPr>
            <w:noProof/>
            <w:webHidden/>
          </w:rPr>
          <w:fldChar w:fldCharType="end"/>
        </w:r>
      </w:hyperlink>
    </w:p>
    <w:p w14:paraId="7B2E40C6" w14:textId="3490C05E" w:rsidR="009123D8" w:rsidRPr="00CC6CA3" w:rsidRDefault="00D62691">
      <w:pPr>
        <w:pStyle w:val="TableofFigures"/>
        <w:tabs>
          <w:tab w:val="right" w:leader="dot" w:pos="8755"/>
        </w:tabs>
        <w:rPr>
          <w:rFonts w:cstheme="minorBidi"/>
          <w:b w:val="0"/>
          <w:bCs w:val="0"/>
          <w:noProof/>
          <w:sz w:val="22"/>
          <w:szCs w:val="22"/>
        </w:rPr>
      </w:pPr>
      <w:hyperlink w:anchor="_Toc81553350" w:history="1">
        <w:r w:rsidR="009123D8" w:rsidRPr="00CC6CA3">
          <w:rPr>
            <w:rStyle w:val="Hyperlink"/>
            <w:noProof/>
            <w:color w:val="auto"/>
          </w:rPr>
          <w:t>Figure 3.8 Missing data in each measurement of the pump (a) missing data in each measurement (b) number of missing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_Toc81553350 \h </w:instrText>
        </w:r>
        <w:r w:rsidR="009123D8" w:rsidRPr="00CC6CA3">
          <w:rPr>
            <w:noProof/>
            <w:webHidden/>
          </w:rPr>
        </w:r>
        <w:r w:rsidR="009123D8" w:rsidRPr="00CC6CA3">
          <w:rPr>
            <w:noProof/>
            <w:webHidden/>
          </w:rPr>
          <w:fldChar w:fldCharType="separate"/>
        </w:r>
        <w:r w:rsidR="001906D9" w:rsidRPr="00CC6CA3">
          <w:rPr>
            <w:noProof/>
            <w:webHidden/>
          </w:rPr>
          <w:t>60</w:t>
        </w:r>
        <w:r w:rsidR="009123D8" w:rsidRPr="00CC6CA3">
          <w:rPr>
            <w:noProof/>
            <w:webHidden/>
          </w:rPr>
          <w:fldChar w:fldCharType="end"/>
        </w:r>
      </w:hyperlink>
    </w:p>
    <w:p w14:paraId="3877DD4C" w14:textId="54E54537" w:rsidR="009123D8" w:rsidRPr="00CC6CA3" w:rsidRDefault="00D62691">
      <w:pPr>
        <w:pStyle w:val="TableofFigures"/>
        <w:tabs>
          <w:tab w:val="right" w:leader="dot" w:pos="8755"/>
        </w:tabs>
        <w:rPr>
          <w:rFonts w:cstheme="minorBidi"/>
          <w:b w:val="0"/>
          <w:bCs w:val="0"/>
          <w:noProof/>
          <w:sz w:val="22"/>
          <w:szCs w:val="22"/>
        </w:rPr>
      </w:pPr>
      <w:hyperlink w:anchor="_Toc81553351" w:history="1">
        <w:r w:rsidR="009123D8" w:rsidRPr="00CC6CA3">
          <w:rPr>
            <w:rStyle w:val="Hyperlink"/>
            <w:noProof/>
            <w:color w:val="auto"/>
          </w:rPr>
          <w:t>Figure 3.9 Patterns of outliers and downtime data in original pump dataset (a) pa</w:t>
        </w:r>
        <w:r w:rsidR="009123D8" w:rsidRPr="00CC6CA3">
          <w:rPr>
            <w:rStyle w:val="Hyperlink"/>
            <w:rFonts w:cs="Times New Roman"/>
            <w:noProof/>
            <w:color w:val="auto"/>
          </w:rPr>
          <w:t>ttern of outliers in shaft speed during Feb 2015 (b)</w:t>
        </w:r>
        <w:r w:rsidR="009123D8" w:rsidRPr="00CC6CA3">
          <w:rPr>
            <w:rStyle w:val="Hyperlink"/>
            <w:noProof/>
            <w:color w:val="auto"/>
          </w:rPr>
          <w:t xml:space="preserve"> pa</w:t>
        </w:r>
        <w:r w:rsidR="009123D8" w:rsidRPr="00CC6CA3">
          <w:rPr>
            <w:rStyle w:val="Hyperlink"/>
            <w:rFonts w:cs="Times New Roman"/>
            <w:noProof/>
            <w:color w:val="auto"/>
          </w:rPr>
          <w:t xml:space="preserve">ttern of </w:t>
        </w:r>
        <w:r w:rsidR="009123D8" w:rsidRPr="00CC6CA3">
          <w:rPr>
            <w:rStyle w:val="Hyperlink"/>
            <w:noProof/>
            <w:color w:val="auto"/>
          </w:rPr>
          <w:t xml:space="preserve">downtimes </w:t>
        </w:r>
        <w:r w:rsidR="009123D8" w:rsidRPr="00CC6CA3">
          <w:rPr>
            <w:rStyle w:val="Hyperlink"/>
            <w:rFonts w:cs="Times New Roman"/>
            <w:noProof/>
            <w:color w:val="auto"/>
          </w:rPr>
          <w:t>in the measured flow of the pump during Dec 2015</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_Toc81553351 \h </w:instrText>
        </w:r>
        <w:r w:rsidR="009123D8" w:rsidRPr="00CC6CA3">
          <w:rPr>
            <w:noProof/>
            <w:webHidden/>
          </w:rPr>
        </w:r>
        <w:r w:rsidR="009123D8" w:rsidRPr="00CC6CA3">
          <w:rPr>
            <w:noProof/>
            <w:webHidden/>
          </w:rPr>
          <w:fldChar w:fldCharType="separate"/>
        </w:r>
        <w:r w:rsidR="001906D9" w:rsidRPr="00CC6CA3">
          <w:rPr>
            <w:noProof/>
            <w:webHidden/>
          </w:rPr>
          <w:t>61</w:t>
        </w:r>
        <w:r w:rsidR="009123D8" w:rsidRPr="00CC6CA3">
          <w:rPr>
            <w:noProof/>
            <w:webHidden/>
          </w:rPr>
          <w:fldChar w:fldCharType="end"/>
        </w:r>
      </w:hyperlink>
    </w:p>
    <w:p w14:paraId="69717FB4" w14:textId="78FA800E" w:rsidR="009123D8" w:rsidRPr="00CC6CA3" w:rsidRDefault="00D62691">
      <w:pPr>
        <w:pStyle w:val="TableofFigures"/>
        <w:tabs>
          <w:tab w:val="right" w:leader="dot" w:pos="8755"/>
        </w:tabs>
        <w:rPr>
          <w:rFonts w:cstheme="minorBidi"/>
          <w:b w:val="0"/>
          <w:bCs w:val="0"/>
          <w:noProof/>
          <w:sz w:val="22"/>
          <w:szCs w:val="22"/>
        </w:rPr>
      </w:pPr>
      <w:hyperlink w:anchor="_Toc81553352" w:history="1">
        <w:r w:rsidR="009123D8" w:rsidRPr="00CC6CA3">
          <w:rPr>
            <w:rStyle w:val="Hyperlink"/>
            <w:noProof/>
            <w:color w:val="auto"/>
          </w:rPr>
          <w:t>Figure 3.10 Shaft speed of a pump, (a) pre-processed raw data, (b) histogram of the pre-processed raw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_Toc81553352 \h </w:instrText>
        </w:r>
        <w:r w:rsidR="009123D8" w:rsidRPr="00CC6CA3">
          <w:rPr>
            <w:noProof/>
            <w:webHidden/>
          </w:rPr>
        </w:r>
        <w:r w:rsidR="009123D8" w:rsidRPr="00CC6CA3">
          <w:rPr>
            <w:noProof/>
            <w:webHidden/>
          </w:rPr>
          <w:fldChar w:fldCharType="separate"/>
        </w:r>
        <w:r w:rsidR="001906D9" w:rsidRPr="00CC6CA3">
          <w:rPr>
            <w:noProof/>
            <w:webHidden/>
          </w:rPr>
          <w:t>62</w:t>
        </w:r>
        <w:r w:rsidR="009123D8" w:rsidRPr="00CC6CA3">
          <w:rPr>
            <w:noProof/>
            <w:webHidden/>
          </w:rPr>
          <w:fldChar w:fldCharType="end"/>
        </w:r>
      </w:hyperlink>
    </w:p>
    <w:p w14:paraId="423D0717" w14:textId="18BDD18C" w:rsidR="009123D8" w:rsidRPr="00CC6CA3" w:rsidRDefault="00D62691">
      <w:pPr>
        <w:pStyle w:val="TableofFigures"/>
        <w:tabs>
          <w:tab w:val="right" w:leader="dot" w:pos="8755"/>
        </w:tabs>
        <w:rPr>
          <w:rFonts w:cstheme="minorBidi"/>
          <w:b w:val="0"/>
          <w:bCs w:val="0"/>
          <w:noProof/>
          <w:sz w:val="22"/>
          <w:szCs w:val="22"/>
        </w:rPr>
      </w:pPr>
      <w:hyperlink w:anchor="_Toc81553353" w:history="1">
        <w:r w:rsidR="009123D8" w:rsidRPr="00CC6CA3">
          <w:rPr>
            <w:rStyle w:val="Hyperlink"/>
            <w:noProof/>
            <w:color w:val="auto"/>
          </w:rPr>
          <w:t>Figure 3.11 Discharge pressure of a pump, (a) pre-processed raw data, (b) histogram of the pre-processed raw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_Toc81553353 \h </w:instrText>
        </w:r>
        <w:r w:rsidR="009123D8" w:rsidRPr="00CC6CA3">
          <w:rPr>
            <w:noProof/>
            <w:webHidden/>
          </w:rPr>
        </w:r>
        <w:r w:rsidR="009123D8" w:rsidRPr="00CC6CA3">
          <w:rPr>
            <w:noProof/>
            <w:webHidden/>
          </w:rPr>
          <w:fldChar w:fldCharType="separate"/>
        </w:r>
        <w:r w:rsidR="001906D9" w:rsidRPr="00CC6CA3">
          <w:rPr>
            <w:noProof/>
            <w:webHidden/>
          </w:rPr>
          <w:t>63</w:t>
        </w:r>
        <w:r w:rsidR="009123D8" w:rsidRPr="00CC6CA3">
          <w:rPr>
            <w:noProof/>
            <w:webHidden/>
          </w:rPr>
          <w:fldChar w:fldCharType="end"/>
        </w:r>
      </w:hyperlink>
    </w:p>
    <w:p w14:paraId="3A45CA02" w14:textId="799934B5" w:rsidR="009123D8" w:rsidRPr="00CC6CA3" w:rsidRDefault="00D62691">
      <w:pPr>
        <w:pStyle w:val="TableofFigures"/>
        <w:tabs>
          <w:tab w:val="right" w:leader="dot" w:pos="8755"/>
        </w:tabs>
        <w:rPr>
          <w:rFonts w:cstheme="minorBidi"/>
          <w:b w:val="0"/>
          <w:bCs w:val="0"/>
          <w:noProof/>
          <w:sz w:val="22"/>
          <w:szCs w:val="22"/>
        </w:rPr>
      </w:pPr>
      <w:hyperlink w:anchor="_Toc81553354" w:history="1">
        <w:r w:rsidR="009123D8" w:rsidRPr="00CC6CA3">
          <w:rPr>
            <w:rStyle w:val="Hyperlink"/>
            <w:noProof/>
            <w:color w:val="auto"/>
          </w:rPr>
          <w:t>Figure 3.12 Correlation between actual flow and shaft speed after data pre-processing</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_Toc81553354 \h </w:instrText>
        </w:r>
        <w:r w:rsidR="009123D8" w:rsidRPr="00CC6CA3">
          <w:rPr>
            <w:noProof/>
            <w:webHidden/>
          </w:rPr>
        </w:r>
        <w:r w:rsidR="009123D8" w:rsidRPr="00CC6CA3">
          <w:rPr>
            <w:noProof/>
            <w:webHidden/>
          </w:rPr>
          <w:fldChar w:fldCharType="separate"/>
        </w:r>
        <w:r w:rsidR="001906D9" w:rsidRPr="00CC6CA3">
          <w:rPr>
            <w:noProof/>
            <w:webHidden/>
          </w:rPr>
          <w:t>63</w:t>
        </w:r>
        <w:r w:rsidR="009123D8" w:rsidRPr="00CC6CA3">
          <w:rPr>
            <w:noProof/>
            <w:webHidden/>
          </w:rPr>
          <w:fldChar w:fldCharType="end"/>
        </w:r>
      </w:hyperlink>
    </w:p>
    <w:p w14:paraId="22638199" w14:textId="4CC7CE70" w:rsidR="009123D8" w:rsidRPr="00CC6CA3" w:rsidRDefault="00D62691">
      <w:pPr>
        <w:pStyle w:val="TableofFigures"/>
        <w:tabs>
          <w:tab w:val="right" w:leader="dot" w:pos="8755"/>
        </w:tabs>
        <w:rPr>
          <w:rFonts w:cstheme="minorBidi"/>
          <w:b w:val="0"/>
          <w:bCs w:val="0"/>
          <w:noProof/>
          <w:sz w:val="22"/>
          <w:szCs w:val="22"/>
        </w:rPr>
      </w:pPr>
      <w:hyperlink w:anchor="_Toc81553355" w:history="1">
        <w:r w:rsidR="009123D8" w:rsidRPr="00CC6CA3">
          <w:rPr>
            <w:rStyle w:val="Hyperlink"/>
            <w:noProof/>
            <w:color w:val="auto"/>
          </w:rPr>
          <w:t>Figure 3.13 Correlation between overall vibration X1 and Y1 of bearing 1 after data pre-processing</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_Toc81553355 \h </w:instrText>
        </w:r>
        <w:r w:rsidR="009123D8" w:rsidRPr="00CC6CA3">
          <w:rPr>
            <w:noProof/>
            <w:webHidden/>
          </w:rPr>
        </w:r>
        <w:r w:rsidR="009123D8" w:rsidRPr="00CC6CA3">
          <w:rPr>
            <w:noProof/>
            <w:webHidden/>
          </w:rPr>
          <w:fldChar w:fldCharType="separate"/>
        </w:r>
        <w:r w:rsidR="001906D9" w:rsidRPr="00CC6CA3">
          <w:rPr>
            <w:noProof/>
            <w:webHidden/>
          </w:rPr>
          <w:t>64</w:t>
        </w:r>
        <w:r w:rsidR="009123D8" w:rsidRPr="00CC6CA3">
          <w:rPr>
            <w:noProof/>
            <w:webHidden/>
          </w:rPr>
          <w:fldChar w:fldCharType="end"/>
        </w:r>
      </w:hyperlink>
    </w:p>
    <w:p w14:paraId="5E6FA060" w14:textId="5BB92441" w:rsidR="009123D8" w:rsidRPr="00CC6CA3" w:rsidRDefault="00D62691">
      <w:pPr>
        <w:pStyle w:val="TableofFigures"/>
        <w:tabs>
          <w:tab w:val="right" w:leader="dot" w:pos="8755"/>
        </w:tabs>
        <w:rPr>
          <w:rFonts w:cstheme="minorBidi"/>
          <w:b w:val="0"/>
          <w:bCs w:val="0"/>
          <w:noProof/>
          <w:sz w:val="22"/>
          <w:szCs w:val="22"/>
        </w:rPr>
      </w:pPr>
      <w:hyperlink w:anchor="_Toc81553356" w:history="1">
        <w:r w:rsidR="009123D8" w:rsidRPr="00CC6CA3">
          <w:rPr>
            <w:rStyle w:val="Hyperlink"/>
            <w:noProof/>
            <w:color w:val="auto"/>
          </w:rPr>
          <w:t>Figure 3.14 Sensor fault in discharge temperature in the pump data set, (a) historical data, (b) histogram.</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_Toc81553356 \h </w:instrText>
        </w:r>
        <w:r w:rsidR="009123D8" w:rsidRPr="00CC6CA3">
          <w:rPr>
            <w:noProof/>
            <w:webHidden/>
          </w:rPr>
        </w:r>
        <w:r w:rsidR="009123D8" w:rsidRPr="00CC6CA3">
          <w:rPr>
            <w:noProof/>
            <w:webHidden/>
          </w:rPr>
          <w:fldChar w:fldCharType="separate"/>
        </w:r>
        <w:r w:rsidR="001906D9" w:rsidRPr="00CC6CA3">
          <w:rPr>
            <w:noProof/>
            <w:webHidden/>
          </w:rPr>
          <w:t>65</w:t>
        </w:r>
        <w:r w:rsidR="009123D8" w:rsidRPr="00CC6CA3">
          <w:rPr>
            <w:noProof/>
            <w:webHidden/>
          </w:rPr>
          <w:fldChar w:fldCharType="end"/>
        </w:r>
      </w:hyperlink>
    </w:p>
    <w:p w14:paraId="7B685BE3" w14:textId="5CD3B121" w:rsidR="009123D8" w:rsidRPr="00CC6CA3" w:rsidRDefault="00D62691">
      <w:pPr>
        <w:pStyle w:val="TableofFigures"/>
        <w:tabs>
          <w:tab w:val="right" w:leader="dot" w:pos="8755"/>
        </w:tabs>
        <w:rPr>
          <w:rFonts w:cstheme="minorBidi"/>
          <w:b w:val="0"/>
          <w:bCs w:val="0"/>
          <w:noProof/>
          <w:sz w:val="22"/>
          <w:szCs w:val="22"/>
        </w:rPr>
      </w:pPr>
      <w:hyperlink w:anchor="_Toc81553357" w:history="1">
        <w:r w:rsidR="009123D8" w:rsidRPr="00CC6CA3">
          <w:rPr>
            <w:rStyle w:val="Hyperlink"/>
            <w:noProof/>
            <w:color w:val="auto"/>
          </w:rPr>
          <w:t>Figure 3.15 The increase in the pump bearings' temperature due to misalignment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_Toc81553357 \h </w:instrText>
        </w:r>
        <w:r w:rsidR="009123D8" w:rsidRPr="00CC6CA3">
          <w:rPr>
            <w:noProof/>
            <w:webHidden/>
          </w:rPr>
        </w:r>
        <w:r w:rsidR="009123D8" w:rsidRPr="00CC6CA3">
          <w:rPr>
            <w:noProof/>
            <w:webHidden/>
          </w:rPr>
          <w:fldChar w:fldCharType="separate"/>
        </w:r>
        <w:r w:rsidR="001906D9" w:rsidRPr="00CC6CA3">
          <w:rPr>
            <w:noProof/>
            <w:webHidden/>
          </w:rPr>
          <w:t>66</w:t>
        </w:r>
        <w:r w:rsidR="009123D8" w:rsidRPr="00CC6CA3">
          <w:rPr>
            <w:noProof/>
            <w:webHidden/>
          </w:rPr>
          <w:fldChar w:fldCharType="end"/>
        </w:r>
      </w:hyperlink>
    </w:p>
    <w:p w14:paraId="6D9A0B93" w14:textId="530F4780" w:rsidR="009123D8" w:rsidRPr="00CC6CA3" w:rsidRDefault="00D62691">
      <w:pPr>
        <w:pStyle w:val="TableofFigures"/>
        <w:tabs>
          <w:tab w:val="right" w:leader="dot" w:pos="8755"/>
        </w:tabs>
        <w:rPr>
          <w:rFonts w:cstheme="minorBidi"/>
          <w:b w:val="0"/>
          <w:bCs w:val="0"/>
          <w:noProof/>
          <w:sz w:val="22"/>
          <w:szCs w:val="22"/>
        </w:rPr>
      </w:pPr>
      <w:hyperlink w:anchor="_Toc81553358" w:history="1">
        <w:r w:rsidR="009123D8" w:rsidRPr="00CC6CA3">
          <w:rPr>
            <w:rStyle w:val="Hyperlink"/>
            <w:noProof/>
            <w:color w:val="auto"/>
          </w:rPr>
          <w:t>Figure 3.16 The pump's measurements from 12th Jul to 23rd Aug 2016. (a) The increase in the pump bearings' temperature due to misalignment. (b) The increase in the pump bearings' vibration amplitude due to a bearing fault.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_Toc81553358 \h </w:instrText>
        </w:r>
        <w:r w:rsidR="009123D8" w:rsidRPr="00CC6CA3">
          <w:rPr>
            <w:noProof/>
            <w:webHidden/>
          </w:rPr>
        </w:r>
        <w:r w:rsidR="009123D8" w:rsidRPr="00CC6CA3">
          <w:rPr>
            <w:noProof/>
            <w:webHidden/>
          </w:rPr>
          <w:fldChar w:fldCharType="separate"/>
        </w:r>
        <w:r w:rsidR="001906D9" w:rsidRPr="00CC6CA3">
          <w:rPr>
            <w:noProof/>
            <w:webHidden/>
          </w:rPr>
          <w:t>67</w:t>
        </w:r>
        <w:r w:rsidR="009123D8" w:rsidRPr="00CC6CA3">
          <w:rPr>
            <w:noProof/>
            <w:webHidden/>
          </w:rPr>
          <w:fldChar w:fldCharType="end"/>
        </w:r>
      </w:hyperlink>
    </w:p>
    <w:p w14:paraId="49BAE6D6" w14:textId="30DD452E" w:rsidR="009123D8" w:rsidRPr="00CC6CA3" w:rsidRDefault="00D62691">
      <w:pPr>
        <w:pStyle w:val="TableofFigures"/>
        <w:tabs>
          <w:tab w:val="right" w:leader="dot" w:pos="8755"/>
        </w:tabs>
        <w:rPr>
          <w:rFonts w:cstheme="minorBidi"/>
          <w:b w:val="0"/>
          <w:bCs w:val="0"/>
          <w:noProof/>
          <w:sz w:val="22"/>
          <w:szCs w:val="22"/>
        </w:rPr>
      </w:pPr>
      <w:hyperlink w:anchor="_Toc81553359" w:history="1">
        <w:r w:rsidR="009123D8" w:rsidRPr="00CC6CA3">
          <w:rPr>
            <w:rStyle w:val="Hyperlink"/>
            <w:noProof/>
            <w:color w:val="auto"/>
          </w:rPr>
          <w:t>Figure 3.17 Outliers in the compressor data set before data pre-processing, (a) raw data of discharge pressure of stage 1, (b) histogram of discharge pressure, (c) raw data of discharge temperature of stage 1, (d) histogram of discharge temperature.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_Toc81553359 \h </w:instrText>
        </w:r>
        <w:r w:rsidR="009123D8" w:rsidRPr="00CC6CA3">
          <w:rPr>
            <w:noProof/>
            <w:webHidden/>
          </w:rPr>
        </w:r>
        <w:r w:rsidR="009123D8" w:rsidRPr="00CC6CA3">
          <w:rPr>
            <w:noProof/>
            <w:webHidden/>
          </w:rPr>
          <w:fldChar w:fldCharType="separate"/>
        </w:r>
        <w:r w:rsidR="001906D9" w:rsidRPr="00CC6CA3">
          <w:rPr>
            <w:noProof/>
            <w:webHidden/>
          </w:rPr>
          <w:t>68</w:t>
        </w:r>
        <w:r w:rsidR="009123D8" w:rsidRPr="00CC6CA3">
          <w:rPr>
            <w:noProof/>
            <w:webHidden/>
          </w:rPr>
          <w:fldChar w:fldCharType="end"/>
        </w:r>
      </w:hyperlink>
    </w:p>
    <w:p w14:paraId="223670E4" w14:textId="1322D1ED" w:rsidR="009123D8" w:rsidRPr="00CC6CA3" w:rsidRDefault="00D62691">
      <w:pPr>
        <w:pStyle w:val="TableofFigures"/>
        <w:tabs>
          <w:tab w:val="right" w:leader="dot" w:pos="8755"/>
        </w:tabs>
        <w:rPr>
          <w:rFonts w:cstheme="minorBidi"/>
          <w:b w:val="0"/>
          <w:bCs w:val="0"/>
          <w:noProof/>
          <w:sz w:val="22"/>
          <w:szCs w:val="22"/>
        </w:rPr>
      </w:pPr>
      <w:hyperlink w:anchor="_Toc81553360" w:history="1">
        <w:r w:rsidR="009123D8" w:rsidRPr="00CC6CA3">
          <w:rPr>
            <w:rStyle w:val="Hyperlink"/>
            <w:noProof/>
            <w:color w:val="auto"/>
          </w:rPr>
          <w:t>Figure 3.18 Missing data in each measurement of the compressor (a) missing data in each measurement (b) number of missing data</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_Toc81553360 \h </w:instrText>
        </w:r>
        <w:r w:rsidR="009123D8" w:rsidRPr="00CC6CA3">
          <w:rPr>
            <w:noProof/>
            <w:webHidden/>
          </w:rPr>
        </w:r>
        <w:r w:rsidR="009123D8" w:rsidRPr="00CC6CA3">
          <w:rPr>
            <w:noProof/>
            <w:webHidden/>
          </w:rPr>
          <w:fldChar w:fldCharType="separate"/>
        </w:r>
        <w:r w:rsidR="001906D9" w:rsidRPr="00CC6CA3">
          <w:rPr>
            <w:noProof/>
            <w:webHidden/>
          </w:rPr>
          <w:t>69</w:t>
        </w:r>
        <w:r w:rsidR="009123D8" w:rsidRPr="00CC6CA3">
          <w:rPr>
            <w:noProof/>
            <w:webHidden/>
          </w:rPr>
          <w:fldChar w:fldCharType="end"/>
        </w:r>
      </w:hyperlink>
    </w:p>
    <w:p w14:paraId="1D95A9CE" w14:textId="4D544E7F" w:rsidR="009123D8" w:rsidRPr="00CC6CA3" w:rsidRDefault="00D62691">
      <w:pPr>
        <w:pStyle w:val="TableofFigures"/>
        <w:tabs>
          <w:tab w:val="right" w:leader="dot" w:pos="8755"/>
        </w:tabs>
        <w:rPr>
          <w:rFonts w:cstheme="minorBidi"/>
          <w:b w:val="0"/>
          <w:bCs w:val="0"/>
          <w:noProof/>
          <w:sz w:val="22"/>
          <w:szCs w:val="22"/>
        </w:rPr>
      </w:pPr>
      <w:hyperlink w:anchor="_Toc81553361" w:history="1">
        <w:r w:rsidR="009123D8" w:rsidRPr="00CC6CA3">
          <w:rPr>
            <w:rStyle w:val="Hyperlink"/>
            <w:noProof/>
            <w:color w:val="auto"/>
          </w:rPr>
          <w:t>Figure 3.19 Compressor data (a) pre-processed raw data of discharge pressure of stage 1, (b) histogram of discharge pressure, (c) pre-processed raw data of discharge temperature of stage 1, (d) histogram of discharge temperature.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_Toc81553361 \h </w:instrText>
        </w:r>
        <w:r w:rsidR="009123D8" w:rsidRPr="00CC6CA3">
          <w:rPr>
            <w:noProof/>
            <w:webHidden/>
          </w:rPr>
        </w:r>
        <w:r w:rsidR="009123D8" w:rsidRPr="00CC6CA3">
          <w:rPr>
            <w:noProof/>
            <w:webHidden/>
          </w:rPr>
          <w:fldChar w:fldCharType="separate"/>
        </w:r>
        <w:r w:rsidR="001906D9" w:rsidRPr="00CC6CA3">
          <w:rPr>
            <w:noProof/>
            <w:webHidden/>
          </w:rPr>
          <w:t>70</w:t>
        </w:r>
        <w:r w:rsidR="009123D8" w:rsidRPr="00CC6CA3">
          <w:rPr>
            <w:noProof/>
            <w:webHidden/>
          </w:rPr>
          <w:fldChar w:fldCharType="end"/>
        </w:r>
      </w:hyperlink>
    </w:p>
    <w:p w14:paraId="11A0088C" w14:textId="58EE583D" w:rsidR="009123D8" w:rsidRPr="00CC6CA3" w:rsidRDefault="00D62691">
      <w:pPr>
        <w:pStyle w:val="TableofFigures"/>
        <w:tabs>
          <w:tab w:val="right" w:leader="dot" w:pos="8755"/>
        </w:tabs>
        <w:rPr>
          <w:rFonts w:cstheme="minorBidi"/>
          <w:b w:val="0"/>
          <w:bCs w:val="0"/>
          <w:noProof/>
          <w:sz w:val="22"/>
          <w:szCs w:val="22"/>
        </w:rPr>
      </w:pPr>
      <w:hyperlink w:anchor="_Toc81553362" w:history="1">
        <w:r w:rsidR="009123D8" w:rsidRPr="00CC6CA3">
          <w:rPr>
            <w:rStyle w:val="Hyperlink"/>
            <w:noProof/>
            <w:color w:val="auto"/>
          </w:rPr>
          <w:t>Figure 3.20 Flow measurement equipment fault, (a) the discharge pressure of the compressor; and (b) flow measurement of the compressor system.</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_Toc81553362 \h </w:instrText>
        </w:r>
        <w:r w:rsidR="009123D8" w:rsidRPr="00CC6CA3">
          <w:rPr>
            <w:noProof/>
            <w:webHidden/>
          </w:rPr>
        </w:r>
        <w:r w:rsidR="009123D8" w:rsidRPr="00CC6CA3">
          <w:rPr>
            <w:noProof/>
            <w:webHidden/>
          </w:rPr>
          <w:fldChar w:fldCharType="separate"/>
        </w:r>
        <w:r w:rsidR="001906D9" w:rsidRPr="00CC6CA3">
          <w:rPr>
            <w:noProof/>
            <w:webHidden/>
          </w:rPr>
          <w:t>71</w:t>
        </w:r>
        <w:r w:rsidR="009123D8" w:rsidRPr="00CC6CA3">
          <w:rPr>
            <w:noProof/>
            <w:webHidden/>
          </w:rPr>
          <w:fldChar w:fldCharType="end"/>
        </w:r>
      </w:hyperlink>
    </w:p>
    <w:p w14:paraId="4374ABFD" w14:textId="2B8AE520" w:rsidR="009123D8" w:rsidRPr="00CC6CA3" w:rsidRDefault="00D62691">
      <w:pPr>
        <w:pStyle w:val="TableofFigures"/>
        <w:tabs>
          <w:tab w:val="right" w:leader="dot" w:pos="8755"/>
        </w:tabs>
        <w:rPr>
          <w:rFonts w:cstheme="minorBidi"/>
          <w:b w:val="0"/>
          <w:bCs w:val="0"/>
          <w:noProof/>
          <w:sz w:val="22"/>
          <w:szCs w:val="22"/>
        </w:rPr>
      </w:pPr>
      <w:hyperlink w:anchor="_Toc81553363" w:history="1">
        <w:r w:rsidR="009123D8" w:rsidRPr="00CC6CA3">
          <w:rPr>
            <w:rStyle w:val="Hyperlink"/>
            <w:noProof/>
            <w:color w:val="auto"/>
          </w:rPr>
          <w:t xml:space="preserve">Figure 3.21 Temperature measurement equipment  fault, </w:t>
        </w:r>
        <w:r w:rsidR="009123D8" w:rsidRPr="00CC6CA3">
          <w:rPr>
            <w:rStyle w:val="Hyperlink"/>
            <w:rFonts w:eastAsia="Times New Roman"/>
            <w:noProof/>
            <w:color w:val="auto"/>
            <w:kern w:val="2"/>
          </w:rPr>
          <w:t>(a) suction pressure of the compressor system; and (b) suction and discharge temperature of the compressor system</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_Toc81553363 \h </w:instrText>
        </w:r>
        <w:r w:rsidR="009123D8" w:rsidRPr="00CC6CA3">
          <w:rPr>
            <w:noProof/>
            <w:webHidden/>
          </w:rPr>
        </w:r>
        <w:r w:rsidR="009123D8" w:rsidRPr="00CC6CA3">
          <w:rPr>
            <w:noProof/>
            <w:webHidden/>
          </w:rPr>
          <w:fldChar w:fldCharType="separate"/>
        </w:r>
        <w:r w:rsidR="001906D9" w:rsidRPr="00CC6CA3">
          <w:rPr>
            <w:noProof/>
            <w:webHidden/>
          </w:rPr>
          <w:t>72</w:t>
        </w:r>
        <w:r w:rsidR="009123D8" w:rsidRPr="00CC6CA3">
          <w:rPr>
            <w:noProof/>
            <w:webHidden/>
          </w:rPr>
          <w:fldChar w:fldCharType="end"/>
        </w:r>
      </w:hyperlink>
    </w:p>
    <w:p w14:paraId="6DF6ED89" w14:textId="231C1C50" w:rsidR="009123D8" w:rsidRPr="00CC6CA3" w:rsidRDefault="00D62691">
      <w:pPr>
        <w:pStyle w:val="TableofFigures"/>
        <w:tabs>
          <w:tab w:val="right" w:leader="dot" w:pos="8755"/>
        </w:tabs>
        <w:rPr>
          <w:rFonts w:cstheme="minorBidi"/>
          <w:b w:val="0"/>
          <w:bCs w:val="0"/>
          <w:noProof/>
          <w:sz w:val="22"/>
          <w:szCs w:val="22"/>
        </w:rPr>
      </w:pPr>
      <w:hyperlink w:anchor="_Toc81553364" w:history="1">
        <w:r w:rsidR="009123D8" w:rsidRPr="00CC6CA3">
          <w:rPr>
            <w:rStyle w:val="Hyperlink"/>
            <w:noProof/>
            <w:color w:val="auto"/>
          </w:rPr>
          <w:t>Figure 3.22 Bearings faults in a compressor shown in bearings measurements, (a) Overall vibration X and Y of the DE radial bearings at stage 1-2 and stage 3 of the compressor, (b) Overall vibration Y of the NDE radial bearings at stage 3 of the compressor.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_Toc81553364 \h </w:instrText>
        </w:r>
        <w:r w:rsidR="009123D8" w:rsidRPr="00CC6CA3">
          <w:rPr>
            <w:noProof/>
            <w:webHidden/>
          </w:rPr>
        </w:r>
        <w:r w:rsidR="009123D8" w:rsidRPr="00CC6CA3">
          <w:rPr>
            <w:noProof/>
            <w:webHidden/>
          </w:rPr>
          <w:fldChar w:fldCharType="separate"/>
        </w:r>
        <w:r w:rsidR="001906D9" w:rsidRPr="00CC6CA3">
          <w:rPr>
            <w:noProof/>
            <w:webHidden/>
          </w:rPr>
          <w:t>73</w:t>
        </w:r>
        <w:r w:rsidR="009123D8" w:rsidRPr="00CC6CA3">
          <w:rPr>
            <w:noProof/>
            <w:webHidden/>
          </w:rPr>
          <w:fldChar w:fldCharType="end"/>
        </w:r>
      </w:hyperlink>
    </w:p>
    <w:p w14:paraId="35039ECD" w14:textId="5572AF39" w:rsidR="009123D8" w:rsidRPr="00CC6CA3" w:rsidRDefault="00D62691">
      <w:pPr>
        <w:pStyle w:val="TableofFigures"/>
        <w:tabs>
          <w:tab w:val="right" w:leader="dot" w:pos="8755"/>
        </w:tabs>
        <w:rPr>
          <w:rFonts w:cstheme="minorBidi"/>
          <w:b w:val="0"/>
          <w:bCs w:val="0"/>
          <w:noProof/>
          <w:sz w:val="22"/>
          <w:szCs w:val="22"/>
        </w:rPr>
      </w:pPr>
      <w:hyperlink w:anchor="_Toc81553365" w:history="1">
        <w:r w:rsidR="009123D8" w:rsidRPr="00CC6CA3">
          <w:rPr>
            <w:rStyle w:val="Hyperlink"/>
            <w:noProof/>
            <w:color w:val="auto"/>
          </w:rPr>
          <w:t>Figure 4.1 Structure of NARX neural network</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_Toc81553365 \h </w:instrText>
        </w:r>
        <w:r w:rsidR="009123D8" w:rsidRPr="00CC6CA3">
          <w:rPr>
            <w:noProof/>
            <w:webHidden/>
          </w:rPr>
        </w:r>
        <w:r w:rsidR="009123D8" w:rsidRPr="00CC6CA3">
          <w:rPr>
            <w:noProof/>
            <w:webHidden/>
          </w:rPr>
          <w:fldChar w:fldCharType="separate"/>
        </w:r>
        <w:r w:rsidR="001906D9" w:rsidRPr="00CC6CA3">
          <w:rPr>
            <w:noProof/>
            <w:webHidden/>
          </w:rPr>
          <w:t>76</w:t>
        </w:r>
        <w:r w:rsidR="009123D8" w:rsidRPr="00CC6CA3">
          <w:rPr>
            <w:noProof/>
            <w:webHidden/>
          </w:rPr>
          <w:fldChar w:fldCharType="end"/>
        </w:r>
      </w:hyperlink>
    </w:p>
    <w:p w14:paraId="66EFE607" w14:textId="736A971B" w:rsidR="009123D8" w:rsidRPr="00CC6CA3" w:rsidRDefault="00D62691">
      <w:pPr>
        <w:pStyle w:val="TableofFigures"/>
        <w:tabs>
          <w:tab w:val="right" w:leader="dot" w:pos="8755"/>
        </w:tabs>
        <w:rPr>
          <w:rFonts w:cstheme="minorBidi"/>
          <w:b w:val="0"/>
          <w:bCs w:val="0"/>
          <w:noProof/>
          <w:sz w:val="22"/>
          <w:szCs w:val="22"/>
        </w:rPr>
      </w:pPr>
      <w:hyperlink w:anchor="_Toc81553366" w:history="1">
        <w:r w:rsidR="009123D8" w:rsidRPr="00CC6CA3">
          <w:rPr>
            <w:rStyle w:val="Hyperlink"/>
            <w:noProof/>
            <w:color w:val="auto"/>
          </w:rPr>
          <w:t>Figure 4.2 Sparse autoencoder structure.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_Toc81553366 \h </w:instrText>
        </w:r>
        <w:r w:rsidR="009123D8" w:rsidRPr="00CC6CA3">
          <w:rPr>
            <w:noProof/>
            <w:webHidden/>
          </w:rPr>
        </w:r>
        <w:r w:rsidR="009123D8" w:rsidRPr="00CC6CA3">
          <w:rPr>
            <w:noProof/>
            <w:webHidden/>
          </w:rPr>
          <w:fldChar w:fldCharType="separate"/>
        </w:r>
        <w:r w:rsidR="001906D9" w:rsidRPr="00CC6CA3">
          <w:rPr>
            <w:noProof/>
            <w:webHidden/>
          </w:rPr>
          <w:t>78</w:t>
        </w:r>
        <w:r w:rsidR="009123D8" w:rsidRPr="00CC6CA3">
          <w:rPr>
            <w:noProof/>
            <w:webHidden/>
          </w:rPr>
          <w:fldChar w:fldCharType="end"/>
        </w:r>
      </w:hyperlink>
    </w:p>
    <w:p w14:paraId="1C58864B" w14:textId="6D6F3B15" w:rsidR="009123D8" w:rsidRPr="00CC6CA3" w:rsidRDefault="00D62691">
      <w:pPr>
        <w:pStyle w:val="TableofFigures"/>
        <w:tabs>
          <w:tab w:val="right" w:leader="dot" w:pos="8755"/>
        </w:tabs>
        <w:rPr>
          <w:rFonts w:cstheme="minorBidi"/>
          <w:b w:val="0"/>
          <w:bCs w:val="0"/>
          <w:noProof/>
          <w:sz w:val="22"/>
          <w:szCs w:val="22"/>
        </w:rPr>
      </w:pPr>
      <w:hyperlink w:anchor="_Toc81553367" w:history="1">
        <w:r w:rsidR="009123D8" w:rsidRPr="00CC6CA3">
          <w:rPr>
            <w:rStyle w:val="Hyperlink"/>
            <w:noProof/>
            <w:color w:val="auto"/>
          </w:rPr>
          <w:t xml:space="preserve">Figure 4.3 Fault Detection Rate as a function of False Alarm Rate showing </w:t>
        </w:r>
        <w:r w:rsidR="009123D8" w:rsidRPr="00CC6CA3">
          <w:rPr>
            <w:rStyle w:val="Hyperlink"/>
            <w:noProof/>
            <w:snapToGrid w:val="0"/>
            <w:color w:val="auto"/>
          </w:rPr>
          <w:t>Receiver Operating Characteristic</w:t>
        </w:r>
        <w:r w:rsidR="009123D8" w:rsidRPr="00CC6CA3">
          <w:rPr>
            <w:rStyle w:val="Hyperlink"/>
            <w:noProof/>
            <w:color w:val="auto"/>
          </w:rPr>
          <w:t xml:space="preserve"> curve and Area Under the ROC curve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_Toc81553367 \h </w:instrText>
        </w:r>
        <w:r w:rsidR="009123D8" w:rsidRPr="00CC6CA3">
          <w:rPr>
            <w:noProof/>
            <w:webHidden/>
          </w:rPr>
        </w:r>
        <w:r w:rsidR="009123D8" w:rsidRPr="00CC6CA3">
          <w:rPr>
            <w:noProof/>
            <w:webHidden/>
          </w:rPr>
          <w:fldChar w:fldCharType="separate"/>
        </w:r>
        <w:r w:rsidR="001906D9" w:rsidRPr="00CC6CA3">
          <w:rPr>
            <w:noProof/>
            <w:webHidden/>
          </w:rPr>
          <w:t>81</w:t>
        </w:r>
        <w:r w:rsidR="009123D8" w:rsidRPr="00CC6CA3">
          <w:rPr>
            <w:noProof/>
            <w:webHidden/>
          </w:rPr>
          <w:fldChar w:fldCharType="end"/>
        </w:r>
      </w:hyperlink>
    </w:p>
    <w:p w14:paraId="0B24A65E" w14:textId="654722E1" w:rsidR="009123D8" w:rsidRPr="00CC6CA3" w:rsidRDefault="00D62691">
      <w:pPr>
        <w:pStyle w:val="TableofFigures"/>
        <w:tabs>
          <w:tab w:val="right" w:leader="dot" w:pos="8755"/>
        </w:tabs>
        <w:rPr>
          <w:rFonts w:cstheme="minorBidi"/>
          <w:b w:val="0"/>
          <w:bCs w:val="0"/>
          <w:noProof/>
          <w:sz w:val="22"/>
          <w:szCs w:val="22"/>
        </w:rPr>
      </w:pPr>
      <w:hyperlink w:anchor="_Toc81553368" w:history="1">
        <w:r w:rsidR="009123D8" w:rsidRPr="00CC6CA3">
          <w:rPr>
            <w:rStyle w:val="Hyperlink"/>
            <w:noProof/>
            <w:color w:val="auto"/>
          </w:rPr>
          <w:t>Figure 4.4 Model 1: NARX based fault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_Toc81553368 \h </w:instrText>
        </w:r>
        <w:r w:rsidR="009123D8" w:rsidRPr="00CC6CA3">
          <w:rPr>
            <w:noProof/>
            <w:webHidden/>
          </w:rPr>
        </w:r>
        <w:r w:rsidR="009123D8" w:rsidRPr="00CC6CA3">
          <w:rPr>
            <w:noProof/>
            <w:webHidden/>
          </w:rPr>
          <w:fldChar w:fldCharType="separate"/>
        </w:r>
        <w:r w:rsidR="001906D9" w:rsidRPr="00CC6CA3">
          <w:rPr>
            <w:noProof/>
            <w:webHidden/>
          </w:rPr>
          <w:t>82</w:t>
        </w:r>
        <w:r w:rsidR="009123D8" w:rsidRPr="00CC6CA3">
          <w:rPr>
            <w:noProof/>
            <w:webHidden/>
          </w:rPr>
          <w:fldChar w:fldCharType="end"/>
        </w:r>
      </w:hyperlink>
    </w:p>
    <w:p w14:paraId="180F23B1" w14:textId="4FD44CE8" w:rsidR="009123D8" w:rsidRPr="00CC6CA3" w:rsidRDefault="00D62691">
      <w:pPr>
        <w:pStyle w:val="TableofFigures"/>
        <w:tabs>
          <w:tab w:val="right" w:leader="dot" w:pos="8755"/>
        </w:tabs>
        <w:rPr>
          <w:rFonts w:cstheme="minorBidi"/>
          <w:b w:val="0"/>
          <w:bCs w:val="0"/>
          <w:noProof/>
          <w:sz w:val="22"/>
          <w:szCs w:val="22"/>
        </w:rPr>
      </w:pPr>
      <w:hyperlink w:anchor="_Toc81553369" w:history="1">
        <w:r w:rsidR="009123D8" w:rsidRPr="00CC6CA3">
          <w:rPr>
            <w:rStyle w:val="Hyperlink"/>
            <w:noProof/>
            <w:color w:val="auto"/>
          </w:rPr>
          <w:t>Figure 4.5 The MD calculated in the training and monitoring phases by the NARX model for Case 1,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_Toc81553369 \h </w:instrText>
        </w:r>
        <w:r w:rsidR="009123D8" w:rsidRPr="00CC6CA3">
          <w:rPr>
            <w:noProof/>
            <w:webHidden/>
          </w:rPr>
        </w:r>
        <w:r w:rsidR="009123D8" w:rsidRPr="00CC6CA3">
          <w:rPr>
            <w:noProof/>
            <w:webHidden/>
          </w:rPr>
          <w:fldChar w:fldCharType="separate"/>
        </w:r>
        <w:r w:rsidR="001906D9" w:rsidRPr="00CC6CA3">
          <w:rPr>
            <w:noProof/>
            <w:webHidden/>
          </w:rPr>
          <w:t>84</w:t>
        </w:r>
        <w:r w:rsidR="009123D8" w:rsidRPr="00CC6CA3">
          <w:rPr>
            <w:noProof/>
            <w:webHidden/>
          </w:rPr>
          <w:fldChar w:fldCharType="end"/>
        </w:r>
      </w:hyperlink>
    </w:p>
    <w:p w14:paraId="17D8F1FA" w14:textId="29BD5306" w:rsidR="009123D8" w:rsidRPr="00CC6CA3" w:rsidRDefault="00D62691">
      <w:pPr>
        <w:pStyle w:val="TableofFigures"/>
        <w:tabs>
          <w:tab w:val="right" w:leader="dot" w:pos="8755"/>
        </w:tabs>
        <w:rPr>
          <w:rFonts w:cstheme="minorBidi"/>
          <w:b w:val="0"/>
          <w:bCs w:val="0"/>
          <w:noProof/>
          <w:sz w:val="22"/>
          <w:szCs w:val="22"/>
        </w:rPr>
      </w:pPr>
      <w:hyperlink w:anchor="_Toc81553370" w:history="1">
        <w:r w:rsidR="009123D8" w:rsidRPr="00CC6CA3">
          <w:rPr>
            <w:rStyle w:val="Hyperlink"/>
            <w:noProof/>
            <w:color w:val="auto"/>
          </w:rPr>
          <w:t>Figure 4.6 2D contribution map of NARX model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_Toc81553370 \h </w:instrText>
        </w:r>
        <w:r w:rsidR="009123D8" w:rsidRPr="00CC6CA3">
          <w:rPr>
            <w:noProof/>
            <w:webHidden/>
          </w:rPr>
        </w:r>
        <w:r w:rsidR="009123D8" w:rsidRPr="00CC6CA3">
          <w:rPr>
            <w:noProof/>
            <w:webHidden/>
          </w:rPr>
          <w:fldChar w:fldCharType="separate"/>
        </w:r>
        <w:r w:rsidR="001906D9" w:rsidRPr="00CC6CA3">
          <w:rPr>
            <w:noProof/>
            <w:webHidden/>
          </w:rPr>
          <w:t>85</w:t>
        </w:r>
        <w:r w:rsidR="009123D8" w:rsidRPr="00CC6CA3">
          <w:rPr>
            <w:noProof/>
            <w:webHidden/>
          </w:rPr>
          <w:fldChar w:fldCharType="end"/>
        </w:r>
      </w:hyperlink>
    </w:p>
    <w:p w14:paraId="78C7D1E4" w14:textId="6ED62663" w:rsidR="009123D8" w:rsidRPr="00CC6CA3" w:rsidRDefault="00D62691">
      <w:pPr>
        <w:pStyle w:val="TableofFigures"/>
        <w:tabs>
          <w:tab w:val="right" w:leader="dot" w:pos="8755"/>
        </w:tabs>
        <w:rPr>
          <w:rFonts w:cstheme="minorBidi"/>
          <w:b w:val="0"/>
          <w:bCs w:val="0"/>
          <w:noProof/>
          <w:sz w:val="22"/>
          <w:szCs w:val="22"/>
        </w:rPr>
      </w:pPr>
      <w:hyperlink w:anchor="_Toc81553371" w:history="1">
        <w:r w:rsidR="009123D8" w:rsidRPr="00CC6CA3">
          <w:rPr>
            <w:rStyle w:val="Hyperlink"/>
            <w:noProof/>
            <w:color w:val="auto"/>
          </w:rPr>
          <w:t>Figure 4.7 ROC curves and AUC values of NARX model for Case 1, (a) ROC curves for NARX model with different numbers of NARX nodes, (b) AUC values for NARX model with different numbers of NARX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_Toc81553371 \h </w:instrText>
        </w:r>
        <w:r w:rsidR="009123D8" w:rsidRPr="00CC6CA3">
          <w:rPr>
            <w:noProof/>
            <w:webHidden/>
          </w:rPr>
        </w:r>
        <w:r w:rsidR="009123D8" w:rsidRPr="00CC6CA3">
          <w:rPr>
            <w:noProof/>
            <w:webHidden/>
          </w:rPr>
          <w:fldChar w:fldCharType="separate"/>
        </w:r>
        <w:r w:rsidR="001906D9" w:rsidRPr="00CC6CA3">
          <w:rPr>
            <w:noProof/>
            <w:webHidden/>
          </w:rPr>
          <w:t>86</w:t>
        </w:r>
        <w:r w:rsidR="009123D8" w:rsidRPr="00CC6CA3">
          <w:rPr>
            <w:noProof/>
            <w:webHidden/>
          </w:rPr>
          <w:fldChar w:fldCharType="end"/>
        </w:r>
      </w:hyperlink>
    </w:p>
    <w:p w14:paraId="24CC225F" w14:textId="0EF52514" w:rsidR="009123D8" w:rsidRPr="00CC6CA3" w:rsidRDefault="00D62691">
      <w:pPr>
        <w:pStyle w:val="TableofFigures"/>
        <w:tabs>
          <w:tab w:val="right" w:leader="dot" w:pos="8755"/>
        </w:tabs>
        <w:rPr>
          <w:rFonts w:cstheme="minorBidi"/>
          <w:b w:val="0"/>
          <w:bCs w:val="0"/>
          <w:noProof/>
          <w:sz w:val="22"/>
          <w:szCs w:val="22"/>
        </w:rPr>
      </w:pPr>
      <w:hyperlink w:anchor="_Toc81553372" w:history="1">
        <w:r w:rsidR="009123D8" w:rsidRPr="00CC6CA3">
          <w:rPr>
            <w:rStyle w:val="Hyperlink"/>
            <w:noProof/>
            <w:color w:val="auto"/>
          </w:rPr>
          <w:t>Figure 4.8 ROC curves and AUC values of NARX model for Case 1, (a) ROC curves for NARX model with different delay time, (b) AUC values for NARX model with different delay time (unit: hour).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_Toc81553372 \h </w:instrText>
        </w:r>
        <w:r w:rsidR="009123D8" w:rsidRPr="00CC6CA3">
          <w:rPr>
            <w:noProof/>
            <w:webHidden/>
          </w:rPr>
        </w:r>
        <w:r w:rsidR="009123D8" w:rsidRPr="00CC6CA3">
          <w:rPr>
            <w:noProof/>
            <w:webHidden/>
          </w:rPr>
          <w:fldChar w:fldCharType="separate"/>
        </w:r>
        <w:r w:rsidR="001906D9" w:rsidRPr="00CC6CA3">
          <w:rPr>
            <w:noProof/>
            <w:webHidden/>
          </w:rPr>
          <w:t>86</w:t>
        </w:r>
        <w:r w:rsidR="009123D8" w:rsidRPr="00CC6CA3">
          <w:rPr>
            <w:noProof/>
            <w:webHidden/>
          </w:rPr>
          <w:fldChar w:fldCharType="end"/>
        </w:r>
      </w:hyperlink>
    </w:p>
    <w:p w14:paraId="464F6ACE" w14:textId="1D473CD7" w:rsidR="009123D8" w:rsidRPr="00CC6CA3" w:rsidRDefault="00D62691">
      <w:pPr>
        <w:pStyle w:val="TableofFigures"/>
        <w:tabs>
          <w:tab w:val="right" w:leader="dot" w:pos="8755"/>
        </w:tabs>
        <w:rPr>
          <w:rFonts w:cstheme="minorBidi"/>
          <w:b w:val="0"/>
          <w:bCs w:val="0"/>
          <w:noProof/>
          <w:sz w:val="22"/>
          <w:szCs w:val="22"/>
        </w:rPr>
      </w:pPr>
      <w:hyperlink w:anchor="_Toc81553373" w:history="1">
        <w:r w:rsidR="009123D8" w:rsidRPr="00CC6CA3">
          <w:rPr>
            <w:rStyle w:val="Hyperlink"/>
            <w:noProof/>
            <w:color w:val="auto"/>
          </w:rPr>
          <w:t>Figure 4.9 AUC values for the NARX model with different numbers of nodes and delay time for case 1,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_Toc81553373 \h </w:instrText>
        </w:r>
        <w:r w:rsidR="009123D8" w:rsidRPr="00CC6CA3">
          <w:rPr>
            <w:noProof/>
            <w:webHidden/>
          </w:rPr>
        </w:r>
        <w:r w:rsidR="009123D8" w:rsidRPr="00CC6CA3">
          <w:rPr>
            <w:noProof/>
            <w:webHidden/>
          </w:rPr>
          <w:fldChar w:fldCharType="separate"/>
        </w:r>
        <w:r w:rsidR="001906D9" w:rsidRPr="00CC6CA3">
          <w:rPr>
            <w:noProof/>
            <w:webHidden/>
          </w:rPr>
          <w:t>87</w:t>
        </w:r>
        <w:r w:rsidR="009123D8" w:rsidRPr="00CC6CA3">
          <w:rPr>
            <w:noProof/>
            <w:webHidden/>
          </w:rPr>
          <w:fldChar w:fldCharType="end"/>
        </w:r>
      </w:hyperlink>
    </w:p>
    <w:p w14:paraId="6FC147EF" w14:textId="7FB887F7" w:rsidR="009123D8" w:rsidRPr="00CC6CA3" w:rsidRDefault="00D62691">
      <w:pPr>
        <w:pStyle w:val="TableofFigures"/>
        <w:tabs>
          <w:tab w:val="right" w:leader="dot" w:pos="8755"/>
        </w:tabs>
        <w:rPr>
          <w:rFonts w:cstheme="minorBidi"/>
          <w:b w:val="0"/>
          <w:bCs w:val="0"/>
          <w:noProof/>
          <w:sz w:val="22"/>
          <w:szCs w:val="22"/>
        </w:rPr>
      </w:pPr>
      <w:hyperlink w:anchor="_Toc81553374" w:history="1">
        <w:r w:rsidR="009123D8" w:rsidRPr="00CC6CA3">
          <w:rPr>
            <w:rStyle w:val="Hyperlink"/>
            <w:noProof/>
            <w:color w:val="auto"/>
          </w:rPr>
          <w:t>Figure 4.10 The MD calculated in the training and monitoring phases of the NARX model for Case 2, (a) The MD calculated in the offline training phase, (b) The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_Toc81553374 \h </w:instrText>
        </w:r>
        <w:r w:rsidR="009123D8" w:rsidRPr="00CC6CA3">
          <w:rPr>
            <w:noProof/>
            <w:webHidden/>
          </w:rPr>
        </w:r>
        <w:r w:rsidR="009123D8" w:rsidRPr="00CC6CA3">
          <w:rPr>
            <w:noProof/>
            <w:webHidden/>
          </w:rPr>
          <w:fldChar w:fldCharType="separate"/>
        </w:r>
        <w:r w:rsidR="001906D9" w:rsidRPr="00CC6CA3">
          <w:rPr>
            <w:noProof/>
            <w:webHidden/>
          </w:rPr>
          <w:t>88</w:t>
        </w:r>
        <w:r w:rsidR="009123D8" w:rsidRPr="00CC6CA3">
          <w:rPr>
            <w:noProof/>
            <w:webHidden/>
          </w:rPr>
          <w:fldChar w:fldCharType="end"/>
        </w:r>
      </w:hyperlink>
    </w:p>
    <w:p w14:paraId="64F199A0" w14:textId="27716085" w:rsidR="009123D8" w:rsidRPr="00CC6CA3" w:rsidRDefault="00D62691">
      <w:pPr>
        <w:pStyle w:val="TableofFigures"/>
        <w:tabs>
          <w:tab w:val="right" w:leader="dot" w:pos="8755"/>
        </w:tabs>
        <w:rPr>
          <w:rFonts w:cstheme="minorBidi"/>
          <w:b w:val="0"/>
          <w:bCs w:val="0"/>
          <w:noProof/>
          <w:sz w:val="22"/>
          <w:szCs w:val="22"/>
        </w:rPr>
      </w:pPr>
      <w:hyperlink w:anchor="_Toc81553375" w:history="1">
        <w:r w:rsidR="009123D8" w:rsidRPr="00CC6CA3">
          <w:rPr>
            <w:rStyle w:val="Hyperlink"/>
            <w:noProof/>
            <w:color w:val="auto"/>
          </w:rPr>
          <w:t>Figure 4.11 2D Q statistic contribution map of NARX model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_Toc81553375 \h </w:instrText>
        </w:r>
        <w:r w:rsidR="009123D8" w:rsidRPr="00CC6CA3">
          <w:rPr>
            <w:noProof/>
            <w:webHidden/>
          </w:rPr>
        </w:r>
        <w:r w:rsidR="009123D8" w:rsidRPr="00CC6CA3">
          <w:rPr>
            <w:noProof/>
            <w:webHidden/>
          </w:rPr>
          <w:fldChar w:fldCharType="separate"/>
        </w:r>
        <w:r w:rsidR="001906D9" w:rsidRPr="00CC6CA3">
          <w:rPr>
            <w:noProof/>
            <w:webHidden/>
          </w:rPr>
          <w:t>88</w:t>
        </w:r>
        <w:r w:rsidR="009123D8" w:rsidRPr="00CC6CA3">
          <w:rPr>
            <w:noProof/>
            <w:webHidden/>
          </w:rPr>
          <w:fldChar w:fldCharType="end"/>
        </w:r>
      </w:hyperlink>
    </w:p>
    <w:p w14:paraId="239F8E6E" w14:textId="1AE6EDE0" w:rsidR="009123D8" w:rsidRPr="00CC6CA3" w:rsidRDefault="00D62691">
      <w:pPr>
        <w:pStyle w:val="TableofFigures"/>
        <w:tabs>
          <w:tab w:val="right" w:leader="dot" w:pos="8755"/>
        </w:tabs>
        <w:rPr>
          <w:rFonts w:cstheme="minorBidi"/>
          <w:b w:val="0"/>
          <w:bCs w:val="0"/>
          <w:noProof/>
          <w:sz w:val="22"/>
          <w:szCs w:val="22"/>
        </w:rPr>
      </w:pPr>
      <w:hyperlink w:anchor="_Toc81553376" w:history="1">
        <w:r w:rsidR="009123D8" w:rsidRPr="00CC6CA3">
          <w:rPr>
            <w:rStyle w:val="Hyperlink"/>
            <w:noProof/>
            <w:color w:val="auto"/>
          </w:rPr>
          <w:t>Figure 4.12 ROC curves and AUC values of NARX model for detection of misalignment in Case 2, (a) ROC curves for NARX model with different numbers of NARX nodes, (b) AUC values for NARX model with different numbers of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_Toc81553376 \h </w:instrText>
        </w:r>
        <w:r w:rsidR="009123D8" w:rsidRPr="00CC6CA3">
          <w:rPr>
            <w:noProof/>
            <w:webHidden/>
          </w:rPr>
        </w:r>
        <w:r w:rsidR="009123D8" w:rsidRPr="00CC6CA3">
          <w:rPr>
            <w:noProof/>
            <w:webHidden/>
          </w:rPr>
          <w:fldChar w:fldCharType="separate"/>
        </w:r>
        <w:r w:rsidR="001906D9" w:rsidRPr="00CC6CA3">
          <w:rPr>
            <w:noProof/>
            <w:webHidden/>
          </w:rPr>
          <w:t>89</w:t>
        </w:r>
        <w:r w:rsidR="009123D8" w:rsidRPr="00CC6CA3">
          <w:rPr>
            <w:noProof/>
            <w:webHidden/>
          </w:rPr>
          <w:fldChar w:fldCharType="end"/>
        </w:r>
      </w:hyperlink>
    </w:p>
    <w:p w14:paraId="3B27DCBD" w14:textId="4BA1C03C" w:rsidR="009123D8" w:rsidRPr="00CC6CA3" w:rsidRDefault="00D62691">
      <w:pPr>
        <w:pStyle w:val="TableofFigures"/>
        <w:tabs>
          <w:tab w:val="right" w:leader="dot" w:pos="8755"/>
        </w:tabs>
        <w:rPr>
          <w:rFonts w:cstheme="minorBidi"/>
          <w:b w:val="0"/>
          <w:bCs w:val="0"/>
          <w:noProof/>
          <w:sz w:val="22"/>
          <w:szCs w:val="22"/>
        </w:rPr>
      </w:pPr>
      <w:hyperlink w:anchor="_Toc81553377" w:history="1">
        <w:r w:rsidR="009123D8" w:rsidRPr="00CC6CA3">
          <w:rPr>
            <w:rStyle w:val="Hyperlink"/>
            <w:noProof/>
            <w:color w:val="auto"/>
          </w:rPr>
          <w:t>Figure 4.13 ROC curves and AUC values of NARX model for detection of misalignment in Case 2, (a) ROC curves for NARX model with different delay times, (b) AUC values for NARX model with three different delay times.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_Toc81553377 \h </w:instrText>
        </w:r>
        <w:r w:rsidR="009123D8" w:rsidRPr="00CC6CA3">
          <w:rPr>
            <w:noProof/>
            <w:webHidden/>
          </w:rPr>
        </w:r>
        <w:r w:rsidR="009123D8" w:rsidRPr="00CC6CA3">
          <w:rPr>
            <w:noProof/>
            <w:webHidden/>
          </w:rPr>
          <w:fldChar w:fldCharType="separate"/>
        </w:r>
        <w:r w:rsidR="001906D9" w:rsidRPr="00CC6CA3">
          <w:rPr>
            <w:noProof/>
            <w:webHidden/>
          </w:rPr>
          <w:t>90</w:t>
        </w:r>
        <w:r w:rsidR="009123D8" w:rsidRPr="00CC6CA3">
          <w:rPr>
            <w:noProof/>
            <w:webHidden/>
          </w:rPr>
          <w:fldChar w:fldCharType="end"/>
        </w:r>
      </w:hyperlink>
    </w:p>
    <w:p w14:paraId="034C2325" w14:textId="3B2E8BDD" w:rsidR="009123D8" w:rsidRPr="00CC6CA3" w:rsidRDefault="00D62691">
      <w:pPr>
        <w:pStyle w:val="TableofFigures"/>
        <w:tabs>
          <w:tab w:val="right" w:leader="dot" w:pos="8755"/>
        </w:tabs>
        <w:rPr>
          <w:rFonts w:cstheme="minorBidi"/>
          <w:b w:val="0"/>
          <w:bCs w:val="0"/>
          <w:noProof/>
          <w:sz w:val="22"/>
          <w:szCs w:val="22"/>
        </w:rPr>
      </w:pPr>
      <w:hyperlink w:anchor="_Toc81553378" w:history="1">
        <w:r w:rsidR="009123D8" w:rsidRPr="00CC6CA3">
          <w:rPr>
            <w:rStyle w:val="Hyperlink"/>
            <w:noProof/>
            <w:color w:val="auto"/>
          </w:rPr>
          <w:t>Figure 4.14 AUC values for the NARX model with different numbers of nodes and delay times for detection of the misalignment in Case 2,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_Toc81553378 \h </w:instrText>
        </w:r>
        <w:r w:rsidR="009123D8" w:rsidRPr="00CC6CA3">
          <w:rPr>
            <w:noProof/>
            <w:webHidden/>
          </w:rPr>
        </w:r>
        <w:r w:rsidR="009123D8" w:rsidRPr="00CC6CA3">
          <w:rPr>
            <w:noProof/>
            <w:webHidden/>
          </w:rPr>
          <w:fldChar w:fldCharType="separate"/>
        </w:r>
        <w:r w:rsidR="001906D9" w:rsidRPr="00CC6CA3">
          <w:rPr>
            <w:noProof/>
            <w:webHidden/>
          </w:rPr>
          <w:t>90</w:t>
        </w:r>
        <w:r w:rsidR="009123D8" w:rsidRPr="00CC6CA3">
          <w:rPr>
            <w:noProof/>
            <w:webHidden/>
          </w:rPr>
          <w:fldChar w:fldCharType="end"/>
        </w:r>
      </w:hyperlink>
    </w:p>
    <w:p w14:paraId="1AECE5CF" w14:textId="5648FD99" w:rsidR="009123D8" w:rsidRPr="00CC6CA3" w:rsidRDefault="00D62691">
      <w:pPr>
        <w:pStyle w:val="TableofFigures"/>
        <w:tabs>
          <w:tab w:val="right" w:leader="dot" w:pos="8755"/>
        </w:tabs>
        <w:rPr>
          <w:rFonts w:cstheme="minorBidi"/>
          <w:b w:val="0"/>
          <w:bCs w:val="0"/>
          <w:noProof/>
          <w:sz w:val="22"/>
          <w:szCs w:val="22"/>
        </w:rPr>
      </w:pPr>
      <w:hyperlink w:anchor="_Toc81553379" w:history="1">
        <w:r w:rsidR="009123D8" w:rsidRPr="00CC6CA3">
          <w:rPr>
            <w:rStyle w:val="Hyperlink"/>
            <w:noProof/>
            <w:color w:val="auto"/>
          </w:rPr>
          <w:t>Figure 4.15 ROC curves and AUC values of NARX model for detection of bearing fault in Case 2, (a) ROC curves for NARX model with three different numbers of NARX nodes, (b) AUC values for NARX model with three different numbers of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_Toc81553379 \h </w:instrText>
        </w:r>
        <w:r w:rsidR="009123D8" w:rsidRPr="00CC6CA3">
          <w:rPr>
            <w:noProof/>
            <w:webHidden/>
          </w:rPr>
        </w:r>
        <w:r w:rsidR="009123D8" w:rsidRPr="00CC6CA3">
          <w:rPr>
            <w:noProof/>
            <w:webHidden/>
          </w:rPr>
          <w:fldChar w:fldCharType="separate"/>
        </w:r>
        <w:r w:rsidR="001906D9" w:rsidRPr="00CC6CA3">
          <w:rPr>
            <w:noProof/>
            <w:webHidden/>
          </w:rPr>
          <w:t>91</w:t>
        </w:r>
        <w:r w:rsidR="009123D8" w:rsidRPr="00CC6CA3">
          <w:rPr>
            <w:noProof/>
            <w:webHidden/>
          </w:rPr>
          <w:fldChar w:fldCharType="end"/>
        </w:r>
      </w:hyperlink>
    </w:p>
    <w:p w14:paraId="0D3905DB" w14:textId="2DFFB6EA" w:rsidR="009123D8" w:rsidRPr="00CC6CA3" w:rsidRDefault="00D62691">
      <w:pPr>
        <w:pStyle w:val="TableofFigures"/>
        <w:tabs>
          <w:tab w:val="right" w:leader="dot" w:pos="8755"/>
        </w:tabs>
        <w:rPr>
          <w:rFonts w:cstheme="minorBidi"/>
          <w:b w:val="0"/>
          <w:bCs w:val="0"/>
          <w:noProof/>
          <w:sz w:val="22"/>
          <w:szCs w:val="22"/>
        </w:rPr>
      </w:pPr>
      <w:hyperlink w:anchor="_Toc81553380" w:history="1">
        <w:r w:rsidR="009123D8" w:rsidRPr="00CC6CA3">
          <w:rPr>
            <w:rStyle w:val="Hyperlink"/>
            <w:noProof/>
            <w:color w:val="auto"/>
          </w:rPr>
          <w:t>Figure 4.16 ROC curves and AUC values of NARX model for detection of bearing fault in Case 2, (a) ROC curves for NARX model with three different delay times, (b) AUC values curves for NARX model with three different delay times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_Toc81553380 \h </w:instrText>
        </w:r>
        <w:r w:rsidR="009123D8" w:rsidRPr="00CC6CA3">
          <w:rPr>
            <w:noProof/>
            <w:webHidden/>
          </w:rPr>
        </w:r>
        <w:r w:rsidR="009123D8" w:rsidRPr="00CC6CA3">
          <w:rPr>
            <w:noProof/>
            <w:webHidden/>
          </w:rPr>
          <w:fldChar w:fldCharType="separate"/>
        </w:r>
        <w:r w:rsidR="001906D9" w:rsidRPr="00CC6CA3">
          <w:rPr>
            <w:noProof/>
            <w:webHidden/>
          </w:rPr>
          <w:t>91</w:t>
        </w:r>
        <w:r w:rsidR="009123D8" w:rsidRPr="00CC6CA3">
          <w:rPr>
            <w:noProof/>
            <w:webHidden/>
          </w:rPr>
          <w:fldChar w:fldCharType="end"/>
        </w:r>
      </w:hyperlink>
    </w:p>
    <w:p w14:paraId="5FA249E5" w14:textId="45FD0677" w:rsidR="009123D8" w:rsidRPr="00CC6CA3" w:rsidRDefault="00D62691">
      <w:pPr>
        <w:pStyle w:val="TableofFigures"/>
        <w:tabs>
          <w:tab w:val="right" w:leader="dot" w:pos="8755"/>
        </w:tabs>
        <w:rPr>
          <w:rFonts w:cstheme="minorBidi"/>
          <w:b w:val="0"/>
          <w:bCs w:val="0"/>
          <w:noProof/>
          <w:sz w:val="22"/>
          <w:szCs w:val="22"/>
        </w:rPr>
      </w:pPr>
      <w:hyperlink w:anchor="_Toc81553381" w:history="1">
        <w:r w:rsidR="009123D8" w:rsidRPr="00CC6CA3">
          <w:rPr>
            <w:rStyle w:val="Hyperlink"/>
            <w:noProof/>
            <w:color w:val="auto"/>
          </w:rPr>
          <w:t>Figure 4.17 AUC values for the NARX model with different numbers of nodes and delay times for detection of bearing fault in Case 2,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_Toc81553381 \h </w:instrText>
        </w:r>
        <w:r w:rsidR="009123D8" w:rsidRPr="00CC6CA3">
          <w:rPr>
            <w:noProof/>
            <w:webHidden/>
          </w:rPr>
        </w:r>
        <w:r w:rsidR="009123D8" w:rsidRPr="00CC6CA3">
          <w:rPr>
            <w:noProof/>
            <w:webHidden/>
          </w:rPr>
          <w:fldChar w:fldCharType="separate"/>
        </w:r>
        <w:r w:rsidR="001906D9" w:rsidRPr="00CC6CA3">
          <w:rPr>
            <w:noProof/>
            <w:webHidden/>
          </w:rPr>
          <w:t>92</w:t>
        </w:r>
        <w:r w:rsidR="009123D8" w:rsidRPr="00CC6CA3">
          <w:rPr>
            <w:noProof/>
            <w:webHidden/>
          </w:rPr>
          <w:fldChar w:fldCharType="end"/>
        </w:r>
      </w:hyperlink>
    </w:p>
    <w:p w14:paraId="6FF9BDE4" w14:textId="3F52212F" w:rsidR="009123D8" w:rsidRPr="00CC6CA3" w:rsidRDefault="00D62691">
      <w:pPr>
        <w:pStyle w:val="TableofFigures"/>
        <w:tabs>
          <w:tab w:val="right" w:leader="dot" w:pos="8755"/>
        </w:tabs>
        <w:rPr>
          <w:rFonts w:cstheme="minorBidi"/>
          <w:b w:val="0"/>
          <w:bCs w:val="0"/>
          <w:noProof/>
          <w:sz w:val="22"/>
          <w:szCs w:val="22"/>
        </w:rPr>
      </w:pPr>
      <w:hyperlink w:anchor="_Toc81553382" w:history="1">
        <w:r w:rsidR="009123D8" w:rsidRPr="00CC6CA3">
          <w:rPr>
            <w:rStyle w:val="Hyperlink"/>
            <w:noProof/>
            <w:color w:val="auto"/>
          </w:rPr>
          <w:t>Figure 4.18 The MD calculated in the training and monitoring phases of the NARX model for Case 3,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_Toc81553382 \h </w:instrText>
        </w:r>
        <w:r w:rsidR="009123D8" w:rsidRPr="00CC6CA3">
          <w:rPr>
            <w:noProof/>
            <w:webHidden/>
          </w:rPr>
        </w:r>
        <w:r w:rsidR="009123D8" w:rsidRPr="00CC6CA3">
          <w:rPr>
            <w:noProof/>
            <w:webHidden/>
          </w:rPr>
          <w:fldChar w:fldCharType="separate"/>
        </w:r>
        <w:r w:rsidR="001906D9" w:rsidRPr="00CC6CA3">
          <w:rPr>
            <w:noProof/>
            <w:webHidden/>
          </w:rPr>
          <w:t>93</w:t>
        </w:r>
        <w:r w:rsidR="009123D8" w:rsidRPr="00CC6CA3">
          <w:rPr>
            <w:noProof/>
            <w:webHidden/>
          </w:rPr>
          <w:fldChar w:fldCharType="end"/>
        </w:r>
      </w:hyperlink>
    </w:p>
    <w:p w14:paraId="5AF6BCA7" w14:textId="5E17BFCF" w:rsidR="009123D8" w:rsidRPr="00CC6CA3" w:rsidRDefault="00D62691">
      <w:pPr>
        <w:pStyle w:val="TableofFigures"/>
        <w:tabs>
          <w:tab w:val="right" w:leader="dot" w:pos="8755"/>
        </w:tabs>
        <w:rPr>
          <w:rFonts w:cstheme="minorBidi"/>
          <w:b w:val="0"/>
          <w:bCs w:val="0"/>
          <w:noProof/>
          <w:sz w:val="22"/>
          <w:szCs w:val="22"/>
        </w:rPr>
      </w:pPr>
      <w:hyperlink w:anchor="_Toc81553383" w:history="1">
        <w:r w:rsidR="009123D8" w:rsidRPr="00CC6CA3">
          <w:rPr>
            <w:rStyle w:val="Hyperlink"/>
            <w:noProof/>
            <w:color w:val="auto"/>
          </w:rPr>
          <w:t>Figure 4.19 2D Q statistic contribution map of NARX model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_Toc81553383 \h </w:instrText>
        </w:r>
        <w:r w:rsidR="009123D8" w:rsidRPr="00CC6CA3">
          <w:rPr>
            <w:noProof/>
            <w:webHidden/>
          </w:rPr>
        </w:r>
        <w:r w:rsidR="009123D8" w:rsidRPr="00CC6CA3">
          <w:rPr>
            <w:noProof/>
            <w:webHidden/>
          </w:rPr>
          <w:fldChar w:fldCharType="separate"/>
        </w:r>
        <w:r w:rsidR="001906D9" w:rsidRPr="00CC6CA3">
          <w:rPr>
            <w:noProof/>
            <w:webHidden/>
          </w:rPr>
          <w:t>94</w:t>
        </w:r>
        <w:r w:rsidR="009123D8" w:rsidRPr="00CC6CA3">
          <w:rPr>
            <w:noProof/>
            <w:webHidden/>
          </w:rPr>
          <w:fldChar w:fldCharType="end"/>
        </w:r>
      </w:hyperlink>
    </w:p>
    <w:p w14:paraId="46B03101" w14:textId="674D24F7" w:rsidR="009123D8" w:rsidRPr="00CC6CA3" w:rsidRDefault="00D62691">
      <w:pPr>
        <w:pStyle w:val="TableofFigures"/>
        <w:tabs>
          <w:tab w:val="right" w:leader="dot" w:pos="8755"/>
        </w:tabs>
        <w:rPr>
          <w:rFonts w:cstheme="minorBidi"/>
          <w:b w:val="0"/>
          <w:bCs w:val="0"/>
          <w:noProof/>
          <w:sz w:val="22"/>
          <w:szCs w:val="22"/>
        </w:rPr>
      </w:pPr>
      <w:hyperlink w:anchor="_Toc81553384" w:history="1">
        <w:r w:rsidR="009123D8" w:rsidRPr="00CC6CA3">
          <w:rPr>
            <w:rStyle w:val="Hyperlink"/>
            <w:noProof/>
            <w:color w:val="auto"/>
          </w:rPr>
          <w:t>Figure 4.20 ROC curves and AUC value of NARX model for Case 3, (a) ROC curves for NARX model with different numbers of NARX nodes, (b) AUC values for NARX model with different numbers of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_Toc81553384 \h </w:instrText>
        </w:r>
        <w:r w:rsidR="009123D8" w:rsidRPr="00CC6CA3">
          <w:rPr>
            <w:noProof/>
            <w:webHidden/>
          </w:rPr>
        </w:r>
        <w:r w:rsidR="009123D8" w:rsidRPr="00CC6CA3">
          <w:rPr>
            <w:noProof/>
            <w:webHidden/>
          </w:rPr>
          <w:fldChar w:fldCharType="separate"/>
        </w:r>
        <w:r w:rsidR="001906D9" w:rsidRPr="00CC6CA3">
          <w:rPr>
            <w:noProof/>
            <w:webHidden/>
          </w:rPr>
          <w:t>95</w:t>
        </w:r>
        <w:r w:rsidR="009123D8" w:rsidRPr="00CC6CA3">
          <w:rPr>
            <w:noProof/>
            <w:webHidden/>
          </w:rPr>
          <w:fldChar w:fldCharType="end"/>
        </w:r>
      </w:hyperlink>
    </w:p>
    <w:p w14:paraId="7054C123" w14:textId="525DAFBB" w:rsidR="009123D8" w:rsidRPr="00CC6CA3" w:rsidRDefault="00D62691">
      <w:pPr>
        <w:pStyle w:val="TableofFigures"/>
        <w:tabs>
          <w:tab w:val="right" w:leader="dot" w:pos="8755"/>
        </w:tabs>
        <w:rPr>
          <w:rFonts w:cstheme="minorBidi"/>
          <w:b w:val="0"/>
          <w:bCs w:val="0"/>
          <w:noProof/>
          <w:sz w:val="22"/>
          <w:szCs w:val="22"/>
        </w:rPr>
      </w:pPr>
      <w:hyperlink w:anchor="_Toc81553385" w:history="1">
        <w:r w:rsidR="009123D8" w:rsidRPr="00CC6CA3">
          <w:rPr>
            <w:rStyle w:val="Hyperlink"/>
            <w:noProof/>
            <w:color w:val="auto"/>
          </w:rPr>
          <w:t>Figure 4.21 ROC curves and AUC value of NARX model for Case 3, (a) ROC curves for NARX model with different delay times, (b) AUC values for NARX model with three different delay times.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_Toc81553385 \h </w:instrText>
        </w:r>
        <w:r w:rsidR="009123D8" w:rsidRPr="00CC6CA3">
          <w:rPr>
            <w:noProof/>
            <w:webHidden/>
          </w:rPr>
        </w:r>
        <w:r w:rsidR="009123D8" w:rsidRPr="00CC6CA3">
          <w:rPr>
            <w:noProof/>
            <w:webHidden/>
          </w:rPr>
          <w:fldChar w:fldCharType="separate"/>
        </w:r>
        <w:r w:rsidR="001906D9" w:rsidRPr="00CC6CA3">
          <w:rPr>
            <w:noProof/>
            <w:webHidden/>
          </w:rPr>
          <w:t>95</w:t>
        </w:r>
        <w:r w:rsidR="009123D8" w:rsidRPr="00CC6CA3">
          <w:rPr>
            <w:noProof/>
            <w:webHidden/>
          </w:rPr>
          <w:fldChar w:fldCharType="end"/>
        </w:r>
      </w:hyperlink>
    </w:p>
    <w:p w14:paraId="7E824A61" w14:textId="71A53EAD" w:rsidR="009123D8" w:rsidRPr="00CC6CA3" w:rsidRDefault="00D62691">
      <w:pPr>
        <w:pStyle w:val="TableofFigures"/>
        <w:tabs>
          <w:tab w:val="right" w:leader="dot" w:pos="8755"/>
        </w:tabs>
        <w:rPr>
          <w:rFonts w:cstheme="minorBidi"/>
          <w:b w:val="0"/>
          <w:bCs w:val="0"/>
          <w:noProof/>
          <w:sz w:val="22"/>
          <w:szCs w:val="22"/>
        </w:rPr>
      </w:pPr>
      <w:hyperlink w:anchor="_Toc81553386" w:history="1">
        <w:r w:rsidR="009123D8" w:rsidRPr="00CC6CA3">
          <w:rPr>
            <w:rStyle w:val="Hyperlink"/>
            <w:noProof/>
            <w:color w:val="auto"/>
          </w:rPr>
          <w:t>Figure 4.22 AUC values for the NARX model with different numbers of nodes and delay times for Case 3,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_Toc81553386 \h </w:instrText>
        </w:r>
        <w:r w:rsidR="009123D8" w:rsidRPr="00CC6CA3">
          <w:rPr>
            <w:noProof/>
            <w:webHidden/>
          </w:rPr>
        </w:r>
        <w:r w:rsidR="009123D8" w:rsidRPr="00CC6CA3">
          <w:rPr>
            <w:noProof/>
            <w:webHidden/>
          </w:rPr>
          <w:fldChar w:fldCharType="separate"/>
        </w:r>
        <w:r w:rsidR="001906D9" w:rsidRPr="00CC6CA3">
          <w:rPr>
            <w:noProof/>
            <w:webHidden/>
          </w:rPr>
          <w:t>96</w:t>
        </w:r>
        <w:r w:rsidR="009123D8" w:rsidRPr="00CC6CA3">
          <w:rPr>
            <w:noProof/>
            <w:webHidden/>
          </w:rPr>
          <w:fldChar w:fldCharType="end"/>
        </w:r>
      </w:hyperlink>
    </w:p>
    <w:p w14:paraId="676C7661" w14:textId="3877A768" w:rsidR="009123D8" w:rsidRPr="00CC6CA3" w:rsidRDefault="00D62691">
      <w:pPr>
        <w:pStyle w:val="TableofFigures"/>
        <w:tabs>
          <w:tab w:val="right" w:leader="dot" w:pos="8755"/>
        </w:tabs>
        <w:rPr>
          <w:rFonts w:cstheme="minorBidi"/>
          <w:b w:val="0"/>
          <w:bCs w:val="0"/>
          <w:noProof/>
          <w:sz w:val="22"/>
          <w:szCs w:val="22"/>
        </w:rPr>
      </w:pPr>
      <w:hyperlink w:anchor="_Toc81553387" w:history="1">
        <w:r w:rsidR="009123D8" w:rsidRPr="00CC6CA3">
          <w:rPr>
            <w:rStyle w:val="Hyperlink"/>
            <w:noProof/>
            <w:color w:val="auto"/>
          </w:rPr>
          <w:t>Figure 4.23 Model 2: PCA-based fault 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_Toc81553387 \h </w:instrText>
        </w:r>
        <w:r w:rsidR="009123D8" w:rsidRPr="00CC6CA3">
          <w:rPr>
            <w:noProof/>
            <w:webHidden/>
          </w:rPr>
        </w:r>
        <w:r w:rsidR="009123D8" w:rsidRPr="00CC6CA3">
          <w:rPr>
            <w:noProof/>
            <w:webHidden/>
          </w:rPr>
          <w:fldChar w:fldCharType="separate"/>
        </w:r>
        <w:r w:rsidR="001906D9" w:rsidRPr="00CC6CA3">
          <w:rPr>
            <w:noProof/>
            <w:webHidden/>
          </w:rPr>
          <w:t>97</w:t>
        </w:r>
        <w:r w:rsidR="009123D8" w:rsidRPr="00CC6CA3">
          <w:rPr>
            <w:noProof/>
            <w:webHidden/>
          </w:rPr>
          <w:fldChar w:fldCharType="end"/>
        </w:r>
      </w:hyperlink>
    </w:p>
    <w:p w14:paraId="47064CEA" w14:textId="6E9840D1" w:rsidR="009123D8" w:rsidRPr="00CC6CA3" w:rsidRDefault="00D62691">
      <w:pPr>
        <w:pStyle w:val="TableofFigures"/>
        <w:tabs>
          <w:tab w:val="right" w:leader="dot" w:pos="8755"/>
        </w:tabs>
        <w:rPr>
          <w:rFonts w:cstheme="minorBidi"/>
          <w:b w:val="0"/>
          <w:bCs w:val="0"/>
          <w:noProof/>
          <w:sz w:val="22"/>
          <w:szCs w:val="22"/>
        </w:rPr>
      </w:pPr>
      <w:hyperlink w:anchor="_Toc81553388" w:history="1">
        <w:r w:rsidR="009123D8" w:rsidRPr="00CC6CA3">
          <w:rPr>
            <w:rStyle w:val="Hyperlink"/>
            <w:noProof/>
            <w:color w:val="auto"/>
          </w:rPr>
          <w:t>Figure 4.24 The MD calculated in the training and monitoring phases of the PCA model for Case 1,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_Toc81553388 \h </w:instrText>
        </w:r>
        <w:r w:rsidR="009123D8" w:rsidRPr="00CC6CA3">
          <w:rPr>
            <w:noProof/>
            <w:webHidden/>
          </w:rPr>
        </w:r>
        <w:r w:rsidR="009123D8" w:rsidRPr="00CC6CA3">
          <w:rPr>
            <w:noProof/>
            <w:webHidden/>
          </w:rPr>
          <w:fldChar w:fldCharType="separate"/>
        </w:r>
        <w:r w:rsidR="001906D9" w:rsidRPr="00CC6CA3">
          <w:rPr>
            <w:noProof/>
            <w:webHidden/>
          </w:rPr>
          <w:t>98</w:t>
        </w:r>
        <w:r w:rsidR="009123D8" w:rsidRPr="00CC6CA3">
          <w:rPr>
            <w:noProof/>
            <w:webHidden/>
          </w:rPr>
          <w:fldChar w:fldCharType="end"/>
        </w:r>
      </w:hyperlink>
    </w:p>
    <w:p w14:paraId="57C19981" w14:textId="0778B7E6" w:rsidR="009123D8" w:rsidRPr="00CC6CA3" w:rsidRDefault="00D62691">
      <w:pPr>
        <w:pStyle w:val="TableofFigures"/>
        <w:tabs>
          <w:tab w:val="right" w:leader="dot" w:pos="8755"/>
        </w:tabs>
        <w:rPr>
          <w:rFonts w:cstheme="minorBidi"/>
          <w:b w:val="0"/>
          <w:bCs w:val="0"/>
          <w:noProof/>
          <w:sz w:val="22"/>
          <w:szCs w:val="22"/>
        </w:rPr>
      </w:pPr>
      <w:hyperlink w:anchor="_Toc81553389" w:history="1">
        <w:r w:rsidR="009123D8" w:rsidRPr="00CC6CA3">
          <w:rPr>
            <w:rStyle w:val="Hyperlink"/>
            <w:noProof/>
            <w:color w:val="auto"/>
          </w:rPr>
          <w:t>Figure 4.25 2D contribution map of PCA model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_Toc81553389 \h </w:instrText>
        </w:r>
        <w:r w:rsidR="009123D8" w:rsidRPr="00CC6CA3">
          <w:rPr>
            <w:noProof/>
            <w:webHidden/>
          </w:rPr>
        </w:r>
        <w:r w:rsidR="009123D8" w:rsidRPr="00CC6CA3">
          <w:rPr>
            <w:noProof/>
            <w:webHidden/>
          </w:rPr>
          <w:fldChar w:fldCharType="separate"/>
        </w:r>
        <w:r w:rsidR="001906D9" w:rsidRPr="00CC6CA3">
          <w:rPr>
            <w:noProof/>
            <w:webHidden/>
          </w:rPr>
          <w:t>98</w:t>
        </w:r>
        <w:r w:rsidR="009123D8" w:rsidRPr="00CC6CA3">
          <w:rPr>
            <w:noProof/>
            <w:webHidden/>
          </w:rPr>
          <w:fldChar w:fldCharType="end"/>
        </w:r>
      </w:hyperlink>
    </w:p>
    <w:p w14:paraId="392AC44D" w14:textId="028C260A" w:rsidR="009123D8" w:rsidRPr="00CC6CA3" w:rsidRDefault="00D62691">
      <w:pPr>
        <w:pStyle w:val="TableofFigures"/>
        <w:tabs>
          <w:tab w:val="right" w:leader="dot" w:pos="8755"/>
        </w:tabs>
        <w:rPr>
          <w:rFonts w:cstheme="minorBidi"/>
          <w:b w:val="0"/>
          <w:bCs w:val="0"/>
          <w:noProof/>
          <w:sz w:val="22"/>
          <w:szCs w:val="22"/>
        </w:rPr>
      </w:pPr>
      <w:hyperlink w:anchor="_Toc81553390" w:history="1">
        <w:r w:rsidR="009123D8" w:rsidRPr="00CC6CA3">
          <w:rPr>
            <w:rStyle w:val="Hyperlink"/>
            <w:noProof/>
            <w:color w:val="auto"/>
          </w:rPr>
          <w:t>Figure 4.26 ROC curves and AUC values of PCA model for Case 1, (a) ROC curves for PCA model with different numbers of principal components, (b) AUC values for PCA model with different numbers of principal components.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_Toc81553390 \h </w:instrText>
        </w:r>
        <w:r w:rsidR="009123D8" w:rsidRPr="00CC6CA3">
          <w:rPr>
            <w:noProof/>
            <w:webHidden/>
          </w:rPr>
        </w:r>
        <w:r w:rsidR="009123D8" w:rsidRPr="00CC6CA3">
          <w:rPr>
            <w:noProof/>
            <w:webHidden/>
          </w:rPr>
          <w:fldChar w:fldCharType="separate"/>
        </w:r>
        <w:r w:rsidR="001906D9" w:rsidRPr="00CC6CA3">
          <w:rPr>
            <w:noProof/>
            <w:webHidden/>
          </w:rPr>
          <w:t>99</w:t>
        </w:r>
        <w:r w:rsidR="009123D8" w:rsidRPr="00CC6CA3">
          <w:rPr>
            <w:noProof/>
            <w:webHidden/>
          </w:rPr>
          <w:fldChar w:fldCharType="end"/>
        </w:r>
      </w:hyperlink>
    </w:p>
    <w:p w14:paraId="38B9A107" w14:textId="5A681D6D" w:rsidR="009123D8" w:rsidRPr="00CC6CA3" w:rsidRDefault="00D62691">
      <w:pPr>
        <w:pStyle w:val="TableofFigures"/>
        <w:tabs>
          <w:tab w:val="right" w:leader="dot" w:pos="8755"/>
        </w:tabs>
        <w:rPr>
          <w:rFonts w:cstheme="minorBidi"/>
          <w:b w:val="0"/>
          <w:bCs w:val="0"/>
          <w:noProof/>
          <w:sz w:val="22"/>
          <w:szCs w:val="22"/>
        </w:rPr>
      </w:pPr>
      <w:hyperlink w:anchor="_Toc81553391" w:history="1">
        <w:r w:rsidR="009123D8" w:rsidRPr="00CC6CA3">
          <w:rPr>
            <w:rStyle w:val="Hyperlink"/>
            <w:noProof/>
            <w:color w:val="auto"/>
          </w:rPr>
          <w:t>Figure 4.27 AUC curve for the PCA model with different numbers of principal components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_Toc81553391 \h </w:instrText>
        </w:r>
        <w:r w:rsidR="009123D8" w:rsidRPr="00CC6CA3">
          <w:rPr>
            <w:noProof/>
            <w:webHidden/>
          </w:rPr>
        </w:r>
        <w:r w:rsidR="009123D8" w:rsidRPr="00CC6CA3">
          <w:rPr>
            <w:noProof/>
            <w:webHidden/>
          </w:rPr>
          <w:fldChar w:fldCharType="separate"/>
        </w:r>
        <w:r w:rsidR="001906D9" w:rsidRPr="00CC6CA3">
          <w:rPr>
            <w:noProof/>
            <w:webHidden/>
          </w:rPr>
          <w:t>99</w:t>
        </w:r>
        <w:r w:rsidR="009123D8" w:rsidRPr="00CC6CA3">
          <w:rPr>
            <w:noProof/>
            <w:webHidden/>
          </w:rPr>
          <w:fldChar w:fldCharType="end"/>
        </w:r>
      </w:hyperlink>
    </w:p>
    <w:p w14:paraId="44636854" w14:textId="47BC5CA2" w:rsidR="009123D8" w:rsidRPr="00CC6CA3" w:rsidRDefault="00D62691">
      <w:pPr>
        <w:pStyle w:val="TableofFigures"/>
        <w:tabs>
          <w:tab w:val="right" w:leader="dot" w:pos="8755"/>
        </w:tabs>
        <w:rPr>
          <w:rFonts w:cstheme="minorBidi"/>
          <w:b w:val="0"/>
          <w:bCs w:val="0"/>
          <w:noProof/>
          <w:sz w:val="22"/>
          <w:szCs w:val="22"/>
        </w:rPr>
      </w:pPr>
      <w:hyperlink w:anchor="_Toc81553392" w:history="1">
        <w:r w:rsidR="009123D8" w:rsidRPr="00CC6CA3">
          <w:rPr>
            <w:rStyle w:val="Hyperlink"/>
            <w:noProof/>
            <w:color w:val="auto"/>
          </w:rPr>
          <w:t>Figure 4.28 The MD calculated in the training and monitoring phases of the PCA model for Case 2,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_Toc81553392 \h </w:instrText>
        </w:r>
        <w:r w:rsidR="009123D8" w:rsidRPr="00CC6CA3">
          <w:rPr>
            <w:noProof/>
            <w:webHidden/>
          </w:rPr>
        </w:r>
        <w:r w:rsidR="009123D8" w:rsidRPr="00CC6CA3">
          <w:rPr>
            <w:noProof/>
            <w:webHidden/>
          </w:rPr>
          <w:fldChar w:fldCharType="separate"/>
        </w:r>
        <w:r w:rsidR="001906D9" w:rsidRPr="00CC6CA3">
          <w:rPr>
            <w:noProof/>
            <w:webHidden/>
          </w:rPr>
          <w:t>100</w:t>
        </w:r>
        <w:r w:rsidR="009123D8" w:rsidRPr="00CC6CA3">
          <w:rPr>
            <w:noProof/>
            <w:webHidden/>
          </w:rPr>
          <w:fldChar w:fldCharType="end"/>
        </w:r>
      </w:hyperlink>
    </w:p>
    <w:p w14:paraId="34A62FBD" w14:textId="00DDF7DB" w:rsidR="009123D8" w:rsidRPr="00CC6CA3" w:rsidRDefault="00D62691">
      <w:pPr>
        <w:pStyle w:val="TableofFigures"/>
        <w:tabs>
          <w:tab w:val="right" w:leader="dot" w:pos="8755"/>
        </w:tabs>
        <w:rPr>
          <w:rFonts w:cstheme="minorBidi"/>
          <w:b w:val="0"/>
          <w:bCs w:val="0"/>
          <w:noProof/>
          <w:sz w:val="22"/>
          <w:szCs w:val="22"/>
        </w:rPr>
      </w:pPr>
      <w:hyperlink w:anchor="_Toc81553393" w:history="1">
        <w:r w:rsidR="009123D8" w:rsidRPr="00CC6CA3">
          <w:rPr>
            <w:rStyle w:val="Hyperlink"/>
            <w:noProof/>
            <w:color w:val="auto"/>
          </w:rPr>
          <w:t xml:space="preserve">Figure 4.29 2D contribution map of PCA model for Case </w:t>
        </w:r>
        <w:r w:rsidR="009123D8" w:rsidRPr="00CC6CA3">
          <w:rPr>
            <w:rStyle w:val="Hyperlink"/>
            <w:noProof/>
            <w:color w:val="auto"/>
            <w:lang w:val="en-US"/>
          </w:rPr>
          <w:t>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_Toc81553393 \h </w:instrText>
        </w:r>
        <w:r w:rsidR="009123D8" w:rsidRPr="00CC6CA3">
          <w:rPr>
            <w:noProof/>
            <w:webHidden/>
          </w:rPr>
        </w:r>
        <w:r w:rsidR="009123D8" w:rsidRPr="00CC6CA3">
          <w:rPr>
            <w:noProof/>
            <w:webHidden/>
          </w:rPr>
          <w:fldChar w:fldCharType="separate"/>
        </w:r>
        <w:r w:rsidR="001906D9" w:rsidRPr="00CC6CA3">
          <w:rPr>
            <w:noProof/>
            <w:webHidden/>
          </w:rPr>
          <w:t>101</w:t>
        </w:r>
        <w:r w:rsidR="009123D8" w:rsidRPr="00CC6CA3">
          <w:rPr>
            <w:noProof/>
            <w:webHidden/>
          </w:rPr>
          <w:fldChar w:fldCharType="end"/>
        </w:r>
      </w:hyperlink>
    </w:p>
    <w:p w14:paraId="66823B9A" w14:textId="142DDCFA" w:rsidR="009123D8" w:rsidRPr="00CC6CA3" w:rsidRDefault="00D62691">
      <w:pPr>
        <w:pStyle w:val="TableofFigures"/>
        <w:tabs>
          <w:tab w:val="right" w:leader="dot" w:pos="8755"/>
        </w:tabs>
        <w:rPr>
          <w:rFonts w:cstheme="minorBidi"/>
          <w:b w:val="0"/>
          <w:bCs w:val="0"/>
          <w:noProof/>
          <w:sz w:val="22"/>
          <w:szCs w:val="22"/>
        </w:rPr>
      </w:pPr>
      <w:hyperlink w:anchor="_Toc81553394" w:history="1">
        <w:r w:rsidR="009123D8" w:rsidRPr="00CC6CA3">
          <w:rPr>
            <w:rStyle w:val="Hyperlink"/>
            <w:noProof/>
            <w:color w:val="auto"/>
          </w:rPr>
          <w:t>Figure 4.30 ROC curves and AUC values for the PCA model for detection of the misalignment in Case 2, (a) ROC curves for PCA model with different numbers of principal components, (b) AUC values for PCA model with different numbers of principal components.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_Toc81553394 \h </w:instrText>
        </w:r>
        <w:r w:rsidR="009123D8" w:rsidRPr="00CC6CA3">
          <w:rPr>
            <w:noProof/>
            <w:webHidden/>
          </w:rPr>
        </w:r>
        <w:r w:rsidR="009123D8" w:rsidRPr="00CC6CA3">
          <w:rPr>
            <w:noProof/>
            <w:webHidden/>
          </w:rPr>
          <w:fldChar w:fldCharType="separate"/>
        </w:r>
        <w:r w:rsidR="001906D9" w:rsidRPr="00CC6CA3">
          <w:rPr>
            <w:noProof/>
            <w:webHidden/>
          </w:rPr>
          <w:t>102</w:t>
        </w:r>
        <w:r w:rsidR="009123D8" w:rsidRPr="00CC6CA3">
          <w:rPr>
            <w:noProof/>
            <w:webHidden/>
          </w:rPr>
          <w:fldChar w:fldCharType="end"/>
        </w:r>
      </w:hyperlink>
    </w:p>
    <w:p w14:paraId="2D3569E6" w14:textId="49EC25E3" w:rsidR="009123D8" w:rsidRPr="00CC6CA3" w:rsidRDefault="00D62691">
      <w:pPr>
        <w:pStyle w:val="TableofFigures"/>
        <w:tabs>
          <w:tab w:val="right" w:leader="dot" w:pos="8755"/>
        </w:tabs>
        <w:rPr>
          <w:rFonts w:cstheme="minorBidi"/>
          <w:b w:val="0"/>
          <w:bCs w:val="0"/>
          <w:noProof/>
          <w:sz w:val="22"/>
          <w:szCs w:val="22"/>
        </w:rPr>
      </w:pPr>
      <w:hyperlink w:anchor="_Toc81553395" w:history="1">
        <w:r w:rsidR="009123D8" w:rsidRPr="00CC6CA3">
          <w:rPr>
            <w:rStyle w:val="Hyperlink"/>
            <w:noProof/>
            <w:color w:val="auto"/>
          </w:rPr>
          <w:t>Figure 4.31 AUC curve for the PCA model with different numbers of principal components for detection of the misalignment in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_Toc81553395 \h </w:instrText>
        </w:r>
        <w:r w:rsidR="009123D8" w:rsidRPr="00CC6CA3">
          <w:rPr>
            <w:noProof/>
            <w:webHidden/>
          </w:rPr>
        </w:r>
        <w:r w:rsidR="009123D8" w:rsidRPr="00CC6CA3">
          <w:rPr>
            <w:noProof/>
            <w:webHidden/>
          </w:rPr>
          <w:fldChar w:fldCharType="separate"/>
        </w:r>
        <w:r w:rsidR="001906D9" w:rsidRPr="00CC6CA3">
          <w:rPr>
            <w:noProof/>
            <w:webHidden/>
          </w:rPr>
          <w:t>102</w:t>
        </w:r>
        <w:r w:rsidR="009123D8" w:rsidRPr="00CC6CA3">
          <w:rPr>
            <w:noProof/>
            <w:webHidden/>
          </w:rPr>
          <w:fldChar w:fldCharType="end"/>
        </w:r>
      </w:hyperlink>
    </w:p>
    <w:p w14:paraId="752C660E" w14:textId="6E6E0241" w:rsidR="009123D8" w:rsidRPr="00CC6CA3" w:rsidRDefault="00D62691">
      <w:pPr>
        <w:pStyle w:val="TableofFigures"/>
        <w:tabs>
          <w:tab w:val="right" w:leader="dot" w:pos="8755"/>
        </w:tabs>
        <w:rPr>
          <w:rFonts w:cstheme="minorBidi"/>
          <w:b w:val="0"/>
          <w:bCs w:val="0"/>
          <w:noProof/>
          <w:sz w:val="22"/>
          <w:szCs w:val="22"/>
        </w:rPr>
      </w:pPr>
      <w:hyperlink w:anchor="_Toc81553396" w:history="1">
        <w:r w:rsidR="009123D8" w:rsidRPr="00CC6CA3">
          <w:rPr>
            <w:rStyle w:val="Hyperlink"/>
            <w:noProof/>
            <w:color w:val="auto"/>
          </w:rPr>
          <w:t>Figure 4.32 ROC curves and AUC values for the PCA model for detection of bearing fault in Case 2, (a) ROC curves for PCA model with different numbers of principal components, (b) AUC values for PCA model with different numbers of principal components.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_Toc81553396 \h </w:instrText>
        </w:r>
        <w:r w:rsidR="009123D8" w:rsidRPr="00CC6CA3">
          <w:rPr>
            <w:noProof/>
            <w:webHidden/>
          </w:rPr>
        </w:r>
        <w:r w:rsidR="009123D8" w:rsidRPr="00CC6CA3">
          <w:rPr>
            <w:noProof/>
            <w:webHidden/>
          </w:rPr>
          <w:fldChar w:fldCharType="separate"/>
        </w:r>
        <w:r w:rsidR="001906D9" w:rsidRPr="00CC6CA3">
          <w:rPr>
            <w:noProof/>
            <w:webHidden/>
          </w:rPr>
          <w:t>103</w:t>
        </w:r>
        <w:r w:rsidR="009123D8" w:rsidRPr="00CC6CA3">
          <w:rPr>
            <w:noProof/>
            <w:webHidden/>
          </w:rPr>
          <w:fldChar w:fldCharType="end"/>
        </w:r>
      </w:hyperlink>
    </w:p>
    <w:p w14:paraId="43542E8E" w14:textId="38F525AD" w:rsidR="009123D8" w:rsidRPr="00CC6CA3" w:rsidRDefault="00D62691">
      <w:pPr>
        <w:pStyle w:val="TableofFigures"/>
        <w:tabs>
          <w:tab w:val="right" w:leader="dot" w:pos="8755"/>
        </w:tabs>
        <w:rPr>
          <w:rFonts w:cstheme="minorBidi"/>
          <w:b w:val="0"/>
          <w:bCs w:val="0"/>
          <w:noProof/>
          <w:sz w:val="22"/>
          <w:szCs w:val="22"/>
        </w:rPr>
      </w:pPr>
      <w:hyperlink w:anchor="_Toc81553397" w:history="1">
        <w:r w:rsidR="009123D8" w:rsidRPr="00CC6CA3">
          <w:rPr>
            <w:rStyle w:val="Hyperlink"/>
            <w:noProof/>
            <w:color w:val="auto"/>
          </w:rPr>
          <w:t>Figure 4.33 AUC curve for the PCA model with different numbers of principal components for detection of bearing fault in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_Toc81553397 \h </w:instrText>
        </w:r>
        <w:r w:rsidR="009123D8" w:rsidRPr="00CC6CA3">
          <w:rPr>
            <w:noProof/>
            <w:webHidden/>
          </w:rPr>
        </w:r>
        <w:r w:rsidR="009123D8" w:rsidRPr="00CC6CA3">
          <w:rPr>
            <w:noProof/>
            <w:webHidden/>
          </w:rPr>
          <w:fldChar w:fldCharType="separate"/>
        </w:r>
        <w:r w:rsidR="001906D9" w:rsidRPr="00CC6CA3">
          <w:rPr>
            <w:noProof/>
            <w:webHidden/>
          </w:rPr>
          <w:t>103</w:t>
        </w:r>
        <w:r w:rsidR="009123D8" w:rsidRPr="00CC6CA3">
          <w:rPr>
            <w:noProof/>
            <w:webHidden/>
          </w:rPr>
          <w:fldChar w:fldCharType="end"/>
        </w:r>
      </w:hyperlink>
    </w:p>
    <w:p w14:paraId="0F8AE703" w14:textId="079D616F" w:rsidR="009123D8" w:rsidRPr="00CC6CA3" w:rsidRDefault="00D62691">
      <w:pPr>
        <w:pStyle w:val="TableofFigures"/>
        <w:tabs>
          <w:tab w:val="right" w:leader="dot" w:pos="8755"/>
        </w:tabs>
        <w:rPr>
          <w:rFonts w:cstheme="minorBidi"/>
          <w:b w:val="0"/>
          <w:bCs w:val="0"/>
          <w:noProof/>
          <w:sz w:val="22"/>
          <w:szCs w:val="22"/>
        </w:rPr>
      </w:pPr>
      <w:hyperlink w:anchor="_Toc81553398" w:history="1">
        <w:r w:rsidR="009123D8" w:rsidRPr="00CC6CA3">
          <w:rPr>
            <w:rStyle w:val="Hyperlink"/>
            <w:noProof/>
            <w:color w:val="auto"/>
          </w:rPr>
          <w:t>Figure 4.34 The MD calculated in the training and monitoring phases of the PCA model for case 3,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_Toc81553398 \h </w:instrText>
        </w:r>
        <w:r w:rsidR="009123D8" w:rsidRPr="00CC6CA3">
          <w:rPr>
            <w:noProof/>
            <w:webHidden/>
          </w:rPr>
        </w:r>
        <w:r w:rsidR="009123D8" w:rsidRPr="00CC6CA3">
          <w:rPr>
            <w:noProof/>
            <w:webHidden/>
          </w:rPr>
          <w:fldChar w:fldCharType="separate"/>
        </w:r>
        <w:r w:rsidR="001906D9" w:rsidRPr="00CC6CA3">
          <w:rPr>
            <w:noProof/>
            <w:webHidden/>
          </w:rPr>
          <w:t>104</w:t>
        </w:r>
        <w:r w:rsidR="009123D8" w:rsidRPr="00CC6CA3">
          <w:rPr>
            <w:noProof/>
            <w:webHidden/>
          </w:rPr>
          <w:fldChar w:fldCharType="end"/>
        </w:r>
      </w:hyperlink>
    </w:p>
    <w:p w14:paraId="5ECD275E" w14:textId="5B406164" w:rsidR="009123D8" w:rsidRPr="00CC6CA3" w:rsidRDefault="00D62691">
      <w:pPr>
        <w:pStyle w:val="TableofFigures"/>
        <w:tabs>
          <w:tab w:val="right" w:leader="dot" w:pos="8755"/>
        </w:tabs>
        <w:rPr>
          <w:rFonts w:cstheme="minorBidi"/>
          <w:b w:val="0"/>
          <w:bCs w:val="0"/>
          <w:noProof/>
          <w:sz w:val="22"/>
          <w:szCs w:val="22"/>
        </w:rPr>
      </w:pPr>
      <w:hyperlink w:anchor="_Toc81553399" w:history="1">
        <w:r w:rsidR="009123D8" w:rsidRPr="00CC6CA3">
          <w:rPr>
            <w:rStyle w:val="Hyperlink"/>
            <w:noProof/>
            <w:color w:val="auto"/>
          </w:rPr>
          <w:t xml:space="preserve">Figure 4.35 2D contribution map of PCA model for Case </w:t>
        </w:r>
        <w:r w:rsidR="009123D8" w:rsidRPr="00CC6CA3">
          <w:rPr>
            <w:rStyle w:val="Hyperlink"/>
            <w:noProof/>
            <w:color w:val="auto"/>
            <w:lang w:val="en-US"/>
          </w:rPr>
          <w:t>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_Toc81553399 \h </w:instrText>
        </w:r>
        <w:r w:rsidR="009123D8" w:rsidRPr="00CC6CA3">
          <w:rPr>
            <w:noProof/>
            <w:webHidden/>
          </w:rPr>
        </w:r>
        <w:r w:rsidR="009123D8" w:rsidRPr="00CC6CA3">
          <w:rPr>
            <w:noProof/>
            <w:webHidden/>
          </w:rPr>
          <w:fldChar w:fldCharType="separate"/>
        </w:r>
        <w:r w:rsidR="001906D9" w:rsidRPr="00CC6CA3">
          <w:rPr>
            <w:noProof/>
            <w:webHidden/>
          </w:rPr>
          <w:t>105</w:t>
        </w:r>
        <w:r w:rsidR="009123D8" w:rsidRPr="00CC6CA3">
          <w:rPr>
            <w:noProof/>
            <w:webHidden/>
          </w:rPr>
          <w:fldChar w:fldCharType="end"/>
        </w:r>
      </w:hyperlink>
    </w:p>
    <w:p w14:paraId="7F6C33B6" w14:textId="247BAF02" w:rsidR="009123D8" w:rsidRPr="00CC6CA3" w:rsidRDefault="00D62691">
      <w:pPr>
        <w:pStyle w:val="TableofFigures"/>
        <w:tabs>
          <w:tab w:val="right" w:leader="dot" w:pos="8755"/>
        </w:tabs>
        <w:rPr>
          <w:rFonts w:cstheme="minorBidi"/>
          <w:b w:val="0"/>
          <w:bCs w:val="0"/>
          <w:noProof/>
          <w:sz w:val="22"/>
          <w:szCs w:val="22"/>
        </w:rPr>
      </w:pPr>
      <w:hyperlink w:anchor="_Toc81553400" w:history="1">
        <w:r w:rsidR="009123D8" w:rsidRPr="00CC6CA3">
          <w:rPr>
            <w:rStyle w:val="Hyperlink"/>
            <w:noProof/>
            <w:color w:val="auto"/>
          </w:rPr>
          <w:t xml:space="preserve">Figure 4.36 ROC curves and AUC values of PCA model for Case </w:t>
        </w:r>
        <w:r w:rsidR="009123D8" w:rsidRPr="00CC6CA3">
          <w:rPr>
            <w:rStyle w:val="Hyperlink"/>
            <w:noProof/>
            <w:color w:val="auto"/>
            <w:lang w:val="en-US"/>
          </w:rPr>
          <w:t>3</w:t>
        </w:r>
        <w:r w:rsidR="009123D8" w:rsidRPr="00CC6CA3">
          <w:rPr>
            <w:rStyle w:val="Hyperlink"/>
            <w:noProof/>
            <w:color w:val="auto"/>
          </w:rPr>
          <w:t>, (a) ROC curves for PCA model with different numbers of principal components, (b) AUC values for PCA model with different numbers of principal components.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_Toc81553400 \h </w:instrText>
        </w:r>
        <w:r w:rsidR="009123D8" w:rsidRPr="00CC6CA3">
          <w:rPr>
            <w:noProof/>
            <w:webHidden/>
          </w:rPr>
        </w:r>
        <w:r w:rsidR="009123D8" w:rsidRPr="00CC6CA3">
          <w:rPr>
            <w:noProof/>
            <w:webHidden/>
          </w:rPr>
          <w:fldChar w:fldCharType="separate"/>
        </w:r>
        <w:r w:rsidR="001906D9" w:rsidRPr="00CC6CA3">
          <w:rPr>
            <w:noProof/>
            <w:webHidden/>
          </w:rPr>
          <w:t>106</w:t>
        </w:r>
        <w:r w:rsidR="009123D8" w:rsidRPr="00CC6CA3">
          <w:rPr>
            <w:noProof/>
            <w:webHidden/>
          </w:rPr>
          <w:fldChar w:fldCharType="end"/>
        </w:r>
      </w:hyperlink>
    </w:p>
    <w:p w14:paraId="7508C2E7" w14:textId="64F74E39" w:rsidR="009123D8" w:rsidRPr="00CC6CA3" w:rsidRDefault="00D62691">
      <w:pPr>
        <w:pStyle w:val="TableofFigures"/>
        <w:tabs>
          <w:tab w:val="right" w:leader="dot" w:pos="8755"/>
        </w:tabs>
        <w:rPr>
          <w:rFonts w:cstheme="minorBidi"/>
          <w:b w:val="0"/>
          <w:bCs w:val="0"/>
          <w:noProof/>
          <w:sz w:val="22"/>
          <w:szCs w:val="22"/>
        </w:rPr>
      </w:pPr>
      <w:hyperlink w:anchor="_Toc81553401" w:history="1">
        <w:r w:rsidR="009123D8" w:rsidRPr="00CC6CA3">
          <w:rPr>
            <w:rStyle w:val="Hyperlink"/>
            <w:noProof/>
            <w:color w:val="auto"/>
          </w:rPr>
          <w:t xml:space="preserve">Figure 4.37 AUC curve for the PCA model with different numbers of principal components for Case </w:t>
        </w:r>
        <w:r w:rsidR="009123D8" w:rsidRPr="00CC6CA3">
          <w:rPr>
            <w:rStyle w:val="Hyperlink"/>
            <w:noProof/>
            <w:color w:val="auto"/>
            <w:lang w:val="en-US"/>
          </w:rPr>
          <w:t>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_Toc81553401 \h </w:instrText>
        </w:r>
        <w:r w:rsidR="009123D8" w:rsidRPr="00CC6CA3">
          <w:rPr>
            <w:noProof/>
            <w:webHidden/>
          </w:rPr>
        </w:r>
        <w:r w:rsidR="009123D8" w:rsidRPr="00CC6CA3">
          <w:rPr>
            <w:noProof/>
            <w:webHidden/>
          </w:rPr>
          <w:fldChar w:fldCharType="separate"/>
        </w:r>
        <w:r w:rsidR="001906D9" w:rsidRPr="00CC6CA3">
          <w:rPr>
            <w:noProof/>
            <w:webHidden/>
          </w:rPr>
          <w:t>106</w:t>
        </w:r>
        <w:r w:rsidR="009123D8" w:rsidRPr="00CC6CA3">
          <w:rPr>
            <w:noProof/>
            <w:webHidden/>
          </w:rPr>
          <w:fldChar w:fldCharType="end"/>
        </w:r>
      </w:hyperlink>
    </w:p>
    <w:p w14:paraId="6C2A066F" w14:textId="2D056D13" w:rsidR="009123D8" w:rsidRPr="00CC6CA3" w:rsidRDefault="00D62691">
      <w:pPr>
        <w:pStyle w:val="TableofFigures"/>
        <w:tabs>
          <w:tab w:val="right" w:leader="dot" w:pos="8755"/>
        </w:tabs>
        <w:rPr>
          <w:rFonts w:cstheme="minorBidi"/>
          <w:b w:val="0"/>
          <w:bCs w:val="0"/>
          <w:noProof/>
          <w:sz w:val="22"/>
          <w:szCs w:val="22"/>
        </w:rPr>
      </w:pPr>
      <w:hyperlink w:anchor="_Toc81553402" w:history="1">
        <w:r w:rsidR="009123D8" w:rsidRPr="00CC6CA3">
          <w:rPr>
            <w:rStyle w:val="Hyperlink"/>
            <w:noProof/>
            <w:color w:val="auto"/>
          </w:rPr>
          <w:t xml:space="preserve">Figure 4.38 Model 3: </w:t>
        </w:r>
        <w:r w:rsidR="009123D8" w:rsidRPr="00CC6CA3">
          <w:rPr>
            <w:rStyle w:val="Hyperlink"/>
            <w:rFonts w:ascii="Times-Roman" w:hAnsi="Times-Roman" w:cs="Times-Roman"/>
            <w:noProof/>
            <w:color w:val="auto"/>
          </w:rPr>
          <w:t xml:space="preserve">SAE based fault </w:t>
        </w:r>
        <w:r w:rsidR="009123D8" w:rsidRPr="00CC6CA3">
          <w:rPr>
            <w:rStyle w:val="Hyperlink"/>
            <w:noProof/>
            <w:color w:val="auto"/>
          </w:rPr>
          <w:t>detection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_Toc81553402 \h </w:instrText>
        </w:r>
        <w:r w:rsidR="009123D8" w:rsidRPr="00CC6CA3">
          <w:rPr>
            <w:noProof/>
            <w:webHidden/>
          </w:rPr>
        </w:r>
        <w:r w:rsidR="009123D8" w:rsidRPr="00CC6CA3">
          <w:rPr>
            <w:noProof/>
            <w:webHidden/>
          </w:rPr>
          <w:fldChar w:fldCharType="separate"/>
        </w:r>
        <w:r w:rsidR="001906D9" w:rsidRPr="00CC6CA3">
          <w:rPr>
            <w:noProof/>
            <w:webHidden/>
          </w:rPr>
          <w:t>107</w:t>
        </w:r>
        <w:r w:rsidR="009123D8" w:rsidRPr="00CC6CA3">
          <w:rPr>
            <w:noProof/>
            <w:webHidden/>
          </w:rPr>
          <w:fldChar w:fldCharType="end"/>
        </w:r>
      </w:hyperlink>
    </w:p>
    <w:p w14:paraId="2345CD88" w14:textId="6F136B93" w:rsidR="009123D8" w:rsidRPr="00CC6CA3" w:rsidRDefault="00D62691">
      <w:pPr>
        <w:pStyle w:val="TableofFigures"/>
        <w:tabs>
          <w:tab w:val="right" w:leader="dot" w:pos="8755"/>
        </w:tabs>
        <w:rPr>
          <w:rFonts w:cstheme="minorBidi"/>
          <w:b w:val="0"/>
          <w:bCs w:val="0"/>
          <w:noProof/>
          <w:sz w:val="22"/>
          <w:szCs w:val="22"/>
        </w:rPr>
      </w:pPr>
      <w:hyperlink w:anchor="_Toc81553403" w:history="1">
        <w:r w:rsidR="009123D8" w:rsidRPr="00CC6CA3">
          <w:rPr>
            <w:rStyle w:val="Hyperlink"/>
            <w:noProof/>
            <w:color w:val="auto"/>
          </w:rPr>
          <w:t>Figure 4.39 The MD calculated in the training and monitoring phases of the SAE model for case 1,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_Toc81553403 \h </w:instrText>
        </w:r>
        <w:r w:rsidR="009123D8" w:rsidRPr="00CC6CA3">
          <w:rPr>
            <w:noProof/>
            <w:webHidden/>
          </w:rPr>
        </w:r>
        <w:r w:rsidR="009123D8" w:rsidRPr="00CC6CA3">
          <w:rPr>
            <w:noProof/>
            <w:webHidden/>
          </w:rPr>
          <w:fldChar w:fldCharType="separate"/>
        </w:r>
        <w:r w:rsidR="001906D9" w:rsidRPr="00CC6CA3">
          <w:rPr>
            <w:noProof/>
            <w:webHidden/>
          </w:rPr>
          <w:t>108</w:t>
        </w:r>
        <w:r w:rsidR="009123D8" w:rsidRPr="00CC6CA3">
          <w:rPr>
            <w:noProof/>
            <w:webHidden/>
          </w:rPr>
          <w:fldChar w:fldCharType="end"/>
        </w:r>
      </w:hyperlink>
    </w:p>
    <w:p w14:paraId="47EAA1F6" w14:textId="0BE91144" w:rsidR="009123D8" w:rsidRPr="00CC6CA3" w:rsidRDefault="00D62691">
      <w:pPr>
        <w:pStyle w:val="TableofFigures"/>
        <w:tabs>
          <w:tab w:val="right" w:leader="dot" w:pos="8755"/>
        </w:tabs>
        <w:rPr>
          <w:rFonts w:cstheme="minorBidi"/>
          <w:b w:val="0"/>
          <w:bCs w:val="0"/>
          <w:noProof/>
          <w:sz w:val="22"/>
          <w:szCs w:val="22"/>
        </w:rPr>
      </w:pPr>
      <w:hyperlink w:anchor="_Toc81553404" w:history="1">
        <w:r w:rsidR="009123D8" w:rsidRPr="00CC6CA3">
          <w:rPr>
            <w:rStyle w:val="Hyperlink"/>
            <w:noProof/>
            <w:color w:val="auto"/>
          </w:rPr>
          <w:t>Figure 4.40 2D contribution map of SAE model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_Toc81553404 \h </w:instrText>
        </w:r>
        <w:r w:rsidR="009123D8" w:rsidRPr="00CC6CA3">
          <w:rPr>
            <w:noProof/>
            <w:webHidden/>
          </w:rPr>
        </w:r>
        <w:r w:rsidR="009123D8" w:rsidRPr="00CC6CA3">
          <w:rPr>
            <w:noProof/>
            <w:webHidden/>
          </w:rPr>
          <w:fldChar w:fldCharType="separate"/>
        </w:r>
        <w:r w:rsidR="001906D9" w:rsidRPr="00CC6CA3">
          <w:rPr>
            <w:noProof/>
            <w:webHidden/>
          </w:rPr>
          <w:t>109</w:t>
        </w:r>
        <w:r w:rsidR="009123D8" w:rsidRPr="00CC6CA3">
          <w:rPr>
            <w:noProof/>
            <w:webHidden/>
          </w:rPr>
          <w:fldChar w:fldCharType="end"/>
        </w:r>
      </w:hyperlink>
    </w:p>
    <w:p w14:paraId="0F54461E" w14:textId="72018C4E" w:rsidR="009123D8" w:rsidRPr="00CC6CA3" w:rsidRDefault="00D62691">
      <w:pPr>
        <w:pStyle w:val="TableofFigures"/>
        <w:tabs>
          <w:tab w:val="right" w:leader="dot" w:pos="8755"/>
        </w:tabs>
        <w:rPr>
          <w:rFonts w:cstheme="minorBidi"/>
          <w:b w:val="0"/>
          <w:bCs w:val="0"/>
          <w:noProof/>
          <w:sz w:val="22"/>
          <w:szCs w:val="22"/>
        </w:rPr>
      </w:pPr>
      <w:hyperlink w:anchor="_Toc81553405" w:history="1">
        <w:r w:rsidR="009123D8" w:rsidRPr="00CC6CA3">
          <w:rPr>
            <w:rStyle w:val="Hyperlink"/>
            <w:noProof/>
            <w:color w:val="auto"/>
          </w:rPr>
          <w:t>Figure 4.41 ROC curves and AUC values of SAE model for Case 1, (a) ROC curves for SAE model with different numbers of SAE nodes, (b) AUC values for SAE model with different numbers of SAE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_Toc81553405 \h </w:instrText>
        </w:r>
        <w:r w:rsidR="009123D8" w:rsidRPr="00CC6CA3">
          <w:rPr>
            <w:noProof/>
            <w:webHidden/>
          </w:rPr>
        </w:r>
        <w:r w:rsidR="009123D8" w:rsidRPr="00CC6CA3">
          <w:rPr>
            <w:noProof/>
            <w:webHidden/>
          </w:rPr>
          <w:fldChar w:fldCharType="separate"/>
        </w:r>
        <w:r w:rsidR="001906D9" w:rsidRPr="00CC6CA3">
          <w:rPr>
            <w:noProof/>
            <w:webHidden/>
          </w:rPr>
          <w:t>110</w:t>
        </w:r>
        <w:r w:rsidR="009123D8" w:rsidRPr="00CC6CA3">
          <w:rPr>
            <w:noProof/>
            <w:webHidden/>
          </w:rPr>
          <w:fldChar w:fldCharType="end"/>
        </w:r>
      </w:hyperlink>
    </w:p>
    <w:p w14:paraId="2F12A805" w14:textId="3559E382" w:rsidR="009123D8" w:rsidRPr="00CC6CA3" w:rsidRDefault="00D62691">
      <w:pPr>
        <w:pStyle w:val="TableofFigures"/>
        <w:tabs>
          <w:tab w:val="right" w:leader="dot" w:pos="8755"/>
        </w:tabs>
        <w:rPr>
          <w:rFonts w:cstheme="minorBidi"/>
          <w:b w:val="0"/>
          <w:bCs w:val="0"/>
          <w:noProof/>
          <w:sz w:val="22"/>
          <w:szCs w:val="22"/>
        </w:rPr>
      </w:pPr>
      <w:hyperlink w:anchor="_Toc81553406" w:history="1">
        <w:r w:rsidR="009123D8" w:rsidRPr="00CC6CA3">
          <w:rPr>
            <w:rStyle w:val="Hyperlink"/>
            <w:noProof/>
            <w:color w:val="auto"/>
          </w:rPr>
          <w:t>Figure 4.42 ROC curves and AUC values of SAE model for Case 1, (a) ROC curves for SAE model with different sparsity regularisation values, (b) AUC values for SAE model with different sparsity regularisation values.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_Toc81553406 \h </w:instrText>
        </w:r>
        <w:r w:rsidR="009123D8" w:rsidRPr="00CC6CA3">
          <w:rPr>
            <w:noProof/>
            <w:webHidden/>
          </w:rPr>
        </w:r>
        <w:r w:rsidR="009123D8" w:rsidRPr="00CC6CA3">
          <w:rPr>
            <w:noProof/>
            <w:webHidden/>
          </w:rPr>
          <w:fldChar w:fldCharType="separate"/>
        </w:r>
        <w:r w:rsidR="001906D9" w:rsidRPr="00CC6CA3">
          <w:rPr>
            <w:noProof/>
            <w:webHidden/>
          </w:rPr>
          <w:t>110</w:t>
        </w:r>
        <w:r w:rsidR="009123D8" w:rsidRPr="00CC6CA3">
          <w:rPr>
            <w:noProof/>
            <w:webHidden/>
          </w:rPr>
          <w:fldChar w:fldCharType="end"/>
        </w:r>
      </w:hyperlink>
    </w:p>
    <w:p w14:paraId="79C4875A" w14:textId="5F659C0B" w:rsidR="009123D8" w:rsidRPr="00CC6CA3" w:rsidRDefault="00D62691">
      <w:pPr>
        <w:pStyle w:val="TableofFigures"/>
        <w:tabs>
          <w:tab w:val="right" w:leader="dot" w:pos="8755"/>
        </w:tabs>
        <w:rPr>
          <w:rFonts w:cstheme="minorBidi"/>
          <w:b w:val="0"/>
          <w:bCs w:val="0"/>
          <w:noProof/>
          <w:sz w:val="22"/>
          <w:szCs w:val="22"/>
        </w:rPr>
      </w:pPr>
      <w:hyperlink w:anchor="_Toc81553407" w:history="1">
        <w:r w:rsidR="009123D8" w:rsidRPr="00CC6CA3">
          <w:rPr>
            <w:rStyle w:val="Hyperlink"/>
            <w:noProof/>
            <w:color w:val="auto"/>
          </w:rPr>
          <w:t>Figure 4.43 AUC values for the SAE model with different numbers of nodes and sparsity regularisation for Case 1,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_Toc81553407 \h </w:instrText>
        </w:r>
        <w:r w:rsidR="009123D8" w:rsidRPr="00CC6CA3">
          <w:rPr>
            <w:noProof/>
            <w:webHidden/>
          </w:rPr>
        </w:r>
        <w:r w:rsidR="009123D8" w:rsidRPr="00CC6CA3">
          <w:rPr>
            <w:noProof/>
            <w:webHidden/>
          </w:rPr>
          <w:fldChar w:fldCharType="separate"/>
        </w:r>
        <w:r w:rsidR="001906D9" w:rsidRPr="00CC6CA3">
          <w:rPr>
            <w:noProof/>
            <w:webHidden/>
          </w:rPr>
          <w:t>111</w:t>
        </w:r>
        <w:r w:rsidR="009123D8" w:rsidRPr="00CC6CA3">
          <w:rPr>
            <w:noProof/>
            <w:webHidden/>
          </w:rPr>
          <w:fldChar w:fldCharType="end"/>
        </w:r>
      </w:hyperlink>
    </w:p>
    <w:p w14:paraId="0389891A" w14:textId="69ED2C7C" w:rsidR="009123D8" w:rsidRPr="00CC6CA3" w:rsidRDefault="00D62691">
      <w:pPr>
        <w:pStyle w:val="TableofFigures"/>
        <w:tabs>
          <w:tab w:val="right" w:leader="dot" w:pos="8755"/>
        </w:tabs>
        <w:rPr>
          <w:rFonts w:cstheme="minorBidi"/>
          <w:b w:val="0"/>
          <w:bCs w:val="0"/>
          <w:noProof/>
          <w:sz w:val="22"/>
          <w:szCs w:val="22"/>
        </w:rPr>
      </w:pPr>
      <w:hyperlink w:anchor="_Toc81553408" w:history="1">
        <w:r w:rsidR="009123D8" w:rsidRPr="00CC6CA3">
          <w:rPr>
            <w:rStyle w:val="Hyperlink"/>
            <w:noProof/>
            <w:color w:val="auto"/>
          </w:rPr>
          <w:t>Figure 4.44 The MD calculated in the training and monitoring phase of the SAE model for Case 2,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_Toc81553408 \h </w:instrText>
        </w:r>
        <w:r w:rsidR="009123D8" w:rsidRPr="00CC6CA3">
          <w:rPr>
            <w:noProof/>
            <w:webHidden/>
          </w:rPr>
        </w:r>
        <w:r w:rsidR="009123D8" w:rsidRPr="00CC6CA3">
          <w:rPr>
            <w:noProof/>
            <w:webHidden/>
          </w:rPr>
          <w:fldChar w:fldCharType="separate"/>
        </w:r>
        <w:r w:rsidR="001906D9" w:rsidRPr="00CC6CA3">
          <w:rPr>
            <w:noProof/>
            <w:webHidden/>
          </w:rPr>
          <w:t>112</w:t>
        </w:r>
        <w:r w:rsidR="009123D8" w:rsidRPr="00CC6CA3">
          <w:rPr>
            <w:noProof/>
            <w:webHidden/>
          </w:rPr>
          <w:fldChar w:fldCharType="end"/>
        </w:r>
      </w:hyperlink>
    </w:p>
    <w:p w14:paraId="4E5D523B" w14:textId="39BDEB56" w:rsidR="009123D8" w:rsidRPr="00CC6CA3" w:rsidRDefault="00D62691">
      <w:pPr>
        <w:pStyle w:val="TableofFigures"/>
        <w:tabs>
          <w:tab w:val="right" w:leader="dot" w:pos="8755"/>
        </w:tabs>
        <w:rPr>
          <w:rFonts w:cstheme="minorBidi"/>
          <w:b w:val="0"/>
          <w:bCs w:val="0"/>
          <w:noProof/>
          <w:sz w:val="22"/>
          <w:szCs w:val="22"/>
        </w:rPr>
      </w:pPr>
      <w:hyperlink w:anchor="_Toc81553409" w:history="1">
        <w:r w:rsidR="009123D8" w:rsidRPr="00CC6CA3">
          <w:rPr>
            <w:rStyle w:val="Hyperlink"/>
            <w:noProof/>
            <w:color w:val="auto"/>
          </w:rPr>
          <w:t>Figure 4.45 2D contribution map of SAE model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_Toc81553409 \h </w:instrText>
        </w:r>
        <w:r w:rsidR="009123D8" w:rsidRPr="00CC6CA3">
          <w:rPr>
            <w:noProof/>
            <w:webHidden/>
          </w:rPr>
        </w:r>
        <w:r w:rsidR="009123D8" w:rsidRPr="00CC6CA3">
          <w:rPr>
            <w:noProof/>
            <w:webHidden/>
          </w:rPr>
          <w:fldChar w:fldCharType="separate"/>
        </w:r>
        <w:r w:rsidR="001906D9" w:rsidRPr="00CC6CA3">
          <w:rPr>
            <w:noProof/>
            <w:webHidden/>
          </w:rPr>
          <w:t>112</w:t>
        </w:r>
        <w:r w:rsidR="009123D8" w:rsidRPr="00CC6CA3">
          <w:rPr>
            <w:noProof/>
            <w:webHidden/>
          </w:rPr>
          <w:fldChar w:fldCharType="end"/>
        </w:r>
      </w:hyperlink>
    </w:p>
    <w:p w14:paraId="6D288C94" w14:textId="235CAE1C" w:rsidR="009123D8" w:rsidRPr="00CC6CA3" w:rsidRDefault="00D62691">
      <w:pPr>
        <w:pStyle w:val="TableofFigures"/>
        <w:tabs>
          <w:tab w:val="right" w:leader="dot" w:pos="8755"/>
        </w:tabs>
        <w:rPr>
          <w:rFonts w:cstheme="minorBidi"/>
          <w:b w:val="0"/>
          <w:bCs w:val="0"/>
          <w:noProof/>
          <w:sz w:val="22"/>
          <w:szCs w:val="22"/>
        </w:rPr>
      </w:pPr>
      <w:hyperlink w:anchor="_Toc81553410" w:history="1">
        <w:r w:rsidR="009123D8" w:rsidRPr="00CC6CA3">
          <w:rPr>
            <w:rStyle w:val="Hyperlink"/>
            <w:noProof/>
            <w:color w:val="auto"/>
          </w:rPr>
          <w:t>Figure 4.46 ROC curves and AUC values of SAE model for detection of the misalignment in Case 2, (a) ROC curves for SAE model with different numbers of SAE nodes, (b) AUC values for SAE model with different numbers of SAE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_Toc81553410 \h </w:instrText>
        </w:r>
        <w:r w:rsidR="009123D8" w:rsidRPr="00CC6CA3">
          <w:rPr>
            <w:noProof/>
            <w:webHidden/>
          </w:rPr>
        </w:r>
        <w:r w:rsidR="009123D8" w:rsidRPr="00CC6CA3">
          <w:rPr>
            <w:noProof/>
            <w:webHidden/>
          </w:rPr>
          <w:fldChar w:fldCharType="separate"/>
        </w:r>
        <w:r w:rsidR="001906D9" w:rsidRPr="00CC6CA3">
          <w:rPr>
            <w:noProof/>
            <w:webHidden/>
          </w:rPr>
          <w:t>113</w:t>
        </w:r>
        <w:r w:rsidR="009123D8" w:rsidRPr="00CC6CA3">
          <w:rPr>
            <w:noProof/>
            <w:webHidden/>
          </w:rPr>
          <w:fldChar w:fldCharType="end"/>
        </w:r>
      </w:hyperlink>
    </w:p>
    <w:p w14:paraId="47A6003A" w14:textId="77A37CE4" w:rsidR="009123D8" w:rsidRPr="00CC6CA3" w:rsidRDefault="00D62691">
      <w:pPr>
        <w:pStyle w:val="TableofFigures"/>
        <w:tabs>
          <w:tab w:val="right" w:leader="dot" w:pos="8755"/>
        </w:tabs>
        <w:rPr>
          <w:rFonts w:cstheme="minorBidi"/>
          <w:b w:val="0"/>
          <w:bCs w:val="0"/>
          <w:noProof/>
          <w:sz w:val="22"/>
          <w:szCs w:val="22"/>
        </w:rPr>
      </w:pPr>
      <w:hyperlink w:anchor="_Toc81553411" w:history="1">
        <w:r w:rsidR="009123D8" w:rsidRPr="00CC6CA3">
          <w:rPr>
            <w:rStyle w:val="Hyperlink"/>
            <w:noProof/>
            <w:color w:val="auto"/>
          </w:rPr>
          <w:t>Figure 4.47 ROC curves and AUC values of SAE model for detection of the misalignment in Case 2, (a) ROC curves for SAE model with different sparsity regularisation values, (b) AUC values for SAE model with different sparsity regularisation values.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_Toc81553411 \h </w:instrText>
        </w:r>
        <w:r w:rsidR="009123D8" w:rsidRPr="00CC6CA3">
          <w:rPr>
            <w:noProof/>
            <w:webHidden/>
          </w:rPr>
        </w:r>
        <w:r w:rsidR="009123D8" w:rsidRPr="00CC6CA3">
          <w:rPr>
            <w:noProof/>
            <w:webHidden/>
          </w:rPr>
          <w:fldChar w:fldCharType="separate"/>
        </w:r>
        <w:r w:rsidR="001906D9" w:rsidRPr="00CC6CA3">
          <w:rPr>
            <w:noProof/>
            <w:webHidden/>
          </w:rPr>
          <w:t>114</w:t>
        </w:r>
        <w:r w:rsidR="009123D8" w:rsidRPr="00CC6CA3">
          <w:rPr>
            <w:noProof/>
            <w:webHidden/>
          </w:rPr>
          <w:fldChar w:fldCharType="end"/>
        </w:r>
      </w:hyperlink>
    </w:p>
    <w:p w14:paraId="466391A7" w14:textId="2194DE6B" w:rsidR="009123D8" w:rsidRPr="00CC6CA3" w:rsidRDefault="00D62691">
      <w:pPr>
        <w:pStyle w:val="TableofFigures"/>
        <w:tabs>
          <w:tab w:val="right" w:leader="dot" w:pos="8755"/>
        </w:tabs>
        <w:rPr>
          <w:rFonts w:cstheme="minorBidi"/>
          <w:b w:val="0"/>
          <w:bCs w:val="0"/>
          <w:noProof/>
          <w:sz w:val="22"/>
          <w:szCs w:val="22"/>
        </w:rPr>
      </w:pPr>
      <w:hyperlink w:anchor="_Toc81553412" w:history="1">
        <w:r w:rsidR="009123D8" w:rsidRPr="00CC6CA3">
          <w:rPr>
            <w:rStyle w:val="Hyperlink"/>
            <w:noProof/>
            <w:color w:val="auto"/>
          </w:rPr>
          <w:t>Figure 4.48 AUC values for the SAE model with different numbers of nodes and sparsity regularisation for detection of the misalignment in Case 2,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_Toc81553412 \h </w:instrText>
        </w:r>
        <w:r w:rsidR="009123D8" w:rsidRPr="00CC6CA3">
          <w:rPr>
            <w:noProof/>
            <w:webHidden/>
          </w:rPr>
        </w:r>
        <w:r w:rsidR="009123D8" w:rsidRPr="00CC6CA3">
          <w:rPr>
            <w:noProof/>
            <w:webHidden/>
          </w:rPr>
          <w:fldChar w:fldCharType="separate"/>
        </w:r>
        <w:r w:rsidR="001906D9" w:rsidRPr="00CC6CA3">
          <w:rPr>
            <w:noProof/>
            <w:webHidden/>
          </w:rPr>
          <w:t>114</w:t>
        </w:r>
        <w:r w:rsidR="009123D8" w:rsidRPr="00CC6CA3">
          <w:rPr>
            <w:noProof/>
            <w:webHidden/>
          </w:rPr>
          <w:fldChar w:fldCharType="end"/>
        </w:r>
      </w:hyperlink>
    </w:p>
    <w:p w14:paraId="74D792AD" w14:textId="205A6095" w:rsidR="009123D8" w:rsidRPr="00CC6CA3" w:rsidRDefault="00D62691">
      <w:pPr>
        <w:pStyle w:val="TableofFigures"/>
        <w:tabs>
          <w:tab w:val="right" w:leader="dot" w:pos="8755"/>
        </w:tabs>
        <w:rPr>
          <w:rFonts w:cstheme="minorBidi"/>
          <w:b w:val="0"/>
          <w:bCs w:val="0"/>
          <w:noProof/>
          <w:sz w:val="22"/>
          <w:szCs w:val="22"/>
        </w:rPr>
      </w:pPr>
      <w:hyperlink w:anchor="_Toc81553413" w:history="1">
        <w:r w:rsidR="009123D8" w:rsidRPr="00CC6CA3">
          <w:rPr>
            <w:rStyle w:val="Hyperlink"/>
            <w:noProof/>
            <w:color w:val="auto"/>
          </w:rPr>
          <w:t>Figure 4.49 ROC curves and AUC values of SAE model for detection of bearing fault in Case 2, (a) ROC curves for SAE model with different numbers of SAE nodes, (b) AUC values for SAE model with different numbers of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_Toc81553413 \h </w:instrText>
        </w:r>
        <w:r w:rsidR="009123D8" w:rsidRPr="00CC6CA3">
          <w:rPr>
            <w:noProof/>
            <w:webHidden/>
          </w:rPr>
        </w:r>
        <w:r w:rsidR="009123D8" w:rsidRPr="00CC6CA3">
          <w:rPr>
            <w:noProof/>
            <w:webHidden/>
          </w:rPr>
          <w:fldChar w:fldCharType="separate"/>
        </w:r>
        <w:r w:rsidR="001906D9" w:rsidRPr="00CC6CA3">
          <w:rPr>
            <w:noProof/>
            <w:webHidden/>
          </w:rPr>
          <w:t>115</w:t>
        </w:r>
        <w:r w:rsidR="009123D8" w:rsidRPr="00CC6CA3">
          <w:rPr>
            <w:noProof/>
            <w:webHidden/>
          </w:rPr>
          <w:fldChar w:fldCharType="end"/>
        </w:r>
      </w:hyperlink>
    </w:p>
    <w:p w14:paraId="0D22DCFA" w14:textId="6E602191" w:rsidR="009123D8" w:rsidRPr="00CC6CA3" w:rsidRDefault="00D62691">
      <w:pPr>
        <w:pStyle w:val="TableofFigures"/>
        <w:tabs>
          <w:tab w:val="right" w:leader="dot" w:pos="8755"/>
        </w:tabs>
        <w:rPr>
          <w:rFonts w:cstheme="minorBidi"/>
          <w:b w:val="0"/>
          <w:bCs w:val="0"/>
          <w:noProof/>
          <w:sz w:val="22"/>
          <w:szCs w:val="22"/>
        </w:rPr>
      </w:pPr>
      <w:hyperlink w:anchor="_Toc81553414" w:history="1">
        <w:r w:rsidR="009123D8" w:rsidRPr="00CC6CA3">
          <w:rPr>
            <w:rStyle w:val="Hyperlink"/>
            <w:noProof/>
            <w:color w:val="auto"/>
          </w:rPr>
          <w:t>Figure 4.50 ROC curves and AUC values of SAE model for detection of bearing fault in Case 2, (a) ROC curves for SAE model with different sparsity regularisation values, (b) AUC values curves for SAE model with different sparsity regularisation values.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_Toc81553414 \h </w:instrText>
        </w:r>
        <w:r w:rsidR="009123D8" w:rsidRPr="00CC6CA3">
          <w:rPr>
            <w:noProof/>
            <w:webHidden/>
          </w:rPr>
        </w:r>
        <w:r w:rsidR="009123D8" w:rsidRPr="00CC6CA3">
          <w:rPr>
            <w:noProof/>
            <w:webHidden/>
          </w:rPr>
          <w:fldChar w:fldCharType="separate"/>
        </w:r>
        <w:r w:rsidR="001906D9" w:rsidRPr="00CC6CA3">
          <w:rPr>
            <w:noProof/>
            <w:webHidden/>
          </w:rPr>
          <w:t>115</w:t>
        </w:r>
        <w:r w:rsidR="009123D8" w:rsidRPr="00CC6CA3">
          <w:rPr>
            <w:noProof/>
            <w:webHidden/>
          </w:rPr>
          <w:fldChar w:fldCharType="end"/>
        </w:r>
      </w:hyperlink>
    </w:p>
    <w:p w14:paraId="0D842C7A" w14:textId="5D143D85" w:rsidR="009123D8" w:rsidRPr="00CC6CA3" w:rsidRDefault="00D62691">
      <w:pPr>
        <w:pStyle w:val="TableofFigures"/>
        <w:tabs>
          <w:tab w:val="right" w:leader="dot" w:pos="8755"/>
        </w:tabs>
        <w:rPr>
          <w:rFonts w:cstheme="minorBidi"/>
          <w:b w:val="0"/>
          <w:bCs w:val="0"/>
          <w:noProof/>
          <w:sz w:val="22"/>
          <w:szCs w:val="22"/>
        </w:rPr>
      </w:pPr>
      <w:hyperlink w:anchor="_Toc81553415" w:history="1">
        <w:r w:rsidR="009123D8" w:rsidRPr="00CC6CA3">
          <w:rPr>
            <w:rStyle w:val="Hyperlink"/>
            <w:noProof/>
            <w:color w:val="auto"/>
          </w:rPr>
          <w:t>Figure 4.51 AUC values for the SAE model with different numbers of nodes and sparsity regularisation for detection of bearing fault in Case 2,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_Toc81553415 \h </w:instrText>
        </w:r>
        <w:r w:rsidR="009123D8" w:rsidRPr="00CC6CA3">
          <w:rPr>
            <w:noProof/>
            <w:webHidden/>
          </w:rPr>
        </w:r>
        <w:r w:rsidR="009123D8" w:rsidRPr="00CC6CA3">
          <w:rPr>
            <w:noProof/>
            <w:webHidden/>
          </w:rPr>
          <w:fldChar w:fldCharType="separate"/>
        </w:r>
        <w:r w:rsidR="001906D9" w:rsidRPr="00CC6CA3">
          <w:rPr>
            <w:noProof/>
            <w:webHidden/>
          </w:rPr>
          <w:t>116</w:t>
        </w:r>
        <w:r w:rsidR="009123D8" w:rsidRPr="00CC6CA3">
          <w:rPr>
            <w:noProof/>
            <w:webHidden/>
          </w:rPr>
          <w:fldChar w:fldCharType="end"/>
        </w:r>
      </w:hyperlink>
    </w:p>
    <w:p w14:paraId="22AB0D01" w14:textId="5D16D783" w:rsidR="009123D8" w:rsidRPr="00CC6CA3" w:rsidRDefault="00D62691">
      <w:pPr>
        <w:pStyle w:val="TableofFigures"/>
        <w:tabs>
          <w:tab w:val="right" w:leader="dot" w:pos="8755"/>
        </w:tabs>
        <w:rPr>
          <w:rFonts w:cstheme="minorBidi"/>
          <w:b w:val="0"/>
          <w:bCs w:val="0"/>
          <w:noProof/>
          <w:sz w:val="22"/>
          <w:szCs w:val="22"/>
        </w:rPr>
      </w:pPr>
      <w:hyperlink w:anchor="_Toc81553416" w:history="1">
        <w:r w:rsidR="009123D8" w:rsidRPr="00CC6CA3">
          <w:rPr>
            <w:rStyle w:val="Hyperlink"/>
            <w:noProof/>
            <w:color w:val="auto"/>
          </w:rPr>
          <w:t>Figure 4.52 The MD calculated in the training and monitoring phases of the SAE model for Case 3, (a) MD calculated in the offline training phase, (b) MD calculated in the online monitoring phase.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_Toc81553416 \h </w:instrText>
        </w:r>
        <w:r w:rsidR="009123D8" w:rsidRPr="00CC6CA3">
          <w:rPr>
            <w:noProof/>
            <w:webHidden/>
          </w:rPr>
        </w:r>
        <w:r w:rsidR="009123D8" w:rsidRPr="00CC6CA3">
          <w:rPr>
            <w:noProof/>
            <w:webHidden/>
          </w:rPr>
          <w:fldChar w:fldCharType="separate"/>
        </w:r>
        <w:r w:rsidR="001906D9" w:rsidRPr="00CC6CA3">
          <w:rPr>
            <w:noProof/>
            <w:webHidden/>
          </w:rPr>
          <w:t>117</w:t>
        </w:r>
        <w:r w:rsidR="009123D8" w:rsidRPr="00CC6CA3">
          <w:rPr>
            <w:noProof/>
            <w:webHidden/>
          </w:rPr>
          <w:fldChar w:fldCharType="end"/>
        </w:r>
      </w:hyperlink>
    </w:p>
    <w:p w14:paraId="171E9A2F" w14:textId="265CBA0C" w:rsidR="009123D8" w:rsidRPr="00CC6CA3" w:rsidRDefault="00D62691">
      <w:pPr>
        <w:pStyle w:val="TableofFigures"/>
        <w:tabs>
          <w:tab w:val="right" w:leader="dot" w:pos="8755"/>
        </w:tabs>
        <w:rPr>
          <w:rFonts w:cstheme="minorBidi"/>
          <w:b w:val="0"/>
          <w:bCs w:val="0"/>
          <w:noProof/>
          <w:sz w:val="22"/>
          <w:szCs w:val="22"/>
        </w:rPr>
      </w:pPr>
      <w:hyperlink w:anchor="_Toc81553417" w:history="1">
        <w:r w:rsidR="009123D8" w:rsidRPr="00CC6CA3">
          <w:rPr>
            <w:rStyle w:val="Hyperlink"/>
            <w:noProof/>
            <w:color w:val="auto"/>
          </w:rPr>
          <w:t>Figure 4.53 2D contribution map of SAE model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_Toc81553417 \h </w:instrText>
        </w:r>
        <w:r w:rsidR="009123D8" w:rsidRPr="00CC6CA3">
          <w:rPr>
            <w:noProof/>
            <w:webHidden/>
          </w:rPr>
        </w:r>
        <w:r w:rsidR="009123D8" w:rsidRPr="00CC6CA3">
          <w:rPr>
            <w:noProof/>
            <w:webHidden/>
          </w:rPr>
          <w:fldChar w:fldCharType="separate"/>
        </w:r>
        <w:r w:rsidR="001906D9" w:rsidRPr="00CC6CA3">
          <w:rPr>
            <w:noProof/>
            <w:webHidden/>
          </w:rPr>
          <w:t>118</w:t>
        </w:r>
        <w:r w:rsidR="009123D8" w:rsidRPr="00CC6CA3">
          <w:rPr>
            <w:noProof/>
            <w:webHidden/>
          </w:rPr>
          <w:fldChar w:fldCharType="end"/>
        </w:r>
      </w:hyperlink>
    </w:p>
    <w:p w14:paraId="0C0DC71B" w14:textId="7298B752" w:rsidR="009123D8" w:rsidRPr="00CC6CA3" w:rsidRDefault="00D62691">
      <w:pPr>
        <w:pStyle w:val="TableofFigures"/>
        <w:tabs>
          <w:tab w:val="right" w:leader="dot" w:pos="8755"/>
        </w:tabs>
        <w:rPr>
          <w:rFonts w:cstheme="minorBidi"/>
          <w:b w:val="0"/>
          <w:bCs w:val="0"/>
          <w:noProof/>
          <w:sz w:val="22"/>
          <w:szCs w:val="22"/>
        </w:rPr>
      </w:pPr>
      <w:hyperlink w:anchor="_Toc81553418" w:history="1">
        <w:r w:rsidR="009123D8" w:rsidRPr="00CC6CA3">
          <w:rPr>
            <w:rStyle w:val="Hyperlink"/>
            <w:noProof/>
            <w:color w:val="auto"/>
          </w:rPr>
          <w:t>Figure 4.54 ROC and AUC value of SAE model for Case 3, (a) ROC curves for SAE model with different numbers of SAE nodes, (b) AUC values for SAE model with different numbers of nodes.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_Toc81553418 \h </w:instrText>
        </w:r>
        <w:r w:rsidR="009123D8" w:rsidRPr="00CC6CA3">
          <w:rPr>
            <w:noProof/>
            <w:webHidden/>
          </w:rPr>
        </w:r>
        <w:r w:rsidR="009123D8" w:rsidRPr="00CC6CA3">
          <w:rPr>
            <w:noProof/>
            <w:webHidden/>
          </w:rPr>
          <w:fldChar w:fldCharType="separate"/>
        </w:r>
        <w:r w:rsidR="001906D9" w:rsidRPr="00CC6CA3">
          <w:rPr>
            <w:noProof/>
            <w:webHidden/>
          </w:rPr>
          <w:t>118</w:t>
        </w:r>
        <w:r w:rsidR="009123D8" w:rsidRPr="00CC6CA3">
          <w:rPr>
            <w:noProof/>
            <w:webHidden/>
          </w:rPr>
          <w:fldChar w:fldCharType="end"/>
        </w:r>
      </w:hyperlink>
    </w:p>
    <w:p w14:paraId="079C1BF9" w14:textId="77158C30" w:rsidR="009123D8" w:rsidRPr="00CC6CA3" w:rsidRDefault="00D62691">
      <w:pPr>
        <w:pStyle w:val="TableofFigures"/>
        <w:tabs>
          <w:tab w:val="right" w:leader="dot" w:pos="8755"/>
        </w:tabs>
        <w:rPr>
          <w:rFonts w:cstheme="minorBidi"/>
          <w:b w:val="0"/>
          <w:bCs w:val="0"/>
          <w:noProof/>
          <w:sz w:val="22"/>
          <w:szCs w:val="22"/>
        </w:rPr>
      </w:pPr>
      <w:hyperlink w:anchor="_Toc81553419" w:history="1">
        <w:r w:rsidR="009123D8" w:rsidRPr="00CC6CA3">
          <w:rPr>
            <w:rStyle w:val="Hyperlink"/>
            <w:noProof/>
            <w:color w:val="auto"/>
          </w:rPr>
          <w:t>Figure 4.55 ROC curves and AUC values of SAE model for Case 3, (a) ROC curves for SAE model with different sparsity regularisation values, (b) AUC values for SAE model with different sparsity regularisation values.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_Toc81553419 \h </w:instrText>
        </w:r>
        <w:r w:rsidR="009123D8" w:rsidRPr="00CC6CA3">
          <w:rPr>
            <w:noProof/>
            <w:webHidden/>
          </w:rPr>
        </w:r>
        <w:r w:rsidR="009123D8" w:rsidRPr="00CC6CA3">
          <w:rPr>
            <w:noProof/>
            <w:webHidden/>
          </w:rPr>
          <w:fldChar w:fldCharType="separate"/>
        </w:r>
        <w:r w:rsidR="001906D9" w:rsidRPr="00CC6CA3">
          <w:rPr>
            <w:noProof/>
            <w:webHidden/>
          </w:rPr>
          <w:t>119</w:t>
        </w:r>
        <w:r w:rsidR="009123D8" w:rsidRPr="00CC6CA3">
          <w:rPr>
            <w:noProof/>
            <w:webHidden/>
          </w:rPr>
          <w:fldChar w:fldCharType="end"/>
        </w:r>
      </w:hyperlink>
    </w:p>
    <w:p w14:paraId="0AE9C5AD" w14:textId="4D10BE03" w:rsidR="009123D8" w:rsidRPr="00CC6CA3" w:rsidRDefault="00D62691">
      <w:pPr>
        <w:pStyle w:val="TableofFigures"/>
        <w:tabs>
          <w:tab w:val="right" w:leader="dot" w:pos="8755"/>
        </w:tabs>
        <w:rPr>
          <w:rFonts w:cstheme="minorBidi"/>
          <w:b w:val="0"/>
          <w:bCs w:val="0"/>
          <w:noProof/>
          <w:sz w:val="22"/>
          <w:szCs w:val="22"/>
        </w:rPr>
      </w:pPr>
      <w:hyperlink w:anchor="_Toc81553420" w:history="1">
        <w:r w:rsidR="009123D8" w:rsidRPr="00CC6CA3">
          <w:rPr>
            <w:rStyle w:val="Hyperlink"/>
            <w:noProof/>
            <w:color w:val="auto"/>
          </w:rPr>
          <w:t>Figure 4.56 AUC values for the SAE model with different numbers of nodes and sparsity regularisation for Case 3, (a) 3D figure, (b) 2D figure.</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_Toc81553420 \h </w:instrText>
        </w:r>
        <w:r w:rsidR="009123D8" w:rsidRPr="00CC6CA3">
          <w:rPr>
            <w:noProof/>
            <w:webHidden/>
          </w:rPr>
        </w:r>
        <w:r w:rsidR="009123D8" w:rsidRPr="00CC6CA3">
          <w:rPr>
            <w:noProof/>
            <w:webHidden/>
          </w:rPr>
          <w:fldChar w:fldCharType="separate"/>
        </w:r>
        <w:r w:rsidR="001906D9" w:rsidRPr="00CC6CA3">
          <w:rPr>
            <w:noProof/>
            <w:webHidden/>
          </w:rPr>
          <w:t>119</w:t>
        </w:r>
        <w:r w:rsidR="009123D8" w:rsidRPr="00CC6CA3">
          <w:rPr>
            <w:noProof/>
            <w:webHidden/>
          </w:rPr>
          <w:fldChar w:fldCharType="end"/>
        </w:r>
      </w:hyperlink>
    </w:p>
    <w:p w14:paraId="45512363" w14:textId="08E36432" w:rsidR="009123D8" w:rsidRPr="00CC6CA3" w:rsidRDefault="00D62691">
      <w:pPr>
        <w:pStyle w:val="TableofFigures"/>
        <w:tabs>
          <w:tab w:val="right" w:leader="dot" w:pos="8755"/>
        </w:tabs>
        <w:rPr>
          <w:rFonts w:cstheme="minorBidi"/>
          <w:b w:val="0"/>
          <w:bCs w:val="0"/>
          <w:noProof/>
          <w:sz w:val="22"/>
          <w:szCs w:val="22"/>
        </w:rPr>
      </w:pPr>
      <w:hyperlink w:anchor="_Toc81553421" w:history="1">
        <w:r w:rsidR="009123D8" w:rsidRPr="00CC6CA3">
          <w:rPr>
            <w:rStyle w:val="Hyperlink"/>
            <w:noProof/>
            <w:color w:val="auto"/>
          </w:rPr>
          <w:t>Figure 4.57 Fault detection results of three models for Case 1, (a) NARX model, (b) PCA model, (c) SAE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_Toc81553421 \h </w:instrText>
        </w:r>
        <w:r w:rsidR="009123D8" w:rsidRPr="00CC6CA3">
          <w:rPr>
            <w:noProof/>
            <w:webHidden/>
          </w:rPr>
        </w:r>
        <w:r w:rsidR="009123D8" w:rsidRPr="00CC6CA3">
          <w:rPr>
            <w:noProof/>
            <w:webHidden/>
          </w:rPr>
          <w:fldChar w:fldCharType="separate"/>
        </w:r>
        <w:r w:rsidR="001906D9" w:rsidRPr="00CC6CA3">
          <w:rPr>
            <w:noProof/>
            <w:webHidden/>
          </w:rPr>
          <w:t>120</w:t>
        </w:r>
        <w:r w:rsidR="009123D8" w:rsidRPr="00CC6CA3">
          <w:rPr>
            <w:noProof/>
            <w:webHidden/>
          </w:rPr>
          <w:fldChar w:fldCharType="end"/>
        </w:r>
      </w:hyperlink>
    </w:p>
    <w:p w14:paraId="54C766E1" w14:textId="6A497D4A" w:rsidR="009123D8" w:rsidRPr="00CC6CA3" w:rsidRDefault="00D62691">
      <w:pPr>
        <w:pStyle w:val="TableofFigures"/>
        <w:tabs>
          <w:tab w:val="right" w:leader="dot" w:pos="8755"/>
        </w:tabs>
        <w:rPr>
          <w:rFonts w:cstheme="minorBidi"/>
          <w:b w:val="0"/>
          <w:bCs w:val="0"/>
          <w:noProof/>
          <w:sz w:val="22"/>
          <w:szCs w:val="22"/>
        </w:rPr>
      </w:pPr>
      <w:hyperlink w:anchor="_Toc81553422" w:history="1">
        <w:r w:rsidR="009123D8" w:rsidRPr="00CC6CA3">
          <w:rPr>
            <w:rStyle w:val="Hyperlink"/>
            <w:noProof/>
            <w:color w:val="auto"/>
          </w:rPr>
          <w:t>Figure 4.58 AUC values of the three models with parameters change for Case 1, (a) AUC value of PCA model with varied number of principal components, (b) AUC value of NARX model with varying number of nodes in the hidden layer and delay time change, (c) AUC value of NARX model with varying number of nodes in the hidden layer and sparsity regularisation change, (d) the maximum AUC value of the three fault detection models.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_Toc81553422 \h </w:instrText>
        </w:r>
        <w:r w:rsidR="009123D8" w:rsidRPr="00CC6CA3">
          <w:rPr>
            <w:noProof/>
            <w:webHidden/>
          </w:rPr>
        </w:r>
        <w:r w:rsidR="009123D8" w:rsidRPr="00CC6CA3">
          <w:rPr>
            <w:noProof/>
            <w:webHidden/>
          </w:rPr>
          <w:fldChar w:fldCharType="separate"/>
        </w:r>
        <w:r w:rsidR="001906D9" w:rsidRPr="00CC6CA3">
          <w:rPr>
            <w:noProof/>
            <w:webHidden/>
          </w:rPr>
          <w:t>121</w:t>
        </w:r>
        <w:r w:rsidR="009123D8" w:rsidRPr="00CC6CA3">
          <w:rPr>
            <w:noProof/>
            <w:webHidden/>
          </w:rPr>
          <w:fldChar w:fldCharType="end"/>
        </w:r>
      </w:hyperlink>
    </w:p>
    <w:p w14:paraId="00C29E62" w14:textId="79EF6EEF" w:rsidR="009123D8" w:rsidRPr="00CC6CA3" w:rsidRDefault="00D62691">
      <w:pPr>
        <w:pStyle w:val="TableofFigures"/>
        <w:tabs>
          <w:tab w:val="right" w:leader="dot" w:pos="8755"/>
        </w:tabs>
        <w:rPr>
          <w:rFonts w:cstheme="minorBidi"/>
          <w:b w:val="0"/>
          <w:bCs w:val="0"/>
          <w:noProof/>
          <w:sz w:val="22"/>
          <w:szCs w:val="22"/>
        </w:rPr>
      </w:pPr>
      <w:hyperlink w:anchor="_Toc81553423" w:history="1">
        <w:r w:rsidR="009123D8" w:rsidRPr="00CC6CA3">
          <w:rPr>
            <w:rStyle w:val="Hyperlink"/>
            <w:noProof/>
            <w:color w:val="auto"/>
          </w:rPr>
          <w:t>Figure 4.59 Fault detection results for Case 2, (a) NARX model, (b) PCA model, (c) SAE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_Toc81553423 \h </w:instrText>
        </w:r>
        <w:r w:rsidR="009123D8" w:rsidRPr="00CC6CA3">
          <w:rPr>
            <w:noProof/>
            <w:webHidden/>
          </w:rPr>
        </w:r>
        <w:r w:rsidR="009123D8" w:rsidRPr="00CC6CA3">
          <w:rPr>
            <w:noProof/>
            <w:webHidden/>
          </w:rPr>
          <w:fldChar w:fldCharType="separate"/>
        </w:r>
        <w:r w:rsidR="001906D9" w:rsidRPr="00CC6CA3">
          <w:rPr>
            <w:noProof/>
            <w:webHidden/>
          </w:rPr>
          <w:t>122</w:t>
        </w:r>
        <w:r w:rsidR="009123D8" w:rsidRPr="00CC6CA3">
          <w:rPr>
            <w:noProof/>
            <w:webHidden/>
          </w:rPr>
          <w:fldChar w:fldCharType="end"/>
        </w:r>
      </w:hyperlink>
    </w:p>
    <w:p w14:paraId="4542C482" w14:textId="4D878EC6" w:rsidR="009123D8" w:rsidRPr="00CC6CA3" w:rsidRDefault="00D62691">
      <w:pPr>
        <w:pStyle w:val="TableofFigures"/>
        <w:tabs>
          <w:tab w:val="right" w:leader="dot" w:pos="8755"/>
        </w:tabs>
        <w:rPr>
          <w:rFonts w:cstheme="minorBidi"/>
          <w:b w:val="0"/>
          <w:bCs w:val="0"/>
          <w:noProof/>
          <w:sz w:val="22"/>
          <w:szCs w:val="22"/>
        </w:rPr>
      </w:pPr>
      <w:hyperlink w:anchor="_Toc81553424" w:history="1">
        <w:r w:rsidR="009123D8" w:rsidRPr="00CC6CA3">
          <w:rPr>
            <w:rStyle w:val="Hyperlink"/>
            <w:noProof/>
            <w:color w:val="auto"/>
          </w:rPr>
          <w:t>Figure 4.60 AUC values of the three models for Case 2 with parameters changes, (a) AUC value for PCA model with number of principal components, (b) AUC value for NARX model with number of nodes in the hidden layer and change in delay time, (c) AUC value for SAE model with numbers of nodes in the hidden layer and changes in sparsity regularisation, (d) the maximum AUC value for the three fault detection models.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_Toc81553424 \h </w:instrText>
        </w:r>
        <w:r w:rsidR="009123D8" w:rsidRPr="00CC6CA3">
          <w:rPr>
            <w:noProof/>
            <w:webHidden/>
          </w:rPr>
        </w:r>
        <w:r w:rsidR="009123D8" w:rsidRPr="00CC6CA3">
          <w:rPr>
            <w:noProof/>
            <w:webHidden/>
          </w:rPr>
          <w:fldChar w:fldCharType="separate"/>
        </w:r>
        <w:r w:rsidR="001906D9" w:rsidRPr="00CC6CA3">
          <w:rPr>
            <w:noProof/>
            <w:webHidden/>
          </w:rPr>
          <w:t>123</w:t>
        </w:r>
        <w:r w:rsidR="009123D8" w:rsidRPr="00CC6CA3">
          <w:rPr>
            <w:noProof/>
            <w:webHidden/>
          </w:rPr>
          <w:fldChar w:fldCharType="end"/>
        </w:r>
      </w:hyperlink>
    </w:p>
    <w:p w14:paraId="2D797DD4" w14:textId="321FFDE4" w:rsidR="009123D8" w:rsidRPr="00CC6CA3" w:rsidRDefault="00D62691">
      <w:pPr>
        <w:pStyle w:val="TableofFigures"/>
        <w:tabs>
          <w:tab w:val="right" w:leader="dot" w:pos="8755"/>
        </w:tabs>
        <w:rPr>
          <w:rFonts w:cstheme="minorBidi"/>
          <w:b w:val="0"/>
          <w:bCs w:val="0"/>
          <w:noProof/>
          <w:sz w:val="22"/>
          <w:szCs w:val="22"/>
        </w:rPr>
      </w:pPr>
      <w:hyperlink w:anchor="_Toc81553425" w:history="1">
        <w:r w:rsidR="009123D8" w:rsidRPr="00CC6CA3">
          <w:rPr>
            <w:rStyle w:val="Hyperlink"/>
            <w:noProof/>
            <w:color w:val="auto"/>
          </w:rPr>
          <w:t>Figure 4.61 AUC values of the three models with parametric changes for detection of bearing fault in Case 2, (a) AUC value of PCA model with number of principal components, (b) AUC value of NARX model with number of nodes in the hidden layer and delay time, (c) AUC value of SAE model with number of nodes in the hidden layer and sparsity regularisation, (d) maximum AUC values for the three fault detection models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_Toc81553425 \h </w:instrText>
        </w:r>
        <w:r w:rsidR="009123D8" w:rsidRPr="00CC6CA3">
          <w:rPr>
            <w:noProof/>
            <w:webHidden/>
          </w:rPr>
        </w:r>
        <w:r w:rsidR="009123D8" w:rsidRPr="00CC6CA3">
          <w:rPr>
            <w:noProof/>
            <w:webHidden/>
          </w:rPr>
          <w:fldChar w:fldCharType="separate"/>
        </w:r>
        <w:r w:rsidR="001906D9" w:rsidRPr="00CC6CA3">
          <w:rPr>
            <w:noProof/>
            <w:webHidden/>
          </w:rPr>
          <w:t>125</w:t>
        </w:r>
        <w:r w:rsidR="009123D8" w:rsidRPr="00CC6CA3">
          <w:rPr>
            <w:noProof/>
            <w:webHidden/>
          </w:rPr>
          <w:fldChar w:fldCharType="end"/>
        </w:r>
      </w:hyperlink>
    </w:p>
    <w:p w14:paraId="28DD01B6" w14:textId="2EB16DB6" w:rsidR="009123D8" w:rsidRPr="00CC6CA3" w:rsidRDefault="00D62691">
      <w:pPr>
        <w:pStyle w:val="TableofFigures"/>
        <w:tabs>
          <w:tab w:val="right" w:leader="dot" w:pos="8755"/>
        </w:tabs>
        <w:rPr>
          <w:rFonts w:cstheme="minorBidi"/>
          <w:b w:val="0"/>
          <w:bCs w:val="0"/>
          <w:noProof/>
          <w:sz w:val="22"/>
          <w:szCs w:val="22"/>
        </w:rPr>
      </w:pPr>
      <w:hyperlink w:anchor="_Toc81553426" w:history="1">
        <w:r w:rsidR="009123D8" w:rsidRPr="00CC6CA3">
          <w:rPr>
            <w:rStyle w:val="Hyperlink"/>
            <w:noProof/>
            <w:color w:val="auto"/>
          </w:rPr>
          <w:t>Figure 4.62 Fault detection results of three models for Case 3, (a) NARX model, (b) PCA model, (c) SAE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_Toc81553426 \h </w:instrText>
        </w:r>
        <w:r w:rsidR="009123D8" w:rsidRPr="00CC6CA3">
          <w:rPr>
            <w:noProof/>
            <w:webHidden/>
          </w:rPr>
        </w:r>
        <w:r w:rsidR="009123D8" w:rsidRPr="00CC6CA3">
          <w:rPr>
            <w:noProof/>
            <w:webHidden/>
          </w:rPr>
          <w:fldChar w:fldCharType="separate"/>
        </w:r>
        <w:r w:rsidR="001906D9" w:rsidRPr="00CC6CA3">
          <w:rPr>
            <w:noProof/>
            <w:webHidden/>
          </w:rPr>
          <w:t>126</w:t>
        </w:r>
        <w:r w:rsidR="009123D8" w:rsidRPr="00CC6CA3">
          <w:rPr>
            <w:noProof/>
            <w:webHidden/>
          </w:rPr>
          <w:fldChar w:fldCharType="end"/>
        </w:r>
      </w:hyperlink>
    </w:p>
    <w:p w14:paraId="419778D6" w14:textId="671AE131" w:rsidR="009123D8" w:rsidRPr="00CC6CA3" w:rsidRDefault="00D62691">
      <w:pPr>
        <w:pStyle w:val="TableofFigures"/>
        <w:tabs>
          <w:tab w:val="right" w:leader="dot" w:pos="8755"/>
        </w:tabs>
        <w:rPr>
          <w:rFonts w:cstheme="minorBidi"/>
          <w:b w:val="0"/>
          <w:bCs w:val="0"/>
          <w:noProof/>
          <w:sz w:val="22"/>
          <w:szCs w:val="22"/>
        </w:rPr>
      </w:pPr>
      <w:hyperlink w:anchor="_Toc81553427" w:history="1">
        <w:r w:rsidR="009123D8" w:rsidRPr="00CC6CA3">
          <w:rPr>
            <w:rStyle w:val="Hyperlink"/>
            <w:noProof/>
            <w:color w:val="auto"/>
          </w:rPr>
          <w:t>Figure 4.63 AUC values of the three models with parametric changes for Case 3, (a) AUC value of PCA model with numbers of principal components change, (b) AUC value of NARX model with changes in number of nodes in the hidden layer and delay time, (c) AUC value of NARX model with changes in number of nodes in the hidden layer and sparsity regularisation, (d) the maximum AUC value of the three fault detection models.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_Toc81553427 \h </w:instrText>
        </w:r>
        <w:r w:rsidR="009123D8" w:rsidRPr="00CC6CA3">
          <w:rPr>
            <w:noProof/>
            <w:webHidden/>
          </w:rPr>
        </w:r>
        <w:r w:rsidR="009123D8" w:rsidRPr="00CC6CA3">
          <w:rPr>
            <w:noProof/>
            <w:webHidden/>
          </w:rPr>
          <w:fldChar w:fldCharType="separate"/>
        </w:r>
        <w:r w:rsidR="001906D9" w:rsidRPr="00CC6CA3">
          <w:rPr>
            <w:noProof/>
            <w:webHidden/>
          </w:rPr>
          <w:t>127</w:t>
        </w:r>
        <w:r w:rsidR="009123D8" w:rsidRPr="00CC6CA3">
          <w:rPr>
            <w:noProof/>
            <w:webHidden/>
          </w:rPr>
          <w:fldChar w:fldCharType="end"/>
        </w:r>
      </w:hyperlink>
    </w:p>
    <w:p w14:paraId="6B037BC9" w14:textId="1E5FFF94" w:rsidR="009123D8" w:rsidRPr="00CC6CA3" w:rsidRDefault="00D62691">
      <w:pPr>
        <w:pStyle w:val="TableofFigures"/>
        <w:tabs>
          <w:tab w:val="right" w:leader="dot" w:pos="8755"/>
        </w:tabs>
        <w:rPr>
          <w:rFonts w:cstheme="minorBidi"/>
          <w:b w:val="0"/>
          <w:bCs w:val="0"/>
          <w:noProof/>
          <w:sz w:val="22"/>
          <w:szCs w:val="22"/>
        </w:rPr>
      </w:pPr>
      <w:hyperlink w:anchor="_Toc81553428" w:history="1">
        <w:r w:rsidR="009123D8" w:rsidRPr="00CC6CA3">
          <w:rPr>
            <w:rStyle w:val="Hyperlink"/>
            <w:noProof/>
            <w:color w:val="auto"/>
          </w:rPr>
          <w:t xml:space="preserve">Figure 5.1 Flow chart of condition-based risk assessment maintenance methodology using a PCA approach </w:t>
        </w:r>
        <w:r w:rsidR="009123D8" w:rsidRPr="00CC6CA3">
          <w:rPr>
            <w:rStyle w:val="Hyperlink"/>
            <w:rFonts w:cs="Times New Roman"/>
            <w:noProof/>
            <w:color w:val="auto"/>
          </w:rPr>
          <w:t>[94]</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_Toc81553428 \h </w:instrText>
        </w:r>
        <w:r w:rsidR="009123D8" w:rsidRPr="00CC6CA3">
          <w:rPr>
            <w:noProof/>
            <w:webHidden/>
          </w:rPr>
        </w:r>
        <w:r w:rsidR="009123D8" w:rsidRPr="00CC6CA3">
          <w:rPr>
            <w:noProof/>
            <w:webHidden/>
          </w:rPr>
          <w:fldChar w:fldCharType="separate"/>
        </w:r>
        <w:r w:rsidR="001906D9" w:rsidRPr="00CC6CA3">
          <w:rPr>
            <w:noProof/>
            <w:webHidden/>
          </w:rPr>
          <w:t>131</w:t>
        </w:r>
        <w:r w:rsidR="009123D8" w:rsidRPr="00CC6CA3">
          <w:rPr>
            <w:noProof/>
            <w:webHidden/>
          </w:rPr>
          <w:fldChar w:fldCharType="end"/>
        </w:r>
      </w:hyperlink>
    </w:p>
    <w:p w14:paraId="7FB0CA3F" w14:textId="1DCA1033" w:rsidR="009123D8" w:rsidRPr="00CC6CA3" w:rsidRDefault="00D62691">
      <w:pPr>
        <w:pStyle w:val="TableofFigures"/>
        <w:tabs>
          <w:tab w:val="right" w:leader="dot" w:pos="8755"/>
        </w:tabs>
        <w:rPr>
          <w:rFonts w:cstheme="minorBidi"/>
          <w:b w:val="0"/>
          <w:bCs w:val="0"/>
          <w:noProof/>
          <w:sz w:val="22"/>
          <w:szCs w:val="22"/>
        </w:rPr>
      </w:pPr>
      <w:hyperlink w:anchor="_Toc81553429" w:history="1">
        <w:r w:rsidR="009123D8" w:rsidRPr="00CC6CA3">
          <w:rPr>
            <w:rStyle w:val="Hyperlink"/>
            <w:noProof/>
            <w:color w:val="auto"/>
          </w:rPr>
          <w:t>Figure 5.2 True and predicted values for the first order principal component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_Toc81553429 \h </w:instrText>
        </w:r>
        <w:r w:rsidR="009123D8" w:rsidRPr="00CC6CA3">
          <w:rPr>
            <w:noProof/>
            <w:webHidden/>
          </w:rPr>
        </w:r>
        <w:r w:rsidR="009123D8" w:rsidRPr="00CC6CA3">
          <w:rPr>
            <w:noProof/>
            <w:webHidden/>
          </w:rPr>
          <w:fldChar w:fldCharType="separate"/>
        </w:r>
        <w:r w:rsidR="001906D9" w:rsidRPr="00CC6CA3">
          <w:rPr>
            <w:noProof/>
            <w:webHidden/>
          </w:rPr>
          <w:t>134</w:t>
        </w:r>
        <w:r w:rsidR="009123D8" w:rsidRPr="00CC6CA3">
          <w:rPr>
            <w:noProof/>
            <w:webHidden/>
          </w:rPr>
          <w:fldChar w:fldCharType="end"/>
        </w:r>
      </w:hyperlink>
    </w:p>
    <w:p w14:paraId="3C4BD962" w14:textId="77E640CF" w:rsidR="009123D8" w:rsidRPr="00CC6CA3" w:rsidRDefault="00D62691">
      <w:pPr>
        <w:pStyle w:val="TableofFigures"/>
        <w:tabs>
          <w:tab w:val="right" w:leader="dot" w:pos="8755"/>
        </w:tabs>
        <w:rPr>
          <w:rFonts w:cstheme="minorBidi"/>
          <w:b w:val="0"/>
          <w:bCs w:val="0"/>
          <w:noProof/>
          <w:sz w:val="22"/>
          <w:szCs w:val="22"/>
        </w:rPr>
      </w:pPr>
      <w:hyperlink w:anchor="_Toc81553430" w:history="1">
        <w:r w:rsidR="009123D8" w:rsidRPr="00CC6CA3">
          <w:rPr>
            <w:rStyle w:val="Hyperlink"/>
            <w:noProof/>
            <w:color w:val="auto"/>
          </w:rPr>
          <w:t>Figure 5.3 POF of the pump system for Case 1 based on PCA method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_Toc81553430 \h </w:instrText>
        </w:r>
        <w:r w:rsidR="009123D8" w:rsidRPr="00CC6CA3">
          <w:rPr>
            <w:noProof/>
            <w:webHidden/>
          </w:rPr>
        </w:r>
        <w:r w:rsidR="009123D8" w:rsidRPr="00CC6CA3">
          <w:rPr>
            <w:noProof/>
            <w:webHidden/>
          </w:rPr>
          <w:fldChar w:fldCharType="separate"/>
        </w:r>
        <w:r w:rsidR="001906D9" w:rsidRPr="00CC6CA3">
          <w:rPr>
            <w:noProof/>
            <w:webHidden/>
          </w:rPr>
          <w:t>134</w:t>
        </w:r>
        <w:r w:rsidR="009123D8" w:rsidRPr="00CC6CA3">
          <w:rPr>
            <w:noProof/>
            <w:webHidden/>
          </w:rPr>
          <w:fldChar w:fldCharType="end"/>
        </w:r>
      </w:hyperlink>
    </w:p>
    <w:p w14:paraId="44DF603D" w14:textId="61C3EA7A" w:rsidR="009123D8" w:rsidRPr="00CC6CA3" w:rsidRDefault="00D62691">
      <w:pPr>
        <w:pStyle w:val="TableofFigures"/>
        <w:tabs>
          <w:tab w:val="right" w:leader="dot" w:pos="8755"/>
        </w:tabs>
        <w:rPr>
          <w:rFonts w:cstheme="minorBidi"/>
          <w:b w:val="0"/>
          <w:bCs w:val="0"/>
          <w:noProof/>
          <w:sz w:val="22"/>
          <w:szCs w:val="22"/>
        </w:rPr>
      </w:pPr>
      <w:hyperlink w:anchor="_Toc81553431" w:history="1">
        <w:r w:rsidR="009123D8" w:rsidRPr="00CC6CA3">
          <w:rPr>
            <w:rStyle w:val="Hyperlink"/>
            <w:noProof/>
            <w:color w:val="auto"/>
          </w:rPr>
          <w:t>Figure 5.4 Severity score of a fault happening in the pump system in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_Toc81553431 \h </w:instrText>
        </w:r>
        <w:r w:rsidR="009123D8" w:rsidRPr="00CC6CA3">
          <w:rPr>
            <w:noProof/>
            <w:webHidden/>
          </w:rPr>
        </w:r>
        <w:r w:rsidR="009123D8" w:rsidRPr="00CC6CA3">
          <w:rPr>
            <w:noProof/>
            <w:webHidden/>
          </w:rPr>
          <w:fldChar w:fldCharType="separate"/>
        </w:r>
        <w:r w:rsidR="001906D9" w:rsidRPr="00CC6CA3">
          <w:rPr>
            <w:noProof/>
            <w:webHidden/>
          </w:rPr>
          <w:t>135</w:t>
        </w:r>
        <w:r w:rsidR="009123D8" w:rsidRPr="00CC6CA3">
          <w:rPr>
            <w:noProof/>
            <w:webHidden/>
          </w:rPr>
          <w:fldChar w:fldCharType="end"/>
        </w:r>
      </w:hyperlink>
    </w:p>
    <w:p w14:paraId="487BE39E" w14:textId="131C9263" w:rsidR="009123D8" w:rsidRPr="00CC6CA3" w:rsidRDefault="00D62691">
      <w:pPr>
        <w:pStyle w:val="TableofFigures"/>
        <w:tabs>
          <w:tab w:val="right" w:leader="dot" w:pos="8755"/>
        </w:tabs>
        <w:rPr>
          <w:rFonts w:cstheme="minorBidi"/>
          <w:b w:val="0"/>
          <w:bCs w:val="0"/>
          <w:noProof/>
          <w:sz w:val="22"/>
          <w:szCs w:val="22"/>
        </w:rPr>
      </w:pPr>
      <w:hyperlink w:anchor="_Toc81553432" w:history="1">
        <w:r w:rsidR="009123D8" w:rsidRPr="00CC6CA3">
          <w:rPr>
            <w:rStyle w:val="Hyperlink"/>
            <w:noProof/>
            <w:color w:val="auto"/>
          </w:rPr>
          <w:t>Figure 5.5 Risk profile of the pump using the first principal component.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_Toc81553432 \h </w:instrText>
        </w:r>
        <w:r w:rsidR="009123D8" w:rsidRPr="00CC6CA3">
          <w:rPr>
            <w:noProof/>
            <w:webHidden/>
          </w:rPr>
        </w:r>
        <w:r w:rsidR="009123D8" w:rsidRPr="00CC6CA3">
          <w:rPr>
            <w:noProof/>
            <w:webHidden/>
          </w:rPr>
          <w:fldChar w:fldCharType="separate"/>
        </w:r>
        <w:r w:rsidR="001906D9" w:rsidRPr="00CC6CA3">
          <w:rPr>
            <w:noProof/>
            <w:webHidden/>
          </w:rPr>
          <w:t>136</w:t>
        </w:r>
        <w:r w:rsidR="009123D8" w:rsidRPr="00CC6CA3">
          <w:rPr>
            <w:noProof/>
            <w:webHidden/>
          </w:rPr>
          <w:fldChar w:fldCharType="end"/>
        </w:r>
      </w:hyperlink>
    </w:p>
    <w:p w14:paraId="53D80DF9" w14:textId="111A8E52" w:rsidR="009123D8" w:rsidRPr="00CC6CA3" w:rsidRDefault="00D62691">
      <w:pPr>
        <w:pStyle w:val="TableofFigures"/>
        <w:tabs>
          <w:tab w:val="right" w:leader="dot" w:pos="8755"/>
        </w:tabs>
        <w:rPr>
          <w:rFonts w:cstheme="minorBidi"/>
          <w:b w:val="0"/>
          <w:bCs w:val="0"/>
          <w:noProof/>
          <w:sz w:val="22"/>
          <w:szCs w:val="22"/>
        </w:rPr>
      </w:pPr>
      <w:hyperlink w:anchor="_Toc81553433" w:history="1">
        <w:r w:rsidR="009123D8" w:rsidRPr="00CC6CA3">
          <w:rPr>
            <w:rStyle w:val="Hyperlink"/>
            <w:noProof/>
            <w:color w:val="auto"/>
          </w:rPr>
          <w:t>Figure 5.6 The true values and the predicted results of the principal components for Case 2, (a) the results for the 5</w:t>
        </w:r>
        <w:r w:rsidR="009123D8" w:rsidRPr="00CC6CA3">
          <w:rPr>
            <w:rStyle w:val="Hyperlink"/>
            <w:noProof/>
            <w:color w:val="auto"/>
            <w:vertAlign w:val="superscript"/>
          </w:rPr>
          <w:t>th</w:t>
        </w:r>
        <w:r w:rsidR="009123D8" w:rsidRPr="00CC6CA3">
          <w:rPr>
            <w:rStyle w:val="Hyperlink"/>
            <w:noProof/>
            <w:color w:val="auto"/>
          </w:rPr>
          <w:t xml:space="preserve"> principal component, (b) the results for the 9</w:t>
        </w:r>
        <w:r w:rsidR="009123D8" w:rsidRPr="00CC6CA3">
          <w:rPr>
            <w:rStyle w:val="Hyperlink"/>
            <w:noProof/>
            <w:color w:val="auto"/>
            <w:vertAlign w:val="superscript"/>
          </w:rPr>
          <w:t>th</w:t>
        </w:r>
        <w:r w:rsidR="009123D8" w:rsidRPr="00CC6CA3">
          <w:rPr>
            <w:rStyle w:val="Hyperlink"/>
            <w:noProof/>
            <w:color w:val="auto"/>
          </w:rPr>
          <w:t xml:space="preserve"> principal component.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_Toc81553433 \h </w:instrText>
        </w:r>
        <w:r w:rsidR="009123D8" w:rsidRPr="00CC6CA3">
          <w:rPr>
            <w:noProof/>
            <w:webHidden/>
          </w:rPr>
        </w:r>
        <w:r w:rsidR="009123D8" w:rsidRPr="00CC6CA3">
          <w:rPr>
            <w:noProof/>
            <w:webHidden/>
          </w:rPr>
          <w:fldChar w:fldCharType="separate"/>
        </w:r>
        <w:r w:rsidR="001906D9" w:rsidRPr="00CC6CA3">
          <w:rPr>
            <w:noProof/>
            <w:webHidden/>
          </w:rPr>
          <w:t>138</w:t>
        </w:r>
        <w:r w:rsidR="009123D8" w:rsidRPr="00CC6CA3">
          <w:rPr>
            <w:noProof/>
            <w:webHidden/>
          </w:rPr>
          <w:fldChar w:fldCharType="end"/>
        </w:r>
      </w:hyperlink>
    </w:p>
    <w:p w14:paraId="229CE0AD" w14:textId="26176A78" w:rsidR="009123D8" w:rsidRPr="00CC6CA3" w:rsidRDefault="00D62691">
      <w:pPr>
        <w:pStyle w:val="TableofFigures"/>
        <w:tabs>
          <w:tab w:val="right" w:leader="dot" w:pos="8755"/>
        </w:tabs>
        <w:rPr>
          <w:rFonts w:cstheme="minorBidi"/>
          <w:b w:val="0"/>
          <w:bCs w:val="0"/>
          <w:noProof/>
          <w:sz w:val="22"/>
          <w:szCs w:val="22"/>
        </w:rPr>
      </w:pPr>
      <w:hyperlink w:anchor="_Toc81553434" w:history="1">
        <w:r w:rsidR="009123D8" w:rsidRPr="00CC6CA3">
          <w:rPr>
            <w:rStyle w:val="Hyperlink"/>
            <w:noProof/>
            <w:color w:val="auto"/>
          </w:rPr>
          <w:t>Figure 5.7 Risk profile of the pump for Case 2, (a) risk profile calculated using the 5</w:t>
        </w:r>
        <w:r w:rsidR="009123D8" w:rsidRPr="00CC6CA3">
          <w:rPr>
            <w:rStyle w:val="Hyperlink"/>
            <w:noProof/>
            <w:color w:val="auto"/>
            <w:vertAlign w:val="superscript"/>
          </w:rPr>
          <w:t>th</w:t>
        </w:r>
        <w:r w:rsidR="009123D8" w:rsidRPr="00CC6CA3">
          <w:rPr>
            <w:rStyle w:val="Hyperlink"/>
            <w:noProof/>
            <w:color w:val="auto"/>
          </w:rPr>
          <w:t xml:space="preserve"> principal component, (b) risk profile calculated using the 9</w:t>
        </w:r>
        <w:r w:rsidR="009123D8" w:rsidRPr="00CC6CA3">
          <w:rPr>
            <w:rStyle w:val="Hyperlink"/>
            <w:noProof/>
            <w:color w:val="auto"/>
            <w:vertAlign w:val="superscript"/>
          </w:rPr>
          <w:t>th</w:t>
        </w:r>
        <w:r w:rsidR="009123D8" w:rsidRPr="00CC6CA3">
          <w:rPr>
            <w:rStyle w:val="Hyperlink"/>
            <w:noProof/>
            <w:color w:val="auto"/>
          </w:rPr>
          <w:t xml:space="preserve"> principal component.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_Toc81553434 \h </w:instrText>
        </w:r>
        <w:r w:rsidR="009123D8" w:rsidRPr="00CC6CA3">
          <w:rPr>
            <w:noProof/>
            <w:webHidden/>
          </w:rPr>
        </w:r>
        <w:r w:rsidR="009123D8" w:rsidRPr="00CC6CA3">
          <w:rPr>
            <w:noProof/>
            <w:webHidden/>
          </w:rPr>
          <w:fldChar w:fldCharType="separate"/>
        </w:r>
        <w:r w:rsidR="001906D9" w:rsidRPr="00CC6CA3">
          <w:rPr>
            <w:noProof/>
            <w:webHidden/>
          </w:rPr>
          <w:t>139</w:t>
        </w:r>
        <w:r w:rsidR="009123D8" w:rsidRPr="00CC6CA3">
          <w:rPr>
            <w:noProof/>
            <w:webHidden/>
          </w:rPr>
          <w:fldChar w:fldCharType="end"/>
        </w:r>
      </w:hyperlink>
    </w:p>
    <w:p w14:paraId="776410CE" w14:textId="4CA21C64" w:rsidR="009123D8" w:rsidRPr="00CC6CA3" w:rsidRDefault="00D62691">
      <w:pPr>
        <w:pStyle w:val="TableofFigures"/>
        <w:tabs>
          <w:tab w:val="right" w:leader="dot" w:pos="8755"/>
        </w:tabs>
        <w:rPr>
          <w:rFonts w:cstheme="minorBidi"/>
          <w:b w:val="0"/>
          <w:bCs w:val="0"/>
          <w:noProof/>
          <w:sz w:val="22"/>
          <w:szCs w:val="22"/>
        </w:rPr>
      </w:pPr>
      <w:hyperlink w:anchor="_Toc81553435" w:history="1">
        <w:r w:rsidR="009123D8" w:rsidRPr="00CC6CA3">
          <w:rPr>
            <w:rStyle w:val="Hyperlink"/>
            <w:noProof/>
            <w:color w:val="auto"/>
          </w:rPr>
          <w:t>Figure 5.8 The true value and the prediction results of the 3</w:t>
        </w:r>
        <w:r w:rsidR="009123D8" w:rsidRPr="00CC6CA3">
          <w:rPr>
            <w:rStyle w:val="Hyperlink"/>
            <w:noProof/>
            <w:color w:val="auto"/>
            <w:vertAlign w:val="superscript"/>
          </w:rPr>
          <w:t>rd</w:t>
        </w:r>
        <w:r w:rsidR="009123D8" w:rsidRPr="00CC6CA3">
          <w:rPr>
            <w:rStyle w:val="Hyperlink"/>
            <w:noProof/>
            <w:color w:val="auto"/>
          </w:rPr>
          <w:t xml:space="preserve"> principal component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_Toc81553435 \h </w:instrText>
        </w:r>
        <w:r w:rsidR="009123D8" w:rsidRPr="00CC6CA3">
          <w:rPr>
            <w:noProof/>
            <w:webHidden/>
          </w:rPr>
        </w:r>
        <w:r w:rsidR="009123D8" w:rsidRPr="00CC6CA3">
          <w:rPr>
            <w:noProof/>
            <w:webHidden/>
          </w:rPr>
          <w:fldChar w:fldCharType="separate"/>
        </w:r>
        <w:r w:rsidR="001906D9" w:rsidRPr="00CC6CA3">
          <w:rPr>
            <w:noProof/>
            <w:webHidden/>
          </w:rPr>
          <w:t>141</w:t>
        </w:r>
        <w:r w:rsidR="009123D8" w:rsidRPr="00CC6CA3">
          <w:rPr>
            <w:noProof/>
            <w:webHidden/>
          </w:rPr>
          <w:fldChar w:fldCharType="end"/>
        </w:r>
      </w:hyperlink>
    </w:p>
    <w:p w14:paraId="54E5A55F" w14:textId="52279178" w:rsidR="009123D8" w:rsidRPr="00CC6CA3" w:rsidRDefault="00D62691">
      <w:pPr>
        <w:pStyle w:val="TableofFigures"/>
        <w:tabs>
          <w:tab w:val="right" w:leader="dot" w:pos="8755"/>
        </w:tabs>
        <w:rPr>
          <w:rFonts w:cstheme="minorBidi"/>
          <w:b w:val="0"/>
          <w:bCs w:val="0"/>
          <w:noProof/>
          <w:sz w:val="22"/>
          <w:szCs w:val="22"/>
        </w:rPr>
      </w:pPr>
      <w:hyperlink w:anchor="_Toc81553436" w:history="1">
        <w:r w:rsidR="009123D8" w:rsidRPr="00CC6CA3">
          <w:rPr>
            <w:rStyle w:val="Hyperlink"/>
            <w:noProof/>
            <w:color w:val="auto"/>
          </w:rPr>
          <w:t>Figure 5.9 POF of the compressor system for Case 3 based on PCA method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_Toc81553436 \h </w:instrText>
        </w:r>
        <w:r w:rsidR="009123D8" w:rsidRPr="00CC6CA3">
          <w:rPr>
            <w:noProof/>
            <w:webHidden/>
          </w:rPr>
        </w:r>
        <w:r w:rsidR="009123D8" w:rsidRPr="00CC6CA3">
          <w:rPr>
            <w:noProof/>
            <w:webHidden/>
          </w:rPr>
          <w:fldChar w:fldCharType="separate"/>
        </w:r>
        <w:r w:rsidR="001906D9" w:rsidRPr="00CC6CA3">
          <w:rPr>
            <w:noProof/>
            <w:webHidden/>
          </w:rPr>
          <w:t>141</w:t>
        </w:r>
        <w:r w:rsidR="009123D8" w:rsidRPr="00CC6CA3">
          <w:rPr>
            <w:noProof/>
            <w:webHidden/>
          </w:rPr>
          <w:fldChar w:fldCharType="end"/>
        </w:r>
      </w:hyperlink>
    </w:p>
    <w:p w14:paraId="09061524" w14:textId="6D9715CF" w:rsidR="009123D8" w:rsidRPr="00CC6CA3" w:rsidRDefault="00D62691">
      <w:pPr>
        <w:pStyle w:val="TableofFigures"/>
        <w:tabs>
          <w:tab w:val="right" w:leader="dot" w:pos="8755"/>
        </w:tabs>
        <w:rPr>
          <w:rFonts w:cstheme="minorBidi"/>
          <w:b w:val="0"/>
          <w:bCs w:val="0"/>
          <w:noProof/>
          <w:sz w:val="22"/>
          <w:szCs w:val="22"/>
        </w:rPr>
      </w:pPr>
      <w:hyperlink w:anchor="_Toc81553437" w:history="1">
        <w:r w:rsidR="009123D8" w:rsidRPr="00CC6CA3">
          <w:rPr>
            <w:rStyle w:val="Hyperlink"/>
            <w:noProof/>
            <w:color w:val="auto"/>
          </w:rPr>
          <w:t>Figure 5.10 Severity score of a fault happed in the compressor system in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_Toc81553437 \h </w:instrText>
        </w:r>
        <w:r w:rsidR="009123D8" w:rsidRPr="00CC6CA3">
          <w:rPr>
            <w:noProof/>
            <w:webHidden/>
          </w:rPr>
        </w:r>
        <w:r w:rsidR="009123D8" w:rsidRPr="00CC6CA3">
          <w:rPr>
            <w:noProof/>
            <w:webHidden/>
          </w:rPr>
          <w:fldChar w:fldCharType="separate"/>
        </w:r>
        <w:r w:rsidR="001906D9" w:rsidRPr="00CC6CA3">
          <w:rPr>
            <w:noProof/>
            <w:webHidden/>
          </w:rPr>
          <w:t>142</w:t>
        </w:r>
        <w:r w:rsidR="009123D8" w:rsidRPr="00CC6CA3">
          <w:rPr>
            <w:noProof/>
            <w:webHidden/>
          </w:rPr>
          <w:fldChar w:fldCharType="end"/>
        </w:r>
      </w:hyperlink>
    </w:p>
    <w:p w14:paraId="4965C192" w14:textId="4257C1FE" w:rsidR="009123D8" w:rsidRPr="00CC6CA3" w:rsidRDefault="00D62691">
      <w:pPr>
        <w:pStyle w:val="TableofFigures"/>
        <w:tabs>
          <w:tab w:val="right" w:leader="dot" w:pos="8755"/>
        </w:tabs>
        <w:rPr>
          <w:rFonts w:cstheme="minorBidi"/>
          <w:b w:val="0"/>
          <w:bCs w:val="0"/>
          <w:noProof/>
          <w:sz w:val="22"/>
          <w:szCs w:val="22"/>
        </w:rPr>
      </w:pPr>
      <w:hyperlink w:anchor="_Toc81553438" w:history="1">
        <w:r w:rsidR="009123D8" w:rsidRPr="00CC6CA3">
          <w:rPr>
            <w:rStyle w:val="Hyperlink"/>
            <w:noProof/>
            <w:color w:val="auto"/>
          </w:rPr>
          <w:t>Figure 5.11 Risk profile of the compressor using the third principal component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_Toc81553438 \h </w:instrText>
        </w:r>
        <w:r w:rsidR="009123D8" w:rsidRPr="00CC6CA3">
          <w:rPr>
            <w:noProof/>
            <w:webHidden/>
          </w:rPr>
        </w:r>
        <w:r w:rsidR="009123D8" w:rsidRPr="00CC6CA3">
          <w:rPr>
            <w:noProof/>
            <w:webHidden/>
          </w:rPr>
          <w:fldChar w:fldCharType="separate"/>
        </w:r>
        <w:r w:rsidR="001906D9" w:rsidRPr="00CC6CA3">
          <w:rPr>
            <w:noProof/>
            <w:webHidden/>
          </w:rPr>
          <w:t>143</w:t>
        </w:r>
        <w:r w:rsidR="009123D8" w:rsidRPr="00CC6CA3">
          <w:rPr>
            <w:noProof/>
            <w:webHidden/>
          </w:rPr>
          <w:fldChar w:fldCharType="end"/>
        </w:r>
      </w:hyperlink>
    </w:p>
    <w:p w14:paraId="5FBFE06B" w14:textId="6A4559FD" w:rsidR="009123D8" w:rsidRPr="00CC6CA3" w:rsidRDefault="00D62691">
      <w:pPr>
        <w:pStyle w:val="TableofFigures"/>
        <w:tabs>
          <w:tab w:val="right" w:leader="dot" w:pos="8755"/>
        </w:tabs>
        <w:rPr>
          <w:rFonts w:cstheme="minorBidi"/>
          <w:b w:val="0"/>
          <w:bCs w:val="0"/>
          <w:noProof/>
          <w:sz w:val="22"/>
          <w:szCs w:val="22"/>
        </w:rPr>
      </w:pPr>
      <w:hyperlink w:anchor="_Toc81553439" w:history="1">
        <w:r w:rsidR="009123D8" w:rsidRPr="00CC6CA3">
          <w:rPr>
            <w:rStyle w:val="Hyperlink"/>
            <w:noProof/>
            <w:color w:val="auto"/>
          </w:rPr>
          <w:t>Figure 5.12 Flow chart of obtaining the system health indicator via the proposed methodology</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_Toc81553439 \h </w:instrText>
        </w:r>
        <w:r w:rsidR="009123D8" w:rsidRPr="00CC6CA3">
          <w:rPr>
            <w:noProof/>
            <w:webHidden/>
          </w:rPr>
        </w:r>
        <w:r w:rsidR="009123D8" w:rsidRPr="00CC6CA3">
          <w:rPr>
            <w:noProof/>
            <w:webHidden/>
          </w:rPr>
          <w:fldChar w:fldCharType="separate"/>
        </w:r>
        <w:r w:rsidR="001906D9" w:rsidRPr="00CC6CA3">
          <w:rPr>
            <w:noProof/>
            <w:webHidden/>
          </w:rPr>
          <w:t>144</w:t>
        </w:r>
        <w:r w:rsidR="009123D8" w:rsidRPr="00CC6CA3">
          <w:rPr>
            <w:noProof/>
            <w:webHidden/>
          </w:rPr>
          <w:fldChar w:fldCharType="end"/>
        </w:r>
      </w:hyperlink>
    </w:p>
    <w:p w14:paraId="5F1155AA" w14:textId="153D6FAB" w:rsidR="009123D8" w:rsidRPr="00CC6CA3" w:rsidRDefault="00D62691">
      <w:pPr>
        <w:pStyle w:val="TableofFigures"/>
        <w:tabs>
          <w:tab w:val="right" w:leader="dot" w:pos="8755"/>
        </w:tabs>
        <w:rPr>
          <w:rFonts w:cstheme="minorBidi"/>
          <w:b w:val="0"/>
          <w:bCs w:val="0"/>
          <w:noProof/>
          <w:sz w:val="22"/>
          <w:szCs w:val="22"/>
        </w:rPr>
      </w:pPr>
      <w:hyperlink w:anchor="_Toc81553440" w:history="1">
        <w:r w:rsidR="009123D8" w:rsidRPr="00CC6CA3">
          <w:rPr>
            <w:rStyle w:val="Hyperlink"/>
            <w:noProof/>
            <w:color w:val="auto"/>
          </w:rPr>
          <w:t>Figure 5.13 The proposed POF model</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_Toc81553440 \h </w:instrText>
        </w:r>
        <w:r w:rsidR="009123D8" w:rsidRPr="00CC6CA3">
          <w:rPr>
            <w:noProof/>
            <w:webHidden/>
          </w:rPr>
        </w:r>
        <w:r w:rsidR="009123D8" w:rsidRPr="00CC6CA3">
          <w:rPr>
            <w:noProof/>
            <w:webHidden/>
          </w:rPr>
          <w:fldChar w:fldCharType="separate"/>
        </w:r>
        <w:r w:rsidR="001906D9" w:rsidRPr="00CC6CA3">
          <w:rPr>
            <w:noProof/>
            <w:webHidden/>
          </w:rPr>
          <w:t>146</w:t>
        </w:r>
        <w:r w:rsidR="009123D8" w:rsidRPr="00CC6CA3">
          <w:rPr>
            <w:noProof/>
            <w:webHidden/>
          </w:rPr>
          <w:fldChar w:fldCharType="end"/>
        </w:r>
      </w:hyperlink>
    </w:p>
    <w:p w14:paraId="37105112" w14:textId="01BC36D2" w:rsidR="009123D8" w:rsidRPr="00CC6CA3" w:rsidRDefault="00D62691">
      <w:pPr>
        <w:pStyle w:val="TableofFigures"/>
        <w:tabs>
          <w:tab w:val="right" w:leader="dot" w:pos="8755"/>
        </w:tabs>
        <w:rPr>
          <w:rFonts w:cstheme="minorBidi"/>
          <w:b w:val="0"/>
          <w:bCs w:val="0"/>
          <w:noProof/>
          <w:sz w:val="22"/>
          <w:szCs w:val="22"/>
        </w:rPr>
      </w:pPr>
      <w:hyperlink w:anchor="_Toc81553441" w:history="1">
        <w:r w:rsidR="009123D8" w:rsidRPr="00CC6CA3">
          <w:rPr>
            <w:rStyle w:val="Hyperlink"/>
            <w:noProof/>
            <w:color w:val="auto"/>
          </w:rPr>
          <w:t>Figure 5.14 Distribution fitting of system feature using training data of Case 1, (a) histogram (b) probability density functions (c) cumulative distribution function.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_Toc81553441 \h </w:instrText>
        </w:r>
        <w:r w:rsidR="009123D8" w:rsidRPr="00CC6CA3">
          <w:rPr>
            <w:noProof/>
            <w:webHidden/>
          </w:rPr>
        </w:r>
        <w:r w:rsidR="009123D8" w:rsidRPr="00CC6CA3">
          <w:rPr>
            <w:noProof/>
            <w:webHidden/>
          </w:rPr>
          <w:fldChar w:fldCharType="separate"/>
        </w:r>
        <w:r w:rsidR="001906D9" w:rsidRPr="00CC6CA3">
          <w:rPr>
            <w:noProof/>
            <w:webHidden/>
          </w:rPr>
          <w:t>151</w:t>
        </w:r>
        <w:r w:rsidR="009123D8" w:rsidRPr="00CC6CA3">
          <w:rPr>
            <w:noProof/>
            <w:webHidden/>
          </w:rPr>
          <w:fldChar w:fldCharType="end"/>
        </w:r>
      </w:hyperlink>
    </w:p>
    <w:p w14:paraId="0802F21D" w14:textId="21DD85A8" w:rsidR="009123D8" w:rsidRPr="00CC6CA3" w:rsidRDefault="00D62691">
      <w:pPr>
        <w:pStyle w:val="TableofFigures"/>
        <w:tabs>
          <w:tab w:val="right" w:leader="dot" w:pos="8755"/>
        </w:tabs>
        <w:rPr>
          <w:rFonts w:cstheme="minorBidi"/>
          <w:b w:val="0"/>
          <w:bCs w:val="0"/>
          <w:noProof/>
          <w:sz w:val="22"/>
          <w:szCs w:val="22"/>
        </w:rPr>
      </w:pPr>
      <w:hyperlink w:anchor="_Toc81553442" w:history="1">
        <w:r w:rsidR="009123D8" w:rsidRPr="00CC6CA3">
          <w:rPr>
            <w:rStyle w:val="Hyperlink"/>
            <w:noProof/>
            <w:color w:val="auto"/>
          </w:rPr>
          <w:t>Figure 5.15 Offline training process for SAE fault detection model and MD threshold calculation. (blue points - healthy data; red points - anomalies; magenta line - reference MD thresholds)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_Toc81553442 \h </w:instrText>
        </w:r>
        <w:r w:rsidR="009123D8" w:rsidRPr="00CC6CA3">
          <w:rPr>
            <w:noProof/>
            <w:webHidden/>
          </w:rPr>
        </w:r>
        <w:r w:rsidR="009123D8" w:rsidRPr="00CC6CA3">
          <w:rPr>
            <w:noProof/>
            <w:webHidden/>
          </w:rPr>
          <w:fldChar w:fldCharType="separate"/>
        </w:r>
        <w:r w:rsidR="001906D9" w:rsidRPr="00CC6CA3">
          <w:rPr>
            <w:noProof/>
            <w:webHidden/>
          </w:rPr>
          <w:t>152</w:t>
        </w:r>
        <w:r w:rsidR="009123D8" w:rsidRPr="00CC6CA3">
          <w:rPr>
            <w:noProof/>
            <w:webHidden/>
          </w:rPr>
          <w:fldChar w:fldCharType="end"/>
        </w:r>
      </w:hyperlink>
    </w:p>
    <w:p w14:paraId="740EFC74" w14:textId="783D8BFC" w:rsidR="009123D8" w:rsidRPr="00CC6CA3" w:rsidRDefault="00D62691">
      <w:pPr>
        <w:pStyle w:val="TableofFigures"/>
        <w:tabs>
          <w:tab w:val="right" w:leader="dot" w:pos="8755"/>
        </w:tabs>
        <w:rPr>
          <w:rFonts w:cstheme="minorBidi"/>
          <w:b w:val="0"/>
          <w:bCs w:val="0"/>
          <w:noProof/>
          <w:sz w:val="22"/>
          <w:szCs w:val="22"/>
        </w:rPr>
      </w:pPr>
      <w:hyperlink w:anchor="_Toc81553443" w:history="1">
        <w:r w:rsidR="009123D8" w:rsidRPr="00CC6CA3">
          <w:rPr>
            <w:rStyle w:val="Hyperlink"/>
            <w:noProof/>
            <w:color w:val="auto"/>
          </w:rPr>
          <w:t>Figure 5.16 True value and the prediction results of the system feature via third-order polynomial regression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_Toc81553443 \h </w:instrText>
        </w:r>
        <w:r w:rsidR="009123D8" w:rsidRPr="00CC6CA3">
          <w:rPr>
            <w:noProof/>
            <w:webHidden/>
          </w:rPr>
        </w:r>
        <w:r w:rsidR="009123D8" w:rsidRPr="00CC6CA3">
          <w:rPr>
            <w:noProof/>
            <w:webHidden/>
          </w:rPr>
          <w:fldChar w:fldCharType="separate"/>
        </w:r>
        <w:r w:rsidR="001906D9" w:rsidRPr="00CC6CA3">
          <w:rPr>
            <w:noProof/>
            <w:webHidden/>
          </w:rPr>
          <w:t>153</w:t>
        </w:r>
        <w:r w:rsidR="009123D8" w:rsidRPr="00CC6CA3">
          <w:rPr>
            <w:noProof/>
            <w:webHidden/>
          </w:rPr>
          <w:fldChar w:fldCharType="end"/>
        </w:r>
      </w:hyperlink>
    </w:p>
    <w:p w14:paraId="7DF7D7A3" w14:textId="11A5FB20" w:rsidR="009123D8" w:rsidRPr="00CC6CA3" w:rsidRDefault="00D62691">
      <w:pPr>
        <w:pStyle w:val="TableofFigures"/>
        <w:tabs>
          <w:tab w:val="right" w:leader="dot" w:pos="8755"/>
        </w:tabs>
        <w:rPr>
          <w:rFonts w:cstheme="minorBidi"/>
          <w:b w:val="0"/>
          <w:bCs w:val="0"/>
          <w:noProof/>
          <w:sz w:val="22"/>
          <w:szCs w:val="22"/>
        </w:rPr>
      </w:pPr>
      <w:hyperlink w:anchor="_Toc81553444" w:history="1">
        <w:r w:rsidR="009123D8" w:rsidRPr="00CC6CA3">
          <w:rPr>
            <w:rStyle w:val="Hyperlink"/>
            <w:noProof/>
            <w:color w:val="auto"/>
          </w:rPr>
          <w:t xml:space="preserve">Figure 5.17 POF calculated using the system feature in the online phase for Case 1 (red line - POF calculated by the fault detection threshold, </w:t>
        </w:r>
        <m:oMath>
          <m:r>
            <m:rPr>
              <m:sty m:val="bi"/>
            </m:rPr>
            <w:rPr>
              <w:rStyle w:val="Hyperlink"/>
              <w:rFonts w:ascii="Cambria Math" w:hAnsi="Cambria Math"/>
              <w:noProof/>
              <w:color w:val="auto"/>
            </w:rPr>
            <m:t>d</m:t>
          </m:r>
          <m:r>
            <m:rPr>
              <m:sty m:val="b"/>
            </m:rPr>
            <w:rPr>
              <w:rStyle w:val="Hyperlink"/>
              <w:rFonts w:ascii="Cambria Math" w:hAnsi="Cambria Math"/>
              <w:noProof/>
              <w:color w:val="auto"/>
            </w:rPr>
            <m:t>1</m:t>
          </m:r>
        </m:oMath>
        <w:r w:rsidR="009123D8" w:rsidRPr="00CC6CA3">
          <w:rPr>
            <w:rStyle w:val="Hyperlink"/>
            <w:noProof/>
            <w:color w:val="auto"/>
          </w:rPr>
          <w: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_Toc81553444 \h </w:instrText>
        </w:r>
        <w:r w:rsidR="009123D8" w:rsidRPr="00CC6CA3">
          <w:rPr>
            <w:noProof/>
            <w:webHidden/>
          </w:rPr>
        </w:r>
        <w:r w:rsidR="009123D8" w:rsidRPr="00CC6CA3">
          <w:rPr>
            <w:noProof/>
            <w:webHidden/>
          </w:rPr>
          <w:fldChar w:fldCharType="separate"/>
        </w:r>
        <w:r w:rsidR="001906D9" w:rsidRPr="00CC6CA3">
          <w:rPr>
            <w:noProof/>
            <w:webHidden/>
          </w:rPr>
          <w:t>154</w:t>
        </w:r>
        <w:r w:rsidR="009123D8" w:rsidRPr="00CC6CA3">
          <w:rPr>
            <w:noProof/>
            <w:webHidden/>
          </w:rPr>
          <w:fldChar w:fldCharType="end"/>
        </w:r>
      </w:hyperlink>
    </w:p>
    <w:p w14:paraId="28187ED4" w14:textId="342BEA04" w:rsidR="009123D8" w:rsidRPr="00CC6CA3" w:rsidRDefault="00D62691">
      <w:pPr>
        <w:pStyle w:val="TableofFigures"/>
        <w:tabs>
          <w:tab w:val="right" w:leader="dot" w:pos="8755"/>
        </w:tabs>
        <w:rPr>
          <w:rFonts w:cstheme="minorBidi"/>
          <w:b w:val="0"/>
          <w:bCs w:val="0"/>
          <w:noProof/>
          <w:sz w:val="22"/>
          <w:szCs w:val="22"/>
        </w:rPr>
      </w:pPr>
      <w:hyperlink w:anchor="_Toc81553445" w:history="1">
        <w:r w:rsidR="009123D8" w:rsidRPr="00CC6CA3">
          <w:rPr>
            <w:rStyle w:val="Hyperlink"/>
            <w:noProof/>
            <w:color w:val="auto"/>
          </w:rPr>
          <w:t>Figure 5.18 Contribution map by SAE model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_Toc81553445 \h </w:instrText>
        </w:r>
        <w:r w:rsidR="009123D8" w:rsidRPr="00CC6CA3">
          <w:rPr>
            <w:noProof/>
            <w:webHidden/>
          </w:rPr>
        </w:r>
        <w:r w:rsidR="009123D8" w:rsidRPr="00CC6CA3">
          <w:rPr>
            <w:noProof/>
            <w:webHidden/>
          </w:rPr>
          <w:fldChar w:fldCharType="separate"/>
        </w:r>
        <w:r w:rsidR="001906D9" w:rsidRPr="00CC6CA3">
          <w:rPr>
            <w:noProof/>
            <w:webHidden/>
          </w:rPr>
          <w:t>154</w:t>
        </w:r>
        <w:r w:rsidR="009123D8" w:rsidRPr="00CC6CA3">
          <w:rPr>
            <w:noProof/>
            <w:webHidden/>
          </w:rPr>
          <w:fldChar w:fldCharType="end"/>
        </w:r>
      </w:hyperlink>
    </w:p>
    <w:p w14:paraId="4EC6532C" w14:textId="62E576F9" w:rsidR="009123D8" w:rsidRPr="00CC6CA3" w:rsidRDefault="00D62691">
      <w:pPr>
        <w:pStyle w:val="TableofFigures"/>
        <w:tabs>
          <w:tab w:val="right" w:leader="dot" w:pos="8755"/>
        </w:tabs>
        <w:rPr>
          <w:rFonts w:cstheme="minorBidi"/>
          <w:b w:val="0"/>
          <w:bCs w:val="0"/>
          <w:noProof/>
          <w:sz w:val="22"/>
          <w:szCs w:val="22"/>
        </w:rPr>
      </w:pPr>
      <w:hyperlink w:anchor="_Toc81553446" w:history="1">
        <w:r w:rsidR="009123D8" w:rsidRPr="00CC6CA3">
          <w:rPr>
            <w:rStyle w:val="Hyperlink"/>
            <w:noProof/>
            <w:color w:val="auto"/>
          </w:rPr>
          <w:t>Figure 5.19 Consequence of a fault in the online phase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_Toc81553446 \h </w:instrText>
        </w:r>
        <w:r w:rsidR="009123D8" w:rsidRPr="00CC6CA3">
          <w:rPr>
            <w:noProof/>
            <w:webHidden/>
          </w:rPr>
        </w:r>
        <w:r w:rsidR="009123D8" w:rsidRPr="00CC6CA3">
          <w:rPr>
            <w:noProof/>
            <w:webHidden/>
          </w:rPr>
          <w:fldChar w:fldCharType="separate"/>
        </w:r>
        <w:r w:rsidR="001906D9" w:rsidRPr="00CC6CA3">
          <w:rPr>
            <w:noProof/>
            <w:webHidden/>
          </w:rPr>
          <w:t>155</w:t>
        </w:r>
        <w:r w:rsidR="009123D8" w:rsidRPr="00CC6CA3">
          <w:rPr>
            <w:noProof/>
            <w:webHidden/>
          </w:rPr>
          <w:fldChar w:fldCharType="end"/>
        </w:r>
      </w:hyperlink>
    </w:p>
    <w:p w14:paraId="297195C1" w14:textId="094D80D5" w:rsidR="009123D8" w:rsidRPr="00CC6CA3" w:rsidRDefault="00D62691">
      <w:pPr>
        <w:pStyle w:val="TableofFigures"/>
        <w:tabs>
          <w:tab w:val="right" w:leader="dot" w:pos="8755"/>
        </w:tabs>
        <w:rPr>
          <w:rFonts w:cstheme="minorBidi"/>
          <w:b w:val="0"/>
          <w:bCs w:val="0"/>
          <w:noProof/>
          <w:sz w:val="22"/>
          <w:szCs w:val="22"/>
        </w:rPr>
      </w:pPr>
      <w:hyperlink w:anchor="_Toc81553447" w:history="1">
        <w:r w:rsidR="009123D8" w:rsidRPr="00CC6CA3">
          <w:rPr>
            <w:rStyle w:val="Hyperlink"/>
            <w:noProof/>
            <w:color w:val="auto"/>
          </w:rPr>
          <w:t>Figure 5.20 System health indicator presented by the risk profile of the pump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_Toc81553447 \h </w:instrText>
        </w:r>
        <w:r w:rsidR="009123D8" w:rsidRPr="00CC6CA3">
          <w:rPr>
            <w:noProof/>
            <w:webHidden/>
          </w:rPr>
        </w:r>
        <w:r w:rsidR="009123D8" w:rsidRPr="00CC6CA3">
          <w:rPr>
            <w:noProof/>
            <w:webHidden/>
          </w:rPr>
          <w:fldChar w:fldCharType="separate"/>
        </w:r>
        <w:r w:rsidR="001906D9" w:rsidRPr="00CC6CA3">
          <w:rPr>
            <w:noProof/>
            <w:webHidden/>
          </w:rPr>
          <w:t>156</w:t>
        </w:r>
        <w:r w:rsidR="009123D8" w:rsidRPr="00CC6CA3">
          <w:rPr>
            <w:noProof/>
            <w:webHidden/>
          </w:rPr>
          <w:fldChar w:fldCharType="end"/>
        </w:r>
      </w:hyperlink>
    </w:p>
    <w:p w14:paraId="058ACDA1" w14:textId="213BB1B2" w:rsidR="009123D8" w:rsidRPr="00CC6CA3" w:rsidRDefault="00D62691">
      <w:pPr>
        <w:pStyle w:val="TableofFigures"/>
        <w:tabs>
          <w:tab w:val="right" w:leader="dot" w:pos="8755"/>
        </w:tabs>
        <w:rPr>
          <w:rFonts w:cstheme="minorBidi"/>
          <w:b w:val="0"/>
          <w:bCs w:val="0"/>
          <w:noProof/>
          <w:sz w:val="22"/>
          <w:szCs w:val="22"/>
        </w:rPr>
      </w:pPr>
      <w:hyperlink w:anchor="_Toc81553448" w:history="1">
        <w:r w:rsidR="009123D8" w:rsidRPr="00CC6CA3">
          <w:rPr>
            <w:rStyle w:val="Hyperlink"/>
            <w:noProof/>
            <w:color w:val="auto"/>
          </w:rPr>
          <w:t>Figure 5.21 Distribution fitting of system feature using training data of Case 2, (a) histogram (b) probability density functions (c) cumulative distribution function.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_Toc81553448 \h </w:instrText>
        </w:r>
        <w:r w:rsidR="009123D8" w:rsidRPr="00CC6CA3">
          <w:rPr>
            <w:noProof/>
            <w:webHidden/>
          </w:rPr>
        </w:r>
        <w:r w:rsidR="009123D8" w:rsidRPr="00CC6CA3">
          <w:rPr>
            <w:noProof/>
            <w:webHidden/>
          </w:rPr>
          <w:fldChar w:fldCharType="separate"/>
        </w:r>
        <w:r w:rsidR="001906D9" w:rsidRPr="00CC6CA3">
          <w:rPr>
            <w:noProof/>
            <w:webHidden/>
          </w:rPr>
          <w:t>157</w:t>
        </w:r>
        <w:r w:rsidR="009123D8" w:rsidRPr="00CC6CA3">
          <w:rPr>
            <w:noProof/>
            <w:webHidden/>
          </w:rPr>
          <w:fldChar w:fldCharType="end"/>
        </w:r>
      </w:hyperlink>
    </w:p>
    <w:p w14:paraId="38FF5C06" w14:textId="0BAEF2C9" w:rsidR="009123D8" w:rsidRPr="00CC6CA3" w:rsidRDefault="00D62691">
      <w:pPr>
        <w:pStyle w:val="TableofFigures"/>
        <w:tabs>
          <w:tab w:val="right" w:leader="dot" w:pos="8755"/>
        </w:tabs>
        <w:rPr>
          <w:rFonts w:cstheme="minorBidi"/>
          <w:b w:val="0"/>
          <w:bCs w:val="0"/>
          <w:noProof/>
          <w:sz w:val="22"/>
          <w:szCs w:val="22"/>
        </w:rPr>
      </w:pPr>
      <w:hyperlink w:anchor="_Toc81553449" w:history="1">
        <w:r w:rsidR="009123D8" w:rsidRPr="00CC6CA3">
          <w:rPr>
            <w:rStyle w:val="Hyperlink"/>
            <w:noProof/>
            <w:color w:val="auto"/>
          </w:rPr>
          <w:t>Figure 5.22 Offline training process for SAE fault detection model and MD threshold calculation for Case 2. (blue points - healthy data; red points - anomalies; magenta line - reference MD thresholds)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_Toc81553449 \h </w:instrText>
        </w:r>
        <w:r w:rsidR="009123D8" w:rsidRPr="00CC6CA3">
          <w:rPr>
            <w:noProof/>
            <w:webHidden/>
          </w:rPr>
        </w:r>
        <w:r w:rsidR="009123D8" w:rsidRPr="00CC6CA3">
          <w:rPr>
            <w:noProof/>
            <w:webHidden/>
          </w:rPr>
          <w:fldChar w:fldCharType="separate"/>
        </w:r>
        <w:r w:rsidR="001906D9" w:rsidRPr="00CC6CA3">
          <w:rPr>
            <w:noProof/>
            <w:webHidden/>
          </w:rPr>
          <w:t>158</w:t>
        </w:r>
        <w:r w:rsidR="009123D8" w:rsidRPr="00CC6CA3">
          <w:rPr>
            <w:noProof/>
            <w:webHidden/>
          </w:rPr>
          <w:fldChar w:fldCharType="end"/>
        </w:r>
      </w:hyperlink>
    </w:p>
    <w:p w14:paraId="377A3769" w14:textId="3772EAB9" w:rsidR="009123D8" w:rsidRPr="00CC6CA3" w:rsidRDefault="00D62691">
      <w:pPr>
        <w:pStyle w:val="TableofFigures"/>
        <w:tabs>
          <w:tab w:val="right" w:leader="dot" w:pos="8755"/>
        </w:tabs>
        <w:rPr>
          <w:rFonts w:cstheme="minorBidi"/>
          <w:b w:val="0"/>
          <w:bCs w:val="0"/>
          <w:noProof/>
          <w:sz w:val="22"/>
          <w:szCs w:val="22"/>
        </w:rPr>
      </w:pPr>
      <w:hyperlink w:anchor="_Toc81553450" w:history="1">
        <w:r w:rsidR="009123D8" w:rsidRPr="00CC6CA3">
          <w:rPr>
            <w:rStyle w:val="Hyperlink"/>
            <w:noProof/>
            <w:color w:val="auto"/>
          </w:rPr>
          <w:t>Figure 5.23 True value and the prediction results of the system feature via three-order polynomial regression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_Toc81553450 \h </w:instrText>
        </w:r>
        <w:r w:rsidR="009123D8" w:rsidRPr="00CC6CA3">
          <w:rPr>
            <w:noProof/>
            <w:webHidden/>
          </w:rPr>
        </w:r>
        <w:r w:rsidR="009123D8" w:rsidRPr="00CC6CA3">
          <w:rPr>
            <w:noProof/>
            <w:webHidden/>
          </w:rPr>
          <w:fldChar w:fldCharType="separate"/>
        </w:r>
        <w:r w:rsidR="001906D9" w:rsidRPr="00CC6CA3">
          <w:rPr>
            <w:noProof/>
            <w:webHidden/>
          </w:rPr>
          <w:t>159</w:t>
        </w:r>
        <w:r w:rsidR="009123D8" w:rsidRPr="00CC6CA3">
          <w:rPr>
            <w:noProof/>
            <w:webHidden/>
          </w:rPr>
          <w:fldChar w:fldCharType="end"/>
        </w:r>
      </w:hyperlink>
    </w:p>
    <w:p w14:paraId="66AC79D4" w14:textId="75013A5F" w:rsidR="009123D8" w:rsidRPr="00CC6CA3" w:rsidRDefault="00D62691">
      <w:pPr>
        <w:pStyle w:val="TableofFigures"/>
        <w:tabs>
          <w:tab w:val="right" w:leader="dot" w:pos="8755"/>
        </w:tabs>
        <w:rPr>
          <w:rFonts w:cstheme="minorBidi"/>
          <w:b w:val="0"/>
          <w:bCs w:val="0"/>
          <w:noProof/>
          <w:sz w:val="22"/>
          <w:szCs w:val="22"/>
        </w:rPr>
      </w:pPr>
      <w:hyperlink w:anchor="_Toc81553451" w:history="1">
        <w:r w:rsidR="009123D8" w:rsidRPr="00CC6CA3">
          <w:rPr>
            <w:rStyle w:val="Hyperlink"/>
            <w:noProof/>
            <w:color w:val="auto"/>
          </w:rPr>
          <w:t xml:space="preserve">Figure 5.24 POF calculated by the system feature in the online phase for Case 2 (red line - POF calculated for the fault detection threshold </w:t>
        </w:r>
        <m:oMath>
          <m:r>
            <m:rPr>
              <m:sty m:val="bi"/>
            </m:rPr>
            <w:rPr>
              <w:rStyle w:val="Hyperlink"/>
              <w:rFonts w:ascii="Cambria Math" w:hAnsi="Cambria Math"/>
              <w:noProof/>
              <w:color w:val="auto"/>
            </w:rPr>
            <m:t>d</m:t>
          </m:r>
          <m:r>
            <m:rPr>
              <m:sty m:val="b"/>
            </m:rPr>
            <w:rPr>
              <w:rStyle w:val="Hyperlink"/>
              <w:rFonts w:ascii="Cambria Math" w:hAnsi="Cambria Math"/>
              <w:noProof/>
              <w:color w:val="auto"/>
            </w:rPr>
            <m:t>1</m:t>
          </m:r>
        </m:oMath>
        <w:r w:rsidR="009123D8" w:rsidRPr="00CC6CA3">
          <w:rPr>
            <w:rStyle w:val="Hyperlink"/>
            <w:noProof/>
            <w:color w:val="auto"/>
          </w:rPr>
          <w: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_Toc81553451 \h </w:instrText>
        </w:r>
        <w:r w:rsidR="009123D8" w:rsidRPr="00CC6CA3">
          <w:rPr>
            <w:noProof/>
            <w:webHidden/>
          </w:rPr>
        </w:r>
        <w:r w:rsidR="009123D8" w:rsidRPr="00CC6CA3">
          <w:rPr>
            <w:noProof/>
            <w:webHidden/>
          </w:rPr>
          <w:fldChar w:fldCharType="separate"/>
        </w:r>
        <w:r w:rsidR="001906D9" w:rsidRPr="00CC6CA3">
          <w:rPr>
            <w:noProof/>
            <w:webHidden/>
          </w:rPr>
          <w:t>159</w:t>
        </w:r>
        <w:r w:rsidR="009123D8" w:rsidRPr="00CC6CA3">
          <w:rPr>
            <w:noProof/>
            <w:webHidden/>
          </w:rPr>
          <w:fldChar w:fldCharType="end"/>
        </w:r>
      </w:hyperlink>
    </w:p>
    <w:p w14:paraId="01CAAD2F" w14:textId="0B6FCC36" w:rsidR="009123D8" w:rsidRPr="00CC6CA3" w:rsidRDefault="00D62691">
      <w:pPr>
        <w:pStyle w:val="TableofFigures"/>
        <w:tabs>
          <w:tab w:val="right" w:leader="dot" w:pos="8755"/>
        </w:tabs>
        <w:rPr>
          <w:rFonts w:cstheme="minorBidi"/>
          <w:b w:val="0"/>
          <w:bCs w:val="0"/>
          <w:noProof/>
          <w:sz w:val="22"/>
          <w:szCs w:val="22"/>
        </w:rPr>
      </w:pPr>
      <w:hyperlink w:anchor="_Toc81553452" w:history="1">
        <w:r w:rsidR="009123D8" w:rsidRPr="00CC6CA3">
          <w:rPr>
            <w:rStyle w:val="Hyperlink"/>
            <w:noProof/>
            <w:color w:val="auto"/>
          </w:rPr>
          <w:t>Figure 5.25 Contribution for SAE model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_Toc81553452 \h </w:instrText>
        </w:r>
        <w:r w:rsidR="009123D8" w:rsidRPr="00CC6CA3">
          <w:rPr>
            <w:noProof/>
            <w:webHidden/>
          </w:rPr>
        </w:r>
        <w:r w:rsidR="009123D8" w:rsidRPr="00CC6CA3">
          <w:rPr>
            <w:noProof/>
            <w:webHidden/>
          </w:rPr>
          <w:fldChar w:fldCharType="separate"/>
        </w:r>
        <w:r w:rsidR="001906D9" w:rsidRPr="00CC6CA3">
          <w:rPr>
            <w:noProof/>
            <w:webHidden/>
          </w:rPr>
          <w:t>160</w:t>
        </w:r>
        <w:r w:rsidR="009123D8" w:rsidRPr="00CC6CA3">
          <w:rPr>
            <w:noProof/>
            <w:webHidden/>
          </w:rPr>
          <w:fldChar w:fldCharType="end"/>
        </w:r>
      </w:hyperlink>
    </w:p>
    <w:p w14:paraId="57629E84" w14:textId="431193A3" w:rsidR="009123D8" w:rsidRPr="00CC6CA3" w:rsidRDefault="00D62691">
      <w:pPr>
        <w:pStyle w:val="TableofFigures"/>
        <w:tabs>
          <w:tab w:val="right" w:leader="dot" w:pos="8755"/>
        </w:tabs>
        <w:rPr>
          <w:rFonts w:cstheme="minorBidi"/>
          <w:b w:val="0"/>
          <w:bCs w:val="0"/>
          <w:noProof/>
          <w:sz w:val="22"/>
          <w:szCs w:val="22"/>
        </w:rPr>
      </w:pPr>
      <w:hyperlink w:anchor="_Toc81553453" w:history="1">
        <w:r w:rsidR="009123D8" w:rsidRPr="00CC6CA3">
          <w:rPr>
            <w:rStyle w:val="Hyperlink"/>
            <w:noProof/>
            <w:color w:val="auto"/>
          </w:rPr>
          <w:t>Figure 5.26 Consequence of a fault in the online phase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_Toc81553453 \h </w:instrText>
        </w:r>
        <w:r w:rsidR="009123D8" w:rsidRPr="00CC6CA3">
          <w:rPr>
            <w:noProof/>
            <w:webHidden/>
          </w:rPr>
        </w:r>
        <w:r w:rsidR="009123D8" w:rsidRPr="00CC6CA3">
          <w:rPr>
            <w:noProof/>
            <w:webHidden/>
          </w:rPr>
          <w:fldChar w:fldCharType="separate"/>
        </w:r>
        <w:r w:rsidR="001906D9" w:rsidRPr="00CC6CA3">
          <w:rPr>
            <w:noProof/>
            <w:webHidden/>
          </w:rPr>
          <w:t>161</w:t>
        </w:r>
        <w:r w:rsidR="009123D8" w:rsidRPr="00CC6CA3">
          <w:rPr>
            <w:noProof/>
            <w:webHidden/>
          </w:rPr>
          <w:fldChar w:fldCharType="end"/>
        </w:r>
      </w:hyperlink>
    </w:p>
    <w:p w14:paraId="7D6821DE" w14:textId="4F2F43FE" w:rsidR="009123D8" w:rsidRPr="00CC6CA3" w:rsidRDefault="00D62691">
      <w:pPr>
        <w:pStyle w:val="TableofFigures"/>
        <w:tabs>
          <w:tab w:val="right" w:leader="dot" w:pos="8755"/>
        </w:tabs>
        <w:rPr>
          <w:rFonts w:cstheme="minorBidi"/>
          <w:b w:val="0"/>
          <w:bCs w:val="0"/>
          <w:noProof/>
          <w:sz w:val="22"/>
          <w:szCs w:val="22"/>
        </w:rPr>
      </w:pPr>
      <w:hyperlink w:anchor="_Toc81553454" w:history="1">
        <w:r w:rsidR="009123D8" w:rsidRPr="00CC6CA3">
          <w:rPr>
            <w:rStyle w:val="Hyperlink"/>
            <w:noProof/>
            <w:color w:val="auto"/>
          </w:rPr>
          <w:t>Figure 5.27 System health indicator presented by the risk profile of the pump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_Toc81553454 \h </w:instrText>
        </w:r>
        <w:r w:rsidR="009123D8" w:rsidRPr="00CC6CA3">
          <w:rPr>
            <w:noProof/>
            <w:webHidden/>
          </w:rPr>
        </w:r>
        <w:r w:rsidR="009123D8" w:rsidRPr="00CC6CA3">
          <w:rPr>
            <w:noProof/>
            <w:webHidden/>
          </w:rPr>
          <w:fldChar w:fldCharType="separate"/>
        </w:r>
        <w:r w:rsidR="001906D9" w:rsidRPr="00CC6CA3">
          <w:rPr>
            <w:noProof/>
            <w:webHidden/>
          </w:rPr>
          <w:t>161</w:t>
        </w:r>
        <w:r w:rsidR="009123D8" w:rsidRPr="00CC6CA3">
          <w:rPr>
            <w:noProof/>
            <w:webHidden/>
          </w:rPr>
          <w:fldChar w:fldCharType="end"/>
        </w:r>
      </w:hyperlink>
    </w:p>
    <w:p w14:paraId="1EE8326B" w14:textId="16FEBCCF" w:rsidR="009123D8" w:rsidRPr="00CC6CA3" w:rsidRDefault="00D62691">
      <w:pPr>
        <w:pStyle w:val="TableofFigures"/>
        <w:tabs>
          <w:tab w:val="right" w:leader="dot" w:pos="8755"/>
        </w:tabs>
        <w:rPr>
          <w:rFonts w:cstheme="minorBidi"/>
          <w:b w:val="0"/>
          <w:bCs w:val="0"/>
          <w:noProof/>
          <w:sz w:val="22"/>
          <w:szCs w:val="22"/>
        </w:rPr>
      </w:pPr>
      <w:hyperlink w:anchor="_Toc81553455" w:history="1">
        <w:r w:rsidR="009123D8" w:rsidRPr="00CC6CA3">
          <w:rPr>
            <w:rStyle w:val="Hyperlink"/>
            <w:noProof/>
            <w:color w:val="auto"/>
          </w:rPr>
          <w:t>Figure 5.28 Distribution fitting of system feature using training data of case 3, (a) histogram (b) probability density functions (c) cumulative distribution function.</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_Toc81553455 \h </w:instrText>
        </w:r>
        <w:r w:rsidR="009123D8" w:rsidRPr="00CC6CA3">
          <w:rPr>
            <w:noProof/>
            <w:webHidden/>
          </w:rPr>
        </w:r>
        <w:r w:rsidR="009123D8" w:rsidRPr="00CC6CA3">
          <w:rPr>
            <w:noProof/>
            <w:webHidden/>
          </w:rPr>
          <w:fldChar w:fldCharType="separate"/>
        </w:r>
        <w:r w:rsidR="001906D9" w:rsidRPr="00CC6CA3">
          <w:rPr>
            <w:noProof/>
            <w:webHidden/>
          </w:rPr>
          <w:t>163</w:t>
        </w:r>
        <w:r w:rsidR="009123D8" w:rsidRPr="00CC6CA3">
          <w:rPr>
            <w:noProof/>
            <w:webHidden/>
          </w:rPr>
          <w:fldChar w:fldCharType="end"/>
        </w:r>
      </w:hyperlink>
    </w:p>
    <w:p w14:paraId="4CE2F495" w14:textId="59BBD74E" w:rsidR="009123D8" w:rsidRPr="00CC6CA3" w:rsidRDefault="00D62691">
      <w:pPr>
        <w:pStyle w:val="TableofFigures"/>
        <w:tabs>
          <w:tab w:val="right" w:leader="dot" w:pos="8755"/>
        </w:tabs>
        <w:rPr>
          <w:rFonts w:cstheme="minorBidi"/>
          <w:b w:val="0"/>
          <w:bCs w:val="0"/>
          <w:noProof/>
          <w:sz w:val="22"/>
          <w:szCs w:val="22"/>
        </w:rPr>
      </w:pPr>
      <w:hyperlink w:anchor="_Toc81553456" w:history="1">
        <w:r w:rsidR="009123D8" w:rsidRPr="00CC6CA3">
          <w:rPr>
            <w:rStyle w:val="Hyperlink"/>
            <w:noProof/>
            <w:color w:val="auto"/>
          </w:rPr>
          <w:t>Figure 5.29 Offline training process for SAE fault detection model and MD threshold calculation. (blue points - healthy data; red point - anomalies; magenta line - reference MD threshold)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_Toc81553456 \h </w:instrText>
        </w:r>
        <w:r w:rsidR="009123D8" w:rsidRPr="00CC6CA3">
          <w:rPr>
            <w:noProof/>
            <w:webHidden/>
          </w:rPr>
        </w:r>
        <w:r w:rsidR="009123D8" w:rsidRPr="00CC6CA3">
          <w:rPr>
            <w:noProof/>
            <w:webHidden/>
          </w:rPr>
          <w:fldChar w:fldCharType="separate"/>
        </w:r>
        <w:r w:rsidR="001906D9" w:rsidRPr="00CC6CA3">
          <w:rPr>
            <w:noProof/>
            <w:webHidden/>
          </w:rPr>
          <w:t>164</w:t>
        </w:r>
        <w:r w:rsidR="009123D8" w:rsidRPr="00CC6CA3">
          <w:rPr>
            <w:noProof/>
            <w:webHidden/>
          </w:rPr>
          <w:fldChar w:fldCharType="end"/>
        </w:r>
      </w:hyperlink>
    </w:p>
    <w:p w14:paraId="39CDDD6F" w14:textId="2279E37B" w:rsidR="009123D8" w:rsidRPr="00CC6CA3" w:rsidRDefault="00D62691">
      <w:pPr>
        <w:pStyle w:val="TableofFigures"/>
        <w:tabs>
          <w:tab w:val="right" w:leader="dot" w:pos="8755"/>
        </w:tabs>
        <w:rPr>
          <w:rFonts w:cstheme="minorBidi"/>
          <w:b w:val="0"/>
          <w:bCs w:val="0"/>
          <w:noProof/>
          <w:sz w:val="22"/>
          <w:szCs w:val="22"/>
        </w:rPr>
      </w:pPr>
      <w:hyperlink w:anchor="_Toc81553457" w:history="1">
        <w:r w:rsidR="009123D8" w:rsidRPr="00CC6CA3">
          <w:rPr>
            <w:rStyle w:val="Hyperlink"/>
            <w:noProof/>
            <w:color w:val="auto"/>
          </w:rPr>
          <w:t>Figure 5.30 True value and the prediction results of the system feature via third-order polynomial regression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_Toc81553457 \h </w:instrText>
        </w:r>
        <w:r w:rsidR="009123D8" w:rsidRPr="00CC6CA3">
          <w:rPr>
            <w:noProof/>
            <w:webHidden/>
          </w:rPr>
        </w:r>
        <w:r w:rsidR="009123D8" w:rsidRPr="00CC6CA3">
          <w:rPr>
            <w:noProof/>
            <w:webHidden/>
          </w:rPr>
          <w:fldChar w:fldCharType="separate"/>
        </w:r>
        <w:r w:rsidR="001906D9" w:rsidRPr="00CC6CA3">
          <w:rPr>
            <w:noProof/>
            <w:webHidden/>
          </w:rPr>
          <w:t>164</w:t>
        </w:r>
        <w:r w:rsidR="009123D8" w:rsidRPr="00CC6CA3">
          <w:rPr>
            <w:noProof/>
            <w:webHidden/>
          </w:rPr>
          <w:fldChar w:fldCharType="end"/>
        </w:r>
      </w:hyperlink>
    </w:p>
    <w:p w14:paraId="29B4B4FB" w14:textId="7FE3A99F" w:rsidR="009123D8" w:rsidRPr="00CC6CA3" w:rsidRDefault="00D62691">
      <w:pPr>
        <w:pStyle w:val="TableofFigures"/>
        <w:tabs>
          <w:tab w:val="right" w:leader="dot" w:pos="8755"/>
        </w:tabs>
        <w:rPr>
          <w:rFonts w:cstheme="minorBidi"/>
          <w:b w:val="0"/>
          <w:bCs w:val="0"/>
          <w:noProof/>
          <w:sz w:val="22"/>
          <w:szCs w:val="22"/>
        </w:rPr>
      </w:pPr>
      <w:hyperlink w:anchor="_Toc81553458" w:history="1">
        <w:r w:rsidR="009123D8" w:rsidRPr="00CC6CA3">
          <w:rPr>
            <w:rStyle w:val="Hyperlink"/>
            <w:noProof/>
            <w:color w:val="auto"/>
          </w:rPr>
          <w:t xml:space="preserve">Figure 5.31 POF calculated from the system feature in the online phase for Case 3 (red line - POF calculated from the fault detection threshold </w:t>
        </w:r>
        <m:oMath>
          <m:r>
            <m:rPr>
              <m:sty m:val="bi"/>
            </m:rPr>
            <w:rPr>
              <w:rStyle w:val="Hyperlink"/>
              <w:rFonts w:ascii="Cambria Math" w:hAnsi="Cambria Math"/>
              <w:noProof/>
              <w:color w:val="auto"/>
            </w:rPr>
            <m:t>d</m:t>
          </m:r>
          <m:r>
            <m:rPr>
              <m:sty m:val="b"/>
            </m:rPr>
            <w:rPr>
              <w:rStyle w:val="Hyperlink"/>
              <w:rFonts w:ascii="Cambria Math" w:hAnsi="Cambria Math"/>
              <w:noProof/>
              <w:color w:val="auto"/>
            </w:rPr>
            <m:t>1</m:t>
          </m:r>
        </m:oMath>
        <w:r w:rsidR="009123D8" w:rsidRPr="00CC6CA3">
          <w:rPr>
            <w:rStyle w:val="Hyperlink"/>
            <w:noProof/>
            <w:color w:val="auto"/>
          </w:rPr>
          <w:t>)</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_Toc81553458 \h </w:instrText>
        </w:r>
        <w:r w:rsidR="009123D8" w:rsidRPr="00CC6CA3">
          <w:rPr>
            <w:noProof/>
            <w:webHidden/>
          </w:rPr>
        </w:r>
        <w:r w:rsidR="009123D8" w:rsidRPr="00CC6CA3">
          <w:rPr>
            <w:noProof/>
            <w:webHidden/>
          </w:rPr>
          <w:fldChar w:fldCharType="separate"/>
        </w:r>
        <w:r w:rsidR="001906D9" w:rsidRPr="00CC6CA3">
          <w:rPr>
            <w:noProof/>
            <w:webHidden/>
          </w:rPr>
          <w:t>165</w:t>
        </w:r>
        <w:r w:rsidR="009123D8" w:rsidRPr="00CC6CA3">
          <w:rPr>
            <w:noProof/>
            <w:webHidden/>
          </w:rPr>
          <w:fldChar w:fldCharType="end"/>
        </w:r>
      </w:hyperlink>
    </w:p>
    <w:p w14:paraId="148FC9DE" w14:textId="0593F472" w:rsidR="009123D8" w:rsidRPr="00CC6CA3" w:rsidRDefault="00D62691">
      <w:pPr>
        <w:pStyle w:val="TableofFigures"/>
        <w:tabs>
          <w:tab w:val="right" w:leader="dot" w:pos="8755"/>
        </w:tabs>
        <w:rPr>
          <w:rFonts w:cstheme="minorBidi"/>
          <w:b w:val="0"/>
          <w:bCs w:val="0"/>
          <w:noProof/>
          <w:sz w:val="22"/>
          <w:szCs w:val="22"/>
        </w:rPr>
      </w:pPr>
      <w:hyperlink w:anchor="_Toc81553459" w:history="1">
        <w:r w:rsidR="009123D8" w:rsidRPr="00CC6CA3">
          <w:rPr>
            <w:rStyle w:val="Hyperlink"/>
            <w:noProof/>
            <w:color w:val="auto"/>
          </w:rPr>
          <w:t>Figure 5.32 Contribution map for SAE model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_Toc81553459 \h </w:instrText>
        </w:r>
        <w:r w:rsidR="009123D8" w:rsidRPr="00CC6CA3">
          <w:rPr>
            <w:noProof/>
            <w:webHidden/>
          </w:rPr>
        </w:r>
        <w:r w:rsidR="009123D8" w:rsidRPr="00CC6CA3">
          <w:rPr>
            <w:noProof/>
            <w:webHidden/>
          </w:rPr>
          <w:fldChar w:fldCharType="separate"/>
        </w:r>
        <w:r w:rsidR="001906D9" w:rsidRPr="00CC6CA3">
          <w:rPr>
            <w:noProof/>
            <w:webHidden/>
          </w:rPr>
          <w:t>165</w:t>
        </w:r>
        <w:r w:rsidR="009123D8" w:rsidRPr="00CC6CA3">
          <w:rPr>
            <w:noProof/>
            <w:webHidden/>
          </w:rPr>
          <w:fldChar w:fldCharType="end"/>
        </w:r>
      </w:hyperlink>
    </w:p>
    <w:p w14:paraId="6B400477" w14:textId="0A77C790" w:rsidR="009123D8" w:rsidRPr="00CC6CA3" w:rsidRDefault="00D62691">
      <w:pPr>
        <w:pStyle w:val="TableofFigures"/>
        <w:tabs>
          <w:tab w:val="right" w:leader="dot" w:pos="8755"/>
        </w:tabs>
        <w:rPr>
          <w:rFonts w:cstheme="minorBidi"/>
          <w:b w:val="0"/>
          <w:bCs w:val="0"/>
          <w:noProof/>
          <w:sz w:val="22"/>
          <w:szCs w:val="22"/>
        </w:rPr>
      </w:pPr>
      <w:hyperlink w:anchor="_Toc81553460" w:history="1">
        <w:r w:rsidR="009123D8" w:rsidRPr="00CC6CA3">
          <w:rPr>
            <w:rStyle w:val="Hyperlink"/>
            <w:noProof/>
            <w:color w:val="auto"/>
          </w:rPr>
          <w:t>Figure 5.33 Consequence of a fault in the online phase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_Toc81553460 \h </w:instrText>
        </w:r>
        <w:r w:rsidR="009123D8" w:rsidRPr="00CC6CA3">
          <w:rPr>
            <w:noProof/>
            <w:webHidden/>
          </w:rPr>
        </w:r>
        <w:r w:rsidR="009123D8" w:rsidRPr="00CC6CA3">
          <w:rPr>
            <w:noProof/>
            <w:webHidden/>
          </w:rPr>
          <w:fldChar w:fldCharType="separate"/>
        </w:r>
        <w:r w:rsidR="001906D9" w:rsidRPr="00CC6CA3">
          <w:rPr>
            <w:noProof/>
            <w:webHidden/>
          </w:rPr>
          <w:t>166</w:t>
        </w:r>
        <w:r w:rsidR="009123D8" w:rsidRPr="00CC6CA3">
          <w:rPr>
            <w:noProof/>
            <w:webHidden/>
          </w:rPr>
          <w:fldChar w:fldCharType="end"/>
        </w:r>
      </w:hyperlink>
    </w:p>
    <w:p w14:paraId="11F839A0" w14:textId="2BA3869E" w:rsidR="009123D8" w:rsidRPr="00CC6CA3" w:rsidRDefault="00D62691">
      <w:pPr>
        <w:pStyle w:val="TableofFigures"/>
        <w:tabs>
          <w:tab w:val="right" w:leader="dot" w:pos="8755"/>
        </w:tabs>
        <w:rPr>
          <w:rFonts w:cstheme="minorBidi"/>
          <w:b w:val="0"/>
          <w:bCs w:val="0"/>
          <w:noProof/>
          <w:sz w:val="22"/>
          <w:szCs w:val="22"/>
        </w:rPr>
      </w:pPr>
      <w:hyperlink w:anchor="_Toc81553461" w:history="1">
        <w:r w:rsidR="009123D8" w:rsidRPr="00CC6CA3">
          <w:rPr>
            <w:rStyle w:val="Hyperlink"/>
            <w:noProof/>
            <w:color w:val="auto"/>
          </w:rPr>
          <w:t>Figure 5.34 System health indicator presented by the risk profile of the compressor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_Toc81553461 \h </w:instrText>
        </w:r>
        <w:r w:rsidR="009123D8" w:rsidRPr="00CC6CA3">
          <w:rPr>
            <w:noProof/>
            <w:webHidden/>
          </w:rPr>
        </w:r>
        <w:r w:rsidR="009123D8" w:rsidRPr="00CC6CA3">
          <w:rPr>
            <w:noProof/>
            <w:webHidden/>
          </w:rPr>
          <w:fldChar w:fldCharType="separate"/>
        </w:r>
        <w:r w:rsidR="001906D9" w:rsidRPr="00CC6CA3">
          <w:rPr>
            <w:noProof/>
            <w:webHidden/>
          </w:rPr>
          <w:t>167</w:t>
        </w:r>
        <w:r w:rsidR="009123D8" w:rsidRPr="00CC6CA3">
          <w:rPr>
            <w:noProof/>
            <w:webHidden/>
          </w:rPr>
          <w:fldChar w:fldCharType="end"/>
        </w:r>
      </w:hyperlink>
    </w:p>
    <w:p w14:paraId="7AC77448" w14:textId="587570D3" w:rsidR="009123D8" w:rsidRPr="00CC6CA3" w:rsidRDefault="00D62691">
      <w:pPr>
        <w:pStyle w:val="TableofFigures"/>
        <w:tabs>
          <w:tab w:val="right" w:leader="dot" w:pos="8755"/>
        </w:tabs>
        <w:rPr>
          <w:rFonts w:cstheme="minorBidi"/>
          <w:b w:val="0"/>
          <w:bCs w:val="0"/>
          <w:noProof/>
          <w:sz w:val="22"/>
          <w:szCs w:val="22"/>
        </w:rPr>
      </w:pPr>
      <w:hyperlink w:anchor="_Toc81553462" w:history="1">
        <w:r w:rsidR="009123D8" w:rsidRPr="00CC6CA3">
          <w:rPr>
            <w:rStyle w:val="Hyperlink"/>
            <w:noProof/>
            <w:color w:val="auto"/>
          </w:rPr>
          <w:t xml:space="preserve">Figure 5.35 The system health indicators obtained by two methodologies for Case 1, (a) system health indicator obtained using PCA method proposed by </w:t>
        </w:r>
        <w:r w:rsidR="009123D8" w:rsidRPr="00CC6CA3">
          <w:rPr>
            <w:rStyle w:val="Hyperlink"/>
            <w:rFonts w:cs="Times New Roman"/>
            <w:noProof/>
            <w:color w:val="auto"/>
          </w:rPr>
          <w:t>Zadakbar</w:t>
        </w:r>
        <w:r w:rsidR="009123D8" w:rsidRPr="00CC6CA3">
          <w:rPr>
            <w:rStyle w:val="Hyperlink"/>
            <w:noProof/>
            <w:color w:val="auto"/>
          </w:rPr>
          <w:t xml:space="preserve"> et al., </w:t>
        </w:r>
        <w:r w:rsidR="009123D8" w:rsidRPr="00CC6CA3">
          <w:rPr>
            <w:rStyle w:val="Hyperlink"/>
            <w:rFonts w:cs="Times New Roman"/>
            <w:noProof/>
            <w:color w:val="auto"/>
          </w:rPr>
          <w:t>[94]</w:t>
        </w:r>
        <w:r w:rsidR="009123D8" w:rsidRPr="00CC6CA3">
          <w:rPr>
            <w:rStyle w:val="Hyperlink"/>
            <w:noProof/>
            <w:color w:val="auto"/>
          </w:rPr>
          <w:t>, (b) system health indicator obtained by the proposed SAE based method.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_Toc81553462 \h </w:instrText>
        </w:r>
        <w:r w:rsidR="009123D8" w:rsidRPr="00CC6CA3">
          <w:rPr>
            <w:noProof/>
            <w:webHidden/>
          </w:rPr>
        </w:r>
        <w:r w:rsidR="009123D8" w:rsidRPr="00CC6CA3">
          <w:rPr>
            <w:noProof/>
            <w:webHidden/>
          </w:rPr>
          <w:fldChar w:fldCharType="separate"/>
        </w:r>
        <w:r w:rsidR="001906D9" w:rsidRPr="00CC6CA3">
          <w:rPr>
            <w:noProof/>
            <w:webHidden/>
          </w:rPr>
          <w:t>169</w:t>
        </w:r>
        <w:r w:rsidR="009123D8" w:rsidRPr="00CC6CA3">
          <w:rPr>
            <w:noProof/>
            <w:webHidden/>
          </w:rPr>
          <w:fldChar w:fldCharType="end"/>
        </w:r>
      </w:hyperlink>
    </w:p>
    <w:p w14:paraId="50C4E118" w14:textId="4F51F509" w:rsidR="009123D8" w:rsidRPr="00CC6CA3" w:rsidRDefault="00D62691">
      <w:pPr>
        <w:pStyle w:val="TableofFigures"/>
        <w:tabs>
          <w:tab w:val="right" w:leader="dot" w:pos="8755"/>
        </w:tabs>
        <w:rPr>
          <w:rFonts w:cstheme="minorBidi"/>
          <w:b w:val="0"/>
          <w:bCs w:val="0"/>
          <w:noProof/>
          <w:sz w:val="22"/>
          <w:szCs w:val="22"/>
        </w:rPr>
      </w:pPr>
      <w:hyperlink w:anchor="_Toc81553463" w:history="1">
        <w:r w:rsidR="009123D8" w:rsidRPr="00CC6CA3">
          <w:rPr>
            <w:rStyle w:val="Hyperlink"/>
            <w:noProof/>
            <w:color w:val="auto"/>
          </w:rPr>
          <w:t xml:space="preserve">Figure 5.36 The system health indicators obtained by two methodologies for the misalignment fault in Case 2, (a) system health indicator obtained using PCA method proposed by </w:t>
        </w:r>
        <w:r w:rsidR="009123D8" w:rsidRPr="00CC6CA3">
          <w:rPr>
            <w:rStyle w:val="Hyperlink"/>
            <w:rFonts w:cs="Times New Roman"/>
            <w:noProof/>
            <w:color w:val="auto"/>
          </w:rPr>
          <w:t>Zadakbar</w:t>
        </w:r>
        <w:r w:rsidR="009123D8" w:rsidRPr="00CC6CA3">
          <w:rPr>
            <w:rStyle w:val="Hyperlink"/>
            <w:noProof/>
            <w:color w:val="auto"/>
          </w:rPr>
          <w:t xml:space="preserve"> et al., </w:t>
        </w:r>
        <w:r w:rsidR="009123D8" w:rsidRPr="00CC6CA3">
          <w:rPr>
            <w:rStyle w:val="Hyperlink"/>
            <w:rFonts w:cs="Times New Roman"/>
            <w:noProof/>
            <w:color w:val="auto"/>
          </w:rPr>
          <w:t>[94]</w:t>
        </w:r>
        <w:r w:rsidR="009123D8" w:rsidRPr="00CC6CA3">
          <w:rPr>
            <w:rStyle w:val="Hyperlink"/>
            <w:noProof/>
            <w:color w:val="auto"/>
          </w:rPr>
          <w:t>, (b) system health indicator obtained by the proposed SAE based method.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_Toc81553463 \h </w:instrText>
        </w:r>
        <w:r w:rsidR="009123D8" w:rsidRPr="00CC6CA3">
          <w:rPr>
            <w:noProof/>
            <w:webHidden/>
          </w:rPr>
        </w:r>
        <w:r w:rsidR="009123D8" w:rsidRPr="00CC6CA3">
          <w:rPr>
            <w:noProof/>
            <w:webHidden/>
          </w:rPr>
          <w:fldChar w:fldCharType="separate"/>
        </w:r>
        <w:r w:rsidR="001906D9" w:rsidRPr="00CC6CA3">
          <w:rPr>
            <w:noProof/>
            <w:webHidden/>
          </w:rPr>
          <w:t>170</w:t>
        </w:r>
        <w:r w:rsidR="009123D8" w:rsidRPr="00CC6CA3">
          <w:rPr>
            <w:noProof/>
            <w:webHidden/>
          </w:rPr>
          <w:fldChar w:fldCharType="end"/>
        </w:r>
      </w:hyperlink>
    </w:p>
    <w:p w14:paraId="2BFC4823" w14:textId="1F818249" w:rsidR="009123D8" w:rsidRPr="00CC6CA3" w:rsidRDefault="00D62691">
      <w:pPr>
        <w:pStyle w:val="TableofFigures"/>
        <w:tabs>
          <w:tab w:val="right" w:leader="dot" w:pos="8755"/>
        </w:tabs>
        <w:rPr>
          <w:rFonts w:cstheme="minorBidi"/>
          <w:b w:val="0"/>
          <w:bCs w:val="0"/>
          <w:noProof/>
          <w:sz w:val="22"/>
          <w:szCs w:val="22"/>
        </w:rPr>
      </w:pPr>
      <w:hyperlink w:anchor="_Toc81553464" w:history="1">
        <w:r w:rsidR="009123D8" w:rsidRPr="00CC6CA3">
          <w:rPr>
            <w:rStyle w:val="Hyperlink"/>
            <w:noProof/>
            <w:color w:val="auto"/>
          </w:rPr>
          <w:t xml:space="preserve">Figure 5.37 The system health indicators obtained by two methodologies for the bearing fault in Case 2, (a) system health indicator obtained using PCA method proposed by </w:t>
        </w:r>
        <w:r w:rsidR="009123D8" w:rsidRPr="00CC6CA3">
          <w:rPr>
            <w:rStyle w:val="Hyperlink"/>
            <w:rFonts w:cs="Times New Roman"/>
            <w:noProof/>
            <w:color w:val="auto"/>
          </w:rPr>
          <w:t>Zadakbar</w:t>
        </w:r>
        <w:r w:rsidR="009123D8" w:rsidRPr="00CC6CA3">
          <w:rPr>
            <w:rStyle w:val="Hyperlink"/>
            <w:noProof/>
            <w:color w:val="auto"/>
          </w:rPr>
          <w:t xml:space="preserve"> et al., </w:t>
        </w:r>
        <w:r w:rsidR="009123D8" w:rsidRPr="00CC6CA3">
          <w:rPr>
            <w:rStyle w:val="Hyperlink"/>
            <w:rFonts w:cs="Times New Roman"/>
            <w:noProof/>
            <w:color w:val="auto"/>
          </w:rPr>
          <w:t>[94]</w:t>
        </w:r>
        <w:r w:rsidR="009123D8" w:rsidRPr="00CC6CA3">
          <w:rPr>
            <w:rStyle w:val="Hyperlink"/>
            <w:noProof/>
            <w:color w:val="auto"/>
          </w:rPr>
          <w:t>, (b) system health indicator obtained by the proposed SAE based method.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_Toc81553464 \h </w:instrText>
        </w:r>
        <w:r w:rsidR="009123D8" w:rsidRPr="00CC6CA3">
          <w:rPr>
            <w:noProof/>
            <w:webHidden/>
          </w:rPr>
        </w:r>
        <w:r w:rsidR="009123D8" w:rsidRPr="00CC6CA3">
          <w:rPr>
            <w:noProof/>
            <w:webHidden/>
          </w:rPr>
          <w:fldChar w:fldCharType="separate"/>
        </w:r>
        <w:r w:rsidR="001906D9" w:rsidRPr="00CC6CA3">
          <w:rPr>
            <w:noProof/>
            <w:webHidden/>
          </w:rPr>
          <w:t>171</w:t>
        </w:r>
        <w:r w:rsidR="009123D8" w:rsidRPr="00CC6CA3">
          <w:rPr>
            <w:noProof/>
            <w:webHidden/>
          </w:rPr>
          <w:fldChar w:fldCharType="end"/>
        </w:r>
      </w:hyperlink>
    </w:p>
    <w:p w14:paraId="08682835" w14:textId="4EC398DE" w:rsidR="009123D8" w:rsidRPr="00CC6CA3" w:rsidRDefault="00D62691">
      <w:pPr>
        <w:pStyle w:val="TableofFigures"/>
        <w:tabs>
          <w:tab w:val="right" w:leader="dot" w:pos="8755"/>
        </w:tabs>
        <w:rPr>
          <w:rFonts w:cstheme="minorBidi"/>
          <w:b w:val="0"/>
          <w:bCs w:val="0"/>
          <w:noProof/>
          <w:sz w:val="22"/>
          <w:szCs w:val="22"/>
        </w:rPr>
      </w:pPr>
      <w:hyperlink w:anchor="_Toc81553465" w:history="1">
        <w:r w:rsidR="009123D8" w:rsidRPr="00CC6CA3">
          <w:rPr>
            <w:rStyle w:val="Hyperlink"/>
            <w:noProof/>
            <w:color w:val="auto"/>
          </w:rPr>
          <w:t xml:space="preserve">Figure 5.38 The system health indicators obtained by two methodologies for Case 3, (a) system health indicator obtained using PCA method proposed by </w:t>
        </w:r>
        <w:r w:rsidR="009123D8" w:rsidRPr="00CC6CA3">
          <w:rPr>
            <w:rStyle w:val="Hyperlink"/>
            <w:rFonts w:cs="Times New Roman"/>
            <w:noProof/>
            <w:color w:val="auto"/>
          </w:rPr>
          <w:t>Zadakbar</w:t>
        </w:r>
        <w:r w:rsidR="009123D8" w:rsidRPr="00CC6CA3">
          <w:rPr>
            <w:rStyle w:val="Hyperlink"/>
            <w:noProof/>
            <w:color w:val="auto"/>
          </w:rPr>
          <w:t xml:space="preserve"> et al., </w:t>
        </w:r>
        <w:r w:rsidR="009123D8" w:rsidRPr="00CC6CA3">
          <w:rPr>
            <w:rStyle w:val="Hyperlink"/>
            <w:rFonts w:cs="Times New Roman"/>
            <w:noProof/>
            <w:color w:val="auto"/>
          </w:rPr>
          <w:t>[94]</w:t>
        </w:r>
        <w:r w:rsidR="009123D8" w:rsidRPr="00CC6CA3">
          <w:rPr>
            <w:rStyle w:val="Hyperlink"/>
            <w:noProof/>
            <w:color w:val="auto"/>
          </w:rPr>
          <w:t>, (b) system health indicator obtained by the proposed SAE based method.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_Toc81553465 \h </w:instrText>
        </w:r>
        <w:r w:rsidR="009123D8" w:rsidRPr="00CC6CA3">
          <w:rPr>
            <w:noProof/>
            <w:webHidden/>
          </w:rPr>
        </w:r>
        <w:r w:rsidR="009123D8" w:rsidRPr="00CC6CA3">
          <w:rPr>
            <w:noProof/>
            <w:webHidden/>
          </w:rPr>
          <w:fldChar w:fldCharType="separate"/>
        </w:r>
        <w:r w:rsidR="001906D9" w:rsidRPr="00CC6CA3">
          <w:rPr>
            <w:noProof/>
            <w:webHidden/>
          </w:rPr>
          <w:t>173</w:t>
        </w:r>
        <w:r w:rsidR="009123D8" w:rsidRPr="00CC6CA3">
          <w:rPr>
            <w:noProof/>
            <w:webHidden/>
          </w:rPr>
          <w:fldChar w:fldCharType="end"/>
        </w:r>
      </w:hyperlink>
    </w:p>
    <w:p w14:paraId="3A941AD1" w14:textId="1EDB234B" w:rsidR="003806CC" w:rsidRPr="00CC6CA3" w:rsidRDefault="00F23419" w:rsidP="00600326">
      <w:pPr>
        <w:pStyle w:val="TableofFigures"/>
        <w:tabs>
          <w:tab w:val="right" w:leader="dot" w:pos="8755"/>
        </w:tabs>
        <w:jc w:val="both"/>
      </w:pPr>
      <w:r w:rsidRPr="00CC6CA3">
        <w:rPr>
          <w:rStyle w:val="Hyperlink"/>
          <w:rFonts w:ascii="Times New Roman" w:hAnsi="Times New Roman" w:cs="Times New Roman"/>
          <w:b w:val="0"/>
          <w:bCs w:val="0"/>
          <w:noProof/>
          <w:color w:val="auto"/>
          <w:sz w:val="24"/>
          <w:szCs w:val="24"/>
        </w:rPr>
        <w:fldChar w:fldCharType="end"/>
      </w:r>
      <w:r w:rsidR="003806CC" w:rsidRPr="00CC6CA3">
        <w:br w:type="page"/>
      </w:r>
    </w:p>
    <w:p w14:paraId="69FD6088" w14:textId="5EBE922A" w:rsidR="007A475A" w:rsidRPr="00CC6CA3" w:rsidRDefault="007A475A" w:rsidP="001A014F">
      <w:pPr>
        <w:pStyle w:val="TableofFigures"/>
        <w:tabs>
          <w:tab w:val="right" w:leader="dot" w:pos="8755"/>
        </w:tabs>
        <w:ind w:left="482" w:hanging="482"/>
        <w:outlineLvl w:val="0"/>
        <w:rPr>
          <w:rFonts w:ascii="Times New Roman" w:hAnsi="Times New Roman" w:cs="Times New Roman"/>
          <w:sz w:val="32"/>
          <w:szCs w:val="32"/>
        </w:rPr>
      </w:pPr>
      <w:bookmarkStart w:id="12" w:name="_Toc81553240"/>
      <w:r w:rsidRPr="00CC6CA3">
        <w:rPr>
          <w:rFonts w:ascii="Times New Roman" w:hAnsi="Times New Roman" w:cs="Times New Roman"/>
          <w:sz w:val="32"/>
          <w:szCs w:val="32"/>
        </w:rPr>
        <w:lastRenderedPageBreak/>
        <w:t>List of Tables</w:t>
      </w:r>
      <w:bookmarkEnd w:id="12"/>
    </w:p>
    <w:p w14:paraId="7E9C5BE7" w14:textId="784FFFE6" w:rsidR="009123D8" w:rsidRPr="00CC6CA3" w:rsidRDefault="007A475A">
      <w:pPr>
        <w:pStyle w:val="TableofFigures"/>
        <w:tabs>
          <w:tab w:val="right" w:leader="dot" w:pos="8755"/>
        </w:tabs>
        <w:rPr>
          <w:rFonts w:cstheme="minorBidi"/>
          <w:b w:val="0"/>
          <w:bCs w:val="0"/>
          <w:noProof/>
          <w:sz w:val="22"/>
          <w:szCs w:val="22"/>
        </w:rPr>
      </w:pPr>
      <w:r w:rsidRPr="00CC6CA3">
        <w:rPr>
          <w:rFonts w:ascii="Times New Roman" w:hAnsi="Times New Roman" w:cs="Times New Roman"/>
          <w:b w:val="0"/>
          <w:sz w:val="24"/>
          <w:szCs w:val="24"/>
        </w:rPr>
        <w:fldChar w:fldCharType="begin"/>
      </w:r>
      <w:r w:rsidRPr="00CC6CA3">
        <w:rPr>
          <w:rFonts w:ascii="Times New Roman" w:hAnsi="Times New Roman" w:cs="Times New Roman"/>
          <w:b w:val="0"/>
          <w:sz w:val="24"/>
          <w:szCs w:val="24"/>
        </w:rPr>
        <w:instrText xml:space="preserve"> TOC \h \z \c "Table" </w:instrText>
      </w:r>
      <w:r w:rsidRPr="00CC6CA3">
        <w:rPr>
          <w:rFonts w:ascii="Times New Roman" w:hAnsi="Times New Roman" w:cs="Times New Roman"/>
          <w:b w:val="0"/>
          <w:sz w:val="24"/>
          <w:szCs w:val="24"/>
        </w:rPr>
        <w:fldChar w:fldCharType="separate"/>
      </w:r>
      <w:hyperlink w:anchor="_Toc81553466" w:history="1">
        <w:r w:rsidR="009123D8" w:rsidRPr="00CC6CA3">
          <w:rPr>
            <w:rStyle w:val="Hyperlink"/>
            <w:noProof/>
            <w:color w:val="auto"/>
          </w:rPr>
          <w:t>Table 2.1 Condition indicators for the fault detection of rotating machinery in the petrochemical field</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_Toc81553466 \h </w:instrText>
        </w:r>
        <w:r w:rsidR="009123D8" w:rsidRPr="00CC6CA3">
          <w:rPr>
            <w:noProof/>
            <w:webHidden/>
          </w:rPr>
        </w:r>
        <w:r w:rsidR="009123D8" w:rsidRPr="00CC6CA3">
          <w:rPr>
            <w:noProof/>
            <w:webHidden/>
          </w:rPr>
          <w:fldChar w:fldCharType="separate"/>
        </w:r>
        <w:r w:rsidR="001906D9" w:rsidRPr="00CC6CA3">
          <w:rPr>
            <w:noProof/>
            <w:webHidden/>
          </w:rPr>
          <w:t>35</w:t>
        </w:r>
        <w:r w:rsidR="009123D8" w:rsidRPr="00CC6CA3">
          <w:rPr>
            <w:noProof/>
            <w:webHidden/>
          </w:rPr>
          <w:fldChar w:fldCharType="end"/>
        </w:r>
      </w:hyperlink>
    </w:p>
    <w:p w14:paraId="4F7EAE05" w14:textId="4FC52365" w:rsidR="009123D8" w:rsidRPr="00CC6CA3" w:rsidRDefault="00D62691">
      <w:pPr>
        <w:pStyle w:val="TableofFigures"/>
        <w:tabs>
          <w:tab w:val="right" w:leader="dot" w:pos="8755"/>
        </w:tabs>
        <w:rPr>
          <w:rFonts w:cstheme="minorBidi"/>
          <w:b w:val="0"/>
          <w:bCs w:val="0"/>
          <w:noProof/>
          <w:sz w:val="22"/>
          <w:szCs w:val="22"/>
        </w:rPr>
      </w:pPr>
      <w:hyperlink w:anchor="_Toc81553467" w:history="1">
        <w:r w:rsidR="009123D8" w:rsidRPr="00CC6CA3">
          <w:rPr>
            <w:rStyle w:val="Hyperlink"/>
            <w:noProof/>
            <w:color w:val="auto"/>
          </w:rPr>
          <w:t>Table 2.2 Comparison of maintenance strategies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_Toc81553467 \h </w:instrText>
        </w:r>
        <w:r w:rsidR="009123D8" w:rsidRPr="00CC6CA3">
          <w:rPr>
            <w:noProof/>
            <w:webHidden/>
          </w:rPr>
        </w:r>
        <w:r w:rsidR="009123D8" w:rsidRPr="00CC6CA3">
          <w:rPr>
            <w:noProof/>
            <w:webHidden/>
          </w:rPr>
          <w:fldChar w:fldCharType="separate"/>
        </w:r>
        <w:r w:rsidR="001906D9" w:rsidRPr="00CC6CA3">
          <w:rPr>
            <w:noProof/>
            <w:webHidden/>
          </w:rPr>
          <w:t>39</w:t>
        </w:r>
        <w:r w:rsidR="009123D8" w:rsidRPr="00CC6CA3">
          <w:rPr>
            <w:noProof/>
            <w:webHidden/>
          </w:rPr>
          <w:fldChar w:fldCharType="end"/>
        </w:r>
      </w:hyperlink>
    </w:p>
    <w:p w14:paraId="49E6CE75" w14:textId="67B1BECA" w:rsidR="009123D8" w:rsidRPr="00CC6CA3" w:rsidRDefault="00D62691">
      <w:pPr>
        <w:pStyle w:val="TableofFigures"/>
        <w:tabs>
          <w:tab w:val="right" w:leader="dot" w:pos="8755"/>
        </w:tabs>
        <w:rPr>
          <w:rFonts w:cstheme="minorBidi"/>
          <w:b w:val="0"/>
          <w:bCs w:val="0"/>
          <w:noProof/>
          <w:sz w:val="22"/>
          <w:szCs w:val="22"/>
        </w:rPr>
      </w:pPr>
      <w:hyperlink w:anchor="_Toc81553468" w:history="1">
        <w:r w:rsidR="009123D8" w:rsidRPr="00CC6CA3">
          <w:rPr>
            <w:rStyle w:val="Hyperlink"/>
            <w:noProof/>
            <w:color w:val="auto"/>
          </w:rPr>
          <w:t xml:space="preserve">Table 2.3 Common types of loss functions </w:t>
        </w:r>
        <w:r w:rsidR="009123D8" w:rsidRPr="00CC6CA3">
          <w:rPr>
            <w:rStyle w:val="Hyperlink"/>
            <w:rFonts w:cs="Times New Roman"/>
            <w:noProof/>
            <w:color w:val="auto"/>
          </w:rPr>
          <w:t>[125]</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_Toc81553468 \h </w:instrText>
        </w:r>
        <w:r w:rsidR="009123D8" w:rsidRPr="00CC6CA3">
          <w:rPr>
            <w:noProof/>
            <w:webHidden/>
          </w:rPr>
        </w:r>
        <w:r w:rsidR="009123D8" w:rsidRPr="00CC6CA3">
          <w:rPr>
            <w:noProof/>
            <w:webHidden/>
          </w:rPr>
          <w:fldChar w:fldCharType="separate"/>
        </w:r>
        <w:r w:rsidR="001906D9" w:rsidRPr="00CC6CA3">
          <w:rPr>
            <w:noProof/>
            <w:webHidden/>
          </w:rPr>
          <w:t>50</w:t>
        </w:r>
        <w:r w:rsidR="009123D8" w:rsidRPr="00CC6CA3">
          <w:rPr>
            <w:noProof/>
            <w:webHidden/>
          </w:rPr>
          <w:fldChar w:fldCharType="end"/>
        </w:r>
      </w:hyperlink>
    </w:p>
    <w:p w14:paraId="368B33C6" w14:textId="4808180A" w:rsidR="009123D8" w:rsidRPr="00CC6CA3" w:rsidRDefault="00D62691">
      <w:pPr>
        <w:pStyle w:val="TableofFigures"/>
        <w:tabs>
          <w:tab w:val="right" w:leader="dot" w:pos="8755"/>
        </w:tabs>
        <w:rPr>
          <w:rFonts w:cstheme="minorBidi"/>
          <w:b w:val="0"/>
          <w:bCs w:val="0"/>
          <w:noProof/>
          <w:sz w:val="22"/>
          <w:szCs w:val="22"/>
        </w:rPr>
      </w:pPr>
      <w:hyperlink w:anchor="_Toc81553469" w:history="1">
        <w:r w:rsidR="009123D8" w:rsidRPr="00CC6CA3">
          <w:rPr>
            <w:rStyle w:val="Hyperlink"/>
            <w:noProof/>
            <w:color w:val="auto"/>
          </w:rPr>
          <w:t xml:space="preserve">Table 2.4 Parameters for the loss functions </w:t>
        </w:r>
        <w:r w:rsidR="009123D8" w:rsidRPr="00CC6CA3">
          <w:rPr>
            <w:rStyle w:val="Hyperlink"/>
            <w:rFonts w:cs="Times New Roman"/>
            <w:noProof/>
            <w:color w:val="auto"/>
          </w:rPr>
          <w:t>[125]</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_Toc81553469 \h </w:instrText>
        </w:r>
        <w:r w:rsidR="009123D8" w:rsidRPr="00CC6CA3">
          <w:rPr>
            <w:noProof/>
            <w:webHidden/>
          </w:rPr>
        </w:r>
        <w:r w:rsidR="009123D8" w:rsidRPr="00CC6CA3">
          <w:rPr>
            <w:noProof/>
            <w:webHidden/>
          </w:rPr>
          <w:fldChar w:fldCharType="separate"/>
        </w:r>
        <w:r w:rsidR="001906D9" w:rsidRPr="00CC6CA3">
          <w:rPr>
            <w:noProof/>
            <w:webHidden/>
          </w:rPr>
          <w:t>51</w:t>
        </w:r>
        <w:r w:rsidR="009123D8" w:rsidRPr="00CC6CA3">
          <w:rPr>
            <w:noProof/>
            <w:webHidden/>
          </w:rPr>
          <w:fldChar w:fldCharType="end"/>
        </w:r>
      </w:hyperlink>
    </w:p>
    <w:p w14:paraId="154E0188" w14:textId="02222F2D" w:rsidR="009123D8" w:rsidRPr="00CC6CA3" w:rsidRDefault="00D62691">
      <w:pPr>
        <w:pStyle w:val="TableofFigures"/>
        <w:tabs>
          <w:tab w:val="right" w:leader="dot" w:pos="8755"/>
        </w:tabs>
        <w:rPr>
          <w:rFonts w:cstheme="minorBidi"/>
          <w:b w:val="0"/>
          <w:bCs w:val="0"/>
          <w:noProof/>
          <w:sz w:val="22"/>
          <w:szCs w:val="22"/>
        </w:rPr>
      </w:pPr>
      <w:hyperlink w:anchor="_Toc81553470" w:history="1">
        <w:r w:rsidR="009123D8" w:rsidRPr="00CC6CA3">
          <w:rPr>
            <w:rStyle w:val="Hyperlink"/>
            <w:noProof/>
            <w:color w:val="auto"/>
          </w:rPr>
          <w:t>Table 3.1 Measured variables for pump</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_Toc81553470 \h </w:instrText>
        </w:r>
        <w:r w:rsidR="009123D8" w:rsidRPr="00CC6CA3">
          <w:rPr>
            <w:noProof/>
            <w:webHidden/>
          </w:rPr>
        </w:r>
        <w:r w:rsidR="009123D8" w:rsidRPr="00CC6CA3">
          <w:rPr>
            <w:noProof/>
            <w:webHidden/>
          </w:rPr>
          <w:fldChar w:fldCharType="separate"/>
        </w:r>
        <w:r w:rsidR="001906D9" w:rsidRPr="00CC6CA3">
          <w:rPr>
            <w:noProof/>
            <w:webHidden/>
          </w:rPr>
          <w:t>57</w:t>
        </w:r>
        <w:r w:rsidR="009123D8" w:rsidRPr="00CC6CA3">
          <w:rPr>
            <w:noProof/>
            <w:webHidden/>
          </w:rPr>
          <w:fldChar w:fldCharType="end"/>
        </w:r>
      </w:hyperlink>
    </w:p>
    <w:p w14:paraId="6C9D86A2" w14:textId="4B9B4636" w:rsidR="009123D8" w:rsidRPr="00CC6CA3" w:rsidRDefault="00D62691">
      <w:pPr>
        <w:pStyle w:val="TableofFigures"/>
        <w:tabs>
          <w:tab w:val="right" w:leader="dot" w:pos="8755"/>
        </w:tabs>
        <w:rPr>
          <w:rFonts w:cstheme="minorBidi"/>
          <w:b w:val="0"/>
          <w:bCs w:val="0"/>
          <w:noProof/>
          <w:sz w:val="22"/>
          <w:szCs w:val="22"/>
        </w:rPr>
      </w:pPr>
      <w:hyperlink w:anchor="_Toc81553471" w:history="1">
        <w:r w:rsidR="009123D8" w:rsidRPr="00CC6CA3">
          <w:rPr>
            <w:rStyle w:val="Hyperlink"/>
            <w:noProof/>
            <w:color w:val="auto"/>
          </w:rPr>
          <w:t>Table 3.2 Upper and lower thresholds of input parameters for a pump</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_Toc81553471 \h </w:instrText>
        </w:r>
        <w:r w:rsidR="009123D8" w:rsidRPr="00CC6CA3">
          <w:rPr>
            <w:noProof/>
            <w:webHidden/>
          </w:rPr>
        </w:r>
        <w:r w:rsidR="009123D8" w:rsidRPr="00CC6CA3">
          <w:rPr>
            <w:noProof/>
            <w:webHidden/>
          </w:rPr>
          <w:fldChar w:fldCharType="separate"/>
        </w:r>
        <w:r w:rsidR="001906D9" w:rsidRPr="00CC6CA3">
          <w:rPr>
            <w:noProof/>
            <w:webHidden/>
          </w:rPr>
          <w:t>62</w:t>
        </w:r>
        <w:r w:rsidR="009123D8" w:rsidRPr="00CC6CA3">
          <w:rPr>
            <w:noProof/>
            <w:webHidden/>
          </w:rPr>
          <w:fldChar w:fldCharType="end"/>
        </w:r>
      </w:hyperlink>
    </w:p>
    <w:p w14:paraId="7242F8F3" w14:textId="4590EEC4" w:rsidR="009123D8" w:rsidRPr="00CC6CA3" w:rsidRDefault="00D62691">
      <w:pPr>
        <w:pStyle w:val="TableofFigures"/>
        <w:tabs>
          <w:tab w:val="right" w:leader="dot" w:pos="8755"/>
        </w:tabs>
        <w:rPr>
          <w:rFonts w:cstheme="minorBidi"/>
          <w:b w:val="0"/>
          <w:bCs w:val="0"/>
          <w:noProof/>
          <w:sz w:val="22"/>
          <w:szCs w:val="22"/>
        </w:rPr>
      </w:pPr>
      <w:hyperlink w:anchor="_Toc81553472" w:history="1">
        <w:r w:rsidR="009123D8" w:rsidRPr="00CC6CA3">
          <w:rPr>
            <w:rStyle w:val="Hyperlink"/>
            <w:noProof/>
            <w:color w:val="auto"/>
          </w:rPr>
          <w:t>Table 3.3 Correlation results of all measurements on pump from 10</w:t>
        </w:r>
        <w:r w:rsidR="009123D8" w:rsidRPr="00CC6CA3">
          <w:rPr>
            <w:rStyle w:val="Hyperlink"/>
            <w:noProof/>
            <w:color w:val="auto"/>
            <w:vertAlign w:val="superscript"/>
          </w:rPr>
          <w:t>th</w:t>
        </w:r>
        <w:r w:rsidR="009123D8" w:rsidRPr="00CC6CA3">
          <w:rPr>
            <w:rStyle w:val="Hyperlink"/>
            <w:noProof/>
            <w:color w:val="auto"/>
          </w:rPr>
          <w:t xml:space="preserve"> Mar 2013 to 21</w:t>
        </w:r>
        <w:r w:rsidR="009123D8" w:rsidRPr="00CC6CA3">
          <w:rPr>
            <w:rStyle w:val="Hyperlink"/>
            <w:noProof/>
            <w:color w:val="auto"/>
            <w:vertAlign w:val="superscript"/>
          </w:rPr>
          <w:t>st</w:t>
        </w:r>
        <w:r w:rsidR="009123D8" w:rsidRPr="00CC6CA3">
          <w:rPr>
            <w:rStyle w:val="Hyperlink"/>
            <w:noProof/>
            <w:color w:val="auto"/>
          </w:rPr>
          <w:t xml:space="preserve"> Jun 2013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_Toc81553472 \h </w:instrText>
        </w:r>
        <w:r w:rsidR="009123D8" w:rsidRPr="00CC6CA3">
          <w:rPr>
            <w:noProof/>
            <w:webHidden/>
          </w:rPr>
        </w:r>
        <w:r w:rsidR="009123D8" w:rsidRPr="00CC6CA3">
          <w:rPr>
            <w:noProof/>
            <w:webHidden/>
          </w:rPr>
          <w:fldChar w:fldCharType="separate"/>
        </w:r>
        <w:r w:rsidR="001906D9" w:rsidRPr="00CC6CA3">
          <w:rPr>
            <w:noProof/>
            <w:webHidden/>
          </w:rPr>
          <w:t>64</w:t>
        </w:r>
        <w:r w:rsidR="009123D8" w:rsidRPr="00CC6CA3">
          <w:rPr>
            <w:noProof/>
            <w:webHidden/>
          </w:rPr>
          <w:fldChar w:fldCharType="end"/>
        </w:r>
      </w:hyperlink>
    </w:p>
    <w:p w14:paraId="0E55651C" w14:textId="6C0BE54F" w:rsidR="009123D8" w:rsidRPr="00CC6CA3" w:rsidRDefault="00D62691">
      <w:pPr>
        <w:pStyle w:val="TableofFigures"/>
        <w:tabs>
          <w:tab w:val="right" w:leader="dot" w:pos="8755"/>
        </w:tabs>
        <w:rPr>
          <w:rFonts w:cstheme="minorBidi"/>
          <w:b w:val="0"/>
          <w:bCs w:val="0"/>
          <w:noProof/>
          <w:sz w:val="22"/>
          <w:szCs w:val="22"/>
        </w:rPr>
      </w:pPr>
      <w:hyperlink w:anchor="_Toc81553473" w:history="1">
        <w:r w:rsidR="009123D8" w:rsidRPr="00CC6CA3">
          <w:rPr>
            <w:rStyle w:val="Hyperlink"/>
            <w:noProof/>
            <w:color w:val="auto"/>
          </w:rPr>
          <w:t>Table 3.4 Working conditions for the pump from 2012 to 2018</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_Toc81553473 \h </w:instrText>
        </w:r>
        <w:r w:rsidR="009123D8" w:rsidRPr="00CC6CA3">
          <w:rPr>
            <w:noProof/>
            <w:webHidden/>
          </w:rPr>
        </w:r>
        <w:r w:rsidR="009123D8" w:rsidRPr="00CC6CA3">
          <w:rPr>
            <w:noProof/>
            <w:webHidden/>
          </w:rPr>
          <w:fldChar w:fldCharType="separate"/>
        </w:r>
        <w:r w:rsidR="001906D9" w:rsidRPr="00CC6CA3">
          <w:rPr>
            <w:noProof/>
            <w:webHidden/>
          </w:rPr>
          <w:t>64</w:t>
        </w:r>
        <w:r w:rsidR="009123D8" w:rsidRPr="00CC6CA3">
          <w:rPr>
            <w:noProof/>
            <w:webHidden/>
          </w:rPr>
          <w:fldChar w:fldCharType="end"/>
        </w:r>
      </w:hyperlink>
    </w:p>
    <w:p w14:paraId="7D14AD1F" w14:textId="164DB51F" w:rsidR="009123D8" w:rsidRPr="00CC6CA3" w:rsidRDefault="00D62691">
      <w:pPr>
        <w:pStyle w:val="TableofFigures"/>
        <w:tabs>
          <w:tab w:val="right" w:leader="dot" w:pos="8755"/>
        </w:tabs>
        <w:rPr>
          <w:rFonts w:cstheme="minorBidi"/>
          <w:b w:val="0"/>
          <w:bCs w:val="0"/>
          <w:noProof/>
          <w:sz w:val="22"/>
          <w:szCs w:val="22"/>
        </w:rPr>
      </w:pPr>
      <w:hyperlink w:anchor="_Toc81553474" w:history="1">
        <w:r w:rsidR="009123D8" w:rsidRPr="00CC6CA3">
          <w:rPr>
            <w:rStyle w:val="Hyperlink"/>
            <w:noProof/>
            <w:color w:val="auto"/>
          </w:rPr>
          <w:t>Table 3.5 Measured variables for a compressor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_Toc81553474 \h </w:instrText>
        </w:r>
        <w:r w:rsidR="009123D8" w:rsidRPr="00CC6CA3">
          <w:rPr>
            <w:noProof/>
            <w:webHidden/>
          </w:rPr>
        </w:r>
        <w:r w:rsidR="009123D8" w:rsidRPr="00CC6CA3">
          <w:rPr>
            <w:noProof/>
            <w:webHidden/>
          </w:rPr>
          <w:fldChar w:fldCharType="separate"/>
        </w:r>
        <w:r w:rsidR="001906D9" w:rsidRPr="00CC6CA3">
          <w:rPr>
            <w:noProof/>
            <w:webHidden/>
          </w:rPr>
          <w:t>68</w:t>
        </w:r>
        <w:r w:rsidR="009123D8" w:rsidRPr="00CC6CA3">
          <w:rPr>
            <w:noProof/>
            <w:webHidden/>
          </w:rPr>
          <w:fldChar w:fldCharType="end"/>
        </w:r>
      </w:hyperlink>
    </w:p>
    <w:p w14:paraId="1D42892E" w14:textId="7454A959" w:rsidR="009123D8" w:rsidRPr="00CC6CA3" w:rsidRDefault="00D62691">
      <w:pPr>
        <w:pStyle w:val="TableofFigures"/>
        <w:tabs>
          <w:tab w:val="right" w:leader="dot" w:pos="8755"/>
        </w:tabs>
        <w:rPr>
          <w:rFonts w:cstheme="minorBidi"/>
          <w:b w:val="0"/>
          <w:bCs w:val="0"/>
          <w:noProof/>
          <w:sz w:val="22"/>
          <w:szCs w:val="22"/>
        </w:rPr>
      </w:pPr>
      <w:hyperlink w:anchor="_Toc81553475" w:history="1">
        <w:r w:rsidR="009123D8" w:rsidRPr="00CC6CA3">
          <w:rPr>
            <w:rStyle w:val="Hyperlink"/>
            <w:noProof/>
            <w:color w:val="auto"/>
          </w:rPr>
          <w:t>Table 3.6 Some of the upper and lower thresholds of the compressor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_Toc81553475 \h </w:instrText>
        </w:r>
        <w:r w:rsidR="009123D8" w:rsidRPr="00CC6CA3">
          <w:rPr>
            <w:noProof/>
            <w:webHidden/>
          </w:rPr>
        </w:r>
        <w:r w:rsidR="009123D8" w:rsidRPr="00CC6CA3">
          <w:rPr>
            <w:noProof/>
            <w:webHidden/>
          </w:rPr>
          <w:fldChar w:fldCharType="separate"/>
        </w:r>
        <w:r w:rsidR="001906D9" w:rsidRPr="00CC6CA3">
          <w:rPr>
            <w:noProof/>
            <w:webHidden/>
          </w:rPr>
          <w:t>70</w:t>
        </w:r>
        <w:r w:rsidR="009123D8" w:rsidRPr="00CC6CA3">
          <w:rPr>
            <w:noProof/>
            <w:webHidden/>
          </w:rPr>
          <w:fldChar w:fldCharType="end"/>
        </w:r>
      </w:hyperlink>
    </w:p>
    <w:p w14:paraId="1C957A90" w14:textId="4B7A9F84" w:rsidR="009123D8" w:rsidRPr="00CC6CA3" w:rsidRDefault="00D62691">
      <w:pPr>
        <w:pStyle w:val="TableofFigures"/>
        <w:tabs>
          <w:tab w:val="right" w:leader="dot" w:pos="8755"/>
        </w:tabs>
        <w:rPr>
          <w:rFonts w:cstheme="minorBidi"/>
          <w:b w:val="0"/>
          <w:bCs w:val="0"/>
          <w:noProof/>
          <w:sz w:val="22"/>
          <w:szCs w:val="22"/>
        </w:rPr>
      </w:pPr>
      <w:hyperlink w:anchor="_Toc81553476" w:history="1">
        <w:r w:rsidR="009123D8" w:rsidRPr="00CC6CA3">
          <w:rPr>
            <w:rStyle w:val="Hyperlink"/>
            <w:noProof/>
            <w:color w:val="auto"/>
          </w:rPr>
          <w:t>Table 4.1 Inputs and output of NARX models for pump bearings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_Toc81553476 \h </w:instrText>
        </w:r>
        <w:r w:rsidR="009123D8" w:rsidRPr="00CC6CA3">
          <w:rPr>
            <w:noProof/>
            <w:webHidden/>
          </w:rPr>
        </w:r>
        <w:r w:rsidR="009123D8" w:rsidRPr="00CC6CA3">
          <w:rPr>
            <w:noProof/>
            <w:webHidden/>
          </w:rPr>
          <w:fldChar w:fldCharType="separate"/>
        </w:r>
        <w:r w:rsidR="001906D9" w:rsidRPr="00CC6CA3">
          <w:rPr>
            <w:noProof/>
            <w:webHidden/>
          </w:rPr>
          <w:t>83</w:t>
        </w:r>
        <w:r w:rsidR="009123D8" w:rsidRPr="00CC6CA3">
          <w:rPr>
            <w:noProof/>
            <w:webHidden/>
          </w:rPr>
          <w:fldChar w:fldCharType="end"/>
        </w:r>
      </w:hyperlink>
    </w:p>
    <w:p w14:paraId="2D8B996A" w14:textId="3CE86B23" w:rsidR="009123D8" w:rsidRPr="00CC6CA3" w:rsidRDefault="00D62691">
      <w:pPr>
        <w:pStyle w:val="TableofFigures"/>
        <w:tabs>
          <w:tab w:val="right" w:leader="dot" w:pos="8755"/>
        </w:tabs>
        <w:rPr>
          <w:rFonts w:cstheme="minorBidi"/>
          <w:b w:val="0"/>
          <w:bCs w:val="0"/>
          <w:noProof/>
          <w:sz w:val="22"/>
          <w:szCs w:val="22"/>
        </w:rPr>
      </w:pPr>
      <w:hyperlink w:anchor="_Toc81553477" w:history="1">
        <w:r w:rsidR="009123D8" w:rsidRPr="00CC6CA3">
          <w:rPr>
            <w:rStyle w:val="Hyperlink"/>
            <w:noProof/>
            <w:color w:val="auto"/>
          </w:rPr>
          <w:t>Table 4.2 Inputs and outputs of NARX models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_Toc81553477 \h </w:instrText>
        </w:r>
        <w:r w:rsidR="009123D8" w:rsidRPr="00CC6CA3">
          <w:rPr>
            <w:noProof/>
            <w:webHidden/>
          </w:rPr>
        </w:r>
        <w:r w:rsidR="009123D8" w:rsidRPr="00CC6CA3">
          <w:rPr>
            <w:noProof/>
            <w:webHidden/>
          </w:rPr>
          <w:fldChar w:fldCharType="separate"/>
        </w:r>
        <w:r w:rsidR="001906D9" w:rsidRPr="00CC6CA3">
          <w:rPr>
            <w:noProof/>
            <w:webHidden/>
          </w:rPr>
          <w:t>93</w:t>
        </w:r>
        <w:r w:rsidR="009123D8" w:rsidRPr="00CC6CA3">
          <w:rPr>
            <w:noProof/>
            <w:webHidden/>
          </w:rPr>
          <w:fldChar w:fldCharType="end"/>
        </w:r>
      </w:hyperlink>
    </w:p>
    <w:p w14:paraId="5F894CB3" w14:textId="5FD98795" w:rsidR="009123D8" w:rsidRPr="00CC6CA3" w:rsidRDefault="00D62691">
      <w:pPr>
        <w:pStyle w:val="TableofFigures"/>
        <w:tabs>
          <w:tab w:val="right" w:leader="dot" w:pos="8755"/>
        </w:tabs>
        <w:rPr>
          <w:rFonts w:cstheme="minorBidi"/>
          <w:b w:val="0"/>
          <w:bCs w:val="0"/>
          <w:noProof/>
          <w:sz w:val="22"/>
          <w:szCs w:val="22"/>
        </w:rPr>
      </w:pPr>
      <w:hyperlink w:anchor="_Toc81553478" w:history="1">
        <w:r w:rsidR="009123D8" w:rsidRPr="00CC6CA3">
          <w:rPr>
            <w:rStyle w:val="Hyperlink"/>
            <w:noProof/>
            <w:color w:val="auto"/>
          </w:rPr>
          <w:t>Table 5.1 Principal component analysis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_Toc81553478 \h </w:instrText>
        </w:r>
        <w:r w:rsidR="009123D8" w:rsidRPr="00CC6CA3">
          <w:rPr>
            <w:noProof/>
            <w:webHidden/>
          </w:rPr>
        </w:r>
        <w:r w:rsidR="009123D8" w:rsidRPr="00CC6CA3">
          <w:rPr>
            <w:noProof/>
            <w:webHidden/>
          </w:rPr>
          <w:fldChar w:fldCharType="separate"/>
        </w:r>
        <w:r w:rsidR="001906D9" w:rsidRPr="00CC6CA3">
          <w:rPr>
            <w:noProof/>
            <w:webHidden/>
          </w:rPr>
          <w:t>133</w:t>
        </w:r>
        <w:r w:rsidR="009123D8" w:rsidRPr="00CC6CA3">
          <w:rPr>
            <w:noProof/>
            <w:webHidden/>
          </w:rPr>
          <w:fldChar w:fldCharType="end"/>
        </w:r>
      </w:hyperlink>
    </w:p>
    <w:p w14:paraId="31505D06" w14:textId="45C3B53F" w:rsidR="009123D8" w:rsidRPr="00CC6CA3" w:rsidRDefault="00D62691">
      <w:pPr>
        <w:pStyle w:val="TableofFigures"/>
        <w:tabs>
          <w:tab w:val="right" w:leader="dot" w:pos="8755"/>
        </w:tabs>
        <w:rPr>
          <w:rFonts w:cstheme="minorBidi"/>
          <w:b w:val="0"/>
          <w:bCs w:val="0"/>
          <w:noProof/>
          <w:sz w:val="22"/>
          <w:szCs w:val="22"/>
        </w:rPr>
      </w:pPr>
      <w:hyperlink w:anchor="_Toc81553479" w:history="1">
        <w:r w:rsidR="009123D8" w:rsidRPr="00CC6CA3">
          <w:rPr>
            <w:rStyle w:val="Hyperlink"/>
            <w:noProof/>
            <w:color w:val="auto"/>
          </w:rPr>
          <w:t>Table 5.2 Values of intensity coefficients and loadings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_Toc81553479 \h </w:instrText>
        </w:r>
        <w:r w:rsidR="009123D8" w:rsidRPr="00CC6CA3">
          <w:rPr>
            <w:noProof/>
            <w:webHidden/>
          </w:rPr>
        </w:r>
        <w:r w:rsidR="009123D8" w:rsidRPr="00CC6CA3">
          <w:rPr>
            <w:noProof/>
            <w:webHidden/>
          </w:rPr>
          <w:fldChar w:fldCharType="separate"/>
        </w:r>
        <w:r w:rsidR="001906D9" w:rsidRPr="00CC6CA3">
          <w:rPr>
            <w:noProof/>
            <w:webHidden/>
          </w:rPr>
          <w:t>135</w:t>
        </w:r>
        <w:r w:rsidR="009123D8" w:rsidRPr="00CC6CA3">
          <w:rPr>
            <w:noProof/>
            <w:webHidden/>
          </w:rPr>
          <w:fldChar w:fldCharType="end"/>
        </w:r>
      </w:hyperlink>
    </w:p>
    <w:p w14:paraId="730D7B87" w14:textId="0D71084D" w:rsidR="009123D8" w:rsidRPr="00CC6CA3" w:rsidRDefault="00D62691">
      <w:pPr>
        <w:pStyle w:val="TableofFigures"/>
        <w:tabs>
          <w:tab w:val="right" w:leader="dot" w:pos="8755"/>
        </w:tabs>
        <w:rPr>
          <w:rFonts w:cstheme="minorBidi"/>
          <w:b w:val="0"/>
          <w:bCs w:val="0"/>
          <w:noProof/>
          <w:sz w:val="22"/>
          <w:szCs w:val="22"/>
        </w:rPr>
      </w:pPr>
      <w:hyperlink w:anchor="_Toc81553480" w:history="1">
        <w:r w:rsidR="009123D8" w:rsidRPr="00CC6CA3">
          <w:rPr>
            <w:rStyle w:val="Hyperlink"/>
            <w:noProof/>
            <w:color w:val="auto"/>
          </w:rPr>
          <w:t>Table 5.3 Principal component analysis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_Toc81553480 \h </w:instrText>
        </w:r>
        <w:r w:rsidR="009123D8" w:rsidRPr="00CC6CA3">
          <w:rPr>
            <w:noProof/>
            <w:webHidden/>
          </w:rPr>
        </w:r>
        <w:r w:rsidR="009123D8" w:rsidRPr="00CC6CA3">
          <w:rPr>
            <w:noProof/>
            <w:webHidden/>
          </w:rPr>
          <w:fldChar w:fldCharType="separate"/>
        </w:r>
        <w:r w:rsidR="001906D9" w:rsidRPr="00CC6CA3">
          <w:rPr>
            <w:noProof/>
            <w:webHidden/>
          </w:rPr>
          <w:t>137</w:t>
        </w:r>
        <w:r w:rsidR="009123D8" w:rsidRPr="00CC6CA3">
          <w:rPr>
            <w:noProof/>
            <w:webHidden/>
          </w:rPr>
          <w:fldChar w:fldCharType="end"/>
        </w:r>
      </w:hyperlink>
    </w:p>
    <w:p w14:paraId="6748EDC4" w14:textId="04738E2E" w:rsidR="009123D8" w:rsidRPr="00CC6CA3" w:rsidRDefault="00D62691">
      <w:pPr>
        <w:pStyle w:val="TableofFigures"/>
        <w:tabs>
          <w:tab w:val="right" w:leader="dot" w:pos="8755"/>
        </w:tabs>
        <w:rPr>
          <w:rFonts w:cstheme="minorBidi"/>
          <w:b w:val="0"/>
          <w:bCs w:val="0"/>
          <w:noProof/>
          <w:sz w:val="22"/>
          <w:szCs w:val="22"/>
        </w:rPr>
      </w:pPr>
      <w:hyperlink w:anchor="_Toc81553481" w:history="1">
        <w:r w:rsidR="009123D8" w:rsidRPr="00CC6CA3">
          <w:rPr>
            <w:rStyle w:val="Hyperlink"/>
            <w:noProof/>
            <w:color w:val="auto"/>
          </w:rPr>
          <w:t>Table 5.4 Principal component analysis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_Toc81553481 \h </w:instrText>
        </w:r>
        <w:r w:rsidR="009123D8" w:rsidRPr="00CC6CA3">
          <w:rPr>
            <w:noProof/>
            <w:webHidden/>
          </w:rPr>
        </w:r>
        <w:r w:rsidR="009123D8" w:rsidRPr="00CC6CA3">
          <w:rPr>
            <w:noProof/>
            <w:webHidden/>
          </w:rPr>
          <w:fldChar w:fldCharType="separate"/>
        </w:r>
        <w:r w:rsidR="001906D9" w:rsidRPr="00CC6CA3">
          <w:rPr>
            <w:noProof/>
            <w:webHidden/>
          </w:rPr>
          <w:t>140</w:t>
        </w:r>
        <w:r w:rsidR="009123D8" w:rsidRPr="00CC6CA3">
          <w:rPr>
            <w:noProof/>
            <w:webHidden/>
          </w:rPr>
          <w:fldChar w:fldCharType="end"/>
        </w:r>
      </w:hyperlink>
    </w:p>
    <w:p w14:paraId="73D65EA1" w14:textId="17CBF636" w:rsidR="009123D8" w:rsidRPr="00CC6CA3" w:rsidRDefault="00D62691">
      <w:pPr>
        <w:pStyle w:val="TableofFigures"/>
        <w:tabs>
          <w:tab w:val="right" w:leader="dot" w:pos="8755"/>
        </w:tabs>
        <w:rPr>
          <w:rFonts w:cstheme="minorBidi"/>
          <w:b w:val="0"/>
          <w:bCs w:val="0"/>
          <w:noProof/>
          <w:sz w:val="22"/>
          <w:szCs w:val="22"/>
        </w:rPr>
      </w:pPr>
      <w:hyperlink w:anchor="_Toc81553482" w:history="1">
        <w:r w:rsidR="009123D8" w:rsidRPr="00CC6CA3">
          <w:rPr>
            <w:rStyle w:val="Hyperlink"/>
            <w:noProof/>
            <w:color w:val="auto"/>
          </w:rPr>
          <w:t>Table 5.5 Values of intensity coefficients and loadings for third principal coefficient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_Toc81553482 \h </w:instrText>
        </w:r>
        <w:r w:rsidR="009123D8" w:rsidRPr="00CC6CA3">
          <w:rPr>
            <w:noProof/>
            <w:webHidden/>
          </w:rPr>
        </w:r>
        <w:r w:rsidR="009123D8" w:rsidRPr="00CC6CA3">
          <w:rPr>
            <w:noProof/>
            <w:webHidden/>
          </w:rPr>
          <w:fldChar w:fldCharType="separate"/>
        </w:r>
        <w:r w:rsidR="001906D9" w:rsidRPr="00CC6CA3">
          <w:rPr>
            <w:noProof/>
            <w:webHidden/>
          </w:rPr>
          <w:t>142</w:t>
        </w:r>
        <w:r w:rsidR="009123D8" w:rsidRPr="00CC6CA3">
          <w:rPr>
            <w:noProof/>
            <w:webHidden/>
          </w:rPr>
          <w:fldChar w:fldCharType="end"/>
        </w:r>
      </w:hyperlink>
    </w:p>
    <w:p w14:paraId="01F92BF2" w14:textId="566B24EA" w:rsidR="009123D8" w:rsidRPr="00CC6CA3" w:rsidRDefault="00D62691">
      <w:pPr>
        <w:pStyle w:val="TableofFigures"/>
        <w:tabs>
          <w:tab w:val="right" w:leader="dot" w:pos="8755"/>
        </w:tabs>
        <w:rPr>
          <w:rFonts w:cstheme="minorBidi"/>
          <w:b w:val="0"/>
          <w:bCs w:val="0"/>
          <w:noProof/>
          <w:sz w:val="22"/>
          <w:szCs w:val="22"/>
        </w:rPr>
      </w:pPr>
      <w:hyperlink w:anchor="_Toc81553483" w:history="1">
        <w:r w:rsidR="009123D8" w:rsidRPr="00CC6CA3">
          <w:rPr>
            <w:rStyle w:val="Hyperlink"/>
            <w:noProof/>
            <w:color w:val="auto"/>
          </w:rPr>
          <w:t>Table 5.6 The probability density functions and their parameters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_Toc81553483 \h </w:instrText>
        </w:r>
        <w:r w:rsidR="009123D8" w:rsidRPr="00CC6CA3">
          <w:rPr>
            <w:noProof/>
            <w:webHidden/>
          </w:rPr>
        </w:r>
        <w:r w:rsidR="009123D8" w:rsidRPr="00CC6CA3">
          <w:rPr>
            <w:noProof/>
            <w:webHidden/>
          </w:rPr>
          <w:fldChar w:fldCharType="separate"/>
        </w:r>
        <w:r w:rsidR="001906D9" w:rsidRPr="00CC6CA3">
          <w:rPr>
            <w:noProof/>
            <w:webHidden/>
          </w:rPr>
          <w:t>147</w:t>
        </w:r>
        <w:r w:rsidR="009123D8" w:rsidRPr="00CC6CA3">
          <w:rPr>
            <w:noProof/>
            <w:webHidden/>
          </w:rPr>
          <w:fldChar w:fldCharType="end"/>
        </w:r>
      </w:hyperlink>
    </w:p>
    <w:p w14:paraId="4F17944B" w14:textId="69AB297E" w:rsidR="009123D8" w:rsidRPr="00CC6CA3" w:rsidRDefault="00D62691">
      <w:pPr>
        <w:pStyle w:val="TableofFigures"/>
        <w:tabs>
          <w:tab w:val="right" w:leader="dot" w:pos="8755"/>
        </w:tabs>
        <w:rPr>
          <w:rFonts w:cstheme="minorBidi"/>
          <w:b w:val="0"/>
          <w:bCs w:val="0"/>
          <w:noProof/>
          <w:sz w:val="22"/>
          <w:szCs w:val="22"/>
        </w:rPr>
      </w:pPr>
      <w:hyperlink w:anchor="_Toc81553484" w:history="1">
        <w:r w:rsidR="009123D8" w:rsidRPr="00CC6CA3">
          <w:rPr>
            <w:rStyle w:val="Hyperlink"/>
            <w:noProof/>
            <w:color w:val="auto"/>
          </w:rPr>
          <w:t>Table 5.7 Results of the K-S test for case 1</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_Toc81553484 \h </w:instrText>
        </w:r>
        <w:r w:rsidR="009123D8" w:rsidRPr="00CC6CA3">
          <w:rPr>
            <w:noProof/>
            <w:webHidden/>
          </w:rPr>
        </w:r>
        <w:r w:rsidR="009123D8" w:rsidRPr="00CC6CA3">
          <w:rPr>
            <w:noProof/>
            <w:webHidden/>
          </w:rPr>
          <w:fldChar w:fldCharType="separate"/>
        </w:r>
        <w:r w:rsidR="001906D9" w:rsidRPr="00CC6CA3">
          <w:rPr>
            <w:noProof/>
            <w:webHidden/>
          </w:rPr>
          <w:t>152</w:t>
        </w:r>
        <w:r w:rsidR="009123D8" w:rsidRPr="00CC6CA3">
          <w:rPr>
            <w:noProof/>
            <w:webHidden/>
          </w:rPr>
          <w:fldChar w:fldCharType="end"/>
        </w:r>
      </w:hyperlink>
    </w:p>
    <w:p w14:paraId="56A0CF9F" w14:textId="1837CBA6" w:rsidR="009123D8" w:rsidRPr="00CC6CA3" w:rsidRDefault="00D62691">
      <w:pPr>
        <w:pStyle w:val="TableofFigures"/>
        <w:tabs>
          <w:tab w:val="right" w:leader="dot" w:pos="8755"/>
        </w:tabs>
        <w:rPr>
          <w:rFonts w:cstheme="minorBidi"/>
          <w:b w:val="0"/>
          <w:bCs w:val="0"/>
          <w:noProof/>
          <w:sz w:val="22"/>
          <w:szCs w:val="22"/>
        </w:rPr>
      </w:pPr>
      <w:hyperlink w:anchor="_Toc81553485" w:history="1">
        <w:r w:rsidR="009123D8" w:rsidRPr="00CC6CA3">
          <w:rPr>
            <w:rStyle w:val="Hyperlink"/>
            <w:noProof/>
            <w:color w:val="auto"/>
          </w:rPr>
          <w:t>Table 5.8 Updated financial factors and their values for bearing related fault in the pump</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_Toc81553485 \h </w:instrText>
        </w:r>
        <w:r w:rsidR="009123D8" w:rsidRPr="00CC6CA3">
          <w:rPr>
            <w:noProof/>
            <w:webHidden/>
          </w:rPr>
        </w:r>
        <w:r w:rsidR="009123D8" w:rsidRPr="00CC6CA3">
          <w:rPr>
            <w:noProof/>
            <w:webHidden/>
          </w:rPr>
          <w:fldChar w:fldCharType="separate"/>
        </w:r>
        <w:r w:rsidR="001906D9" w:rsidRPr="00CC6CA3">
          <w:rPr>
            <w:noProof/>
            <w:webHidden/>
          </w:rPr>
          <w:t>155</w:t>
        </w:r>
        <w:r w:rsidR="009123D8" w:rsidRPr="00CC6CA3">
          <w:rPr>
            <w:noProof/>
            <w:webHidden/>
          </w:rPr>
          <w:fldChar w:fldCharType="end"/>
        </w:r>
      </w:hyperlink>
    </w:p>
    <w:p w14:paraId="7249F773" w14:textId="361CAB26" w:rsidR="009123D8" w:rsidRPr="00CC6CA3" w:rsidRDefault="00D62691">
      <w:pPr>
        <w:pStyle w:val="TableofFigures"/>
        <w:tabs>
          <w:tab w:val="right" w:leader="dot" w:pos="8755"/>
        </w:tabs>
        <w:rPr>
          <w:rFonts w:cstheme="minorBidi"/>
          <w:b w:val="0"/>
          <w:bCs w:val="0"/>
          <w:noProof/>
          <w:sz w:val="22"/>
          <w:szCs w:val="22"/>
        </w:rPr>
      </w:pPr>
      <w:hyperlink w:anchor="_Toc81553486" w:history="1">
        <w:r w:rsidR="009123D8" w:rsidRPr="00CC6CA3">
          <w:rPr>
            <w:rStyle w:val="Hyperlink"/>
            <w:noProof/>
            <w:color w:val="auto"/>
          </w:rPr>
          <w:t>Table 5.9 Results of the K-S test for Case 2</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_Toc81553486 \h </w:instrText>
        </w:r>
        <w:r w:rsidR="009123D8" w:rsidRPr="00CC6CA3">
          <w:rPr>
            <w:noProof/>
            <w:webHidden/>
          </w:rPr>
        </w:r>
        <w:r w:rsidR="009123D8" w:rsidRPr="00CC6CA3">
          <w:rPr>
            <w:noProof/>
            <w:webHidden/>
          </w:rPr>
          <w:fldChar w:fldCharType="separate"/>
        </w:r>
        <w:r w:rsidR="001906D9" w:rsidRPr="00CC6CA3">
          <w:rPr>
            <w:noProof/>
            <w:webHidden/>
          </w:rPr>
          <w:t>158</w:t>
        </w:r>
        <w:r w:rsidR="009123D8" w:rsidRPr="00CC6CA3">
          <w:rPr>
            <w:noProof/>
            <w:webHidden/>
          </w:rPr>
          <w:fldChar w:fldCharType="end"/>
        </w:r>
      </w:hyperlink>
    </w:p>
    <w:p w14:paraId="1AA6FE2D" w14:textId="699957E7" w:rsidR="009123D8" w:rsidRPr="00CC6CA3" w:rsidRDefault="00D62691">
      <w:pPr>
        <w:pStyle w:val="TableofFigures"/>
        <w:tabs>
          <w:tab w:val="right" w:leader="dot" w:pos="8755"/>
        </w:tabs>
        <w:rPr>
          <w:rFonts w:cstheme="minorBidi"/>
          <w:b w:val="0"/>
          <w:bCs w:val="0"/>
          <w:noProof/>
          <w:sz w:val="22"/>
          <w:szCs w:val="22"/>
        </w:rPr>
      </w:pPr>
      <w:hyperlink w:anchor="_Toc81553487" w:history="1">
        <w:r w:rsidR="009123D8" w:rsidRPr="00CC6CA3">
          <w:rPr>
            <w:rStyle w:val="Hyperlink"/>
            <w:noProof/>
            <w:color w:val="auto"/>
          </w:rPr>
          <w:t>Table 5.10 Results of the K-S test for Case 3</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_Toc81553487 \h </w:instrText>
        </w:r>
        <w:r w:rsidR="009123D8" w:rsidRPr="00CC6CA3">
          <w:rPr>
            <w:noProof/>
            <w:webHidden/>
          </w:rPr>
        </w:r>
        <w:r w:rsidR="009123D8" w:rsidRPr="00CC6CA3">
          <w:rPr>
            <w:noProof/>
            <w:webHidden/>
          </w:rPr>
          <w:fldChar w:fldCharType="separate"/>
        </w:r>
        <w:r w:rsidR="001906D9" w:rsidRPr="00CC6CA3">
          <w:rPr>
            <w:noProof/>
            <w:webHidden/>
          </w:rPr>
          <w:t>164</w:t>
        </w:r>
        <w:r w:rsidR="009123D8" w:rsidRPr="00CC6CA3">
          <w:rPr>
            <w:noProof/>
            <w:webHidden/>
          </w:rPr>
          <w:fldChar w:fldCharType="end"/>
        </w:r>
      </w:hyperlink>
    </w:p>
    <w:p w14:paraId="1371C085" w14:textId="0F5C0685" w:rsidR="009123D8" w:rsidRPr="00CC6CA3" w:rsidRDefault="00D62691">
      <w:pPr>
        <w:pStyle w:val="TableofFigures"/>
        <w:tabs>
          <w:tab w:val="right" w:leader="dot" w:pos="8755"/>
        </w:tabs>
        <w:rPr>
          <w:rFonts w:cstheme="minorBidi"/>
          <w:b w:val="0"/>
          <w:bCs w:val="0"/>
          <w:noProof/>
          <w:sz w:val="22"/>
          <w:szCs w:val="22"/>
        </w:rPr>
      </w:pPr>
      <w:hyperlink w:anchor="_Toc81553488" w:history="1">
        <w:r w:rsidR="009123D8" w:rsidRPr="00CC6CA3">
          <w:rPr>
            <w:rStyle w:val="Hyperlink"/>
            <w:noProof/>
            <w:color w:val="auto"/>
          </w:rPr>
          <w:t>Table 5.11 Financial factors and their values updated for bearing related fault in the compressor</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_Toc81553488 \h </w:instrText>
        </w:r>
        <w:r w:rsidR="009123D8" w:rsidRPr="00CC6CA3">
          <w:rPr>
            <w:noProof/>
            <w:webHidden/>
          </w:rPr>
        </w:r>
        <w:r w:rsidR="009123D8" w:rsidRPr="00CC6CA3">
          <w:rPr>
            <w:noProof/>
            <w:webHidden/>
          </w:rPr>
          <w:fldChar w:fldCharType="separate"/>
        </w:r>
        <w:r w:rsidR="001906D9" w:rsidRPr="00CC6CA3">
          <w:rPr>
            <w:noProof/>
            <w:webHidden/>
          </w:rPr>
          <w:t>166</w:t>
        </w:r>
        <w:r w:rsidR="009123D8" w:rsidRPr="00CC6CA3">
          <w:rPr>
            <w:noProof/>
            <w:webHidden/>
          </w:rPr>
          <w:fldChar w:fldCharType="end"/>
        </w:r>
      </w:hyperlink>
    </w:p>
    <w:p w14:paraId="0DF35C53" w14:textId="4B57A55A" w:rsidR="009123D8" w:rsidRPr="00CC6CA3" w:rsidRDefault="00D62691">
      <w:pPr>
        <w:pStyle w:val="TableofFigures"/>
        <w:tabs>
          <w:tab w:val="right" w:leader="dot" w:pos="8755"/>
        </w:tabs>
        <w:rPr>
          <w:rFonts w:cstheme="minorBidi"/>
          <w:b w:val="0"/>
          <w:bCs w:val="0"/>
          <w:noProof/>
          <w:sz w:val="22"/>
          <w:szCs w:val="22"/>
        </w:rPr>
      </w:pPr>
      <w:hyperlink w:anchor="_Toc81553489" w:history="1">
        <w:r w:rsidR="009123D8" w:rsidRPr="00CC6CA3">
          <w:rPr>
            <w:rStyle w:val="Hyperlink"/>
            <w:noProof/>
            <w:color w:val="auto"/>
          </w:rPr>
          <w:t>Table 5.12 The difference between the PCA based and SAE based methodologies</w:t>
        </w:r>
        <w:r w:rsidR="009123D8" w:rsidRPr="00CC6CA3">
          <w:rPr>
            <w:noProof/>
            <w:webHidden/>
          </w:rPr>
          <w:tab/>
        </w:r>
        <w:r w:rsidR="009123D8" w:rsidRPr="00CC6CA3">
          <w:rPr>
            <w:noProof/>
            <w:webHidden/>
          </w:rPr>
          <w:fldChar w:fldCharType="begin"/>
        </w:r>
        <w:r w:rsidR="009123D8" w:rsidRPr="00CC6CA3">
          <w:rPr>
            <w:noProof/>
            <w:webHidden/>
          </w:rPr>
          <w:instrText xml:space="preserve"> PAGEREF _Toc81553489 \h </w:instrText>
        </w:r>
        <w:r w:rsidR="009123D8" w:rsidRPr="00CC6CA3">
          <w:rPr>
            <w:noProof/>
            <w:webHidden/>
          </w:rPr>
        </w:r>
        <w:r w:rsidR="009123D8" w:rsidRPr="00CC6CA3">
          <w:rPr>
            <w:noProof/>
            <w:webHidden/>
          </w:rPr>
          <w:fldChar w:fldCharType="separate"/>
        </w:r>
        <w:r w:rsidR="001906D9" w:rsidRPr="00CC6CA3">
          <w:rPr>
            <w:noProof/>
            <w:webHidden/>
          </w:rPr>
          <w:t>168</w:t>
        </w:r>
        <w:r w:rsidR="009123D8" w:rsidRPr="00CC6CA3">
          <w:rPr>
            <w:noProof/>
            <w:webHidden/>
          </w:rPr>
          <w:fldChar w:fldCharType="end"/>
        </w:r>
      </w:hyperlink>
    </w:p>
    <w:p w14:paraId="359E021F" w14:textId="4C29A3DC" w:rsidR="00A54656" w:rsidRPr="00CC6CA3" w:rsidRDefault="007A475A">
      <w:pPr>
        <w:spacing w:line="259" w:lineRule="auto"/>
        <w:jc w:val="left"/>
        <w:rPr>
          <w:rFonts w:cs="Times New Roman"/>
          <w:szCs w:val="24"/>
        </w:rPr>
      </w:pPr>
      <w:r w:rsidRPr="00CC6CA3">
        <w:rPr>
          <w:rFonts w:cs="Times New Roman"/>
          <w:bCs/>
          <w:szCs w:val="24"/>
        </w:rPr>
        <w:fldChar w:fldCharType="end"/>
      </w:r>
    </w:p>
    <w:p w14:paraId="4853A62B" w14:textId="77777777" w:rsidR="00A54656" w:rsidRPr="00CC6CA3" w:rsidRDefault="00A54656">
      <w:pPr>
        <w:spacing w:line="259" w:lineRule="auto"/>
        <w:jc w:val="left"/>
        <w:rPr>
          <w:rFonts w:cs="Times New Roman"/>
          <w:szCs w:val="24"/>
        </w:rPr>
      </w:pPr>
      <w:r w:rsidRPr="00CC6CA3">
        <w:rPr>
          <w:rFonts w:cs="Times New Roman"/>
          <w:szCs w:val="24"/>
        </w:rPr>
        <w:br w:type="page"/>
      </w:r>
    </w:p>
    <w:p w14:paraId="21D952E1" w14:textId="375EDB75" w:rsidR="00AF6CE4" w:rsidRPr="00CC6CA3" w:rsidRDefault="00A54656" w:rsidP="00A4006A">
      <w:pPr>
        <w:pStyle w:val="TableofFigures"/>
        <w:tabs>
          <w:tab w:val="right" w:leader="dot" w:pos="8755"/>
        </w:tabs>
        <w:ind w:left="482" w:hanging="482"/>
        <w:outlineLvl w:val="0"/>
      </w:pPr>
      <w:bookmarkStart w:id="13" w:name="_Toc81553241"/>
      <w:r w:rsidRPr="00CC6CA3">
        <w:rPr>
          <w:rFonts w:ascii="Times New Roman" w:hAnsi="Times New Roman" w:cs="Times New Roman"/>
          <w:sz w:val="32"/>
          <w:szCs w:val="32"/>
        </w:rPr>
        <w:lastRenderedPageBreak/>
        <w:t xml:space="preserve">List of </w:t>
      </w:r>
      <w:r w:rsidR="00D133A7" w:rsidRPr="00CC6CA3">
        <w:rPr>
          <w:rFonts w:ascii="Times New Roman" w:hAnsi="Times New Roman" w:cs="Times New Roman"/>
          <w:sz w:val="32"/>
          <w:szCs w:val="32"/>
        </w:rPr>
        <w:t>Abbreviations</w:t>
      </w:r>
      <w:bookmarkEnd w:id="13"/>
      <w:r w:rsidR="00D133A7" w:rsidRPr="00CC6CA3">
        <w:rPr>
          <w:rFonts w:ascii="Times New Roman" w:hAnsi="Times New Roman" w:cs="Times New Roman"/>
          <w:sz w:val="32"/>
          <w:szCs w:val="32"/>
        </w:rPr>
        <w:t xml:space="preserve"> </w:t>
      </w:r>
    </w:p>
    <w:tbl>
      <w:tblPr>
        <w:tblW w:w="5000" w:type="pct"/>
        <w:tblLook w:val="04A0" w:firstRow="1" w:lastRow="0" w:firstColumn="1" w:lastColumn="0" w:noHBand="0" w:noVBand="1"/>
      </w:tblPr>
      <w:tblGrid>
        <w:gridCol w:w="1588"/>
        <w:gridCol w:w="7177"/>
      </w:tblGrid>
      <w:tr w:rsidR="00CC6CA3" w:rsidRPr="00CC6CA3" w14:paraId="6AE272C9" w14:textId="77777777" w:rsidTr="00A66D30">
        <w:trPr>
          <w:trHeight w:val="315"/>
        </w:trPr>
        <w:tc>
          <w:tcPr>
            <w:tcW w:w="906" w:type="pct"/>
            <w:tcBorders>
              <w:top w:val="nil"/>
              <w:left w:val="nil"/>
              <w:bottom w:val="nil"/>
              <w:right w:val="nil"/>
            </w:tcBorders>
            <w:shd w:val="clear" w:color="auto" w:fill="auto"/>
            <w:noWrap/>
            <w:vAlign w:val="bottom"/>
            <w:hideMark/>
          </w:tcPr>
          <w:p w14:paraId="5DC9BC90"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ANN</w:t>
            </w:r>
          </w:p>
        </w:tc>
        <w:tc>
          <w:tcPr>
            <w:tcW w:w="4094" w:type="pct"/>
            <w:tcBorders>
              <w:top w:val="nil"/>
              <w:left w:val="nil"/>
              <w:bottom w:val="nil"/>
              <w:right w:val="nil"/>
            </w:tcBorders>
            <w:shd w:val="clear" w:color="auto" w:fill="auto"/>
            <w:noWrap/>
            <w:vAlign w:val="bottom"/>
            <w:hideMark/>
          </w:tcPr>
          <w:p w14:paraId="1F53BF66" w14:textId="577D210A"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A</w:t>
            </w:r>
            <w:r w:rsidR="00A54656" w:rsidRPr="00CC6CA3">
              <w:rPr>
                <w:rFonts w:eastAsia="Times New Roman" w:cs="Times New Roman"/>
                <w:szCs w:val="24"/>
              </w:rPr>
              <w:t>rtificial neural network</w:t>
            </w:r>
          </w:p>
        </w:tc>
      </w:tr>
      <w:tr w:rsidR="00CC6CA3" w:rsidRPr="00CC6CA3" w14:paraId="33F2BD3D" w14:textId="77777777" w:rsidTr="00A66D30">
        <w:trPr>
          <w:trHeight w:val="312"/>
        </w:trPr>
        <w:tc>
          <w:tcPr>
            <w:tcW w:w="906" w:type="pct"/>
            <w:tcBorders>
              <w:top w:val="nil"/>
              <w:left w:val="nil"/>
              <w:bottom w:val="nil"/>
              <w:right w:val="nil"/>
            </w:tcBorders>
            <w:shd w:val="clear" w:color="auto" w:fill="auto"/>
            <w:noWrap/>
            <w:vAlign w:val="bottom"/>
            <w:hideMark/>
          </w:tcPr>
          <w:p w14:paraId="0C5A74D8"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AUC</w:t>
            </w:r>
          </w:p>
        </w:tc>
        <w:tc>
          <w:tcPr>
            <w:tcW w:w="4094" w:type="pct"/>
            <w:tcBorders>
              <w:top w:val="nil"/>
              <w:left w:val="nil"/>
              <w:bottom w:val="nil"/>
              <w:right w:val="nil"/>
            </w:tcBorders>
            <w:shd w:val="clear" w:color="auto" w:fill="auto"/>
            <w:noWrap/>
            <w:vAlign w:val="bottom"/>
            <w:hideMark/>
          </w:tcPr>
          <w:p w14:paraId="054144A2" w14:textId="40F67F56"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A</w:t>
            </w:r>
            <w:r w:rsidR="00A54656" w:rsidRPr="00CC6CA3">
              <w:rPr>
                <w:rFonts w:eastAsia="Times New Roman" w:cs="Times New Roman"/>
                <w:szCs w:val="24"/>
              </w:rPr>
              <w:t>rea under the ROC curve</w:t>
            </w:r>
          </w:p>
        </w:tc>
      </w:tr>
      <w:tr w:rsidR="00CC6CA3" w:rsidRPr="00CC6CA3" w14:paraId="21AA9B99" w14:textId="77777777" w:rsidTr="00A66D30">
        <w:trPr>
          <w:trHeight w:val="312"/>
        </w:trPr>
        <w:tc>
          <w:tcPr>
            <w:tcW w:w="906" w:type="pct"/>
            <w:tcBorders>
              <w:top w:val="nil"/>
              <w:left w:val="nil"/>
              <w:bottom w:val="nil"/>
              <w:right w:val="nil"/>
            </w:tcBorders>
            <w:shd w:val="clear" w:color="auto" w:fill="auto"/>
            <w:noWrap/>
            <w:vAlign w:val="bottom"/>
            <w:hideMark/>
          </w:tcPr>
          <w:p w14:paraId="0252A475"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CBM</w:t>
            </w:r>
          </w:p>
        </w:tc>
        <w:tc>
          <w:tcPr>
            <w:tcW w:w="4094" w:type="pct"/>
            <w:tcBorders>
              <w:top w:val="nil"/>
              <w:left w:val="nil"/>
              <w:bottom w:val="nil"/>
              <w:right w:val="nil"/>
            </w:tcBorders>
            <w:shd w:val="clear" w:color="auto" w:fill="auto"/>
            <w:noWrap/>
            <w:vAlign w:val="bottom"/>
            <w:hideMark/>
          </w:tcPr>
          <w:p w14:paraId="377BC112" w14:textId="05EC3E79"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C</w:t>
            </w:r>
            <w:r w:rsidR="00A54656" w:rsidRPr="00CC6CA3">
              <w:rPr>
                <w:rFonts w:eastAsia="Times New Roman" w:cs="Times New Roman"/>
                <w:szCs w:val="24"/>
              </w:rPr>
              <w:t>ondition-based maintenance</w:t>
            </w:r>
          </w:p>
        </w:tc>
      </w:tr>
      <w:tr w:rsidR="00CC6CA3" w:rsidRPr="00CC6CA3" w14:paraId="5960A99E" w14:textId="77777777" w:rsidTr="00A66D30">
        <w:trPr>
          <w:trHeight w:val="312"/>
        </w:trPr>
        <w:tc>
          <w:tcPr>
            <w:tcW w:w="906" w:type="pct"/>
            <w:tcBorders>
              <w:top w:val="nil"/>
              <w:left w:val="nil"/>
              <w:bottom w:val="nil"/>
              <w:right w:val="nil"/>
            </w:tcBorders>
            <w:shd w:val="clear" w:color="auto" w:fill="auto"/>
            <w:noWrap/>
            <w:vAlign w:val="bottom"/>
            <w:hideMark/>
          </w:tcPr>
          <w:p w14:paraId="291FEEB6"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CDF</w:t>
            </w:r>
          </w:p>
        </w:tc>
        <w:tc>
          <w:tcPr>
            <w:tcW w:w="4094" w:type="pct"/>
            <w:tcBorders>
              <w:top w:val="nil"/>
              <w:left w:val="nil"/>
              <w:bottom w:val="nil"/>
              <w:right w:val="nil"/>
            </w:tcBorders>
            <w:shd w:val="clear" w:color="auto" w:fill="auto"/>
            <w:noWrap/>
            <w:vAlign w:val="bottom"/>
            <w:hideMark/>
          </w:tcPr>
          <w:p w14:paraId="49158373" w14:textId="5D482AF1"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C</w:t>
            </w:r>
            <w:r w:rsidR="00A54656" w:rsidRPr="00CC6CA3">
              <w:rPr>
                <w:rFonts w:eastAsia="Times New Roman" w:cs="Times New Roman"/>
                <w:szCs w:val="24"/>
              </w:rPr>
              <w:t>umulative distribution function</w:t>
            </w:r>
          </w:p>
        </w:tc>
      </w:tr>
      <w:tr w:rsidR="00CC6CA3" w:rsidRPr="00CC6CA3" w14:paraId="463982A6" w14:textId="77777777" w:rsidTr="00A66D30">
        <w:trPr>
          <w:trHeight w:val="312"/>
        </w:trPr>
        <w:tc>
          <w:tcPr>
            <w:tcW w:w="906" w:type="pct"/>
            <w:tcBorders>
              <w:top w:val="nil"/>
              <w:left w:val="nil"/>
              <w:bottom w:val="nil"/>
              <w:right w:val="nil"/>
            </w:tcBorders>
            <w:shd w:val="clear" w:color="auto" w:fill="auto"/>
            <w:noWrap/>
            <w:vAlign w:val="bottom"/>
            <w:hideMark/>
          </w:tcPr>
          <w:p w14:paraId="6C58003E"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COF</w:t>
            </w:r>
          </w:p>
        </w:tc>
        <w:tc>
          <w:tcPr>
            <w:tcW w:w="4094" w:type="pct"/>
            <w:tcBorders>
              <w:top w:val="nil"/>
              <w:left w:val="nil"/>
              <w:bottom w:val="nil"/>
              <w:right w:val="nil"/>
            </w:tcBorders>
            <w:shd w:val="clear" w:color="auto" w:fill="auto"/>
            <w:noWrap/>
            <w:vAlign w:val="bottom"/>
            <w:hideMark/>
          </w:tcPr>
          <w:p w14:paraId="070E2F4E" w14:textId="1B46027C"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C</w:t>
            </w:r>
            <w:r w:rsidR="00A54656" w:rsidRPr="00CC6CA3">
              <w:rPr>
                <w:rFonts w:eastAsia="Times New Roman" w:cs="Times New Roman"/>
                <w:szCs w:val="24"/>
              </w:rPr>
              <w:t>onsequence of fault</w:t>
            </w:r>
          </w:p>
        </w:tc>
      </w:tr>
      <w:tr w:rsidR="00CC6CA3" w:rsidRPr="00CC6CA3" w14:paraId="50A88DB3" w14:textId="77777777" w:rsidTr="00A66D30">
        <w:trPr>
          <w:trHeight w:val="312"/>
        </w:trPr>
        <w:tc>
          <w:tcPr>
            <w:tcW w:w="906" w:type="pct"/>
            <w:tcBorders>
              <w:top w:val="nil"/>
              <w:left w:val="nil"/>
              <w:bottom w:val="nil"/>
              <w:right w:val="nil"/>
            </w:tcBorders>
            <w:shd w:val="clear" w:color="auto" w:fill="auto"/>
            <w:noWrap/>
            <w:vAlign w:val="bottom"/>
            <w:hideMark/>
          </w:tcPr>
          <w:p w14:paraId="275606CD"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EML</w:t>
            </w:r>
          </w:p>
        </w:tc>
        <w:tc>
          <w:tcPr>
            <w:tcW w:w="4094" w:type="pct"/>
            <w:tcBorders>
              <w:top w:val="nil"/>
              <w:left w:val="nil"/>
              <w:bottom w:val="nil"/>
              <w:right w:val="nil"/>
            </w:tcBorders>
            <w:shd w:val="clear" w:color="auto" w:fill="auto"/>
            <w:noWrap/>
            <w:vAlign w:val="bottom"/>
            <w:hideMark/>
          </w:tcPr>
          <w:p w14:paraId="2A4FC0EA" w14:textId="34D5BB5E"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E</w:t>
            </w:r>
            <w:r w:rsidR="00A54656" w:rsidRPr="00CC6CA3">
              <w:rPr>
                <w:rFonts w:eastAsia="Times New Roman" w:cs="Times New Roman"/>
                <w:szCs w:val="24"/>
              </w:rPr>
              <w:t>stimated maximum loss</w:t>
            </w:r>
          </w:p>
        </w:tc>
      </w:tr>
      <w:tr w:rsidR="00CC6CA3" w:rsidRPr="00CC6CA3" w14:paraId="28D73AF7" w14:textId="77777777" w:rsidTr="00A66D30">
        <w:trPr>
          <w:trHeight w:val="312"/>
        </w:trPr>
        <w:tc>
          <w:tcPr>
            <w:tcW w:w="906" w:type="pct"/>
            <w:tcBorders>
              <w:top w:val="nil"/>
              <w:left w:val="nil"/>
              <w:bottom w:val="nil"/>
              <w:right w:val="nil"/>
            </w:tcBorders>
            <w:shd w:val="clear" w:color="auto" w:fill="auto"/>
            <w:noWrap/>
            <w:vAlign w:val="bottom"/>
            <w:hideMark/>
          </w:tcPr>
          <w:p w14:paraId="6D50EACF"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FAR</w:t>
            </w:r>
          </w:p>
        </w:tc>
        <w:tc>
          <w:tcPr>
            <w:tcW w:w="4094" w:type="pct"/>
            <w:tcBorders>
              <w:top w:val="nil"/>
              <w:left w:val="nil"/>
              <w:bottom w:val="nil"/>
              <w:right w:val="nil"/>
            </w:tcBorders>
            <w:shd w:val="clear" w:color="auto" w:fill="auto"/>
            <w:noWrap/>
            <w:vAlign w:val="bottom"/>
            <w:hideMark/>
          </w:tcPr>
          <w:p w14:paraId="544CFEC9" w14:textId="3B1B9236"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F</w:t>
            </w:r>
            <w:r w:rsidR="00A54656" w:rsidRPr="00CC6CA3">
              <w:rPr>
                <w:rFonts w:eastAsia="Times New Roman" w:cs="Times New Roman"/>
                <w:szCs w:val="24"/>
              </w:rPr>
              <w:t xml:space="preserve">alse alarm rate </w:t>
            </w:r>
          </w:p>
        </w:tc>
      </w:tr>
      <w:tr w:rsidR="00CC6CA3" w:rsidRPr="00CC6CA3" w14:paraId="3F510B5B" w14:textId="77777777" w:rsidTr="00A66D30">
        <w:trPr>
          <w:trHeight w:val="312"/>
        </w:trPr>
        <w:tc>
          <w:tcPr>
            <w:tcW w:w="906" w:type="pct"/>
            <w:tcBorders>
              <w:top w:val="nil"/>
              <w:left w:val="nil"/>
              <w:bottom w:val="nil"/>
              <w:right w:val="nil"/>
            </w:tcBorders>
            <w:shd w:val="clear" w:color="auto" w:fill="auto"/>
            <w:noWrap/>
            <w:vAlign w:val="bottom"/>
            <w:hideMark/>
          </w:tcPr>
          <w:p w14:paraId="63FDD651"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FDR</w:t>
            </w:r>
          </w:p>
        </w:tc>
        <w:tc>
          <w:tcPr>
            <w:tcW w:w="4094" w:type="pct"/>
            <w:tcBorders>
              <w:top w:val="nil"/>
              <w:left w:val="nil"/>
              <w:bottom w:val="nil"/>
              <w:right w:val="nil"/>
            </w:tcBorders>
            <w:shd w:val="clear" w:color="auto" w:fill="auto"/>
            <w:noWrap/>
            <w:vAlign w:val="bottom"/>
            <w:hideMark/>
          </w:tcPr>
          <w:p w14:paraId="1C13D14C" w14:textId="3B5D724D"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F</w:t>
            </w:r>
            <w:r w:rsidR="00A54656" w:rsidRPr="00CC6CA3">
              <w:rPr>
                <w:rFonts w:eastAsia="Times New Roman" w:cs="Times New Roman"/>
                <w:szCs w:val="24"/>
              </w:rPr>
              <w:t xml:space="preserve">ault detection rate </w:t>
            </w:r>
          </w:p>
        </w:tc>
      </w:tr>
      <w:tr w:rsidR="00CC6CA3" w:rsidRPr="00CC6CA3" w14:paraId="03FFE3B4" w14:textId="77777777" w:rsidTr="00A66D30">
        <w:trPr>
          <w:trHeight w:val="312"/>
        </w:trPr>
        <w:tc>
          <w:tcPr>
            <w:tcW w:w="906" w:type="pct"/>
            <w:tcBorders>
              <w:top w:val="nil"/>
              <w:left w:val="nil"/>
              <w:bottom w:val="nil"/>
              <w:right w:val="nil"/>
            </w:tcBorders>
            <w:shd w:val="clear" w:color="auto" w:fill="auto"/>
            <w:noWrap/>
            <w:vAlign w:val="bottom"/>
            <w:hideMark/>
          </w:tcPr>
          <w:p w14:paraId="232D651F"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KDE</w:t>
            </w:r>
          </w:p>
        </w:tc>
        <w:tc>
          <w:tcPr>
            <w:tcW w:w="4094" w:type="pct"/>
            <w:tcBorders>
              <w:top w:val="nil"/>
              <w:left w:val="nil"/>
              <w:bottom w:val="nil"/>
              <w:right w:val="nil"/>
            </w:tcBorders>
            <w:shd w:val="clear" w:color="auto" w:fill="auto"/>
            <w:noWrap/>
            <w:vAlign w:val="bottom"/>
            <w:hideMark/>
          </w:tcPr>
          <w:p w14:paraId="1F8D1F8B" w14:textId="3A1CEC68"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K</w:t>
            </w:r>
            <w:r w:rsidR="00A54656" w:rsidRPr="00CC6CA3">
              <w:rPr>
                <w:rFonts w:eastAsia="Times New Roman" w:cs="Times New Roman"/>
                <w:szCs w:val="24"/>
              </w:rPr>
              <w:t xml:space="preserve">ernel density estimation </w:t>
            </w:r>
          </w:p>
        </w:tc>
      </w:tr>
      <w:tr w:rsidR="00CC6CA3" w:rsidRPr="00CC6CA3" w14:paraId="78591D60" w14:textId="77777777" w:rsidTr="00A66D30">
        <w:trPr>
          <w:trHeight w:val="312"/>
        </w:trPr>
        <w:tc>
          <w:tcPr>
            <w:tcW w:w="906" w:type="pct"/>
            <w:tcBorders>
              <w:top w:val="nil"/>
              <w:left w:val="nil"/>
              <w:bottom w:val="nil"/>
              <w:right w:val="nil"/>
            </w:tcBorders>
            <w:shd w:val="clear" w:color="auto" w:fill="auto"/>
            <w:noWrap/>
            <w:vAlign w:val="bottom"/>
            <w:hideMark/>
          </w:tcPr>
          <w:p w14:paraId="0ACF1974"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K-S</w:t>
            </w:r>
          </w:p>
        </w:tc>
        <w:tc>
          <w:tcPr>
            <w:tcW w:w="4094" w:type="pct"/>
            <w:tcBorders>
              <w:top w:val="nil"/>
              <w:left w:val="nil"/>
              <w:bottom w:val="nil"/>
              <w:right w:val="nil"/>
            </w:tcBorders>
            <w:shd w:val="clear" w:color="auto" w:fill="auto"/>
            <w:noWrap/>
            <w:vAlign w:val="bottom"/>
            <w:hideMark/>
          </w:tcPr>
          <w:p w14:paraId="46103F4C"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 xml:space="preserve">Kolmogorov-Smirnov </w:t>
            </w:r>
          </w:p>
        </w:tc>
      </w:tr>
      <w:tr w:rsidR="00CC6CA3" w:rsidRPr="00CC6CA3" w14:paraId="6CD7BD67" w14:textId="77777777" w:rsidTr="00A66D30">
        <w:trPr>
          <w:trHeight w:val="312"/>
        </w:trPr>
        <w:tc>
          <w:tcPr>
            <w:tcW w:w="906" w:type="pct"/>
            <w:tcBorders>
              <w:top w:val="nil"/>
              <w:left w:val="nil"/>
              <w:bottom w:val="nil"/>
              <w:right w:val="nil"/>
            </w:tcBorders>
            <w:shd w:val="clear" w:color="auto" w:fill="auto"/>
            <w:noWrap/>
            <w:vAlign w:val="bottom"/>
            <w:hideMark/>
          </w:tcPr>
          <w:p w14:paraId="0DC8D2C1"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LM</w:t>
            </w:r>
          </w:p>
        </w:tc>
        <w:tc>
          <w:tcPr>
            <w:tcW w:w="4094" w:type="pct"/>
            <w:tcBorders>
              <w:top w:val="nil"/>
              <w:left w:val="nil"/>
              <w:bottom w:val="nil"/>
              <w:right w:val="nil"/>
            </w:tcBorders>
            <w:shd w:val="clear" w:color="auto" w:fill="auto"/>
            <w:noWrap/>
            <w:vAlign w:val="bottom"/>
            <w:hideMark/>
          </w:tcPr>
          <w:p w14:paraId="6C49F8B9"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 xml:space="preserve">Levenberg–Marquardt back-propagation </w:t>
            </w:r>
          </w:p>
        </w:tc>
      </w:tr>
      <w:tr w:rsidR="00CC6CA3" w:rsidRPr="00CC6CA3" w14:paraId="26F49463" w14:textId="77777777" w:rsidTr="00A66D30">
        <w:trPr>
          <w:trHeight w:val="312"/>
        </w:trPr>
        <w:tc>
          <w:tcPr>
            <w:tcW w:w="906" w:type="pct"/>
            <w:tcBorders>
              <w:top w:val="nil"/>
              <w:left w:val="nil"/>
              <w:bottom w:val="nil"/>
              <w:right w:val="nil"/>
            </w:tcBorders>
            <w:shd w:val="clear" w:color="auto" w:fill="auto"/>
            <w:noWrap/>
            <w:vAlign w:val="bottom"/>
            <w:hideMark/>
          </w:tcPr>
          <w:p w14:paraId="2B89FD59"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MCC</w:t>
            </w:r>
          </w:p>
        </w:tc>
        <w:tc>
          <w:tcPr>
            <w:tcW w:w="4094" w:type="pct"/>
            <w:tcBorders>
              <w:top w:val="nil"/>
              <w:left w:val="nil"/>
              <w:bottom w:val="nil"/>
              <w:right w:val="nil"/>
            </w:tcBorders>
            <w:shd w:val="clear" w:color="auto" w:fill="auto"/>
            <w:noWrap/>
            <w:vAlign w:val="bottom"/>
            <w:hideMark/>
          </w:tcPr>
          <w:p w14:paraId="67C90C95" w14:textId="3AE19013"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M</w:t>
            </w:r>
            <w:r w:rsidR="00A54656" w:rsidRPr="00CC6CA3">
              <w:rPr>
                <w:rFonts w:eastAsia="Times New Roman" w:cs="Times New Roman"/>
                <w:szCs w:val="24"/>
              </w:rPr>
              <w:t xml:space="preserve">ulti-class classification </w:t>
            </w:r>
          </w:p>
        </w:tc>
      </w:tr>
      <w:tr w:rsidR="00CC6CA3" w:rsidRPr="00CC6CA3" w14:paraId="469539A1" w14:textId="77777777" w:rsidTr="00A66D30">
        <w:trPr>
          <w:trHeight w:val="312"/>
        </w:trPr>
        <w:tc>
          <w:tcPr>
            <w:tcW w:w="906" w:type="pct"/>
            <w:tcBorders>
              <w:top w:val="nil"/>
              <w:left w:val="nil"/>
              <w:bottom w:val="nil"/>
              <w:right w:val="nil"/>
            </w:tcBorders>
            <w:shd w:val="clear" w:color="auto" w:fill="auto"/>
            <w:noWrap/>
            <w:vAlign w:val="bottom"/>
            <w:hideMark/>
          </w:tcPr>
          <w:p w14:paraId="0FED4ECB"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MD</w:t>
            </w:r>
          </w:p>
        </w:tc>
        <w:tc>
          <w:tcPr>
            <w:tcW w:w="4094" w:type="pct"/>
            <w:tcBorders>
              <w:top w:val="nil"/>
              <w:left w:val="nil"/>
              <w:bottom w:val="nil"/>
              <w:right w:val="nil"/>
            </w:tcBorders>
            <w:shd w:val="clear" w:color="auto" w:fill="auto"/>
            <w:noWrap/>
            <w:vAlign w:val="bottom"/>
            <w:hideMark/>
          </w:tcPr>
          <w:p w14:paraId="1DF47766"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 xml:space="preserve">Mahalanobis distance </w:t>
            </w:r>
          </w:p>
        </w:tc>
      </w:tr>
      <w:tr w:rsidR="00CC6CA3" w:rsidRPr="00CC6CA3" w14:paraId="4BEA56EF" w14:textId="77777777" w:rsidTr="00A66D30">
        <w:trPr>
          <w:trHeight w:val="312"/>
        </w:trPr>
        <w:tc>
          <w:tcPr>
            <w:tcW w:w="906" w:type="pct"/>
            <w:tcBorders>
              <w:top w:val="nil"/>
              <w:left w:val="nil"/>
              <w:bottom w:val="nil"/>
              <w:right w:val="nil"/>
            </w:tcBorders>
            <w:shd w:val="clear" w:color="auto" w:fill="auto"/>
            <w:noWrap/>
            <w:vAlign w:val="bottom"/>
            <w:hideMark/>
          </w:tcPr>
          <w:p w14:paraId="65D0AA74"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MLP</w:t>
            </w:r>
          </w:p>
        </w:tc>
        <w:tc>
          <w:tcPr>
            <w:tcW w:w="4094" w:type="pct"/>
            <w:tcBorders>
              <w:top w:val="nil"/>
              <w:left w:val="nil"/>
              <w:bottom w:val="nil"/>
              <w:right w:val="nil"/>
            </w:tcBorders>
            <w:shd w:val="clear" w:color="auto" w:fill="auto"/>
            <w:noWrap/>
            <w:vAlign w:val="bottom"/>
            <w:hideMark/>
          </w:tcPr>
          <w:p w14:paraId="11282399" w14:textId="74B93275"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M</w:t>
            </w:r>
            <w:r w:rsidR="00A54656" w:rsidRPr="00CC6CA3">
              <w:rPr>
                <w:rFonts w:eastAsia="Times New Roman" w:cs="Times New Roman"/>
                <w:szCs w:val="24"/>
              </w:rPr>
              <w:t xml:space="preserve">ultilayer perceptron </w:t>
            </w:r>
          </w:p>
        </w:tc>
      </w:tr>
      <w:tr w:rsidR="00CC6CA3" w:rsidRPr="00CC6CA3" w14:paraId="7D70F900" w14:textId="77777777" w:rsidTr="00A66D30">
        <w:trPr>
          <w:trHeight w:val="312"/>
        </w:trPr>
        <w:tc>
          <w:tcPr>
            <w:tcW w:w="906" w:type="pct"/>
            <w:tcBorders>
              <w:top w:val="nil"/>
              <w:left w:val="nil"/>
              <w:bottom w:val="nil"/>
              <w:right w:val="nil"/>
            </w:tcBorders>
            <w:shd w:val="clear" w:color="auto" w:fill="auto"/>
            <w:noWrap/>
            <w:vAlign w:val="bottom"/>
            <w:hideMark/>
          </w:tcPr>
          <w:p w14:paraId="7815EB0F"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NARX</w:t>
            </w:r>
          </w:p>
        </w:tc>
        <w:tc>
          <w:tcPr>
            <w:tcW w:w="4094" w:type="pct"/>
            <w:tcBorders>
              <w:top w:val="nil"/>
              <w:left w:val="nil"/>
              <w:bottom w:val="nil"/>
              <w:right w:val="nil"/>
            </w:tcBorders>
            <w:shd w:val="clear" w:color="auto" w:fill="auto"/>
            <w:noWrap/>
            <w:vAlign w:val="bottom"/>
            <w:hideMark/>
          </w:tcPr>
          <w:p w14:paraId="7BE78F4A" w14:textId="28CD7201"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N</w:t>
            </w:r>
            <w:r w:rsidR="00A54656" w:rsidRPr="00CC6CA3">
              <w:rPr>
                <w:rFonts w:eastAsia="Times New Roman" w:cs="Times New Roman"/>
                <w:szCs w:val="24"/>
              </w:rPr>
              <w:t xml:space="preserve">onlinear autoregressive network with exogenous inputs </w:t>
            </w:r>
          </w:p>
        </w:tc>
      </w:tr>
      <w:tr w:rsidR="00CC6CA3" w:rsidRPr="00CC6CA3" w14:paraId="6FB779A2" w14:textId="77777777" w:rsidTr="00A66D30">
        <w:trPr>
          <w:trHeight w:val="312"/>
        </w:trPr>
        <w:tc>
          <w:tcPr>
            <w:tcW w:w="906" w:type="pct"/>
            <w:tcBorders>
              <w:top w:val="nil"/>
              <w:left w:val="nil"/>
              <w:bottom w:val="nil"/>
              <w:right w:val="nil"/>
            </w:tcBorders>
            <w:shd w:val="clear" w:color="auto" w:fill="auto"/>
            <w:noWrap/>
            <w:vAlign w:val="bottom"/>
            <w:hideMark/>
          </w:tcPr>
          <w:p w14:paraId="720D5D39"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OCC</w:t>
            </w:r>
          </w:p>
        </w:tc>
        <w:tc>
          <w:tcPr>
            <w:tcW w:w="4094" w:type="pct"/>
            <w:tcBorders>
              <w:top w:val="nil"/>
              <w:left w:val="nil"/>
              <w:bottom w:val="nil"/>
              <w:right w:val="nil"/>
            </w:tcBorders>
            <w:shd w:val="clear" w:color="auto" w:fill="auto"/>
            <w:noWrap/>
            <w:vAlign w:val="bottom"/>
            <w:hideMark/>
          </w:tcPr>
          <w:p w14:paraId="05BE4707" w14:textId="207CE79E"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O</w:t>
            </w:r>
            <w:r w:rsidR="00A54656" w:rsidRPr="00CC6CA3">
              <w:rPr>
                <w:rFonts w:eastAsia="Times New Roman" w:cs="Times New Roman"/>
                <w:szCs w:val="24"/>
              </w:rPr>
              <w:t xml:space="preserve">ne-class classification </w:t>
            </w:r>
          </w:p>
        </w:tc>
      </w:tr>
      <w:tr w:rsidR="00CC6CA3" w:rsidRPr="00CC6CA3" w14:paraId="3D5AEB79" w14:textId="77777777" w:rsidTr="00A66D30">
        <w:trPr>
          <w:trHeight w:val="312"/>
        </w:trPr>
        <w:tc>
          <w:tcPr>
            <w:tcW w:w="906" w:type="pct"/>
            <w:tcBorders>
              <w:top w:val="nil"/>
              <w:left w:val="nil"/>
              <w:bottom w:val="nil"/>
              <w:right w:val="nil"/>
            </w:tcBorders>
            <w:shd w:val="clear" w:color="auto" w:fill="auto"/>
            <w:noWrap/>
            <w:vAlign w:val="bottom"/>
            <w:hideMark/>
          </w:tcPr>
          <w:p w14:paraId="6CC22E7D"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PCA</w:t>
            </w:r>
          </w:p>
        </w:tc>
        <w:tc>
          <w:tcPr>
            <w:tcW w:w="4094" w:type="pct"/>
            <w:tcBorders>
              <w:top w:val="nil"/>
              <w:left w:val="nil"/>
              <w:bottom w:val="nil"/>
              <w:right w:val="nil"/>
            </w:tcBorders>
            <w:shd w:val="clear" w:color="auto" w:fill="auto"/>
            <w:noWrap/>
            <w:vAlign w:val="bottom"/>
            <w:hideMark/>
          </w:tcPr>
          <w:p w14:paraId="707E6E50" w14:textId="722D006B"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P</w:t>
            </w:r>
            <w:r w:rsidR="00A54656" w:rsidRPr="00CC6CA3">
              <w:rPr>
                <w:rFonts w:eastAsia="Times New Roman" w:cs="Times New Roman"/>
                <w:szCs w:val="24"/>
              </w:rPr>
              <w:t xml:space="preserve">rincipal component analysis </w:t>
            </w:r>
          </w:p>
        </w:tc>
      </w:tr>
      <w:tr w:rsidR="00CC6CA3" w:rsidRPr="00CC6CA3" w14:paraId="5F52F0BB" w14:textId="77777777" w:rsidTr="00A66D30">
        <w:trPr>
          <w:trHeight w:val="312"/>
        </w:trPr>
        <w:tc>
          <w:tcPr>
            <w:tcW w:w="906" w:type="pct"/>
            <w:tcBorders>
              <w:top w:val="nil"/>
              <w:left w:val="nil"/>
              <w:bottom w:val="nil"/>
              <w:right w:val="nil"/>
            </w:tcBorders>
            <w:shd w:val="clear" w:color="auto" w:fill="auto"/>
            <w:noWrap/>
            <w:vAlign w:val="bottom"/>
            <w:hideMark/>
          </w:tcPr>
          <w:p w14:paraId="640856E6"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PDF</w:t>
            </w:r>
          </w:p>
        </w:tc>
        <w:tc>
          <w:tcPr>
            <w:tcW w:w="4094" w:type="pct"/>
            <w:tcBorders>
              <w:top w:val="nil"/>
              <w:left w:val="nil"/>
              <w:bottom w:val="nil"/>
              <w:right w:val="nil"/>
            </w:tcBorders>
            <w:shd w:val="clear" w:color="auto" w:fill="auto"/>
            <w:noWrap/>
            <w:vAlign w:val="bottom"/>
            <w:hideMark/>
          </w:tcPr>
          <w:p w14:paraId="2EFA9C82" w14:textId="22A2EB83"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P</w:t>
            </w:r>
            <w:r w:rsidR="00A54656" w:rsidRPr="00CC6CA3">
              <w:rPr>
                <w:rFonts w:eastAsia="Times New Roman" w:cs="Times New Roman"/>
                <w:szCs w:val="24"/>
              </w:rPr>
              <w:t xml:space="preserve">robability density function </w:t>
            </w:r>
          </w:p>
        </w:tc>
      </w:tr>
      <w:tr w:rsidR="00CC6CA3" w:rsidRPr="00CC6CA3" w14:paraId="35F5513C" w14:textId="77777777" w:rsidTr="00A66D30">
        <w:trPr>
          <w:trHeight w:val="312"/>
        </w:trPr>
        <w:tc>
          <w:tcPr>
            <w:tcW w:w="906" w:type="pct"/>
            <w:tcBorders>
              <w:top w:val="nil"/>
              <w:left w:val="nil"/>
              <w:bottom w:val="nil"/>
              <w:right w:val="nil"/>
            </w:tcBorders>
            <w:shd w:val="clear" w:color="auto" w:fill="auto"/>
            <w:noWrap/>
            <w:vAlign w:val="bottom"/>
            <w:hideMark/>
          </w:tcPr>
          <w:p w14:paraId="762E9E22"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PLS</w:t>
            </w:r>
          </w:p>
        </w:tc>
        <w:tc>
          <w:tcPr>
            <w:tcW w:w="4094" w:type="pct"/>
            <w:tcBorders>
              <w:top w:val="nil"/>
              <w:left w:val="nil"/>
              <w:bottom w:val="nil"/>
              <w:right w:val="nil"/>
            </w:tcBorders>
            <w:shd w:val="clear" w:color="auto" w:fill="auto"/>
            <w:noWrap/>
            <w:vAlign w:val="bottom"/>
            <w:hideMark/>
          </w:tcPr>
          <w:p w14:paraId="75757423" w14:textId="119F83F9"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P</w:t>
            </w:r>
            <w:r w:rsidR="00A54656" w:rsidRPr="00CC6CA3">
              <w:rPr>
                <w:rFonts w:eastAsia="Times New Roman" w:cs="Times New Roman"/>
                <w:szCs w:val="24"/>
              </w:rPr>
              <w:t xml:space="preserve">artial least squares </w:t>
            </w:r>
          </w:p>
        </w:tc>
      </w:tr>
      <w:tr w:rsidR="00CC6CA3" w:rsidRPr="00CC6CA3" w14:paraId="08DD3C3B" w14:textId="77777777" w:rsidTr="00A66D30">
        <w:trPr>
          <w:trHeight w:val="312"/>
        </w:trPr>
        <w:tc>
          <w:tcPr>
            <w:tcW w:w="906" w:type="pct"/>
            <w:tcBorders>
              <w:top w:val="nil"/>
              <w:left w:val="nil"/>
              <w:bottom w:val="nil"/>
              <w:right w:val="nil"/>
            </w:tcBorders>
            <w:shd w:val="clear" w:color="auto" w:fill="auto"/>
            <w:noWrap/>
            <w:vAlign w:val="bottom"/>
            <w:hideMark/>
          </w:tcPr>
          <w:p w14:paraId="1F3A41A4"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POF</w:t>
            </w:r>
          </w:p>
        </w:tc>
        <w:tc>
          <w:tcPr>
            <w:tcW w:w="4094" w:type="pct"/>
            <w:tcBorders>
              <w:top w:val="nil"/>
              <w:left w:val="nil"/>
              <w:bottom w:val="nil"/>
              <w:right w:val="nil"/>
            </w:tcBorders>
            <w:shd w:val="clear" w:color="auto" w:fill="auto"/>
            <w:noWrap/>
            <w:vAlign w:val="bottom"/>
            <w:hideMark/>
          </w:tcPr>
          <w:p w14:paraId="18F4F810" w14:textId="40F90687"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P</w:t>
            </w:r>
            <w:r w:rsidR="00A54656" w:rsidRPr="00CC6CA3">
              <w:rPr>
                <w:rFonts w:eastAsia="Times New Roman" w:cs="Times New Roman"/>
                <w:szCs w:val="24"/>
              </w:rPr>
              <w:t xml:space="preserve">robability of fault </w:t>
            </w:r>
          </w:p>
        </w:tc>
      </w:tr>
      <w:tr w:rsidR="00CC6CA3" w:rsidRPr="00CC6CA3" w14:paraId="19CE1A12" w14:textId="77777777" w:rsidTr="00A66D30">
        <w:trPr>
          <w:trHeight w:val="312"/>
        </w:trPr>
        <w:tc>
          <w:tcPr>
            <w:tcW w:w="906" w:type="pct"/>
            <w:tcBorders>
              <w:top w:val="nil"/>
              <w:left w:val="nil"/>
              <w:bottom w:val="nil"/>
              <w:right w:val="nil"/>
            </w:tcBorders>
            <w:shd w:val="clear" w:color="auto" w:fill="auto"/>
            <w:noWrap/>
            <w:vAlign w:val="bottom"/>
          </w:tcPr>
          <w:p w14:paraId="0BC13796" w14:textId="08A42F5E" w:rsidR="00B142CB" w:rsidRPr="00CC6CA3" w:rsidRDefault="00B142CB" w:rsidP="00B142CB">
            <w:pPr>
              <w:spacing w:after="0" w:line="240" w:lineRule="auto"/>
              <w:jc w:val="left"/>
              <w:rPr>
                <w:rFonts w:eastAsia="Times New Roman" w:cs="Times New Roman"/>
                <w:szCs w:val="24"/>
              </w:rPr>
            </w:pPr>
            <w:r w:rsidRPr="00CC6CA3">
              <w:rPr>
                <w:rFonts w:eastAsia="Times New Roman" w:cs="Times New Roman"/>
                <w:szCs w:val="24"/>
              </w:rPr>
              <w:t>PPM</w:t>
            </w:r>
          </w:p>
        </w:tc>
        <w:tc>
          <w:tcPr>
            <w:tcW w:w="4094" w:type="pct"/>
            <w:tcBorders>
              <w:top w:val="nil"/>
              <w:left w:val="nil"/>
              <w:bottom w:val="nil"/>
              <w:right w:val="nil"/>
            </w:tcBorders>
            <w:shd w:val="clear" w:color="auto" w:fill="auto"/>
            <w:noWrap/>
            <w:vAlign w:val="bottom"/>
          </w:tcPr>
          <w:p w14:paraId="0E7E2E97" w14:textId="1DB9E937" w:rsidR="00B142CB" w:rsidRPr="00CC6CA3" w:rsidRDefault="00B142CB" w:rsidP="00B142CB">
            <w:pPr>
              <w:spacing w:after="0" w:line="240" w:lineRule="auto"/>
              <w:jc w:val="left"/>
              <w:rPr>
                <w:rFonts w:eastAsia="Times New Roman" w:cs="Times New Roman"/>
                <w:szCs w:val="24"/>
              </w:rPr>
            </w:pPr>
            <w:r w:rsidRPr="00CC6CA3">
              <w:t xml:space="preserve">Planned preventive </w:t>
            </w:r>
            <w:r w:rsidRPr="00CC6CA3">
              <w:rPr>
                <w:rFonts w:eastAsia="Times New Roman" w:cs="Times New Roman"/>
                <w:szCs w:val="24"/>
              </w:rPr>
              <w:t xml:space="preserve">maintenance </w:t>
            </w:r>
          </w:p>
        </w:tc>
      </w:tr>
      <w:tr w:rsidR="00CC6CA3" w:rsidRPr="00CC6CA3" w14:paraId="4A84BFA6" w14:textId="77777777" w:rsidTr="00A66D30">
        <w:trPr>
          <w:trHeight w:val="312"/>
        </w:trPr>
        <w:tc>
          <w:tcPr>
            <w:tcW w:w="906" w:type="pct"/>
            <w:tcBorders>
              <w:top w:val="nil"/>
              <w:left w:val="nil"/>
              <w:bottom w:val="nil"/>
              <w:right w:val="nil"/>
            </w:tcBorders>
            <w:shd w:val="clear" w:color="auto" w:fill="auto"/>
            <w:noWrap/>
            <w:vAlign w:val="bottom"/>
            <w:hideMark/>
          </w:tcPr>
          <w:p w14:paraId="2A5C62AD"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RBI/RBM</w:t>
            </w:r>
          </w:p>
        </w:tc>
        <w:tc>
          <w:tcPr>
            <w:tcW w:w="4094" w:type="pct"/>
            <w:tcBorders>
              <w:top w:val="nil"/>
              <w:left w:val="nil"/>
              <w:bottom w:val="nil"/>
              <w:right w:val="nil"/>
            </w:tcBorders>
            <w:shd w:val="clear" w:color="auto" w:fill="auto"/>
            <w:noWrap/>
            <w:vAlign w:val="bottom"/>
            <w:hideMark/>
          </w:tcPr>
          <w:p w14:paraId="35424603" w14:textId="3857D02B"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R</w:t>
            </w:r>
            <w:r w:rsidR="00A54656" w:rsidRPr="00CC6CA3">
              <w:rPr>
                <w:rFonts w:eastAsia="Times New Roman" w:cs="Times New Roman"/>
                <w:szCs w:val="24"/>
              </w:rPr>
              <w:t xml:space="preserve">isk-based inspection/maintenance </w:t>
            </w:r>
          </w:p>
        </w:tc>
      </w:tr>
      <w:tr w:rsidR="00CC6CA3" w:rsidRPr="00CC6CA3" w14:paraId="06C08F07" w14:textId="77777777" w:rsidTr="00A66D30">
        <w:trPr>
          <w:trHeight w:val="312"/>
        </w:trPr>
        <w:tc>
          <w:tcPr>
            <w:tcW w:w="906" w:type="pct"/>
            <w:tcBorders>
              <w:top w:val="nil"/>
              <w:left w:val="nil"/>
              <w:bottom w:val="nil"/>
              <w:right w:val="nil"/>
            </w:tcBorders>
            <w:shd w:val="clear" w:color="auto" w:fill="auto"/>
            <w:noWrap/>
            <w:vAlign w:val="bottom"/>
            <w:hideMark/>
          </w:tcPr>
          <w:p w14:paraId="61B925FC"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RBM</w:t>
            </w:r>
          </w:p>
        </w:tc>
        <w:tc>
          <w:tcPr>
            <w:tcW w:w="4094" w:type="pct"/>
            <w:tcBorders>
              <w:top w:val="nil"/>
              <w:left w:val="nil"/>
              <w:bottom w:val="nil"/>
              <w:right w:val="nil"/>
            </w:tcBorders>
            <w:shd w:val="clear" w:color="auto" w:fill="auto"/>
            <w:noWrap/>
            <w:vAlign w:val="bottom"/>
            <w:hideMark/>
          </w:tcPr>
          <w:p w14:paraId="16F316DB" w14:textId="0E27222A"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R</w:t>
            </w:r>
            <w:r w:rsidR="00A54656" w:rsidRPr="00CC6CA3">
              <w:rPr>
                <w:rFonts w:eastAsia="Times New Roman" w:cs="Times New Roman"/>
                <w:szCs w:val="24"/>
              </w:rPr>
              <w:t xml:space="preserve">isk-based maintenance </w:t>
            </w:r>
          </w:p>
        </w:tc>
      </w:tr>
      <w:tr w:rsidR="00CC6CA3" w:rsidRPr="00CC6CA3" w14:paraId="5A6BF338" w14:textId="77777777" w:rsidTr="00A66D30">
        <w:trPr>
          <w:trHeight w:val="312"/>
        </w:trPr>
        <w:tc>
          <w:tcPr>
            <w:tcW w:w="906" w:type="pct"/>
            <w:tcBorders>
              <w:top w:val="nil"/>
              <w:left w:val="nil"/>
              <w:bottom w:val="nil"/>
              <w:right w:val="nil"/>
            </w:tcBorders>
            <w:shd w:val="clear" w:color="auto" w:fill="auto"/>
            <w:noWrap/>
            <w:vAlign w:val="bottom"/>
            <w:hideMark/>
          </w:tcPr>
          <w:p w14:paraId="243BAD40"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RMS</w:t>
            </w:r>
          </w:p>
        </w:tc>
        <w:tc>
          <w:tcPr>
            <w:tcW w:w="4094" w:type="pct"/>
            <w:tcBorders>
              <w:top w:val="nil"/>
              <w:left w:val="nil"/>
              <w:bottom w:val="nil"/>
              <w:right w:val="nil"/>
            </w:tcBorders>
            <w:shd w:val="clear" w:color="auto" w:fill="auto"/>
            <w:noWrap/>
            <w:vAlign w:val="bottom"/>
            <w:hideMark/>
          </w:tcPr>
          <w:p w14:paraId="20724273" w14:textId="243797B5"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R</w:t>
            </w:r>
            <w:r w:rsidR="00A54656" w:rsidRPr="00CC6CA3">
              <w:rPr>
                <w:rFonts w:eastAsia="Times New Roman" w:cs="Times New Roman"/>
                <w:szCs w:val="24"/>
              </w:rPr>
              <w:t>oot mean square</w:t>
            </w:r>
          </w:p>
        </w:tc>
      </w:tr>
      <w:tr w:rsidR="00CC6CA3" w:rsidRPr="00CC6CA3" w14:paraId="6BBC3CFC" w14:textId="77777777" w:rsidTr="00A66D30">
        <w:trPr>
          <w:trHeight w:val="312"/>
        </w:trPr>
        <w:tc>
          <w:tcPr>
            <w:tcW w:w="906" w:type="pct"/>
            <w:tcBorders>
              <w:top w:val="nil"/>
              <w:left w:val="nil"/>
              <w:bottom w:val="nil"/>
              <w:right w:val="nil"/>
            </w:tcBorders>
            <w:shd w:val="clear" w:color="auto" w:fill="auto"/>
            <w:noWrap/>
            <w:vAlign w:val="bottom"/>
            <w:hideMark/>
          </w:tcPr>
          <w:p w14:paraId="7A5E8315"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RMSE</w:t>
            </w:r>
          </w:p>
        </w:tc>
        <w:tc>
          <w:tcPr>
            <w:tcW w:w="4094" w:type="pct"/>
            <w:tcBorders>
              <w:top w:val="nil"/>
              <w:left w:val="nil"/>
              <w:bottom w:val="nil"/>
              <w:right w:val="nil"/>
            </w:tcBorders>
            <w:shd w:val="clear" w:color="auto" w:fill="auto"/>
            <w:noWrap/>
            <w:vAlign w:val="bottom"/>
            <w:hideMark/>
          </w:tcPr>
          <w:p w14:paraId="16D7B15F" w14:textId="09E526B9"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R</w:t>
            </w:r>
            <w:r w:rsidR="00A54656" w:rsidRPr="00CC6CA3">
              <w:rPr>
                <w:rFonts w:eastAsia="Times New Roman" w:cs="Times New Roman"/>
                <w:szCs w:val="24"/>
              </w:rPr>
              <w:t xml:space="preserve">oot mean square error </w:t>
            </w:r>
          </w:p>
        </w:tc>
      </w:tr>
      <w:tr w:rsidR="00CC6CA3" w:rsidRPr="00CC6CA3" w14:paraId="210CD449" w14:textId="77777777" w:rsidTr="00A66D30">
        <w:trPr>
          <w:trHeight w:val="312"/>
        </w:trPr>
        <w:tc>
          <w:tcPr>
            <w:tcW w:w="906" w:type="pct"/>
            <w:tcBorders>
              <w:top w:val="nil"/>
              <w:left w:val="nil"/>
              <w:bottom w:val="nil"/>
              <w:right w:val="nil"/>
            </w:tcBorders>
            <w:shd w:val="clear" w:color="auto" w:fill="auto"/>
            <w:noWrap/>
            <w:vAlign w:val="bottom"/>
            <w:hideMark/>
          </w:tcPr>
          <w:p w14:paraId="2F7C8795"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ROC</w:t>
            </w:r>
          </w:p>
        </w:tc>
        <w:tc>
          <w:tcPr>
            <w:tcW w:w="4094" w:type="pct"/>
            <w:tcBorders>
              <w:top w:val="nil"/>
              <w:left w:val="nil"/>
              <w:bottom w:val="nil"/>
              <w:right w:val="nil"/>
            </w:tcBorders>
            <w:shd w:val="clear" w:color="auto" w:fill="auto"/>
            <w:noWrap/>
            <w:vAlign w:val="bottom"/>
            <w:hideMark/>
          </w:tcPr>
          <w:p w14:paraId="576A38AB" w14:textId="45B75329"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R</w:t>
            </w:r>
            <w:r w:rsidR="00A54656" w:rsidRPr="00CC6CA3">
              <w:rPr>
                <w:rFonts w:eastAsia="Times New Roman" w:cs="Times New Roman"/>
                <w:szCs w:val="24"/>
              </w:rPr>
              <w:t xml:space="preserve">eceiver operating characteristics </w:t>
            </w:r>
          </w:p>
        </w:tc>
      </w:tr>
      <w:tr w:rsidR="00CC6CA3" w:rsidRPr="00CC6CA3" w14:paraId="7B753BB0" w14:textId="77777777" w:rsidTr="00A66D30">
        <w:trPr>
          <w:trHeight w:val="312"/>
        </w:trPr>
        <w:tc>
          <w:tcPr>
            <w:tcW w:w="906" w:type="pct"/>
            <w:tcBorders>
              <w:top w:val="nil"/>
              <w:left w:val="nil"/>
              <w:bottom w:val="nil"/>
              <w:right w:val="nil"/>
            </w:tcBorders>
            <w:shd w:val="clear" w:color="auto" w:fill="auto"/>
            <w:noWrap/>
            <w:vAlign w:val="bottom"/>
            <w:hideMark/>
          </w:tcPr>
          <w:p w14:paraId="0438B809"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RUL</w:t>
            </w:r>
          </w:p>
        </w:tc>
        <w:tc>
          <w:tcPr>
            <w:tcW w:w="4094" w:type="pct"/>
            <w:tcBorders>
              <w:top w:val="nil"/>
              <w:left w:val="nil"/>
              <w:bottom w:val="nil"/>
              <w:right w:val="nil"/>
            </w:tcBorders>
            <w:shd w:val="clear" w:color="auto" w:fill="auto"/>
            <w:noWrap/>
            <w:vAlign w:val="bottom"/>
            <w:hideMark/>
          </w:tcPr>
          <w:p w14:paraId="0EF8D7A3" w14:textId="42BB88D6"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R</w:t>
            </w:r>
            <w:r w:rsidR="00A54656" w:rsidRPr="00CC6CA3">
              <w:rPr>
                <w:rFonts w:eastAsia="Times New Roman" w:cs="Times New Roman"/>
                <w:szCs w:val="24"/>
              </w:rPr>
              <w:t>emaining useful life</w:t>
            </w:r>
          </w:p>
        </w:tc>
      </w:tr>
      <w:tr w:rsidR="00CC6CA3" w:rsidRPr="00CC6CA3" w14:paraId="55026DCC" w14:textId="77777777" w:rsidTr="00A66D30">
        <w:trPr>
          <w:trHeight w:val="312"/>
        </w:trPr>
        <w:tc>
          <w:tcPr>
            <w:tcW w:w="906" w:type="pct"/>
            <w:tcBorders>
              <w:top w:val="nil"/>
              <w:left w:val="nil"/>
              <w:bottom w:val="nil"/>
              <w:right w:val="nil"/>
            </w:tcBorders>
            <w:shd w:val="clear" w:color="auto" w:fill="auto"/>
            <w:noWrap/>
            <w:vAlign w:val="bottom"/>
            <w:hideMark/>
          </w:tcPr>
          <w:p w14:paraId="5B7FC6F9"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SAE</w:t>
            </w:r>
          </w:p>
        </w:tc>
        <w:tc>
          <w:tcPr>
            <w:tcW w:w="4094" w:type="pct"/>
            <w:tcBorders>
              <w:top w:val="nil"/>
              <w:left w:val="nil"/>
              <w:bottom w:val="nil"/>
              <w:right w:val="nil"/>
            </w:tcBorders>
            <w:shd w:val="clear" w:color="auto" w:fill="auto"/>
            <w:noWrap/>
            <w:vAlign w:val="bottom"/>
            <w:hideMark/>
          </w:tcPr>
          <w:p w14:paraId="500117FF" w14:textId="72F42FB7"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S</w:t>
            </w:r>
            <w:r w:rsidR="00A54656" w:rsidRPr="00CC6CA3">
              <w:rPr>
                <w:rFonts w:eastAsia="Times New Roman" w:cs="Times New Roman"/>
                <w:szCs w:val="24"/>
              </w:rPr>
              <w:t xml:space="preserve">parse autoencoder </w:t>
            </w:r>
          </w:p>
        </w:tc>
      </w:tr>
      <w:tr w:rsidR="00CC6CA3" w:rsidRPr="00CC6CA3" w14:paraId="16FC5B46" w14:textId="77777777" w:rsidTr="00A66D30">
        <w:trPr>
          <w:trHeight w:val="312"/>
        </w:trPr>
        <w:tc>
          <w:tcPr>
            <w:tcW w:w="906" w:type="pct"/>
            <w:tcBorders>
              <w:top w:val="nil"/>
              <w:left w:val="nil"/>
              <w:bottom w:val="nil"/>
              <w:right w:val="nil"/>
            </w:tcBorders>
            <w:shd w:val="clear" w:color="auto" w:fill="auto"/>
            <w:noWrap/>
            <w:vAlign w:val="bottom"/>
            <w:hideMark/>
          </w:tcPr>
          <w:p w14:paraId="593B14FB"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SPE</w:t>
            </w:r>
          </w:p>
        </w:tc>
        <w:tc>
          <w:tcPr>
            <w:tcW w:w="4094" w:type="pct"/>
            <w:tcBorders>
              <w:top w:val="nil"/>
              <w:left w:val="nil"/>
              <w:bottom w:val="nil"/>
              <w:right w:val="nil"/>
            </w:tcBorders>
            <w:shd w:val="clear" w:color="auto" w:fill="auto"/>
            <w:noWrap/>
            <w:vAlign w:val="bottom"/>
            <w:hideMark/>
          </w:tcPr>
          <w:p w14:paraId="4AA0D446" w14:textId="123EAED7"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S</w:t>
            </w:r>
            <w:r w:rsidR="00A54656" w:rsidRPr="00CC6CA3">
              <w:rPr>
                <w:rFonts w:eastAsia="Times New Roman" w:cs="Times New Roman"/>
                <w:szCs w:val="24"/>
              </w:rPr>
              <w:t>quared prediction error</w:t>
            </w:r>
          </w:p>
        </w:tc>
      </w:tr>
      <w:tr w:rsidR="00CC6CA3" w:rsidRPr="00CC6CA3" w14:paraId="5B790222" w14:textId="77777777" w:rsidTr="00A66D30">
        <w:trPr>
          <w:trHeight w:val="312"/>
        </w:trPr>
        <w:tc>
          <w:tcPr>
            <w:tcW w:w="906" w:type="pct"/>
            <w:tcBorders>
              <w:top w:val="nil"/>
              <w:left w:val="nil"/>
              <w:bottom w:val="nil"/>
              <w:right w:val="nil"/>
            </w:tcBorders>
            <w:shd w:val="clear" w:color="auto" w:fill="auto"/>
            <w:noWrap/>
            <w:vAlign w:val="bottom"/>
            <w:hideMark/>
          </w:tcPr>
          <w:p w14:paraId="70339507" w14:textId="77777777" w:rsidR="00A54656" w:rsidRPr="00CC6CA3" w:rsidRDefault="00A54656" w:rsidP="00A54656">
            <w:pPr>
              <w:spacing w:after="0" w:line="240" w:lineRule="auto"/>
              <w:jc w:val="left"/>
              <w:rPr>
                <w:rFonts w:eastAsia="Times New Roman" w:cs="Times New Roman"/>
                <w:szCs w:val="24"/>
              </w:rPr>
            </w:pPr>
            <w:r w:rsidRPr="00CC6CA3">
              <w:rPr>
                <w:rFonts w:eastAsia="Times New Roman" w:cs="Times New Roman"/>
                <w:szCs w:val="24"/>
              </w:rPr>
              <w:t>VSD</w:t>
            </w:r>
          </w:p>
        </w:tc>
        <w:tc>
          <w:tcPr>
            <w:tcW w:w="4094" w:type="pct"/>
            <w:tcBorders>
              <w:top w:val="nil"/>
              <w:left w:val="nil"/>
              <w:bottom w:val="nil"/>
              <w:right w:val="nil"/>
            </w:tcBorders>
            <w:shd w:val="clear" w:color="auto" w:fill="auto"/>
            <w:noWrap/>
            <w:vAlign w:val="bottom"/>
            <w:hideMark/>
          </w:tcPr>
          <w:p w14:paraId="05E91FE3" w14:textId="6F9B79C2" w:rsidR="00A54656" w:rsidRPr="00CC6CA3" w:rsidRDefault="00A66D30" w:rsidP="00A54656">
            <w:pPr>
              <w:spacing w:after="0" w:line="240" w:lineRule="auto"/>
              <w:jc w:val="left"/>
              <w:rPr>
                <w:rFonts w:eastAsia="Times New Roman" w:cs="Times New Roman"/>
                <w:szCs w:val="24"/>
              </w:rPr>
            </w:pPr>
            <w:r w:rsidRPr="00CC6CA3">
              <w:rPr>
                <w:rFonts w:eastAsia="Times New Roman" w:cs="Times New Roman"/>
                <w:szCs w:val="24"/>
              </w:rPr>
              <w:t>V</w:t>
            </w:r>
            <w:r w:rsidR="00A54656" w:rsidRPr="00CC6CA3">
              <w:rPr>
                <w:rFonts w:eastAsia="Times New Roman" w:cs="Times New Roman"/>
                <w:szCs w:val="24"/>
              </w:rPr>
              <w:t xml:space="preserve">ariable-speed drive </w:t>
            </w:r>
          </w:p>
        </w:tc>
      </w:tr>
    </w:tbl>
    <w:p w14:paraId="476F00E5" w14:textId="09C43C8D" w:rsidR="007A475A" w:rsidRPr="00CC6CA3" w:rsidRDefault="007A475A">
      <w:pPr>
        <w:spacing w:line="259" w:lineRule="auto"/>
        <w:jc w:val="left"/>
      </w:pPr>
      <w:r w:rsidRPr="00CC6CA3">
        <w:br w:type="page"/>
      </w:r>
    </w:p>
    <w:p w14:paraId="0E1B75A9" w14:textId="77777777" w:rsidR="00922D09" w:rsidRPr="00CC6CA3" w:rsidRDefault="00922D09" w:rsidP="00922D09">
      <w:pPr>
        <w:pStyle w:val="Title"/>
        <w:spacing w:line="360" w:lineRule="auto"/>
        <w:rPr>
          <w:sz w:val="44"/>
          <w:szCs w:val="44"/>
          <w:u w:val="thick"/>
        </w:rPr>
      </w:pPr>
    </w:p>
    <w:p w14:paraId="4E7D89BE" w14:textId="77777777" w:rsidR="00922D09" w:rsidRPr="00CC6CA3" w:rsidRDefault="00922D09" w:rsidP="00922D09">
      <w:pPr>
        <w:pStyle w:val="Title"/>
        <w:spacing w:line="360" w:lineRule="auto"/>
        <w:rPr>
          <w:sz w:val="44"/>
          <w:szCs w:val="44"/>
          <w:u w:val="thick"/>
        </w:rPr>
      </w:pPr>
      <w:r w:rsidRPr="00CC6CA3">
        <w:rPr>
          <w:sz w:val="44"/>
          <w:szCs w:val="44"/>
          <w:u w:val="thick"/>
        </w:rPr>
        <w:t xml:space="preserve">                             </w:t>
      </w:r>
    </w:p>
    <w:p w14:paraId="7FC71894" w14:textId="77493329" w:rsidR="00971E63" w:rsidRPr="00CC6CA3" w:rsidRDefault="00971E63" w:rsidP="00971E63">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00BA584B"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042CE935" w14:textId="3DDCC437" w:rsidR="00971E63" w:rsidRPr="00CC6CA3" w:rsidRDefault="00971E63" w:rsidP="00971E63">
      <w:pPr>
        <w:pStyle w:val="Heading1"/>
        <w:rPr>
          <w:sz w:val="32"/>
          <w:szCs w:val="36"/>
        </w:rPr>
      </w:pPr>
      <w:r w:rsidRPr="00CC6CA3">
        <w:br/>
      </w:r>
      <w:bookmarkStart w:id="14" w:name="_Toc403570352"/>
      <w:bookmarkStart w:id="15" w:name="_Toc452300186"/>
      <w:bookmarkStart w:id="16" w:name="_Toc465934441"/>
      <w:bookmarkStart w:id="17" w:name="_Toc81553242"/>
      <w:r w:rsidR="00020C34" w:rsidRPr="00CC6CA3">
        <w:rPr>
          <w:sz w:val="32"/>
          <w:szCs w:val="36"/>
        </w:rPr>
        <w:t>I</w:t>
      </w:r>
      <w:r w:rsidR="00854B0F" w:rsidRPr="00CC6CA3">
        <w:rPr>
          <w:sz w:val="32"/>
          <w:szCs w:val="36"/>
        </w:rPr>
        <w:t>ntroduction</w:t>
      </w:r>
      <w:bookmarkEnd w:id="14"/>
      <w:bookmarkEnd w:id="15"/>
      <w:bookmarkEnd w:id="16"/>
      <w:bookmarkEnd w:id="17"/>
    </w:p>
    <w:p w14:paraId="49FB44A2" w14:textId="06C3025B" w:rsidR="00971E63" w:rsidRPr="00CC6CA3" w:rsidRDefault="00971E63" w:rsidP="00971E63">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00BA584B" w:rsidRPr="00CC6CA3">
        <w:rPr>
          <w:sz w:val="44"/>
          <w:szCs w:val="44"/>
          <w:u w:val="thick"/>
        </w:rPr>
        <w:tab/>
      </w:r>
      <w:r w:rsidR="00BA584B" w:rsidRPr="00CC6CA3">
        <w:rPr>
          <w:sz w:val="44"/>
          <w:szCs w:val="44"/>
          <w:u w:val="thick"/>
        </w:rPr>
        <w:tab/>
      </w:r>
      <w:r w:rsidRPr="00CC6CA3">
        <w:rPr>
          <w:sz w:val="44"/>
          <w:szCs w:val="44"/>
          <w:u w:val="thick"/>
        </w:rPr>
        <w:t xml:space="preserve"> </w:t>
      </w:r>
    </w:p>
    <w:p w14:paraId="4784E566" w14:textId="77777777" w:rsidR="00971E63" w:rsidRPr="00CC6CA3" w:rsidRDefault="00971E63" w:rsidP="00971E63"/>
    <w:p w14:paraId="437AD6F6" w14:textId="77777777" w:rsidR="00A41BC8" w:rsidRPr="00CC6CA3" w:rsidRDefault="00A41BC8" w:rsidP="00A41BC8">
      <w:r w:rsidRPr="00CC6CA3">
        <w:t xml:space="preserve">Large rotating machines, such as compressors and pumps, are widely used in chemical and petrochemical processes, aviation, transportation, and other fields of engineering. These machines usually operate under harsh conditions, such as high loads, pressure, or/and temperature. An undetected failure of a single component may lead to a catastrophic collapse of the entire system, resulting in economic losses, reduced </w:t>
      </w:r>
      <w:proofErr w:type="gramStart"/>
      <w:r w:rsidRPr="00CC6CA3">
        <w:t>productivity</w:t>
      </w:r>
      <w:proofErr w:type="gramEnd"/>
      <w:r w:rsidRPr="00CC6CA3">
        <w:t xml:space="preserve"> and reliability, and even injury and death of personnel. Therefore, it is necessary to detect a fault at an incipient stage, to find a proper way to assess the health condition of the system </w:t>
      </w:r>
      <w:proofErr w:type="gramStart"/>
      <w:r w:rsidRPr="00CC6CA3">
        <w:t>in order to</w:t>
      </w:r>
      <w:proofErr w:type="gramEnd"/>
      <w:r w:rsidRPr="00CC6CA3">
        <w:t xml:space="preserve"> determine the optimum maintenance schedule so that operators can not only prevent an early fault deteriorating to system failure, but also to fully utilise the remaining life of the machine, minimise maintenance cost and financial loss, and maximise profits.</w:t>
      </w:r>
    </w:p>
    <w:p w14:paraId="7B4C8845" w14:textId="5A956159" w:rsidR="00971E63" w:rsidRPr="00CC6CA3" w:rsidRDefault="00A41BC8" w:rsidP="00A41BC8">
      <w:pPr>
        <w:rPr>
          <w:i/>
        </w:rPr>
      </w:pPr>
      <w:r w:rsidRPr="00CC6CA3">
        <w:t>This chapter describes the research motivations and objectives, drawing on the importance of maintenance problems experienced by the sponsor (Shell Global Solutions). The chapter presents the aim and objectives of the research also ends by briefly outlining the contents of the individual chapters comprising the thesis</w:t>
      </w:r>
      <w:r w:rsidR="00971E63" w:rsidRPr="00CC6CA3">
        <w:rPr>
          <w:i/>
        </w:rPr>
        <w:t>.</w:t>
      </w:r>
    </w:p>
    <w:p w14:paraId="3ADA996C" w14:textId="57A9BFB7" w:rsidR="00971E63" w:rsidRPr="00CC6CA3" w:rsidRDefault="00971E63">
      <w:pPr>
        <w:spacing w:line="259" w:lineRule="auto"/>
        <w:jc w:val="left"/>
      </w:pPr>
      <w:r w:rsidRPr="00CC6CA3">
        <w:br w:type="page"/>
      </w:r>
    </w:p>
    <w:p w14:paraId="27FB4151" w14:textId="77777777" w:rsidR="009579CB" w:rsidRPr="00CC6CA3" w:rsidRDefault="009579CB" w:rsidP="009579CB">
      <w:pPr>
        <w:pStyle w:val="Heading2"/>
        <w:rPr>
          <w:lang w:val="en-US"/>
        </w:rPr>
      </w:pPr>
      <w:bookmarkStart w:id="18" w:name="_Toc452300187"/>
      <w:bookmarkStart w:id="19" w:name="_Toc465934442"/>
      <w:bookmarkStart w:id="20" w:name="_Toc529370766"/>
      <w:bookmarkStart w:id="21" w:name="_Toc531629328"/>
      <w:bookmarkStart w:id="22" w:name="_Toc81553243"/>
      <w:r w:rsidRPr="00CC6CA3">
        <w:rPr>
          <w:lang w:val="en-US"/>
        </w:rPr>
        <w:lastRenderedPageBreak/>
        <w:t>Importance of maintenance</w:t>
      </w:r>
      <w:bookmarkEnd w:id="18"/>
      <w:bookmarkEnd w:id="19"/>
      <w:bookmarkEnd w:id="20"/>
      <w:bookmarkEnd w:id="21"/>
      <w:bookmarkEnd w:id="22"/>
    </w:p>
    <w:p w14:paraId="497FB5B1" w14:textId="6AB1EB97" w:rsidR="00D40B07" w:rsidRPr="00CC6CA3" w:rsidRDefault="00A41BC8" w:rsidP="00D40B07">
      <w:r w:rsidRPr="00CC6CA3">
        <w:t xml:space="preserve">In today's industries, machines are ever more sophisticated, and the manufacturing processes highly automated, dramatically improving productivity as well as product quality, whilst reducing the human resources needed. </w:t>
      </w:r>
      <w:r w:rsidR="00751EE2" w:rsidRPr="00CC6CA3">
        <w:t xml:space="preserve">However, one of the main the disadvantage of sophisticated machines is </w:t>
      </w:r>
      <w:r w:rsidR="00751EE2" w:rsidRPr="00CC6CA3">
        <w:rPr>
          <w:rFonts w:hint="eastAsia"/>
        </w:rPr>
        <w:t>that</w:t>
      </w:r>
      <w:r w:rsidR="00751EE2" w:rsidRPr="00CC6CA3">
        <w:t xml:space="preserve"> a</w:t>
      </w:r>
      <w:r w:rsidRPr="00CC6CA3">
        <w:t>n accidental failure of a single component may damage not only the machine of which it is part, but may also affect related equipment, or even lead to a system failure. In some critical industrial applications, system failures can result in severe consequences, including explosions, personal injury, and release of toxic substances</w:t>
      </w:r>
      <w:r w:rsidR="00D40B07" w:rsidRPr="00CC6CA3">
        <w:t>.</w:t>
      </w:r>
    </w:p>
    <w:p w14:paraId="436A26FC" w14:textId="22FEEE9D" w:rsidR="00D40B07" w:rsidRPr="00CC6CA3" w:rsidRDefault="00D55A23" w:rsidP="00D40B07">
      <w:r w:rsidRPr="00CC6CA3">
        <w:t>For example, in the chemical field, two of the worst ever chemical plant accidents, namely Union Carbide's Bhopal accident and Occidental Petroleum's Piper Alpha accident</w:t>
      </w:r>
      <w:r w:rsidR="00C46D0D" w:rsidRPr="00CC6CA3">
        <w:t xml:space="preserve"> (see </w:t>
      </w:r>
      <w:r w:rsidR="00C46D0D" w:rsidRPr="00CC6CA3">
        <w:fldChar w:fldCharType="begin"/>
      </w:r>
      <w:r w:rsidR="00C46D0D" w:rsidRPr="00CC6CA3">
        <w:instrText xml:space="preserve"> REF _Ref68101416 \h </w:instrText>
      </w:r>
      <w:r w:rsidR="00E60958" w:rsidRPr="00CC6CA3">
        <w:instrText xml:space="preserve"> \* MERGEFORMAT </w:instrText>
      </w:r>
      <w:r w:rsidR="00C46D0D" w:rsidRPr="00CC6CA3">
        <w:fldChar w:fldCharType="separate"/>
      </w:r>
      <w:r w:rsidR="001906D9" w:rsidRPr="00CC6CA3">
        <w:t xml:space="preserve">Figure </w:t>
      </w:r>
      <w:r w:rsidR="001906D9" w:rsidRPr="00CC6CA3">
        <w:rPr>
          <w:noProof/>
        </w:rPr>
        <w:t>1.1</w:t>
      </w:r>
      <w:r w:rsidR="00C46D0D" w:rsidRPr="00CC6CA3">
        <w:fldChar w:fldCharType="end"/>
      </w:r>
      <w:r w:rsidR="00C46D0D" w:rsidRPr="00CC6CA3">
        <w:t>)</w:t>
      </w:r>
      <w:r w:rsidRPr="00CC6CA3">
        <w:t>, both of which occurred in the 1980s, caused US$470 million and more than US$2 billion financial loss</w:t>
      </w:r>
      <w:r w:rsidR="00D40B07" w:rsidRPr="00CC6CA3">
        <w:t xml:space="preserve">, respectively </w:t>
      </w:r>
      <w:r w:rsidR="00D40B07" w:rsidRPr="00CC6CA3">
        <w:fldChar w:fldCharType="begin"/>
      </w:r>
      <w:r w:rsidR="00D40B07" w:rsidRPr="00CC6CA3">
        <w:instrText xml:space="preserve"> ADDIN ZOTERO_ITEM CSL_CITATION {"citationID":"GFKmN6fd","properties":{"formattedCitation":"[1]","plainCitation":"[1]","noteIndex":0},"citationItems":[{"id":928,"uris":["http://zotero.org/users/3051968/items/Q9SRC9QG"],"uri":["http://zotero.org/users/3051968/items/Q9SRC9QG"],"itemData":{"id":928,"type":"paper-conference","container-title":"Proceedings FOCAPO","page":"117ff","source":"Google Scholar","title":"Abnormal events management in complex process plants: Challenges and opportunities in intelligent supervisory control","title-short":"Abnormal events management in complex process plants","author":[{"family":"Venkatasubramanian","given":"Venkat"}],"issued":{"date-parts":[["2003"]]}}}],"schema":"https://github.com/citation-style-language/schema/raw/master/csl-citation.json"} </w:instrText>
      </w:r>
      <w:r w:rsidR="00D40B07" w:rsidRPr="00CC6CA3">
        <w:fldChar w:fldCharType="separate"/>
      </w:r>
      <w:r w:rsidR="00D40B07" w:rsidRPr="00CC6CA3">
        <w:t>[1]</w:t>
      </w:r>
      <w:r w:rsidR="00D40B07" w:rsidRPr="00CC6CA3">
        <w:fldChar w:fldCharType="end"/>
      </w:r>
      <w:r w:rsidR="00D40B07" w:rsidRPr="00CC6CA3">
        <w:t xml:space="preserve">. </w:t>
      </w:r>
      <w:r w:rsidRPr="00CC6CA3">
        <w:t xml:space="preserve">The Bhopal disaster in India </w:t>
      </w:r>
      <w:r w:rsidRPr="00CC6CA3">
        <w:rPr>
          <w:rFonts w:hint="eastAsia"/>
        </w:rPr>
        <w:t>was</w:t>
      </w:r>
      <w:r w:rsidRPr="00CC6CA3">
        <w:t xml:space="preserve"> caused by the poor condition of the valves, lines, and methyl isocyanate related safety systems, leading to toxic gas leakage. The Occidental Petroleum's Piper Alpha accident was caused by condensate leakage from a pump's pressure safety valve. In June of 2000, gas leakage from pipelines resulted in an explosion at the Kuwait Petrochemical's Mina Al-Ahmedi refinery, with a financial loss of around US$100 million </w:t>
      </w:r>
      <w:r w:rsidR="00D40B07" w:rsidRPr="00CC6CA3">
        <w:fldChar w:fldCharType="begin"/>
      </w:r>
      <w:r w:rsidR="00D40B07" w:rsidRPr="00CC6CA3">
        <w:instrText xml:space="preserve"> ADDIN ZOTERO_ITEM CSL_CITATION {"citationID":"iqVGDP4f","properties":{"formattedCitation":"[1]","plainCitation":"[1]","noteIndex":0},"citationItems":[{"id":928,"uris":["http://zotero.org/users/3051968/items/Q9SRC9QG"],"uri":["http://zotero.org/users/3051968/items/Q9SRC9QG"],"itemData":{"id":928,"type":"paper-conference","container-title":"Proceedings FOCAPO","page":"117ff","source":"Google Scholar","title":"Abnormal events management in complex process plants: Challenges and opportunities in intelligent supervisory control","title-short":"Abnormal events management in complex process plants","author":[{"family":"Venkatasubramanian","given":"Venkat"}],"issued":{"date-parts":[["2003"]]}}}],"schema":"https://github.com/citation-style-language/schema/raw/master/csl-citation.json"} </w:instrText>
      </w:r>
      <w:r w:rsidR="00D40B07" w:rsidRPr="00CC6CA3">
        <w:fldChar w:fldCharType="separate"/>
      </w:r>
      <w:r w:rsidR="00D40B07" w:rsidRPr="00CC6CA3">
        <w:rPr>
          <w:rFonts w:cs="Times New Roman"/>
        </w:rPr>
        <w:t>[1]</w:t>
      </w:r>
      <w:r w:rsidR="00D40B07" w:rsidRPr="00CC6CA3">
        <w:fldChar w:fldCharType="end"/>
      </w:r>
      <w:r w:rsidR="00D40B07" w:rsidRPr="00CC6CA3">
        <w:t>.</w:t>
      </w:r>
    </w:p>
    <w:p w14:paraId="5A6669A9" w14:textId="77777777" w:rsidR="00D40B07" w:rsidRPr="00CC6CA3" w:rsidRDefault="00D40B07" w:rsidP="00D40B07">
      <w:pPr>
        <w:keepNext/>
        <w:jc w:val="center"/>
      </w:pPr>
      <w:r w:rsidRPr="00CC6CA3">
        <w:rPr>
          <w:noProof/>
        </w:rPr>
        <w:drawing>
          <wp:inline distT="0" distB="0" distL="0" distR="0" wp14:anchorId="29F1B5BC" wp14:editId="38D5A665">
            <wp:extent cx="3060000" cy="1800000"/>
            <wp:effectExtent l="0" t="0" r="7620"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60000" cy="1800000"/>
                    </a:xfrm>
                    <a:prstGeom prst="rect">
                      <a:avLst/>
                    </a:prstGeom>
                    <a:noFill/>
                    <a:ln>
                      <a:noFill/>
                    </a:ln>
                  </pic:spPr>
                </pic:pic>
              </a:graphicData>
            </a:graphic>
          </wp:inline>
        </w:drawing>
      </w:r>
    </w:p>
    <w:p w14:paraId="25F0699D" w14:textId="18AB1DA8" w:rsidR="00D40B07" w:rsidRPr="00CC6CA3" w:rsidRDefault="00D40B07" w:rsidP="00D40B07">
      <w:pPr>
        <w:pStyle w:val="Caption"/>
        <w:jc w:val="center"/>
      </w:pPr>
      <w:bookmarkStart w:id="23" w:name="_Ref68101416"/>
      <w:bookmarkStart w:id="24" w:name="_Toc8155332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1</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w:t>
      </w:r>
      <w:r w:rsidR="00D62691" w:rsidRPr="00CC6CA3">
        <w:rPr>
          <w:noProof/>
        </w:rPr>
        <w:fldChar w:fldCharType="end"/>
      </w:r>
      <w:bookmarkEnd w:id="23"/>
      <w:r w:rsidRPr="00CC6CA3">
        <w:t xml:space="preserve"> The smoke reached hundreds of feet above Piper Alpha </w:t>
      </w:r>
      <w:r w:rsidRPr="00CC6CA3">
        <w:fldChar w:fldCharType="begin"/>
      </w:r>
      <w:r w:rsidRPr="00CC6CA3">
        <w:instrText xml:space="preserve"> ADDIN ZOTERO_ITEM CSL_CITATION {"citationID":"2PqR4rG4","properties":{"formattedCitation":"[2]","plainCitation":"[2]","noteIndex":0},"citationItems":[{"id":930,"uris":["http://zotero.org/users/3051968/items/6E9F9ED7"],"uri":["http://zotero.org/users/3051968/items/6E9F9ED7"],"itemData":{"id":930,"type":"report","title":"The Case for Safety. The North Sea Piper Alpha Disaster.","author":[{"family":"NASA Safety Center","given":""}],"issued":{"date-parts":[["2013",5]]}}}],"schema":"https://github.com/citation-style-language/schema/raw/master/csl-citation.json"} </w:instrText>
      </w:r>
      <w:r w:rsidRPr="00CC6CA3">
        <w:fldChar w:fldCharType="separate"/>
      </w:r>
      <w:r w:rsidRPr="00CC6CA3">
        <w:rPr>
          <w:rFonts w:cs="Times New Roman"/>
        </w:rPr>
        <w:t>[2]</w:t>
      </w:r>
      <w:bookmarkEnd w:id="24"/>
      <w:r w:rsidRPr="00CC6CA3">
        <w:fldChar w:fldCharType="end"/>
      </w:r>
    </w:p>
    <w:p w14:paraId="1310711F" w14:textId="516BC11B" w:rsidR="00D40B07" w:rsidRPr="00CC6CA3" w:rsidRDefault="00C46D0D" w:rsidP="00D40B07">
      <w:r w:rsidRPr="00CC6CA3">
        <w:t>Regarding rail transportation, on 19</w:t>
      </w:r>
      <w:r w:rsidRPr="00CC6CA3">
        <w:rPr>
          <w:vertAlign w:val="superscript"/>
        </w:rPr>
        <w:t>th</w:t>
      </w:r>
      <w:r w:rsidRPr="00CC6CA3">
        <w:t xml:space="preserve"> Oct 2007, wheel-bearings failure caused a derailment</w:t>
      </w:r>
      <w:r w:rsidR="00D40B07" w:rsidRPr="00CC6CA3">
        <w:t xml:space="preserve"> (see </w:t>
      </w:r>
      <w:r w:rsidR="00D40B07" w:rsidRPr="00CC6CA3">
        <w:fldChar w:fldCharType="begin"/>
      </w:r>
      <w:r w:rsidR="00D40B07" w:rsidRPr="00CC6CA3">
        <w:instrText xml:space="preserve"> REF _Ref7630695 \h </w:instrText>
      </w:r>
      <w:r w:rsidR="00E60958" w:rsidRPr="00CC6CA3">
        <w:instrText xml:space="preserve"> \* MERGEFORMAT </w:instrText>
      </w:r>
      <w:r w:rsidR="00D40B07" w:rsidRPr="00CC6CA3">
        <w:fldChar w:fldCharType="separate"/>
      </w:r>
      <w:r w:rsidR="001906D9" w:rsidRPr="00CC6CA3">
        <w:t xml:space="preserve">Figure </w:t>
      </w:r>
      <w:r w:rsidR="001906D9" w:rsidRPr="00CC6CA3">
        <w:rPr>
          <w:noProof/>
        </w:rPr>
        <w:t>1.2</w:t>
      </w:r>
      <w:r w:rsidR="00D40B07" w:rsidRPr="00CC6CA3">
        <w:fldChar w:fldCharType="end"/>
      </w:r>
      <w:r w:rsidR="00D40B07" w:rsidRPr="00CC6CA3">
        <w:t xml:space="preserve">) in Huntly, New Zealand </w:t>
      </w:r>
      <w:r w:rsidR="00D40B07" w:rsidRPr="00CC6CA3">
        <w:fldChar w:fldCharType="begin"/>
      </w:r>
      <w:r w:rsidR="00D40B07" w:rsidRPr="00CC6CA3">
        <w:instrText xml:space="preserve"> ADDIN ZOTERO_ITEM CSL_CITATION {"citationID":"nd6VR1MK","properties":{"formattedCitation":"[3]","plainCitation":"[3]","noteIndex":0},"citationItems":[{"id":164,"uris":["http://zotero.org/users/3051968/items/S2SR6LDS"],"uri":["http://zotero.org/users/3051968/items/S2SR6LDS"],"itemData":{"id":164,"type":"report","title":"Rail Inquiry 07-114 Derailment caused by a wheel-bearing failure, Huntly, 19 October 2007, and, 11 subsequent wheel-bearing failures at various locations during the following 12 month period","URL":"https://taic.org.nz/sites/default/files/inquiry/documents/07-114%20Final.pdf","author":[{"family":"New Zealand transport accident commission","given":""}],"issued":{"date-parts":[["2007"]]}}}],"schema":"https://github.com/citation-style-language/schema/raw/master/csl-citation.json"} </w:instrText>
      </w:r>
      <w:r w:rsidR="00D40B07" w:rsidRPr="00CC6CA3">
        <w:fldChar w:fldCharType="separate"/>
      </w:r>
      <w:r w:rsidR="00D40B07" w:rsidRPr="00CC6CA3">
        <w:rPr>
          <w:rFonts w:cs="Times New Roman"/>
        </w:rPr>
        <w:t>[3]</w:t>
      </w:r>
      <w:r w:rsidR="00D40B07" w:rsidRPr="00CC6CA3">
        <w:fldChar w:fldCharType="end"/>
      </w:r>
      <w:r w:rsidR="00D40B07" w:rsidRPr="00CC6CA3">
        <w:t xml:space="preserve">. </w:t>
      </w:r>
      <w:r w:rsidRPr="00CC6CA3">
        <w:rPr>
          <w:rFonts w:cs="Times New Roman"/>
          <w:szCs w:val="24"/>
        </w:rPr>
        <w:t>The owners of the train (T</w:t>
      </w:r>
      <w:r w:rsidRPr="00CC6CA3">
        <w:rPr>
          <w:rFonts w:cs="Times New Roman"/>
          <w:szCs w:val="24"/>
          <w:shd w:val="clear" w:color="auto" w:fill="FFFFFF"/>
        </w:rPr>
        <w:t>oll New Zealand)</w:t>
      </w:r>
      <w:r w:rsidRPr="00CC6CA3">
        <w:rPr>
          <w:rFonts w:cs="Times New Roman"/>
          <w:szCs w:val="24"/>
        </w:rPr>
        <w:t xml:space="preserve"> and those responsible for track maintenance (Ontrack) indicated the direct costs for the </w:t>
      </w:r>
      <w:r w:rsidRPr="00CC6CA3">
        <w:t xml:space="preserve">derailment could be about US$115,000. However, the New Zealand transport accident commission claimed that these costs were far too conservative, since it did not include loss </w:t>
      </w:r>
      <w:r w:rsidRPr="00CC6CA3">
        <w:lastRenderedPageBreak/>
        <w:t>of revenue from train cancellations during the period of line closures, nor economic impact of the closure of the adjoining State Highway One. In the eight-year period between 2002 and 2010 in New Zealand, wheel-bearing failures caused 7% to 8% (27 in total) of all mainline derailments in New Zealand</w:t>
      </w:r>
      <w:r w:rsidR="00D40B07" w:rsidRPr="00CC6CA3">
        <w:t xml:space="preserve"> </w:t>
      </w:r>
      <w:r w:rsidR="00D40B07" w:rsidRPr="00CC6CA3">
        <w:fldChar w:fldCharType="begin"/>
      </w:r>
      <w:r w:rsidR="00D40B07" w:rsidRPr="00CC6CA3">
        <w:instrText xml:space="preserve"> ADDIN ZOTERO_ITEM CSL_CITATION {"citationID":"AaSwqdir","properties":{"formattedCitation":"[3]","plainCitation":"[3]","noteIndex":0},"citationItems":[{"id":164,"uris":["http://zotero.org/users/3051968/items/S2SR6LDS"],"uri":["http://zotero.org/users/3051968/items/S2SR6LDS"],"itemData":{"id":164,"type":"report","title":"Rail Inquiry 07-114 Derailment caused by a wheel-bearing failure, Huntly, 19 October 2007, and, 11 subsequent wheel-bearing failures at various locations during the following 12 month period","URL":"https://taic.org.nz/sites/default/files/inquiry/documents/07-114%20Final.pdf","author":[{"family":"New Zealand transport accident commission","given":""}],"issued":{"date-parts":[["2007"]]}}}],"schema":"https://github.com/citation-style-language/schema/raw/master/csl-citation.json"} </w:instrText>
      </w:r>
      <w:r w:rsidR="00D40B07" w:rsidRPr="00CC6CA3">
        <w:fldChar w:fldCharType="separate"/>
      </w:r>
      <w:r w:rsidR="00D40B07" w:rsidRPr="00CC6CA3">
        <w:rPr>
          <w:rFonts w:cs="Times New Roman"/>
        </w:rPr>
        <w:t>[3]</w:t>
      </w:r>
      <w:r w:rsidR="00D40B07" w:rsidRPr="00CC6CA3">
        <w:fldChar w:fldCharType="end"/>
      </w:r>
      <w:r w:rsidRPr="00CC6CA3">
        <w:t>.</w:t>
      </w:r>
    </w:p>
    <w:p w14:paraId="78D077DE" w14:textId="77777777" w:rsidR="00D40B07" w:rsidRPr="00CC6CA3" w:rsidRDefault="00D40B07" w:rsidP="00D40B07">
      <w:pPr>
        <w:keepNext/>
        <w:jc w:val="center"/>
      </w:pPr>
      <w:r w:rsidRPr="00CC6CA3">
        <w:rPr>
          <w:noProof/>
        </w:rPr>
        <w:drawing>
          <wp:inline distT="0" distB="0" distL="0" distR="0" wp14:anchorId="775D33E6" wp14:editId="4D9CFC22">
            <wp:extent cx="3060000" cy="1800000"/>
            <wp:effectExtent l="0" t="0" r="762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60000" cy="1800000"/>
                    </a:xfrm>
                    <a:prstGeom prst="rect">
                      <a:avLst/>
                    </a:prstGeom>
                  </pic:spPr>
                </pic:pic>
              </a:graphicData>
            </a:graphic>
          </wp:inline>
        </w:drawing>
      </w:r>
    </w:p>
    <w:p w14:paraId="70937608" w14:textId="7CA29194" w:rsidR="00D40B07" w:rsidRPr="00CC6CA3" w:rsidRDefault="00D40B07" w:rsidP="00D40B07">
      <w:pPr>
        <w:pStyle w:val="Caption"/>
        <w:jc w:val="center"/>
      </w:pPr>
      <w:bookmarkStart w:id="25" w:name="_Ref7630695"/>
      <w:bookmarkStart w:id="26" w:name="_Toc8155332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1</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w:t>
      </w:r>
      <w:r w:rsidR="00D62691" w:rsidRPr="00CC6CA3">
        <w:rPr>
          <w:noProof/>
        </w:rPr>
        <w:fldChar w:fldCharType="end"/>
      </w:r>
      <w:bookmarkEnd w:id="25"/>
      <w:r w:rsidRPr="00CC6CA3">
        <w:t xml:space="preserve"> Huntly derailment site</w:t>
      </w:r>
      <w:r w:rsidRPr="00CC6CA3">
        <w:rPr>
          <w:i w:val="0"/>
        </w:rPr>
        <w:t xml:space="preserve"> </w:t>
      </w:r>
      <w:r w:rsidRPr="00CC6CA3">
        <w:rPr>
          <w:i w:val="0"/>
        </w:rPr>
        <w:fldChar w:fldCharType="begin"/>
      </w:r>
      <w:r w:rsidRPr="00CC6CA3">
        <w:rPr>
          <w:i w:val="0"/>
        </w:rPr>
        <w:instrText xml:space="preserve"> ADDIN ZOTERO_ITEM CSL_CITATION {"citationID":"JL6Pl8ST","properties":{"formattedCitation":"[3]","plainCitation":"[3]","noteIndex":0},"citationItems":[{"id":164,"uris":["http://zotero.org/users/3051968/items/S2SR6LDS"],"uri":["http://zotero.org/users/3051968/items/S2SR6LDS"],"itemData":{"id":164,"type":"report","title":"Rail Inquiry 07-114 Derailment caused by a wheel-bearing failure, Huntly, 19 October 2007, and, 11 subsequent wheel-bearing failures at various locations during the following 12 month period","URL":"https://taic.org.nz/sites/default/files/inquiry/documents/07-114%20Final.pdf","author":[{"family":"New Zealand transport accident commission","given":""}],"issued":{"date-parts":[["2007"]]}}}],"schema":"https://github.com/citation-style-language/schema/raw/master/csl-citation.json"} </w:instrText>
      </w:r>
      <w:r w:rsidRPr="00CC6CA3">
        <w:rPr>
          <w:i w:val="0"/>
        </w:rPr>
        <w:fldChar w:fldCharType="separate"/>
      </w:r>
      <w:r w:rsidRPr="00CC6CA3">
        <w:rPr>
          <w:rFonts w:cs="Times New Roman"/>
        </w:rPr>
        <w:t>[3]</w:t>
      </w:r>
      <w:bookmarkEnd w:id="26"/>
      <w:r w:rsidRPr="00CC6CA3">
        <w:rPr>
          <w:i w:val="0"/>
        </w:rPr>
        <w:fldChar w:fldCharType="end"/>
      </w:r>
    </w:p>
    <w:p w14:paraId="642410CF" w14:textId="2FCF8A9A" w:rsidR="00D40B07" w:rsidRPr="00CC6CA3" w:rsidRDefault="00307566" w:rsidP="00D40B07">
      <w:r w:rsidRPr="00CC6CA3">
        <w:t>In 2015, a 100 m tall wind turbine, worth more than US$2.76 million, buckled and collapsed on a mountainside in Northern Ireland</w:t>
      </w:r>
      <w:r w:rsidR="00D40B07" w:rsidRPr="00CC6CA3">
        <w:t xml:space="preserve"> (see </w:t>
      </w:r>
      <w:r w:rsidR="00D40B07" w:rsidRPr="00CC6CA3">
        <w:fldChar w:fldCharType="begin"/>
      </w:r>
      <w:r w:rsidR="00D40B07" w:rsidRPr="00CC6CA3">
        <w:instrText xml:space="preserve"> REF _Ref7629647 \h </w:instrText>
      </w:r>
      <w:r w:rsidR="00E60958" w:rsidRPr="00CC6CA3">
        <w:instrText xml:space="preserve"> \* MERGEFORMAT </w:instrText>
      </w:r>
      <w:r w:rsidR="00D40B07" w:rsidRPr="00CC6CA3">
        <w:fldChar w:fldCharType="separate"/>
      </w:r>
      <w:r w:rsidR="001906D9" w:rsidRPr="00CC6CA3">
        <w:t xml:space="preserve">Figure </w:t>
      </w:r>
      <w:r w:rsidR="001906D9" w:rsidRPr="00CC6CA3">
        <w:rPr>
          <w:noProof/>
        </w:rPr>
        <w:t>1.3</w:t>
      </w:r>
      <w:r w:rsidR="00D40B07" w:rsidRPr="00CC6CA3">
        <w:fldChar w:fldCharType="end"/>
      </w:r>
      <w:r w:rsidR="00D40B07" w:rsidRPr="00CC6CA3">
        <w:t xml:space="preserve">) </w:t>
      </w:r>
      <w:r w:rsidR="00D40B07" w:rsidRPr="00CC6CA3">
        <w:fldChar w:fldCharType="begin"/>
      </w:r>
      <w:r w:rsidR="00D40B07" w:rsidRPr="00CC6CA3">
        <w:instrText xml:space="preserve"> ADDIN ZOTERO_ITEM CSL_CITATION {"citationID":"WUA5kB87","properties":{"formattedCitation":"[4]","plainCitation":"[4]","noteIndex":0},"citationItems":[{"id":165,"uris":["http://zotero.org/users/3051968/items/LMILEGIT"],"uri":["http://zotero.org/users/3051968/items/LMILEGIT"],"itemData":{"id":165,"type":"article-newspaper","container-title":"www.telegraph.co.uk","title":"Wind turbine collapses in Northern Ireland","URL":"https://www.telegraph.co.uk/news/earth/energy/windpower/11324119/Wind-turbine-collapses-in-Northern-Ireland.html","author":[{"family":"Gosden","given":"Emily"}],"issued":{"date-parts":[["2015",1,4]]}}}],"schema":"https://github.com/citation-style-language/schema/raw/master/csl-citation.json"} </w:instrText>
      </w:r>
      <w:r w:rsidR="00D40B07" w:rsidRPr="00CC6CA3">
        <w:fldChar w:fldCharType="separate"/>
      </w:r>
      <w:r w:rsidR="00D40B07" w:rsidRPr="00CC6CA3">
        <w:rPr>
          <w:rFonts w:cs="Times New Roman"/>
        </w:rPr>
        <w:t>[4]</w:t>
      </w:r>
      <w:r w:rsidR="00D40B07" w:rsidRPr="00CC6CA3">
        <w:fldChar w:fldCharType="end"/>
      </w:r>
      <w:r w:rsidR="00D40B07" w:rsidRPr="00CC6CA3">
        <w:t xml:space="preserve">. </w:t>
      </w:r>
      <w:r w:rsidRPr="00CC6CA3">
        <w:t>The turbine was one of eight at the site. Each of them with a nominal power-generating capacity of 2.5 megawatts. However, due to the collapse of the one wind turbine, the remaining seven were shut down for safety investigations</w:t>
      </w:r>
      <w:r w:rsidR="00D40B07" w:rsidRPr="00CC6CA3">
        <w:t>.</w:t>
      </w:r>
    </w:p>
    <w:p w14:paraId="56A5B16F" w14:textId="77777777" w:rsidR="00D40B07" w:rsidRPr="00CC6CA3" w:rsidRDefault="00D40B07" w:rsidP="00D40B07">
      <w:pPr>
        <w:keepNext/>
        <w:jc w:val="center"/>
      </w:pPr>
      <w:r w:rsidRPr="00CC6CA3">
        <w:rPr>
          <w:noProof/>
        </w:rPr>
        <w:drawing>
          <wp:inline distT="0" distB="0" distL="0" distR="0" wp14:anchorId="1A818EAD" wp14:editId="774B5305">
            <wp:extent cx="3060000" cy="1800000"/>
            <wp:effectExtent l="0" t="0" r="7620" b="0"/>
            <wp:docPr id="2" name="Picture 2" descr="https://secure.i.telegraph.co.uk/multimedia/archive/03153/turbine-1_3153748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secure.i.telegraph.co.uk/multimedia/archive/03153/turbine-1_3153748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60000" cy="1800000"/>
                    </a:xfrm>
                    <a:prstGeom prst="rect">
                      <a:avLst/>
                    </a:prstGeom>
                    <a:noFill/>
                    <a:ln>
                      <a:noFill/>
                    </a:ln>
                  </pic:spPr>
                </pic:pic>
              </a:graphicData>
            </a:graphic>
          </wp:inline>
        </w:drawing>
      </w:r>
    </w:p>
    <w:p w14:paraId="2D94E02B" w14:textId="433284C9" w:rsidR="00D40B07" w:rsidRPr="00CC6CA3" w:rsidRDefault="00D40B07" w:rsidP="00D40B07">
      <w:pPr>
        <w:pStyle w:val="Caption"/>
        <w:jc w:val="center"/>
      </w:pPr>
      <w:bookmarkStart w:id="27" w:name="_Ref7629647"/>
      <w:bookmarkStart w:id="28" w:name="_Toc8155332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1</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w:t>
      </w:r>
      <w:r w:rsidR="00D62691" w:rsidRPr="00CC6CA3">
        <w:rPr>
          <w:noProof/>
        </w:rPr>
        <w:fldChar w:fldCharType="end"/>
      </w:r>
      <w:bookmarkEnd w:id="27"/>
      <w:r w:rsidRPr="00CC6CA3">
        <w:t xml:space="preserve"> A wind turbine which collapsed at Screggagh wind farm </w:t>
      </w:r>
      <w:r w:rsidRPr="00CC6CA3">
        <w:rPr>
          <w:i w:val="0"/>
        </w:rPr>
        <w:fldChar w:fldCharType="begin"/>
      </w:r>
      <w:r w:rsidRPr="00CC6CA3">
        <w:rPr>
          <w:i w:val="0"/>
        </w:rPr>
        <w:instrText xml:space="preserve"> ADDIN ZOTERO_ITEM CSL_CITATION {"citationID":"cbwBS6j3","properties":{"formattedCitation":"[4]","plainCitation":"[4]","noteIndex":0},"citationItems":[{"id":165,"uris":["http://zotero.org/users/3051968/items/LMILEGIT"],"uri":["http://zotero.org/users/3051968/items/LMILEGIT"],"itemData":{"id":165,"type":"article-newspaper","container-title":"www.telegraph.co.uk","title":"Wind turbine collapses in Northern Ireland","URL":"https://www.telegraph.co.uk/news/earth/energy/windpower/11324119/Wind-turbine-collapses-in-Northern-Ireland.html","author":[{"family":"Gosden","given":"Emily"}],"issued":{"date-parts":[["2015",1,4]]}}}],"schema":"https://github.com/citation-style-language/schema/raw/master/csl-citation.json"} </w:instrText>
      </w:r>
      <w:r w:rsidRPr="00CC6CA3">
        <w:rPr>
          <w:i w:val="0"/>
        </w:rPr>
        <w:fldChar w:fldCharType="separate"/>
      </w:r>
      <w:r w:rsidRPr="00CC6CA3">
        <w:rPr>
          <w:rFonts w:cs="Times New Roman"/>
        </w:rPr>
        <w:t>[4]</w:t>
      </w:r>
      <w:bookmarkEnd w:id="28"/>
      <w:r w:rsidRPr="00CC6CA3">
        <w:rPr>
          <w:i w:val="0"/>
        </w:rPr>
        <w:fldChar w:fldCharType="end"/>
      </w:r>
    </w:p>
    <w:p w14:paraId="43689A3A" w14:textId="382BC46F" w:rsidR="00D40B07" w:rsidRPr="00CC6CA3" w:rsidRDefault="00E71C6A" w:rsidP="00D40B07">
      <w:r w:rsidRPr="00CC6CA3">
        <w:t xml:space="preserve">Another example, a </w:t>
      </w:r>
      <w:hyperlink r:id="rId13" w:tooltip="Boeing 767-300ER" w:history="1">
        <w:r w:rsidRPr="00CC6CA3">
          <w:t>Boeing 767-323ER</w:t>
        </w:r>
      </w:hyperlink>
      <w:r w:rsidRPr="00CC6CA3">
        <w:t xml:space="preserve"> flying from Chicago to Miami in 2016, suffered an uncontained engine failure in one of its engines during take-off, resulting in a large fire, which destroyed the outer right wing </w:t>
      </w:r>
      <w:r w:rsidR="00D40B07" w:rsidRPr="00CC6CA3">
        <w:t xml:space="preserve">(see </w:t>
      </w:r>
      <w:r w:rsidR="00D40B07" w:rsidRPr="00CC6CA3">
        <w:fldChar w:fldCharType="begin"/>
      </w:r>
      <w:r w:rsidR="00D40B07" w:rsidRPr="00CC6CA3">
        <w:instrText xml:space="preserve"> REF _Ref7631560 \h </w:instrText>
      </w:r>
      <w:r w:rsidR="00E60958" w:rsidRPr="00CC6CA3">
        <w:instrText xml:space="preserve"> \* MERGEFORMAT </w:instrText>
      </w:r>
      <w:r w:rsidR="00D40B07" w:rsidRPr="00CC6CA3">
        <w:fldChar w:fldCharType="separate"/>
      </w:r>
      <w:r w:rsidR="001906D9" w:rsidRPr="00CC6CA3">
        <w:t xml:space="preserve">Figure </w:t>
      </w:r>
      <w:r w:rsidR="001906D9" w:rsidRPr="00CC6CA3">
        <w:rPr>
          <w:noProof/>
        </w:rPr>
        <w:t>1.4</w:t>
      </w:r>
      <w:r w:rsidR="00D40B07" w:rsidRPr="00CC6CA3">
        <w:fldChar w:fldCharType="end"/>
      </w:r>
      <w:r w:rsidR="00D40B07" w:rsidRPr="00CC6CA3">
        <w:t xml:space="preserve">). The accident caused 21 minor injuries </w:t>
      </w:r>
      <w:r w:rsidR="00D40B07" w:rsidRPr="00CC6CA3">
        <w:fldChar w:fldCharType="begin"/>
      </w:r>
      <w:r w:rsidR="00D40B07" w:rsidRPr="00CC6CA3">
        <w:instrText xml:space="preserve"> ADDIN ZOTERO_ITEM CSL_CITATION {"citationID":"NcuejSJR","properties":{"formattedCitation":"[5]","plainCitation":"[5]","noteIndex":0},"citationItems":[{"id":163,"uris":["http://zotero.org/users/3051968/items/N68KQLSQ"],"uri":["http://zotero.org/users/3051968/items/N68KQLSQ"],"itemData":{"id":163,"type":"report","publisher":"Aviation Safety Network","title":"American Airlines Boeing 767-300ER","URL":"https://aviation-safety.net/database/record.php?id=20161028-2"}}],"schema":"https://github.com/citation-style-language/schema/raw/master/csl-citation.json"} </w:instrText>
      </w:r>
      <w:r w:rsidR="00D40B07" w:rsidRPr="00CC6CA3">
        <w:fldChar w:fldCharType="separate"/>
      </w:r>
      <w:r w:rsidR="00D40B07" w:rsidRPr="00CC6CA3">
        <w:rPr>
          <w:rFonts w:cs="Times New Roman"/>
        </w:rPr>
        <w:t>[5]</w:t>
      </w:r>
      <w:r w:rsidR="00D40B07" w:rsidRPr="00CC6CA3">
        <w:fldChar w:fldCharType="end"/>
      </w:r>
      <w:r w:rsidR="00D40B07" w:rsidRPr="00CC6CA3">
        <w:t xml:space="preserve">. </w:t>
      </w:r>
    </w:p>
    <w:p w14:paraId="1EF17D49" w14:textId="77777777" w:rsidR="00D40B07" w:rsidRPr="00CC6CA3" w:rsidRDefault="00D40B07" w:rsidP="00D40B07">
      <w:pPr>
        <w:keepNext/>
        <w:jc w:val="center"/>
      </w:pPr>
      <w:r w:rsidRPr="00CC6CA3">
        <w:rPr>
          <w:noProof/>
        </w:rPr>
        <w:lastRenderedPageBreak/>
        <w:drawing>
          <wp:inline distT="0" distB="0" distL="0" distR="0" wp14:anchorId="1FBCCE4B" wp14:editId="2942E73E">
            <wp:extent cx="3060000" cy="1800000"/>
            <wp:effectExtent l="0" t="0" r="7620" b="0"/>
            <wp:docPr id="49" name="Picture 49" descr="https://cdn.aviation-safety.net/photos/accidents/20161028-2-C-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s://cdn.aviation-safety.net/photos/accidents/20161028-2-C-6.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3503"/>
                    <a:stretch/>
                  </pic:blipFill>
                  <pic:spPr bwMode="auto">
                    <a:xfrm>
                      <a:off x="0" y="0"/>
                      <a:ext cx="306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16027AC" w14:textId="68663250" w:rsidR="00D40B07" w:rsidRPr="00CC6CA3" w:rsidRDefault="00D40B07" w:rsidP="00D40B07">
      <w:pPr>
        <w:pStyle w:val="Caption"/>
        <w:jc w:val="center"/>
      </w:pPr>
      <w:bookmarkStart w:id="29" w:name="_Ref7631560"/>
      <w:bookmarkStart w:id="30" w:name="_Toc8155332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1</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w:t>
      </w:r>
      <w:r w:rsidR="00D62691" w:rsidRPr="00CC6CA3">
        <w:rPr>
          <w:noProof/>
        </w:rPr>
        <w:fldChar w:fldCharType="end"/>
      </w:r>
      <w:bookmarkEnd w:id="29"/>
      <w:r w:rsidRPr="00CC6CA3">
        <w:t xml:space="preserve"> Boeing 767-323ER suffered an uncontained engine failure in 2016</w:t>
      </w:r>
      <w:r w:rsidRPr="00CC6CA3">
        <w:rPr>
          <w:i w:val="0"/>
        </w:rPr>
        <w:t xml:space="preserve"> </w:t>
      </w:r>
      <w:r w:rsidRPr="00CC6CA3">
        <w:rPr>
          <w:i w:val="0"/>
        </w:rPr>
        <w:fldChar w:fldCharType="begin"/>
      </w:r>
      <w:r w:rsidRPr="00CC6CA3">
        <w:rPr>
          <w:i w:val="0"/>
        </w:rPr>
        <w:instrText xml:space="preserve"> ADDIN ZOTERO_ITEM CSL_CITATION {"citationID":"M8IkICiC","properties":{"formattedCitation":"[6]","plainCitation":"[6]","noteIndex":0},"citationItems":[{"id":159,"uris":["http://zotero.org/users/3051968/items/EREH3PSE"],"uri":["http://zotero.org/users/3051968/items/EREH3PSE"],"itemData":{"id":159,"type":"article","title":"Photo of Boeing 767-323ER (WL) N345AN","URL":"https://aviation-safety.net/photo/8893/Boeing-767-323ER-N345AN","author":[{"family":"NTSB","given":""}],"issued":{"date-parts":[["2016",10,28]]}}}],"schema":"https://github.com/citation-style-language/schema/raw/master/csl-citation.json"} </w:instrText>
      </w:r>
      <w:r w:rsidRPr="00CC6CA3">
        <w:rPr>
          <w:i w:val="0"/>
        </w:rPr>
        <w:fldChar w:fldCharType="separate"/>
      </w:r>
      <w:r w:rsidRPr="00CC6CA3">
        <w:rPr>
          <w:rFonts w:cs="Times New Roman"/>
        </w:rPr>
        <w:t>[6]</w:t>
      </w:r>
      <w:bookmarkEnd w:id="30"/>
      <w:r w:rsidRPr="00CC6CA3">
        <w:rPr>
          <w:i w:val="0"/>
        </w:rPr>
        <w:fldChar w:fldCharType="end"/>
      </w:r>
    </w:p>
    <w:p w14:paraId="50DEB645" w14:textId="4B54327B" w:rsidR="00D40B07" w:rsidRPr="00CC6CA3" w:rsidRDefault="000054F1" w:rsidP="00D40B07">
      <w:r w:rsidRPr="00CC6CA3">
        <w:t xml:space="preserve">More recently, a </w:t>
      </w:r>
      <w:hyperlink r:id="rId15" w:tooltip="Boeing 737-700" w:history="1">
        <w:r w:rsidRPr="00CC6CA3">
          <w:t>Boeing 737-700</w:t>
        </w:r>
      </w:hyperlink>
      <w:r w:rsidRPr="00CC6CA3">
        <w:t xml:space="preserve"> flying from New York to Dallas in 2018, suffered an uncontained engine failure during its initial climb away from the airport, resulting in a puncture to the left side of the fuselage, a loss of cabin pressure and damage to the wing and empennage </w:t>
      </w:r>
      <w:r w:rsidR="00D40B07" w:rsidRPr="00CC6CA3">
        <w:t xml:space="preserve">(see </w:t>
      </w:r>
      <w:r w:rsidR="00D40B07" w:rsidRPr="00CC6CA3">
        <w:fldChar w:fldCharType="begin"/>
      </w:r>
      <w:r w:rsidR="00D40B07" w:rsidRPr="00CC6CA3">
        <w:instrText xml:space="preserve"> REF _Ref7631588 \h </w:instrText>
      </w:r>
      <w:r w:rsidR="00E60958" w:rsidRPr="00CC6CA3">
        <w:instrText xml:space="preserve"> \* MERGEFORMAT </w:instrText>
      </w:r>
      <w:r w:rsidR="00D40B07" w:rsidRPr="00CC6CA3">
        <w:fldChar w:fldCharType="separate"/>
      </w:r>
      <w:r w:rsidR="001906D9" w:rsidRPr="00CC6CA3">
        <w:t xml:space="preserve">Figure </w:t>
      </w:r>
      <w:r w:rsidR="001906D9" w:rsidRPr="00CC6CA3">
        <w:rPr>
          <w:noProof/>
        </w:rPr>
        <w:t>1.5</w:t>
      </w:r>
      <w:r w:rsidR="00D40B07" w:rsidRPr="00CC6CA3">
        <w:fldChar w:fldCharType="end"/>
      </w:r>
      <w:r w:rsidR="00D40B07" w:rsidRPr="00CC6CA3">
        <w:t xml:space="preserve">). </w:t>
      </w:r>
      <w:r w:rsidRPr="00CC6CA3">
        <w:t>The accident resulted in one passenger death, eight injuries, and substantial damage to the aircraft</w:t>
      </w:r>
      <w:r w:rsidR="00D40B07" w:rsidRPr="00CC6CA3">
        <w:t xml:space="preserve"> </w:t>
      </w:r>
      <w:r w:rsidR="00D40B07" w:rsidRPr="00CC6CA3">
        <w:fldChar w:fldCharType="begin"/>
      </w:r>
      <w:r w:rsidR="00D40B07" w:rsidRPr="00CC6CA3">
        <w:instrText xml:space="preserve"> ADDIN ZOTERO_ITEM CSL_CITATION {"citationID":"nlGaGbvq","properties":{"formattedCitation":"[7]","plainCitation":"[7]","noteIndex":0},"citationItems":[{"id":162,"uris":["http://zotero.org/users/3051968/items/4HFKLMKV"],"uri":["http://zotero.org/users/3051968/items/4HFKLMKV"],"itemData":{"id":162,"type":"entry-encyclopedia","container-title":"wikipedia","language":"English","title":"Turbine engine failure","URL":"https://en.wikipedia.org/wiki/Turbine_engine_failure#cite_note-22"}}],"schema":"https://github.com/citation-style-language/schema/raw/master/csl-citation.json"} </w:instrText>
      </w:r>
      <w:r w:rsidR="00D40B07" w:rsidRPr="00CC6CA3">
        <w:fldChar w:fldCharType="separate"/>
      </w:r>
      <w:r w:rsidR="00D40B07" w:rsidRPr="00CC6CA3">
        <w:rPr>
          <w:rFonts w:cs="Times New Roman"/>
        </w:rPr>
        <w:t>[7]</w:t>
      </w:r>
      <w:r w:rsidR="00D40B07" w:rsidRPr="00CC6CA3">
        <w:fldChar w:fldCharType="end"/>
      </w:r>
      <w:r w:rsidR="00D40B07" w:rsidRPr="00CC6CA3">
        <w:t xml:space="preserve">. </w:t>
      </w:r>
    </w:p>
    <w:p w14:paraId="0B03452B" w14:textId="77777777" w:rsidR="00D40B07" w:rsidRPr="00CC6CA3" w:rsidRDefault="00D40B07" w:rsidP="00D40B07">
      <w:pPr>
        <w:keepNext/>
        <w:jc w:val="center"/>
      </w:pPr>
      <w:r w:rsidRPr="00CC6CA3">
        <w:rPr>
          <w:noProof/>
        </w:rPr>
        <w:drawing>
          <wp:inline distT="0" distB="0" distL="0" distR="0" wp14:anchorId="06AE00C1" wp14:editId="5C5FADAD">
            <wp:extent cx="3060000" cy="1800000"/>
            <wp:effectExtent l="0" t="0" r="7620" b="0"/>
            <wp:docPr id="77" name="Picture 77" descr="https://cdn.aviation-safety.net/photos/accidents/20180417-0-C-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s://cdn.aviation-safety.net/photos/accidents/20180417-0-C-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3992"/>
                    <a:stretch/>
                  </pic:blipFill>
                  <pic:spPr bwMode="auto">
                    <a:xfrm>
                      <a:off x="0" y="0"/>
                      <a:ext cx="30600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7813CC5" w14:textId="0E8BF793" w:rsidR="00D40B07" w:rsidRPr="00CC6CA3" w:rsidRDefault="00D40B07" w:rsidP="00D40B07">
      <w:pPr>
        <w:pStyle w:val="Caption"/>
        <w:jc w:val="center"/>
      </w:pPr>
      <w:bookmarkStart w:id="31" w:name="_Ref7631588"/>
      <w:bookmarkStart w:id="32" w:name="_Toc8155332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1</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w:t>
      </w:r>
      <w:r w:rsidR="00D62691" w:rsidRPr="00CC6CA3">
        <w:rPr>
          <w:noProof/>
        </w:rPr>
        <w:fldChar w:fldCharType="end"/>
      </w:r>
      <w:bookmarkEnd w:id="31"/>
      <w:r w:rsidRPr="00CC6CA3">
        <w:t xml:space="preserve"> Boeing 737-700 suffered an uncontained engine failure in 2018 </w:t>
      </w:r>
      <w:r w:rsidRPr="00CC6CA3">
        <w:rPr>
          <w:i w:val="0"/>
        </w:rPr>
        <w:fldChar w:fldCharType="begin"/>
      </w:r>
      <w:r w:rsidRPr="00CC6CA3">
        <w:rPr>
          <w:i w:val="0"/>
        </w:rPr>
        <w:instrText xml:space="preserve"> ADDIN ZOTERO_ITEM CSL_CITATION {"citationID":"a8XZfI4m","properties":{"formattedCitation":"[8]","plainCitation":"[8]","noteIndex":0},"citationItems":[{"id":161,"uris":["http://zotero.org/users/3051968/items/9KMRGUE3"],"uri":["http://zotero.org/users/3051968/items/9KMRGUE3"],"itemData":{"id":161,"type":"article","title":"Photo of Boeing 737-7H4 (WL) N772SW","URL":"https://aviation-safety.net/photo/9424/Boeing-737-7H4-N772SW","author":[{"family":"NTSB","given":""}],"issued":{"date-parts":[["2018",4,17]]}}}],"schema":"https://github.com/citation-style-language/schema/raw/master/csl-citation.json"} </w:instrText>
      </w:r>
      <w:r w:rsidRPr="00CC6CA3">
        <w:rPr>
          <w:i w:val="0"/>
        </w:rPr>
        <w:fldChar w:fldCharType="separate"/>
      </w:r>
      <w:r w:rsidRPr="00CC6CA3">
        <w:rPr>
          <w:rFonts w:cs="Times New Roman"/>
        </w:rPr>
        <w:t>[8]</w:t>
      </w:r>
      <w:bookmarkEnd w:id="32"/>
      <w:r w:rsidRPr="00CC6CA3">
        <w:rPr>
          <w:i w:val="0"/>
        </w:rPr>
        <w:fldChar w:fldCharType="end"/>
      </w:r>
    </w:p>
    <w:p w14:paraId="5405033E" w14:textId="7247DBE6" w:rsidR="00D40B07" w:rsidRPr="00CC6CA3" w:rsidRDefault="00976FEC" w:rsidP="00D40B07">
      <w:r w:rsidRPr="00CC6CA3">
        <w:t xml:space="preserve">Although catastrophes and disasters such as those mentioned above may be infrequent, minor accidents are quite common and occur on a day-to-day basis. These can also result in occupational injury, illness, and cost billions of dollars every year </w:t>
      </w:r>
      <w:r w:rsidRPr="00CC6CA3">
        <w:fldChar w:fldCharType="begin"/>
      </w:r>
      <w:r w:rsidRPr="00CC6CA3">
        <w:instrText xml:space="preserve"> ADDIN ZOTERO_ITEM CSL_CITATION {"citationID":"28GReiic","properties":{"formattedCitation":"[9]","plainCitation":"[9]","noteIndex":0},"citationItems":[{"id":831,"uris":["http://zotero.org/users/3051968/items/2TF7LTSW"],"uri":["http://zotero.org/users/3051968/items/2TF7LTSW"],"itemData":{"id":831,"type":"article-journal","container-title":"Computers &amp; chemical engineering","issue":"3","note":"publisher: Elsevier","page":"293–311","source":"Google Scholar","title":"A review of process fault detection and diagnosis: Part I: Quantitative model-based methods","title-short":"A review of process fault detection and diagnosis","volume":"27","author":[{"family":"Venkatasubramanian","given":"Venkat"},{"family":"Rengaswamy","given":"Raghunathan"},{"family":"Yin","given":"Kewen"},{"family":"Kavuri","given":"Surya N."}],"issued":{"date-parts":[["2003"]]}}}],"schema":"https://github.com/citation-style-language/schema/raw/master/csl-citation.json"} </w:instrText>
      </w:r>
      <w:r w:rsidRPr="00CC6CA3">
        <w:fldChar w:fldCharType="separate"/>
      </w:r>
      <w:r w:rsidRPr="00CC6CA3">
        <w:rPr>
          <w:rFonts w:cs="Times New Roman"/>
        </w:rPr>
        <w:t>[9]</w:t>
      </w:r>
      <w:r w:rsidRPr="00CC6CA3">
        <w:fldChar w:fldCharType="end"/>
      </w:r>
      <w:r w:rsidRPr="00CC6CA3">
        <w:t>. Which confirms the necessity of early fault detection and in-time maintenance in manufacturing operations, sustaining the reliability and availability of production equipment, and further improving product quality and productivity</w:t>
      </w:r>
      <w:r w:rsidR="00D40B07" w:rsidRPr="00CC6CA3">
        <w:t xml:space="preserve">. </w:t>
      </w:r>
    </w:p>
    <w:p w14:paraId="2619B423" w14:textId="2429A60D" w:rsidR="00D40B07" w:rsidRPr="00CC6CA3" w:rsidRDefault="00976FEC" w:rsidP="00D40B07">
      <w:r w:rsidRPr="00CC6CA3">
        <w:t>The frequency and duration of maintenance operations should be such as to minimise production losses caused by machine downtime. It has been reported that the cost of maintenance contributes to a large part of the total operating and production cost in capital-</w:t>
      </w:r>
      <w:r w:rsidRPr="00CC6CA3">
        <w:lastRenderedPageBreak/>
        <w:t xml:space="preserve">intensive industries. For example, maintenance cost as a percentage of total value-added could be between 20-50% for mining, 15-25% for primary metals and 3-15% for process and manufacturing industries </w:t>
      </w:r>
      <w:r w:rsidRPr="00CC6CA3">
        <w:fldChar w:fldCharType="begin"/>
      </w:r>
      <w:r w:rsidRPr="00CC6CA3">
        <w:instrText xml:space="preserve"> ADDIN ZOTERO_ITEM CSL_CITATION {"citationID":"nIhK0QRh","properties":{"formattedCitation":"[10]","plainCitation":"[10]","noteIndex":0},"citationItems":[{"id":931,"uris":["http://zotero.org/users/3051968/items/PLTJJ2R7"],"uri":["http://zotero.org/users/3051968/items/PLTJJ2R7"],"itemData":{"id":931,"type":"book","publisher":"CRC Press","source":"Google Scholar","title":"Uptime: Strategies for excellence in maintenance management","title-short":"Uptime","author":[{"family":"Campbell","given":"John D."},{"family":"Reyes-Picknell","given":"James V."},{"family":"Kim","given":"Hyung Sik"}],"issued":{"date-parts":[["2015"]]}}}],"schema":"https://github.com/citation-style-language/schema/raw/master/csl-citation.json"} </w:instrText>
      </w:r>
      <w:r w:rsidRPr="00CC6CA3">
        <w:fldChar w:fldCharType="separate"/>
      </w:r>
      <w:r w:rsidRPr="00CC6CA3">
        <w:t>[10]</w:t>
      </w:r>
      <w:r w:rsidRPr="00CC6CA3">
        <w:fldChar w:fldCharType="end"/>
      </w:r>
      <w:r w:rsidRPr="00CC6CA3">
        <w:t xml:space="preserve">. In practice, when a machine is classified as out-of-date due to the failure rate or safety considerations, it is replaced </w:t>
      </w:r>
      <w:r w:rsidRPr="00CC6CA3">
        <w:fldChar w:fldCharType="begin"/>
      </w:r>
      <w:r w:rsidR="007D1BCC" w:rsidRPr="00CC6CA3">
        <w:instrText xml:space="preserve"> ADDIN ZOTERO_ITEM CSL_CITATION {"citationID":"1bk0009q8q","properties":{"formattedCitation":"[11]","plainCitation":"[11]","noteIndex":0},"citationItems":[{"id":"jMlmauCg/7tDFYACf","uris":["http://zotero.org/users/1213095/items/BMFRC9QJ"],"uri":["http://zotero.org/users/1213095/items/BMFRC9QJ"],"itemData":{"id":319,"type":"book","title":"Vibration Monitoring, Testing, and Instrumentation","publisher":"Taylor &amp; Francis Group, LLC","source":"www.crcpress.com","abstract":"Controlling a system's vibrational behavior, whether for reducing harmful vibrations or for enhancing useful types, is critical to ensure safe and economical o…","URL":"http://www.crcpress.com/product/isbn/9781420053197","note":"01","author":[{"family":"Clarence W. de Silva","given":""}],"issued":{"date-parts":[["2007"]]},"accessed":{"date-parts":[["2013",8,4]]}}}],"schema":"https://github.com/citation-style-language/schema/raw/master/csl-citation.json"} </w:instrText>
      </w:r>
      <w:r w:rsidRPr="00CC6CA3">
        <w:fldChar w:fldCharType="separate"/>
      </w:r>
      <w:r w:rsidRPr="00CC6CA3">
        <w:t>[11]</w:t>
      </w:r>
      <w:r w:rsidRPr="00CC6CA3">
        <w:fldChar w:fldCharType="end"/>
      </w:r>
      <w:r w:rsidRPr="00CC6CA3">
        <w:t>. In many cases, that meant all its components are replaced even though they still have a potential service life. It is estimated that such machine replacement costs $1 trillion a year, despite the fact that they potentially had service life remaining</w:t>
      </w:r>
      <w:r w:rsidR="00D40B07" w:rsidRPr="00CC6CA3">
        <w:t xml:space="preserve"> </w:t>
      </w:r>
      <w:r w:rsidR="00D40B07" w:rsidRPr="00CC6CA3">
        <w:fldChar w:fldCharType="begin"/>
      </w:r>
      <w:r w:rsidR="007D1BCC" w:rsidRPr="00CC6CA3">
        <w:instrText xml:space="preserve"> ADDIN ZOTERO_ITEM CSL_CITATION {"citationID":"g90iluvk4","properties":{"formattedCitation":"[12]","plainCitation":"[12]","noteIndex":0},"citationItems":[{"id":"jMlmauCg/CIYPCUqZ","uris":["http://zotero.org/users/1213095/items/V5E9GFK3"],"uri":["http://zotero.org/users/1213095/items/V5E9GFK3"],"itemData":{"id":1860,"type":"article-journal","title":"It's time for sensors to go wireless. Part 2: Take a good technology and make it an economic success","container-title":"Sensors (Peterborough, NH)","volume":"16","issue":"5","source":"Scopus","archive":"Scopus","abstract":"The key to introducing a new technology, like wireless sensors, is to understand the economics involved in technology insertion for the customer's business. Emerging modeling techniques allow new concepts to be presented in a way that makes decision-making easier. The decision to integrate a new wireless sensor can be modeled as an investment strategy for both the supplier and the end user. An economic approach that mitigates the research and development risks must be used. The economic and related issues that might affect the implementation of wireless sensors are presented.","ISSN":"0746-9462","shortTitle":"It's time for sensors to go wireless. Part 2","language":"English","author":[{"family":"Allgood","given":"Glenn O."},{"family":"Manges","given":"Wayne W."},{"family":"Smith","given":"Stephen F."}],"issued":{"date-parts":[["1999"]]}}}],"schema":"https://github.com/citation-style-language/schema/raw/master/csl-citation.json"} </w:instrText>
      </w:r>
      <w:r w:rsidR="00D40B07" w:rsidRPr="00CC6CA3">
        <w:fldChar w:fldCharType="separate"/>
      </w:r>
      <w:r w:rsidR="00D40B07" w:rsidRPr="00CC6CA3">
        <w:t>[12]</w:t>
      </w:r>
      <w:r w:rsidR="00D40B07" w:rsidRPr="00CC6CA3">
        <w:fldChar w:fldCharType="end"/>
      </w:r>
      <w:r w:rsidR="00D40B07" w:rsidRPr="00CC6CA3">
        <w:t>.</w:t>
      </w:r>
    </w:p>
    <w:p w14:paraId="432067F3" w14:textId="5AD2370F" w:rsidR="00D40B07" w:rsidRPr="00CC6CA3" w:rsidRDefault="00976FEC" w:rsidP="00D40B07">
      <w:r w:rsidRPr="00CC6CA3">
        <w:t>Consequently, from corrective maintenance, time-based maintenance to CBM, manufacturers are continuously trying to find more sophisticated maintenance strategies to enhance plant performance, maximise the safety of the plant whilst minimising the operational costs and extending the life of industrial machines</w:t>
      </w:r>
      <w:r w:rsidR="00D40B07" w:rsidRPr="00CC6CA3">
        <w:t>.</w:t>
      </w:r>
    </w:p>
    <w:p w14:paraId="4D40A8D2" w14:textId="77777777" w:rsidR="00D40B07" w:rsidRPr="00CC6CA3" w:rsidRDefault="00D40B07" w:rsidP="00D40B07">
      <w:pPr>
        <w:pStyle w:val="Heading2"/>
        <w:rPr>
          <w:lang w:val="en-US"/>
        </w:rPr>
      </w:pPr>
      <w:bookmarkStart w:id="33" w:name="_Toc529370771"/>
      <w:bookmarkStart w:id="34" w:name="_Toc531629333"/>
      <w:bookmarkStart w:id="35" w:name="_Ref7428579"/>
      <w:bookmarkStart w:id="36" w:name="_Toc81553244"/>
      <w:r w:rsidRPr="00CC6CA3">
        <w:rPr>
          <w:lang w:val="en-US"/>
        </w:rPr>
        <w:t>Research motivation and objectives</w:t>
      </w:r>
      <w:bookmarkEnd w:id="33"/>
      <w:bookmarkEnd w:id="34"/>
      <w:bookmarkEnd w:id="35"/>
      <w:bookmarkEnd w:id="36"/>
    </w:p>
    <w:p w14:paraId="44996E6F" w14:textId="77777777" w:rsidR="00D40B07" w:rsidRPr="00CC6CA3" w:rsidRDefault="00D40B07" w:rsidP="00D40B07">
      <w:bookmarkStart w:id="37" w:name="_Hlk505377807"/>
      <w:bookmarkStart w:id="38" w:name="OLE_LINK188"/>
      <w:r w:rsidRPr="00CC6CA3">
        <w:t xml:space="preserve">The sponsor of this project (Shell Global Solutions) is one of the world's largest petrochemical companies, has a vast fleet of rotating equipment operating in their refineries located worldwide. The condition monitoring systems that are applied in their refineries, routinely collect long-term continuous operating data by various sensors mounted on crucial equipment. </w:t>
      </w:r>
    </w:p>
    <w:p w14:paraId="4D2E729D" w14:textId="0DD5DF85" w:rsidR="00D40B07" w:rsidRPr="00CC6CA3" w:rsidRDefault="00DC4917" w:rsidP="00D40B07">
      <w:r w:rsidRPr="00CC6CA3">
        <w:t xml:space="preserve">The current fault diagnostic system detects a fault by checking the value of the measurements </w:t>
      </w:r>
      <w:r w:rsidR="000A140C" w:rsidRPr="00CC6CA3">
        <w:t>against</w:t>
      </w:r>
      <w:r w:rsidRPr="00CC6CA3">
        <w:t xml:space="preserve"> their given thresholds. When a measurement exceeds a threshold, an alarm is generated, depending to the alarm the operators make a judgement on the fault type and schedule inspection and maintenance time. In addition to that, time-based maintenance strategies are also widely applied in each plant</w:t>
      </w:r>
      <w:r w:rsidR="00D40B07" w:rsidRPr="00CC6CA3">
        <w:t>.</w:t>
      </w:r>
    </w:p>
    <w:p w14:paraId="09EFC628" w14:textId="7B5809D9" w:rsidR="00D40B07" w:rsidRPr="00CC6CA3" w:rsidRDefault="002C2452" w:rsidP="00D40B07">
      <w:r w:rsidRPr="00CC6CA3">
        <w:t xml:space="preserve">However, the fault diagnostic systems employed in the refineries lack an integrated indicator for each piece of equipment to assess its risk and health status. Instead, from the dataset made available to us, it was found that each measurement has four thresholds, which are 'HIHI' (measurements are extremely higher than normal), 'HI' (higher than normal value), 'LO' (lower than normal value) and 'LOLO' (extremely lower than normal value). Because it lacks an integrated indicator for each item of equipment, it is possible for the online CBM system to sound </w:t>
      </w:r>
      <w:proofErr w:type="gramStart"/>
      <w:r w:rsidRPr="00CC6CA3">
        <w:t>a large number of</w:t>
      </w:r>
      <w:proofErr w:type="gramEnd"/>
      <w:r w:rsidRPr="00CC6CA3">
        <w:t xml:space="preserve"> alarms at one time, making it confusing for the operators to decide the best time to conduct maintenance and what to prioritise. In addition, the </w:t>
      </w:r>
      <w:r w:rsidRPr="00CC6CA3">
        <w:lastRenderedPageBreak/>
        <w:t>installed condition monitoring and maintenance system does not take cost factors into consideration. Thus, the aim of this project is to develop a single system-wide health indicator to assess the health condition of the equipment that considers both the dynamic risk to the system and financial factors</w:t>
      </w:r>
      <w:r w:rsidR="00D40B07" w:rsidRPr="00CC6CA3">
        <w:t xml:space="preserve">. </w:t>
      </w:r>
    </w:p>
    <w:p w14:paraId="4E91AD32" w14:textId="45E37AF5" w:rsidR="00D40B07" w:rsidRPr="00CC6CA3" w:rsidRDefault="00240963" w:rsidP="00D40B07">
      <w:r w:rsidRPr="00CC6CA3">
        <w:t>The specific objectives of this work are</w:t>
      </w:r>
      <w:r w:rsidR="00F67E8E" w:rsidRPr="00CC6CA3">
        <w:t>:</w:t>
      </w:r>
    </w:p>
    <w:p w14:paraId="478E4539" w14:textId="77777777" w:rsidR="00A11F79" w:rsidRPr="00CC6CA3" w:rsidRDefault="00A11F79" w:rsidP="00A11F79">
      <w:pPr>
        <w:rPr>
          <w:b/>
          <w:bCs/>
        </w:rPr>
      </w:pPr>
      <w:bookmarkStart w:id="39" w:name="_Hlk80278331"/>
      <w:bookmarkEnd w:id="37"/>
      <w:bookmarkEnd w:id="38"/>
      <w:r w:rsidRPr="00CC6CA3">
        <w:rPr>
          <w:b/>
          <w:bCs/>
        </w:rPr>
        <w:t>Objective one:</w:t>
      </w:r>
      <w:r w:rsidRPr="00CC6CA3">
        <w:t xml:space="preserve"> Develop an effective fault detection model, which can detect anomalies at its incipient stage in the system via condition monitoring data captured from industrial gas compressors and pumps.</w:t>
      </w:r>
    </w:p>
    <w:p w14:paraId="38028668" w14:textId="3DBB2193" w:rsidR="00A11F79" w:rsidRPr="00CC6CA3" w:rsidRDefault="00A11F79" w:rsidP="00A11F79">
      <w:r w:rsidRPr="00CC6CA3">
        <w:rPr>
          <w:b/>
          <w:bCs/>
        </w:rPr>
        <w:t xml:space="preserve">Objective two: </w:t>
      </w:r>
      <w:r w:rsidR="00FE551E" w:rsidRPr="00CC6CA3">
        <w:t>Develop a probability of fault (POF) model based on the selected fault detection model (Objective one) to describe the degradation of the system</w:t>
      </w:r>
      <w:r w:rsidRPr="00CC6CA3">
        <w:t>.</w:t>
      </w:r>
    </w:p>
    <w:p w14:paraId="53EB106F" w14:textId="6F42BD58" w:rsidR="00A11F79" w:rsidRPr="00CC6CA3" w:rsidRDefault="00A11F79" w:rsidP="00A11F79">
      <w:pPr>
        <w:rPr>
          <w:b/>
          <w:bCs/>
        </w:rPr>
      </w:pPr>
      <w:r w:rsidRPr="00CC6CA3">
        <w:rPr>
          <w:b/>
          <w:bCs/>
        </w:rPr>
        <w:t xml:space="preserve">Objective three: </w:t>
      </w:r>
      <w:r w:rsidR="00FE551E" w:rsidRPr="00CC6CA3">
        <w:t>Develop a financial loss model to describe the consequences of faults in the system. Financial data collected from the operational sector is used in the proposed model</w:t>
      </w:r>
      <w:r w:rsidRPr="00CC6CA3">
        <w:t>.</w:t>
      </w:r>
    </w:p>
    <w:p w14:paraId="62E52F21" w14:textId="5F5E79A7" w:rsidR="00E5605D" w:rsidRPr="00CC6CA3" w:rsidRDefault="00A11F79" w:rsidP="00E5605D">
      <w:r w:rsidRPr="00CC6CA3">
        <w:rPr>
          <w:b/>
          <w:bCs/>
        </w:rPr>
        <w:t xml:space="preserve">Objective four: </w:t>
      </w:r>
      <w:r w:rsidR="00FE551E" w:rsidRPr="00CC6CA3">
        <w:t xml:space="preserve">Develop an integrated system health indicator for rotating machinery considering the POF model (Objective two) and the financial model (Objective three). The indicator </w:t>
      </w:r>
      <w:proofErr w:type="gramStart"/>
      <w:r w:rsidR="00FE551E" w:rsidRPr="00CC6CA3">
        <w:t>is able to</w:t>
      </w:r>
      <w:proofErr w:type="gramEnd"/>
      <w:r w:rsidR="00FE551E" w:rsidRPr="00CC6CA3">
        <w:t xml:space="preserve"> alert the operators on any detected fault and suggest a proper maintenance time to minimize the operational and maintenance costs</w:t>
      </w:r>
      <w:r w:rsidRPr="00CC6CA3">
        <w:t>.</w:t>
      </w:r>
      <w:bookmarkEnd w:id="39"/>
    </w:p>
    <w:p w14:paraId="466DD642" w14:textId="3841193E" w:rsidR="00D81763" w:rsidRPr="00CC6CA3" w:rsidRDefault="00D81763" w:rsidP="00D81763">
      <w:pPr>
        <w:pStyle w:val="Body"/>
      </w:pPr>
    </w:p>
    <w:p w14:paraId="34723564" w14:textId="77777777" w:rsidR="00D81763" w:rsidRPr="00CC6CA3" w:rsidRDefault="00D81763" w:rsidP="00D81763">
      <w:pPr>
        <w:pStyle w:val="Body"/>
      </w:pPr>
    </w:p>
    <w:p w14:paraId="2A09CE0A" w14:textId="77777777" w:rsidR="00D40B07" w:rsidRPr="00CC6CA3" w:rsidRDefault="00D40B07" w:rsidP="00D40B07">
      <w:pPr>
        <w:pStyle w:val="Heading2"/>
      </w:pPr>
      <w:bookmarkStart w:id="40" w:name="_Toc79956179"/>
      <w:bookmarkStart w:id="41" w:name="_Toc80053168"/>
      <w:bookmarkStart w:id="42" w:name="_Toc80147344"/>
      <w:bookmarkStart w:id="43" w:name="_Toc80304886"/>
      <w:bookmarkStart w:id="44" w:name="_Toc80396016"/>
      <w:bookmarkStart w:id="45" w:name="_Toc81542227"/>
      <w:bookmarkStart w:id="46" w:name="_Toc79956180"/>
      <w:bookmarkStart w:id="47" w:name="_Toc80053169"/>
      <w:bookmarkStart w:id="48" w:name="_Toc80147345"/>
      <w:bookmarkStart w:id="49" w:name="_Toc80304887"/>
      <w:bookmarkStart w:id="50" w:name="_Toc80396017"/>
      <w:bookmarkStart w:id="51" w:name="_Toc81542228"/>
      <w:bookmarkStart w:id="52" w:name="_Toc79956181"/>
      <w:bookmarkStart w:id="53" w:name="_Toc80053170"/>
      <w:bookmarkStart w:id="54" w:name="_Toc80147346"/>
      <w:bookmarkStart w:id="55" w:name="_Toc80304888"/>
      <w:bookmarkStart w:id="56" w:name="_Toc80396018"/>
      <w:bookmarkStart w:id="57" w:name="_Toc81542229"/>
      <w:bookmarkStart w:id="58" w:name="_Toc79956182"/>
      <w:bookmarkStart w:id="59" w:name="_Toc80053171"/>
      <w:bookmarkStart w:id="60" w:name="_Toc80147347"/>
      <w:bookmarkStart w:id="61" w:name="_Toc80304889"/>
      <w:bookmarkStart w:id="62" w:name="_Toc80396019"/>
      <w:bookmarkStart w:id="63" w:name="_Toc81542230"/>
      <w:bookmarkStart w:id="64" w:name="_Toc79956183"/>
      <w:bookmarkStart w:id="65" w:name="_Toc80053172"/>
      <w:bookmarkStart w:id="66" w:name="_Toc80147348"/>
      <w:bookmarkStart w:id="67" w:name="_Toc80304890"/>
      <w:bookmarkStart w:id="68" w:name="_Toc80396020"/>
      <w:bookmarkStart w:id="69" w:name="_Toc81542231"/>
      <w:bookmarkStart w:id="70" w:name="_Toc79956184"/>
      <w:bookmarkStart w:id="71" w:name="_Toc80053173"/>
      <w:bookmarkStart w:id="72" w:name="_Toc80147349"/>
      <w:bookmarkStart w:id="73" w:name="_Toc80304891"/>
      <w:bookmarkStart w:id="74" w:name="_Toc80396021"/>
      <w:bookmarkStart w:id="75" w:name="_Toc81542232"/>
      <w:bookmarkStart w:id="76" w:name="_Toc529370772"/>
      <w:bookmarkStart w:id="77" w:name="_Toc531629334"/>
      <w:bookmarkStart w:id="78" w:name="_Toc81553245"/>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rsidRPr="00CC6CA3">
        <w:lastRenderedPageBreak/>
        <w:t>Thesis Outline</w:t>
      </w:r>
      <w:bookmarkEnd w:id="76"/>
      <w:bookmarkEnd w:id="77"/>
      <w:bookmarkEnd w:id="78"/>
    </w:p>
    <w:p w14:paraId="5532121A" w14:textId="77777777" w:rsidR="00D40B07" w:rsidRPr="00CC6CA3" w:rsidRDefault="00D40B07" w:rsidP="00D40B07">
      <w:pPr>
        <w:keepNext/>
        <w:jc w:val="center"/>
      </w:pPr>
      <w:r w:rsidRPr="00CC6CA3">
        <w:rPr>
          <w:noProof/>
        </w:rPr>
        <w:drawing>
          <wp:inline distT="0" distB="0" distL="0" distR="0" wp14:anchorId="5D969D36" wp14:editId="761A18E0">
            <wp:extent cx="2579582" cy="280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9582" cy="2808000"/>
                    </a:xfrm>
                    <a:prstGeom prst="rect">
                      <a:avLst/>
                    </a:prstGeom>
                    <a:noFill/>
                  </pic:spPr>
                </pic:pic>
              </a:graphicData>
            </a:graphic>
          </wp:inline>
        </w:drawing>
      </w:r>
    </w:p>
    <w:p w14:paraId="7CED44D3" w14:textId="4C4BB5A5" w:rsidR="00D40B07" w:rsidRPr="00CC6CA3" w:rsidRDefault="00D40B07" w:rsidP="00D40B07">
      <w:pPr>
        <w:pStyle w:val="Caption"/>
        <w:jc w:val="center"/>
      </w:pPr>
      <w:bookmarkStart w:id="79" w:name="_Ref529369748"/>
      <w:bookmarkStart w:id="80" w:name="_Toc531538331"/>
      <w:bookmarkStart w:id="81" w:name="_Toc8155332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1</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w:t>
      </w:r>
      <w:r w:rsidR="00D62691" w:rsidRPr="00CC6CA3">
        <w:rPr>
          <w:noProof/>
        </w:rPr>
        <w:fldChar w:fldCharType="end"/>
      </w:r>
      <w:bookmarkEnd w:id="79"/>
      <w:r w:rsidRPr="00CC6CA3">
        <w:t xml:space="preserve"> Thesis structure</w:t>
      </w:r>
      <w:bookmarkEnd w:id="80"/>
      <w:bookmarkEnd w:id="81"/>
    </w:p>
    <w:p w14:paraId="35763EDA" w14:textId="0B876178" w:rsidR="00D40B07" w:rsidRPr="00CC6CA3" w:rsidRDefault="001C0FB6" w:rsidP="00D40B07">
      <w:r w:rsidRPr="00CC6CA3">
        <w:t>T</w:t>
      </w:r>
      <w:r w:rsidR="00D40B07" w:rsidRPr="00CC6CA3">
        <w:t xml:space="preserve">he main structure of the thesis is outlined in </w:t>
      </w:r>
      <w:r w:rsidR="00D40B07" w:rsidRPr="00CC6CA3">
        <w:fldChar w:fldCharType="begin"/>
      </w:r>
      <w:r w:rsidR="00D40B07" w:rsidRPr="00CC6CA3">
        <w:instrText xml:space="preserve"> REF _Ref529369748 \h  \* MERGEFORMAT </w:instrText>
      </w:r>
      <w:r w:rsidR="00D40B07" w:rsidRPr="00CC6CA3">
        <w:fldChar w:fldCharType="separate"/>
      </w:r>
      <w:r w:rsidR="001906D9" w:rsidRPr="00CC6CA3">
        <w:t>Figure 1.6</w:t>
      </w:r>
      <w:r w:rsidR="00D40B07" w:rsidRPr="00CC6CA3">
        <w:fldChar w:fldCharType="end"/>
      </w:r>
      <w:r w:rsidR="00D40B07" w:rsidRPr="00CC6CA3">
        <w:t xml:space="preserve">. In Chapter 2, </w:t>
      </w:r>
      <w:r w:rsidRPr="00CC6CA3">
        <w:t>the state-of-the-art maintenance techniques and fault detection methods for rotating machines are reviewed, and the health indicator</w:t>
      </w:r>
      <w:r w:rsidRPr="00CC6CA3">
        <w:rPr>
          <w:rFonts w:hint="eastAsia"/>
        </w:rPr>
        <w:t>(</w:t>
      </w:r>
      <w:r w:rsidRPr="00CC6CA3">
        <w:t>s) for each maintenance strategy are described and compared. The theory of condition-based risk assessment is introduced as a cost-effective maintenance strategy</w:t>
      </w:r>
      <w:r w:rsidR="00D40B07" w:rsidRPr="00CC6CA3">
        <w:t>.</w:t>
      </w:r>
    </w:p>
    <w:p w14:paraId="1455EFC3" w14:textId="3F36427C" w:rsidR="00D40B07" w:rsidRPr="00CC6CA3" w:rsidRDefault="00D40B07" w:rsidP="00D40B07">
      <w:pPr>
        <w:rPr>
          <w:rFonts w:cs="Times New Roman"/>
          <w:szCs w:val="24"/>
        </w:rPr>
      </w:pPr>
      <w:r w:rsidRPr="00CC6CA3">
        <w:rPr>
          <w:rFonts w:cs="Times New Roman"/>
          <w:szCs w:val="24"/>
        </w:rPr>
        <w:t xml:space="preserve">Chapter 3 presents a brief introduction of the pump and multi-stage compressor that the data </w:t>
      </w:r>
      <w:r w:rsidR="008D2DDD" w:rsidRPr="00CC6CA3">
        <w:rPr>
          <w:rFonts w:cs="Times New Roman"/>
          <w:szCs w:val="24"/>
        </w:rPr>
        <w:t>was obtained</w:t>
      </w:r>
      <w:r w:rsidRPr="00CC6CA3">
        <w:rPr>
          <w:rFonts w:cs="Times New Roman"/>
          <w:szCs w:val="24"/>
        </w:rPr>
        <w:t xml:space="preserve">. </w:t>
      </w:r>
      <w:r w:rsidR="008D2DDD" w:rsidRPr="00CC6CA3">
        <w:rPr>
          <w:rFonts w:cs="Times New Roman"/>
          <w:szCs w:val="24"/>
        </w:rPr>
        <w:t xml:space="preserve">The raw industrial pump and compressor data has </w:t>
      </w:r>
      <w:r w:rsidR="00E65F83" w:rsidRPr="00CC6CA3">
        <w:rPr>
          <w:rFonts w:cs="Times New Roman"/>
          <w:szCs w:val="24"/>
        </w:rPr>
        <w:t xml:space="preserve">missing values, outliers, and downtimes. These can produce inaccuracies in the machine learning models and so data </w:t>
      </w:r>
      <w:r w:rsidR="008D2DDD" w:rsidRPr="00CC6CA3">
        <w:rPr>
          <w:rFonts w:cs="Times New Roman"/>
          <w:szCs w:val="24"/>
        </w:rPr>
        <w:t xml:space="preserve">has been </w:t>
      </w:r>
      <w:r w:rsidR="00E65F83" w:rsidRPr="00CC6CA3">
        <w:rPr>
          <w:rFonts w:cs="Times New Roman"/>
          <w:szCs w:val="24"/>
        </w:rPr>
        <w:t>pre-process</w:t>
      </w:r>
      <w:r w:rsidR="008D2DDD" w:rsidRPr="00CC6CA3">
        <w:rPr>
          <w:rFonts w:cs="Times New Roman"/>
          <w:szCs w:val="24"/>
        </w:rPr>
        <w:t>ed</w:t>
      </w:r>
      <w:r w:rsidR="00E65F83" w:rsidRPr="00CC6CA3">
        <w:rPr>
          <w:rFonts w:cs="Times New Roman"/>
          <w:szCs w:val="24"/>
        </w:rPr>
        <w:t xml:space="preserve"> to obtain clean data</w:t>
      </w:r>
      <w:r w:rsidRPr="00CC6CA3">
        <w:rPr>
          <w:rFonts w:cs="Times New Roman"/>
          <w:szCs w:val="24"/>
        </w:rPr>
        <w:t xml:space="preserve">. </w:t>
      </w:r>
    </w:p>
    <w:p w14:paraId="3FDBD904" w14:textId="75837649" w:rsidR="00D40B07" w:rsidRPr="00CC6CA3" w:rsidRDefault="00D40B07" w:rsidP="00D40B07">
      <w:r w:rsidRPr="00CC6CA3">
        <w:t xml:space="preserve">In Chapter 4, several data-driven fault detection methods </w:t>
      </w:r>
      <w:r w:rsidR="00E65F83" w:rsidRPr="00CC6CA3">
        <w:t>are compared (PCA</w:t>
      </w:r>
      <w:r w:rsidR="00E65F83" w:rsidRPr="00CC6CA3">
        <w:rPr>
          <w:rFonts w:cs="Times New Roman"/>
          <w:szCs w:val="24"/>
        </w:rPr>
        <w:t>, NARX</w:t>
      </w:r>
      <w:r w:rsidR="00E65F83" w:rsidRPr="00CC6CA3">
        <w:t xml:space="preserve">, and SAE) that are effective for analysis of multi-variable condition-monitoring data. Fault isolation </w:t>
      </w:r>
      <w:r w:rsidR="00E65F83" w:rsidRPr="00CC6CA3">
        <w:rPr>
          <w:rFonts w:hint="eastAsia"/>
        </w:rPr>
        <w:t>is</w:t>
      </w:r>
      <w:r w:rsidR="00E65F83" w:rsidRPr="00CC6CA3">
        <w:t xml:space="preserve"> achieved by calculating reconstruction-based contribution and presented on a 2D contribution map. Variables with larger contributions are responsible for the fault. Fault isolation can help to determine the root cause of the fault and provide decision support for operators to carry out timely adjustments and perform maintenance if necessary</w:t>
      </w:r>
      <w:r w:rsidRPr="00CC6CA3">
        <w:t>.</w:t>
      </w:r>
    </w:p>
    <w:p w14:paraId="70214BBC" w14:textId="52E81A83" w:rsidR="00D40B07" w:rsidRPr="00CC6CA3" w:rsidRDefault="00D40B07" w:rsidP="00D40B07">
      <w:r w:rsidRPr="00CC6CA3">
        <w:t xml:space="preserve">In </w:t>
      </w:r>
      <w:r w:rsidR="00DC4BCE" w:rsidRPr="00CC6CA3">
        <w:t xml:space="preserve">Chapter 5, an integrated health indicator is proposed to improve the conventional condition-based maintenance strategy for rotating machinery, by considering the probability </w:t>
      </w:r>
      <w:r w:rsidR="00DC4BCE" w:rsidRPr="00CC6CA3">
        <w:lastRenderedPageBreak/>
        <w:t>of occurrence of a fault, and relative consequences using loss function and financial factors. The health indicator is obtained by four steps: fault detection (detailed in Chapter 4), probability of failure calculation, the consequence of failure calculation and dynamic risk calculation. The system health indicator should identify the fault at an incipient stage and show the degradation of the system, dynamically updating the process risk after each sampling instant. The proposed health indicator is tested using industrial data via two case studies</w:t>
      </w:r>
      <w:r w:rsidRPr="00CC6CA3">
        <w:t>.</w:t>
      </w:r>
    </w:p>
    <w:p w14:paraId="3CCD9390" w14:textId="4C208DF2" w:rsidR="009579CB" w:rsidRPr="00CC6CA3" w:rsidRDefault="00D40B07" w:rsidP="00D40B07">
      <w:r w:rsidRPr="00CC6CA3">
        <w:t xml:space="preserve">Finally, </w:t>
      </w:r>
      <w:r w:rsidR="002F570D" w:rsidRPr="00CC6CA3">
        <w:t xml:space="preserve">Chapter 6 summarises the research work </w:t>
      </w:r>
      <w:r w:rsidR="00D336DC" w:rsidRPr="00CC6CA3">
        <w:t xml:space="preserve">and </w:t>
      </w:r>
      <w:r w:rsidR="002F570D" w:rsidRPr="00CC6CA3">
        <w:t>the major contributions</w:t>
      </w:r>
      <w:r w:rsidR="00D336DC" w:rsidRPr="00CC6CA3">
        <w:t>.</w:t>
      </w:r>
      <w:r w:rsidR="002F570D" w:rsidRPr="00CC6CA3">
        <w:t xml:space="preserve"> </w:t>
      </w:r>
      <w:r w:rsidR="00D336DC" w:rsidRPr="00CC6CA3">
        <w:t>In addition, recommends possible directions for future work.</w:t>
      </w:r>
    </w:p>
    <w:p w14:paraId="17F269A3" w14:textId="77777777" w:rsidR="004A7A0B" w:rsidRPr="00CC6CA3" w:rsidRDefault="004A7A0B" w:rsidP="00D40B07"/>
    <w:p w14:paraId="587493B1" w14:textId="32065EA5" w:rsidR="00BA584B" w:rsidRPr="00CC6CA3" w:rsidRDefault="00961B77">
      <w:pPr>
        <w:spacing w:line="259" w:lineRule="auto"/>
        <w:jc w:val="left"/>
        <w:rPr>
          <w:rFonts w:ascii="AdvTimes" w:hAnsi="AdvTimes" w:cs="AdvTimes"/>
          <w:sz w:val="20"/>
          <w:szCs w:val="20"/>
        </w:rPr>
      </w:pPr>
      <w:r w:rsidRPr="00CC6CA3">
        <w:rPr>
          <w:rFonts w:ascii="AdvTimes" w:hAnsi="AdvTimes" w:cs="AdvTimes"/>
          <w:sz w:val="20"/>
          <w:szCs w:val="20"/>
        </w:rPr>
        <w:br w:type="page"/>
      </w:r>
    </w:p>
    <w:p w14:paraId="466F679B" w14:textId="77777777" w:rsidR="00922D09" w:rsidRPr="00CC6CA3" w:rsidRDefault="00922D09" w:rsidP="00922D09">
      <w:pPr>
        <w:pStyle w:val="Title"/>
        <w:spacing w:line="360" w:lineRule="auto"/>
        <w:rPr>
          <w:sz w:val="44"/>
          <w:szCs w:val="44"/>
          <w:u w:val="thick"/>
        </w:rPr>
      </w:pPr>
    </w:p>
    <w:p w14:paraId="3AE69195" w14:textId="77777777" w:rsidR="00922D09" w:rsidRPr="00CC6CA3" w:rsidRDefault="00922D09" w:rsidP="00922D09">
      <w:pPr>
        <w:pStyle w:val="Title"/>
        <w:spacing w:line="360" w:lineRule="auto"/>
        <w:rPr>
          <w:sz w:val="44"/>
          <w:szCs w:val="44"/>
          <w:u w:val="thick"/>
        </w:rPr>
      </w:pPr>
      <w:r w:rsidRPr="00CC6CA3">
        <w:rPr>
          <w:sz w:val="44"/>
          <w:szCs w:val="44"/>
          <w:u w:val="thick"/>
        </w:rPr>
        <w:t xml:space="preserve">                             </w:t>
      </w:r>
    </w:p>
    <w:p w14:paraId="636766D2" w14:textId="72AB0B13" w:rsidR="00BA584B" w:rsidRPr="00CC6CA3" w:rsidRDefault="00BA584B" w:rsidP="00BA584B">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794FECFD" w14:textId="77777777" w:rsidR="00BA584B" w:rsidRPr="00CC6CA3" w:rsidRDefault="00BA584B" w:rsidP="00BA584B">
      <w:pPr>
        <w:pStyle w:val="Heading1"/>
      </w:pPr>
      <w:r w:rsidRPr="00CC6CA3">
        <w:br/>
      </w:r>
      <w:bookmarkStart w:id="82" w:name="_Toc81553246"/>
      <w:r w:rsidRPr="00CC6CA3">
        <w:rPr>
          <w:sz w:val="32"/>
          <w:szCs w:val="36"/>
        </w:rPr>
        <w:t>Literature Review</w:t>
      </w:r>
      <w:bookmarkEnd w:id="82"/>
    </w:p>
    <w:p w14:paraId="0D052A72" w14:textId="4E7075C2" w:rsidR="00BA584B" w:rsidRPr="00CC6CA3" w:rsidRDefault="00BA584B" w:rsidP="00BA584B">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1A3A0C77" w14:textId="77777777" w:rsidR="00BA584B" w:rsidRPr="00CC6CA3" w:rsidRDefault="00BA584B" w:rsidP="00BA584B"/>
    <w:p w14:paraId="67541D97" w14:textId="1BC6272F" w:rsidR="00BA584B" w:rsidRPr="00CC6CA3" w:rsidRDefault="001156E7" w:rsidP="00D84BAC">
      <w:pPr>
        <w:rPr>
          <w:iCs/>
        </w:rPr>
      </w:pPr>
      <w:r w:rsidRPr="00CC6CA3">
        <w:t xml:space="preserve">Maintenance is essential to sustain the availability and reliability of equipment </w:t>
      </w:r>
      <w:proofErr w:type="gramStart"/>
      <w:r w:rsidRPr="00CC6CA3">
        <w:t>in order to</w:t>
      </w:r>
      <w:proofErr w:type="gramEnd"/>
      <w:r w:rsidRPr="00CC6CA3">
        <w:t xml:space="preserve"> ensure on-time delivery, productivity, product quality, and a safe working environment. The limitations of traditional maintenance strategies necessitated the </w:t>
      </w:r>
      <w:r w:rsidR="00EA1FC0" w:rsidRPr="00CC6CA3">
        <w:t>re</w:t>
      </w:r>
      <w:r w:rsidRPr="00CC6CA3">
        <w:t>search for effective and adequate maintenance strategies capable of coping with the increasing complexity and sophistication of modern industrial systems. In this chapter, the evolution of maintenance strategies practised over the years in petrochemical process control, and the health indicators used for each maintenance strategy are reviewed. On this basis, an intelligent cost-saving maintenance strategy, namely condition-based risk assessment, is introduced, with its key processes (probability of fault, condition-based fault detection, and calculation of the likely consequence of a fault) described in detail. This chapter provides a theoretical underpinning for subsequent chapters</w:t>
      </w:r>
      <w:r w:rsidR="00BA584B" w:rsidRPr="00CC6CA3">
        <w:rPr>
          <w:i/>
        </w:rPr>
        <w:t>.</w:t>
      </w:r>
    </w:p>
    <w:p w14:paraId="416EFBC5" w14:textId="77777777" w:rsidR="00E2359E" w:rsidRPr="00CC6CA3" w:rsidRDefault="00E2359E">
      <w:pPr>
        <w:spacing w:line="259" w:lineRule="auto"/>
        <w:jc w:val="left"/>
        <w:rPr>
          <w:rFonts w:eastAsiaTheme="majorEastAsia" w:cstheme="majorBidi"/>
          <w:b/>
          <w:spacing w:val="-10"/>
          <w:kern w:val="28"/>
          <w:sz w:val="44"/>
          <w:szCs w:val="44"/>
          <w:u w:val="thick"/>
        </w:rPr>
      </w:pPr>
      <w:r w:rsidRPr="00CC6CA3">
        <w:rPr>
          <w:sz w:val="44"/>
          <w:szCs w:val="44"/>
          <w:u w:val="thick"/>
        </w:rPr>
        <w:br w:type="page"/>
      </w:r>
    </w:p>
    <w:p w14:paraId="07CE9890" w14:textId="77777777" w:rsidR="00E2359E" w:rsidRPr="00CC6CA3" w:rsidRDefault="00E2359E" w:rsidP="00E2359E">
      <w:pPr>
        <w:pStyle w:val="Heading2"/>
      </w:pPr>
      <w:bookmarkStart w:id="83" w:name="_Toc81553247"/>
      <w:r w:rsidRPr="00CC6CA3">
        <w:lastRenderedPageBreak/>
        <w:t>Introduction</w:t>
      </w:r>
      <w:bookmarkEnd w:id="83"/>
    </w:p>
    <w:p w14:paraId="1BBF6F88" w14:textId="66BF7296" w:rsidR="00E2359E" w:rsidRPr="00CC6CA3" w:rsidRDefault="00715F6C" w:rsidP="00E2359E">
      <w:pPr>
        <w:rPr>
          <w:lang w:val="en-US"/>
        </w:rPr>
      </w:pPr>
      <w:r w:rsidRPr="00CC6CA3">
        <w:t>The goal of ma</w:t>
      </w:r>
      <w:r w:rsidR="002424D0" w:rsidRPr="00CC6CA3">
        <w:t xml:space="preserve">intenance </w:t>
      </w:r>
      <w:r w:rsidRPr="00CC6CA3">
        <w:t xml:space="preserve">is </w:t>
      </w:r>
      <w:r w:rsidR="002424D0" w:rsidRPr="00CC6CA3">
        <w:t xml:space="preserve">to minimise or avoid the negative effects caused by </w:t>
      </w:r>
      <w:r w:rsidR="00A4006A" w:rsidRPr="00CC6CA3">
        <w:t>a</w:t>
      </w:r>
      <w:r w:rsidR="002424D0" w:rsidRPr="00CC6CA3">
        <w:t xml:space="preserve"> machine'</w:t>
      </w:r>
      <w:r w:rsidR="00A4006A" w:rsidRPr="00CC6CA3">
        <w:rPr>
          <w:rFonts w:hint="eastAsia"/>
        </w:rPr>
        <w:t>s</w:t>
      </w:r>
      <w:r w:rsidR="002424D0" w:rsidRPr="00CC6CA3">
        <w:t xml:space="preserve"> inevitable degradation over </w:t>
      </w:r>
      <w:r w:rsidR="00A4006A" w:rsidRPr="00CC6CA3">
        <w:t xml:space="preserve">its </w:t>
      </w:r>
      <w:r w:rsidR="002424D0" w:rsidRPr="00CC6CA3">
        <w:t xml:space="preserve">service life and keep </w:t>
      </w:r>
      <w:r w:rsidR="00A4006A" w:rsidRPr="00CC6CA3">
        <w:t xml:space="preserve">it </w:t>
      </w:r>
      <w:r w:rsidR="002424D0" w:rsidRPr="00CC6CA3">
        <w:t xml:space="preserve">as near normal working condition as possible. Lack of maintenance is a key reason leading to </w:t>
      </w:r>
      <w:r w:rsidR="00D2607C" w:rsidRPr="00CC6CA3">
        <w:t xml:space="preserve">economic losses </w:t>
      </w:r>
      <w:r w:rsidR="00D2607C" w:rsidRPr="00CC6CA3">
        <w:rPr>
          <w:noProof/>
        </w:rPr>
        <w:t xml:space="preserve">or </w:t>
      </w:r>
      <w:r w:rsidR="00D2607C" w:rsidRPr="00CC6CA3">
        <w:t>catastrophes</w:t>
      </w:r>
      <w:r w:rsidR="002424D0" w:rsidRPr="00CC6CA3">
        <w:t xml:space="preserve"> </w:t>
      </w:r>
      <w:r w:rsidR="00E2359E" w:rsidRPr="00CC6CA3">
        <w:fldChar w:fldCharType="begin"/>
      </w:r>
      <w:r w:rsidR="00854B0F" w:rsidRPr="00CC6CA3">
        <w:instrText xml:space="preserve"> ADDIN ZOTERO_ITEM CSL_CITATION {"citationID":"hxTgqklU","properties":{"formattedCitation":"[9]","plainCitation":"[9]","noteIndex":0},"citationItems":[{"id":831,"uris":["http://zotero.org/users/3051968/items/2TF7LTSW"],"uri":["http://zotero.org/users/3051968/items/2TF7LTSW"],"itemData":{"id":831,"type":"article-journal","container-title":"Computers &amp; chemical engineering","issue":"3","note":"publisher: Elsevier","page":"293–311","source":"Google Scholar","title":"A review of process fault detection and diagnosis: Part I: Quantitative model-based methods","title-short":"A review of process fault detection and diagnosis","volume":"27","author":[{"family":"Venkatasubramanian","given":"Venkat"},{"family":"Rengaswamy","given":"Raghunathan"},{"family":"Yin","given":"Kewen"},{"family":"Kavuri","given":"Surya N."}],"issued":{"date-parts":[["2003"]]}}}],"schema":"https://github.com/citation-style-language/schema/raw/master/csl-citation.json"} </w:instrText>
      </w:r>
      <w:r w:rsidR="00E2359E" w:rsidRPr="00CC6CA3">
        <w:fldChar w:fldCharType="separate"/>
      </w:r>
      <w:r w:rsidR="00854B0F" w:rsidRPr="00CC6CA3">
        <w:rPr>
          <w:rFonts w:cs="Times New Roman"/>
        </w:rPr>
        <w:t>[9]</w:t>
      </w:r>
      <w:r w:rsidR="00E2359E" w:rsidRPr="00CC6CA3">
        <w:fldChar w:fldCharType="end"/>
      </w:r>
      <w:r w:rsidR="00E2359E" w:rsidRPr="00CC6CA3">
        <w:t xml:space="preserve">. Therefore, an appropriate maintenance plan is essential for companies to minimise their expenses and maximise profit </w:t>
      </w:r>
      <w:r w:rsidR="00E2359E" w:rsidRPr="00CC6CA3">
        <w:fldChar w:fldCharType="begin"/>
      </w:r>
      <w:r w:rsidR="007D1BCC" w:rsidRPr="00CC6CA3">
        <w:instrText xml:space="preserve"> ADDIN ZOTERO_ITEM CSL_CITATION {"citationID":"a3qs5r2l8n","properties":{"formattedCitation":"[13]","plainCitation":"[13]","noteIndex":0},"citationItems":[{"id":"jMlmauCg/j1UDUQ2F","uris":["http://zotero.org/users/3051968/items/44TVM76S"],"uri":["http://zotero.org/users/3051968/items/44TVM76S"],"itemData":{"id":857,"type":"article-journal","title":"Optimal economic production quantity policy for randomly failing process with minimal repair, backorder and preventive maintenance","container-title":"International Journal of Systems Science","page":"1602-1612","volume":"44","issue":"9","source":"Taylor and Francis+NEJM","abstract":"This study examines the feasibility of using an economic production quantity (EPQ) model incorporating maintenance and production programs to model an imperfect process involving a deteriorating production system. In response to failure, defective parts were produced and minimal repairs performed to create an in-control state. The conditions are studied in the case of the EPQ model undergoing a backorder owing to rejection of defective parts after a failure. Following production run period, two types of periodic preventive maintenance (PM) exist: imperfect and perfect. The probability of perfect PM being performed depends on the number of imperfect PM performed since the last renewal cycle. For the EPQ model, the optimal run time for minimising the total cost is discussed. Various special cases are considered, including the PM learning effect. Finally, this investigation presents a numerical example to illustrate the effects of PM ability, repair cost and defect number on total costs and production period. This study finds that enhancing maintenance ability reduces production related costs. The product system can be produced more efficiently using a PM program.","DOI":"10.1080/00207721.2012.659702","ISSN":"0020-7721","author":[{"family":"Liao","given":"Gwo-Liang"}],"issued":{"date-parts":[["2013",9,1]]}}}],"schema":"https://github.com/citation-style-language/schema/raw/master/csl-citation.json"} </w:instrText>
      </w:r>
      <w:r w:rsidR="00E2359E" w:rsidRPr="00CC6CA3">
        <w:fldChar w:fldCharType="separate"/>
      </w:r>
      <w:r w:rsidR="00854B0F" w:rsidRPr="00CC6CA3">
        <w:rPr>
          <w:rFonts w:cs="Times New Roman"/>
        </w:rPr>
        <w:t>[13]</w:t>
      </w:r>
      <w:r w:rsidR="00E2359E" w:rsidRPr="00CC6CA3">
        <w:fldChar w:fldCharType="end"/>
      </w:r>
      <w:r w:rsidR="00E2359E" w:rsidRPr="00CC6CA3">
        <w:t>.</w:t>
      </w:r>
    </w:p>
    <w:p w14:paraId="62E15920" w14:textId="58A51A5B" w:rsidR="002B0E1F" w:rsidRPr="00CC6CA3" w:rsidRDefault="00E2359E" w:rsidP="00E2359E">
      <w:r w:rsidRPr="00CC6CA3">
        <w:t xml:space="preserve">There are many maintenance strategies being applied in the petrochemical sectors, including breakdown maintenance, </w:t>
      </w:r>
      <w:bookmarkStart w:id="84" w:name="_Hlk80052205"/>
      <w:r w:rsidR="00E05AAF" w:rsidRPr="00CC6CA3">
        <w:t>planned preventive</w:t>
      </w:r>
      <w:bookmarkEnd w:id="84"/>
      <w:r w:rsidRPr="00CC6CA3">
        <w:t xml:space="preserve"> maintenance (</w:t>
      </w:r>
      <w:r w:rsidR="00E05AAF" w:rsidRPr="00CC6CA3">
        <w:t>PPM</w:t>
      </w:r>
      <w:r w:rsidRPr="00CC6CA3">
        <w:t xml:space="preserve">), risk-based maintenance (RBM), condition-based maintenance (CBM) and other </w:t>
      </w:r>
      <w:r w:rsidR="00BF2EBC" w:rsidRPr="00CC6CA3">
        <w:t>intelligence-based maintenance</w:t>
      </w:r>
      <w:r w:rsidR="00715F6C" w:rsidRPr="00CC6CA3">
        <w:t xml:space="preserve"> methods</w:t>
      </w:r>
      <w:r w:rsidRPr="00CC6CA3">
        <w:t>.</w:t>
      </w:r>
      <w:r w:rsidR="00BF2EBC" w:rsidRPr="00CC6CA3">
        <w:t xml:space="preserve"> </w:t>
      </w:r>
      <w:r w:rsidRPr="00CC6CA3">
        <w:t xml:space="preserve">A </w:t>
      </w:r>
      <w:r w:rsidR="00BF2EBC" w:rsidRPr="00CC6CA3">
        <w:t xml:space="preserve">combination of RBM and CBM is one of the most promising areas, </w:t>
      </w:r>
      <w:r w:rsidR="00A4006A" w:rsidRPr="00CC6CA3">
        <w:t>which</w:t>
      </w:r>
      <w:r w:rsidR="00BF2EBC" w:rsidRPr="00CC6CA3">
        <w:t xml:space="preserve"> is called dynamic condition-based risk assessment</w:t>
      </w:r>
      <w:r w:rsidR="00A4006A" w:rsidRPr="00CC6CA3">
        <w:t>. It</w:t>
      </w:r>
      <w:r w:rsidR="00BF2EBC" w:rsidRPr="00CC6CA3">
        <w:t xml:space="preserve"> provides maintenance solutions based on real-time health monitoring of assets</w:t>
      </w:r>
      <w:r w:rsidRPr="00CC6CA3">
        <w:t>.</w:t>
      </w:r>
    </w:p>
    <w:p w14:paraId="508E4233" w14:textId="12A5B1DC" w:rsidR="00E2359E" w:rsidRPr="00CC6CA3" w:rsidRDefault="00BF2EBC" w:rsidP="00E2359E">
      <w:r w:rsidRPr="00CC6CA3">
        <w:t>This chapter focuses on providing a literature review of methodologies applied in these processes, highlighting the ones selected for this research project</w:t>
      </w:r>
      <w:r w:rsidR="00E2359E" w:rsidRPr="00CC6CA3">
        <w:t xml:space="preserve">. </w:t>
      </w:r>
    </w:p>
    <w:p w14:paraId="761AE476" w14:textId="77777777" w:rsidR="00E2359E" w:rsidRPr="00CC6CA3" w:rsidRDefault="00E2359E" w:rsidP="00E2359E">
      <w:pPr>
        <w:pStyle w:val="Heading2"/>
      </w:pPr>
      <w:bookmarkStart w:id="85" w:name="_Toc79956188"/>
      <w:bookmarkStart w:id="86" w:name="_Toc80053177"/>
      <w:bookmarkStart w:id="87" w:name="_Toc80147353"/>
      <w:bookmarkStart w:id="88" w:name="_Toc80304895"/>
      <w:bookmarkStart w:id="89" w:name="_Toc80396025"/>
      <w:bookmarkStart w:id="90" w:name="_Toc81542236"/>
      <w:bookmarkStart w:id="91" w:name="_Toc79956189"/>
      <w:bookmarkStart w:id="92" w:name="_Toc80053178"/>
      <w:bookmarkStart w:id="93" w:name="_Toc80147354"/>
      <w:bookmarkStart w:id="94" w:name="_Toc80304896"/>
      <w:bookmarkStart w:id="95" w:name="_Toc80396026"/>
      <w:bookmarkStart w:id="96" w:name="_Toc81542237"/>
      <w:bookmarkStart w:id="97" w:name="_Ref7794424"/>
      <w:bookmarkStart w:id="98" w:name="_Ref8554049"/>
      <w:bookmarkStart w:id="99" w:name="_Toc81553248"/>
      <w:bookmarkEnd w:id="85"/>
      <w:bookmarkEnd w:id="86"/>
      <w:bookmarkEnd w:id="87"/>
      <w:bookmarkEnd w:id="88"/>
      <w:bookmarkEnd w:id="89"/>
      <w:bookmarkEnd w:id="90"/>
      <w:bookmarkEnd w:id="91"/>
      <w:bookmarkEnd w:id="92"/>
      <w:bookmarkEnd w:id="93"/>
      <w:bookmarkEnd w:id="94"/>
      <w:bookmarkEnd w:id="95"/>
      <w:bookmarkEnd w:id="96"/>
      <w:r w:rsidRPr="00CC6CA3">
        <w:t>Evolution of industrial maintenance strateg</w:t>
      </w:r>
      <w:bookmarkEnd w:id="97"/>
      <w:r w:rsidRPr="00CC6CA3">
        <w:t>ies</w:t>
      </w:r>
      <w:bookmarkEnd w:id="98"/>
      <w:r w:rsidRPr="00CC6CA3">
        <w:t xml:space="preserve"> and their health indicators</w:t>
      </w:r>
      <w:bookmarkEnd w:id="99"/>
    </w:p>
    <w:p w14:paraId="00BB8133" w14:textId="6B210476" w:rsidR="00E2359E" w:rsidRPr="00CC6CA3" w:rsidRDefault="00BD4535" w:rsidP="00E2359E">
      <w:r w:rsidRPr="00CC6CA3">
        <w:t>S</w:t>
      </w:r>
      <w:r w:rsidR="00E47241" w:rsidRPr="00CC6CA3">
        <w:t xml:space="preserve">everal types of maintenance strategies are commonly applied in the petrochemical sectors, including breakdown maintenance, </w:t>
      </w:r>
      <w:r w:rsidR="000D5D62" w:rsidRPr="00CC6CA3">
        <w:t>PPM</w:t>
      </w:r>
      <w:r w:rsidR="00E47241" w:rsidRPr="00CC6CA3">
        <w:t>, RBM and CBM. This section provides a brief introduction of some common maintenance strategies and the health indicators that apply in each maintenance strategy</w:t>
      </w:r>
      <w:r w:rsidR="00E2359E" w:rsidRPr="00CC6CA3">
        <w:t>.</w:t>
      </w:r>
    </w:p>
    <w:p w14:paraId="34583E98" w14:textId="77777777" w:rsidR="00E2359E" w:rsidRPr="00CC6CA3" w:rsidRDefault="00E2359E" w:rsidP="00E2359E">
      <w:pPr>
        <w:pStyle w:val="Heading3"/>
      </w:pPr>
      <w:bookmarkStart w:id="100" w:name="_Toc81553249"/>
      <w:r w:rsidRPr="00CC6CA3">
        <w:t>Breakdown maintenance</w:t>
      </w:r>
      <w:bookmarkEnd w:id="100"/>
      <w:r w:rsidRPr="00CC6CA3">
        <w:t xml:space="preserve"> </w:t>
      </w:r>
    </w:p>
    <w:p w14:paraId="3866287C" w14:textId="433B3B6A" w:rsidR="00E2359E" w:rsidRPr="00CC6CA3" w:rsidRDefault="008B4DCC" w:rsidP="00E2359E">
      <w:r w:rsidRPr="00CC6CA3">
        <w:t>Breakdown maintenance is also known as run-to-failure maintenance, in which maintenance actions are conducted only when the machine or equipment is out of service</w:t>
      </w:r>
      <w:r w:rsidR="00E2359E" w:rsidRPr="00CC6CA3">
        <w:t xml:space="preserve"> </w:t>
      </w:r>
      <w:r w:rsidR="00E2359E" w:rsidRPr="00CC6CA3">
        <w:fldChar w:fldCharType="begin"/>
      </w:r>
      <w:r w:rsidR="00854B0F" w:rsidRPr="00CC6CA3">
        <w:instrText xml:space="preserve"> ADDIN ZOTERO_ITEM CSL_CITATION {"citationID":"RMEwIb0t","properties":{"formattedCitation":"[14]","plainCitation":"[14]","noteIndex":0},"citationItems":[{"id":4,"uris":["http://zotero.org/users/3051968/items/ESWKWJYN"],"uri":["http://zotero.org/users/3051968/items/ESWKWJYN"],"itemData":{"id":4,"type":"article-journal","container-title":"Mechanical Systems and Signal Processing","DOI":"10.1016/j.ymssp.2005.09.012","ISSN":"08883270","issue":"7","language":"en","page":"1483-1510","source":"CrossRef","title":"A review on machinery diagnostics and prognostics implementing condition-based maintenance","volume":"20","author":[{"family":"Jardine","given":"Andrew K.S."},{"family":"Lin","given":"Daming"},{"family":"Banjevic","given":"Dragan"}],"issued":{"date-parts":[["2006",10]]}}}],"schema":"https://github.com/citation-style-language/schema/raw/master/csl-citation.json"} </w:instrText>
      </w:r>
      <w:r w:rsidR="00E2359E" w:rsidRPr="00CC6CA3">
        <w:fldChar w:fldCharType="separate"/>
      </w:r>
      <w:r w:rsidR="00854B0F" w:rsidRPr="00CC6CA3">
        <w:rPr>
          <w:rFonts w:cs="Times New Roman"/>
        </w:rPr>
        <w:t>[14]</w:t>
      </w:r>
      <w:r w:rsidR="00E2359E" w:rsidRPr="00CC6CA3">
        <w:fldChar w:fldCharType="end"/>
      </w:r>
      <w:r w:rsidR="00E2359E" w:rsidRPr="00CC6CA3">
        <w:t xml:space="preserve">. </w:t>
      </w:r>
      <w:r w:rsidRPr="00CC6CA3">
        <w:t>It can only be applied when the failure of the machine doesn't result in critical damage, or when the cost of replacement is cheaper than that of maintenance</w:t>
      </w:r>
      <w:r w:rsidR="00E2359E" w:rsidRPr="00CC6CA3">
        <w:t xml:space="preserve">. In this strategy, no attention is paid to the machine's efficiency and maintenance, and therefore, no health indicator is required. </w:t>
      </w:r>
    </w:p>
    <w:p w14:paraId="422BE52A" w14:textId="79603A1E" w:rsidR="00E2359E" w:rsidRPr="00CC6CA3" w:rsidRDefault="000D5D62" w:rsidP="00E2359E">
      <w:pPr>
        <w:pStyle w:val="Heading3"/>
      </w:pPr>
      <w:bookmarkStart w:id="101" w:name="_Toc81553250"/>
      <w:r w:rsidRPr="00CC6CA3">
        <w:t xml:space="preserve">Planned preventive </w:t>
      </w:r>
      <w:r w:rsidR="00E2359E" w:rsidRPr="00CC6CA3">
        <w:t>maintenance</w:t>
      </w:r>
      <w:bookmarkEnd w:id="101"/>
    </w:p>
    <w:p w14:paraId="290362C3" w14:textId="722D4169" w:rsidR="00E2359E" w:rsidRPr="00CC6CA3" w:rsidRDefault="000D5D62" w:rsidP="00E2359E">
      <w:r w:rsidRPr="00CC6CA3">
        <w:t>PPM</w:t>
      </w:r>
      <w:r w:rsidR="00E2359E" w:rsidRPr="00CC6CA3">
        <w:t xml:space="preserve"> is also known as periodic maintenance, in which maintenance times or intervals are scheduled based on failure time analysis </w:t>
      </w:r>
      <w:r w:rsidR="00E2359E" w:rsidRPr="00CC6CA3">
        <w:fldChar w:fldCharType="begin"/>
      </w:r>
      <w:r w:rsidR="00854B0F" w:rsidRPr="00CC6CA3">
        <w:instrText xml:space="preserve"> ADDIN ZOTERO_ITEM CSL_CITATION {"citationID":"s9mAgvxP","properties":{"formattedCitation":"[15]","plainCitation":"[15]","noteIndex":0},"citationItems":[{"id":1057,"uris":["http://zotero.org/users/3051968/items/59PTPPS2"],"uri":["http://zotero.org/users/3051968/items/59PTPPS2"],"itemData":{"id":1057,"type":"article-journal","container-title":"Computers &amp; industrial engineering","issue":"1","note":"publisher: Elsevier","page":"135–149","source":"Google Scholar","title":"An overview of time-based and condition-based maintenance in industrial application","volume":"63","author":[{"family":"Ahmad","given":"Rosmaini"},{"family":"Kamaruddin","given":"Shahrul"}],"issued":{"date-parts":[["2012"]]}}}],"schema":"https://github.com/citation-style-language/schema/raw/master/csl-citation.json"} </w:instrText>
      </w:r>
      <w:r w:rsidR="00E2359E" w:rsidRPr="00CC6CA3">
        <w:fldChar w:fldCharType="separate"/>
      </w:r>
      <w:r w:rsidR="00854B0F" w:rsidRPr="00CC6CA3">
        <w:rPr>
          <w:rFonts w:cs="Times New Roman"/>
        </w:rPr>
        <w:t>[15]</w:t>
      </w:r>
      <w:r w:rsidR="00E2359E" w:rsidRPr="00CC6CA3">
        <w:fldChar w:fldCharType="end"/>
      </w:r>
      <w:r w:rsidR="00E2359E" w:rsidRPr="00CC6CA3">
        <w:t xml:space="preserve">. </w:t>
      </w:r>
      <w:r w:rsidRPr="00CC6CA3">
        <w:t>PPM</w:t>
      </w:r>
      <w:r w:rsidR="00E2359E" w:rsidRPr="00CC6CA3">
        <w:t xml:space="preserve"> assumes that the failure behaviour can be predicted by the bathtub curve (see </w:t>
      </w:r>
      <w:r w:rsidR="00E2359E" w:rsidRPr="00CC6CA3">
        <w:fldChar w:fldCharType="begin"/>
      </w:r>
      <w:r w:rsidR="00E2359E" w:rsidRPr="00CC6CA3">
        <w:instrText xml:space="preserve"> REF _Ref58964599 \h </w:instrText>
      </w:r>
      <w:r w:rsidR="00E2359E"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1</w:t>
      </w:r>
      <w:r w:rsidR="00E2359E" w:rsidRPr="00CC6CA3">
        <w:fldChar w:fldCharType="end"/>
      </w:r>
      <w:r w:rsidR="00E2359E" w:rsidRPr="00CC6CA3">
        <w:t>), which comprises three phases: the burn-</w:t>
      </w:r>
      <w:r w:rsidR="00E2359E" w:rsidRPr="00CC6CA3">
        <w:lastRenderedPageBreak/>
        <w:t xml:space="preserve">in, useful life, and the wear-out phase. As can be seen in </w:t>
      </w:r>
      <w:r w:rsidR="00E2359E" w:rsidRPr="00CC6CA3">
        <w:fldChar w:fldCharType="begin"/>
      </w:r>
      <w:r w:rsidR="00E2359E" w:rsidRPr="00CC6CA3">
        <w:instrText xml:space="preserve"> REF _Ref58964599 \h </w:instrText>
      </w:r>
      <w:r w:rsidR="00E2359E"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1</w:t>
      </w:r>
      <w:r w:rsidR="00E2359E" w:rsidRPr="00CC6CA3">
        <w:fldChar w:fldCharType="end"/>
      </w:r>
      <w:r w:rsidR="009C2898" w:rsidRPr="00CC6CA3">
        <w:t>,</w:t>
      </w:r>
      <w:r w:rsidR="00E2359E" w:rsidRPr="00CC6CA3">
        <w:t xml:space="preserve"> </w:t>
      </w:r>
      <w:r w:rsidR="009C2898" w:rsidRPr="00CC6CA3">
        <w:t xml:space="preserve">the failure rate decreases in the burn-in phase, stays </w:t>
      </w:r>
      <w:proofErr w:type="gramStart"/>
      <w:r w:rsidR="009C2898" w:rsidRPr="00CC6CA3">
        <w:t>more or less constant</w:t>
      </w:r>
      <w:proofErr w:type="gramEnd"/>
      <w:r w:rsidR="009C2898" w:rsidRPr="00CC6CA3">
        <w:t xml:space="preserve"> in the useful life phase</w:t>
      </w:r>
      <w:r w:rsidR="00E2359E" w:rsidRPr="00CC6CA3">
        <w:t xml:space="preserve">, and increases in the wear-out stage. </w:t>
      </w:r>
    </w:p>
    <w:p w14:paraId="26B3411A" w14:textId="77777777" w:rsidR="00F402C7" w:rsidRPr="00CC6CA3" w:rsidRDefault="00E2359E">
      <w:pPr>
        <w:keepNext/>
        <w:jc w:val="center"/>
      </w:pPr>
      <w:r w:rsidRPr="00CC6CA3">
        <w:object w:dxaOrig="11724" w:dyaOrig="5977" w14:anchorId="7193D9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pt;height:168pt" o:ole="">
            <v:imagedata r:id="rId18" o:title=""/>
          </v:shape>
          <o:OLEObject Type="Embed" ProgID="Visio.Drawing.15" ShapeID="_x0000_i1025" DrawAspect="Content" ObjectID="_1692500304" r:id="rId19"/>
        </w:object>
      </w:r>
    </w:p>
    <w:p w14:paraId="06268307" w14:textId="4B923399" w:rsidR="00E2359E" w:rsidRPr="00CC6CA3" w:rsidRDefault="00E2359E" w:rsidP="00E2359E">
      <w:pPr>
        <w:pStyle w:val="Caption"/>
        <w:jc w:val="center"/>
      </w:pPr>
      <w:bookmarkStart w:id="102" w:name="_Ref58964599"/>
      <w:bookmarkStart w:id="103" w:name="_Toc8155333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w:t>
      </w:r>
      <w:r w:rsidR="00D62691" w:rsidRPr="00CC6CA3">
        <w:rPr>
          <w:noProof/>
        </w:rPr>
        <w:fldChar w:fldCharType="end"/>
      </w:r>
      <w:bookmarkEnd w:id="102"/>
      <w:r w:rsidRPr="00CC6CA3">
        <w:t xml:space="preserve"> The bathtub curve </w:t>
      </w:r>
      <w:r w:rsidRPr="00CC6CA3">
        <w:fldChar w:fldCharType="begin"/>
      </w:r>
      <w:r w:rsidR="00854B0F" w:rsidRPr="00CC6CA3">
        <w:instrText xml:space="preserve"> ADDIN ZOTERO_ITEM CSL_CITATION {"citationID":"IvOno089","properties":{"formattedCitation":"[15]","plainCitation":"[15]","noteIndex":0},"citationItems":[{"id":1057,"uris":["http://zotero.org/users/3051968/items/59PTPPS2"],"uri":["http://zotero.org/users/3051968/items/59PTPPS2"],"itemData":{"id":1057,"type":"article-journal","container-title":"Computers &amp; industrial engineering","issue":"1","note":"publisher: Elsevier","page":"135–149","source":"Google Scholar","title":"An overview of time-based and condition-based maintenance in industrial application","volume":"63","author":[{"family":"Ahmad","given":"Rosmaini"},{"family":"Kamaruddin","given":"Shahrul"}],"issued":{"date-parts":[["2012"]]}}}],"schema":"https://github.com/citation-style-language/schema/raw/master/csl-citation.json"} </w:instrText>
      </w:r>
      <w:r w:rsidRPr="00CC6CA3">
        <w:fldChar w:fldCharType="separate"/>
      </w:r>
      <w:r w:rsidR="00854B0F" w:rsidRPr="00CC6CA3">
        <w:rPr>
          <w:rFonts w:cs="Times New Roman"/>
        </w:rPr>
        <w:t>[15]</w:t>
      </w:r>
      <w:bookmarkEnd w:id="103"/>
      <w:r w:rsidRPr="00CC6CA3">
        <w:fldChar w:fldCharType="end"/>
      </w:r>
    </w:p>
    <w:p w14:paraId="2150E93A" w14:textId="063A13CF" w:rsidR="00AC74BC" w:rsidRPr="00CC6CA3" w:rsidRDefault="00902326" w:rsidP="002A57D9">
      <w:r w:rsidRPr="00CC6CA3">
        <w:t>The burn-in period can cause "dead-on-arrival" products, and consequently, undermine customer confidence</w:t>
      </w:r>
      <w:r w:rsidR="00A4006A" w:rsidRPr="00CC6CA3">
        <w:t xml:space="preserve"> in the </w:t>
      </w:r>
      <w:r w:rsidR="00376AD0" w:rsidRPr="00CC6CA3">
        <w:t>product</w:t>
      </w:r>
      <w:r w:rsidRPr="00CC6CA3">
        <w:t>. Hence, it is unacceptable for both customers and manufacturers. The failure rate at this stage are high, due to design errors, manufacturing defects, assembly mistakes, installation problems and commissioning errors</w:t>
      </w:r>
      <w:r w:rsidR="00AC74BC" w:rsidRPr="00CC6CA3">
        <w:t xml:space="preserve"> </w:t>
      </w:r>
      <w:r w:rsidR="00AC74BC" w:rsidRPr="00CC6CA3">
        <w:fldChar w:fldCharType="begin"/>
      </w:r>
      <w:r w:rsidR="007D1BCC" w:rsidRPr="00CC6CA3">
        <w:instrText xml:space="preserve"> ADDIN ZOTERO_ITEM CSL_CITATION {"citationID":"Hz2KsObf","properties":{"formattedCitation":"[11]","plainCitation":"[11]","noteIndex":0},"citationItems":[{"id":"jMlmauCg/7tDFYACf","uris":["http://zotero.org/users/1213095/items/BMFRC9QJ"],"uri":["http://zotero.org/users/1213095/items/BMFRC9QJ"],"itemData":{"id":319,"type":"book","title":"Vibration Monitoring, Testing, and Instrumentation","publisher":"Taylor &amp; Francis Group, LLC","source":"www.crcpress.com","abstract":"Controlling a system's vibrational behavior, whether for reducing harmful vibrations or for enhancing useful types, is critical to ensure safe and economical o…","URL":"http://www.crcpress.com/product/isbn/9781420053197","note":"01","author":[{"family":"Clarence W. de Silva","given":""}],"issued":{"date-parts":[["2007"]]},"accessed":{"date-parts":[["2013",8,4]]}}}],"schema":"https://github.com/citation-style-language/schema/raw/master/csl-citation.json"} </w:instrText>
      </w:r>
      <w:r w:rsidR="00AC74BC" w:rsidRPr="00CC6CA3">
        <w:fldChar w:fldCharType="separate"/>
      </w:r>
      <w:r w:rsidR="007D1BCC" w:rsidRPr="00CC6CA3">
        <w:t>[11]</w:t>
      </w:r>
      <w:r w:rsidR="00AC74BC" w:rsidRPr="00CC6CA3">
        <w:fldChar w:fldCharType="end"/>
      </w:r>
      <w:r w:rsidR="00AC74BC" w:rsidRPr="00CC6CA3">
        <w:t xml:space="preserve">. </w:t>
      </w:r>
      <w:r w:rsidRPr="00CC6CA3">
        <w:t xml:space="preserve">In practice, manufacturers usually perform various of tests before </w:t>
      </w:r>
      <w:r w:rsidR="00F8248A" w:rsidRPr="00CC6CA3">
        <w:t>sending</w:t>
      </w:r>
      <w:r w:rsidRPr="00CC6CA3">
        <w:t xml:space="preserve"> the product to the customers and </w:t>
      </w:r>
      <w:r w:rsidR="00F8248A" w:rsidRPr="00CC6CA3">
        <w:t xml:space="preserve">hence </w:t>
      </w:r>
      <w:r w:rsidRPr="00CC6CA3">
        <w:t>early</w:t>
      </w:r>
      <w:r w:rsidR="00376AD0" w:rsidRPr="00CC6CA3">
        <w:t>-</w:t>
      </w:r>
      <w:r w:rsidRPr="00CC6CA3">
        <w:t xml:space="preserve">stage defective products have </w:t>
      </w:r>
      <w:r w:rsidR="00F8248A" w:rsidRPr="00CC6CA3">
        <w:t xml:space="preserve">effectively </w:t>
      </w:r>
      <w:r w:rsidRPr="00CC6CA3">
        <w:t>been found in the factory</w:t>
      </w:r>
      <w:r w:rsidR="00AC74BC" w:rsidRPr="00CC6CA3">
        <w:t>.</w:t>
      </w:r>
    </w:p>
    <w:p w14:paraId="0E7D645D" w14:textId="2FE99B0B" w:rsidR="00E2359E" w:rsidRPr="00CC6CA3" w:rsidRDefault="00E2359E" w:rsidP="00E2359E">
      <w:pPr>
        <w:pStyle w:val="Heading4"/>
      </w:pPr>
      <w:r w:rsidRPr="00CC6CA3">
        <w:t xml:space="preserve">The typical </w:t>
      </w:r>
      <w:r w:rsidR="00AC74BC" w:rsidRPr="00CC6CA3">
        <w:t xml:space="preserve">planned preventive </w:t>
      </w:r>
      <w:r w:rsidRPr="00CC6CA3">
        <w:t>maintenance</w:t>
      </w:r>
      <w:r w:rsidR="001E7CD0" w:rsidRPr="00CC6CA3">
        <w:t xml:space="preserve"> process</w:t>
      </w:r>
    </w:p>
    <w:p w14:paraId="7B7FEC75" w14:textId="1517240B" w:rsidR="00E2359E" w:rsidRPr="00CC6CA3" w:rsidRDefault="00E2359E" w:rsidP="00E2359E">
      <w:r w:rsidRPr="00CC6CA3">
        <w:t xml:space="preserve">The typical process of </w:t>
      </w:r>
      <w:r w:rsidR="000D5D62" w:rsidRPr="00CC6CA3">
        <w:t>PPM</w:t>
      </w:r>
      <w:r w:rsidRPr="00CC6CA3">
        <w:t xml:space="preserve"> is shown in </w:t>
      </w:r>
      <w:r w:rsidRPr="00CC6CA3">
        <w:fldChar w:fldCharType="begin"/>
      </w:r>
      <w:r w:rsidRPr="00CC6CA3">
        <w:instrText xml:space="preserve"> REF _Ref59655320 \h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2</w:t>
      </w:r>
      <w:r w:rsidRPr="00CC6CA3">
        <w:fldChar w:fldCharType="end"/>
      </w:r>
      <w:r w:rsidRPr="00CC6CA3">
        <w:t xml:space="preserve">. As shown in the figure, the first step of </w:t>
      </w:r>
      <w:r w:rsidR="000D5D62" w:rsidRPr="00CC6CA3">
        <w:t>PPM</w:t>
      </w:r>
      <w:r w:rsidRPr="00CC6CA3">
        <w:t xml:space="preserve"> is failure data analysis/modelling using distribution models. The purpose of this step is to calculate the failure characteristics of the equipment using a statistical method based on near </w:t>
      </w:r>
      <w:r w:rsidR="00486DC8" w:rsidRPr="00CC6CA3">
        <w:t xml:space="preserve">misses </w:t>
      </w:r>
      <w:r w:rsidRPr="00CC6CA3">
        <w:t xml:space="preserve">and incident data. Then, the failure rate can be obtained according to the selected distribution model. Maintenance is scheduled when the equipment is in the wear-out stage. </w:t>
      </w:r>
    </w:p>
    <w:p w14:paraId="759F4DA8" w14:textId="02B45F40" w:rsidR="00E2359E" w:rsidRPr="00CC6CA3" w:rsidRDefault="00E2359E" w:rsidP="00E2359E">
      <w:pPr>
        <w:keepNext/>
        <w:jc w:val="center"/>
      </w:pPr>
      <w:r w:rsidRPr="00CC6CA3">
        <w:object w:dxaOrig="9217" w:dyaOrig="8641" w14:anchorId="5011B98D">
          <v:shape id="_x0000_i1026" type="#_x0000_t75" style="width:264pt;height:246pt" o:ole="">
            <v:imagedata r:id="rId20" o:title=""/>
          </v:shape>
          <o:OLEObject Type="Embed" ProgID="Visio.Drawing.15" ShapeID="_x0000_i1026" DrawAspect="Content" ObjectID="_1692500305" r:id="rId21"/>
        </w:object>
      </w:r>
    </w:p>
    <w:p w14:paraId="7B732615" w14:textId="0D940071" w:rsidR="00E2359E" w:rsidRPr="00CC6CA3" w:rsidRDefault="00E2359E" w:rsidP="00E2359E">
      <w:pPr>
        <w:pStyle w:val="Caption"/>
        <w:jc w:val="center"/>
      </w:pPr>
      <w:bookmarkStart w:id="104" w:name="_Ref59655320"/>
      <w:bookmarkStart w:id="105" w:name="_Toc8155333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w:t>
      </w:r>
      <w:r w:rsidR="00D62691" w:rsidRPr="00CC6CA3">
        <w:rPr>
          <w:noProof/>
        </w:rPr>
        <w:fldChar w:fldCharType="end"/>
      </w:r>
      <w:bookmarkEnd w:id="104"/>
      <w:r w:rsidRPr="00CC6CA3">
        <w:t xml:space="preserve"> Process of </w:t>
      </w:r>
      <w:r w:rsidR="000D5D62" w:rsidRPr="00CC6CA3">
        <w:t>PPM</w:t>
      </w:r>
      <w:r w:rsidRPr="00CC6CA3">
        <w:t xml:space="preserve"> </w:t>
      </w:r>
      <w:r w:rsidRPr="00CC6CA3">
        <w:fldChar w:fldCharType="begin"/>
      </w:r>
      <w:r w:rsidR="00854B0F" w:rsidRPr="00CC6CA3">
        <w:instrText xml:space="preserve"> ADDIN ZOTERO_ITEM CSL_CITATION {"citationID":"BQrz5uuQ","properties":{"formattedCitation":"[15]","plainCitation":"[15]","noteIndex":0},"citationItems":[{"id":1057,"uris":["http://zotero.org/users/3051968/items/59PTPPS2"],"uri":["http://zotero.org/users/3051968/items/59PTPPS2"],"itemData":{"id":1057,"type":"article-journal","container-title":"Computers &amp; industrial engineering","issue":"1","note":"publisher: Elsevier","page":"135–149","source":"Google Scholar","title":"An overview of time-based and condition-based maintenance in industrial application","volume":"63","author":[{"family":"Ahmad","given":"Rosmaini"},{"family":"Kamaruddin","given":"Shahrul"}],"issued":{"date-parts":[["2012"]]}}}],"schema":"https://github.com/citation-style-language/schema/raw/master/csl-citation.json"} </w:instrText>
      </w:r>
      <w:r w:rsidRPr="00CC6CA3">
        <w:fldChar w:fldCharType="separate"/>
      </w:r>
      <w:r w:rsidR="00854B0F" w:rsidRPr="00CC6CA3">
        <w:rPr>
          <w:rFonts w:cs="Times New Roman"/>
        </w:rPr>
        <w:t>[15]</w:t>
      </w:r>
      <w:bookmarkEnd w:id="105"/>
      <w:r w:rsidRPr="00CC6CA3">
        <w:fldChar w:fldCharType="end"/>
      </w:r>
    </w:p>
    <w:p w14:paraId="0B88DDCE" w14:textId="7F99A6E7" w:rsidR="00E2359E" w:rsidRPr="00CC6CA3" w:rsidRDefault="00E2359E" w:rsidP="00E2359E">
      <w:pPr>
        <w:pStyle w:val="Heading4"/>
      </w:pPr>
      <w:r w:rsidRPr="00CC6CA3">
        <w:t xml:space="preserve">Health indicator of </w:t>
      </w:r>
      <w:r w:rsidR="00CB43B5" w:rsidRPr="00CC6CA3">
        <w:t xml:space="preserve">planned preventive </w:t>
      </w:r>
      <w:r w:rsidRPr="00CC6CA3">
        <w:t>maintenance</w:t>
      </w:r>
    </w:p>
    <w:p w14:paraId="47DFAB28" w14:textId="22493C69" w:rsidR="00E2359E" w:rsidRPr="00CC6CA3" w:rsidRDefault="00E2359E" w:rsidP="00E2359E">
      <w:bookmarkStart w:id="106" w:name="_Hlk80133859"/>
      <w:r w:rsidRPr="00CC6CA3">
        <w:t xml:space="preserve">The health indicator is closely related to the </w:t>
      </w:r>
      <w:r w:rsidR="00946C67" w:rsidRPr="00CC6CA3">
        <w:t>maintenance decision-making process</w:t>
      </w:r>
      <w:r w:rsidRPr="00CC6CA3">
        <w:t xml:space="preserve">. </w:t>
      </w:r>
      <w:r w:rsidR="00B7068F" w:rsidRPr="00CC6CA3">
        <w:t>T</w:t>
      </w:r>
      <w:r w:rsidR="00946C67" w:rsidRPr="00CC6CA3">
        <w:t xml:space="preserve">he maintenance decision made by </w:t>
      </w:r>
      <w:r w:rsidR="00B41EA1" w:rsidRPr="00CC6CA3">
        <w:t>PPM</w:t>
      </w:r>
      <w:r w:rsidR="00946C67" w:rsidRPr="00CC6CA3">
        <w:t xml:space="preserve"> is based on the calculated operation cost</w:t>
      </w:r>
      <w:r w:rsidR="00B7068F" w:rsidRPr="00CC6CA3">
        <w:t xml:space="preserve"> </w:t>
      </w:r>
      <w:r w:rsidR="00B7068F" w:rsidRPr="00CC6CA3">
        <w:fldChar w:fldCharType="begin"/>
      </w:r>
      <w:r w:rsidR="00B7068F" w:rsidRPr="00CC6CA3">
        <w:instrText xml:space="preserve"> ADDIN ZOTERO_ITEM CSL_CITATION {"citationID":"2MV5Jpuh","properties":{"formattedCitation":"[15]","plainCitation":"[15]","noteIndex":0},"citationItems":[{"id":1057,"uris":["http://zotero.org/users/3051968/items/59PTPPS2"],"uri":["http://zotero.org/users/3051968/items/59PTPPS2"],"itemData":{"id":1057,"type":"article-journal","container-title":"Computers &amp; industrial engineering","issue":"1","note":"publisher: Elsevier","page":"135–149","source":"Google Scholar","title":"An overview of time-based and condition-based maintenance in industrial application","volume":"63","author":[{"family":"Ahmad","given":"Rosmaini"},{"family":"Kamaruddin","given":"Shahrul"}],"issued":{"date-parts":[["2012"]]}}}],"schema":"https://github.com/citation-style-language/schema/raw/master/csl-citation.json"} </w:instrText>
      </w:r>
      <w:r w:rsidR="00B7068F" w:rsidRPr="00CC6CA3">
        <w:fldChar w:fldCharType="separate"/>
      </w:r>
      <w:r w:rsidR="00B7068F" w:rsidRPr="00CC6CA3">
        <w:t>[15]</w:t>
      </w:r>
      <w:r w:rsidR="00B7068F" w:rsidRPr="00CC6CA3">
        <w:fldChar w:fldCharType="end"/>
      </w:r>
      <w:r w:rsidRPr="00CC6CA3">
        <w:t xml:space="preserve">. </w:t>
      </w:r>
      <w:r w:rsidR="00F81CF3" w:rsidRPr="00CC6CA3">
        <w:t xml:space="preserve">According to Ahmad and Kamaruddin </w:t>
      </w:r>
      <w:r w:rsidR="00F81CF3" w:rsidRPr="00CC6CA3">
        <w:fldChar w:fldCharType="begin"/>
      </w:r>
      <w:r w:rsidR="007D1BCC" w:rsidRPr="00CC6CA3">
        <w:instrText xml:space="preserve"> ADDIN ZOTERO_ITEM CSL_CITATION {"citationID":"M3qc24Zm","properties":{"formattedCitation":"[15]","plainCitation":"[15]","noteIndex":0},"citationItems":[{"id":1057,"uris":["http://zotero.org/users/3051968/items/59PTPPS2"],"uri":["http://zotero.org/users/3051968/items/59PTPPS2"],"itemData":{"id":1057,"type":"article-journal","container-title":"Computers &amp; industrial engineering","issue":"1","note":"publisher: Elsevier","page":"135–149","source":"Google Scholar","title":"An overview of time-based and condition-based maintenance in industrial application","volume":"63","author":[{"family":"Ahmad","given":"Rosmaini"},{"family":"Kamaruddin","given":"Shahrul"}],"issued":{"date-parts":[["2012"]]}}}],"schema":"https://github.com/citation-style-language/schema/raw/master/csl-citation.json"} </w:instrText>
      </w:r>
      <w:r w:rsidR="00F81CF3" w:rsidRPr="00CC6CA3">
        <w:fldChar w:fldCharType="separate"/>
      </w:r>
      <w:r w:rsidR="00F81CF3" w:rsidRPr="00CC6CA3">
        <w:t>[15]</w:t>
      </w:r>
      <w:r w:rsidR="00F81CF3" w:rsidRPr="00CC6CA3">
        <w:fldChar w:fldCharType="end"/>
      </w:r>
      <w:r w:rsidR="00F81CF3" w:rsidRPr="00CC6CA3">
        <w:t>, operation cost is mainly composed of the failure cost and preventive maintenance cost. The calculation methods of the operation cost</w:t>
      </w:r>
      <w:r w:rsidR="00CB43B5" w:rsidRPr="00CC6CA3">
        <w:t xml:space="preserve"> are</w:t>
      </w:r>
      <w:r w:rsidR="00F81CF3" w:rsidRPr="00CC6CA3">
        <w:t xml:space="preserve"> different for different maintenance </w:t>
      </w:r>
      <w:r w:rsidR="000B5CE9" w:rsidRPr="00CC6CA3">
        <w:t>strategies</w:t>
      </w:r>
      <w:r w:rsidR="00B05B5C" w:rsidRPr="00CC6CA3">
        <w:t>, which can either be repairable or non-repairable</w:t>
      </w:r>
      <w:r w:rsidR="00F81CF3" w:rsidRPr="00CC6CA3">
        <w:t xml:space="preserve">. </w:t>
      </w:r>
      <w:r w:rsidR="00CB43B5" w:rsidRPr="00CC6CA3">
        <w:t xml:space="preserve">Barlow and Hunter </w:t>
      </w:r>
      <w:r w:rsidR="00CB43B5" w:rsidRPr="00CC6CA3">
        <w:fldChar w:fldCharType="begin"/>
      </w:r>
      <w:r w:rsidR="00CB43B5" w:rsidRPr="00CC6CA3">
        <w:instrText xml:space="preserve"> ADDIN ZOTERO_ITEM CSL_CITATION {"citationID":"epbOcDmI","properties":{"formattedCitation":"[16]","plainCitation":"[16]","noteIndex":0},"citationItems":[{"id":1062,"uris":["http://zotero.org/users/3051968/items/4EUU9WNC"],"uri":["http://zotero.org/users/3051968/items/4EUU9WNC"],"itemData":{"id":1062,"type":"article-journal","container-title":"Operations research","issue":"1","note":"publisher: Informs","page":"90–100","source":"Google Scholar","title":"Optimum preventive maintenance policies","volume":"8","author":[{"family":"Barlow","given":"Richard"},{"family":"Hunter","given":"Larry"}],"issued":{"date-parts":[["1960"]]}}}],"schema":"https://github.com/citation-style-language/schema/raw/master/csl-citation.json"} </w:instrText>
      </w:r>
      <w:r w:rsidR="00CB43B5" w:rsidRPr="00CC6CA3">
        <w:fldChar w:fldCharType="separate"/>
      </w:r>
      <w:r w:rsidR="00CB43B5" w:rsidRPr="00CC6CA3">
        <w:rPr>
          <w:rFonts w:cs="Times New Roman"/>
        </w:rPr>
        <w:t>[16]</w:t>
      </w:r>
      <w:r w:rsidR="00CB43B5" w:rsidRPr="00CC6CA3">
        <w:fldChar w:fldCharType="end"/>
      </w:r>
      <w:r w:rsidR="00CB43B5" w:rsidRPr="00CC6CA3">
        <w:t xml:space="preserve"> </w:t>
      </w:r>
      <w:r w:rsidR="005A40D9" w:rsidRPr="00CC6CA3">
        <w:t>proposed</w:t>
      </w:r>
      <w:r w:rsidR="00CB43B5" w:rsidRPr="00CC6CA3">
        <w:t xml:space="preserve"> </w:t>
      </w:r>
      <w:r w:rsidR="005A40D9" w:rsidRPr="00CC6CA3">
        <w:t xml:space="preserve">general mathematical models </w:t>
      </w:r>
      <w:r w:rsidR="00CB43B5" w:rsidRPr="00CC6CA3">
        <w:t xml:space="preserve">to calculate the operation cost for both repairable and non-repairable equipment. </w:t>
      </w:r>
      <w:bookmarkEnd w:id="106"/>
    </w:p>
    <w:p w14:paraId="6AB5F5B8" w14:textId="04A44567" w:rsidR="00E2359E" w:rsidRPr="00CC6CA3" w:rsidRDefault="00E2359E" w:rsidP="00E2359E">
      <w:pPr>
        <w:pStyle w:val="Heading3"/>
      </w:pPr>
      <w:bookmarkStart w:id="107" w:name="_Toc81553251"/>
      <w:r w:rsidRPr="00CC6CA3">
        <w:t>R</w:t>
      </w:r>
      <w:hyperlink r:id="rId22" w:history="1">
        <w:r w:rsidRPr="00CC6CA3">
          <w:t>isk-based inspection/maintenance</w:t>
        </w:r>
        <w:bookmarkEnd w:id="107"/>
      </w:hyperlink>
    </w:p>
    <w:p w14:paraId="61A08C07" w14:textId="4EE89511" w:rsidR="00E2359E" w:rsidRPr="00CC6CA3" w:rsidRDefault="00E2359E" w:rsidP="00E2359E">
      <w:r w:rsidRPr="00CC6CA3">
        <w:t xml:space="preserve">The main aim of risk-based inspection/maintenance (RBI/RBM) </w:t>
      </w:r>
      <w:r w:rsidR="005D3437" w:rsidRPr="00CC6CA3">
        <w:t xml:space="preserve">is to reduce the overall risk  which could result in unexpected consequences or even catastrophe </w:t>
      </w:r>
      <w:r w:rsidRPr="00CC6CA3">
        <w:fldChar w:fldCharType="begin"/>
      </w:r>
      <w:r w:rsidR="007D1BCC" w:rsidRPr="00CC6CA3">
        <w:instrText xml:space="preserve"> ADDIN ZOTERO_ITEM CSL_CITATION {"citationID":"t9wLag8h","properties":{"formattedCitation":"[17]","plainCitation":"[17]","noteIndex":0},"citationItems":[{"id":"jMlmauCg/D1PNQCSe","uris":["http://zotero.org/users/3051968/items/423US2G9"],"uri":["http://zotero.org/users/3051968/items/423US2G9"],"itemData":{"id":310,"type":"article-journal","container-title":"Journal of hazardous materials","issue":"3","page":"653–661","source":"Google Scholar","title":"Risk-based maintenance—Techniques and applications","volume":"142","author":[{"family":"Arunraj","given":"N. S."},{"family":"Maiti","given":"J."}],"issued":{"date-parts":[["2007"]]}}}],"schema":"https://github.com/citation-style-language/schema/raw/master/csl-citation.json"} </w:instrText>
      </w:r>
      <w:r w:rsidRPr="00CC6CA3">
        <w:fldChar w:fldCharType="separate"/>
      </w:r>
      <w:r w:rsidR="00854B0F" w:rsidRPr="00CC6CA3">
        <w:rPr>
          <w:rFonts w:cs="Times New Roman"/>
        </w:rPr>
        <w:t>[17]</w:t>
      </w:r>
      <w:r w:rsidRPr="00CC6CA3">
        <w:fldChar w:fldCharType="end"/>
      </w:r>
      <w:r w:rsidR="005D3437" w:rsidRPr="00CC6CA3">
        <w:t xml:space="preserve">. </w:t>
      </w:r>
      <w:r w:rsidRPr="00CC6CA3">
        <w:t>In recent years, RBI/RBM is becoming an increasingly popular asset management tool and is gaining acceptance by safety regulators in varied industry sectors</w:t>
      </w:r>
      <w:r w:rsidR="00CE3392" w:rsidRPr="00CC6CA3">
        <w:t>,</w:t>
      </w:r>
      <w:r w:rsidRPr="00CC6CA3">
        <w:t xml:space="preserve"> from petrochemical to the transport sector, because of its safety and commercial benefits. It can improve the overall safety of critical plant by optimally focussing inspection or maintenance activities on components identified as 'high risk'.</w:t>
      </w:r>
    </w:p>
    <w:p w14:paraId="6728CFDE" w14:textId="2BD9DF1D" w:rsidR="00E2359E" w:rsidRPr="00CC6CA3" w:rsidRDefault="004D7435" w:rsidP="00E2359E">
      <w:r w:rsidRPr="00CC6CA3">
        <w:t>The Welding Institute (</w:t>
      </w:r>
      <w:r w:rsidR="00E2359E" w:rsidRPr="00CC6CA3">
        <w:t>TWI</w:t>
      </w:r>
      <w:r w:rsidRPr="00CC6CA3">
        <w:t>)</w:t>
      </w:r>
      <w:r w:rsidR="00E2359E" w:rsidRPr="00CC6CA3">
        <w:t xml:space="preserve"> and Royal &amp; Sun Alliance Engineering </w:t>
      </w:r>
      <w:r w:rsidR="00E2359E" w:rsidRPr="00CC6CA3">
        <w:fldChar w:fldCharType="begin"/>
      </w:r>
      <w:r w:rsidR="00854B0F" w:rsidRPr="00CC6CA3">
        <w:instrText xml:space="preserve"> ADDIN ZOTERO_ITEM CSL_CITATION {"citationID":"ZuGI9PVm","properties":{"formattedCitation":"[18]","plainCitation":"[18]","noteIndex":0},"citationItems":[{"id":314,"uris":["http://zotero.org/users/3051968/items/SMHMYE2W"],"uri":["http://zotero.org/users/3051968/items/SMHMYE2W"],"itemData":{"id":314,"type":"book","event-place":"Sudbury","ISBN":"978-0-7176-2090-6","language":"en","note":"OCLC: 877261715","publisher":"HSE Books","publisher-place":"Sudbury","source":"Open WorldCat","title":"Best practice for risk based inspection as a part of plant integrity management","author":[{"family":"Wintle","given":"J. B"},{"literal":"Great Britain"},{"literal":"Health and Safety Commission"},{"literal":"Royal &amp; SunAlliance"}],"issued":{"date-parts":[["2001"]]}}}],"schema":"https://github.com/citation-style-language/schema/raw/master/csl-citation.json"} </w:instrText>
      </w:r>
      <w:r w:rsidR="00E2359E" w:rsidRPr="00CC6CA3">
        <w:fldChar w:fldCharType="separate"/>
      </w:r>
      <w:r w:rsidR="00854B0F" w:rsidRPr="00CC6CA3">
        <w:rPr>
          <w:rFonts w:cs="Times New Roman"/>
        </w:rPr>
        <w:t>[18]</w:t>
      </w:r>
      <w:r w:rsidR="00E2359E" w:rsidRPr="00CC6CA3">
        <w:fldChar w:fldCharType="end"/>
      </w:r>
      <w:r w:rsidR="00E2359E" w:rsidRPr="00CC6CA3">
        <w:t xml:space="preserve"> </w:t>
      </w:r>
      <w:r w:rsidRPr="00CC6CA3">
        <w:t xml:space="preserve">analysed the RBI/RBM framework for plants with pressure systems and storage tanks. There have been </w:t>
      </w:r>
      <w:r w:rsidRPr="00CC6CA3">
        <w:lastRenderedPageBreak/>
        <w:t xml:space="preserve">other studies </w:t>
      </w:r>
      <w:r w:rsidR="00E2359E" w:rsidRPr="00CC6CA3">
        <w:fldChar w:fldCharType="begin"/>
      </w:r>
      <w:r w:rsidR="00854B0F" w:rsidRPr="00CC6CA3">
        <w:instrText xml:space="preserve"> ADDIN ZOTERO_ITEM CSL_CITATION {"citationID":"B5AIG8fE","properties":{"formattedCitation":"[19]\\uc0\\u8211{}[23]","plainCitation":"[19]–[23]","noteIndex":0},"citationItems":[{"id":279,"uris":["http://zotero.org/users/3051968/items/XG4G3RHC"],"uri":["http://zotero.org/users/3051968/items/XG4G3RHC"],"itemData":{"id":279,"type":"article-journal","container-title":"Advances in Production Engineering &amp; Management","issue":"3","source":"Google Scholar","title":"RISK BASED OPTIMISATION OF SPARES INVENTORY MANAGEMENT.","volume":"6","author":[{"family":"Bharadwaj","given":"Ujjwal R."},{"family":"Silberschmidt","given":"Vadim V."},{"family":"Wintle","given":"John B."}],"issued":{"date-parts":[["2011"]]}}},{"id":278,"uris":["http://zotero.org/users/3051968/items/J85P6BV4"],"uri":["http://zotero.org/users/3051968/items/J85P6BV4"],"itemData":{"id":278,"type":"article-journal","container-title":"Journal of Quality in Maintenance Engineering","issue":"4","page":"417–431","source":"Google Scholar","title":"A risk based approach to asset integrity management","volume":"18","author":[{"family":"Bharadwaj","given":"Ujjwal R."},{"family":"Silberschmidt","given":"Vadim V."},{"family":"Wintle","given":"John B."}],"issued":{"date-parts":[["2012"]]}}},{"id":277,"uris":["http://zotero.org/users/3051968/items/G89LAXY2"],"uri":["http://zotero.org/users/3051968/items/G89LAXY2"],"itemData":{"id":277,"type":"article-journal","container-title":"Journal of Ship Production and Design","issue":"3","page":"111–117","source":"Google Scholar","title":"Risk-based optimization of inspection planning in ships","volume":"27","author":[{"family":"Bharadwaj","given":"Ujjwal"},{"family":"Wintle","given":"John"}],"issued":{"date-parts":[["2011"]]}}},{"id":276,"uris":["http://zotero.org/users/3051968/items/HV68FVM8"],"uri":["http://zotero.org/users/3051968/items/HV68FVM8"],"itemData":{"id":276,"type":"thesis","genre":"PhD Thesis","publisher":"\\copyright Ujjwal Ramakant Bharadwaj","source":"Google Scholar","title":"Risk based life management of offshore structures and equipment","author":[{"family":"Bharadwaj","given":"Ujjwal R."}],"issued":{"date-parts":[["2010"]]}}},{"id":298,"uris":["http://zotero.org/users/3051968/items/JMXV75GK"],"uri":["http://zotero.org/users/3051968/items/JMXV75GK"],"itemData":{"id":298,"type":"webpage","abstract":"If you are considering implementing a Risk Based Inspection (RBI) regime, then our guide to the pros and cons is a must-read.","language":"en-gb","title":"The Pros and Cons of Risk Based Inspection (RBI)","URL":"https://www.britishengineeringservices.co.uk/blog/the-pros-and-cons-of-risk-based-inspection-rbi","author":[{"family":"Brown","given":"Mike"}],"accessed":{"date-parts":[["2019",5,6]]},"issued":{"date-parts":[["2017",1,16]]}}}],"schema":"https://github.com/citation-style-language/schema/raw/master/csl-citation.json"} </w:instrText>
      </w:r>
      <w:r w:rsidR="00E2359E" w:rsidRPr="00CC6CA3">
        <w:fldChar w:fldCharType="separate"/>
      </w:r>
      <w:r w:rsidR="00854B0F" w:rsidRPr="00CC6CA3">
        <w:rPr>
          <w:rFonts w:cs="Times New Roman"/>
          <w:szCs w:val="24"/>
        </w:rPr>
        <w:t>[19]–[23]</w:t>
      </w:r>
      <w:r w:rsidR="00E2359E" w:rsidRPr="00CC6CA3">
        <w:fldChar w:fldCharType="end"/>
      </w:r>
      <w:r w:rsidRPr="00CC6CA3">
        <w:t xml:space="preserve"> showing how benefits can be gained by focussing a limited maintenance budget on high-risk components or justifying the budget required to operate within identified tolerable risk</w:t>
      </w:r>
      <w:r w:rsidR="00E2359E" w:rsidRPr="00CC6CA3">
        <w:t xml:space="preserve">. For example, guided by RBI, one major chemical company with over 350 items of plant and equipment implemented a more targeted inspection regime that also extended the outage frequency from 3 to 5 years. This resulted in a significant saving of 10 million Euro on their shutdown costs over a 15 year period </w:t>
      </w:r>
      <w:r w:rsidR="00E2359E" w:rsidRPr="00CC6CA3">
        <w:fldChar w:fldCharType="begin"/>
      </w:r>
      <w:r w:rsidR="00854B0F" w:rsidRPr="00CC6CA3">
        <w:instrText xml:space="preserve"> ADDIN ZOTERO_ITEM CSL_CITATION {"citationID":"fUA4aZKA","properties":{"formattedCitation":"[23]","plainCitation":"[23]","noteIndex":0},"citationItems":[{"id":298,"uris":["http://zotero.org/users/3051968/items/JMXV75GK"],"uri":["http://zotero.org/users/3051968/items/JMXV75GK"],"itemData":{"id":298,"type":"webpage","abstract":"If you are considering implementing a Risk Based Inspection (RBI) regime, then our guide to the pros and cons is a must-read.","language":"en-gb","title":"The Pros and Cons of Risk Based Inspection (RBI)","URL":"https://www.britishengineeringservices.co.uk/blog/the-pros-and-cons-of-risk-based-inspection-rbi","author":[{"family":"Brown","given":"Mike"}],"accessed":{"date-parts":[["2019",5,6]]},"issued":{"date-parts":[["2017",1,16]]}}}],"schema":"https://github.com/citation-style-language/schema/raw/master/csl-citation.json"} </w:instrText>
      </w:r>
      <w:r w:rsidR="00E2359E" w:rsidRPr="00CC6CA3">
        <w:fldChar w:fldCharType="separate"/>
      </w:r>
      <w:r w:rsidR="00854B0F" w:rsidRPr="00CC6CA3">
        <w:rPr>
          <w:rFonts w:cs="Times New Roman"/>
        </w:rPr>
        <w:t>[23]</w:t>
      </w:r>
      <w:r w:rsidR="00E2359E" w:rsidRPr="00CC6CA3">
        <w:fldChar w:fldCharType="end"/>
      </w:r>
      <w:r w:rsidR="00E2359E" w:rsidRPr="00CC6CA3">
        <w:t>.</w:t>
      </w:r>
    </w:p>
    <w:p w14:paraId="23BB63FF" w14:textId="70EF324A" w:rsidR="00E2359E" w:rsidRPr="00CC6CA3" w:rsidRDefault="00E2359E" w:rsidP="00E2359E">
      <w:r w:rsidRPr="00CC6CA3">
        <w:t xml:space="preserve">Despite </w:t>
      </w:r>
      <w:r w:rsidR="00983C08" w:rsidRPr="00CC6CA3">
        <w:t xml:space="preserve">the advantage of cost-saving, the implementation of RBM requires an interdisciplinary and highly skilled team to work on the process. Should any member not have the necessary skills, </w:t>
      </w:r>
      <w:proofErr w:type="gramStart"/>
      <w:r w:rsidR="00983C08" w:rsidRPr="00CC6CA3">
        <w:t>experience</w:t>
      </w:r>
      <w:proofErr w:type="gramEnd"/>
      <w:r w:rsidR="00983C08" w:rsidRPr="00CC6CA3">
        <w:t xml:space="preserve"> and knowledge then a blinkered approach might result when assessing the risks, resulting in problems being missed, eventually leading to integrity failures, downtimes, and economic losses</w:t>
      </w:r>
      <w:r w:rsidRPr="00CC6CA3">
        <w:t>.</w:t>
      </w:r>
    </w:p>
    <w:p w14:paraId="66F7FA23" w14:textId="2D072E6D" w:rsidR="00E2359E" w:rsidRPr="00CC6CA3" w:rsidRDefault="00E2359E" w:rsidP="00E2359E">
      <w:pPr>
        <w:pStyle w:val="Heading4"/>
      </w:pPr>
      <w:r w:rsidRPr="00CC6CA3">
        <w:rPr>
          <w:rFonts w:hint="eastAsia"/>
        </w:rPr>
        <w:t>The</w:t>
      </w:r>
      <w:r w:rsidRPr="00CC6CA3">
        <w:t xml:space="preserve"> typical process of </w:t>
      </w:r>
      <w:hyperlink r:id="rId23" w:history="1">
        <w:r w:rsidRPr="00CC6CA3">
          <w:t>risk-based maintenance</w:t>
        </w:r>
      </w:hyperlink>
    </w:p>
    <w:p w14:paraId="5243FC03" w14:textId="0EF2E817" w:rsidR="00E2359E" w:rsidRPr="00CC6CA3" w:rsidRDefault="00E2359E" w:rsidP="00E2359E">
      <w:r w:rsidRPr="00CC6CA3">
        <w:t xml:space="preserve">The typical process of RBM is shown in </w:t>
      </w:r>
      <w:r w:rsidRPr="00CC6CA3">
        <w:fldChar w:fldCharType="begin"/>
      </w:r>
      <w:r w:rsidRPr="00CC6CA3">
        <w:instrText xml:space="preserve"> REF _Ref8032759 \h  \* MERGEFORMAT </w:instrText>
      </w:r>
      <w:r w:rsidRPr="00CC6CA3">
        <w:fldChar w:fldCharType="separate"/>
      </w:r>
      <w:r w:rsidR="001906D9" w:rsidRPr="00CC6CA3">
        <w:t>Figure 2.3</w:t>
      </w:r>
      <w:r w:rsidRPr="00CC6CA3">
        <w:fldChar w:fldCharType="end"/>
      </w:r>
      <w:r w:rsidRPr="00CC6CA3">
        <w:t xml:space="preserve"> (a) </w:t>
      </w:r>
      <w:r w:rsidRPr="00CC6CA3">
        <w:fldChar w:fldCharType="begin"/>
      </w:r>
      <w:r w:rsidR="007D1BCC" w:rsidRPr="00CC6CA3">
        <w:instrText xml:space="preserve"> ADDIN ZOTERO_ITEM CSL_CITATION {"citationID":"jrox0ouf","properties":{"formattedCitation":"[17]","plainCitation":"[17]","noteIndex":0},"citationItems":[{"id":"jMlmauCg/D1PNQCSe","uris":["http://zotero.org/users/3051968/items/423US2G9"],"uri":["http://zotero.org/users/3051968/items/423US2G9"],"itemData":{"id":310,"type":"article-journal","container-title":"Journal of hazardous materials","issue":"3","page":"653–661","source":"Google Scholar","title":"Risk-based maintenance—Techniques and applications","volume":"142","author":[{"family":"Arunraj","given":"N. S."},{"family":"Maiti","given":"J."}],"issued":{"date-parts":[["2007"]]}}}],"schema":"https://github.com/citation-style-language/schema/raw/master/csl-citation.json"} </w:instrText>
      </w:r>
      <w:r w:rsidRPr="00CC6CA3">
        <w:fldChar w:fldCharType="separate"/>
      </w:r>
      <w:r w:rsidR="00854B0F" w:rsidRPr="00CC6CA3">
        <w:rPr>
          <w:rFonts w:cs="Times New Roman"/>
        </w:rPr>
        <w:t>[17]</w:t>
      </w:r>
      <w:r w:rsidRPr="00CC6CA3">
        <w:fldChar w:fldCharType="end"/>
      </w:r>
      <w:r w:rsidRPr="00CC6CA3">
        <w:t xml:space="preserve">. </w:t>
      </w:r>
      <w:r w:rsidR="00FC51C4" w:rsidRPr="00CC6CA3">
        <w:t>As can be seen, RBM consists of six main processes, which are hazard analysis, likelihood and consequence assessment, risk estimation and acceptance, and inspection or maintenance planning</w:t>
      </w:r>
      <w:r w:rsidRPr="00CC6CA3">
        <w:t xml:space="preserve"> </w:t>
      </w:r>
      <w:r w:rsidRPr="00CC6CA3">
        <w:fldChar w:fldCharType="begin"/>
      </w:r>
      <w:r w:rsidR="007D1BCC" w:rsidRPr="00CC6CA3">
        <w:instrText xml:space="preserve"> ADDIN ZOTERO_ITEM CSL_CITATION {"citationID":"xv76xHQd","properties":{"formattedCitation":"[17]","plainCitation":"[17]","noteIndex":0},"citationItems":[{"id":"jMlmauCg/D1PNQCSe","uris":["http://zotero.org/users/3051968/items/423US2G9"],"uri":["http://zotero.org/users/3051968/items/423US2G9"],"itemData":{"id":310,"type":"article-journal","container-title":"Journal of hazardous materials","issue":"3","page":"653–661","source":"Google Scholar","title":"Risk-based maintenance—Techniques and applications","volume":"142","author":[{"family":"Arunraj","given":"N. S."},{"family":"Maiti","given":"J."}],"issued":{"date-parts":[["2007"]]}}}],"schema":"https://github.com/citation-style-language/schema/raw/master/csl-citation.json"} </w:instrText>
      </w:r>
      <w:r w:rsidRPr="00CC6CA3">
        <w:fldChar w:fldCharType="separate"/>
      </w:r>
      <w:r w:rsidR="00854B0F" w:rsidRPr="00CC6CA3">
        <w:rPr>
          <w:rFonts w:cs="Times New Roman"/>
        </w:rPr>
        <w:t>[17]</w:t>
      </w:r>
      <w:r w:rsidRPr="00CC6CA3">
        <w:fldChar w:fldCharType="end"/>
      </w:r>
      <w:r w:rsidRPr="00CC6CA3">
        <w:t>. The main processes are described in the following paragraphs.</w:t>
      </w:r>
    </w:p>
    <w:p w14:paraId="1527DD21" w14:textId="4CE463F7" w:rsidR="00E2359E" w:rsidRPr="00CC6CA3" w:rsidRDefault="00083A61" w:rsidP="00E91B98">
      <w:pPr>
        <w:keepNext/>
        <w:spacing w:after="0"/>
        <w:jc w:val="center"/>
      </w:pPr>
      <w:r w:rsidRPr="00CC6CA3">
        <w:object w:dxaOrig="13801" w:dyaOrig="8821" w14:anchorId="530846FD">
          <v:shape id="_x0000_i1027" type="#_x0000_t75" style="width:394pt;height:254pt" o:ole="">
            <v:imagedata r:id="rId24" o:title=""/>
          </v:shape>
          <o:OLEObject Type="Embed" ProgID="Visio.Drawing.15" ShapeID="_x0000_i1027" DrawAspect="Content" ObjectID="_1692500306" r:id="rId25"/>
        </w:object>
      </w:r>
      <w:r w:rsidR="00E2359E" w:rsidRPr="00CC6CA3">
        <w:rPr>
          <w:noProof/>
        </w:rPr>
        <w:t xml:space="preserve"> </w:t>
      </w:r>
    </w:p>
    <w:p w14:paraId="355AECE4" w14:textId="49AC92B5" w:rsidR="00E2359E" w:rsidRPr="00CC6CA3" w:rsidRDefault="00E2359E" w:rsidP="00E2359E">
      <w:pPr>
        <w:pStyle w:val="Caption"/>
        <w:jc w:val="center"/>
      </w:pPr>
      <w:bookmarkStart w:id="108" w:name="_Ref8032759"/>
      <w:bookmarkStart w:id="109" w:name="_Toc8155333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w:t>
      </w:r>
      <w:r w:rsidR="00D62691" w:rsidRPr="00CC6CA3">
        <w:rPr>
          <w:noProof/>
        </w:rPr>
        <w:fldChar w:fldCharType="end"/>
      </w:r>
      <w:bookmarkEnd w:id="108"/>
      <w:r w:rsidRPr="00CC6CA3">
        <w:t xml:space="preserve"> A </w:t>
      </w:r>
      <w:r w:rsidR="0063549C" w:rsidRPr="00CC6CA3">
        <w:rPr>
          <w:sz w:val="18"/>
        </w:rPr>
        <w:t>general process of a risk-based maintenance and risk</w:t>
      </w:r>
      <w:r w:rsidRPr="00CC6CA3">
        <w:t xml:space="preserve"> profiles (a) Schematic of a general risk-based maintenance approach </w:t>
      </w:r>
      <w:r w:rsidRPr="00CC6CA3">
        <w:fldChar w:fldCharType="begin"/>
      </w:r>
      <w:r w:rsidR="007D1BCC" w:rsidRPr="00CC6CA3">
        <w:instrText xml:space="preserve"> ADDIN ZOTERO_ITEM CSL_CITATION {"citationID":"FGz9l7xt","properties":{"formattedCitation":"[17]","plainCitation":"[17]","noteIndex":0},"citationItems":[{"id":"jMlmauCg/D1PNQCSe","uris":["http://zotero.org/users/3051968/items/423US2G9"],"uri":["http://zotero.org/users/3051968/items/423US2G9"],"itemData":{"id":310,"type":"article-journal","container-title":"Journal of hazardous materials","issue":"3","page":"653–661","source":"Google Scholar","title":"Risk-based maintenance—Techniques and applications","volume":"142","author":[{"family":"Arunraj","given":"N. S."},{"family":"Maiti","given":"J."}],"issued":{"date-parts":[["2007"]]}}}],"schema":"https://github.com/citation-style-language/schema/raw/master/csl-citation.json"} </w:instrText>
      </w:r>
      <w:r w:rsidRPr="00CC6CA3">
        <w:fldChar w:fldCharType="separate"/>
      </w:r>
      <w:r w:rsidR="00854B0F" w:rsidRPr="00CC6CA3">
        <w:rPr>
          <w:rFonts w:cs="Times New Roman"/>
        </w:rPr>
        <w:t>[17]</w:t>
      </w:r>
      <w:r w:rsidRPr="00CC6CA3">
        <w:fldChar w:fldCharType="end"/>
      </w:r>
      <w:r w:rsidRPr="00CC6CA3">
        <w:t>, (b) an example of a risk matrix, (c) an example of a risk profile that changes with time</w:t>
      </w:r>
      <w:bookmarkEnd w:id="109"/>
    </w:p>
    <w:p w14:paraId="7C3EBF9D" w14:textId="4320592E" w:rsidR="00E2359E" w:rsidRPr="00CC6CA3" w:rsidRDefault="00E2359E" w:rsidP="00E2359E">
      <w:pPr>
        <w:pStyle w:val="ListParagraph"/>
        <w:numPr>
          <w:ilvl w:val="0"/>
          <w:numId w:val="12"/>
        </w:numPr>
        <w:rPr>
          <w:rFonts w:ascii="Times New Roman" w:hAnsi="Times New Roman"/>
        </w:rPr>
      </w:pPr>
      <w:r w:rsidRPr="00CC6CA3">
        <w:rPr>
          <w:rFonts w:ascii="Times New Roman" w:hAnsi="Times New Roman"/>
          <w:b/>
        </w:rPr>
        <w:lastRenderedPageBreak/>
        <w:t>Hazard analysis</w:t>
      </w:r>
      <w:r w:rsidRPr="00CC6CA3">
        <w:rPr>
          <w:rFonts w:ascii="Times New Roman" w:hAnsi="Times New Roman"/>
        </w:rPr>
        <w:t>: This process is to identify the event or failure scenario, which develop</w:t>
      </w:r>
      <w:r w:rsidR="00B05590" w:rsidRPr="00CC6CA3">
        <w:rPr>
          <w:rFonts w:ascii="Times New Roman" w:hAnsi="Times New Roman"/>
        </w:rPr>
        <w:t>s</w:t>
      </w:r>
      <w:r w:rsidRPr="00CC6CA3">
        <w:rPr>
          <w:rFonts w:ascii="Times New Roman" w:hAnsi="Times New Roman"/>
        </w:rPr>
        <w:t xml:space="preserve"> based on the operational characteristics of the system, physical conditions, and safety arrangements </w:t>
      </w:r>
      <w:r w:rsidRPr="00CC6CA3">
        <w:rPr>
          <w:rFonts w:ascii="Times New Roman" w:hAnsi="Times New Roman"/>
        </w:rPr>
        <w:fldChar w:fldCharType="begin"/>
      </w:r>
      <w:r w:rsidR="007D1BCC" w:rsidRPr="00CC6CA3">
        <w:rPr>
          <w:rFonts w:ascii="Times New Roman" w:hAnsi="Times New Roman"/>
        </w:rPr>
        <w:instrText xml:space="preserve"> ADDIN ZOTERO_ITEM CSL_CITATION {"citationID":"28wKC2Ko","properties":{"formattedCitation":"[17]","plainCitation":"[17]","noteIndex":0},"citationItems":[{"id":"jMlmauCg/D1PNQCSe","uris":["http://zotero.org/users/3051968/items/423US2G9"],"uri":["http://zotero.org/users/3051968/items/423US2G9"],"itemData":{"id":310,"type":"article-journal","container-title":"Journal of hazardous materials","issue":"3","page":"653–661","source":"Google Scholar","title":"Risk-based maintenance—Techniques and applications","volume":"142","author":[{"family":"Arunraj","given":"N. S."},{"family":"Maiti","given":"J."}],"issued":{"date-parts":[["2007"]]}}}],"schema":"https://github.com/citation-style-language/schema/raw/master/csl-citation.json"} </w:instrText>
      </w:r>
      <w:r w:rsidRPr="00CC6CA3">
        <w:rPr>
          <w:rFonts w:ascii="Times New Roman" w:hAnsi="Times New Roman"/>
        </w:rPr>
        <w:fldChar w:fldCharType="separate"/>
      </w:r>
      <w:r w:rsidR="00854B0F" w:rsidRPr="00CC6CA3">
        <w:rPr>
          <w:rFonts w:ascii="Times New Roman" w:hAnsi="Times New Roman"/>
        </w:rPr>
        <w:t>[17]</w:t>
      </w:r>
      <w:r w:rsidRPr="00CC6CA3">
        <w:rPr>
          <w:rFonts w:ascii="Times New Roman" w:hAnsi="Times New Roman"/>
        </w:rPr>
        <w:fldChar w:fldCharType="end"/>
      </w:r>
      <w:r w:rsidRPr="00CC6CA3">
        <w:rPr>
          <w:rFonts w:ascii="Times New Roman" w:hAnsi="Times New Roman"/>
        </w:rPr>
        <w:t xml:space="preserve">. </w:t>
      </w:r>
    </w:p>
    <w:p w14:paraId="0E49F39B" w14:textId="1C75E8F0" w:rsidR="00E2359E" w:rsidRPr="00CC6CA3" w:rsidRDefault="00E2359E" w:rsidP="00E2359E">
      <w:pPr>
        <w:pStyle w:val="ListParagraph"/>
        <w:numPr>
          <w:ilvl w:val="0"/>
          <w:numId w:val="12"/>
        </w:numPr>
        <w:rPr>
          <w:rFonts w:ascii="Times New Roman" w:hAnsi="Times New Roman"/>
        </w:rPr>
      </w:pPr>
      <w:r w:rsidRPr="00CC6CA3">
        <w:rPr>
          <w:rFonts w:ascii="Times New Roman" w:hAnsi="Times New Roman"/>
          <w:b/>
        </w:rPr>
        <w:t>Likelihood assessment</w:t>
      </w:r>
      <w:r w:rsidRPr="00CC6CA3">
        <w:rPr>
          <w:rFonts w:ascii="Times New Roman" w:hAnsi="Times New Roman"/>
        </w:rPr>
        <w:t xml:space="preserve">: </w:t>
      </w:r>
      <w:r w:rsidRPr="00CC6CA3">
        <w:rPr>
          <w:rFonts w:ascii="Times New Roman" w:hAnsi="Times New Roman" w:hint="eastAsia"/>
        </w:rPr>
        <w:t xml:space="preserve">The purpose of </w:t>
      </w:r>
      <w:r w:rsidRPr="00CC6CA3">
        <w:rPr>
          <w:rFonts w:ascii="Times New Roman" w:hAnsi="Times New Roman"/>
        </w:rPr>
        <w:t xml:space="preserve">the </w:t>
      </w:r>
      <w:r w:rsidRPr="00CC6CA3">
        <w:rPr>
          <w:rFonts w:ascii="Times New Roman" w:hAnsi="Times New Roman" w:hint="eastAsia"/>
        </w:rPr>
        <w:t>likelihood assessment is to quantify the occurrence of adverse events</w:t>
      </w:r>
      <w:r w:rsidRPr="00CC6CA3">
        <w:rPr>
          <w:rFonts w:ascii="Times New Roman" w:hAnsi="Times New Roman"/>
        </w:rPr>
        <w:t xml:space="preserve"> </w:t>
      </w:r>
      <w:r w:rsidRPr="00CC6CA3">
        <w:rPr>
          <w:rFonts w:ascii="Times New Roman" w:hAnsi="Times New Roman"/>
        </w:rPr>
        <w:fldChar w:fldCharType="begin"/>
      </w:r>
      <w:r w:rsidR="007D1BCC" w:rsidRPr="00CC6CA3">
        <w:rPr>
          <w:rFonts w:ascii="Times New Roman" w:hAnsi="Times New Roman"/>
        </w:rPr>
        <w:instrText xml:space="preserve"> ADDIN ZOTERO_ITEM CSL_CITATION {"citationID":"O3fXzmus","properties":{"formattedCitation":"[17]","plainCitation":"[17]","noteIndex":0},"citationItems":[{"id":"jMlmauCg/D1PNQCSe","uris":["http://zotero.org/users/3051968/items/423US2G9"],"uri":["http://zotero.org/users/3051968/items/423US2G9"],"itemData":{"id":310,"type":"article-journal","container-title":"Journal of hazardous materials","issue":"3","page":"653–661","source":"Google Scholar","title":"Risk-based maintenance—Techniques and applications","volume":"142","author":[{"family":"Arunraj","given":"N. S."},{"family":"Maiti","given":"J."}],"issued":{"date-parts":[["2007"]]}}}],"schema":"https://github.com/citation-style-language/schema/raw/master/csl-citation.json"} </w:instrText>
      </w:r>
      <w:r w:rsidRPr="00CC6CA3">
        <w:rPr>
          <w:rFonts w:ascii="Times New Roman" w:hAnsi="Times New Roman"/>
        </w:rPr>
        <w:fldChar w:fldCharType="separate"/>
      </w:r>
      <w:r w:rsidR="00854B0F" w:rsidRPr="00CC6CA3">
        <w:rPr>
          <w:rFonts w:ascii="Times New Roman" w:hAnsi="Times New Roman"/>
        </w:rPr>
        <w:t>[17]</w:t>
      </w:r>
      <w:r w:rsidRPr="00CC6CA3">
        <w:rPr>
          <w:rFonts w:ascii="Times New Roman" w:hAnsi="Times New Roman"/>
        </w:rPr>
        <w:fldChar w:fldCharType="end"/>
      </w:r>
      <w:r w:rsidRPr="00CC6CA3">
        <w:rPr>
          <w:rFonts w:ascii="Times New Roman" w:hAnsi="Times New Roman" w:hint="eastAsia"/>
        </w:rPr>
        <w:t xml:space="preserve">. In this step, the </w:t>
      </w:r>
      <w:r w:rsidRPr="00CC6CA3">
        <w:rPr>
          <w:rFonts w:ascii="Times New Roman" w:hAnsi="Times New Roman"/>
        </w:rPr>
        <w:t>event/</w:t>
      </w:r>
      <w:r w:rsidRPr="00CC6CA3">
        <w:rPr>
          <w:rFonts w:ascii="Times New Roman" w:hAnsi="Times New Roman" w:hint="eastAsia"/>
        </w:rPr>
        <w:t xml:space="preserve">failure frequency or probability within a specified </w:t>
      </w:r>
      <w:proofErr w:type="gramStart"/>
      <w:r w:rsidRPr="00CC6CA3">
        <w:rPr>
          <w:rFonts w:ascii="Times New Roman" w:hAnsi="Times New Roman" w:hint="eastAsia"/>
        </w:rPr>
        <w:t>time period</w:t>
      </w:r>
      <w:proofErr w:type="gramEnd"/>
      <w:r w:rsidRPr="00CC6CA3">
        <w:rPr>
          <w:rFonts w:ascii="Times New Roman" w:hAnsi="Times New Roman" w:hint="eastAsia"/>
        </w:rPr>
        <w:t xml:space="preserve"> is calculated. </w:t>
      </w:r>
      <w:r w:rsidRPr="00CC6CA3">
        <w:rPr>
          <w:rFonts w:ascii="Times New Roman" w:hAnsi="Times New Roman"/>
        </w:rPr>
        <w:t>The detailed information</w:t>
      </w:r>
      <w:r w:rsidR="00B05590" w:rsidRPr="00CC6CA3">
        <w:rPr>
          <w:rFonts w:ascii="Times New Roman" w:hAnsi="Times New Roman"/>
        </w:rPr>
        <w:t xml:space="preserve"> necessary</w:t>
      </w:r>
      <w:r w:rsidRPr="00CC6CA3">
        <w:rPr>
          <w:rFonts w:ascii="Times New Roman" w:hAnsi="Times New Roman"/>
        </w:rPr>
        <w:t xml:space="preserve"> to calculate the likelihood for large pressurised machines in the petrochemical industries can be found in </w:t>
      </w:r>
      <w:r w:rsidRPr="00CC6CA3">
        <w:rPr>
          <w:rFonts w:ascii="Times New Roman" w:hAnsi="Times New Roman"/>
        </w:rPr>
        <w:fldChar w:fldCharType="begin"/>
      </w:r>
      <w:r w:rsidR="00854B0F" w:rsidRPr="00CC6CA3">
        <w:rPr>
          <w:rFonts w:ascii="Times New Roman" w:hAnsi="Times New Roman"/>
        </w:rPr>
        <w:instrText xml:space="preserve"> ADDIN ZOTERO_ITEM CSL_CITATION {"citationID":"dX9ehwQU","properties":{"formattedCitation":"[24]","plainCitation":"[24]","noteIndex":0},"citationItems":[{"id":335,"uris":["http://zotero.org/users/3051968/items/PZB2WQ3V"],"uri":["http://zotero.org/users/3051968/items/PZB2WQ3V"],"itemData":{"id":335,"type":"book","edition":"2","title":"API Recommended Practice 581 - Risk-Based Inspection Technology","author":[{"family":"American Petroleum Institute","given":""}],"issued":{"date-parts":[["2008",9]]}}}],"schema":"https://github.com/citation-style-language/schema/raw/master/csl-citation.json"} </w:instrText>
      </w:r>
      <w:r w:rsidRPr="00CC6CA3">
        <w:rPr>
          <w:rFonts w:ascii="Times New Roman" w:hAnsi="Times New Roman"/>
        </w:rPr>
        <w:fldChar w:fldCharType="separate"/>
      </w:r>
      <w:r w:rsidR="00854B0F" w:rsidRPr="00CC6CA3">
        <w:rPr>
          <w:rFonts w:ascii="Times New Roman" w:hAnsi="Times New Roman"/>
        </w:rPr>
        <w:t>[24]</w:t>
      </w:r>
      <w:r w:rsidRPr="00CC6CA3">
        <w:rPr>
          <w:rFonts w:ascii="Times New Roman" w:hAnsi="Times New Roman"/>
        </w:rPr>
        <w:fldChar w:fldCharType="end"/>
      </w:r>
      <w:r w:rsidRPr="00CC6CA3">
        <w:rPr>
          <w:rFonts w:ascii="Times New Roman" w:hAnsi="Times New Roman"/>
        </w:rPr>
        <w:t>.</w:t>
      </w:r>
    </w:p>
    <w:p w14:paraId="461347AB" w14:textId="43F3B7FC" w:rsidR="00E2359E" w:rsidRPr="00CC6CA3" w:rsidRDefault="00E2359E" w:rsidP="00E2359E">
      <w:pPr>
        <w:pStyle w:val="ListParagraph"/>
        <w:numPr>
          <w:ilvl w:val="0"/>
          <w:numId w:val="12"/>
        </w:numPr>
        <w:rPr>
          <w:rFonts w:ascii="Times New Roman" w:hAnsi="Times New Roman"/>
        </w:rPr>
      </w:pPr>
      <w:r w:rsidRPr="00CC6CA3">
        <w:rPr>
          <w:rFonts w:ascii="Times New Roman" w:hAnsi="Times New Roman"/>
          <w:b/>
        </w:rPr>
        <w:t>Consequence assessment</w:t>
      </w:r>
      <w:r w:rsidRPr="00CC6CA3">
        <w:rPr>
          <w:rFonts w:ascii="Times New Roman" w:hAnsi="Times New Roman"/>
        </w:rPr>
        <w:t xml:space="preserve">: This process is to quantify the potential consequences of possible event/failure scenarios. Consequences include loss of production, assets, environment, </w:t>
      </w:r>
      <w:proofErr w:type="gramStart"/>
      <w:r w:rsidRPr="00CC6CA3">
        <w:rPr>
          <w:rFonts w:ascii="Times New Roman" w:hAnsi="Times New Roman"/>
        </w:rPr>
        <w:t>health</w:t>
      </w:r>
      <w:proofErr w:type="gramEnd"/>
      <w:r w:rsidRPr="00CC6CA3">
        <w:rPr>
          <w:rFonts w:ascii="Times New Roman" w:hAnsi="Times New Roman"/>
        </w:rPr>
        <w:t xml:space="preserve"> and safety. </w:t>
      </w:r>
      <w:r w:rsidR="00B05590" w:rsidRPr="00CC6CA3">
        <w:rPr>
          <w:rFonts w:ascii="Times New Roman" w:hAnsi="Times New Roman"/>
        </w:rPr>
        <w:t>The detailed information needed to calculate the consequence of failure for large pressurised machines in the petrochemical industries can be found in</w:t>
      </w:r>
      <w:r w:rsidRPr="00CC6CA3">
        <w:rPr>
          <w:rFonts w:ascii="Times New Roman" w:hAnsi="Times New Roman"/>
        </w:rPr>
        <w:t xml:space="preserve"> </w:t>
      </w:r>
      <w:r w:rsidRPr="00CC6CA3">
        <w:rPr>
          <w:rFonts w:ascii="Times New Roman" w:hAnsi="Times New Roman"/>
        </w:rPr>
        <w:fldChar w:fldCharType="begin"/>
      </w:r>
      <w:r w:rsidR="00854B0F" w:rsidRPr="00CC6CA3">
        <w:rPr>
          <w:rFonts w:ascii="Times New Roman" w:hAnsi="Times New Roman"/>
        </w:rPr>
        <w:instrText xml:space="preserve"> ADDIN ZOTERO_ITEM CSL_CITATION {"citationID":"RflxiNFy","properties":{"formattedCitation":"[24]","plainCitation":"[24]","noteIndex":0},"citationItems":[{"id":335,"uris":["http://zotero.org/users/3051968/items/PZB2WQ3V"],"uri":["http://zotero.org/users/3051968/items/PZB2WQ3V"],"itemData":{"id":335,"type":"book","edition":"2","title":"API Recommended Practice 581 - Risk-Based Inspection Technology","author":[{"family":"American Petroleum Institute","given":""}],"issued":{"date-parts":[["2008",9]]}}}],"schema":"https://github.com/citation-style-language/schema/raw/master/csl-citation.json"} </w:instrText>
      </w:r>
      <w:r w:rsidRPr="00CC6CA3">
        <w:rPr>
          <w:rFonts w:ascii="Times New Roman" w:hAnsi="Times New Roman"/>
        </w:rPr>
        <w:fldChar w:fldCharType="separate"/>
      </w:r>
      <w:r w:rsidR="00854B0F" w:rsidRPr="00CC6CA3">
        <w:rPr>
          <w:rFonts w:ascii="Times New Roman" w:hAnsi="Times New Roman"/>
        </w:rPr>
        <w:t>[24]</w:t>
      </w:r>
      <w:r w:rsidRPr="00CC6CA3">
        <w:rPr>
          <w:rFonts w:ascii="Times New Roman" w:hAnsi="Times New Roman"/>
        </w:rPr>
        <w:fldChar w:fldCharType="end"/>
      </w:r>
      <w:r w:rsidRPr="00CC6CA3">
        <w:rPr>
          <w:rFonts w:ascii="Times New Roman" w:hAnsi="Times New Roman"/>
        </w:rPr>
        <w:t>.</w:t>
      </w:r>
    </w:p>
    <w:p w14:paraId="6CB13419" w14:textId="4DD505BF" w:rsidR="00E2359E" w:rsidRPr="00CC6CA3" w:rsidRDefault="00E2359E" w:rsidP="00E2359E">
      <w:pPr>
        <w:pStyle w:val="ListParagraph"/>
        <w:numPr>
          <w:ilvl w:val="0"/>
          <w:numId w:val="12"/>
        </w:numPr>
        <w:rPr>
          <w:rFonts w:ascii="Times New Roman" w:hAnsi="Times New Roman"/>
        </w:rPr>
      </w:pPr>
      <w:r w:rsidRPr="00CC6CA3">
        <w:rPr>
          <w:rFonts w:ascii="Times New Roman" w:hAnsi="Times New Roman"/>
          <w:b/>
        </w:rPr>
        <w:t>Risk estimation</w:t>
      </w:r>
      <w:r w:rsidRPr="00CC6CA3">
        <w:rPr>
          <w:rFonts w:ascii="Times New Roman" w:hAnsi="Times New Roman"/>
        </w:rPr>
        <w:t>: The system's risk is calculated based on the result</w:t>
      </w:r>
      <w:r w:rsidR="00B05590" w:rsidRPr="00CC6CA3">
        <w:rPr>
          <w:rFonts w:ascii="Times New Roman" w:hAnsi="Times New Roman"/>
        </w:rPr>
        <w:t>s</w:t>
      </w:r>
      <w:r w:rsidRPr="00CC6CA3">
        <w:rPr>
          <w:rFonts w:ascii="Times New Roman" w:hAnsi="Times New Roman"/>
        </w:rPr>
        <w:t xml:space="preserve"> of the consequence and likelihood assessment </w:t>
      </w:r>
      <w:r w:rsidRPr="00CC6CA3">
        <w:rPr>
          <w:rFonts w:ascii="Times New Roman" w:hAnsi="Times New Roman"/>
        </w:rPr>
        <w:fldChar w:fldCharType="begin"/>
      </w:r>
      <w:r w:rsidR="00854B0F" w:rsidRPr="00CC6CA3">
        <w:rPr>
          <w:rFonts w:ascii="Times New Roman" w:hAnsi="Times New Roman"/>
        </w:rPr>
        <w:instrText xml:space="preserve"> ADDIN ZOTERO_ITEM CSL_CITATION {"citationID":"zkhXr3UP","properties":{"formattedCitation":"[24]","plainCitation":"[24]","noteIndex":0},"citationItems":[{"id":335,"uris":["http://zotero.org/users/3051968/items/PZB2WQ3V"],"uri":["http://zotero.org/users/3051968/items/PZB2WQ3V"],"itemData":{"id":335,"type":"book","edition":"2","title":"API Recommended Practice 581 - Risk-Based Inspection Technology","author":[{"family":"American Petroleum Institute","given":""}],"issued":{"date-parts":[["2008",9]]}}}],"schema":"https://github.com/citation-style-language/schema/raw/master/csl-citation.json"} </w:instrText>
      </w:r>
      <w:r w:rsidRPr="00CC6CA3">
        <w:rPr>
          <w:rFonts w:ascii="Times New Roman" w:hAnsi="Times New Roman"/>
        </w:rPr>
        <w:fldChar w:fldCharType="separate"/>
      </w:r>
      <w:r w:rsidR="00854B0F" w:rsidRPr="00CC6CA3">
        <w:rPr>
          <w:rFonts w:ascii="Times New Roman" w:hAnsi="Times New Roman"/>
        </w:rPr>
        <w:t>[24]</w:t>
      </w:r>
      <w:r w:rsidRPr="00CC6CA3">
        <w:rPr>
          <w:rFonts w:ascii="Times New Roman" w:hAnsi="Times New Roman"/>
        </w:rPr>
        <w:fldChar w:fldCharType="end"/>
      </w:r>
      <w:r w:rsidRPr="00CC6CA3">
        <w:rPr>
          <w:rFonts w:ascii="Times New Roman" w:hAnsi="Times New Roman"/>
        </w:rPr>
        <w:t xml:space="preserve">. </w:t>
      </w:r>
    </w:p>
    <w:p w14:paraId="6528A023" w14:textId="3745BF10" w:rsidR="00E2359E" w:rsidRPr="00CC6CA3" w:rsidRDefault="00E2359E" w:rsidP="00E2359E">
      <w:pPr>
        <w:pStyle w:val="ListParagraph"/>
        <w:numPr>
          <w:ilvl w:val="0"/>
          <w:numId w:val="12"/>
        </w:numPr>
        <w:rPr>
          <w:rFonts w:ascii="Times New Roman" w:hAnsi="Times New Roman"/>
        </w:rPr>
      </w:pPr>
      <w:r w:rsidRPr="00CC6CA3">
        <w:rPr>
          <w:rFonts w:ascii="Times New Roman" w:hAnsi="Times New Roman"/>
          <w:b/>
        </w:rPr>
        <w:t>Risk acceptance</w:t>
      </w:r>
      <w:r w:rsidRPr="00CC6CA3">
        <w:rPr>
          <w:rFonts w:ascii="Times New Roman" w:hAnsi="Times New Roman"/>
        </w:rPr>
        <w:t xml:space="preserve">: This </w:t>
      </w:r>
      <w:r w:rsidR="007D0773" w:rsidRPr="00CC6CA3">
        <w:rPr>
          <w:rFonts w:ascii="Times New Roman" w:hAnsi="Times New Roman"/>
        </w:rPr>
        <w:t>process compares the calculated risk with its acceptance criteria</w:t>
      </w:r>
      <w:r w:rsidRPr="00CC6CA3">
        <w:rPr>
          <w:rFonts w:ascii="Times New Roman" w:hAnsi="Times New Roman"/>
        </w:rPr>
        <w:t xml:space="preserve"> </w:t>
      </w:r>
      <w:r w:rsidRPr="00CC6CA3">
        <w:rPr>
          <w:rFonts w:ascii="Times New Roman" w:hAnsi="Times New Roman"/>
        </w:rPr>
        <w:fldChar w:fldCharType="begin"/>
      </w:r>
      <w:r w:rsidR="007D1BCC" w:rsidRPr="00CC6CA3">
        <w:rPr>
          <w:rFonts w:ascii="Times New Roman" w:hAnsi="Times New Roman"/>
        </w:rPr>
        <w:instrText xml:space="preserve"> ADDIN ZOTERO_ITEM CSL_CITATION {"citationID":"MCdWodfO","properties":{"formattedCitation":"[17]","plainCitation":"[17]","noteIndex":0},"citationItems":[{"id":"jMlmauCg/D1PNQCSe","uris":["http://zotero.org/users/3051968/items/423US2G9"],"uri":["http://zotero.org/users/3051968/items/423US2G9"],"itemData":{"id":310,"type":"article-journal","container-title":"Journal of hazardous materials","issue":"3","page":"653–661","source":"Google Scholar","title":"Risk-based maintenance—Techniques and applications","volume":"142","author":[{"family":"Arunraj","given":"N. S."},{"family":"Maiti","given":"J."}],"issued":{"date-parts":[["2007"]]}}}],"schema":"https://github.com/citation-style-language/schema/raw/master/csl-citation.json"} </w:instrText>
      </w:r>
      <w:r w:rsidRPr="00CC6CA3">
        <w:rPr>
          <w:rFonts w:ascii="Times New Roman" w:hAnsi="Times New Roman"/>
        </w:rPr>
        <w:fldChar w:fldCharType="separate"/>
      </w:r>
      <w:r w:rsidR="00854B0F" w:rsidRPr="00CC6CA3">
        <w:rPr>
          <w:rFonts w:ascii="Times New Roman" w:hAnsi="Times New Roman"/>
        </w:rPr>
        <w:t>[17]</w:t>
      </w:r>
      <w:r w:rsidRPr="00CC6CA3">
        <w:rPr>
          <w:rFonts w:ascii="Times New Roman" w:hAnsi="Times New Roman"/>
        </w:rPr>
        <w:fldChar w:fldCharType="end"/>
      </w:r>
      <w:r w:rsidRPr="00CC6CA3">
        <w:rPr>
          <w:rFonts w:ascii="Times New Roman" w:hAnsi="Times New Roman"/>
        </w:rPr>
        <w:t xml:space="preserve">. If the risk of any unit/component exceeds the acceptance criteria, inspection and maintenance are required to reduce the risk. </w:t>
      </w:r>
    </w:p>
    <w:p w14:paraId="62943EB2" w14:textId="7E170D27" w:rsidR="00E2359E" w:rsidRPr="00CC6CA3" w:rsidRDefault="00E2359E" w:rsidP="00E2359E">
      <w:pPr>
        <w:pStyle w:val="ListParagraph"/>
        <w:numPr>
          <w:ilvl w:val="0"/>
          <w:numId w:val="12"/>
        </w:numPr>
        <w:rPr>
          <w:rFonts w:ascii="Times New Roman" w:hAnsi="Times New Roman"/>
        </w:rPr>
      </w:pPr>
      <w:r w:rsidRPr="00CC6CA3">
        <w:rPr>
          <w:rFonts w:ascii="Times New Roman" w:hAnsi="Times New Roman"/>
          <w:b/>
        </w:rPr>
        <w:t>Inspection/Maintenance planning</w:t>
      </w:r>
      <w:r w:rsidRPr="00CC6CA3">
        <w:rPr>
          <w:rFonts w:ascii="Times New Roman" w:hAnsi="Times New Roman"/>
        </w:rPr>
        <w:t>: Inspection or maintenance planning is scheduled to reduce the risk, guided by a risk profile of the target component/system</w:t>
      </w:r>
      <w:r w:rsidR="00DB5B0F" w:rsidRPr="00CC6CA3">
        <w:rPr>
          <w:rFonts w:ascii="Times New Roman" w:hAnsi="Times New Roman"/>
        </w:rPr>
        <w:t>.</w:t>
      </w:r>
      <w:r w:rsidRPr="00CC6CA3">
        <w:rPr>
          <w:rFonts w:ascii="Times New Roman" w:hAnsi="Times New Roman"/>
        </w:rPr>
        <w:t xml:space="preserve">  </w:t>
      </w:r>
      <w:r w:rsidRPr="00CC6CA3">
        <w:rPr>
          <w:rFonts w:ascii="Times New Roman" w:hAnsi="Times New Roman"/>
        </w:rPr>
        <w:fldChar w:fldCharType="begin"/>
      </w:r>
      <w:r w:rsidRPr="00CC6CA3">
        <w:rPr>
          <w:rFonts w:ascii="Times New Roman" w:hAnsi="Times New Roman"/>
        </w:rPr>
        <w:instrText xml:space="preserve"> REF _Ref8032759 \h  \* MERGEFORMAT </w:instrText>
      </w:r>
      <w:r w:rsidRPr="00CC6CA3">
        <w:rPr>
          <w:rFonts w:ascii="Times New Roman" w:hAnsi="Times New Roman"/>
        </w:rPr>
      </w:r>
      <w:r w:rsidRPr="00CC6CA3">
        <w:rPr>
          <w:rFonts w:ascii="Times New Roman" w:hAnsi="Times New Roman"/>
        </w:rPr>
        <w:fldChar w:fldCharType="separate"/>
      </w:r>
      <w:r w:rsidR="001906D9" w:rsidRPr="00CC6CA3">
        <w:rPr>
          <w:rFonts w:ascii="Times New Roman" w:hAnsi="Times New Roman"/>
        </w:rPr>
        <w:t>Figure 2.3</w:t>
      </w:r>
      <w:r w:rsidRPr="00CC6CA3">
        <w:rPr>
          <w:rFonts w:ascii="Times New Roman" w:hAnsi="Times New Roman"/>
        </w:rPr>
        <w:fldChar w:fldCharType="end"/>
      </w:r>
      <w:r w:rsidRPr="00CC6CA3">
        <w:rPr>
          <w:rFonts w:ascii="Times New Roman" w:hAnsi="Times New Roman"/>
        </w:rPr>
        <w:t xml:space="preserve"> (b) is a typical risk matrix, which can be qualitative and </w:t>
      </w:r>
      <w:proofErr w:type="gramStart"/>
      <w:r w:rsidRPr="00CC6CA3">
        <w:rPr>
          <w:rFonts w:ascii="Times New Roman" w:hAnsi="Times New Roman"/>
        </w:rPr>
        <w:t>quantitative;  and</w:t>
      </w:r>
      <w:proofErr w:type="gramEnd"/>
      <w:r w:rsidRPr="00CC6CA3">
        <w:rPr>
          <w:rFonts w:ascii="Times New Roman" w:hAnsi="Times New Roman"/>
        </w:rPr>
        <w:t xml:space="preserve"> </w:t>
      </w:r>
      <w:r w:rsidRPr="00CC6CA3">
        <w:rPr>
          <w:rFonts w:ascii="Times New Roman" w:hAnsi="Times New Roman"/>
        </w:rPr>
        <w:fldChar w:fldCharType="begin"/>
      </w:r>
      <w:r w:rsidRPr="00CC6CA3">
        <w:rPr>
          <w:rFonts w:ascii="Times New Roman" w:hAnsi="Times New Roman"/>
        </w:rPr>
        <w:instrText xml:space="preserve"> REF _Ref8032759 \h  \* MERGEFORMAT </w:instrText>
      </w:r>
      <w:r w:rsidRPr="00CC6CA3">
        <w:rPr>
          <w:rFonts w:ascii="Times New Roman" w:hAnsi="Times New Roman"/>
        </w:rPr>
      </w:r>
      <w:r w:rsidRPr="00CC6CA3">
        <w:rPr>
          <w:rFonts w:ascii="Times New Roman" w:hAnsi="Times New Roman"/>
        </w:rPr>
        <w:fldChar w:fldCharType="separate"/>
      </w:r>
      <w:r w:rsidR="001906D9" w:rsidRPr="00CC6CA3">
        <w:rPr>
          <w:rFonts w:ascii="Times New Roman" w:hAnsi="Times New Roman"/>
        </w:rPr>
        <w:t>Figure 2.3</w:t>
      </w:r>
      <w:r w:rsidRPr="00CC6CA3">
        <w:rPr>
          <w:rFonts w:ascii="Times New Roman" w:hAnsi="Times New Roman"/>
        </w:rPr>
        <w:fldChar w:fldCharType="end"/>
      </w:r>
      <w:r w:rsidRPr="00CC6CA3">
        <w:rPr>
          <w:rFonts w:ascii="Times New Roman" w:hAnsi="Times New Roman"/>
        </w:rPr>
        <w:t xml:space="preserve"> (c) shows a quantitative dynamic risk profile.</w:t>
      </w:r>
    </w:p>
    <w:p w14:paraId="6C3626A7" w14:textId="2CCB2D79" w:rsidR="00E2359E" w:rsidRPr="00CC6CA3" w:rsidRDefault="00E2359E" w:rsidP="00E2359E">
      <w:pPr>
        <w:pStyle w:val="Heading4"/>
      </w:pPr>
      <w:r w:rsidRPr="00CC6CA3">
        <w:t xml:space="preserve">Health indicator of </w:t>
      </w:r>
      <w:hyperlink r:id="rId26" w:history="1">
        <w:r w:rsidRPr="00CC6CA3">
          <w:t>risk-based maintenance</w:t>
        </w:r>
      </w:hyperlink>
    </w:p>
    <w:p w14:paraId="7475B566" w14:textId="01B95680" w:rsidR="00E2359E" w:rsidRPr="00CC6CA3" w:rsidRDefault="00E2359E" w:rsidP="00E2359E">
      <w:r w:rsidRPr="00CC6CA3">
        <w:t xml:space="preserve">Based </w:t>
      </w:r>
      <w:r w:rsidR="00CF05F7" w:rsidRPr="00CC6CA3">
        <w:t xml:space="preserve">on the RBI/RBM processes, the inspection and maintenance activities of the system are determined by risk. Therefore, the risk is used as a health indicator in the RBI/RBM strategy. Broadly, there are two types of models in RBI/RBM strategies: qualitative and quantitative models. In a qualitative model, the likelihood and/or consequence assessment is described by terms such as very unlikely, unlikely, possible, probable, or highly probable. On the other hand, a quantitative model carries out the likelihood and consequence assessment quantitatively, with the likelihood of the event/failure calculated </w:t>
      </w:r>
      <w:proofErr w:type="gramStart"/>
      <w:r w:rsidR="00CF05F7" w:rsidRPr="00CC6CA3">
        <w:t>on the basis of</w:t>
      </w:r>
      <w:proofErr w:type="gramEnd"/>
      <w:r w:rsidR="00CF05F7" w:rsidRPr="00CC6CA3">
        <w:t xml:space="preserve"> reliability analysis and relies on historical data, and the consequence of the event/failure is </w:t>
      </w:r>
      <w:r w:rsidR="00CF05F7" w:rsidRPr="00CC6CA3">
        <w:lastRenderedPageBreak/>
        <w:t>estimated based on the severity of the failure scenario or financial loss. A typical description of risk is given</w:t>
      </w:r>
      <w:r w:rsidRPr="00CC6CA3">
        <w:t xml:space="preserve"> in Equation </w:t>
      </w:r>
      <w:r w:rsidRPr="00CC6CA3">
        <w:fldChar w:fldCharType="begin"/>
      </w:r>
      <w:r w:rsidRPr="00CC6CA3">
        <w:instrText xml:space="preserve"> REF _Ref60170125 \h </w:instrText>
      </w:r>
      <w:r w:rsidRPr="00CC6CA3">
        <w:fldChar w:fldCharType="separate"/>
      </w:r>
      <w:r w:rsidR="001906D9" w:rsidRPr="00CC6CA3">
        <w:rPr>
          <w:noProof/>
        </w:rPr>
        <w:t>(2</w:t>
      </w:r>
      <w:r w:rsidR="001906D9" w:rsidRPr="00CC6CA3">
        <w:noBreakHyphen/>
      </w:r>
      <w:r w:rsidR="001906D9" w:rsidRPr="00CC6CA3">
        <w:rPr>
          <w:noProof/>
        </w:rPr>
        <w:t>1)</w:t>
      </w:r>
      <w:r w:rsidRPr="00CC6CA3">
        <w:fldChar w:fldCharType="end"/>
      </w:r>
      <w:r w:rsidRPr="00CC6C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817"/>
      </w:tblGrid>
      <w:tr w:rsidR="00CC6CA3" w:rsidRPr="00CC6CA3" w14:paraId="17AB508F" w14:textId="77777777" w:rsidTr="00F632C0">
        <w:tc>
          <w:tcPr>
            <w:tcW w:w="7938" w:type="dxa"/>
          </w:tcPr>
          <w:p w14:paraId="62BCF713" w14:textId="77777777" w:rsidR="00E2359E" w:rsidRPr="00CC6CA3" w:rsidRDefault="00E2359E" w:rsidP="00F632C0">
            <w:pPr>
              <w:rPr>
                <w:i/>
              </w:rPr>
            </w:pPr>
            <m:oMathPara>
              <m:oMathParaPr>
                <m:jc m:val="center"/>
              </m:oMathParaPr>
              <m:oMath>
                <m:r>
                  <w:rPr>
                    <w:rStyle w:val="mjxassistivemathml"/>
                    <w:rFonts w:ascii="Cambria Math" w:hAnsi="Cambria Math"/>
                    <w:bdr w:val="none" w:sz="0" w:space="0" w:color="auto" w:frame="1"/>
                  </w:rPr>
                  <m:t>Risk=LOF×COF</m:t>
                </m:r>
              </m:oMath>
            </m:oMathPara>
          </w:p>
        </w:tc>
        <w:tc>
          <w:tcPr>
            <w:tcW w:w="817" w:type="dxa"/>
          </w:tcPr>
          <w:p w14:paraId="065F78D6" w14:textId="0633817A" w:rsidR="00E2359E" w:rsidRPr="00CC6CA3" w:rsidRDefault="00E2359E" w:rsidP="00F632C0">
            <w:pPr>
              <w:jc w:val="right"/>
            </w:pPr>
            <w:bookmarkStart w:id="110" w:name="_Ref60170125"/>
            <w:r w:rsidRPr="00CC6CA3">
              <w:rPr>
                <w:noProof/>
              </w:rPr>
              <w:t>(</w:t>
            </w:r>
            <w:r w:rsidRPr="00CC6CA3">
              <w:rPr>
                <w:noProof/>
              </w:rPr>
              <w:fldChar w:fldCharType="begin"/>
            </w:r>
            <w:r w:rsidRPr="00CC6CA3">
              <w:rPr>
                <w:noProof/>
              </w:rPr>
              <w:instrText xml:space="preserve"> STYLEREF 1 \s </w:instrText>
            </w:r>
            <w:r w:rsidRPr="00CC6CA3">
              <w:rPr>
                <w:noProof/>
              </w:rPr>
              <w:fldChar w:fldCharType="separate"/>
            </w:r>
            <w:r w:rsidR="001906D9" w:rsidRPr="00CC6CA3">
              <w:rPr>
                <w:noProof/>
              </w:rPr>
              <w:t>2</w:t>
            </w:r>
            <w:r w:rsidRPr="00CC6CA3">
              <w:rPr>
                <w:noProof/>
              </w:rPr>
              <w:fldChar w:fldCharType="end"/>
            </w:r>
            <w:r w:rsidRPr="00CC6CA3">
              <w:noBreakHyphen/>
            </w:r>
            <w:r w:rsidRPr="00CC6CA3">
              <w:rPr>
                <w:noProof/>
              </w:rPr>
              <w:fldChar w:fldCharType="begin"/>
            </w:r>
            <w:r w:rsidRPr="00CC6CA3">
              <w:rPr>
                <w:noProof/>
              </w:rPr>
              <w:instrText xml:space="preserve"> SEQ Equation \* ARABIC \s 1 </w:instrText>
            </w:r>
            <w:r w:rsidRPr="00CC6CA3">
              <w:rPr>
                <w:noProof/>
              </w:rPr>
              <w:fldChar w:fldCharType="separate"/>
            </w:r>
            <w:r w:rsidR="001906D9" w:rsidRPr="00CC6CA3">
              <w:rPr>
                <w:noProof/>
              </w:rPr>
              <w:t>1</w:t>
            </w:r>
            <w:r w:rsidRPr="00CC6CA3">
              <w:rPr>
                <w:noProof/>
              </w:rPr>
              <w:fldChar w:fldCharType="end"/>
            </w:r>
            <w:r w:rsidRPr="00CC6CA3">
              <w:rPr>
                <w:noProof/>
              </w:rPr>
              <w:t>)</w:t>
            </w:r>
            <w:bookmarkEnd w:id="110"/>
          </w:p>
        </w:tc>
      </w:tr>
    </w:tbl>
    <w:p w14:paraId="223E34E0" w14:textId="77777777" w:rsidR="00E2359E" w:rsidRPr="00CC6CA3" w:rsidRDefault="00E2359E" w:rsidP="00E2359E">
      <w:r w:rsidRPr="00CC6CA3">
        <w:t xml:space="preserve">where </w:t>
      </w:r>
      <m:oMath>
        <m:r>
          <w:rPr>
            <w:rStyle w:val="mjxassistivemathml"/>
            <w:rFonts w:ascii="Cambria Math" w:hAnsi="Cambria Math"/>
            <w:bdr w:val="none" w:sz="0" w:space="0" w:color="auto" w:frame="1"/>
          </w:rPr>
          <m:t>LOF</m:t>
        </m:r>
      </m:oMath>
      <w:r w:rsidRPr="00CC6CA3">
        <w:rPr>
          <w:rStyle w:val="mjxassistivemathml"/>
          <w:bdr w:val="none" w:sz="0" w:space="0" w:color="auto" w:frame="1"/>
        </w:rPr>
        <w:t xml:space="preserve"> is </w:t>
      </w:r>
      <w:r w:rsidRPr="00CC6CA3">
        <w:t xml:space="preserve">the likelihood of the unwanted event, and </w:t>
      </w:r>
      <m:oMath>
        <m:r>
          <w:rPr>
            <w:rStyle w:val="mjxassistivemathml"/>
            <w:rFonts w:ascii="Cambria Math" w:hAnsi="Cambria Math"/>
            <w:bdr w:val="none" w:sz="0" w:space="0" w:color="auto" w:frame="1"/>
          </w:rPr>
          <m:t>COF</m:t>
        </m:r>
      </m:oMath>
      <w:r w:rsidRPr="00CC6CA3">
        <w:rPr>
          <w:rStyle w:val="mjxassistivemathml"/>
          <w:bdr w:val="none" w:sz="0" w:space="0" w:color="auto" w:frame="1"/>
        </w:rPr>
        <w:t xml:space="preserve"> is </w:t>
      </w:r>
      <w:r w:rsidRPr="00CC6CA3">
        <w:t xml:space="preserve">the associated </w:t>
      </w:r>
      <w:proofErr w:type="gramStart"/>
      <w:r w:rsidRPr="00CC6CA3">
        <w:t>consequences.</w:t>
      </w:r>
      <w:proofErr w:type="gramEnd"/>
      <w:r w:rsidRPr="00CC6CA3">
        <w:t xml:space="preserve"> In quantitative models, the likelihood is replaced by the probability of an unwanted event.</w:t>
      </w:r>
    </w:p>
    <w:p w14:paraId="477F2E52" w14:textId="77777777" w:rsidR="00E2359E" w:rsidRPr="00CC6CA3" w:rsidRDefault="00E2359E" w:rsidP="00E2359E">
      <w:pPr>
        <w:pStyle w:val="Heading3"/>
      </w:pPr>
      <w:bookmarkStart w:id="111" w:name="_Toc81553252"/>
      <w:r w:rsidRPr="00CC6CA3">
        <w:t>Condition-based maintenance</w:t>
      </w:r>
      <w:bookmarkEnd w:id="111"/>
    </w:p>
    <w:p w14:paraId="7520DB6C" w14:textId="2D90DEE1" w:rsidR="00E2359E" w:rsidRPr="00CC6CA3" w:rsidRDefault="00E2359E" w:rsidP="00E2359E">
      <w:r w:rsidRPr="00CC6CA3">
        <w:t xml:space="preserve">In recent years, </w:t>
      </w:r>
      <w:r w:rsidR="00201E7D" w:rsidRPr="00CC6CA3">
        <w:t>many petrochemical plants have utilised advanced monitoring methods to enhance their knowledge and understanding of their equipment's performance and impact on process behaviour to provide a practical and structured approach for a satisfactory maintenance strategy. CBM is becoming increasingly popular, with continuous surveys of the working conditions of a machine in real-time to determine the presence of faulty components and suggest required maintenance, rather than conducting maintenance based on a predetermined schedule</w:t>
      </w:r>
      <w:r w:rsidRPr="00CC6CA3">
        <w:t xml:space="preserve"> </w:t>
      </w:r>
      <w:r w:rsidRPr="00CC6CA3">
        <w:fldChar w:fldCharType="begin" w:fldLock="1"/>
      </w:r>
      <w:r w:rsidR="007D1BCC" w:rsidRPr="00CC6CA3">
        <w:instrText xml:space="preserve"> ADDIN ZOTERO_ITEM CSL_CITATION {"citationID":"0DCcBb09","properties":{"formattedCitation":"[25]","plainCitation":"[25]","noteIndex":0},"citationItems":[{"id":"jMlmauCg/ESGbepHG","uris":["http://www.mendeley.com/documents/?uuid=c14e6995-e660-4524-9faa-335ec1db0fec"],"uri":["http://www.mendeley.com/documents/?uuid=c14e6995-e660-4524-9faa-335ec1db0fec"],"itemData":{"DOI":"10.1108/13552511111116240","ISBN":"1020130067","ISSN":"1355-2511","author":[{"dropping-particle":"","family":"Veldman","given":"Jasper","non-dropping-particle":"","parse-names":false,"suffix":""},{"dropping-particle":"","family":"Klingenberg","given":"Warse","non-dropping-particle":"","parse-names":false,"suffix":""},{"dropping-particle":"","family":"Wortmann","given":"Hans","non-dropping-particle":"","parse-names":false,"suffix":""}],"container-title":"Journal of Quality in Maintenance Engineering","id":"ITEM-1","issue":"1","issued":{"date-parts":[["2011"]]},"page":"40-62","title":"Managing condition-based maintenance technology","type":"article-journal","volume":"17"}}],"schema":"https://github.com/citation-style-language/schema/raw/master/csl-citation.json"} </w:instrText>
      </w:r>
      <w:r w:rsidRPr="00CC6CA3">
        <w:fldChar w:fldCharType="separate"/>
      </w:r>
      <w:r w:rsidR="00854B0F" w:rsidRPr="00CC6CA3">
        <w:rPr>
          <w:rFonts w:cs="Times New Roman"/>
        </w:rPr>
        <w:t>[25]</w:t>
      </w:r>
      <w:r w:rsidRPr="00CC6CA3">
        <w:fldChar w:fldCharType="end"/>
      </w:r>
      <w:r w:rsidRPr="00CC6CA3">
        <w:t xml:space="preserve">. </w:t>
      </w:r>
      <w:r w:rsidR="00201E7D" w:rsidRPr="00CC6CA3">
        <w:t xml:space="preserve">This maintenance strategy has quickly become an attractive alternative to traditional approaches (i.e., </w:t>
      </w:r>
      <w:r w:rsidR="000D5D62" w:rsidRPr="00CC6CA3">
        <w:t>PPM</w:t>
      </w:r>
      <w:r w:rsidR="00201E7D" w:rsidRPr="00CC6CA3">
        <w:t xml:space="preserve"> described</w:t>
      </w:r>
      <w:r w:rsidRPr="00CC6CA3">
        <w:t xml:space="preserve"> in Section 2.2.2).</w:t>
      </w:r>
    </w:p>
    <w:p w14:paraId="088EC40F" w14:textId="186B525F" w:rsidR="00E2359E" w:rsidRPr="00CC6CA3" w:rsidRDefault="00E2359E" w:rsidP="00E2359E">
      <w:pPr>
        <w:pStyle w:val="Heading4"/>
      </w:pPr>
      <w:r w:rsidRPr="00CC6CA3">
        <w:t xml:space="preserve">The typical process of </w:t>
      </w:r>
      <w:hyperlink r:id="rId27" w:history="1">
        <w:r w:rsidRPr="00CC6CA3">
          <w:t>condition-based maintenance</w:t>
        </w:r>
      </w:hyperlink>
    </w:p>
    <w:p w14:paraId="680436CF" w14:textId="5B6634A7" w:rsidR="00E2359E" w:rsidRPr="00CC6CA3" w:rsidRDefault="00E2359E" w:rsidP="00E2359E">
      <w:r w:rsidRPr="00CC6CA3">
        <w:t xml:space="preserve">A CBM program typically includes three key steps, as shown in </w:t>
      </w:r>
      <w:r w:rsidRPr="00CC6CA3">
        <w:fldChar w:fldCharType="begin"/>
      </w:r>
      <w:r w:rsidRPr="00CC6CA3">
        <w:instrText xml:space="preserve"> REF _Ref8146439 \h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4</w:t>
      </w:r>
      <w:r w:rsidRPr="00CC6CA3">
        <w:fldChar w:fldCharType="end"/>
      </w:r>
      <w:r w:rsidRPr="00CC6CA3">
        <w:t xml:space="preserve">: data acquisition, data processing, and maintenance decision-making </w:t>
      </w:r>
      <w:r w:rsidRPr="00CC6CA3">
        <w:fldChar w:fldCharType="begin"/>
      </w:r>
      <w:r w:rsidR="007D1BCC" w:rsidRPr="00CC6CA3">
        <w:instrText xml:space="preserve"> ADDIN ZOTERO_ITEM CSL_CITATION {"citationID":"Aem2bniw","properties":{"formattedCitation":"[11]","plainCitation":"[11]","noteIndex":0},"citationItems":[{"id":"jMlmauCg/7tDFYACf","uris":["http://zotero.org/users/1213095/items/BMFRC9QJ"],"uri":["http://zotero.org/users/1213095/items/BMFRC9QJ"],"itemData":{"id":319,"type":"book","title":"Vibration Monitoring, Testing, and Instrumentation","publisher":"Taylor &amp; Francis Group, LLC","source":"www.crcpress.com","abstract":"Controlling a system's vibrational behavior, whether for reducing harmful vibrations or for enhancing useful types, is critical to ensure safe and economical o…","URL":"http://www.crcpress.com/product/isbn/9781420053197","note":"01","author":[{"family":"Clarence W. de Silva","given":""}],"issued":{"date-parts":[["2007"]]},"accessed":{"date-parts":[["2013",8,4]]}}}],"schema":"https://github.com/citation-style-language/schema/raw/master/csl-citation.json"} </w:instrText>
      </w:r>
      <w:r w:rsidRPr="00CC6CA3">
        <w:fldChar w:fldCharType="separate"/>
      </w:r>
      <w:r w:rsidR="00854B0F" w:rsidRPr="00CC6CA3">
        <w:rPr>
          <w:rFonts w:cs="Times New Roman"/>
        </w:rPr>
        <w:t>[11]</w:t>
      </w:r>
      <w:r w:rsidRPr="00CC6CA3">
        <w:fldChar w:fldCharType="end"/>
      </w:r>
      <w:r w:rsidRPr="00CC6CA3">
        <w:t>. Each process is described below.</w:t>
      </w:r>
    </w:p>
    <w:p w14:paraId="04B7885B" w14:textId="68857229" w:rsidR="00E2359E" w:rsidRPr="00CC6CA3" w:rsidRDefault="00667171" w:rsidP="00E2359E">
      <w:pPr>
        <w:pStyle w:val="Figurewithoutspace"/>
        <w:keepNext/>
      </w:pPr>
      <w:r w:rsidRPr="00CC6CA3">
        <w:rPr>
          <w:rFonts w:eastAsiaTheme="minorEastAsia"/>
        </w:rPr>
        <w:object w:dxaOrig="5828" w:dyaOrig="1066" w14:anchorId="7F983FE8">
          <v:shape id="_x0000_i1028" type="#_x0000_t75" style="width:279pt;height:55pt" o:ole="">
            <v:imagedata r:id="rId28" o:title=""/>
          </v:shape>
          <o:OLEObject Type="Embed" ProgID="Visio.Drawing.11" ShapeID="_x0000_i1028" DrawAspect="Content" ObjectID="_1692500307" r:id="rId29"/>
        </w:object>
      </w:r>
    </w:p>
    <w:p w14:paraId="0FF6C6C8" w14:textId="2E7CF40C" w:rsidR="00E2359E" w:rsidRPr="00CC6CA3" w:rsidRDefault="00E2359E" w:rsidP="00E2359E">
      <w:pPr>
        <w:pStyle w:val="Caption"/>
        <w:jc w:val="center"/>
      </w:pPr>
      <w:bookmarkStart w:id="112" w:name="_Ref8146439"/>
      <w:bookmarkStart w:id="113" w:name="_Toc81553333"/>
      <w:r w:rsidRPr="00CC6CA3">
        <w:t xml:space="preserve">Figure </w:t>
      </w:r>
      <w:r w:rsidR="00D62691" w:rsidRPr="00CC6CA3">
        <w:fldChar w:fldCharType="begin"/>
      </w:r>
      <w:r w:rsidR="00D62691" w:rsidRPr="00CC6CA3">
        <w:instrText xml:space="preserve"> STYLEREF 1 \</w:instrText>
      </w:r>
      <w:r w:rsidR="00D62691" w:rsidRPr="00CC6CA3">
        <w:instrText xml:space="preserve">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w:t>
      </w:r>
      <w:r w:rsidR="00D62691" w:rsidRPr="00CC6CA3">
        <w:rPr>
          <w:noProof/>
        </w:rPr>
        <w:fldChar w:fldCharType="end"/>
      </w:r>
      <w:bookmarkEnd w:id="112"/>
      <w:r w:rsidRPr="00CC6CA3">
        <w:t xml:space="preserve"> Main processes in a CBM program </w:t>
      </w:r>
      <w:r w:rsidRPr="00CC6CA3">
        <w:fldChar w:fldCharType="begin"/>
      </w:r>
      <w:r w:rsidR="007D1BCC" w:rsidRPr="00CC6CA3">
        <w:instrText xml:space="preserve"> ADDIN ZOTERO_ITEM CSL_CITATION {"citationID":"ZK22KyMw","properties":{"formattedCitation":"[11]","plainCitation":"[11]","noteIndex":0},"citationItems":[{"id":"jMlmauCg/7tDFYACf","uris":["http://zotero.org/users/1213095/items/BMFRC9QJ"],"uri":["http://zotero.org/users/1213095/items/BMFRC9QJ"],"itemData":{"id":319,"type":"book","title":"Vibration Monitoring, Testing, and Instrumentation","publisher":"Taylor &amp; Francis Group, LLC","source":"www.crcpress.com","abstract":"Controlling a system's vibrational behavior, whether for reducing harmful vibrations or for enhancing useful types, is critical to ensure safe and economical o…","URL":"http://www.crcpress.com/product/isbn/9781420053197","note":"01","author":[{"family":"Clarence W. de Silva","given":""}],"issued":{"date-parts":[["2007"]]},"accessed":{"date-parts":[["2013",8,4]]}}}],"schema":"https://github.com/citation-style-language/schema/raw/master/csl-citation.json"} </w:instrText>
      </w:r>
      <w:r w:rsidRPr="00CC6CA3">
        <w:fldChar w:fldCharType="separate"/>
      </w:r>
      <w:r w:rsidR="00854B0F" w:rsidRPr="00CC6CA3">
        <w:rPr>
          <w:rFonts w:cs="Times New Roman"/>
        </w:rPr>
        <w:t>[11]</w:t>
      </w:r>
      <w:bookmarkEnd w:id="113"/>
      <w:r w:rsidRPr="00CC6CA3">
        <w:fldChar w:fldCharType="end"/>
      </w:r>
    </w:p>
    <w:p w14:paraId="09349138" w14:textId="6E96392A" w:rsidR="00E2359E" w:rsidRPr="00CC6CA3" w:rsidRDefault="00E2359E" w:rsidP="00E2359E">
      <w:r w:rsidRPr="00CC6CA3">
        <w:t xml:space="preserve">In general, </w:t>
      </w:r>
      <w:r w:rsidR="006B155A" w:rsidRPr="00CC6CA3">
        <w:t xml:space="preserve">the data acquisition step collects data related to the heath of the system. In CBM, various data types can be used, which can be acquired by, for example, vibration monitoring, performance monitoring, acoustic emission monitoring, oil analysis, and shock pulses. With the rapid development of computer and advanced sensor technologies, data acquisition equipment and related technologies have become more powerful and less expensive, making data acquisition more affordable and feasible </w:t>
      </w:r>
      <w:r w:rsidRPr="00CC6CA3">
        <w:fldChar w:fldCharType="begin"/>
      </w:r>
      <w:r w:rsidR="00854B0F" w:rsidRPr="00CC6CA3">
        <w:instrText xml:space="preserve"> ADDIN ZOTERO_ITEM CSL_CITATION {"citationID":"2tsOXdT9","properties":{"formattedCitation":"[14]","plainCitation":"[14]","noteIndex":0},"citationItems":[{"id":4,"uris":["http://zotero.org/users/3051968/items/ESWKWJYN"],"uri":["http://zotero.org/users/3051968/items/ESWKWJYN"],"itemData":{"id":4,"type":"article-journal","container-title":"Mechanical Systems and Signal Processing","DOI":"10.1016/j.ymssp.2005.09.012","ISSN":"08883270","issue":"7","language":"en","page":"1483-1510","source":"CrossRef","title":"A review on machinery diagnostics and prognostics implementing condition-based maintenance","volume":"20","author":[{"family":"Jardine","given":"Andrew K.S."},{"family":"Lin","given":"Daming"},{"family":"Banjevic","given":"Dragan"}],"issued":{"date-parts":[["2006",10]]}}}],"schema":"https://github.com/citation-style-language/schema/raw/master/csl-citation.json"} </w:instrText>
      </w:r>
      <w:r w:rsidRPr="00CC6CA3">
        <w:fldChar w:fldCharType="separate"/>
      </w:r>
      <w:r w:rsidR="00854B0F" w:rsidRPr="00CC6CA3">
        <w:rPr>
          <w:rFonts w:cs="Times New Roman"/>
        </w:rPr>
        <w:t>[14]</w:t>
      </w:r>
      <w:r w:rsidRPr="00CC6CA3">
        <w:fldChar w:fldCharType="end"/>
      </w:r>
      <w:r w:rsidRPr="00CC6CA3">
        <w:t>.</w:t>
      </w:r>
    </w:p>
    <w:p w14:paraId="40B3CB6A" w14:textId="78B54758" w:rsidR="00E2359E" w:rsidRPr="00CC6CA3" w:rsidRDefault="00EE3D59" w:rsidP="00E2359E">
      <w:r w:rsidRPr="00CC6CA3">
        <w:t>D</w:t>
      </w:r>
      <w:r w:rsidR="00E2359E" w:rsidRPr="00CC6CA3">
        <w:t>ata processing is a process of collecting and storing data from targeted physical assets</w:t>
      </w:r>
      <w:r w:rsidR="00E2359E" w:rsidRPr="00CC6CA3">
        <w:rPr>
          <w:rFonts w:cs="Times New Roman"/>
          <w:szCs w:val="24"/>
        </w:rPr>
        <w:t xml:space="preserve"> </w:t>
      </w:r>
      <w:r w:rsidR="00E2359E" w:rsidRPr="00CC6CA3">
        <w:rPr>
          <w:rFonts w:cs="Times New Roman"/>
          <w:szCs w:val="24"/>
        </w:rPr>
        <w:fldChar w:fldCharType="begin"/>
      </w:r>
      <w:r w:rsidR="00854B0F" w:rsidRPr="00CC6CA3">
        <w:rPr>
          <w:rFonts w:cs="Times New Roman"/>
          <w:szCs w:val="24"/>
        </w:rPr>
        <w:instrText xml:space="preserve"> ADDIN ZOTERO_ITEM CSL_CITATION {"citationID":"ak7m78elh6","properties":{"formattedCitation":"[14]","plainCitation":"[14]","noteIndex":0},"citationItems":[{"id":4,"uris":["http://zotero.org/users/3051968/items/ESWKWJYN"],"uri":["http://zotero.org/users/3051968/items/ESWKWJYN"],"itemData":{"id":4,"type":"article-journal","container-title":"Mechanical Systems and Signal Processing","DOI":"10.1016/j.ymssp.2005.09.012","ISSN":"08883270","issue":"7","language":"en","page":"1483-1510","source":"CrossRef","title":"A review on machinery diagnostics and prognostics implementing condition-based maintenance","volume":"20","author":[{"family":"Jardine","given":"Andrew K.S."},{"family":"Lin","given":"Daming"},{"family":"Banjevic","given":"Dragan"}],"issued":{"date-parts":[["2006",10]]}}}],"schema":"https://github.com/citation-style-language/schema/raw/master/csl-citation.json"} </w:instrText>
      </w:r>
      <w:r w:rsidR="00E2359E" w:rsidRPr="00CC6CA3">
        <w:rPr>
          <w:rFonts w:cs="Times New Roman"/>
          <w:szCs w:val="24"/>
        </w:rPr>
        <w:fldChar w:fldCharType="separate"/>
      </w:r>
      <w:r w:rsidR="00854B0F" w:rsidRPr="00CC6CA3">
        <w:rPr>
          <w:rFonts w:cs="Times New Roman"/>
        </w:rPr>
        <w:t>[14]</w:t>
      </w:r>
      <w:r w:rsidR="00E2359E" w:rsidRPr="00CC6CA3">
        <w:rPr>
          <w:rFonts w:cs="Times New Roman"/>
          <w:szCs w:val="24"/>
        </w:rPr>
        <w:fldChar w:fldCharType="end"/>
      </w:r>
      <w:r w:rsidR="00E2359E" w:rsidRPr="00CC6CA3">
        <w:rPr>
          <w:rFonts w:cs="Times New Roman"/>
          <w:szCs w:val="24"/>
        </w:rPr>
        <w:t xml:space="preserve">. It </w:t>
      </w:r>
      <w:r w:rsidR="004651B3" w:rsidRPr="00CC6CA3">
        <w:t>analyses the obtained data to better diagnose faults and assess the system’s health. Some state-of-the-art</w:t>
      </w:r>
      <w:r w:rsidR="002E57F2" w:rsidRPr="00CC6CA3">
        <w:t xml:space="preserve"> </w:t>
      </w:r>
      <w:r w:rsidR="004651B3" w:rsidRPr="00CC6CA3">
        <w:t>diagnosis algorithms that are applied in the petrochemical sector are reviewed</w:t>
      </w:r>
      <w:r w:rsidR="00E2359E" w:rsidRPr="00CC6CA3">
        <w:t xml:space="preserve"> in Section 2.3.1.</w:t>
      </w:r>
    </w:p>
    <w:p w14:paraId="4C8F7294" w14:textId="0A6C5844" w:rsidR="00E2359E" w:rsidRPr="00CC6CA3" w:rsidRDefault="00E2359E" w:rsidP="00E2359E">
      <w:r w:rsidRPr="00CC6CA3">
        <w:lastRenderedPageBreak/>
        <w:t xml:space="preserve">The purpose of a maintenance decision-making process is to provide effective maintenance strategies. </w:t>
      </w:r>
      <w:r w:rsidRPr="00CC6CA3">
        <w:rPr>
          <w:rFonts w:hint="eastAsia"/>
        </w:rPr>
        <w:t xml:space="preserve">Decisions </w:t>
      </w:r>
      <w:r w:rsidR="002E57F2" w:rsidRPr="00CC6CA3">
        <w:rPr>
          <w:rFonts w:hint="eastAsia"/>
        </w:rPr>
        <w:t>can be made based on the assessment of current conditions or forecast</w:t>
      </w:r>
      <w:r w:rsidR="002E57F2" w:rsidRPr="00CC6CA3">
        <w:t>ed</w:t>
      </w:r>
      <w:r w:rsidR="002E57F2" w:rsidRPr="00CC6CA3">
        <w:rPr>
          <w:rFonts w:hint="eastAsia"/>
        </w:rPr>
        <w:t xml:space="preserve"> future conditions</w:t>
      </w:r>
      <w:r w:rsidR="002E57F2" w:rsidRPr="00CC6CA3">
        <w:t xml:space="preserve"> </w:t>
      </w:r>
      <w:r w:rsidRPr="00CC6CA3">
        <w:fldChar w:fldCharType="begin"/>
      </w:r>
      <w:r w:rsidR="00854B0F" w:rsidRPr="00CC6CA3">
        <w:instrText xml:space="preserve"> ADDIN ZOTERO_ITEM CSL_CITATION {"citationID":"bzDU0b6a","properties":{"formattedCitation":"[26]","plainCitation":"[26]","noteIndex":0},"citationItems":[{"id":147,"uris":["http://zotero.org/users/3051968/items/8GV9ZUW5"],"uri":["http://zotero.org/users/3051968/items/8GV9ZUW5"],"itemData":{"id":147,"type":"article-journal","abstract":"Condition-based maintenance (CBM) has been a research topic since 1975. It has been introduced as an alternative approach to enhance the effectiveness of preventive maintenance strategy. Currently, CBM research is growing rapidly. Compared with the traditional time-based maintenance approach, CBM application is more beneficial and realistic. With CBM, better maintenance decisions can be made to avoid or minimise unnecessary maintenance costs. This paper attempts to explore how exactly CBM decision-making is conducted, with the methods of decision-making classified into current-condition-evaluation-based and future-condition-prediction-based. This paper systematically reviews the applications of these methods by focusing on the techniques used, as well as on case studies. It concludes with findings based on the academic and industrial perspectives.","container-title":"European J. of Industrial Engineering","DOI":"10.1504/EJIE.2012.048854","ISSN":"1751-5254, 1751-5262","issue":"5","journalAbbreviation":"EJIE","language":"en","page":"519","source":"DOI.org (Crossref)","title":"A review of condition-based maintenance decision-making","volume":"6","author":[{"family":"Ahmad","given":"Rosmaini"},{"family":"Kamaruddin","given":"Shahrul"}],"issued":{"date-parts":[["2012"]]}}}],"schema":"https://github.com/citation-style-language/schema/raw/master/csl-citation.json"} </w:instrText>
      </w:r>
      <w:r w:rsidRPr="00CC6CA3">
        <w:fldChar w:fldCharType="separate"/>
      </w:r>
      <w:r w:rsidR="00854B0F" w:rsidRPr="00CC6CA3">
        <w:rPr>
          <w:rFonts w:cs="Times New Roman"/>
        </w:rPr>
        <w:t>[26]</w:t>
      </w:r>
      <w:r w:rsidRPr="00CC6CA3">
        <w:fldChar w:fldCharType="end"/>
      </w:r>
      <w:r w:rsidRPr="00CC6CA3">
        <w:rPr>
          <w:rFonts w:hint="eastAsia"/>
        </w:rPr>
        <w:t>.</w:t>
      </w:r>
      <w:r w:rsidRPr="00CC6CA3">
        <w:t xml:space="preserve"> For the </w:t>
      </w:r>
      <w:r w:rsidRPr="00CC6CA3">
        <w:rPr>
          <w:rFonts w:hint="eastAsia"/>
        </w:rPr>
        <w:t xml:space="preserve">current-condition-evaluation-based </w:t>
      </w:r>
      <w:r w:rsidRPr="00CC6CA3">
        <w:t>maintenance method,</w:t>
      </w:r>
      <w:r w:rsidRPr="00CC6CA3">
        <w:rPr>
          <w:rFonts w:hint="eastAsia"/>
        </w:rPr>
        <w:t xml:space="preserve"> the device </w:t>
      </w:r>
      <w:r w:rsidRPr="00CC6CA3">
        <w:t>will</w:t>
      </w:r>
      <w:r w:rsidRPr="00CC6CA3">
        <w:rPr>
          <w:rFonts w:hint="eastAsia"/>
        </w:rPr>
        <w:t xml:space="preserve"> be maintained</w:t>
      </w:r>
      <w:r w:rsidRPr="00CC6CA3">
        <w:t xml:space="preserve"> when</w:t>
      </w:r>
      <w:r w:rsidRPr="00CC6CA3">
        <w:rPr>
          <w:rFonts w:hint="eastAsia"/>
        </w:rPr>
        <w:t xml:space="preserve"> the current state level of </w:t>
      </w:r>
      <w:r w:rsidRPr="00CC6CA3">
        <w:t xml:space="preserve">the equipment </w:t>
      </w:r>
      <w:r w:rsidRPr="00CC6CA3">
        <w:rPr>
          <w:rFonts w:hint="eastAsia"/>
        </w:rPr>
        <w:t xml:space="preserve">reaches or exceeds </w:t>
      </w:r>
      <w:r w:rsidRPr="00CC6CA3">
        <w:t xml:space="preserve">the predefined </w:t>
      </w:r>
      <w:r w:rsidRPr="00CC6CA3">
        <w:rPr>
          <w:rFonts w:hint="eastAsia"/>
        </w:rPr>
        <w:t>limit</w:t>
      </w:r>
      <w:r w:rsidRPr="00CC6CA3">
        <w:t xml:space="preserve">(s). For the </w:t>
      </w:r>
      <w:r w:rsidRPr="00CC6CA3">
        <w:rPr>
          <w:rFonts w:hint="eastAsia"/>
        </w:rPr>
        <w:t>future-condition-prediction-based</w:t>
      </w:r>
      <w:r w:rsidRPr="00CC6CA3">
        <w:t xml:space="preserve"> maintenance method, the maintenance is scheduled based on </w:t>
      </w:r>
      <w:r w:rsidRPr="00CC6CA3">
        <w:rPr>
          <w:rFonts w:hint="eastAsia"/>
        </w:rPr>
        <w:t>future forecast results</w:t>
      </w:r>
      <w:r w:rsidRPr="00CC6CA3">
        <w:t xml:space="preserve">. </w:t>
      </w:r>
    </w:p>
    <w:p w14:paraId="362B8623" w14:textId="71F9BB00" w:rsidR="00E2359E" w:rsidRPr="00CC6CA3" w:rsidRDefault="00E2359E" w:rsidP="00E2359E">
      <w:r w:rsidRPr="00CC6CA3">
        <w:t xml:space="preserve">According </w:t>
      </w:r>
      <w:r w:rsidR="00B77D25" w:rsidRPr="00CC6CA3">
        <w:t>to the abovementioned CBM processes</w:t>
      </w:r>
      <w:r w:rsidR="00B77D25" w:rsidRPr="00CC6CA3">
        <w:rPr>
          <w:rFonts w:hint="eastAsia"/>
        </w:rPr>
        <w:t xml:space="preserve">, the maintenance time </w:t>
      </w:r>
      <w:r w:rsidR="00B77D25" w:rsidRPr="00CC6CA3">
        <w:t xml:space="preserve">and detailed action </w:t>
      </w:r>
      <w:r w:rsidR="00B77D25" w:rsidRPr="00CC6CA3">
        <w:rPr>
          <w:rFonts w:hint="eastAsia"/>
        </w:rPr>
        <w:t xml:space="preserve">are determined based on the </w:t>
      </w:r>
      <w:r w:rsidR="00B77D25" w:rsidRPr="00CC6CA3">
        <w:t>health condition of each item of equipment</w:t>
      </w:r>
      <w:r w:rsidR="00B77D25" w:rsidRPr="00CC6CA3">
        <w:rPr>
          <w:rFonts w:hint="eastAsia"/>
        </w:rPr>
        <w:t>. Therefore, CBM allows maintenance activities to be planned as needed, making it an attractive alternative to traditional strategies (i</w:t>
      </w:r>
      <w:r w:rsidR="00B77D25" w:rsidRPr="00CC6CA3">
        <w:t>.</w:t>
      </w:r>
      <w:r w:rsidR="00B77D25" w:rsidRPr="00CC6CA3">
        <w:rPr>
          <w:rFonts w:hint="eastAsia"/>
        </w:rPr>
        <w:t>e</w:t>
      </w:r>
      <w:r w:rsidR="00B77D25" w:rsidRPr="00CC6CA3">
        <w:t>.,</w:t>
      </w:r>
      <w:r w:rsidR="00B77D25" w:rsidRPr="00CC6CA3">
        <w:rPr>
          <w:rFonts w:hint="eastAsia"/>
        </w:rPr>
        <w:t xml:space="preserve"> </w:t>
      </w:r>
      <w:r w:rsidR="000D5D62" w:rsidRPr="00CC6CA3">
        <w:rPr>
          <w:rFonts w:hint="eastAsia"/>
        </w:rPr>
        <w:t>PPM</w:t>
      </w:r>
      <w:r w:rsidRPr="00CC6CA3">
        <w:rPr>
          <w:rFonts w:hint="eastAsia"/>
        </w:rPr>
        <w:t>).</w:t>
      </w:r>
    </w:p>
    <w:p w14:paraId="3EC5B58C" w14:textId="30C810D4" w:rsidR="00E2359E" w:rsidRPr="00CC6CA3" w:rsidRDefault="00E2359E" w:rsidP="00E2359E">
      <w:pPr>
        <w:pStyle w:val="Heading4"/>
      </w:pPr>
      <w:r w:rsidRPr="00CC6CA3">
        <w:t xml:space="preserve">Health indicator of </w:t>
      </w:r>
      <w:hyperlink r:id="rId30" w:history="1">
        <w:r w:rsidRPr="00CC6CA3">
          <w:t>condition-based maintenance</w:t>
        </w:r>
      </w:hyperlink>
    </w:p>
    <w:p w14:paraId="41D2849D" w14:textId="2B2F5A63" w:rsidR="00E2359E" w:rsidRPr="00CC6CA3" w:rsidRDefault="00C45053" w:rsidP="00E2359E">
      <w:r w:rsidRPr="00CC6CA3">
        <w:t xml:space="preserve">The health indicator should reflect the health status and degradation process of the equipment. In CBM, the health indicator can be one or several key variables that are most sensitive to system health </w:t>
      </w:r>
      <w:r w:rsidR="00E2359E" w:rsidRPr="00CC6CA3">
        <w:fldChar w:fldCharType="begin"/>
      </w:r>
      <w:r w:rsidR="00854B0F" w:rsidRPr="00CC6CA3">
        <w:instrText xml:space="preserve"> ADDIN ZOTERO_ITEM CSL_CITATION {"citationID":"OC1aMSzk","properties":{"formattedCitation":"[27]","plainCitation":"[27]","noteIndex":0},"citationItems":[{"id":867,"uris":["http://zotero.org/users/3051968/items/3SXZT2C4"],"uri":["http://zotero.org/users/3051968/items/3SXZT2C4"],"itemData":{"id":867,"type":"article-journal","abstract":"This paper presents a novel dynamic quantitative risk assessment method to analyze the operational performance of chemical processes. Unlike traditional methods, the proposed method estimates the probability of undesirable event occurrence by monitoring multiple key variables in the process. This probability is continuously updated considering real-time disturbances in the variables. The consequences are estimated using dynamic loss functions developed considering multiple key state variables. As a result, the process׳ operational performance is assessed dynamically in the form of quantitative risk (dollar) value. The quantitative dynamic risk value helps to make swift operational decisions to maintain the process within the safer operating limits, thus preventing untoward incidents/accidents. To demonstrate the efficacy of the proposed methodology, it is tested on two case studies, a simple tank system and the benchmark Tennessee Eastman process.","container-title":"Chemical Engineering Science","DOI":"10.1016/j.ces.2015.11.034","ISSN":"0009-2509","journalAbbreviation":"Chemical Engineering Science","language":"en","page":"62-78","source":"ScienceDirect","title":"Dynamic quantitative operational risk assessment of chemical processes","volume":"142","author":[{"family":"Wang","given":"Hangzhou"},{"family":"Khan","given":"Faisal"},{"family":"Ahmed","given":"Salim"},{"family":"Imtiaz","given":"Syed"}],"issued":{"date-parts":[["2016",3,13]]}}}],"schema":"https://github.com/citation-style-language/schema/raw/master/csl-citation.json"} </w:instrText>
      </w:r>
      <w:r w:rsidR="00E2359E" w:rsidRPr="00CC6CA3">
        <w:fldChar w:fldCharType="separate"/>
      </w:r>
      <w:r w:rsidR="00854B0F" w:rsidRPr="00CC6CA3">
        <w:rPr>
          <w:rFonts w:cs="Times New Roman"/>
        </w:rPr>
        <w:t>[27]</w:t>
      </w:r>
      <w:r w:rsidR="00E2359E" w:rsidRPr="00CC6CA3">
        <w:fldChar w:fldCharType="end"/>
      </w:r>
      <w:r w:rsidR="00E2359E" w:rsidRPr="00CC6CA3">
        <w:t xml:space="preserve">; </w:t>
      </w:r>
      <w:r w:rsidRPr="00CC6CA3">
        <w:t>or it can be a calculated as a system-wide feature</w:t>
      </w:r>
      <w:r w:rsidR="00E2359E" w:rsidRPr="00CC6CA3">
        <w:t xml:space="preserve">. Section 2.2.4.2.1 </w:t>
      </w:r>
      <w:r w:rsidRPr="00CC6CA3">
        <w:t xml:space="preserve">lists </w:t>
      </w:r>
      <w:r w:rsidR="00E2359E" w:rsidRPr="00CC6CA3">
        <w:t>some of the key variables/features (condition indicators) used in the fault detection of rotating machinery. Section 2.2.4.2.2 to Section 2.2.4.2.5 review four commonly used system features in CBM.</w:t>
      </w:r>
    </w:p>
    <w:p w14:paraId="44366330" w14:textId="77777777" w:rsidR="00E2359E" w:rsidRPr="00CC6CA3" w:rsidRDefault="00E2359E" w:rsidP="00E2359E">
      <w:pPr>
        <w:pStyle w:val="Heading5"/>
      </w:pPr>
      <w:r w:rsidRPr="00CC6CA3">
        <w:t>Condition indicators</w:t>
      </w:r>
    </w:p>
    <w:p w14:paraId="5DF888D5" w14:textId="5FB00A63" w:rsidR="00E60958" w:rsidRPr="00CC6CA3" w:rsidRDefault="00E2359E" w:rsidP="00E2359E">
      <w:r w:rsidRPr="00CC6CA3">
        <w:t xml:space="preserve">A condition indicator in CBM changes in a predictable way as the system degrades or operates in different operational modes. An appropriate condition indicator is useful for distinguishing normal from faulty operation or for predicting system performance. The condition indicators for the fault detection of rotating machinery are summarised in </w:t>
      </w:r>
      <w:r w:rsidRPr="00CC6CA3">
        <w:fldChar w:fldCharType="begin"/>
      </w:r>
      <w:r w:rsidRPr="00CC6CA3">
        <w:instrText xml:space="preserve"> REF _Ref507879676 \h  \* MERGEFORMAT </w:instrText>
      </w:r>
      <w:r w:rsidRPr="00CC6CA3">
        <w:fldChar w:fldCharType="separate"/>
      </w:r>
      <w:r w:rsidR="001906D9" w:rsidRPr="00CC6CA3">
        <w:t>Table 2.1</w:t>
      </w:r>
      <w:r w:rsidRPr="00CC6CA3">
        <w:fldChar w:fldCharType="end"/>
      </w:r>
      <w:r w:rsidRPr="00CC6CA3">
        <w:t xml:space="preserve">. It is worth noting that a condition indicator can indicate more than one fault type. Therefore, in CBM, fault detection and identification usually </w:t>
      </w:r>
      <w:r w:rsidR="00A04227" w:rsidRPr="00CC6CA3">
        <w:t xml:space="preserve">require </w:t>
      </w:r>
      <w:r w:rsidRPr="00CC6CA3">
        <w:t>many condition indicators at one time.</w:t>
      </w:r>
    </w:p>
    <w:p w14:paraId="7ACF91DD" w14:textId="61B2D29C" w:rsidR="00E2359E" w:rsidRPr="00CC6CA3" w:rsidRDefault="00E2359E" w:rsidP="00E2359E">
      <w:pPr>
        <w:pStyle w:val="Caption"/>
      </w:pPr>
      <w:bookmarkStart w:id="114" w:name="_Ref507879676"/>
      <w:bookmarkStart w:id="115" w:name="_Toc81553466"/>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1</w:t>
      </w:r>
      <w:r w:rsidR="00D62691" w:rsidRPr="00CC6CA3">
        <w:rPr>
          <w:noProof/>
        </w:rPr>
        <w:fldChar w:fldCharType="end"/>
      </w:r>
      <w:bookmarkEnd w:id="114"/>
      <w:r w:rsidRPr="00CC6CA3">
        <w:t xml:space="preserve"> Condition indicators for the fault detection of rotating machinery in the petrochemical field</w:t>
      </w:r>
      <w:bookmarkEnd w:id="115"/>
    </w:p>
    <w:tbl>
      <w:tblPr>
        <w:tblStyle w:val="TableGrid1"/>
        <w:tblW w:w="5000" w:type="pct"/>
        <w:tblLook w:val="04A0" w:firstRow="1" w:lastRow="0" w:firstColumn="1" w:lastColumn="0" w:noHBand="0" w:noVBand="1"/>
      </w:tblPr>
      <w:tblGrid>
        <w:gridCol w:w="2213"/>
        <w:gridCol w:w="6542"/>
      </w:tblGrid>
      <w:tr w:rsidR="00CC6CA3" w:rsidRPr="00CC6CA3" w14:paraId="7E8BD361" w14:textId="77777777" w:rsidTr="00F632C0">
        <w:trPr>
          <w:trHeight w:val="77"/>
        </w:trPr>
        <w:tc>
          <w:tcPr>
            <w:tcW w:w="1264" w:type="pct"/>
            <w:vAlign w:val="center"/>
          </w:tcPr>
          <w:p w14:paraId="081BBAB5" w14:textId="77777777" w:rsidR="00E2359E" w:rsidRPr="00CC6CA3" w:rsidRDefault="00E2359E" w:rsidP="00F632C0">
            <w:pPr>
              <w:rPr>
                <w:b/>
                <w:bCs/>
                <w:sz w:val="20"/>
                <w:szCs w:val="20"/>
              </w:rPr>
            </w:pPr>
            <w:r w:rsidRPr="00CC6CA3">
              <w:rPr>
                <w:b/>
                <w:bCs/>
                <w:sz w:val="20"/>
                <w:szCs w:val="20"/>
              </w:rPr>
              <w:t>Fault type</w:t>
            </w:r>
          </w:p>
        </w:tc>
        <w:tc>
          <w:tcPr>
            <w:tcW w:w="3736" w:type="pct"/>
            <w:vAlign w:val="center"/>
          </w:tcPr>
          <w:p w14:paraId="2AD66921" w14:textId="77777777" w:rsidR="00E2359E" w:rsidRPr="00CC6CA3" w:rsidRDefault="00E2359E" w:rsidP="00F632C0">
            <w:pPr>
              <w:rPr>
                <w:b/>
                <w:bCs/>
                <w:sz w:val="20"/>
                <w:szCs w:val="20"/>
              </w:rPr>
            </w:pPr>
            <w:r w:rsidRPr="00CC6CA3">
              <w:rPr>
                <w:b/>
                <w:bCs/>
                <w:sz w:val="20"/>
                <w:szCs w:val="20"/>
              </w:rPr>
              <w:t>Condition indicators</w:t>
            </w:r>
          </w:p>
        </w:tc>
      </w:tr>
      <w:tr w:rsidR="00CC6CA3" w:rsidRPr="00CC6CA3" w14:paraId="0648938D" w14:textId="77777777" w:rsidTr="00F632C0">
        <w:trPr>
          <w:trHeight w:val="932"/>
        </w:trPr>
        <w:tc>
          <w:tcPr>
            <w:tcW w:w="1264" w:type="pct"/>
            <w:vAlign w:val="center"/>
          </w:tcPr>
          <w:p w14:paraId="54EDEDFF" w14:textId="77777777" w:rsidR="00E2359E" w:rsidRPr="00CC6CA3" w:rsidRDefault="00E2359E" w:rsidP="00F632C0">
            <w:pPr>
              <w:spacing w:line="240" w:lineRule="auto"/>
              <w:rPr>
                <w:sz w:val="20"/>
                <w:szCs w:val="20"/>
              </w:rPr>
            </w:pPr>
            <w:r w:rsidRPr="00CC6CA3">
              <w:rPr>
                <w:sz w:val="20"/>
                <w:szCs w:val="20"/>
              </w:rPr>
              <w:t>Misalignment</w:t>
            </w:r>
          </w:p>
        </w:tc>
        <w:tc>
          <w:tcPr>
            <w:tcW w:w="3736" w:type="pct"/>
            <w:vAlign w:val="center"/>
          </w:tcPr>
          <w:p w14:paraId="46D03C35" w14:textId="73F5104E" w:rsidR="00E2359E" w:rsidRPr="00CC6CA3" w:rsidRDefault="00E2359E" w:rsidP="00F632C0">
            <w:pPr>
              <w:spacing w:line="240" w:lineRule="auto"/>
              <w:rPr>
                <w:sz w:val="20"/>
                <w:szCs w:val="20"/>
              </w:rPr>
            </w:pPr>
            <w:r w:rsidRPr="00CC6CA3">
              <w:rPr>
                <w:sz w:val="20"/>
                <w:szCs w:val="20"/>
              </w:rPr>
              <w:t xml:space="preserve">Bearing temperature </w:t>
            </w:r>
            <w:r w:rsidRPr="00CC6CA3">
              <w:rPr>
                <w:sz w:val="20"/>
                <w:szCs w:val="20"/>
              </w:rPr>
              <w:fldChar w:fldCharType="begin"/>
            </w:r>
            <w:r w:rsidR="00854B0F" w:rsidRPr="00CC6CA3">
              <w:rPr>
                <w:sz w:val="20"/>
                <w:szCs w:val="20"/>
              </w:rPr>
              <w:instrText xml:space="preserve"> ADDIN ZOTERO_ITEM CSL_CITATION {"citationID":"a24e2ho97ub","properties":{"formattedCitation":"[34]","plainCitation":"[34]","noteIndex":0},"citationItems":[{"id":121,"uris":["http://zotero.org/users/3051968/items/VRAJNYRT"],"uri":["http://zotero.org/users/3051968/items/VRAJNYRT"],"itemData":{"id":121,"type":"article-journal","container-title":"International Journal of Rotating Machinery","DOI":"10.1155/2013/856865","ISSN":"1023-621X, 1542-3034","language":"en","page":"1-12","source":"CrossRef","title":"Rotordynamic Faults: Recent Advances in Diagnosis and Prognosis","title-short":"Rotordynamic Faults","volume":"2013","author":[{"family":"Walker","given":"Ryan"},{"family":"Perinpanayagam","given":"Sureshkumar"},{"family":"Jennions","given":"Ian K."}],"issued":{"date-parts":[["2013"]]}}}],"schema":"https://github.com/citation-style-language/schema/raw/master/csl-citation.json"} </w:instrText>
            </w:r>
            <w:r w:rsidRPr="00CC6CA3">
              <w:rPr>
                <w:sz w:val="20"/>
                <w:szCs w:val="20"/>
              </w:rPr>
              <w:fldChar w:fldCharType="separate"/>
            </w:r>
            <w:r w:rsidR="00854B0F" w:rsidRPr="00CC6CA3">
              <w:rPr>
                <w:rFonts w:cs="Times New Roman"/>
                <w:sz w:val="20"/>
              </w:rPr>
              <w:t>[34]</w:t>
            </w:r>
            <w:r w:rsidRPr="00CC6CA3">
              <w:rPr>
                <w:sz w:val="20"/>
                <w:szCs w:val="20"/>
              </w:rPr>
              <w:fldChar w:fldCharType="end"/>
            </w:r>
            <w:r w:rsidRPr="00CC6CA3">
              <w:rPr>
                <w:sz w:val="20"/>
                <w:szCs w:val="20"/>
              </w:rPr>
              <w:t>;</w:t>
            </w:r>
          </w:p>
          <w:p w14:paraId="3DA29EA9" w14:textId="399841CB" w:rsidR="00E2359E" w:rsidRPr="00CC6CA3" w:rsidRDefault="00E2359E" w:rsidP="00F632C0">
            <w:pPr>
              <w:spacing w:line="240" w:lineRule="auto"/>
              <w:rPr>
                <w:sz w:val="20"/>
                <w:szCs w:val="20"/>
              </w:rPr>
            </w:pPr>
            <w:r w:rsidRPr="00CC6CA3">
              <w:rPr>
                <w:sz w:val="20"/>
                <w:szCs w:val="20"/>
              </w:rPr>
              <w:t xml:space="preserve">Shaft speed </w:t>
            </w:r>
            <w:r w:rsidRPr="00CC6CA3">
              <w:rPr>
                <w:sz w:val="20"/>
                <w:szCs w:val="20"/>
              </w:rPr>
              <w:fldChar w:fldCharType="begin"/>
            </w:r>
            <w:r w:rsidR="00854B0F" w:rsidRPr="00CC6CA3">
              <w:rPr>
                <w:sz w:val="20"/>
                <w:szCs w:val="20"/>
              </w:rPr>
              <w:instrText xml:space="preserve"> ADDIN ZOTERO_ITEM CSL_CITATION {"citationID":"a2b0762g0u5","properties":{"formattedCitation":"[35]","plainCitation":"[35]","noteIndex":0},"citationItems":[{"id":120,"uris":["http://zotero.org/users/3051968/items/RNWWTXWR"],"uri":["http://zotero.org/users/3051968/items/RNWWTXWR"],"itemData":{"id":120,"type":"article-journal","source":"Google Scholar","title":"Genetically Tuned Dual-ANFIS Model for Steam Turbine Fault Diagnosis and Treatment","author":[{"family":"Dewangan","given":"D. N."},{"family":"Banjare","given":"Y. P."},{"family":"Jha","given":"Manoj Kumar"}]}}],"schema":"https://github.com/citation-style-language/schema/raw/master/csl-citation.json"} </w:instrText>
            </w:r>
            <w:r w:rsidRPr="00CC6CA3">
              <w:rPr>
                <w:sz w:val="20"/>
                <w:szCs w:val="20"/>
              </w:rPr>
              <w:fldChar w:fldCharType="separate"/>
            </w:r>
            <w:r w:rsidR="00854B0F" w:rsidRPr="00CC6CA3">
              <w:rPr>
                <w:rFonts w:cs="Times New Roman"/>
                <w:sz w:val="20"/>
              </w:rPr>
              <w:t>[35]</w:t>
            </w:r>
            <w:r w:rsidRPr="00CC6CA3">
              <w:rPr>
                <w:sz w:val="20"/>
                <w:szCs w:val="20"/>
              </w:rPr>
              <w:fldChar w:fldCharType="end"/>
            </w:r>
            <w:r w:rsidRPr="00CC6CA3">
              <w:rPr>
                <w:sz w:val="20"/>
                <w:szCs w:val="20"/>
              </w:rPr>
              <w:t>;</w:t>
            </w:r>
          </w:p>
          <w:p w14:paraId="22AD9855" w14:textId="7CE711DA" w:rsidR="00E2359E" w:rsidRPr="00CC6CA3" w:rsidRDefault="00E2359E" w:rsidP="00F632C0">
            <w:pPr>
              <w:autoSpaceDE w:val="0"/>
              <w:autoSpaceDN w:val="0"/>
              <w:adjustRightInd w:val="0"/>
              <w:spacing w:line="240" w:lineRule="auto"/>
              <w:rPr>
                <w:sz w:val="20"/>
                <w:szCs w:val="20"/>
              </w:rPr>
            </w:pPr>
            <w:r w:rsidRPr="00CC6CA3">
              <w:rPr>
                <w:sz w:val="20"/>
                <w:szCs w:val="20"/>
              </w:rPr>
              <w:t xml:space="preserve">Shaft orbit </w:t>
            </w:r>
            <w:r w:rsidRPr="00CC6CA3">
              <w:rPr>
                <w:sz w:val="20"/>
                <w:szCs w:val="20"/>
              </w:rPr>
              <w:fldChar w:fldCharType="begin"/>
            </w:r>
            <w:r w:rsidR="00854B0F" w:rsidRPr="00CC6CA3">
              <w:rPr>
                <w:sz w:val="20"/>
                <w:szCs w:val="20"/>
              </w:rPr>
              <w:instrText xml:space="preserve"> ADDIN ZOTERO_ITEM CSL_CITATION {"citationID":"QN51n15g","properties":{"formattedCitation":"[35]","plainCitation":"[35]","noteIndex":0},"citationItems":[{"id":120,"uris":["http://zotero.org/users/3051968/items/RNWWTXWR"],"uri":["http://zotero.org/users/3051968/items/RNWWTXWR"],"itemData":{"id":120,"type":"article-journal","source":"Google Scholar","title":"Genetically Tuned Dual-ANFIS Model for Steam Turbine Fault Diagnosis and Treatment","author":[{"family":"Dewangan","given":"D. N."},{"family":"Banjare","given":"Y. P."},{"family":"Jha","given":"Manoj Kumar"}]}}],"schema":"https://github.com/citation-style-language/schema/raw/master/csl-citation.json"} </w:instrText>
            </w:r>
            <w:r w:rsidRPr="00CC6CA3">
              <w:rPr>
                <w:sz w:val="20"/>
                <w:szCs w:val="20"/>
              </w:rPr>
              <w:fldChar w:fldCharType="separate"/>
            </w:r>
            <w:r w:rsidR="00854B0F" w:rsidRPr="00CC6CA3">
              <w:rPr>
                <w:rFonts w:cs="Times New Roman"/>
                <w:sz w:val="20"/>
              </w:rPr>
              <w:t>[35]</w:t>
            </w:r>
            <w:r w:rsidRPr="00CC6CA3">
              <w:rPr>
                <w:sz w:val="20"/>
                <w:szCs w:val="20"/>
              </w:rPr>
              <w:fldChar w:fldCharType="end"/>
            </w:r>
            <w:r w:rsidRPr="00CC6CA3">
              <w:rPr>
                <w:sz w:val="20"/>
                <w:szCs w:val="20"/>
              </w:rPr>
              <w:t>;</w:t>
            </w:r>
          </w:p>
          <w:p w14:paraId="78B9ADAC" w14:textId="719BEFA1" w:rsidR="00E2359E" w:rsidRPr="00CC6CA3" w:rsidRDefault="00E2359E" w:rsidP="00F632C0">
            <w:pPr>
              <w:autoSpaceDE w:val="0"/>
              <w:autoSpaceDN w:val="0"/>
              <w:adjustRightInd w:val="0"/>
              <w:spacing w:line="240" w:lineRule="auto"/>
              <w:rPr>
                <w:sz w:val="20"/>
                <w:szCs w:val="20"/>
              </w:rPr>
            </w:pPr>
            <w:r w:rsidRPr="00CC6CA3">
              <w:rPr>
                <w:sz w:val="20"/>
                <w:szCs w:val="20"/>
              </w:rPr>
              <w:t xml:space="preserve">Horizontal, vertical and high harmonic component found in the axial </w:t>
            </w:r>
            <w:r w:rsidRPr="00CC6CA3">
              <w:rPr>
                <w:sz w:val="20"/>
                <w:szCs w:val="20"/>
              </w:rPr>
              <w:fldChar w:fldCharType="begin"/>
            </w:r>
            <w:r w:rsidR="00854B0F" w:rsidRPr="00CC6CA3">
              <w:rPr>
                <w:sz w:val="20"/>
                <w:szCs w:val="20"/>
              </w:rPr>
              <w:instrText xml:space="preserve"> ADDIN ZOTERO_ITEM CSL_CITATION {"citationID":"9keUkZEE","properties":{"formattedCitation":"[35]","plainCitation":"[35]","noteIndex":0},"citationItems":[{"id":120,"uris":["http://zotero.org/users/3051968/items/RNWWTXWR"],"uri":["http://zotero.org/users/3051968/items/RNWWTXWR"],"itemData":{"id":120,"type":"article-journal","source":"Google Scholar","title":"Genetically Tuned Dual-ANFIS Model for Steam Turbine Fault Diagnosis and Treatment","author":[{"family":"Dewangan","given":"D. N."},{"family":"Banjare","given":"Y. P."},{"family":"Jha","given":"Manoj Kumar"}]}}],"schema":"https://github.com/citation-style-language/schema/raw/master/csl-citation.json"} </w:instrText>
            </w:r>
            <w:r w:rsidRPr="00CC6CA3">
              <w:rPr>
                <w:sz w:val="20"/>
                <w:szCs w:val="20"/>
              </w:rPr>
              <w:fldChar w:fldCharType="separate"/>
            </w:r>
            <w:r w:rsidR="00854B0F" w:rsidRPr="00CC6CA3">
              <w:rPr>
                <w:rFonts w:cs="Times New Roman"/>
                <w:sz w:val="20"/>
              </w:rPr>
              <w:t>[35]</w:t>
            </w:r>
            <w:r w:rsidRPr="00CC6CA3">
              <w:rPr>
                <w:sz w:val="20"/>
                <w:szCs w:val="20"/>
              </w:rPr>
              <w:fldChar w:fldCharType="end"/>
            </w:r>
            <w:r w:rsidRPr="00CC6CA3">
              <w:rPr>
                <w:sz w:val="20"/>
                <w:szCs w:val="20"/>
              </w:rPr>
              <w:t>.</w:t>
            </w:r>
          </w:p>
        </w:tc>
      </w:tr>
      <w:tr w:rsidR="00CC6CA3" w:rsidRPr="00CC6CA3" w14:paraId="665E4A51" w14:textId="77777777" w:rsidTr="00FC7575">
        <w:trPr>
          <w:trHeight w:val="416"/>
        </w:trPr>
        <w:tc>
          <w:tcPr>
            <w:tcW w:w="1264" w:type="pct"/>
            <w:vAlign w:val="center"/>
          </w:tcPr>
          <w:p w14:paraId="2E82BBA5" w14:textId="7CAA3A14" w:rsidR="00E2359E" w:rsidRPr="00CC6CA3" w:rsidRDefault="006132EF" w:rsidP="006132EF">
            <w:pPr>
              <w:spacing w:line="240" w:lineRule="auto"/>
              <w:jc w:val="left"/>
              <w:rPr>
                <w:sz w:val="20"/>
                <w:szCs w:val="20"/>
              </w:rPr>
            </w:pPr>
            <w:r w:rsidRPr="00CC6CA3">
              <w:rPr>
                <w:sz w:val="20"/>
                <w:szCs w:val="20"/>
              </w:rPr>
              <w:t>Rubbing and loose fitting</w:t>
            </w:r>
          </w:p>
        </w:tc>
        <w:tc>
          <w:tcPr>
            <w:tcW w:w="3736" w:type="pct"/>
            <w:vAlign w:val="center"/>
          </w:tcPr>
          <w:p w14:paraId="68658314" w14:textId="2EA624A1" w:rsidR="00E2359E" w:rsidRPr="00CC6CA3" w:rsidRDefault="00E2359E" w:rsidP="00F632C0">
            <w:pPr>
              <w:spacing w:line="240" w:lineRule="auto"/>
              <w:rPr>
                <w:sz w:val="20"/>
                <w:szCs w:val="20"/>
              </w:rPr>
            </w:pPr>
            <w:r w:rsidRPr="00CC6CA3">
              <w:rPr>
                <w:sz w:val="20"/>
                <w:szCs w:val="20"/>
              </w:rPr>
              <w:t xml:space="preserve">Shaft speed </w:t>
            </w:r>
            <w:r w:rsidRPr="00CC6CA3">
              <w:rPr>
                <w:sz w:val="20"/>
                <w:szCs w:val="20"/>
              </w:rPr>
              <w:fldChar w:fldCharType="begin"/>
            </w:r>
            <w:r w:rsidR="00854B0F" w:rsidRPr="00CC6CA3">
              <w:rPr>
                <w:sz w:val="20"/>
                <w:szCs w:val="20"/>
              </w:rPr>
              <w:instrText xml:space="preserve"> ADDIN ZOTERO_ITEM CSL_CITATION {"citationID":"NgRO1lqY","properties":{"formattedCitation":"[35]","plainCitation":"[35]","noteIndex":0},"citationItems":[{"id":120,"uris":["http://zotero.org/users/3051968/items/RNWWTXWR"],"uri":["http://zotero.org/users/3051968/items/RNWWTXWR"],"itemData":{"id":120,"type":"article-journal","source":"Google Scholar","title":"Genetically Tuned Dual-ANFIS Model for Steam Turbine Fault Diagnosis and Treatment","author":[{"family":"Dewangan","given":"D. N."},{"family":"Banjare","given":"Y. P."},{"family":"Jha","given":"Manoj Kumar"}]}}],"schema":"https://github.com/citation-style-language/schema/raw/master/csl-citation.json"} </w:instrText>
            </w:r>
            <w:r w:rsidRPr="00CC6CA3">
              <w:rPr>
                <w:sz w:val="20"/>
                <w:szCs w:val="20"/>
              </w:rPr>
              <w:fldChar w:fldCharType="separate"/>
            </w:r>
            <w:r w:rsidR="00854B0F" w:rsidRPr="00CC6CA3">
              <w:rPr>
                <w:rFonts w:cs="Times New Roman"/>
                <w:sz w:val="20"/>
              </w:rPr>
              <w:t>[35]</w:t>
            </w:r>
            <w:r w:rsidRPr="00CC6CA3">
              <w:rPr>
                <w:sz w:val="20"/>
                <w:szCs w:val="20"/>
              </w:rPr>
              <w:fldChar w:fldCharType="end"/>
            </w:r>
            <w:r w:rsidRPr="00CC6CA3">
              <w:rPr>
                <w:sz w:val="20"/>
                <w:szCs w:val="20"/>
              </w:rPr>
              <w:t>;</w:t>
            </w:r>
          </w:p>
          <w:p w14:paraId="196283D0" w14:textId="30671709" w:rsidR="00E2359E" w:rsidRPr="00CC6CA3" w:rsidRDefault="00E2359E" w:rsidP="00F632C0">
            <w:pPr>
              <w:autoSpaceDE w:val="0"/>
              <w:autoSpaceDN w:val="0"/>
              <w:adjustRightInd w:val="0"/>
              <w:spacing w:line="240" w:lineRule="auto"/>
              <w:rPr>
                <w:sz w:val="20"/>
                <w:szCs w:val="20"/>
              </w:rPr>
            </w:pPr>
            <w:r w:rsidRPr="00CC6CA3">
              <w:rPr>
                <w:sz w:val="20"/>
                <w:szCs w:val="20"/>
              </w:rPr>
              <w:t xml:space="preserve">Shaft orbit </w:t>
            </w:r>
            <w:r w:rsidRPr="00CC6CA3">
              <w:rPr>
                <w:sz w:val="20"/>
                <w:szCs w:val="20"/>
              </w:rPr>
              <w:fldChar w:fldCharType="begin"/>
            </w:r>
            <w:r w:rsidR="00854B0F" w:rsidRPr="00CC6CA3">
              <w:rPr>
                <w:sz w:val="20"/>
                <w:szCs w:val="20"/>
              </w:rPr>
              <w:instrText xml:space="preserve"> ADDIN ZOTERO_ITEM CSL_CITATION {"citationID":"q8AxUTI5","properties":{"formattedCitation":"[35]","plainCitation":"[35]","noteIndex":0},"citationItems":[{"id":120,"uris":["http://zotero.org/users/3051968/items/RNWWTXWR"],"uri":["http://zotero.org/users/3051968/items/RNWWTXWR"],"itemData":{"id":120,"type":"article-journal","source":"Google Scholar","title":"Genetically Tuned Dual-ANFIS Model for Steam Turbine Fault Diagnosis and Treatment","author":[{"family":"Dewangan","given":"D. N."},{"family":"Banjare","given":"Y. P."},{"family":"Jha","given":"Manoj Kumar"}]}}],"schema":"https://github.com/citation-style-language/schema/raw/master/csl-citation.json"} </w:instrText>
            </w:r>
            <w:r w:rsidRPr="00CC6CA3">
              <w:rPr>
                <w:sz w:val="20"/>
                <w:szCs w:val="20"/>
              </w:rPr>
              <w:fldChar w:fldCharType="separate"/>
            </w:r>
            <w:r w:rsidR="00854B0F" w:rsidRPr="00CC6CA3">
              <w:rPr>
                <w:rFonts w:cs="Times New Roman"/>
                <w:sz w:val="20"/>
              </w:rPr>
              <w:t>[35]</w:t>
            </w:r>
            <w:r w:rsidRPr="00CC6CA3">
              <w:rPr>
                <w:sz w:val="20"/>
                <w:szCs w:val="20"/>
              </w:rPr>
              <w:fldChar w:fldCharType="end"/>
            </w:r>
            <w:r w:rsidRPr="00CC6CA3">
              <w:rPr>
                <w:sz w:val="20"/>
                <w:szCs w:val="20"/>
              </w:rPr>
              <w:t>;</w:t>
            </w:r>
          </w:p>
          <w:p w14:paraId="73678B77" w14:textId="7EF75634" w:rsidR="00E2359E" w:rsidRPr="00CC6CA3" w:rsidRDefault="00E2359E" w:rsidP="00F632C0">
            <w:pPr>
              <w:spacing w:line="240" w:lineRule="auto"/>
              <w:rPr>
                <w:sz w:val="20"/>
                <w:szCs w:val="20"/>
              </w:rPr>
            </w:pPr>
            <w:r w:rsidRPr="00CC6CA3">
              <w:rPr>
                <w:sz w:val="20"/>
                <w:szCs w:val="20"/>
              </w:rPr>
              <w:lastRenderedPageBreak/>
              <w:t xml:space="preserve">Features in time-frequency analysis </w:t>
            </w:r>
            <w:r w:rsidRPr="00CC6CA3">
              <w:rPr>
                <w:sz w:val="20"/>
                <w:szCs w:val="20"/>
              </w:rPr>
              <w:fldChar w:fldCharType="begin"/>
            </w:r>
            <w:r w:rsidR="00854B0F" w:rsidRPr="00CC6CA3">
              <w:rPr>
                <w:sz w:val="20"/>
                <w:szCs w:val="20"/>
              </w:rPr>
              <w:instrText xml:space="preserve"> ADDIN ZOTERO_ITEM CSL_CITATION {"citationID":"XyV5SQCG","properties":{"formattedCitation":"[34]","plainCitation":"[34]","noteIndex":0},"citationItems":[{"id":121,"uris":["http://zotero.org/users/3051968/items/VRAJNYRT"],"uri":["http://zotero.org/users/3051968/items/VRAJNYRT"],"itemData":{"id":121,"type":"article-journal","container-title":"International Journal of Rotating Machinery","DOI":"10.1155/2013/856865","ISSN":"1023-621X, 1542-3034","language":"en","page":"1-12","source":"CrossRef","title":"Rotordynamic Faults: Recent Advances in Diagnosis and Prognosis","title-short":"Rotordynamic Faults","volume":"2013","author":[{"family":"Walker","given":"Ryan"},{"family":"Perinpanayagam","given":"Sureshkumar"},{"family":"Jennions","given":"Ian K."}],"issued":{"date-parts":[["2013"]]}}}],"schema":"https://github.com/citation-style-language/schema/raw/master/csl-citation.json"} </w:instrText>
            </w:r>
            <w:r w:rsidRPr="00CC6CA3">
              <w:rPr>
                <w:sz w:val="20"/>
                <w:szCs w:val="20"/>
              </w:rPr>
              <w:fldChar w:fldCharType="separate"/>
            </w:r>
            <w:r w:rsidR="00854B0F" w:rsidRPr="00CC6CA3">
              <w:rPr>
                <w:rFonts w:cs="Times New Roman"/>
                <w:sz w:val="20"/>
              </w:rPr>
              <w:t>[34]</w:t>
            </w:r>
            <w:r w:rsidRPr="00CC6CA3">
              <w:rPr>
                <w:sz w:val="20"/>
                <w:szCs w:val="20"/>
              </w:rPr>
              <w:fldChar w:fldCharType="end"/>
            </w:r>
            <w:r w:rsidRPr="00CC6CA3">
              <w:rPr>
                <w:sz w:val="20"/>
                <w:szCs w:val="20"/>
              </w:rPr>
              <w:t>.</w:t>
            </w:r>
          </w:p>
        </w:tc>
      </w:tr>
      <w:tr w:rsidR="00CC6CA3" w:rsidRPr="00CC6CA3" w14:paraId="395D223C" w14:textId="77777777" w:rsidTr="00F632C0">
        <w:trPr>
          <w:trHeight w:val="416"/>
        </w:trPr>
        <w:tc>
          <w:tcPr>
            <w:tcW w:w="1264" w:type="pct"/>
            <w:vAlign w:val="center"/>
          </w:tcPr>
          <w:p w14:paraId="4A55E974" w14:textId="77777777" w:rsidR="00E2359E" w:rsidRPr="00CC6CA3" w:rsidRDefault="00E2359E" w:rsidP="00F632C0">
            <w:pPr>
              <w:spacing w:line="240" w:lineRule="auto"/>
              <w:rPr>
                <w:sz w:val="20"/>
                <w:szCs w:val="20"/>
              </w:rPr>
            </w:pPr>
            <w:r w:rsidRPr="00CC6CA3">
              <w:rPr>
                <w:sz w:val="20"/>
                <w:szCs w:val="20"/>
              </w:rPr>
              <w:lastRenderedPageBreak/>
              <w:t>Rolling bearing faults</w:t>
            </w:r>
          </w:p>
        </w:tc>
        <w:tc>
          <w:tcPr>
            <w:tcW w:w="3736" w:type="pct"/>
            <w:vAlign w:val="center"/>
          </w:tcPr>
          <w:p w14:paraId="5CE9F3C9" w14:textId="00528BC0" w:rsidR="00E2359E" w:rsidRPr="00CC6CA3" w:rsidRDefault="00E2359E" w:rsidP="00F632C0">
            <w:pPr>
              <w:spacing w:line="240" w:lineRule="auto"/>
              <w:rPr>
                <w:sz w:val="20"/>
                <w:szCs w:val="20"/>
              </w:rPr>
            </w:pPr>
            <w:r w:rsidRPr="00CC6CA3">
              <w:rPr>
                <w:sz w:val="20"/>
                <w:szCs w:val="20"/>
              </w:rPr>
              <w:t xml:space="preserve">Bearing temperature </w:t>
            </w:r>
            <w:r w:rsidRPr="00CC6CA3">
              <w:rPr>
                <w:sz w:val="20"/>
                <w:szCs w:val="20"/>
              </w:rPr>
              <w:fldChar w:fldCharType="begin"/>
            </w:r>
            <w:r w:rsidR="00854B0F" w:rsidRPr="00CC6CA3">
              <w:rPr>
                <w:sz w:val="20"/>
                <w:szCs w:val="20"/>
              </w:rPr>
              <w:instrText xml:space="preserve"> ADDIN ZOTERO_ITEM CSL_CITATION {"citationID":"a1ofdbfcn3d","properties":{"formattedCitation":"[36]","plainCitation":"[36]","noteIndex":0},"citationItems":[{"id":29,"uris":["http://zotero.org/users/3051968/items/K9KAMPAZ"],"uri":["http://zotero.org/users/3051968/items/K9KAMPAZ"],"itemData":{"id":29,"type":"book","abstract":"Hydraulic machinery such as turbines and pumps is widely used around the world. Related topics concerning design, operation and maintenance are of relevant interest. In this context, cavitation is a phenomenon to be taken into account, and this was treated in the XVIII IAHR Symposium on Hydraulic Machinery and Cavitation which took place in Valencia, Spain, 16th-19th September, 1996 and which was hosted by the Polytechnic University of Valencia.  The proceedings of the Symposium have been published in two volumes. In this first volume, the papers included cover the following topics:  Hydraulic Turbines, Analysis and Design  Hydraulic Pumps  Hydraulic Elements, Dynamic Characterization and Hydraulic Behaviour  Cavitation and Sand Erosion  In the second volume, the papers included cover the following topics:  Hydraulic Transients and Control Systems Related to Hydraulic Machinery and Plants  Oscillatory and Vibration Problems in Hydraulic Machinery and Power Stations  Experimental Investigations related to Hydraulic Machinery and its Applications  Practical Applications of the Hydraulic Machinery  Monitoring, Predictive Maintenance and Refurbishment    The 119 papers presented at the Symposium, from research groups, consulting companies and manufacturers, constitute an important collection for investigators, engineers and technicians who are interested in updated information on hydraulic machinery. This book is intended to be a reference text comprising the latest innovations on this subject.","ISBN":"978-94-010-9385-9","language":"en","note":"Google-Books-ID: gdzdBgAAQBAJ","number-of-pages":"1210","publisher":"Springer","source":"Google Books","title":"Hydraulic Machinery and Cavitation: Proceedings of the XVIII IAHR Symposium on Hydraulic Machinery and Cavitation","title-short":"Hydraulic Machinery and Cavitation","author":[{"family":"Cabrera","given":"Enrique"},{"family":"Espert","given":"Vicent"},{"family":"Martínez","given":"Fernando"}],"issued":{"date-parts":[["2015",2,27]]}}}],"schema":"https://github.com/citation-style-language/schema/raw/master/csl-citation.json"} </w:instrText>
            </w:r>
            <w:r w:rsidRPr="00CC6CA3">
              <w:rPr>
                <w:sz w:val="20"/>
                <w:szCs w:val="20"/>
              </w:rPr>
              <w:fldChar w:fldCharType="separate"/>
            </w:r>
            <w:r w:rsidR="00854B0F" w:rsidRPr="00CC6CA3">
              <w:rPr>
                <w:rFonts w:cs="Times New Roman"/>
                <w:sz w:val="20"/>
              </w:rPr>
              <w:t>[36]</w:t>
            </w:r>
            <w:r w:rsidRPr="00CC6CA3">
              <w:rPr>
                <w:sz w:val="20"/>
                <w:szCs w:val="20"/>
              </w:rPr>
              <w:fldChar w:fldCharType="end"/>
            </w:r>
            <w:r w:rsidRPr="00CC6CA3">
              <w:rPr>
                <w:sz w:val="20"/>
                <w:szCs w:val="20"/>
              </w:rPr>
              <w:t xml:space="preserve">; </w:t>
            </w:r>
          </w:p>
          <w:p w14:paraId="163A4E66" w14:textId="4DFC8CE6" w:rsidR="00E2359E" w:rsidRPr="00CC6CA3" w:rsidRDefault="00E2359E" w:rsidP="00F632C0">
            <w:pPr>
              <w:spacing w:line="240" w:lineRule="auto"/>
              <w:rPr>
                <w:sz w:val="20"/>
                <w:szCs w:val="20"/>
              </w:rPr>
            </w:pPr>
            <w:r w:rsidRPr="00CC6CA3">
              <w:rPr>
                <w:sz w:val="20"/>
                <w:szCs w:val="20"/>
              </w:rPr>
              <w:t xml:space="preserve">Lubricating oil temperature </w:t>
            </w:r>
            <w:r w:rsidRPr="00CC6CA3">
              <w:rPr>
                <w:sz w:val="20"/>
                <w:szCs w:val="20"/>
              </w:rPr>
              <w:fldChar w:fldCharType="begin"/>
            </w:r>
            <w:r w:rsidR="00854B0F" w:rsidRPr="00CC6CA3">
              <w:rPr>
                <w:sz w:val="20"/>
                <w:szCs w:val="20"/>
              </w:rPr>
              <w:instrText xml:space="preserve"> ADDIN ZOTERO_ITEM CSL_CITATION {"citationID":"TVBsaNQI","properties":{"formattedCitation":"[36]","plainCitation":"[36]","noteIndex":0},"citationItems":[{"id":29,"uris":["http://zotero.org/users/3051968/items/K9KAMPAZ"],"uri":["http://zotero.org/users/3051968/items/K9KAMPAZ"],"itemData":{"id":29,"type":"book","abstract":"Hydraulic machinery such as turbines and pumps is widely used around the world. Related topics concerning design, operation and maintenance are of relevant interest. In this context, cavitation is a phenomenon to be taken into account, and this was treated in the XVIII IAHR Symposium on Hydraulic Machinery and Cavitation which took place in Valencia, Spain, 16th-19th September, 1996 and which was hosted by the Polytechnic University of Valencia.  The proceedings of the Symposium have been published in two volumes. In this first volume, the papers included cover the following topics:  Hydraulic Turbines, Analysis and Design  Hydraulic Pumps  Hydraulic Elements, Dynamic Characterization and Hydraulic Behaviour  Cavitation and Sand Erosion  In the second volume, the papers included cover the following topics:  Hydraulic Transients and Control Systems Related to Hydraulic Machinery and Plants  Oscillatory and Vibration Problems in Hydraulic Machinery and Power Stations  Experimental Investigations related to Hydraulic Machinery and its Applications  Practical Applications of the Hydraulic Machinery  Monitoring, Predictive Maintenance and Refurbishment    The 119 papers presented at the Symposium, from research groups, consulting companies and manufacturers, constitute an important collection for investigators, engineers and technicians who are interested in updated information on hydraulic machinery. This book is intended to be a reference text comprising the latest innovations on this subject.","ISBN":"978-94-010-9385-9","language":"en","note":"Google-Books-ID: gdzdBgAAQBAJ","number-of-pages":"1210","publisher":"Springer","source":"Google Books","title":"Hydraulic Machinery and Cavitation: Proceedings of the XVIII IAHR Symposium on Hydraulic Machinery and Cavitation","title-short":"Hydraulic Machinery and Cavitation","author":[{"family":"Cabrera","given":"Enrique"},{"family":"Espert","given":"Vicent"},{"family":"Martínez","given":"Fernando"}],"issued":{"date-parts":[["2015",2,27]]}}}],"schema":"https://github.com/citation-style-language/schema/raw/master/csl-citation.json"} </w:instrText>
            </w:r>
            <w:r w:rsidRPr="00CC6CA3">
              <w:rPr>
                <w:sz w:val="20"/>
                <w:szCs w:val="20"/>
              </w:rPr>
              <w:fldChar w:fldCharType="separate"/>
            </w:r>
            <w:r w:rsidR="00854B0F" w:rsidRPr="00CC6CA3">
              <w:rPr>
                <w:rFonts w:cs="Times New Roman"/>
                <w:sz w:val="20"/>
              </w:rPr>
              <w:t>[36]</w:t>
            </w:r>
            <w:r w:rsidRPr="00CC6CA3">
              <w:rPr>
                <w:sz w:val="20"/>
                <w:szCs w:val="20"/>
              </w:rPr>
              <w:fldChar w:fldCharType="end"/>
            </w:r>
            <w:r w:rsidRPr="00CC6CA3">
              <w:rPr>
                <w:sz w:val="20"/>
                <w:szCs w:val="20"/>
              </w:rPr>
              <w:t>;</w:t>
            </w:r>
          </w:p>
          <w:p w14:paraId="55DE5381" w14:textId="24CE9B71" w:rsidR="00E2359E" w:rsidRPr="00CC6CA3" w:rsidRDefault="00E2359E" w:rsidP="00F632C0">
            <w:pPr>
              <w:spacing w:line="240" w:lineRule="auto"/>
              <w:rPr>
                <w:sz w:val="20"/>
                <w:szCs w:val="20"/>
              </w:rPr>
            </w:pPr>
            <w:r w:rsidRPr="00CC6CA3">
              <w:rPr>
                <w:sz w:val="20"/>
                <w:szCs w:val="20"/>
              </w:rPr>
              <w:t xml:space="preserve">In the time domain: high amplitude, high kurtosis, high skewness, high crest factor, high root mean square value, high mean value </w:t>
            </w:r>
            <w:r w:rsidRPr="00CC6CA3">
              <w:rPr>
                <w:sz w:val="20"/>
                <w:szCs w:val="20"/>
              </w:rPr>
              <w:fldChar w:fldCharType="begin"/>
            </w:r>
            <w:r w:rsidR="007D1BCC" w:rsidRPr="00CC6CA3">
              <w:rPr>
                <w:sz w:val="20"/>
                <w:szCs w:val="20"/>
              </w:rPr>
              <w:instrText xml:space="preserve"> ADDIN ZOTERO_ITEM CSL_CITATION {"citationID":"l9M9muUY","properties":{"formattedCitation":"[37]\\uc0\\u8211{}[40]","plainCitation":"[37]–[40]","noteIndex":0},"citationItems":[{"id":"jMlmauCg/qH0ztP1i","uris":["http://zotero.org/users/3051968/items/GKB8BNS7"],"uri":["http://zotero.org/users/3051968/items/GKB8BNS7"],"itemData":{"id":733,"type":"article-journal","title":"Wind turbine high-speed shaft bearings health prognosis through a spectral Kurtosis-derived indices and SVR","container-title":"Applied Acoustics","page":"1-8","volume":"120","source":"ScienceDirect","abstract":"A significant number of failures of wind turbine drivetrains occur in the high-speed shaft bearings. In this paper, a vibration-based prognostic and health monitoring methodology for wind turbine high-speed shaft bearing (HSSB) is proposed using a spectral kurtosis (SK) data-driven approach. Indeed, time domain indices derived from SK are used and a comparative study is performed with frequently used time-domain features in the bearing degradation health assessment. The effectiveness is quantified by two measures, i.e., monotonicity and trendability. Among those features, the area under SK is utilized for the first time as a condition indicator of rolling bearing fault. A support vector regression (SVR) model was trained and tested for the prediction of the HSSB lifetime prognostics, showing the superiority of SK-derived indices of degradation assessment. We verified the potential of the prognostics method using real measured data from a drivetrain wind turbine. The experimental results show that the proposed approach can successfully detect an early failure and can better estimate the degradation trend of HSSB than traditional time-domain vibration features.","DOI":"10.1016/j.apacoust.2017.01.005","ISSN":"0003-682X","journalAbbreviation":"Applied Acoustics","author":[{"family":"Saidi","given":"Lotfi"},{"family":"Ben Ali","given":"Jaouher"},{"family":"Bechhoefer","given":"Eric"},{"family":"Benbouzid","given":"Mohamed"}],"issued":{"date-parts":[["2017",5]]}}},{"id":"jMlmauCg/HNerXCKy","uris":["http://zotero.org/users/3051968/items/MHMP5NFR"],"uri":["http://zotero.org/users/3051968/items/MHMP5NFR"],"itemData":{"id":736,"type":"chapter","title":"Investigation of Rolling Element Bearings Using Time Domain Features","container-title":"Vehicle and Automotive Engineering","publisher":"Springer, Cham","page":"3-12","source":"link.springer.com","abstract":"Rolling element bearings can be found widely in domestic and industrial applications. They are important components of most machinery and their working conditions influence the operation of the entire machinery directly. Bearing failures may cause machine breakdown and might even lead to catastrophic failure or even human injuries. In order to prevent unexpected events, bearing failures should be detected as early as possible. Different methods are used for the detection and diagnosis of bearing defects. These techniques can be classified as noise analysis, acoustic measurements, wear debris detection, temperature monitoring, vibration analysis etc. Vibration signals collected from bearings carry detailed information on machine health conditions. This paper deals with a bearing test procedure which based on vibration analysis.","URL":"https://link.springer.com/chapter/10.1007/978-3-319-51189-4_1","note":"DOI: 10.1007/978-3-319-51189-4_1","language":"en","author":[{"family":"Tóth","given":"Dániel"},{"family":"Szilágyi","given":"Attila"},{"family":"Takács","given":"György"}],"issued":{"date-parts":[["2017"]]},"accessed":{"date-parts":[["2017",4,8]]}}},{"id":"jMlmauCg/wb30l7au","uris":["http://zotero.org/users/3051968/items/WNTZMDQF"],"uri":["http://zotero.org/users/3051968/items/WNTZMDQF"],"itemData":{"id":739,"type":"article-journal","title":"Degradation Trend Estimation and Prognosis of Large Low Speed Slewing Bearing Lifetime","container-title":"Applied Mechanics and Materials","page":"343-348","volume":"493","source":"www.scientific.net","abstract":"Advances in Applied Mechanics and Materials: Degradation Trend Estimation and Prognosis of Large Low Speed Slewing Bearing Lifetime","DOI":"10.4028/www.scientific.net/AMM.493.343","ISSN":"1662-7482","language":"EN","author":[{"family":"Kosasih","given":"Bu Yung"},{"family":"Caesarendra","given":"Wahyu"},{"family":"Tieu","given":"Kiet"},{"family":"Widodo","given":"Achmad"},{"family":"Moodie","given":"Craig A. S."},{"family":"Tieu","given":"A. Kiet"}],"issued":{"date-parts":[["2014"]]}}},{"id":"jMlmauCg/ygIcwmFw","uris":["http://zotero.org/users/3051968/items/RIVE5BJI"],"uri":["http://zotero.org/users/3051968/items/RIVE5BJI"],"itemData":{"id":742,"type":"article-journal","title":"Using multi-sensor data fusion for vibration fault diagnosis of rolling element bearings by accelerometer and load cell","container-title":"Information Fusion","page":"1-8","volume":"18","source":"ScienceDirect","abstract":"This paper presents a new method for bearing fault diagnosis using the fusion of two primary sensors: an accelerometer and a load cell. A novel condition-based monitoring (CBM) system consisting of six modules: sensing, signal processing, feature extraction, classification, high-level fusion and decision making module has been proposed. To obtain acceleration and load signals, a work bench has been used. In the next stage, signal indices for each signal in both time and frequency domains have been calculated. After calculation of signal indices, principal component analysis is employed for redundancy reduction. Two principal features have been extracted from load and acceleration indices. In the fourth module, K-Nearest Neighbor (KNN) classifier has been used in order to identify the condition of the ball bearing based on vibration signal and load signal. In the fifth module, a high-level sensor fusion is used to derive information that would not be available from single sensor. Based on situation assessment carried out during the training process of classifier, a relationship between bearing condition and sensor performance has been found. Finally, a logical program has been used to decide about the condition of the ball bearing. The test results demonstrate that the load cell is powerful to detect the healthy ball bearings from the defected ones, and the accelerometer is useful to detect the location of fault. Experimental results show the effectiveness of this method.","DOI":"10.1016/j.inffus.2013.10.002","ISSN":"1566-2535","journalAbbreviation":"Information Fusion","author":[{"family":"Safizadeh","given":"M. S."},{"family":"Latifi","given":"S. K."}],"issued":{"date-parts":[["2014",7]]}}}],"schema":"https://github.com/citation-style-language/schema/raw/master/csl-citation.json"} </w:instrText>
            </w:r>
            <w:r w:rsidRPr="00CC6CA3">
              <w:rPr>
                <w:sz w:val="20"/>
                <w:szCs w:val="20"/>
              </w:rPr>
              <w:fldChar w:fldCharType="separate"/>
            </w:r>
            <w:r w:rsidR="00854B0F" w:rsidRPr="00CC6CA3">
              <w:rPr>
                <w:rFonts w:cs="Times New Roman"/>
                <w:sz w:val="20"/>
                <w:szCs w:val="24"/>
              </w:rPr>
              <w:t>[37]–[40]</w:t>
            </w:r>
            <w:r w:rsidRPr="00CC6CA3">
              <w:rPr>
                <w:sz w:val="20"/>
                <w:szCs w:val="20"/>
              </w:rPr>
              <w:fldChar w:fldCharType="end"/>
            </w:r>
            <w:r w:rsidRPr="00CC6CA3">
              <w:rPr>
                <w:sz w:val="20"/>
                <w:szCs w:val="20"/>
              </w:rPr>
              <w:t xml:space="preserve">; </w:t>
            </w:r>
          </w:p>
          <w:p w14:paraId="4D365B65" w14:textId="54A17212" w:rsidR="00E2359E" w:rsidRPr="00CC6CA3" w:rsidRDefault="00E2359E" w:rsidP="00F632C0">
            <w:pPr>
              <w:spacing w:line="240" w:lineRule="auto"/>
              <w:rPr>
                <w:sz w:val="20"/>
                <w:szCs w:val="20"/>
              </w:rPr>
            </w:pPr>
            <w:r w:rsidRPr="00CC6CA3">
              <w:rPr>
                <w:sz w:val="20"/>
                <w:szCs w:val="20"/>
              </w:rPr>
              <w:t xml:space="preserve">Bearing characteristic frequency in the frequency domain, which includes the bearing pass frequency of the outer race, bearing pass frequency of the inner race, ball spin frequency, and fundamental train frequency </w:t>
            </w:r>
            <w:r w:rsidRPr="00CC6CA3">
              <w:rPr>
                <w:sz w:val="20"/>
                <w:szCs w:val="20"/>
              </w:rPr>
              <w:fldChar w:fldCharType="begin"/>
            </w:r>
            <w:r w:rsidR="007D1BCC" w:rsidRPr="00CC6CA3">
              <w:rPr>
                <w:sz w:val="20"/>
                <w:szCs w:val="20"/>
              </w:rPr>
              <w:instrText xml:space="preserve"> ADDIN ZOTERO_ITEM CSL_CITATION {"citationID":"a2gv80kc6l8","properties":{"formattedCitation":"[41]","plainCitation":"[41]","noteIndex":0},"citationItems":[{"id":"jMlmauCg/mi67kTCt","uris":["http://zotero.org/users/3051968/items/56VFDX2T"],"uri":["http://zotero.org/users/3051968/items/56VFDX2T"],"itemData":{"id":653,"type":"article-journal","title":"Rolling element bearing diagnostics—A tutorial","container-title":"Mechanical Systems and Signal Processing","page":"485-520","volume":"25","issue":"2","source":"CrossRef","DOI":"10.1016/j.ymssp.2010.07.017","ISSN":"08883270","language":"en","author":[{"family":"Randall","given":"Robert B."},{"family":"Antoni","given":"Jérôme"}],"issued":{"date-parts":[["2011",2]]}}}],"schema":"https://github.com/citation-style-language/schema/raw/master/csl-citation.json"} </w:instrText>
            </w:r>
            <w:r w:rsidRPr="00CC6CA3">
              <w:rPr>
                <w:sz w:val="20"/>
                <w:szCs w:val="20"/>
              </w:rPr>
              <w:fldChar w:fldCharType="separate"/>
            </w:r>
            <w:r w:rsidR="00854B0F" w:rsidRPr="00CC6CA3">
              <w:rPr>
                <w:rFonts w:cs="Times New Roman"/>
                <w:sz w:val="20"/>
              </w:rPr>
              <w:t>[41]</w:t>
            </w:r>
            <w:r w:rsidRPr="00CC6CA3">
              <w:rPr>
                <w:sz w:val="20"/>
                <w:szCs w:val="20"/>
              </w:rPr>
              <w:fldChar w:fldCharType="end"/>
            </w:r>
            <w:r w:rsidRPr="00CC6CA3">
              <w:rPr>
                <w:sz w:val="20"/>
                <w:szCs w:val="20"/>
              </w:rPr>
              <w:t>.</w:t>
            </w:r>
          </w:p>
        </w:tc>
      </w:tr>
      <w:tr w:rsidR="00CC6CA3" w:rsidRPr="00CC6CA3" w14:paraId="5A1E621A" w14:textId="77777777" w:rsidTr="00F632C0">
        <w:trPr>
          <w:trHeight w:val="1255"/>
        </w:trPr>
        <w:tc>
          <w:tcPr>
            <w:tcW w:w="1264" w:type="pct"/>
            <w:vAlign w:val="center"/>
          </w:tcPr>
          <w:p w14:paraId="44F72AE4" w14:textId="77777777" w:rsidR="00E2359E" w:rsidRPr="00CC6CA3" w:rsidRDefault="00E2359E" w:rsidP="00F632C0">
            <w:pPr>
              <w:spacing w:line="240" w:lineRule="auto"/>
              <w:rPr>
                <w:sz w:val="20"/>
                <w:szCs w:val="20"/>
              </w:rPr>
            </w:pPr>
            <w:r w:rsidRPr="00CC6CA3">
              <w:rPr>
                <w:sz w:val="20"/>
                <w:szCs w:val="20"/>
              </w:rPr>
              <w:t>Shaft crack</w:t>
            </w:r>
          </w:p>
        </w:tc>
        <w:tc>
          <w:tcPr>
            <w:tcW w:w="3736" w:type="pct"/>
            <w:vAlign w:val="center"/>
          </w:tcPr>
          <w:p w14:paraId="59355786" w14:textId="0549842D" w:rsidR="00E2359E" w:rsidRPr="00CC6CA3" w:rsidRDefault="00E2359E" w:rsidP="00F632C0">
            <w:pPr>
              <w:spacing w:line="240" w:lineRule="auto"/>
              <w:rPr>
                <w:sz w:val="20"/>
                <w:szCs w:val="20"/>
              </w:rPr>
            </w:pPr>
            <w:r w:rsidRPr="00CC6CA3">
              <w:rPr>
                <w:sz w:val="20"/>
                <w:szCs w:val="20"/>
              </w:rPr>
              <w:t xml:space="preserve">Static bending moment </w:t>
            </w:r>
            <w:r w:rsidRPr="00CC6CA3">
              <w:rPr>
                <w:sz w:val="20"/>
                <w:szCs w:val="20"/>
              </w:rPr>
              <w:fldChar w:fldCharType="begin"/>
            </w:r>
            <w:r w:rsidR="007D1BCC" w:rsidRPr="00CC6CA3">
              <w:rPr>
                <w:sz w:val="20"/>
                <w:szCs w:val="20"/>
              </w:rPr>
              <w:instrText xml:space="preserve"> ADDIN ZOTERO_ITEM CSL_CITATION {"citationID":"a1pfjtejf4b","properties":{"formattedCitation":"[42]","plainCitation":"[42]","noteIndex":0},"citationItems":[{"id":"jMlmauCg/Sm716OnA","uris":["http://zotero.org/users/3051968/items/GJN7JBM2"],"uri":["http://zotero.org/users/3051968/items/GJN7JBM2"],"itemData":{"id":713,"type":"book","title":"Cracked Rotors: A Survey on Static and Dynamic Behaviour Including Modelling and Diagnosis","publisher":"Springer Science &amp; Business Media","number-of-pages":"408","source":"Google Books","abstract":"Cracks can develop in rotating shafts and can propagate to relevant depths without affecting consistently the normal operating conditions of the shaft. In order to avoid catastrophic failures, accurate vibration analyses have to be performed for crack detection. The identification of the crack location and depth is possible by means of a model based diagnostic approach, provided that the model of the crack and the model of the cracked shaft dynamical behavior are accurate and reliable. This monograph shows the typical dynamical behavior of cracked shafts and presents tests for detecting cracks. The book describes how to model cracks, how to simulate the dynamical behavior of cracked shaft, and compares the corresponding numerical with experimental results. All effects of cracks on the vibrations of rotating shafts are analyzed, and some results of a numerical sensitivity analysis of the vibrations to the presence and severity of the crack are shown. Finally the book describes some crack identification procedures and shows some results in model based crack identification in position and depth.  The book is useful for higher university courses in mechanical and energetic engineering, but also for skilled technical people employed in power generation industries.","ISBN":"978-3-642-01485-7","note":"Google-Books-ID: FbPiJDxOG2AC","shortTitle":"Cracked Rotors","language":"en","author":[{"family":"Bachschmid","given":"Nicoló"},{"family":"Pennacchi","given":"Paolo"},{"family":"Tanzi","given":"Ezio"}],"issued":{"date-parts":[["2010",7,12]]}}}],"schema":"https://github.com/citation-style-language/schema/raw/master/csl-citation.json"} </w:instrText>
            </w:r>
            <w:r w:rsidRPr="00CC6CA3">
              <w:rPr>
                <w:sz w:val="20"/>
                <w:szCs w:val="20"/>
              </w:rPr>
              <w:fldChar w:fldCharType="separate"/>
            </w:r>
            <w:r w:rsidR="00854B0F" w:rsidRPr="00CC6CA3">
              <w:rPr>
                <w:rFonts w:cs="Times New Roman"/>
                <w:sz w:val="20"/>
              </w:rPr>
              <w:t>[42]</w:t>
            </w:r>
            <w:r w:rsidRPr="00CC6CA3">
              <w:rPr>
                <w:sz w:val="20"/>
                <w:szCs w:val="20"/>
              </w:rPr>
              <w:fldChar w:fldCharType="end"/>
            </w:r>
            <w:r w:rsidRPr="00CC6CA3">
              <w:rPr>
                <w:sz w:val="20"/>
                <w:szCs w:val="20"/>
              </w:rPr>
              <w:t xml:space="preserve">; </w:t>
            </w:r>
          </w:p>
          <w:p w14:paraId="6E6BA2B1" w14:textId="101A2434" w:rsidR="00E2359E" w:rsidRPr="00CC6CA3" w:rsidRDefault="00E2359E" w:rsidP="00F632C0">
            <w:pPr>
              <w:spacing w:line="240" w:lineRule="auto"/>
              <w:rPr>
                <w:sz w:val="20"/>
                <w:szCs w:val="20"/>
              </w:rPr>
            </w:pPr>
            <w:r w:rsidRPr="00CC6CA3">
              <w:rPr>
                <w:sz w:val="20"/>
                <w:szCs w:val="20"/>
              </w:rPr>
              <w:t xml:space="preserve">Shaft speed </w:t>
            </w:r>
            <w:r w:rsidRPr="00CC6CA3">
              <w:rPr>
                <w:sz w:val="20"/>
                <w:szCs w:val="20"/>
              </w:rPr>
              <w:fldChar w:fldCharType="begin"/>
            </w:r>
            <w:r w:rsidR="007D1BCC" w:rsidRPr="00CC6CA3">
              <w:rPr>
                <w:sz w:val="20"/>
                <w:szCs w:val="20"/>
              </w:rPr>
              <w:instrText xml:space="preserve"> ADDIN ZOTERO_ITEM CSL_CITATION {"citationID":"apiqjq5vle","properties":{"formattedCitation":"[43]","plainCitation":"[43]","noteIndex":0},"citationItems":[{"id":"jMlmauCg/MArGpMMv","uris":["http://zotero.org/users/3051968/items/HAV9C6SM"],"uri":["http://zotero.org/users/3051968/items/HAV9C6SM"],"itemData":{"id":715,"type":"article-journal","title":"Blade and Shaft Crack Detection Using Torsional Vibration Measurements Part 2: Resampling to Improve Effective Dynamic Range","container-title":"Noise &amp; Vibration Worldwide","page":"23-26","volume":"32","issue":"2","source":"SAGE Journals","abstract":"The primary goal of the development project was to demonstrate the feasibility of detecting changes in blade bending natural frequencies (such as those associated with a blade crack) on a turbine using non-contact, non-intrusive measurement methods. The approach was to set up a small experimental apparatus, develop a torsional vibration detection system, and maximize the dynamic range and the signal to noise ratio. The results of the testing and analysis clearly demonstrated the feasibility of using torsional vibration to detect the change in natural frequency of a blade due to a change in stiffness such as those associated with a blade crack. However, it was found that harmonics of shaft operating speed, created as an unwanted artifact of the measurement method, resulted in spectral regions in which the effective dynamic range was inadequate to detect low-level torsional vibration associated with the natural frequencies. The loss of effective dynamic range was due to the “skirts” created by the sampling window. Application of order resampling, followed by frequency resampling, to the torsional vibration waveform increased the effective dynamic range and improved the ability to identify shaft torsional and blade bending natural frequencies.","DOI":"10.1260/0957456011498281","ISSN":"0957-4565","shortTitle":"Blade and Shaft Crack Detection Using Torsional Vibration Measurements Part 2","journalAbbreviation":"Noise &amp; Vibration Worldwide","language":"en","author":[{"family":"Maynard","given":"Kenneth P."},{"family":"Trethewey","given":"Martin"}],"issued":{"date-parts":[["2001",2,1]]}}}],"schema":"https://github.com/citation-style-language/schema/raw/master/csl-citation.json"} </w:instrText>
            </w:r>
            <w:r w:rsidRPr="00CC6CA3">
              <w:rPr>
                <w:sz w:val="20"/>
                <w:szCs w:val="20"/>
              </w:rPr>
              <w:fldChar w:fldCharType="separate"/>
            </w:r>
            <w:r w:rsidR="00854B0F" w:rsidRPr="00CC6CA3">
              <w:rPr>
                <w:rFonts w:cs="Times New Roman"/>
                <w:sz w:val="20"/>
              </w:rPr>
              <w:t>[43]</w:t>
            </w:r>
            <w:r w:rsidRPr="00CC6CA3">
              <w:rPr>
                <w:sz w:val="20"/>
                <w:szCs w:val="20"/>
              </w:rPr>
              <w:fldChar w:fldCharType="end"/>
            </w:r>
            <w:r w:rsidRPr="00CC6CA3">
              <w:rPr>
                <w:sz w:val="20"/>
                <w:szCs w:val="20"/>
              </w:rPr>
              <w:t xml:space="preserve">; </w:t>
            </w:r>
          </w:p>
          <w:p w14:paraId="324D5989" w14:textId="1B8C207B" w:rsidR="00E2359E" w:rsidRPr="00CC6CA3" w:rsidRDefault="00E2359E" w:rsidP="00F632C0">
            <w:pPr>
              <w:spacing w:line="240" w:lineRule="auto"/>
              <w:rPr>
                <w:sz w:val="20"/>
                <w:szCs w:val="20"/>
              </w:rPr>
            </w:pPr>
            <w:r w:rsidRPr="00CC6CA3">
              <w:rPr>
                <w:sz w:val="20"/>
                <w:szCs w:val="20"/>
              </w:rPr>
              <w:t xml:space="preserve">Shaft temperature </w:t>
            </w:r>
            <w:r w:rsidRPr="00CC6CA3">
              <w:rPr>
                <w:sz w:val="20"/>
                <w:szCs w:val="20"/>
              </w:rPr>
              <w:fldChar w:fldCharType="begin"/>
            </w:r>
            <w:r w:rsidR="007D1BCC" w:rsidRPr="00CC6CA3">
              <w:rPr>
                <w:sz w:val="20"/>
                <w:szCs w:val="20"/>
              </w:rPr>
              <w:instrText xml:space="preserve"> ADDIN ZOTERO_ITEM CSL_CITATION {"citationID":"a28ife6975v","properties":{"formattedCitation":"[44]","plainCitation":"[44]","noteIndex":0},"citationItems":[{"id":"jMlmauCg/P6Yy1gM4","uris":["http://zotero.org/users/3051968/items/RWEXM8ZE"],"uri":["http://zotero.org/users/3051968/items/RWEXM8ZE"],"itemData":{"id":723,"type":"paper-conference","title":"Shaft crack detection in a steam turbine: experimental evidences and model-based investigations","container-title":"Proceedings of the ISMA 2010 Int. Conf. on Noise and Vibration Engineering","page":"20–22","source":"Google Scholar","shortTitle":"Shaft crack detection in a steam turbine","author":[{"family":"Vania","given":"A."},{"family":"Pennacchi","given":"P."}],"issued":{"date-parts":[["2010"]]}}}],"schema":"https://github.com/citation-style-language/schema/raw/master/csl-citation.json"} </w:instrText>
            </w:r>
            <w:r w:rsidRPr="00CC6CA3">
              <w:rPr>
                <w:sz w:val="20"/>
                <w:szCs w:val="20"/>
              </w:rPr>
              <w:fldChar w:fldCharType="separate"/>
            </w:r>
            <w:r w:rsidR="00854B0F" w:rsidRPr="00CC6CA3">
              <w:rPr>
                <w:rFonts w:cs="Times New Roman"/>
                <w:sz w:val="20"/>
              </w:rPr>
              <w:t>[44]</w:t>
            </w:r>
            <w:r w:rsidRPr="00CC6CA3">
              <w:rPr>
                <w:sz w:val="20"/>
                <w:szCs w:val="20"/>
              </w:rPr>
              <w:fldChar w:fldCharType="end"/>
            </w:r>
            <w:r w:rsidRPr="00CC6CA3">
              <w:rPr>
                <w:sz w:val="20"/>
                <w:szCs w:val="20"/>
              </w:rPr>
              <w:t xml:space="preserve">; </w:t>
            </w:r>
          </w:p>
          <w:p w14:paraId="5C70B2B6" w14:textId="103C07CE" w:rsidR="00E2359E" w:rsidRPr="00CC6CA3" w:rsidRDefault="00E2359E" w:rsidP="00F632C0">
            <w:pPr>
              <w:spacing w:line="240" w:lineRule="auto"/>
              <w:rPr>
                <w:sz w:val="20"/>
                <w:szCs w:val="20"/>
              </w:rPr>
            </w:pPr>
            <w:r w:rsidRPr="00CC6CA3">
              <w:rPr>
                <w:sz w:val="20"/>
                <w:szCs w:val="20"/>
              </w:rPr>
              <w:t xml:space="preserve">The harmonics of the original frequency (1X, 2X, 3X etc.) </w:t>
            </w:r>
            <w:r w:rsidRPr="00CC6CA3">
              <w:rPr>
                <w:sz w:val="20"/>
                <w:szCs w:val="20"/>
              </w:rPr>
              <w:fldChar w:fldCharType="begin"/>
            </w:r>
            <w:r w:rsidR="007D1BCC" w:rsidRPr="00CC6CA3">
              <w:rPr>
                <w:sz w:val="20"/>
                <w:szCs w:val="20"/>
              </w:rPr>
              <w:instrText xml:space="preserve"> ADDIN ZOTERO_ITEM CSL_CITATION {"citationID":"niazmIws","properties":{"formattedCitation":"[44]\\uc0\\u8211{}[46]","plainCitation":"[44]–[46]","noteIndex":0},"citationItems":[{"id":"jMlmauCg/CzYniaX7","uris":["http://zotero.org/users/3051968/items/PHEQFBSG"],"uri":["http://zotero.org/users/3051968/items/PHEQFBSG"],"itemData":{"id":720,"type":"paper-conference","title":"Early detection of shaft cracks on fluid-handling machines","container-title":"Proceedings of ASME International Symposium on Fluid Machinery Trouble Shooting, 1986 Winter Annual Meeting, Anaheim, CA, December","page":"53–58","volume":"7","source":"Google Scholar","author":[{"family":"Bently","given":"D."},{"family":"Muszynska","given":"A."}],"issued":{"date-parts":[["1986"]]}}},{"id":"jMlmauCg/ds1pchQu","uris":["http://zotero.org/users/3051968/items/GD3RHNGZ"],"uri":["http://zotero.org/users/3051968/items/GD3RHNGZ"],"itemData":{"id":721,"type":"report","title":"Cracked shaft diagnosis and detection on reactor recirculation pumps at Grand Gulf nuclear station","source":"Google Scholar","URL":"https://inis.iaea.org/search/search.aspx?orig_q=RN:23011936","author":[{"family":"Allen","given":"James W."},{"family":"Bohanick","given":"Jefffey S."}],"issued":{"date-parts":[["1991"]]},"accessed":{"date-parts":[["2017",4,8]]}}},{"id":"jMlmauCg/P6Yy1gM4","uris":["http://zotero.org/users/3051968/items/RWEXM8ZE"],"uri":["http://zotero.org/users/3051968/items/RWEXM8ZE"],"itemData":{"id":723,"type":"paper-conference","title":"Shaft crack detection in a steam turbine: experimental evidences and model-based investigations","container-title":"Proceedings of the ISMA 2010 Int. Conf. on Noise and Vibration Engineering","page":"20–22","source":"Google Scholar","shortTitle":"Shaft crack detection in a steam turbine","author":[{"family":"Vania","given":"A."},{"family":"Pennacchi","given":"P."}],"issued":{"date-parts":[["2010"]]}}}],"schema":"https://github.com/citation-style-language/schema/raw/master/csl-citation.json"} </w:instrText>
            </w:r>
            <w:r w:rsidRPr="00CC6CA3">
              <w:rPr>
                <w:sz w:val="20"/>
                <w:szCs w:val="20"/>
              </w:rPr>
              <w:fldChar w:fldCharType="separate"/>
            </w:r>
            <w:r w:rsidR="00854B0F" w:rsidRPr="00CC6CA3">
              <w:rPr>
                <w:rFonts w:cs="Times New Roman"/>
                <w:sz w:val="20"/>
                <w:szCs w:val="24"/>
              </w:rPr>
              <w:t>[44]–[46]</w:t>
            </w:r>
            <w:r w:rsidRPr="00CC6CA3">
              <w:rPr>
                <w:sz w:val="20"/>
                <w:szCs w:val="20"/>
              </w:rPr>
              <w:fldChar w:fldCharType="end"/>
            </w:r>
            <w:r w:rsidRPr="00CC6CA3">
              <w:rPr>
                <w:sz w:val="20"/>
                <w:szCs w:val="20"/>
              </w:rPr>
              <w:t>;</w:t>
            </w:r>
          </w:p>
          <w:p w14:paraId="6A84D711" w14:textId="72AF4928" w:rsidR="00E2359E" w:rsidRPr="00CC6CA3" w:rsidRDefault="00E2359E" w:rsidP="00F632C0">
            <w:pPr>
              <w:spacing w:line="240" w:lineRule="auto"/>
              <w:rPr>
                <w:sz w:val="20"/>
                <w:szCs w:val="20"/>
              </w:rPr>
            </w:pPr>
            <w:r w:rsidRPr="00CC6CA3">
              <w:rPr>
                <w:sz w:val="20"/>
                <w:szCs w:val="20"/>
              </w:rPr>
              <w:t xml:space="preserve">Torsional vibrations </w:t>
            </w:r>
            <w:r w:rsidRPr="00CC6CA3">
              <w:rPr>
                <w:sz w:val="20"/>
                <w:szCs w:val="20"/>
              </w:rPr>
              <w:fldChar w:fldCharType="begin"/>
            </w:r>
            <w:r w:rsidR="007D1BCC" w:rsidRPr="00CC6CA3">
              <w:rPr>
                <w:sz w:val="20"/>
                <w:szCs w:val="20"/>
              </w:rPr>
              <w:instrText xml:space="preserve"> ADDIN ZOTERO_ITEM CSL_CITATION {"citationID":"XXjzbYXd","properties":{"formattedCitation":"[47], [48]","plainCitation":"[47], [48]","noteIndex":0},"citationItems":[{"id":"jMlmauCg/wrX0XNQK","uris":["http://zotero.org/users/3051968/items/A9ZUJDF2"],"uri":["http://zotero.org/users/3051968/items/A9ZUJDF2"],"itemData":{"id":727,"type":"article-journal","title":"Torsional vibration of a shaft with a circumferential crack","container-title":"Engineering Fracture Mechanics","page":"439-444","volume":"15","issue":"3","source":"ScienceDirect","abstract":"The influence of a circumferential crack upon the torsional dynamic behavior of a shaft is studied. Introduction of such a crack results in lower torsional natural frequencies due to the added flexibility. The strain energy release function is related to the compliance of the cracked shaft, that is to the local flexibility due to the introduction of the crack. This function is related to the stress intensity factor which for torsion of a shaft with a circumferential crack has a known expression. As a result, the local flexibility of the shaft due to the presence of the crack has been computed. This result can be further utilized to yield the dynamic response of a shaft with complex geometry. The torsional natural frequency is expected to decrease with increasing crack depth. To establish such function, a continuous shaft with a circumferential crack was analyzed. The fundamental natural frequency showed strong dependence on the crack depth. This dependence is smaller as the order of the frequency increases. Experimental results are in close agreement with analysis. The results show that the change in dynamic response due to the crack is high enough to allow the detection of the crack and estimation of its location or magnitude.","DOI":"10.1016/0013-7944(81)90069-2","ISSN":"0013-7944","journalAbbreviation":"Engineering Fracture Mechanics","author":[{"family":"Dimarogonas","given":"Andrew"},{"family":"Massouros","given":"George"}],"issued":{"date-parts":[["1981",1,1]]}}},{"id":"jMlmauCg/AbA2JhQb","uris":["http://zotero.org/users/3051968/items/T3HJEDEH"],"uri":["http://zotero.org/users/3051968/items/T3HJEDEH"],"itemData":{"id":730,"type":"article-journal","title":"Efficiency analysis of vibration based crack diagnostics in rotating shafts","container-title":"Engineering Fracture Mechanics","page":"118-129","volume":"173","source":"ScienceDirect","abstract":"The vibration based damage detection has practically no alternative as applied to the rotating shafts of steam turbines during operation. A lot of vibration method of damage detection are developed till present time. But the efficiency of all these methods is very dependent on the type of structure, way of its deformation and on the type of damage. At a moment practical engineers have no instrument to make right choice of most appropriate method of damage detection for some or other structure.\nThe comparative estimation of efficiency of different vibration diagnostics methods to detect damage of sub-critical size is complex and time-consuming process. So there was developed quite simple method of selection of most efficient vibration method of damage detection for a certain structure with a certain type of crack and at a certain type of deformation. This method is based on the determination of relative change of shaft’s compliance caused by a crack with the use of linear fracture mechanics. As an example there was performed the comparative sensitivity analysis of several vibration methods of damage detection to the presence of longitudinal and transverse crack in a shaft at bending and torsional vibration.","DOI":"10.1016/j.engfracmech.2017.01.014","ISSN":"0013-7944","journalAbbreviation":"Engineering Fracture Mechanics","author":[{"family":"Bovsunovsky","given":"A. P."}],"issued":{"date-parts":[["2017",3,15]]}}}],"schema":"https://github.com/citation-style-language/schema/raw/master/csl-citation.json"} </w:instrText>
            </w:r>
            <w:r w:rsidRPr="00CC6CA3">
              <w:rPr>
                <w:sz w:val="20"/>
                <w:szCs w:val="20"/>
              </w:rPr>
              <w:fldChar w:fldCharType="separate"/>
            </w:r>
            <w:r w:rsidR="00854B0F" w:rsidRPr="00CC6CA3">
              <w:rPr>
                <w:rFonts w:cs="Times New Roman"/>
                <w:sz w:val="20"/>
              </w:rPr>
              <w:t>[47], [48]</w:t>
            </w:r>
            <w:r w:rsidRPr="00CC6CA3">
              <w:rPr>
                <w:sz w:val="20"/>
                <w:szCs w:val="20"/>
              </w:rPr>
              <w:fldChar w:fldCharType="end"/>
            </w:r>
            <w:r w:rsidRPr="00CC6CA3">
              <w:rPr>
                <w:sz w:val="20"/>
                <w:szCs w:val="20"/>
              </w:rPr>
              <w:t>;</w:t>
            </w:r>
          </w:p>
          <w:p w14:paraId="053B970C" w14:textId="757A253F" w:rsidR="00E2359E" w:rsidRPr="00CC6CA3" w:rsidRDefault="00E2359E" w:rsidP="00F632C0">
            <w:pPr>
              <w:spacing w:line="240" w:lineRule="auto"/>
              <w:rPr>
                <w:sz w:val="20"/>
                <w:szCs w:val="20"/>
              </w:rPr>
            </w:pPr>
            <w:r w:rsidRPr="00CC6CA3">
              <w:rPr>
                <w:sz w:val="20"/>
                <w:szCs w:val="20"/>
              </w:rPr>
              <w:t xml:space="preserve">High kurtosis, high magnitude of the spectral components </w:t>
            </w:r>
            <w:r w:rsidRPr="00CC6CA3">
              <w:rPr>
                <w:sz w:val="20"/>
                <w:szCs w:val="20"/>
              </w:rPr>
              <w:fldChar w:fldCharType="begin"/>
            </w:r>
            <w:r w:rsidR="007D1BCC" w:rsidRPr="00CC6CA3">
              <w:rPr>
                <w:sz w:val="20"/>
                <w:szCs w:val="20"/>
              </w:rPr>
              <w:instrText xml:space="preserve"> ADDIN ZOTERO_ITEM CSL_CITATION {"citationID":"Ju2blPs9","properties":{"formattedCitation":"[49]","plainCitation":"[49]","noteIndex":0},"citationItems":[{"id":"jMlmauCg/C4ZT34yD","uris":["http://zotero.org/users/3051968/items/RP4G27I9"],"uri":["http://zotero.org/users/3051968/items/RP4G27I9"],"itemData":{"id":593,"type":"article-journal","title":"Cracked Shaft Detection and Diagnostics: A Literature Review","container-title":"The Shock and Vibration Digest","page":"287-296","volume":"36","issue":"4","source":"CrossRef","DOI":"10.1177/0583102404045439","ISSN":"05831024, 00000000","shortTitle":"Cracked Shaft Detection and Diagnostics","language":"en","author":[{"family":"Sabnavis","given":"Giridhar"},{"family":"Kirk","given":"R. G."},{"family":"Kasarda","given":"Mary"},{"family":"Quinn","given":"Dane"}],"issued":{"date-parts":[["2004",7,1]]}}}],"schema":"https://github.com/citation-style-language/schema/raw/master/csl-citation.json"} </w:instrText>
            </w:r>
            <w:r w:rsidRPr="00CC6CA3">
              <w:rPr>
                <w:sz w:val="20"/>
                <w:szCs w:val="20"/>
              </w:rPr>
              <w:fldChar w:fldCharType="separate"/>
            </w:r>
            <w:r w:rsidR="00854B0F" w:rsidRPr="00CC6CA3">
              <w:rPr>
                <w:rFonts w:cs="Times New Roman"/>
                <w:sz w:val="20"/>
              </w:rPr>
              <w:t>[49]</w:t>
            </w:r>
            <w:r w:rsidRPr="00CC6CA3">
              <w:rPr>
                <w:sz w:val="20"/>
                <w:szCs w:val="20"/>
              </w:rPr>
              <w:fldChar w:fldCharType="end"/>
            </w:r>
            <w:r w:rsidRPr="00CC6CA3">
              <w:rPr>
                <w:sz w:val="20"/>
                <w:szCs w:val="20"/>
              </w:rPr>
              <w:t>.</w:t>
            </w:r>
          </w:p>
        </w:tc>
      </w:tr>
      <w:tr w:rsidR="00CC6CA3" w:rsidRPr="00CC6CA3" w14:paraId="4ACB73A5" w14:textId="77777777" w:rsidTr="00F632C0">
        <w:trPr>
          <w:trHeight w:val="1503"/>
        </w:trPr>
        <w:tc>
          <w:tcPr>
            <w:tcW w:w="1264" w:type="pct"/>
            <w:vAlign w:val="center"/>
          </w:tcPr>
          <w:p w14:paraId="5AA668DE" w14:textId="77777777" w:rsidR="00E2359E" w:rsidRPr="00CC6CA3" w:rsidRDefault="00E2359E" w:rsidP="00F632C0">
            <w:pPr>
              <w:spacing w:line="240" w:lineRule="auto"/>
              <w:rPr>
                <w:sz w:val="20"/>
                <w:szCs w:val="20"/>
              </w:rPr>
            </w:pPr>
            <w:r w:rsidRPr="00CC6CA3">
              <w:rPr>
                <w:sz w:val="20"/>
                <w:szCs w:val="20"/>
              </w:rPr>
              <w:t>Stall</w:t>
            </w:r>
          </w:p>
        </w:tc>
        <w:tc>
          <w:tcPr>
            <w:tcW w:w="3736" w:type="pct"/>
            <w:vAlign w:val="center"/>
          </w:tcPr>
          <w:p w14:paraId="3D11FC4B" w14:textId="77777777" w:rsidR="00E2359E" w:rsidRPr="00CC6CA3" w:rsidRDefault="00E2359E" w:rsidP="00F632C0">
            <w:pPr>
              <w:spacing w:line="240" w:lineRule="auto"/>
              <w:rPr>
                <w:sz w:val="20"/>
                <w:szCs w:val="20"/>
              </w:rPr>
            </w:pPr>
            <w:r w:rsidRPr="00CC6CA3">
              <w:rPr>
                <w:sz w:val="20"/>
                <w:szCs w:val="20"/>
              </w:rPr>
              <w:t>Transient pressure [30</w:t>
            </w:r>
            <w:proofErr w:type="gramStart"/>
            <w:r w:rsidRPr="00CC6CA3">
              <w:rPr>
                <w:sz w:val="20"/>
                <w:szCs w:val="20"/>
              </w:rPr>
              <w:t>];</w:t>
            </w:r>
            <w:proofErr w:type="gramEnd"/>
            <w:r w:rsidRPr="00CC6CA3">
              <w:rPr>
                <w:sz w:val="20"/>
                <w:szCs w:val="20"/>
              </w:rPr>
              <w:t xml:space="preserve"> </w:t>
            </w:r>
          </w:p>
          <w:p w14:paraId="76089572" w14:textId="04762F0E" w:rsidR="00E2359E" w:rsidRPr="00CC6CA3" w:rsidRDefault="00E2359E" w:rsidP="00F632C0">
            <w:pPr>
              <w:spacing w:line="240" w:lineRule="auto"/>
              <w:rPr>
                <w:sz w:val="20"/>
                <w:szCs w:val="20"/>
              </w:rPr>
            </w:pPr>
            <w:r w:rsidRPr="00CC6CA3">
              <w:rPr>
                <w:sz w:val="20"/>
                <w:szCs w:val="20"/>
              </w:rPr>
              <w:t xml:space="preserve">Discharge temperature </w:t>
            </w:r>
            <w:r w:rsidRPr="00CC6CA3">
              <w:rPr>
                <w:sz w:val="20"/>
                <w:szCs w:val="20"/>
              </w:rPr>
              <w:fldChar w:fldCharType="begin"/>
            </w:r>
            <w:r w:rsidR="007D1BCC" w:rsidRPr="00CC6CA3">
              <w:rPr>
                <w:sz w:val="20"/>
                <w:szCs w:val="20"/>
              </w:rPr>
              <w:instrText xml:space="preserve"> ADDIN ZOTERO_ITEM CSL_CITATION {"citationID":"UcsHIzRB","properties":{"formattedCitation":"[50]","plainCitation":"[50]","noteIndex":0},"citationItems":[{"id":"jMlmauCg/Sf6lL3Nb","uris":["http://zotero.org/users/3051968/items/52ZAV4U9"],"uri":["http://zotero.org/users/3051968/items/52ZAV4U9"],"itemData":{"id":261,"type":"article-journal","title":"Unsteady behavior of leading-edge vortex and diffuser stall in a centrifugal compressor with vaned diffuser","container-title":"Journal of Thermal Science","page":"13-21","volume":"25","issue":"1","source":"CrossRef","DOI":"10.1007/s11630-016-0829-z","ISSN":"1003-2169, 1993-033X","language":"en","author":[{"family":"Fujisawa","given":"Nobumichi"},{"family":"Hara","given":"Shotaro"},{"family":"Ohta","given":"Yutaka"}],"issued":{"date-parts":[["2016",2]]}}}],"schema":"https://github.com/citation-style-language/schema/raw/master/csl-citation.json"} </w:instrText>
            </w:r>
            <w:r w:rsidRPr="00CC6CA3">
              <w:rPr>
                <w:sz w:val="20"/>
                <w:szCs w:val="20"/>
              </w:rPr>
              <w:fldChar w:fldCharType="separate"/>
            </w:r>
            <w:r w:rsidR="00854B0F" w:rsidRPr="00CC6CA3">
              <w:rPr>
                <w:rFonts w:cs="Times New Roman"/>
                <w:sz w:val="20"/>
              </w:rPr>
              <w:t>[50]</w:t>
            </w:r>
            <w:r w:rsidRPr="00CC6CA3">
              <w:rPr>
                <w:sz w:val="20"/>
                <w:szCs w:val="20"/>
              </w:rPr>
              <w:fldChar w:fldCharType="end"/>
            </w:r>
            <w:r w:rsidRPr="00CC6CA3">
              <w:rPr>
                <w:sz w:val="20"/>
                <w:szCs w:val="20"/>
              </w:rPr>
              <w:t>;</w:t>
            </w:r>
          </w:p>
          <w:p w14:paraId="425A2C34" w14:textId="4995F89C" w:rsidR="00E2359E" w:rsidRPr="00CC6CA3" w:rsidRDefault="00E2359E" w:rsidP="00F632C0">
            <w:pPr>
              <w:spacing w:line="240" w:lineRule="auto"/>
              <w:rPr>
                <w:sz w:val="20"/>
                <w:szCs w:val="20"/>
              </w:rPr>
            </w:pPr>
            <w:r w:rsidRPr="00CC6CA3">
              <w:rPr>
                <w:sz w:val="20"/>
                <w:szCs w:val="20"/>
              </w:rPr>
              <w:t xml:space="preserve">Suction and discharge temperature deviation </w:t>
            </w:r>
            <w:r w:rsidRPr="00CC6CA3">
              <w:rPr>
                <w:sz w:val="20"/>
                <w:szCs w:val="20"/>
              </w:rPr>
              <w:fldChar w:fldCharType="begin"/>
            </w:r>
            <w:r w:rsidR="007D1BCC" w:rsidRPr="00CC6CA3">
              <w:rPr>
                <w:sz w:val="20"/>
                <w:szCs w:val="20"/>
              </w:rPr>
              <w:instrText xml:space="preserve"> ADDIN ZOTERO_ITEM CSL_CITATION {"citationID":"uQ3g8wWX","properties":{"formattedCitation":"[50]","plainCitation":"[50]","noteIndex":0},"citationItems":[{"id":"jMlmauCg/Sf6lL3Nb","uris":["http://zotero.org/users/3051968/items/52ZAV4U9"],"uri":["http://zotero.org/users/3051968/items/52ZAV4U9"],"itemData":{"id":261,"type":"article-journal","title":"Unsteady behavior of leading-edge vortex and diffuser stall in a centrifugal compressor with vaned diffuser","container-title":"Journal of Thermal Science","page":"13-21","volume":"25","issue":"1","source":"CrossRef","DOI":"10.1007/s11630-016-0829-z","ISSN":"1003-2169, 1993-033X","language":"en","author":[{"family":"Fujisawa","given":"Nobumichi"},{"family":"Hara","given":"Shotaro"},{"family":"Ohta","given":"Yutaka"}],"issued":{"date-parts":[["2016",2]]}}}],"schema":"https://github.com/citation-style-language/schema/raw/master/csl-citation.json"} </w:instrText>
            </w:r>
            <w:r w:rsidRPr="00CC6CA3">
              <w:rPr>
                <w:sz w:val="20"/>
                <w:szCs w:val="20"/>
              </w:rPr>
              <w:fldChar w:fldCharType="separate"/>
            </w:r>
            <w:r w:rsidR="00854B0F" w:rsidRPr="00CC6CA3">
              <w:rPr>
                <w:rFonts w:cs="Times New Roman"/>
                <w:sz w:val="20"/>
              </w:rPr>
              <w:t>[50]</w:t>
            </w:r>
            <w:r w:rsidRPr="00CC6CA3">
              <w:rPr>
                <w:sz w:val="20"/>
                <w:szCs w:val="20"/>
              </w:rPr>
              <w:fldChar w:fldCharType="end"/>
            </w:r>
            <w:r w:rsidRPr="00CC6CA3">
              <w:rPr>
                <w:sz w:val="20"/>
                <w:szCs w:val="20"/>
              </w:rPr>
              <w:t xml:space="preserve">; </w:t>
            </w:r>
          </w:p>
          <w:p w14:paraId="185E8F0D" w14:textId="30AB419E" w:rsidR="00E2359E" w:rsidRPr="00CC6CA3" w:rsidRDefault="00E2359E" w:rsidP="00F632C0">
            <w:pPr>
              <w:spacing w:line="240" w:lineRule="auto"/>
              <w:rPr>
                <w:sz w:val="20"/>
                <w:szCs w:val="20"/>
              </w:rPr>
            </w:pPr>
            <w:r w:rsidRPr="00CC6CA3">
              <w:rPr>
                <w:sz w:val="20"/>
                <w:szCs w:val="20"/>
              </w:rPr>
              <w:t xml:space="preserve">Discharge pressure </w:t>
            </w:r>
            <w:r w:rsidRPr="00CC6CA3">
              <w:rPr>
                <w:sz w:val="20"/>
                <w:szCs w:val="20"/>
              </w:rPr>
              <w:fldChar w:fldCharType="begin"/>
            </w:r>
            <w:r w:rsidR="007D1BCC" w:rsidRPr="00CC6CA3">
              <w:rPr>
                <w:sz w:val="20"/>
                <w:szCs w:val="20"/>
              </w:rPr>
              <w:instrText xml:space="preserve"> ADDIN ZOTERO_ITEM CSL_CITATION {"citationID":"algt5v23or","properties":{"formattedCitation":"[51]","plainCitation":"[51]","noteIndex":0},"citationItems":[{"id":"jMlmauCg/uyfdrDSl","uris":["http://zotero.org/users/3051968/items/VD9U4JIC"],"uri":["http://zotero.org/users/3051968/items/VD9U4JIC"],"itemData":{"id":809,"type":"article-journal","title":"Haupt, U., Seidel, U., Abdel-Hamid, A. N., and Rautenberg, M., (1988), Unsteady Flow in a Centrifugal Compressor with Different Types of Vaned Diffusers, ASME Journal of Turbomachinery, vol.110, pp.293‒303."}}],"schema":"https://github.com/citation-style-language/schema/raw/master/csl-citation.json"} </w:instrText>
            </w:r>
            <w:r w:rsidRPr="00CC6CA3">
              <w:rPr>
                <w:sz w:val="20"/>
                <w:szCs w:val="20"/>
              </w:rPr>
              <w:fldChar w:fldCharType="separate"/>
            </w:r>
            <w:r w:rsidR="00854B0F" w:rsidRPr="00CC6CA3">
              <w:rPr>
                <w:rFonts w:cs="Times New Roman"/>
                <w:sz w:val="20"/>
              </w:rPr>
              <w:t>[51]</w:t>
            </w:r>
            <w:r w:rsidRPr="00CC6CA3">
              <w:rPr>
                <w:sz w:val="20"/>
                <w:szCs w:val="20"/>
              </w:rPr>
              <w:fldChar w:fldCharType="end"/>
            </w:r>
            <w:r w:rsidRPr="00CC6CA3">
              <w:rPr>
                <w:sz w:val="20"/>
                <w:szCs w:val="20"/>
              </w:rPr>
              <w:t>;</w:t>
            </w:r>
          </w:p>
          <w:p w14:paraId="7EA2961F" w14:textId="213442DC" w:rsidR="00E2359E" w:rsidRPr="00CC6CA3" w:rsidRDefault="00E2359E" w:rsidP="00F632C0">
            <w:pPr>
              <w:spacing w:line="240" w:lineRule="auto"/>
              <w:rPr>
                <w:sz w:val="20"/>
                <w:szCs w:val="20"/>
              </w:rPr>
            </w:pPr>
            <w:r w:rsidRPr="00CC6CA3">
              <w:rPr>
                <w:sz w:val="20"/>
                <w:szCs w:val="20"/>
              </w:rPr>
              <w:t xml:space="preserve">Suction and discharge pressure deviation </w:t>
            </w:r>
            <w:r w:rsidRPr="00CC6CA3">
              <w:rPr>
                <w:sz w:val="20"/>
                <w:szCs w:val="20"/>
              </w:rPr>
              <w:fldChar w:fldCharType="begin"/>
            </w:r>
            <w:r w:rsidR="007D1BCC" w:rsidRPr="00CC6CA3">
              <w:rPr>
                <w:sz w:val="20"/>
                <w:szCs w:val="20"/>
              </w:rPr>
              <w:instrText xml:space="preserve"> ADDIN ZOTERO_ITEM CSL_CITATION {"citationID":"a89kpthaa5","properties":{"formattedCitation":"[52]","plainCitation":"[52]","noteIndex":0},"citationItems":[{"id":"jMlmauCg/XHdYDUHJ","uris":["http://zotero.org/users/3051968/items/XG2ZQB8Q"],"uri":["http://zotero.org/users/3051968/items/XG2ZQB8Q"],"itemData":{"id":810,"type":"article-journal","title":"Analysis of the entire surge cycle of a multi-stage high-speed compressor","container-title":"Center for Turbulence Research, Annual Research Briefs, Stanford University, Stanford, CA","page":"205–218","source":"Google Scholar","author":[{"family":"Teramoto","given":"S."}],"issued":{"date-parts":[["2008"]]}}}],"schema":"https://github.com/citation-style-language/schema/raw/master/csl-citation.json"} </w:instrText>
            </w:r>
            <w:r w:rsidRPr="00CC6CA3">
              <w:rPr>
                <w:sz w:val="20"/>
                <w:szCs w:val="20"/>
              </w:rPr>
              <w:fldChar w:fldCharType="separate"/>
            </w:r>
            <w:r w:rsidR="00854B0F" w:rsidRPr="00CC6CA3">
              <w:rPr>
                <w:rFonts w:cs="Times New Roman"/>
                <w:sz w:val="20"/>
              </w:rPr>
              <w:t>[52]</w:t>
            </w:r>
            <w:r w:rsidRPr="00CC6CA3">
              <w:rPr>
                <w:sz w:val="20"/>
                <w:szCs w:val="20"/>
              </w:rPr>
              <w:fldChar w:fldCharType="end"/>
            </w:r>
            <w:r w:rsidRPr="00CC6CA3">
              <w:rPr>
                <w:sz w:val="20"/>
                <w:szCs w:val="20"/>
              </w:rPr>
              <w:t xml:space="preserve">; </w:t>
            </w:r>
          </w:p>
          <w:p w14:paraId="3E663081" w14:textId="29844D9A" w:rsidR="00E2359E" w:rsidRPr="00CC6CA3" w:rsidRDefault="00E2359E" w:rsidP="00F632C0">
            <w:pPr>
              <w:spacing w:line="240" w:lineRule="auto"/>
              <w:rPr>
                <w:sz w:val="20"/>
                <w:szCs w:val="20"/>
              </w:rPr>
            </w:pPr>
            <w:r w:rsidRPr="00CC6CA3">
              <w:rPr>
                <w:sz w:val="20"/>
                <w:szCs w:val="20"/>
              </w:rPr>
              <w:t xml:space="preserve">Pressure ratio </w:t>
            </w:r>
            <w:r w:rsidRPr="00CC6CA3">
              <w:rPr>
                <w:sz w:val="20"/>
                <w:szCs w:val="20"/>
              </w:rPr>
              <w:fldChar w:fldCharType="begin"/>
            </w:r>
            <w:r w:rsidR="00854B0F" w:rsidRPr="00CC6CA3">
              <w:rPr>
                <w:sz w:val="20"/>
                <w:szCs w:val="20"/>
              </w:rPr>
              <w:instrText xml:space="preserve"> ADDIN ZOTERO_ITEM CSL_CITATION {"citationID":"a242hbs3lpq","properties":{"formattedCitation":"[53]","plainCitation":"[53]","noteIndex":0},"citationItems":[{"id":27,"uris":["http://zotero.org/users/3051968/items/8ZF7Z5CU"],"uri":["http://zotero.org/users/3051968/items/8ZF7Z5CU"],"itemData":{"id":27,"type":"book","abstract":"Aero and Vibroacoustics of Automotive Turbochargers is a topic involving aspects from the working fields of thermodynamics of turbomachinery, aerodynamics, rotordynamics, and noise propagation computation. In this broadly interdisciplinary subject, thermodynamics of turbomachinery is used to design the turbocharger and to determine its operating conditions. Aerodynamics is needed to study the compressor flow dynamics and flow instabilities of rotating stall and surge, which can produce growling and whining-type noises. Rotordynamics is necessary to study rotor unbalance and self-excited oil-whirl instabilities, which lead to whistling and constant tone-type noises in rotating floating oil-film type bearings. For the special case of turbochargers using ball bearings, some high-order harmonic and wear noises also manifest in the rotor operating range. Lastly, noise propagation computation, based on Lighthill’s analogy, is required to investigate airborne noises produced by turbochargers in passenger vehicles.The content of this book is intended for advanced undergraduates, graduates in mechanical engineering, research scientists and practicing engineers who want to better understand the interactions between these working fields and the resulting impact on the interesting topic of Aero and Vibroacoustics of Automotive Turbochargers.","ISBN":"978-3-642-35070-2","language":"en","note":"Google-Books-ID: LUk_AAAAQBAJ","number-of-pages":"145","publisher":"Springer Science &amp; Business Media","source":"Google Books","title":"Aero and Vibroacoustics of Automotive Turbochargers","author":[{"family":"Nguyen-Schäfer","given":"Hung"}],"issued":{"date-parts":[["2013",1,6]]}}}],"schema":"https://github.com/citation-style-language/schema/raw/master/csl-citation.json"} </w:instrText>
            </w:r>
            <w:r w:rsidRPr="00CC6CA3">
              <w:rPr>
                <w:sz w:val="20"/>
                <w:szCs w:val="20"/>
              </w:rPr>
              <w:fldChar w:fldCharType="separate"/>
            </w:r>
            <w:r w:rsidR="00854B0F" w:rsidRPr="00CC6CA3">
              <w:rPr>
                <w:rFonts w:cs="Times New Roman"/>
                <w:sz w:val="20"/>
              </w:rPr>
              <w:t>[53]</w:t>
            </w:r>
            <w:r w:rsidRPr="00CC6CA3">
              <w:rPr>
                <w:sz w:val="20"/>
                <w:szCs w:val="20"/>
              </w:rPr>
              <w:fldChar w:fldCharType="end"/>
            </w:r>
            <w:r w:rsidRPr="00CC6CA3">
              <w:rPr>
                <w:sz w:val="20"/>
                <w:szCs w:val="20"/>
              </w:rPr>
              <w:t xml:space="preserve">; </w:t>
            </w:r>
          </w:p>
          <w:p w14:paraId="715F8779" w14:textId="440FF1B7" w:rsidR="00E2359E" w:rsidRPr="00CC6CA3" w:rsidRDefault="00E2359E" w:rsidP="00F632C0">
            <w:pPr>
              <w:spacing w:line="240" w:lineRule="auto"/>
              <w:rPr>
                <w:sz w:val="20"/>
                <w:szCs w:val="20"/>
              </w:rPr>
            </w:pPr>
            <w:r w:rsidRPr="00CC6CA3">
              <w:rPr>
                <w:sz w:val="20"/>
                <w:szCs w:val="20"/>
              </w:rPr>
              <w:t xml:space="preserve">Flow </w:t>
            </w:r>
            <w:r w:rsidRPr="00CC6CA3">
              <w:rPr>
                <w:sz w:val="20"/>
                <w:szCs w:val="20"/>
              </w:rPr>
              <w:fldChar w:fldCharType="begin"/>
            </w:r>
            <w:r w:rsidR="007D1BCC" w:rsidRPr="00CC6CA3">
              <w:rPr>
                <w:sz w:val="20"/>
                <w:szCs w:val="20"/>
              </w:rPr>
              <w:instrText xml:space="preserve"> ADDIN ZOTERO_ITEM CSL_CITATION {"citationID":"jCj7HF37","properties":{"formattedCitation":"[54]","plainCitation":"[54]","noteIndex":0},"citationItems":[{"id":"jMlmauCg/lJU1aNEk","uris":["http://zotero.org/users/3051968/items/ZI4P29V6"],"uri":["http://zotero.org/users/3051968/items/ZI4P29V6"],"itemData":{"id":257,"type":"article-journal","title":"Prediction of impeller rotating stall onset using numerical simulations of a centrifugal compressor. Part 2: Evaluation of mass-flow fluctuations at rotor–stator interfaces","container-title":"Proceedings of the Institution of Mechanical Engineers, Part A: Journal of Power and Energy","page":"415-425","volume":"227","issue":"4","source":"pia.sagepub.com","abstract":"Rotating stall is an unsteady flow phenomenon that appears in both axial and centrifugal compressors. It is detrimental to the performance of the compressor, significantly narrowing its operating range. Numerical modeling of this phenomenon has been a major area of investigation for axial compressors with some success. While stall occurs less often in centrifugal compressors than axial ones, it can be much harder to predict. Some preventive measures are known but are mostly rules of thumb developed through experimental experience. This work focuses on the prediction of the onset flow rate of impeller rotating stall using computational fluid dynamics. Two different types of unsteady numerical simulations were performed on full 360° models of a compressor that exhibited rotating stall. The transient simulations were conducted using distributed processing on high-performance servers. Fast Fourier transform analysis was used to determine the mass-flow fluctuations in the impeller that can be associated to the phenomenon. The frequency analysis results were then used to determine the onset flow rate for impeller rotating stall. The simulation results and fast Fourier transform analysis were compared to experimental results for the same compressor and show a good correlation between the experimental and numerical tests.","DOI":"10.1177/0957650912474387","ISSN":"0957-6509, 2041-2967","shortTitle":"Prediction of impeller rotating stall onset using numerical simulations of a centrifugal compressor. Part 2","journalAbbreviation":"Proceedings of the Institution of Mechanical Engineers, Part A: Journal of Power and Energy","language":"en","author":[{"family":"Vagani","given":"Marco"},{"family":"Engeda","given":"Abraham"},{"family":"Cave","given":"Michael J."}],"issued":{"date-parts":[["2013",6,1]]}}}],"schema":"https://github.com/citation-style-language/schema/raw/master/csl-citation.json"} </w:instrText>
            </w:r>
            <w:r w:rsidRPr="00CC6CA3">
              <w:rPr>
                <w:sz w:val="20"/>
                <w:szCs w:val="20"/>
              </w:rPr>
              <w:fldChar w:fldCharType="separate"/>
            </w:r>
            <w:r w:rsidR="00854B0F" w:rsidRPr="00CC6CA3">
              <w:rPr>
                <w:rFonts w:cs="Times New Roman"/>
                <w:sz w:val="20"/>
              </w:rPr>
              <w:t>[54]</w:t>
            </w:r>
            <w:r w:rsidRPr="00CC6CA3">
              <w:rPr>
                <w:sz w:val="20"/>
                <w:szCs w:val="20"/>
              </w:rPr>
              <w:fldChar w:fldCharType="end"/>
            </w:r>
            <w:r w:rsidRPr="00CC6CA3">
              <w:rPr>
                <w:sz w:val="20"/>
                <w:szCs w:val="20"/>
              </w:rPr>
              <w:t xml:space="preserve">; </w:t>
            </w:r>
          </w:p>
          <w:p w14:paraId="78DD1926" w14:textId="3369FE36" w:rsidR="00E2359E" w:rsidRPr="00CC6CA3" w:rsidRDefault="00E2359E" w:rsidP="00F632C0">
            <w:pPr>
              <w:spacing w:line="240" w:lineRule="auto"/>
              <w:rPr>
                <w:sz w:val="20"/>
                <w:szCs w:val="20"/>
              </w:rPr>
            </w:pPr>
            <w:r w:rsidRPr="00CC6CA3">
              <w:rPr>
                <w:sz w:val="20"/>
                <w:szCs w:val="20"/>
              </w:rPr>
              <w:t xml:space="preserve">Exceed stall line in compressor map </w:t>
            </w:r>
            <w:r w:rsidRPr="00CC6CA3">
              <w:rPr>
                <w:sz w:val="20"/>
                <w:szCs w:val="20"/>
              </w:rPr>
              <w:fldChar w:fldCharType="begin"/>
            </w:r>
            <w:r w:rsidR="00854B0F" w:rsidRPr="00CC6CA3">
              <w:rPr>
                <w:sz w:val="20"/>
                <w:szCs w:val="20"/>
              </w:rPr>
              <w:instrText xml:space="preserve"> ADDIN ZOTERO_ITEM CSL_CITATION {"citationID":"a1c1o2q33sv","properties":{"formattedCitation":"[55]","plainCitation":"[55]","noteIndex":0},"citationItems":[{"id":28,"uris":["http://zotero.org/users/3051968/items/7RQMZVPS"],"uri":["http://zotero.org/users/3051968/items/7RQMZVPS"],"itemData":{"id":28,"type":"book","abstract":"Building on the success of its predecessor, Handbook of Turbomachinery, Second Edition presents new material on advances in fluid mechanics of turbomachinery, high-speed, rotating, and transient experiments, cooling challenges for constantly increasing gas temperatures, advanced experimental heat transfer and cooling effectiveness techniques, and propagation of wake and pressure disturbances. Completely revised and updated, it offers updated chapters on compressor design, rotor dynamics, and hydraulic turbines and features six new chapters on topics such as aerodynamic instability, flutter prediction, blade modeling in steam turbines, multidisciplinary design optimization.","ISBN":"978-0-203-91199-0","language":"en","note":"Google-Books-ID: CNrKBQAAQBAJ","number-of-pages":"927","publisher":"CRC Press","source":"Google Books","title":"Handbook of Turbomachinery","author":[{"family":"Jr","given":"Earl Logan"}],"issued":{"date-parts":[["2003",5,1]]}}}],"schema":"https://github.com/citation-style-language/schema/raw/master/csl-citation.json"} </w:instrText>
            </w:r>
            <w:r w:rsidRPr="00CC6CA3">
              <w:rPr>
                <w:sz w:val="20"/>
                <w:szCs w:val="20"/>
              </w:rPr>
              <w:fldChar w:fldCharType="separate"/>
            </w:r>
            <w:r w:rsidR="00854B0F" w:rsidRPr="00CC6CA3">
              <w:rPr>
                <w:rFonts w:cs="Times New Roman"/>
                <w:sz w:val="20"/>
              </w:rPr>
              <w:t>[55]</w:t>
            </w:r>
            <w:r w:rsidRPr="00CC6CA3">
              <w:rPr>
                <w:sz w:val="20"/>
                <w:szCs w:val="20"/>
              </w:rPr>
              <w:fldChar w:fldCharType="end"/>
            </w:r>
            <w:r w:rsidRPr="00CC6CA3">
              <w:rPr>
                <w:sz w:val="20"/>
                <w:szCs w:val="20"/>
              </w:rPr>
              <w:t>;</w:t>
            </w:r>
          </w:p>
          <w:p w14:paraId="551AD218" w14:textId="5CCBAEB0" w:rsidR="00E2359E" w:rsidRPr="00CC6CA3" w:rsidRDefault="00E2359E" w:rsidP="00F632C0">
            <w:pPr>
              <w:spacing w:line="240" w:lineRule="auto"/>
              <w:rPr>
                <w:sz w:val="20"/>
                <w:szCs w:val="20"/>
              </w:rPr>
            </w:pPr>
            <w:r w:rsidRPr="00CC6CA3">
              <w:rPr>
                <w:sz w:val="20"/>
                <w:szCs w:val="20"/>
              </w:rPr>
              <w:t xml:space="preserve">Shaft speed </w:t>
            </w:r>
            <w:r w:rsidRPr="00CC6CA3">
              <w:rPr>
                <w:sz w:val="20"/>
                <w:szCs w:val="20"/>
              </w:rPr>
              <w:fldChar w:fldCharType="begin"/>
            </w:r>
            <w:r w:rsidR="007D1BCC" w:rsidRPr="00CC6CA3">
              <w:rPr>
                <w:sz w:val="20"/>
                <w:szCs w:val="20"/>
              </w:rPr>
              <w:instrText xml:space="preserve"> ADDIN ZOTERO_ITEM CSL_CITATION {"citationID":"xZzeftJy","properties":{"formattedCitation":"[56]","plainCitation":"[56]","noteIndex":0},"citationItems":[{"id":"jMlmauCg/TROyjqXC","uris":["http://zotero.org/users/3051968/items/RZ9QNFR5"],"uri":["http://zotero.org/users/3051968/items/RZ9QNFR5"],"itemData":{"id":781,"type":"paper-conference","title":"Stall inception in the compressor system of a turbofan engine","container-title":"ASME 1998 International Gas Turbine and Aeroengine Congress and Exhibition","publisher":"American Society of Mechanical Engineers","page":"V001T01A113–V001T01A113","source":"Google Scholar","URL":"http://proceedings.asmedigitalcollection.asme.org/proceeding.aspx?articleid=2087343","author":[{"family":"Höss","given":"B."},{"family":"Leinhos","given":"Dirk"},{"family":"Fottner","given":"Leonhard"}],"issued":{"date-parts":[["1998"]]},"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[56]</w:t>
            </w:r>
            <w:r w:rsidRPr="00CC6CA3">
              <w:rPr>
                <w:sz w:val="20"/>
                <w:szCs w:val="20"/>
              </w:rPr>
              <w:fldChar w:fldCharType="end"/>
            </w:r>
            <w:r w:rsidRPr="00CC6CA3">
              <w:rPr>
                <w:sz w:val="20"/>
                <w:szCs w:val="20"/>
              </w:rPr>
              <w:t>;</w:t>
            </w:r>
          </w:p>
          <w:p w14:paraId="00FAD656" w14:textId="0B195A87" w:rsidR="00E2359E" w:rsidRPr="00CC6CA3" w:rsidRDefault="00E2359E" w:rsidP="00F632C0">
            <w:pPr>
              <w:spacing w:line="240" w:lineRule="auto"/>
              <w:rPr>
                <w:sz w:val="20"/>
                <w:szCs w:val="20"/>
              </w:rPr>
            </w:pPr>
            <w:r w:rsidRPr="00CC6CA3">
              <w:rPr>
                <w:sz w:val="20"/>
                <w:szCs w:val="20"/>
              </w:rPr>
              <w:t>Oscillations at low-frequency range</w:t>
            </w:r>
            <w:r w:rsidRPr="00CC6CA3">
              <w:rPr>
                <w:sz w:val="20"/>
                <w:szCs w:val="20"/>
              </w:rPr>
              <w:fldChar w:fldCharType="begin"/>
            </w:r>
            <w:r w:rsidR="007D1BCC" w:rsidRPr="00CC6CA3">
              <w:rPr>
                <w:sz w:val="20"/>
                <w:szCs w:val="20"/>
              </w:rPr>
              <w:instrText xml:space="preserve"> ADDIN ZOTERO_ITEM CSL_CITATION {"citationID":"YKWrV9HS","properties":{"formattedCitation":"[57], [58]","plainCitation":"[57], [58]","noteIndex":0},"citationItems":[{"id":"jMlmauCg/HYruqz4j","uris":["http://zotero.org/users/3051968/items/89AM42V6"],"uri":["http://zotero.org/users/3051968/items/89AM42V6"],"itemData":{"id":761,"type":"article-journal","title":"A natural low-frequency oscillation of the flow over an airfoil near stalling conditions","container-title":"Journal of Fluid Mechanics","page":"403-442","volume":"202","source":"Cambridge Core","abstract":"&lt;div class=\"title\"&gt;A natural low-frequency oscillation of the flow over an airfoil near stalling conditions&lt;/div&gt; - Volume 202 - K. B. M. Q. Zaman, D. J. Mckinzie, C. L. Rumsey","DOI":"10.1017/S0022112089001230","ISSN":"1469-7645, 0022-1120","author":[{"family":"Zaman","given":"K. B. M. Q."},{"family":"Mckinzie","given":"D. J."},{"family":"Rumsey","given":"C. L."}],"issued":{"date-parts":[["1989",5]]}}},{"id":"jMlmauCg/ENQht9kV","uris":["http://zotero.org/users/3051968/items/XBFPXRFJ"],"uri":["http://zotero.org/users/3051968/items/XBFPXRFJ"],"itemData":{"id":758,"type":"article-journal","title":"Stall Control and Recovery in a Low-Speed Axial Fan Through the Use of Variable Pitch in Motion Blades","page":"705-716","source":"Silverchair","abstract":"Stall induced vibrations place fundamental limitations on a fan stage performance and remains a persistent problem in the development of axial compressor and fan stages. Rotating stall is purely a fluid mechanic instability, whilst blade flutter, stall and surge flutter, and their variants, are aeroelastic instabilities that involve coupled fluid-structure interaction. Stall oscillation frequency lays in a relatively low-frequency band (less than 0.7–0.5 shaft frequency), whilst mild surge oscillation frequency occurs usually in a much lower-order of frequency (typically &lt;0.25–0.30) in high solidity industrial power fans. These mild surge oscillations can couple with fan blade aeroelastic modes. A loss in efficiency and high aeroelastic blade vibrations characterises fan performance in stall that can significantly increase stress levels in the blade.In this paper, the authors conducted an experimental study to investigate rotating stall recovery patterns in a high solidity axial power fan using different strategies. The authors drove the fan to stall at the design stagger-angle setting and then: i) operated a variable pitch mechanism in order to recover the unstable operation or ii) recover from stall by increasing rotational speed. In both cases the recovery patterns entails the modification of the operating point of the fan along the throttle line of the system. They measured pressure fluctuations in the fan tip region using flush-mounted probes. The authors studied the flow mechanisms for the stall recovery associated with the two proposed methods. They cross-correlated pressure fluctuations and analysed cross-spectra in order to clarify the influence of blade pitch, end-wall flow, rotational speed and tip-leakage flow on stall recovery.","DOI":"10.1115/GT2012-69042","author":[{"family":"Bianchi","given":"Stefano"},{"family":"Corsini","given":"Alessandro"},{"family":"Sheard","given":"Anthony G."}],"issued":{"date-parts":[["2012",6,11]]}}}],"schema":"https://github.com/citation-style-language/schema/raw/master/csl-citation.json"} </w:instrText>
            </w:r>
            <w:r w:rsidRPr="00CC6CA3">
              <w:rPr>
                <w:sz w:val="20"/>
                <w:szCs w:val="20"/>
              </w:rPr>
              <w:fldChar w:fldCharType="separate"/>
            </w:r>
            <w:r w:rsidR="00854B0F" w:rsidRPr="00CC6CA3">
              <w:rPr>
                <w:rFonts w:cs="Times New Roman"/>
                <w:sz w:val="20"/>
              </w:rPr>
              <w:t>[57], [58]</w:t>
            </w:r>
            <w:r w:rsidRPr="00CC6CA3">
              <w:rPr>
                <w:sz w:val="20"/>
                <w:szCs w:val="20"/>
              </w:rPr>
              <w:fldChar w:fldCharType="end"/>
            </w:r>
            <w:r w:rsidRPr="00CC6CA3">
              <w:rPr>
                <w:sz w:val="20"/>
                <w:szCs w:val="20"/>
              </w:rPr>
              <w:t xml:space="preserve"> (</w:t>
            </w:r>
            <w:r w:rsidRPr="00CC6CA3">
              <w:rPr>
                <w:rFonts w:hint="eastAsia"/>
                <w:sz w:val="20"/>
                <w:szCs w:val="20"/>
              </w:rPr>
              <w:t xml:space="preserve">but the </w:t>
            </w:r>
            <w:r w:rsidRPr="00CC6CA3">
              <w:rPr>
                <w:sz w:val="20"/>
                <w:szCs w:val="20"/>
              </w:rPr>
              <w:t>frequency range is higher than surge);</w:t>
            </w:r>
          </w:p>
          <w:p w14:paraId="31FD5F22" w14:textId="1FF5A0DA" w:rsidR="00E2359E" w:rsidRPr="00CC6CA3" w:rsidRDefault="00E2359E" w:rsidP="00F632C0">
            <w:pPr>
              <w:spacing w:line="240" w:lineRule="auto"/>
              <w:rPr>
                <w:sz w:val="20"/>
                <w:szCs w:val="20"/>
              </w:rPr>
            </w:pPr>
            <w:r w:rsidRPr="00CC6CA3">
              <w:rPr>
                <w:sz w:val="20"/>
                <w:szCs w:val="20"/>
              </w:rPr>
              <w:t xml:space="preserve">Exceed vibration amplitude in a variety of spectral analysis </w:t>
            </w:r>
            <w:r w:rsidRPr="00CC6CA3">
              <w:rPr>
                <w:sz w:val="20"/>
                <w:szCs w:val="20"/>
              </w:rPr>
              <w:fldChar w:fldCharType="begin"/>
            </w:r>
            <w:r w:rsidR="007D1BCC" w:rsidRPr="00CC6CA3">
              <w:rPr>
                <w:sz w:val="20"/>
                <w:szCs w:val="20"/>
              </w:rPr>
              <w:instrText xml:space="preserve"> ADDIN ZOTERO_ITEM CSL_CITATION {"citationID":"G8VPBjyx","properties":{"formattedCitation":"[56]","plainCitation":"[56]","noteIndex":0},"citationItems":[{"id":"jMlmauCg/TROyjqXC","uris":["http://zotero.org/users/3051968/items/RZ9QNFR5"],"uri":["http://zotero.org/users/3051968/items/RZ9QNFR5"],"itemData":{"id":781,"type":"paper-conference","title":"Stall inception in the compressor system of a turbofan engine","container-title":"ASME 1998 International Gas Turbine and Aeroengine Congress and Exhibition","publisher":"American Society of Mechanical Engineers","page":"V001T01A113–V001T01A113","source":"Google Scholar","URL":"http://proceedings.asmedigitalcollection.asme.org/proceeding.aspx?articleid=2087343","author":[{"family":"Höss","given":"B."},{"family":"Leinhos","given":"Dirk"},{"family":"Fottner","given":"Leonhard"}],"issued":{"date-parts":[["1998"]]},"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[56]</w:t>
            </w:r>
            <w:r w:rsidRPr="00CC6CA3">
              <w:rPr>
                <w:sz w:val="20"/>
                <w:szCs w:val="20"/>
              </w:rPr>
              <w:fldChar w:fldCharType="end"/>
            </w:r>
            <w:r w:rsidRPr="00CC6CA3">
              <w:rPr>
                <w:sz w:val="20"/>
                <w:szCs w:val="20"/>
              </w:rPr>
              <w:t xml:space="preserve">, </w:t>
            </w:r>
            <w:r w:rsidRPr="00CC6CA3">
              <w:rPr>
                <w:sz w:val="20"/>
                <w:szCs w:val="20"/>
              </w:rPr>
              <w:fldChar w:fldCharType="begin"/>
            </w:r>
            <w:r w:rsidR="007D1BCC" w:rsidRPr="00CC6CA3">
              <w:rPr>
                <w:sz w:val="20"/>
                <w:szCs w:val="20"/>
              </w:rPr>
              <w:instrText xml:space="preserve"> ADDIN ZOTERO_ITEM CSL_CITATION {"citationID":"afg5s03ubo","properties":{"formattedCitation":"[59]","plainCitation":"[59]","noteIndex":0},"citationItems":[{"id":"jMlmauCg/SLFE8Gnw","uris":["http://zotero.org/users/3051968/items/47HXAQK2"],"uri":["http://zotero.org/users/3051968/items/47HXAQK2"],"itemData":{"id":765,"type":"article-journal","title":"A Systematic Approach to Estimate the Impact of the Aerodynamic Force Induced by Rotating Stall in a Vaneless Diffuser on the Rotordynamic Behavior of Centrifugal Compressors","container-title":"Journal of Engineering for Gas Turbines and Power","page":"112502-112502-9","volume":"135","issue":"11","source":"Silverchair","abstract":"One of the main challenges of the present industrial research on centrifugal compressors is the need for extending the left margin of the operating range of the machines. As a result, interest is being paid to accurately evaluating the amplitude of the pressure fluctuations caused by rotating stall, which usually occurs prior to surge. The related aerodynamic force acting on the rotor can produce subsynchronous vibrations, which can prevent the machine's further operation, in case their amplitude is too high. These vibrations are often contained due to the stiffness of the oil journals. Centrifugal compressor design is, however, going towards alternative journal solutions having lower stiffness levels (e.g., active magnetic bearings or squeeze film dampers), which will be more sensitive to this kind of excitation: consequently, a more accurate estimation of the expected forces in the presence of dynamic external forces such as those connected to an aerodynamically unstable condition is needed to predict the vibration level and the compressor operability in similar conditions. Within this scenario, experimental tests were carried out on industrial impellers operating at high peripheral Mach numbers. The dedicated test rig was equipped with several dynamic pressure probes that were inserted in the gas flow path; moreover, the rotor vibrations were constantly monitored with typical vibration probes located near the journal bearings. The pressure field induced by the rotating stall in the vaneless diffuser was reconstructed by means of an ensemble average approach, thus defining the amplitude and frequency of the external force acting on the impeller. The calculated force value was then included in the rotordynamic model of the test rig: the predicted vibrations on the bearings were compared with the measurements, showing satisfactory agreement. Moreover, the procedure was applied to two real multistage compressors, showing notable prediction capabilities in the description of rotating stall effects on the machine rotordynamics. Finally, the prospects of the proposed approach are discussed by investigating the response of a real machine in high-pressure functioning when different choices of journal bearings are made.","DOI":"10.1115/1.4025065","ISSN":"0742-4795","journalAbbreviation":"J. Eng. Gas Turbines Power","author":[{"family":"Bianchini","given":"Alessandro"},{"family":"Biliotti","given":"Davide"},{"family":"Ferrara","given":"Giovanni"},{"family":"Ferrari","given":"Lorenzo"},{"family":"Belardini","given":"Elisabetta"},{"family":"Giachi","given":"Marco"},{"family":"Tapinassi","given":"Libero"},{"family":"Vannini","given":"Giuseppe"}],"issued":{"date-parts":[["2013",9,17]]}}}],"schema":"https://github.com/citation-style-language/schema/raw/master/csl-citation.json"} </w:instrText>
            </w:r>
            <w:r w:rsidRPr="00CC6CA3">
              <w:rPr>
                <w:sz w:val="20"/>
                <w:szCs w:val="20"/>
              </w:rPr>
              <w:fldChar w:fldCharType="separate"/>
            </w:r>
            <w:r w:rsidR="00854B0F" w:rsidRPr="00CC6CA3">
              <w:rPr>
                <w:rFonts w:cs="Times New Roman"/>
                <w:sz w:val="20"/>
              </w:rPr>
              <w:t>[59]</w:t>
            </w:r>
            <w:r w:rsidRPr="00CC6CA3">
              <w:rPr>
                <w:sz w:val="20"/>
                <w:szCs w:val="20"/>
              </w:rPr>
              <w:fldChar w:fldCharType="end"/>
            </w:r>
            <w:r w:rsidRPr="00CC6CA3">
              <w:rPr>
                <w:sz w:val="20"/>
                <w:szCs w:val="20"/>
              </w:rPr>
              <w:t>;</w:t>
            </w:r>
          </w:p>
          <w:p w14:paraId="6037768A" w14:textId="26C95FF3" w:rsidR="00E2359E" w:rsidRPr="00CC6CA3" w:rsidRDefault="00E2359E" w:rsidP="00F632C0">
            <w:pPr>
              <w:spacing w:line="240" w:lineRule="auto"/>
              <w:rPr>
                <w:sz w:val="20"/>
                <w:szCs w:val="20"/>
              </w:rPr>
            </w:pPr>
            <w:bookmarkStart w:id="116" w:name="OLE_LINK27"/>
            <w:r w:rsidRPr="00CC6CA3">
              <w:rPr>
                <w:sz w:val="20"/>
                <w:szCs w:val="20"/>
              </w:rPr>
              <w:t>Unsteady shaft orbit</w:t>
            </w:r>
            <w:bookmarkEnd w:id="116"/>
            <w:r w:rsidRPr="00CC6CA3">
              <w:rPr>
                <w:sz w:val="20"/>
                <w:szCs w:val="20"/>
              </w:rPr>
              <w:t xml:space="preserve"> </w:t>
            </w:r>
            <w:r w:rsidRPr="00CC6CA3">
              <w:rPr>
                <w:sz w:val="20"/>
                <w:szCs w:val="20"/>
              </w:rPr>
              <w:fldChar w:fldCharType="begin"/>
            </w:r>
            <w:r w:rsidR="007D1BCC" w:rsidRPr="00CC6CA3">
              <w:rPr>
                <w:sz w:val="20"/>
                <w:szCs w:val="20"/>
              </w:rPr>
              <w:instrText xml:space="preserve"> ADDIN ZOTERO_ITEM CSL_CITATION {"citationID":"a2puvf63scp","properties":{"formattedCitation":"[60]","plainCitation":"[60]","noteIndex":0},"citationItems":[{"id":"jMlmauCg/Qqz6NQdj","uris":["http://zotero.org/users/3051968/items/GVWC94M7"],"uri":["http://zotero.org/users/3051968/items/GVWC94M7"],"itemData":{"id":776,"type":"paper-conference","title":"Experiences with nonsynchronous forced vibration in centrifugal compressors","source":"NASA NTRS","abstract":"The high subsynchronous vibrations which are often forced vibrations caused by flow instabilities, such as stage stall were examined. Modifications to improve the rotor stability by changing the bearings or seals have little effects on the subsynchronous vibrations. Understanding of the differences between forced vibrations and self excited vibrations to properly diagnose the problem and to correct it, is recommended. A list of characteristics of the two types of subsynchronous vibration is presented.","URL":"https://ntrs.nasa.gov/search.jsp?R=19850005810","author":[{"family":"Smith","given":"D. R."},{"family":"Wachel","given":"J. C."}],"issued":{"date-parts":[["1984",12,1]]},"accessed":{"date-parts":[["2017",4,8]]}}}],"schema":"https://github.com/citation-style-language/schema/raw/master/csl-citation.json"}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[60]</w:t>
            </w:r>
            <w:r w:rsidRPr="00CC6CA3">
              <w:rPr>
                <w:sz w:val="20"/>
                <w:szCs w:val="20"/>
              </w:rPr>
              <w:fldChar w:fldCharType="end"/>
            </w:r>
            <w:r w:rsidRPr="00CC6CA3">
              <w:rPr>
                <w:sz w:val="20"/>
                <w:szCs w:val="20"/>
              </w:rPr>
              <w:t>;</w:t>
            </w:r>
          </w:p>
        </w:tc>
      </w:tr>
      <w:tr w:rsidR="00CC6CA3" w:rsidRPr="00CC6CA3" w14:paraId="73E6BD32" w14:textId="77777777" w:rsidTr="00F632C0">
        <w:trPr>
          <w:trHeight w:val="1503"/>
        </w:trPr>
        <w:tc>
          <w:tcPr>
            <w:tcW w:w="1264" w:type="pct"/>
            <w:vAlign w:val="center"/>
          </w:tcPr>
          <w:p w14:paraId="7A206B7C" w14:textId="77777777" w:rsidR="00E2359E" w:rsidRPr="00CC6CA3" w:rsidRDefault="00E2359E" w:rsidP="00F632C0">
            <w:pPr>
              <w:spacing w:line="240" w:lineRule="auto"/>
              <w:rPr>
                <w:sz w:val="20"/>
                <w:szCs w:val="20"/>
              </w:rPr>
            </w:pPr>
            <w:r w:rsidRPr="00CC6CA3">
              <w:rPr>
                <w:sz w:val="20"/>
                <w:szCs w:val="20"/>
              </w:rPr>
              <w:t>Surge</w:t>
            </w:r>
          </w:p>
        </w:tc>
        <w:tc>
          <w:tcPr>
            <w:tcW w:w="3736" w:type="pct"/>
            <w:vAlign w:val="center"/>
          </w:tcPr>
          <w:p w14:paraId="48C87F7D" w14:textId="4E31C224" w:rsidR="00E2359E" w:rsidRPr="00CC6CA3" w:rsidRDefault="00E2359E" w:rsidP="00F632C0">
            <w:pPr>
              <w:spacing w:line="240" w:lineRule="auto"/>
              <w:rPr>
                <w:sz w:val="20"/>
                <w:szCs w:val="20"/>
              </w:rPr>
            </w:pPr>
            <w:r w:rsidRPr="00CC6CA3">
              <w:rPr>
                <w:sz w:val="20"/>
                <w:szCs w:val="20"/>
              </w:rPr>
              <w:t xml:space="preserve">Discharge temperature </w:t>
            </w:r>
            <w:r w:rsidRPr="00CC6CA3">
              <w:rPr>
                <w:sz w:val="20"/>
                <w:szCs w:val="20"/>
              </w:rPr>
              <w:fldChar w:fldCharType="begin"/>
            </w:r>
            <w:r w:rsidR="00854B0F" w:rsidRPr="00CC6CA3">
              <w:rPr>
                <w:sz w:val="20"/>
                <w:szCs w:val="20"/>
              </w:rPr>
              <w:instrText xml:space="preserve"> ADDIN ZOTERO_ITEM CSL_CITATION {"citationID":"a2q5t52e26s","properties":{"formattedCitation":"[61]","plainCitation":"[61]","noteIndex":0},"citationItems":[{"id":43,"uris":["http://zotero.org/users/3051968/items/JX5XEK6P"],"uri":["http://zotero.org/users/3051968/items/JX5XEK6P"],"itemData":{"id":43,"type":"book","abstract":"The series Advances in Industrial Control aims to report and encourage technology transfer in control engineering. The rapid development of control technology impacts all areas of the control discipline. New theory, new controllers, actuators, sensors, new industrial processes, computer methods, new applications, new philosophies . . . , new challenges. Much of this development work resides in industrial reports, feasibility study papers and the reports of advanced collaborative projects. The series offers an opportunity for researchers to present an extended exposition of such new work in all aspects of industrial control for wider and rapid dissemination. Operating plant as close as possible to constraint boundaries so often brings economic benefits in industrial process control. This is the conundrum at the heart of this monograph by Tommy Gravdahl and Olav Egeland on stall control for compressors. Operation of the compressor closer to the surge line can increase operational efficiency and flexibility The approach taken by the authors follows the modern control system paradigm: -physical understanding, detailed modelling and simulation studies and finally control studies. The thoroughness of the presentation, bibliography and appendices indicates that the volume has all the hallmarks of being a classic for its subject. Despite the monograph's narrow technical content, the techniques and insights presented should appeal to the wider industrial control community as well as the gas turbine/compressor specialist. M. J. Grimble and M. A.","ISBN":"978-1-4471-0827-6","language":"en","number-of-pages":"233","publisher":"Springer Science &amp; Business Media","source":"Google Books","title":"Compressor Surge and Rotating Stall: Modeling and Control","title-short":"Compressor Surge and Rotating Stall","author":[{"family":"Gravdahl","given":"Jan Tommy"},{"family":"Egeland","given":"Olav"}],"issued":{"date-parts":[["2012",12,6]]}}}],"schema":"https://github.com/citation-style-language/schema/raw/master/csl-citation.json"} </w:instrText>
            </w:r>
            <w:r w:rsidRPr="00CC6CA3">
              <w:rPr>
                <w:sz w:val="20"/>
                <w:szCs w:val="20"/>
              </w:rPr>
              <w:fldChar w:fldCharType="separate"/>
            </w:r>
            <w:r w:rsidR="00854B0F" w:rsidRPr="00CC6CA3">
              <w:rPr>
                <w:rFonts w:cs="Times New Roman"/>
                <w:sz w:val="20"/>
              </w:rPr>
              <w:t>[61]</w:t>
            </w:r>
            <w:r w:rsidRPr="00CC6CA3">
              <w:rPr>
                <w:sz w:val="20"/>
                <w:szCs w:val="20"/>
              </w:rPr>
              <w:fldChar w:fldCharType="end"/>
            </w:r>
            <w:r w:rsidRPr="00CC6CA3">
              <w:rPr>
                <w:sz w:val="20"/>
                <w:szCs w:val="20"/>
              </w:rPr>
              <w:t xml:space="preserve">; </w:t>
            </w:r>
          </w:p>
          <w:p w14:paraId="4ECFB999" w14:textId="4F2EBCAD" w:rsidR="00E2359E" w:rsidRPr="00CC6CA3" w:rsidRDefault="00E2359E" w:rsidP="00F632C0">
            <w:pPr>
              <w:spacing w:line="240" w:lineRule="auto"/>
              <w:rPr>
                <w:sz w:val="20"/>
                <w:szCs w:val="20"/>
              </w:rPr>
            </w:pPr>
            <w:r w:rsidRPr="00CC6CA3">
              <w:rPr>
                <w:sz w:val="20"/>
                <w:szCs w:val="20"/>
              </w:rPr>
              <w:t xml:space="preserve">Suction and discharge temperature deviation </w:t>
            </w:r>
            <w:r w:rsidRPr="00CC6CA3">
              <w:rPr>
                <w:sz w:val="20"/>
                <w:szCs w:val="20"/>
              </w:rPr>
              <w:fldChar w:fldCharType="begin"/>
            </w:r>
            <w:r w:rsidR="00854B0F" w:rsidRPr="00CC6CA3">
              <w:rPr>
                <w:sz w:val="20"/>
                <w:szCs w:val="20"/>
              </w:rPr>
              <w:instrText xml:space="preserve"> ADDIN ZOTERO_ITEM CSL_CITATION {"citationID":"u0xzUSaO","properties":{"formattedCitation":"[61]","plainCitation":"[61]","noteIndex":0},"citationItems":[{"id":43,"uris":["http://zotero.org/users/3051968/items/JX5XEK6P"],"uri":["http://zotero.org/users/3051968/items/JX5XEK6P"],"itemData":{"id":43,"type":"book","abstract":"The series Advances in Industrial Control aims to report and encourage technology transfer in control engineering. The rapid development of control technology impacts all areas of the control discipline. New theory, new controllers, actuators, sensors, new industrial processes, computer methods, new applications, new philosophies . . . , new challenges. Much of this development work resides in industrial reports, feasibility study papers and the reports of advanced collaborative projects. The series offers an opportunity for researchers to present an extended exposition of such new work in all aspects of industrial control for wider and rapid dissemination. Operating plant as close as possible to constraint boundaries so often brings economic benefits in industrial process control. This is the conundrum at the heart of this monograph by Tommy Gravdahl and Olav Egeland on stall control for compressors. Operation of the compressor closer to the surge line can increase operational efficiency and flexibility The approach taken by the authors follows the modern control system paradigm: -physical understanding, detailed modelling and simulation studies and finally control studies. The thoroughness of the presentation, bibliography and appendices indicates that the volume has all the hallmarks of being a classic for its subject. Despite the monograph's narrow technical content, the techniques and insights presented should appeal to the wider industrial control community as well as the gas turbine/compressor specialist. M. J. Grimble and M. A.","ISBN":"978-1-4471-0827-6","language":"en","number-of-pages":"233","publisher":"Springer Science &amp; Business Media","source":"Google Books","title":"Compressor Surge and Rotating Stall: Modeling and Control","title-short":"Compressor Surge and Rotating Stall","author":[{"family":"Gravdahl","given":"Jan Tommy"},{"family":"Egeland","given":"Olav"}],"issued":{"date-parts":[["2012",12,6]]}}}],"schema":"https://github.com/citation-style-language/schema/raw/master/csl-citation.json"} </w:instrText>
            </w:r>
            <w:r w:rsidRPr="00CC6CA3">
              <w:rPr>
                <w:sz w:val="20"/>
                <w:szCs w:val="20"/>
              </w:rPr>
              <w:fldChar w:fldCharType="separate"/>
            </w:r>
            <w:r w:rsidR="00854B0F" w:rsidRPr="00CC6CA3">
              <w:rPr>
                <w:rFonts w:cs="Times New Roman"/>
                <w:sz w:val="20"/>
              </w:rPr>
              <w:t>[61]</w:t>
            </w:r>
            <w:r w:rsidRPr="00CC6CA3">
              <w:rPr>
                <w:sz w:val="20"/>
                <w:szCs w:val="20"/>
              </w:rPr>
              <w:fldChar w:fldCharType="end"/>
            </w:r>
            <w:r w:rsidRPr="00CC6CA3">
              <w:rPr>
                <w:sz w:val="20"/>
                <w:szCs w:val="20"/>
              </w:rPr>
              <w:t>;</w:t>
            </w:r>
          </w:p>
          <w:p w14:paraId="120FFE99" w14:textId="1E6E5EDA" w:rsidR="00E2359E" w:rsidRPr="00CC6CA3" w:rsidRDefault="00E2359E" w:rsidP="00F632C0">
            <w:pPr>
              <w:spacing w:line="240" w:lineRule="auto"/>
              <w:rPr>
                <w:sz w:val="20"/>
                <w:szCs w:val="20"/>
              </w:rPr>
            </w:pPr>
            <w:r w:rsidRPr="00CC6CA3">
              <w:rPr>
                <w:sz w:val="20"/>
                <w:szCs w:val="20"/>
              </w:rPr>
              <w:t xml:space="preserve">Discharge pressure </w:t>
            </w:r>
            <w:r w:rsidRPr="00CC6CA3">
              <w:rPr>
                <w:sz w:val="20"/>
                <w:szCs w:val="20"/>
              </w:rPr>
              <w:fldChar w:fldCharType="begin"/>
            </w:r>
            <w:r w:rsidR="007D1BCC" w:rsidRPr="00CC6CA3">
              <w:rPr>
                <w:sz w:val="20"/>
                <w:szCs w:val="20"/>
              </w:rPr>
              <w:instrText xml:space="preserve"> ADDIN ZOTERO_ITEM CSL_CITATION {"citationID":"amvdb7vbsb","properties":{"formattedCitation":"[52]","plainCitation":"[52]","noteIndex":0},"citationItems":[{"id":"jMlmauCg/XHdYDUHJ","uris":["http://zotero.org/users/3051968/items/XG2ZQB8Q"],"uri":["http://zotero.org/users/3051968/items/XG2ZQB8Q"],"itemData":{"id":810,"type":"article-journal","title":"Analysis of the entire surge cycle of a multi-stage high-speed compressor","container-title":"Center for Turbulence Research, Annual Research Briefs, Stanford University, Stanford, CA","page":"205–218","source":"Google Scholar","author":[{"family":"Teramoto","given":"S."}],"issued":{"date-parts":[["2008"]]}}}],"schema":"https://github.com/citation-style-language/schema/raw/master/csl-citation.json"} </w:instrText>
            </w:r>
            <w:r w:rsidRPr="00CC6CA3">
              <w:rPr>
                <w:sz w:val="20"/>
                <w:szCs w:val="20"/>
              </w:rPr>
              <w:fldChar w:fldCharType="separate"/>
            </w:r>
            <w:r w:rsidR="00854B0F" w:rsidRPr="00CC6CA3">
              <w:rPr>
                <w:rFonts w:cs="Times New Roman"/>
                <w:sz w:val="20"/>
              </w:rPr>
              <w:t>[52]</w:t>
            </w:r>
            <w:r w:rsidRPr="00CC6CA3">
              <w:rPr>
                <w:sz w:val="20"/>
                <w:szCs w:val="20"/>
              </w:rPr>
              <w:fldChar w:fldCharType="end"/>
            </w:r>
            <w:r w:rsidRPr="00CC6CA3">
              <w:rPr>
                <w:sz w:val="20"/>
                <w:szCs w:val="20"/>
              </w:rPr>
              <w:t>;</w:t>
            </w:r>
          </w:p>
          <w:p w14:paraId="0AA6E929" w14:textId="26C41E46" w:rsidR="00E2359E" w:rsidRPr="00CC6CA3" w:rsidRDefault="00E2359E" w:rsidP="00F632C0">
            <w:pPr>
              <w:spacing w:line="240" w:lineRule="auto"/>
              <w:rPr>
                <w:sz w:val="20"/>
                <w:szCs w:val="20"/>
              </w:rPr>
            </w:pPr>
            <w:r w:rsidRPr="00CC6CA3">
              <w:rPr>
                <w:sz w:val="20"/>
                <w:szCs w:val="20"/>
              </w:rPr>
              <w:t xml:space="preserve">Suction and discharge pressure deviation </w:t>
            </w:r>
            <w:r w:rsidRPr="00CC6CA3">
              <w:rPr>
                <w:sz w:val="20"/>
                <w:szCs w:val="20"/>
              </w:rPr>
              <w:fldChar w:fldCharType="begin"/>
            </w:r>
            <w:r w:rsidR="007D1BCC" w:rsidRPr="00CC6CA3">
              <w:rPr>
                <w:sz w:val="20"/>
                <w:szCs w:val="20"/>
              </w:rPr>
              <w:instrText xml:space="preserve"> ADDIN ZOTERO_ITEM CSL_CITATION {"citationID":"dnvXSVYT","properties":{"formattedCitation":"[62]","plainCitation":"[62]","noteIndex":0},"citationItems":[{"id":"jMlmauCg/ma53Ed0S","uris":["http://zotero.org/users/3051968/items/J72F7HTW"],"uri":["http://zotero.org/users/3051968/items/J72F7HTW"],"itemData":{"id":813,"type":"book","title":"Performance monitoring of compressors with electrical drive","source":"Google Scholar","URL":"http://www.diva-portal.org/smash/record.jsf?pid=diva2:375823","author":[{"family":"Waarli","given":"Magnus"}],"issued":{"date-parts":[["2010"]]},"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[62]</w:t>
            </w:r>
            <w:r w:rsidRPr="00CC6CA3">
              <w:rPr>
                <w:sz w:val="20"/>
                <w:szCs w:val="20"/>
              </w:rPr>
              <w:fldChar w:fldCharType="end"/>
            </w:r>
            <w:r w:rsidRPr="00CC6CA3">
              <w:rPr>
                <w:sz w:val="20"/>
                <w:szCs w:val="20"/>
              </w:rPr>
              <w:t xml:space="preserve">; </w:t>
            </w:r>
          </w:p>
          <w:p w14:paraId="404B7880" w14:textId="4CCFD660" w:rsidR="00E2359E" w:rsidRPr="00CC6CA3" w:rsidRDefault="00E2359E" w:rsidP="00F632C0">
            <w:pPr>
              <w:spacing w:line="240" w:lineRule="auto"/>
              <w:rPr>
                <w:sz w:val="20"/>
                <w:szCs w:val="20"/>
              </w:rPr>
            </w:pPr>
            <w:r w:rsidRPr="00CC6CA3">
              <w:rPr>
                <w:sz w:val="20"/>
                <w:szCs w:val="20"/>
              </w:rPr>
              <w:t xml:space="preserve">Pressure ratio </w:t>
            </w:r>
            <w:r w:rsidRPr="00CC6CA3">
              <w:rPr>
                <w:sz w:val="20"/>
                <w:szCs w:val="20"/>
              </w:rPr>
              <w:fldChar w:fldCharType="begin"/>
            </w:r>
            <w:r w:rsidR="00854B0F" w:rsidRPr="00CC6CA3">
              <w:rPr>
                <w:sz w:val="20"/>
                <w:szCs w:val="20"/>
              </w:rPr>
              <w:instrText xml:space="preserve"> ADDIN ZOTERO_ITEM CSL_CITATION {"citationID":"5GFpLGjA","properties":{"formattedCitation":"[61]","plainCitation":"[61]","noteIndex":0},"citationItems":[{"id":43,"uris":["http://zotero.org/users/3051968/items/JX5XEK6P"],"uri":["http://zotero.org/users/3051968/items/JX5XEK6P"],"itemData":{"id":43,"type":"book","abstract":"The series Advances in Industrial Control aims to report and encourage technology transfer in control engineering. The rapid development of control technology impacts all areas of the control discipline. New theory, new controllers, actuators, sensors, new industrial processes, computer methods, new applications, new philosophies . . . , new challenges. Much of this development work resides in industrial reports, feasibility study papers and the reports of advanced collaborative projects. The series offers an opportunity for researchers to present an extended exposition of such new work in all aspects of industrial control for wider and rapid dissemination. Operating plant as close as possible to constraint boundaries so often brings economic benefits in industrial process control. This is the conundrum at the heart of this monograph by Tommy Gravdahl and Olav Egeland on stall control for compressors. Operation of the compressor closer to the surge line can increase operational efficiency and flexibility The approach taken by the authors follows the modern control system paradigm: -physical understanding, detailed modelling and simulation studies and finally control studies. The thoroughness of the presentation, bibliography and appendices indicates that the volume has all the hallmarks of being a classic for its subject. Despite the monograph's narrow technical content, the techniques and insights presented should appeal to the wider industrial control community as well as the gas turbine/compressor specialist. M. J. Grimble and M. A.","ISBN":"978-1-4471-0827-6","language":"en","number-of-pages":"233","publisher":"Springer Science &amp; Business Media","source":"Google Books","title":"Compressor Surge and Rotating Stall: Modeling and Control","title-short":"Compressor Surge and Rotating Stall","author":[{"family":"Gravdahl","given":"Jan Tommy"},{"family":"Egeland","given":"Olav"}],"issued":{"date-parts":[["2012",12,6]]}}}],"schema":"https://github.com/citation-style-language/schema/raw/master/csl-citation.json"} </w:instrText>
            </w:r>
            <w:r w:rsidRPr="00CC6CA3">
              <w:rPr>
                <w:sz w:val="20"/>
                <w:szCs w:val="20"/>
              </w:rPr>
              <w:fldChar w:fldCharType="separate"/>
            </w:r>
            <w:r w:rsidR="00854B0F" w:rsidRPr="00CC6CA3">
              <w:rPr>
                <w:rFonts w:cs="Times New Roman"/>
                <w:sz w:val="20"/>
              </w:rPr>
              <w:t>[61]</w:t>
            </w:r>
            <w:r w:rsidRPr="00CC6CA3">
              <w:rPr>
                <w:sz w:val="20"/>
                <w:szCs w:val="20"/>
              </w:rPr>
              <w:fldChar w:fldCharType="end"/>
            </w:r>
            <w:r w:rsidRPr="00CC6CA3">
              <w:rPr>
                <w:sz w:val="20"/>
                <w:szCs w:val="20"/>
              </w:rPr>
              <w:t xml:space="preserve">; </w:t>
            </w:r>
          </w:p>
          <w:p w14:paraId="2A5A9F97" w14:textId="332B160A" w:rsidR="00E2359E" w:rsidRPr="00CC6CA3" w:rsidRDefault="00E2359E" w:rsidP="00F632C0">
            <w:pPr>
              <w:spacing w:line="240" w:lineRule="auto"/>
              <w:rPr>
                <w:sz w:val="20"/>
                <w:szCs w:val="20"/>
              </w:rPr>
            </w:pPr>
            <w:r w:rsidRPr="00CC6CA3">
              <w:rPr>
                <w:sz w:val="20"/>
                <w:szCs w:val="20"/>
              </w:rPr>
              <w:t xml:space="preserve">Transient pressure </w:t>
            </w:r>
            <w:r w:rsidRPr="00CC6CA3">
              <w:rPr>
                <w:sz w:val="20"/>
                <w:szCs w:val="20"/>
              </w:rPr>
              <w:fldChar w:fldCharType="begin"/>
            </w:r>
            <w:r w:rsidR="007D1BCC" w:rsidRPr="00CC6CA3">
              <w:rPr>
                <w:sz w:val="20"/>
                <w:szCs w:val="20"/>
              </w:rPr>
              <w:instrText xml:space="preserve"> ADDIN ZOTERO_ITEM CSL_CITATION {"citationID":"HGgHUkxU","properties":{"formattedCitation":"[63]","plainCitation":"[63]","noteIndex":0},"citationItems":[{"id":"jMlmauCg/s928ZF8f","uris":["http://zotero.org/users/3051968/items/UX22QZZD"],"uri":["http://zotero.org/users/3051968/items/UX22QZZD"],"itemData":{"id":116,"type":"article-journal","title":"Surge detection methods using empirical mode decomposition and continuous wavelet transform for a centrifugal compressor","container-title":"Journal of Mechanical Science and Technology","page":"1533-1536","volume":"30","issue":"4","source":"CrossRef","DOI":"10.1007/s12206-016-0307-2","ISSN":"1738-494X, 1976-3824","language":"en","author":[{"family":"Wu","given":"Xin"},{"family":"Liu","given":"Yibing"},{"family":"Liu","given":"Rui"},{"family":"Zhao","given":"Li"}],"issued":{"date-parts":[["2016",4]]}}}],"schema":"https://github.com/citation-style-language/schema/raw/master/csl-citation.json"} </w:instrText>
            </w:r>
            <w:r w:rsidRPr="00CC6CA3">
              <w:rPr>
                <w:sz w:val="20"/>
                <w:szCs w:val="20"/>
              </w:rPr>
              <w:fldChar w:fldCharType="separate"/>
            </w:r>
            <w:r w:rsidR="00854B0F" w:rsidRPr="00CC6CA3">
              <w:rPr>
                <w:rFonts w:cs="Times New Roman"/>
                <w:sz w:val="20"/>
              </w:rPr>
              <w:t>[63]</w:t>
            </w:r>
            <w:r w:rsidRPr="00CC6CA3">
              <w:rPr>
                <w:sz w:val="20"/>
                <w:szCs w:val="20"/>
              </w:rPr>
              <w:fldChar w:fldCharType="end"/>
            </w:r>
            <w:r w:rsidRPr="00CC6CA3">
              <w:rPr>
                <w:sz w:val="20"/>
                <w:szCs w:val="20"/>
              </w:rPr>
              <w:t xml:space="preserve">; </w:t>
            </w:r>
          </w:p>
          <w:p w14:paraId="71A93C91" w14:textId="444C07A8" w:rsidR="00E2359E" w:rsidRPr="00CC6CA3" w:rsidRDefault="00E2359E" w:rsidP="00F632C0">
            <w:pPr>
              <w:spacing w:line="240" w:lineRule="auto"/>
              <w:rPr>
                <w:sz w:val="20"/>
                <w:szCs w:val="20"/>
              </w:rPr>
            </w:pPr>
            <w:r w:rsidRPr="00CC6CA3">
              <w:rPr>
                <w:sz w:val="20"/>
                <w:szCs w:val="20"/>
              </w:rPr>
              <w:t xml:space="preserve">Mass flow rate </w:t>
            </w:r>
            <w:r w:rsidRPr="00CC6CA3">
              <w:rPr>
                <w:sz w:val="20"/>
                <w:szCs w:val="20"/>
              </w:rPr>
              <w:fldChar w:fldCharType="begin"/>
            </w:r>
            <w:r w:rsidR="007D1BCC" w:rsidRPr="00CC6CA3">
              <w:rPr>
                <w:sz w:val="20"/>
                <w:szCs w:val="20"/>
              </w:rPr>
              <w:instrText xml:space="preserve"> ADDIN ZOTERO_ITEM CSL_CITATION {"citationID":"a1tr5nteue6","properties":{"formattedCitation":"[52]","plainCitation":"[52]","noteIndex":0},"citationItems":[{"id":"jMlmauCg/XHdYDUHJ","uris":["http://zotero.org/users/3051968/items/XG2ZQB8Q"],"uri":["http://zotero.org/users/3051968/items/XG2ZQB8Q"],"itemData":{"id":810,"type":"article-journal","title":"Analysis of the entire surge cycle of a multi-stage high-speed compressor","container-title":"Center for Turbulence Research, Annual Research Briefs, Stanford University, Stanford, CA","page":"205–218","source":"Google Scholar","author":[{"family":"Teramoto","given":"S."}],"issued":{"date-parts":[["2008"]]}}}],"schema":"https://github.com/citation-style-language/schema/raw/master/csl-citation.json"} </w:instrText>
            </w:r>
            <w:r w:rsidRPr="00CC6CA3">
              <w:rPr>
                <w:sz w:val="20"/>
                <w:szCs w:val="20"/>
              </w:rPr>
              <w:fldChar w:fldCharType="separate"/>
            </w:r>
            <w:r w:rsidR="00854B0F" w:rsidRPr="00CC6CA3">
              <w:rPr>
                <w:rFonts w:cs="Times New Roman"/>
                <w:sz w:val="20"/>
              </w:rPr>
              <w:t>[52]</w:t>
            </w:r>
            <w:r w:rsidRPr="00CC6CA3">
              <w:rPr>
                <w:sz w:val="20"/>
                <w:szCs w:val="20"/>
              </w:rPr>
              <w:fldChar w:fldCharType="end"/>
            </w:r>
            <w:r w:rsidRPr="00CC6CA3">
              <w:rPr>
                <w:sz w:val="20"/>
                <w:szCs w:val="20"/>
              </w:rPr>
              <w:t xml:space="preserve">; </w:t>
            </w:r>
          </w:p>
          <w:p w14:paraId="04858948" w14:textId="4CE02449" w:rsidR="00E2359E" w:rsidRPr="00CC6CA3" w:rsidRDefault="00E2359E" w:rsidP="00F632C0">
            <w:pPr>
              <w:spacing w:line="240" w:lineRule="auto"/>
              <w:rPr>
                <w:sz w:val="20"/>
                <w:szCs w:val="20"/>
              </w:rPr>
            </w:pPr>
            <w:r w:rsidRPr="00CC6CA3">
              <w:rPr>
                <w:sz w:val="20"/>
                <w:szCs w:val="20"/>
              </w:rPr>
              <w:t xml:space="preserve">Polytropic efficiency </w:t>
            </w:r>
            <w:r w:rsidRPr="00CC6CA3">
              <w:rPr>
                <w:sz w:val="20"/>
                <w:szCs w:val="20"/>
              </w:rPr>
              <w:fldChar w:fldCharType="begin"/>
            </w:r>
            <w:r w:rsidR="007D1BCC" w:rsidRPr="00CC6CA3">
              <w:rPr>
                <w:sz w:val="20"/>
                <w:szCs w:val="20"/>
              </w:rPr>
              <w:instrText xml:space="preserve"> ADDIN ZOTERO_ITEM CSL_CITATION {"citationID":"Dqgj22Tc","properties":{"formattedCitation":"[62]","plainCitation":"[62]","noteIndex":0},"citationItems":[{"id":"jMlmauCg/ma53Ed0S","uris":["http://zotero.org/users/3051968/items/J72F7HTW"],"uri":["http://zotero.org/users/3051968/items/J72F7HTW"],"itemData":{"id":813,"type":"book","title":"Performance monitoring of compressors with electrical drive","source":"Google Scholar","URL":"http://www.diva-portal.org/smash/record.jsf?pid=diva2:375823","author":[{"family":"Waarli","given":"Magnus"}],"issued":{"date-parts":[["2010"]]},"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[62]</w:t>
            </w:r>
            <w:r w:rsidRPr="00CC6CA3">
              <w:rPr>
                <w:sz w:val="20"/>
                <w:szCs w:val="20"/>
              </w:rPr>
              <w:fldChar w:fldCharType="end"/>
            </w:r>
            <w:r w:rsidRPr="00CC6CA3">
              <w:rPr>
                <w:sz w:val="20"/>
                <w:szCs w:val="20"/>
              </w:rPr>
              <w:t>;</w:t>
            </w:r>
          </w:p>
          <w:p w14:paraId="11F0335A" w14:textId="2B82AD61" w:rsidR="00E2359E" w:rsidRPr="00CC6CA3" w:rsidRDefault="00E2359E" w:rsidP="00F632C0">
            <w:pPr>
              <w:spacing w:line="240" w:lineRule="auto"/>
              <w:rPr>
                <w:sz w:val="20"/>
                <w:szCs w:val="20"/>
              </w:rPr>
            </w:pPr>
            <w:r w:rsidRPr="00CC6CA3">
              <w:rPr>
                <w:sz w:val="20"/>
                <w:szCs w:val="20"/>
              </w:rPr>
              <w:t xml:space="preserve">Power </w:t>
            </w:r>
            <w:r w:rsidRPr="00CC6CA3">
              <w:rPr>
                <w:sz w:val="20"/>
                <w:szCs w:val="20"/>
              </w:rPr>
              <w:fldChar w:fldCharType="begin"/>
            </w:r>
            <w:r w:rsidR="007D1BCC" w:rsidRPr="00CC6CA3">
              <w:rPr>
                <w:sz w:val="20"/>
                <w:szCs w:val="20"/>
              </w:rPr>
              <w:instrText xml:space="preserve"> ADDIN ZOTERO_ITEM CSL_CITATION {"citationID":"a23b0du5tcn","properties":{"formattedCitation":"[28]","plainCitation":"[28]","noteIndex":0},"citationItems":[{"id":"jMlmauCg/0g6PFSiV","uris":["http://zotero.org/users/3051968/items/HPX857VW"],"uri":["http://zotero.org/users/3051968/items/HPX857VW"],"itemData":{"id":817,"type":"book","title":"The compressor maintenance manuals","publisher":"Chemical Industry Press","publisher-place":"Beijing","event-place":"Beijing","ISBN":"978-7-122-07672-4","language":"Chinese","author":[{"family":"Zhou","given":"Guoliang"}],"issued":{"date-parts":[["2010"]]}}}],"schema":"https://github.com/citation-style-language/schema/raw/master/csl-citation.json"} </w:instrText>
            </w:r>
            <w:r w:rsidRPr="00CC6CA3">
              <w:rPr>
                <w:sz w:val="20"/>
                <w:szCs w:val="20"/>
              </w:rPr>
              <w:fldChar w:fldCharType="separate"/>
            </w:r>
            <w:r w:rsidR="00854B0F" w:rsidRPr="00CC6CA3">
              <w:rPr>
                <w:rFonts w:cs="Times New Roman"/>
                <w:sz w:val="20"/>
              </w:rPr>
              <w:t>[28]</w:t>
            </w:r>
            <w:r w:rsidRPr="00CC6CA3">
              <w:rPr>
                <w:sz w:val="20"/>
                <w:szCs w:val="20"/>
              </w:rPr>
              <w:fldChar w:fldCharType="end"/>
            </w:r>
            <w:r w:rsidRPr="00CC6CA3">
              <w:rPr>
                <w:sz w:val="20"/>
                <w:szCs w:val="20"/>
              </w:rPr>
              <w:t xml:space="preserve">; </w:t>
            </w:r>
          </w:p>
          <w:p w14:paraId="46EEACE8" w14:textId="586A0ADB" w:rsidR="00E2359E" w:rsidRPr="00CC6CA3" w:rsidRDefault="00E2359E" w:rsidP="00F632C0">
            <w:pPr>
              <w:spacing w:line="240" w:lineRule="auto"/>
              <w:rPr>
                <w:sz w:val="20"/>
                <w:szCs w:val="20"/>
              </w:rPr>
            </w:pPr>
            <w:r w:rsidRPr="00CC6CA3">
              <w:rPr>
                <w:sz w:val="20"/>
                <w:szCs w:val="20"/>
              </w:rPr>
              <w:t xml:space="preserve">Bearing temperature </w:t>
            </w:r>
            <w:r w:rsidRPr="00CC6CA3">
              <w:rPr>
                <w:sz w:val="20"/>
                <w:szCs w:val="20"/>
              </w:rPr>
              <w:fldChar w:fldCharType="begin"/>
            </w:r>
            <w:r w:rsidR="007D1BCC" w:rsidRPr="00CC6CA3">
              <w:rPr>
                <w:sz w:val="20"/>
                <w:szCs w:val="20"/>
              </w:rPr>
              <w:instrText xml:space="preserve"> ADDIN ZOTERO_ITEM CSL_CITATION {"citationID":"a19i497v9nf","properties":{"formattedCitation":"[64]","plainCitation":"[64]","noteIndex":0},"citationItems":[{"id":"jMlmauCg/yhwmIRSO","uris":["http://zotero.org/users/3051968/items/E8RCBZ37"],"uri":["http://zotero.org/users/3051968/items/E8RCBZ37"],"itemData":{"id":816,"type":"article-journal","title":"Protecting a centrifugal compressor from surge","container-title":"Pipeline &amp; Gas Journal","page":"60–66","volume":"239","issue":"3","source":"Google Scholar","author":[{"family":"Ghanbariannaeeni","given":"A."},{"family":"Ghazanfarihashemi","given":"G."}],"issued":{"date-parts":[["2012"]]}}}],"schema":"https://github.com/citation-style-language/schema/raw/master/csl-citation.json"} </w:instrText>
            </w:r>
            <w:r w:rsidRPr="00CC6CA3">
              <w:rPr>
                <w:sz w:val="20"/>
                <w:szCs w:val="20"/>
              </w:rPr>
              <w:fldChar w:fldCharType="separate"/>
            </w:r>
            <w:r w:rsidR="00854B0F" w:rsidRPr="00CC6CA3">
              <w:rPr>
                <w:rFonts w:cs="Times New Roman"/>
                <w:sz w:val="20"/>
              </w:rPr>
              <w:t>[64]</w:t>
            </w:r>
            <w:r w:rsidRPr="00CC6CA3">
              <w:rPr>
                <w:sz w:val="20"/>
                <w:szCs w:val="20"/>
              </w:rPr>
              <w:fldChar w:fldCharType="end"/>
            </w:r>
            <w:r w:rsidRPr="00CC6CA3">
              <w:rPr>
                <w:sz w:val="20"/>
                <w:szCs w:val="20"/>
              </w:rPr>
              <w:t xml:space="preserve">; </w:t>
            </w:r>
          </w:p>
          <w:p w14:paraId="4D6C1660" w14:textId="4E201BDB" w:rsidR="00E2359E" w:rsidRPr="00CC6CA3" w:rsidRDefault="00E2359E" w:rsidP="00F632C0">
            <w:pPr>
              <w:spacing w:line="240" w:lineRule="auto"/>
              <w:rPr>
                <w:sz w:val="20"/>
                <w:szCs w:val="20"/>
              </w:rPr>
            </w:pPr>
            <w:r w:rsidRPr="00CC6CA3">
              <w:rPr>
                <w:sz w:val="20"/>
                <w:szCs w:val="20"/>
              </w:rPr>
              <w:t xml:space="preserve">Cooling system pressure </w:t>
            </w:r>
            <w:r w:rsidRPr="00CC6CA3">
              <w:rPr>
                <w:sz w:val="20"/>
                <w:szCs w:val="20"/>
              </w:rPr>
              <w:fldChar w:fldCharType="begin"/>
            </w:r>
            <w:r w:rsidR="007D1BCC" w:rsidRPr="00CC6CA3">
              <w:rPr>
                <w:sz w:val="20"/>
                <w:szCs w:val="20"/>
              </w:rPr>
              <w:instrText xml:space="preserve"> ADDIN ZOTERO_ITEM CSL_CITATION {"citationID":"E6SDR6EO","properties":{"formattedCitation":"[28]","plainCitation":"[28]","noteIndex":0},"citationItems":[{"id":"jMlmauCg/0g6PFSiV","uris":["http://zotero.org/users/3051968/items/HPX857VW"],"uri":["http://zotero.org/users/3051968/items/HPX857VW"],"itemData":{"id":817,"type":"book","title":"The compressor maintenance manuals","publisher":"Chemical Industry Press","publisher-place":"Beijing","event-place":"Beijing","ISBN":"978-7-122-07672-4","language":"Chinese","author":[{"family":"Zhou","given":"Guoliang"}],"issued":{"date-parts":[["2010"]]}}}],"schema":"https://github.com/citation-style-language/schema/raw/master/csl-citation.json"} </w:instrText>
            </w:r>
            <w:r w:rsidRPr="00CC6CA3">
              <w:rPr>
                <w:sz w:val="20"/>
                <w:szCs w:val="20"/>
              </w:rPr>
              <w:fldChar w:fldCharType="separate"/>
            </w:r>
            <w:r w:rsidR="00854B0F" w:rsidRPr="00CC6CA3">
              <w:rPr>
                <w:rFonts w:cs="Times New Roman"/>
                <w:sz w:val="20"/>
              </w:rPr>
              <w:t>[28]</w:t>
            </w:r>
            <w:r w:rsidRPr="00CC6CA3">
              <w:rPr>
                <w:sz w:val="20"/>
                <w:szCs w:val="20"/>
              </w:rPr>
              <w:fldChar w:fldCharType="end"/>
            </w:r>
            <w:r w:rsidRPr="00CC6CA3">
              <w:rPr>
                <w:sz w:val="20"/>
                <w:szCs w:val="20"/>
              </w:rPr>
              <w:t>;</w:t>
            </w:r>
          </w:p>
          <w:p w14:paraId="46A32F66" w14:textId="129F53C7" w:rsidR="00E2359E" w:rsidRPr="00CC6CA3" w:rsidRDefault="00E2359E" w:rsidP="00F632C0">
            <w:pPr>
              <w:spacing w:line="240" w:lineRule="auto"/>
              <w:rPr>
                <w:sz w:val="20"/>
                <w:szCs w:val="20"/>
              </w:rPr>
            </w:pPr>
            <w:r w:rsidRPr="00CC6CA3">
              <w:rPr>
                <w:sz w:val="20"/>
                <w:szCs w:val="20"/>
              </w:rPr>
              <w:t xml:space="preserve">Cooling system temperature </w:t>
            </w:r>
            <w:r w:rsidRPr="00CC6CA3">
              <w:rPr>
                <w:sz w:val="20"/>
                <w:szCs w:val="20"/>
              </w:rPr>
              <w:fldChar w:fldCharType="begin"/>
            </w:r>
            <w:r w:rsidR="007D1BCC" w:rsidRPr="00CC6CA3">
              <w:rPr>
                <w:sz w:val="20"/>
                <w:szCs w:val="20"/>
              </w:rPr>
              <w:instrText xml:space="preserve"> ADDIN ZOTERO_ITEM CSL_CITATION {"citationID":"txB0ny2v","properties":{"formattedCitation":"[28]","plainCitation":"[28]","noteIndex":0},"citationItems":[{"id":"jMlmauCg/0g6PFSiV","uris":["http://zotero.org/users/3051968/items/HPX857VW"],"uri":["http://zotero.org/users/3051968/items/HPX857VW"],"itemData":{"id":817,"type":"book","title":"The compressor maintenance manuals","publisher":"Chemical Industry Press","publisher-place":"Beijing","event-place":"Beijing","ISBN":"978-7-122-07672-4","language":"Chinese","author":[{"family":"Zhou","given":"Guoliang"}],"issued":{"date-parts":[["2010"]]}}}],"schema":"https://github.com/citation-style-language/schema/raw/master/csl-citation.json"} </w:instrText>
            </w:r>
            <w:r w:rsidRPr="00CC6CA3">
              <w:rPr>
                <w:sz w:val="20"/>
                <w:szCs w:val="20"/>
              </w:rPr>
              <w:fldChar w:fldCharType="separate"/>
            </w:r>
            <w:r w:rsidR="00854B0F" w:rsidRPr="00CC6CA3">
              <w:rPr>
                <w:rFonts w:cs="Times New Roman"/>
                <w:sz w:val="20"/>
              </w:rPr>
              <w:t>[28]</w:t>
            </w:r>
            <w:r w:rsidRPr="00CC6CA3">
              <w:rPr>
                <w:sz w:val="20"/>
                <w:szCs w:val="20"/>
              </w:rPr>
              <w:fldChar w:fldCharType="end"/>
            </w:r>
            <w:r w:rsidRPr="00CC6CA3">
              <w:rPr>
                <w:sz w:val="20"/>
                <w:szCs w:val="20"/>
              </w:rPr>
              <w:t xml:space="preserve">; </w:t>
            </w:r>
          </w:p>
          <w:p w14:paraId="7D5E43AD" w14:textId="044A7581" w:rsidR="00E2359E" w:rsidRPr="00CC6CA3" w:rsidRDefault="00E2359E" w:rsidP="00F632C0">
            <w:pPr>
              <w:spacing w:line="240" w:lineRule="auto"/>
              <w:rPr>
                <w:sz w:val="20"/>
                <w:szCs w:val="20"/>
              </w:rPr>
            </w:pPr>
            <w:r w:rsidRPr="00CC6CA3">
              <w:rPr>
                <w:sz w:val="20"/>
                <w:szCs w:val="20"/>
              </w:rPr>
              <w:t xml:space="preserve">Shaft speed </w:t>
            </w:r>
            <w:r w:rsidRPr="00CC6CA3">
              <w:rPr>
                <w:sz w:val="20"/>
                <w:szCs w:val="20"/>
              </w:rPr>
              <w:fldChar w:fldCharType="begin"/>
            </w:r>
            <w:r w:rsidR="007D1BCC" w:rsidRPr="00CC6CA3">
              <w:rPr>
                <w:sz w:val="20"/>
                <w:szCs w:val="20"/>
              </w:rPr>
              <w:instrText xml:space="preserve"> ADDIN ZOTERO_ITEM CSL_CITATION {"citationID":"asivab44q5","properties":{"formattedCitation":"[65]","plainCitation":"[65]","noteIndex":0},"citationItems":[{"id":"jMlmauCg/eC8t3sZ7","uris":["http://zotero.org/users/3051968/items/9X4MN53I"],"uri":["http://zotero.org/users/3051968/items/9X4MN53I"],"itemData":{"id":812,"type":"article-journal","title":"Application guideline for centrifugal compressor surge control systems","container-title":"Gas Machinery Research Counsel Southwest Research Institute. Release Version","volume":"4","source":"Google Scholar","author":[{"family":"Brun","given":"Klaus"},{"family":"Nored","given":"M."},{"family":"Kurz","given":"R."},{"family":"Platt","given":"J."},{"family":"Elston","given":"B."},{"family":"Couch","given":"W."},{"family":"Raymer","given":"R."},{"family":"Mariotti","given":"G."},{"family":"White","given":"R. C."}],"issued":{"date-parts":[["2008"]]}}}],"schema":"https://github.com/citation-style-language/schema/raw/master/csl-citation.json"} </w:instrText>
            </w:r>
            <w:r w:rsidRPr="00CC6CA3">
              <w:rPr>
                <w:sz w:val="20"/>
                <w:szCs w:val="20"/>
              </w:rPr>
              <w:fldChar w:fldCharType="separate"/>
            </w:r>
            <w:r w:rsidR="00854B0F" w:rsidRPr="00CC6CA3">
              <w:rPr>
                <w:rFonts w:cs="Times New Roman"/>
                <w:sz w:val="20"/>
              </w:rPr>
              <w:t>[65]</w:t>
            </w:r>
            <w:r w:rsidRPr="00CC6CA3">
              <w:rPr>
                <w:sz w:val="20"/>
                <w:szCs w:val="20"/>
              </w:rPr>
              <w:fldChar w:fldCharType="end"/>
            </w:r>
            <w:r w:rsidRPr="00CC6CA3">
              <w:rPr>
                <w:sz w:val="20"/>
                <w:szCs w:val="20"/>
              </w:rPr>
              <w:t>;</w:t>
            </w:r>
          </w:p>
          <w:p w14:paraId="24574C12" w14:textId="00BE54EF" w:rsidR="00E2359E" w:rsidRPr="00CC6CA3" w:rsidRDefault="00E2359E" w:rsidP="00F632C0">
            <w:pPr>
              <w:spacing w:line="240" w:lineRule="auto"/>
              <w:rPr>
                <w:sz w:val="20"/>
                <w:szCs w:val="20"/>
              </w:rPr>
            </w:pPr>
            <w:r w:rsidRPr="00CC6CA3">
              <w:rPr>
                <w:sz w:val="20"/>
                <w:szCs w:val="20"/>
              </w:rPr>
              <w:t>Exceed surge line in compressor map</w:t>
            </w:r>
            <w:r w:rsidRPr="00CC6CA3">
              <w:rPr>
                <w:sz w:val="20"/>
                <w:szCs w:val="20"/>
              </w:rPr>
              <w:fldChar w:fldCharType="begin"/>
            </w:r>
            <w:r w:rsidR="007D1BCC" w:rsidRPr="00CC6CA3">
              <w:rPr>
                <w:sz w:val="20"/>
                <w:szCs w:val="20"/>
              </w:rPr>
              <w:instrText xml:space="preserve"> ADDIN ZOTERO_ITEM CSL_CITATION {"citationID":"a48m47unqs","properties":{"formattedCitation":"[66]","plainCitation":"[66]","noteIndex":0},"citationItems":[{"id":"jMlmauCg/pVuckvRe","uris":["http://zotero.org/users/3051968/items/TUCF3SNQ"],"uri":["http://zotero.org/users/3051968/items/TUCF3SNQ"],"itemData":{"id":799,"type":"article-journal","title":"Centrifugal compressor surge and speed control","container-title":"IEEE Transactions on Control Systems Technology","page":"567-579","volume":"7","issue":"5","source":"IEEE Xplore","abstract":"Previous work on stabilization of compressor surge is extended to include control of the angular velocity of the compressor. A low-order centrifugal compressor model is presented, where the states are mass flow, pressure rise, and rotational speed of the spool. Energy transfer considerations are used to develop a compressor characteristic. In order to stabilize equilibria to the left of the surge line, a close coupled valve is used in series with the compressor. Controllers for the valve pressure drop and spool speed are derived. Semiglobal exponential stability is proved using a Lyapunov argument","DOI":"10.1109/87.784420","ISSN":"1063-6536","author":[{"family":"Gravdahl","given":"J. T."},{"family":"Egeland","given":"O."}],"issued":{"date-parts":[["1999",9]]}}}],"schema":"https://github.com/citation-style-language/schema/raw/master/csl-citation.json"} </w:instrText>
            </w:r>
            <w:r w:rsidRPr="00CC6CA3">
              <w:rPr>
                <w:sz w:val="20"/>
                <w:szCs w:val="20"/>
              </w:rPr>
              <w:fldChar w:fldCharType="separate"/>
            </w:r>
            <w:r w:rsidR="00854B0F" w:rsidRPr="00CC6CA3">
              <w:rPr>
                <w:rFonts w:cs="Times New Roman"/>
                <w:sz w:val="20"/>
              </w:rPr>
              <w:t>[66]</w:t>
            </w:r>
            <w:r w:rsidRPr="00CC6CA3">
              <w:rPr>
                <w:sz w:val="20"/>
                <w:szCs w:val="20"/>
              </w:rPr>
              <w:fldChar w:fldCharType="end"/>
            </w:r>
            <w:r w:rsidRPr="00CC6CA3">
              <w:rPr>
                <w:sz w:val="20"/>
                <w:szCs w:val="20"/>
              </w:rPr>
              <w:t>.</w:t>
            </w:r>
          </w:p>
          <w:p w14:paraId="440E0AB5" w14:textId="2A1856EB" w:rsidR="00E2359E" w:rsidRPr="00CC6CA3" w:rsidRDefault="00E2359E" w:rsidP="00F632C0">
            <w:pPr>
              <w:spacing w:line="240" w:lineRule="auto"/>
              <w:rPr>
                <w:sz w:val="20"/>
                <w:szCs w:val="20"/>
              </w:rPr>
            </w:pPr>
            <w:r w:rsidRPr="00CC6CA3">
              <w:rPr>
                <w:sz w:val="20"/>
                <w:szCs w:val="20"/>
              </w:rPr>
              <w:t xml:space="preserve">Frequency spectrum and power spectrum </w:t>
            </w:r>
            <w:r w:rsidRPr="00CC6CA3">
              <w:rPr>
                <w:sz w:val="20"/>
                <w:szCs w:val="20"/>
              </w:rPr>
              <w:fldChar w:fldCharType="begin"/>
            </w:r>
            <w:r w:rsidR="007D1BCC" w:rsidRPr="00CC6CA3">
              <w:rPr>
                <w:sz w:val="20"/>
                <w:szCs w:val="20"/>
              </w:rPr>
              <w:instrText xml:space="preserve"> ADDIN ZOTERO_ITEM CSL_CITATION {"citationID":"adnl03ltft","properties":{"formattedCitation":"[67]","plainCitation":"[67]","noteIndex":0},"citationItems":[{"id":"jMlmauCg/zEE3SEyV","uris":["http://zotero.org/users/3051968/items/DU2ZK6WN"],"uri":["http://zotero.org/users/3051968/items/DU2ZK6WN"],"itemData":{"id":786,"type":"thesis","title":"Centrifugal compressor flow instabilities at lowmass flow rate","publisher":"KTH Royal Institute of Technology","source":"Google Scholar","URL":"http://www.diva-portal.org/smash/record.jsf?pid=diva2:917199","author":[{"family":"Sundström","given":"Elias"}],"issued":{"date-parts":[["2016"]]},"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[67]</w:t>
            </w:r>
            <w:r w:rsidRPr="00CC6CA3">
              <w:rPr>
                <w:sz w:val="20"/>
                <w:szCs w:val="20"/>
              </w:rPr>
              <w:fldChar w:fldCharType="end"/>
            </w:r>
            <w:r w:rsidRPr="00CC6CA3">
              <w:rPr>
                <w:sz w:val="20"/>
                <w:szCs w:val="20"/>
              </w:rPr>
              <w:t xml:space="preserve">; </w:t>
            </w:r>
          </w:p>
          <w:p w14:paraId="69BD961F" w14:textId="0AA3B7CD" w:rsidR="00E2359E" w:rsidRPr="00CC6CA3" w:rsidRDefault="00E2359E" w:rsidP="00F632C0">
            <w:pPr>
              <w:spacing w:line="240" w:lineRule="auto"/>
              <w:rPr>
                <w:sz w:val="20"/>
                <w:szCs w:val="20"/>
              </w:rPr>
            </w:pPr>
            <w:r w:rsidRPr="00CC6CA3">
              <w:rPr>
                <w:sz w:val="20"/>
                <w:szCs w:val="20"/>
              </w:rPr>
              <w:t xml:space="preserve">Extensive vibration in the piping system, casing and bearing </w:t>
            </w:r>
            <w:r w:rsidRPr="00CC6CA3">
              <w:rPr>
                <w:sz w:val="20"/>
                <w:szCs w:val="20"/>
              </w:rPr>
              <w:fldChar w:fldCharType="begin"/>
            </w:r>
            <w:r w:rsidR="00854B0F" w:rsidRPr="00CC6CA3">
              <w:rPr>
                <w:sz w:val="20"/>
                <w:szCs w:val="20"/>
              </w:rPr>
              <w:instrText xml:space="preserve"> ADDIN ZOTERO_ITEM CSL_CITATION {"citationID":"a1puinpdc6b","properties":{"formattedCitation":"[68]","plainCitation":"[68]","noteIndex":0},"citationItems":[{"id":32,"uris":["http://zotero.org/users/3051968/items/56MKZPUD"],"uri":["http://zotero.org/users/3051968/items/56MKZPUD"],"itemData":{"id":32,"type":"book","abstract":"Control engineers, mechanical engineers and mechanical technicians will learn how to select the proper control systems for axial and centrifugal compressors for proper throughput and surge control, with a particular emphasis on surge control. Readers will learn to understand the importance of transmitter speed, digital controller sample time, and control valve stroking time in helping to prevent surge. Engineers and technicians will find this book to be a highly valuable guide on compressor control schemes and the importance of mitigating costly and sometimes catastrophic surge problems. It can be used as a self-tutorial guide or in the classroom with the book's helpful end-of-chapter questions and exercises and sections for keeping notes.","ISBN":"978-1-60650-173-3","language":"en","note":"Google-Books-ID: jzfOtBsVrLMC","number-of-pages":"174","publisher":"Momentum Press","source":"Google Books","title":"Centrifugal and Axial Compressor Control","author":[{"family":"McMillan","given":"Gregory K."}],"issued":{"date-parts":[["2010"]]}}}],"schema":"https://github.com/citation-style-language/schema/raw/master/csl-citation.json"} </w:instrText>
            </w:r>
            <w:r w:rsidRPr="00CC6CA3">
              <w:rPr>
                <w:sz w:val="20"/>
                <w:szCs w:val="20"/>
              </w:rPr>
              <w:fldChar w:fldCharType="separate"/>
            </w:r>
            <w:r w:rsidR="00854B0F" w:rsidRPr="00CC6CA3">
              <w:rPr>
                <w:rFonts w:cs="Times New Roman"/>
                <w:sz w:val="20"/>
              </w:rPr>
              <w:t>[68]</w:t>
            </w:r>
            <w:r w:rsidRPr="00CC6CA3">
              <w:rPr>
                <w:sz w:val="20"/>
                <w:szCs w:val="20"/>
              </w:rPr>
              <w:fldChar w:fldCharType="end"/>
            </w:r>
            <w:r w:rsidRPr="00CC6CA3">
              <w:rPr>
                <w:sz w:val="20"/>
                <w:szCs w:val="20"/>
              </w:rPr>
              <w:t>;</w:t>
            </w:r>
          </w:p>
          <w:p w14:paraId="29351155" w14:textId="6FF0A548" w:rsidR="00E2359E" w:rsidRPr="00CC6CA3" w:rsidRDefault="00E2359E" w:rsidP="00F632C0">
            <w:pPr>
              <w:spacing w:after="80" w:line="240" w:lineRule="auto"/>
              <w:rPr>
                <w:sz w:val="20"/>
                <w:szCs w:val="20"/>
              </w:rPr>
            </w:pPr>
            <w:r w:rsidRPr="00CC6CA3">
              <w:rPr>
                <w:sz w:val="20"/>
                <w:szCs w:val="20"/>
              </w:rPr>
              <w:t xml:space="preserve">Unsteady shaft orbit </w:t>
            </w:r>
            <w:r w:rsidRPr="00CC6CA3">
              <w:rPr>
                <w:sz w:val="20"/>
                <w:szCs w:val="20"/>
              </w:rPr>
              <w:fldChar w:fldCharType="begin"/>
            </w:r>
            <w:r w:rsidR="007D1BCC" w:rsidRPr="00CC6CA3">
              <w:rPr>
                <w:sz w:val="20"/>
                <w:szCs w:val="20"/>
              </w:rPr>
              <w:instrText xml:space="preserve"> ADDIN ZOTERO_ITEM CSL_CITATION {"citationID":"af7udclf4u","properties":{"formattedCitation":"[60]","plainCitation":"[60]","noteIndex":0},"citationItems":[{"id":"jMlmauCg/Qqz6NQdj","uris":["http://zotero.org/users/3051968/items/GVWC94M7"],"uri":["http://zotero.org/users/3051968/items/GVWC94M7"],"itemData":{"id":776,"type":"paper-conference","title":"Experiences with nonsynchronous forced vibration in centrifugal compressors","source":"NASA NTRS","abstract":"The high subsynchronous vibrations which are often forced vibrations caused by flow instabilities, such as stage stall were examined. Modifications to improve the rotor stability by changing the bearings or seals have little effects on the subsynchronous vibrations. Understanding of the differences between forced vibrations and self excited vibrations to properly diagnose the problem and to correct it, is recommended. A list of characteristics of the two types of subsynchronous vibration is presented.","URL":"https://ntrs.nasa.gov/search.jsp?R=19850005810","author":[{"family":"Smith","given":"D. R."},{"family":"Wachel","given":"J. C."}],"issued":{"date-parts":[["1984",12,1]]},"accessed":{"date-parts":[["2017",4,8]]}}}],"schema":"https://github.com/citation-style-language/schema/raw/master/csl-citation.json"}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[60]</w:t>
            </w:r>
            <w:r w:rsidRPr="00CC6CA3">
              <w:rPr>
                <w:sz w:val="20"/>
                <w:szCs w:val="20"/>
              </w:rPr>
              <w:fldChar w:fldCharType="end"/>
            </w:r>
            <w:r w:rsidRPr="00CC6CA3">
              <w:rPr>
                <w:sz w:val="20"/>
                <w:szCs w:val="20"/>
              </w:rPr>
              <w:t>.</w:t>
            </w:r>
          </w:p>
        </w:tc>
      </w:tr>
      <w:tr w:rsidR="00E2359E" w:rsidRPr="00CC6CA3" w14:paraId="0AAADB62" w14:textId="77777777" w:rsidTr="00F632C0">
        <w:trPr>
          <w:trHeight w:val="1503"/>
        </w:trPr>
        <w:tc>
          <w:tcPr>
            <w:tcW w:w="1264" w:type="pct"/>
            <w:vAlign w:val="center"/>
          </w:tcPr>
          <w:p w14:paraId="75F526C4" w14:textId="77777777" w:rsidR="00E2359E" w:rsidRPr="00CC6CA3" w:rsidRDefault="00E2359E" w:rsidP="00F632C0">
            <w:pPr>
              <w:spacing w:line="240" w:lineRule="auto"/>
              <w:rPr>
                <w:sz w:val="20"/>
                <w:szCs w:val="20"/>
              </w:rPr>
            </w:pPr>
            <w:r w:rsidRPr="00CC6CA3">
              <w:rPr>
                <w:sz w:val="20"/>
                <w:szCs w:val="20"/>
              </w:rPr>
              <w:t>Fouling</w:t>
            </w:r>
          </w:p>
        </w:tc>
        <w:tc>
          <w:tcPr>
            <w:tcW w:w="3736" w:type="pct"/>
            <w:vAlign w:val="center"/>
          </w:tcPr>
          <w:p w14:paraId="58DD13EE" w14:textId="6F1BC52C" w:rsidR="00E2359E" w:rsidRPr="00CC6CA3" w:rsidRDefault="00E2359E" w:rsidP="00F632C0">
            <w:pPr>
              <w:spacing w:line="240" w:lineRule="auto"/>
              <w:rPr>
                <w:sz w:val="20"/>
                <w:szCs w:val="20"/>
              </w:rPr>
            </w:pPr>
            <w:r w:rsidRPr="00CC6CA3">
              <w:rPr>
                <w:sz w:val="20"/>
                <w:szCs w:val="20"/>
              </w:rPr>
              <w:t xml:space="preserve">Discharge temperature </w:t>
            </w:r>
            <w:r w:rsidRPr="00CC6CA3">
              <w:rPr>
                <w:sz w:val="20"/>
                <w:szCs w:val="20"/>
              </w:rPr>
              <w:fldChar w:fldCharType="begin"/>
            </w:r>
            <w:r w:rsidR="007D1BCC" w:rsidRPr="00CC6CA3">
              <w:rPr>
                <w:sz w:val="20"/>
                <w:szCs w:val="20"/>
              </w:rPr>
              <w:instrText xml:space="preserve"> ADDIN ZOTERO_ITEM CSL_CITATION {"citationID":"ahnrpm1ims","properties":{"formattedCitation":"[69]","plainCitation":"[69]","noteIndex":0},"citationItems":[{"id":"jMlmauCg/DPibPUvg","uris":["http://zotero.org/users/3051968/items/HQZDIURB"],"uri":["http://zotero.org/users/3051968/items/HQZDIURB"],"itemData":{"id":769,"type":"article-journal","title":"Detection of Axial Compressor Fouling in High Ambient Temperature Conditions","page":"V003T07A006","source":"Silverchair","abstract":"This paper discusses gas turbine engine health monitoring with a fleet of 3 MW units operating at ambient temperatures up to 45 °C. The engines operate continuously near the topping temperature and cannot tolerate a significant performance loss due to compressor fouling. Various parameters indicating engine health condition were investigated and the single best parameter was found to be compressor delivery pressure. A simple predictive monitoring scheme was developed for assessing the degree of compressor fouling to help in optimizing the time between compressor washes.","DOI":"10.1115/91-GT-067","author":[{"family":"Haq","given":"Inamul"},{"family":"Saravanamuttoo","given":"H. I. H."}],"issued":{"date-parts":[["1991",6,3]]}}}],"schema":"https://github.com/citation-style-language/schema/raw/master/csl-citation.json"} </w:instrText>
            </w:r>
            <w:r w:rsidRPr="00CC6CA3">
              <w:rPr>
                <w:sz w:val="20"/>
                <w:szCs w:val="20"/>
              </w:rPr>
              <w:fldChar w:fldCharType="separate"/>
            </w:r>
            <w:r w:rsidR="00854B0F" w:rsidRPr="00CC6CA3">
              <w:rPr>
                <w:rFonts w:cs="Times New Roman"/>
                <w:sz w:val="20"/>
              </w:rPr>
              <w:t>[69]</w:t>
            </w:r>
            <w:r w:rsidRPr="00CC6CA3">
              <w:rPr>
                <w:sz w:val="20"/>
                <w:szCs w:val="20"/>
              </w:rPr>
              <w:fldChar w:fldCharType="end"/>
            </w:r>
            <w:r w:rsidRPr="00CC6CA3">
              <w:rPr>
                <w:sz w:val="20"/>
                <w:szCs w:val="20"/>
              </w:rPr>
              <w:t>;</w:t>
            </w:r>
          </w:p>
          <w:p w14:paraId="34526C80" w14:textId="2A0C1218" w:rsidR="00E2359E" w:rsidRPr="00CC6CA3" w:rsidRDefault="00E2359E" w:rsidP="00F632C0">
            <w:pPr>
              <w:spacing w:line="240" w:lineRule="auto"/>
              <w:rPr>
                <w:sz w:val="20"/>
                <w:szCs w:val="20"/>
              </w:rPr>
            </w:pPr>
            <w:r w:rsidRPr="00CC6CA3">
              <w:rPr>
                <w:sz w:val="20"/>
                <w:szCs w:val="20"/>
              </w:rPr>
              <w:t xml:space="preserve">Suction and discharge temperature deviation </w:t>
            </w:r>
            <w:r w:rsidRPr="00CC6CA3">
              <w:rPr>
                <w:sz w:val="20"/>
                <w:szCs w:val="20"/>
              </w:rPr>
              <w:fldChar w:fldCharType="begin"/>
            </w:r>
            <w:r w:rsidR="007D1BCC" w:rsidRPr="00CC6CA3">
              <w:rPr>
                <w:sz w:val="20"/>
                <w:szCs w:val="20"/>
              </w:rPr>
              <w:instrText xml:space="preserve"> ADDIN ZOTERO_ITEM CSL_CITATION {"citationID":"acp7suenrt","properties":{"formattedCitation":"[29]","plainCitation":"[29]","noteIndex":0},"citationItems":[{"id":"jMlmauCg/kxIdPHPw","uris":["http://zotero.org/users/3051968/items/AGT385UG"],"uri":["http://zotero.org/users/3051968/items/AGT385UG"],"itemData":{"id":775,"type":"thesis","title":"Gas path diagnostics for compressors","source":"Google Scholar","URL":"https://dspace.lib.cranfield.ac.uk/handle/1826/7889","author":[{"family":"Salamat","given":"Reza"}],"issued":{"date-parts":[["2012"]]},"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[29]</w:t>
            </w:r>
            <w:r w:rsidRPr="00CC6CA3">
              <w:rPr>
                <w:sz w:val="20"/>
                <w:szCs w:val="20"/>
              </w:rPr>
              <w:fldChar w:fldCharType="end"/>
            </w:r>
            <w:r w:rsidRPr="00CC6CA3">
              <w:rPr>
                <w:sz w:val="20"/>
                <w:szCs w:val="20"/>
              </w:rPr>
              <w:t>;</w:t>
            </w:r>
          </w:p>
          <w:p w14:paraId="59193893" w14:textId="6AACD65A" w:rsidR="00E2359E" w:rsidRPr="00CC6CA3" w:rsidRDefault="00E2359E" w:rsidP="00F632C0">
            <w:pPr>
              <w:spacing w:line="240" w:lineRule="auto"/>
              <w:rPr>
                <w:sz w:val="20"/>
                <w:szCs w:val="20"/>
              </w:rPr>
            </w:pPr>
            <w:r w:rsidRPr="00CC6CA3">
              <w:rPr>
                <w:sz w:val="20"/>
                <w:szCs w:val="20"/>
              </w:rPr>
              <w:t xml:space="preserve">Discharge pressure </w:t>
            </w:r>
            <w:r w:rsidRPr="00CC6CA3">
              <w:rPr>
                <w:sz w:val="20"/>
                <w:szCs w:val="20"/>
              </w:rPr>
              <w:fldChar w:fldCharType="begin"/>
            </w:r>
            <w:r w:rsidR="007D1BCC" w:rsidRPr="00CC6CA3">
              <w:rPr>
                <w:sz w:val="20"/>
                <w:szCs w:val="20"/>
              </w:rPr>
              <w:instrText xml:space="preserve"> ADDIN ZOTERO_ITEM CSL_CITATION {"citationID":"a20opc1t4hv","properties":{"formattedCitation":"[70]","plainCitation":"[70]","noteIndex":0},"citationItems":[{"id":"jMlmauCg/9zlP9HKj","uris":["http://zotero.org/users/3051968/items/I996NHAH"],"uri":["http://zotero.org/users/3051968/items/I996NHAH"],"itemData":{"id":768,"type":"thesis","title":"Analysis of gas turbine compressor fouling and washing on line","source":"Google Scholar","URL":"https://dspace.lib.cranfield.ac.uk/handle/1826/2448","author":[{"family":"Vigueras Zuniga","given":"Marco Osvaldo"}],"issued":{"date-parts":[["2007"]]},"accessed":{"date-parts":[["2017",4,8]]}}}],"schema":"https://github.com/citation-style-language/schema/raw/master/csl-citation.json"}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[70]</w:t>
            </w:r>
            <w:r w:rsidRPr="00CC6CA3">
              <w:rPr>
                <w:sz w:val="20"/>
                <w:szCs w:val="20"/>
              </w:rPr>
              <w:fldChar w:fldCharType="end"/>
            </w:r>
            <w:r w:rsidRPr="00CC6CA3">
              <w:rPr>
                <w:sz w:val="20"/>
                <w:szCs w:val="20"/>
              </w:rPr>
              <w:t>;</w:t>
            </w:r>
          </w:p>
          <w:p w14:paraId="379C4395" w14:textId="65B3D1FD" w:rsidR="00E2359E" w:rsidRPr="00CC6CA3" w:rsidRDefault="00E2359E" w:rsidP="00F632C0">
            <w:pPr>
              <w:spacing w:line="240" w:lineRule="auto"/>
              <w:rPr>
                <w:sz w:val="20"/>
                <w:szCs w:val="20"/>
              </w:rPr>
            </w:pPr>
            <w:r w:rsidRPr="00CC6CA3">
              <w:rPr>
                <w:sz w:val="20"/>
                <w:szCs w:val="20"/>
              </w:rPr>
              <w:t xml:space="preserve">Suction and discharge pressure deviation </w:t>
            </w:r>
            <w:r w:rsidRPr="00CC6CA3">
              <w:rPr>
                <w:sz w:val="20"/>
                <w:szCs w:val="20"/>
              </w:rPr>
              <w:fldChar w:fldCharType="begin"/>
            </w:r>
            <w:r w:rsidR="007D1BCC" w:rsidRPr="00CC6CA3">
              <w:rPr>
                <w:sz w:val="20"/>
                <w:szCs w:val="20"/>
              </w:rPr>
              <w:instrText xml:space="preserve"> ADDIN ZOTERO_ITEM CSL_CITATION {"citationID":"kDletPPM","properties":{"formattedCitation":"[29]","plainCitation":"[29]","noteIndex":0},"citationItems":[{"id":"jMlmauCg/kxIdPHPw","uris":["http://zotero.org/users/3051968/items/AGT385UG"],"uri":["http://zotero.org/users/3051968/items/AGT385UG"],"itemData":{"id":775,"type":"thesis","title":"Gas path diagnostics for compressors","source":"Google Scholar","URL":"https://dspace.lib.cranfield.ac.uk/handle/1826/7889","author":[{"family":"Salamat","given":"Reza"}],"issued":{"date-parts":[["2012"]]},"accessed":{"date-parts":[["2017",4,8]]}}}],"schema":"https://github.com/citation-style-language/schema/raw/master/csl-citation.json"} </w:instrText>
            </w:r>
            <w:r w:rsidRPr="00CC6CA3">
              <w:rPr>
                <w:sz w:val="20"/>
                <w:szCs w:val="20"/>
              </w:rPr>
              <w:fldChar w:fldCharType="separate"/>
            </w:r>
            <w:r w:rsidR="00854B0F" w:rsidRPr="00CC6CA3">
              <w:rPr>
                <w:rFonts w:cs="Times New Roman"/>
                <w:sz w:val="20"/>
              </w:rPr>
              <w:t>[29]</w:t>
            </w:r>
            <w:r w:rsidRPr="00CC6CA3">
              <w:rPr>
                <w:sz w:val="20"/>
                <w:szCs w:val="20"/>
              </w:rPr>
              <w:fldChar w:fldCharType="end"/>
            </w:r>
            <w:r w:rsidRPr="00CC6CA3">
              <w:rPr>
                <w:sz w:val="20"/>
                <w:szCs w:val="20"/>
              </w:rPr>
              <w:t>;</w:t>
            </w:r>
          </w:p>
          <w:p w14:paraId="00D97F5A" w14:textId="0B8F8890" w:rsidR="00E2359E" w:rsidRPr="00CC6CA3" w:rsidRDefault="00E2359E" w:rsidP="00F632C0">
            <w:pPr>
              <w:spacing w:line="240" w:lineRule="auto"/>
              <w:rPr>
                <w:sz w:val="20"/>
                <w:szCs w:val="20"/>
              </w:rPr>
            </w:pPr>
            <w:r w:rsidRPr="00CC6CA3">
              <w:rPr>
                <w:sz w:val="20"/>
                <w:szCs w:val="20"/>
              </w:rPr>
              <w:t xml:space="preserve">Pressure ratio </w:t>
            </w:r>
            <w:r w:rsidRPr="00CC6CA3">
              <w:rPr>
                <w:sz w:val="20"/>
                <w:szCs w:val="20"/>
              </w:rPr>
              <w:fldChar w:fldCharType="begin"/>
            </w:r>
            <w:r w:rsidR="007D1BCC" w:rsidRPr="00CC6CA3">
              <w:rPr>
                <w:sz w:val="20"/>
                <w:szCs w:val="20"/>
              </w:rPr>
              <w:instrText xml:space="preserve"> ADDIN ZOTERO_ITEM CSL_CITATION {"citationID":"a5sq68bp6c","properties":{"formattedCitation":"[71]","plainCitation":"[71]","noteIndex":0},"citationItems":[{"id":"jMlmauCg/uiNDs0Z8","uris":["http://zotero.org/users/3051968/items/PM7PNKTU"],"uri":["http://zotero.org/users/3051968/items/PM7PNKTU"],"itemData":{"id":772,"type":"article-journal","title":"The Fouling of Axial Flow Compressors: Causes, Effects, Susceptibility, and Sensitivity","page":"571-590","source":"Silverchair","abstract":"Increased fuel costs have created a strong incentive for gas turbine operators to understand, minimize and control performance deterioration. The most prevalent deterioration problem faced by gas turbine operators is compressor fouling. Fouling causes a drop in airflow, pressure ratio and compressor efficiency, resulting in a “re-matching” of the gas turbine and compressor and a drop in power output and thermal efficiency. This paper addresses the causes and effects of fouling and provides a comprehensive treatment of the impact of salient gas turbine design parameters on the susceptibility and sensitivity to compressor fouling. Simulation analysis of ninety two (92) gas turbines of ranging from a few kW to large engines rated at greater than 300 MW has been conducted. It is hoped that this paper will provide practical information to gas turbine operators.","DOI":"10.1115/GT2009-59239","shortTitle":"The Fouling of Axial Flow Compressors","author":[{"family":"Meher-Homji","given":"Cyrus B."},{"family":"Chaker","given":"Mustapha"},{"family":"Bromley","given":"Andrew F."}],"issued":{"date-parts":[["2009",1,1]]}}}],"schema":"https://github.com/citation-style-language/schema/raw/master/csl-citation.json"} </w:instrText>
            </w:r>
            <w:r w:rsidRPr="00CC6CA3">
              <w:rPr>
                <w:sz w:val="20"/>
                <w:szCs w:val="20"/>
              </w:rPr>
              <w:fldChar w:fldCharType="separate"/>
            </w:r>
            <w:r w:rsidR="00854B0F" w:rsidRPr="00CC6CA3">
              <w:rPr>
                <w:rFonts w:cs="Times New Roman"/>
                <w:sz w:val="20"/>
              </w:rPr>
              <w:t>[71]</w:t>
            </w:r>
            <w:r w:rsidRPr="00CC6CA3">
              <w:rPr>
                <w:sz w:val="20"/>
                <w:szCs w:val="20"/>
              </w:rPr>
              <w:fldChar w:fldCharType="end"/>
            </w:r>
            <w:r w:rsidRPr="00CC6CA3">
              <w:rPr>
                <w:sz w:val="20"/>
                <w:szCs w:val="20"/>
              </w:rPr>
              <w:t xml:space="preserve">; </w:t>
            </w:r>
          </w:p>
          <w:p w14:paraId="32F75977" w14:textId="0F096CDA" w:rsidR="00E2359E" w:rsidRPr="00CC6CA3" w:rsidRDefault="00E2359E" w:rsidP="00F632C0">
            <w:pPr>
              <w:spacing w:line="240" w:lineRule="auto"/>
              <w:rPr>
                <w:sz w:val="20"/>
                <w:szCs w:val="20"/>
              </w:rPr>
            </w:pPr>
            <w:r w:rsidRPr="00CC6CA3">
              <w:rPr>
                <w:sz w:val="20"/>
                <w:szCs w:val="20"/>
              </w:rPr>
              <w:t xml:space="preserve">Flow </w:t>
            </w:r>
            <w:r w:rsidRPr="00CC6CA3">
              <w:rPr>
                <w:sz w:val="20"/>
                <w:szCs w:val="20"/>
              </w:rPr>
              <w:fldChar w:fldCharType="begin"/>
            </w:r>
            <w:r w:rsidR="007D1BCC" w:rsidRPr="00CC6CA3">
              <w:rPr>
                <w:sz w:val="20"/>
                <w:szCs w:val="20"/>
              </w:rPr>
              <w:instrText xml:space="preserve"> ADDIN ZOTERO_ITEM CSL_CITATION {"citationID":"gVI67BPX","properties":{"formattedCitation":"[70], [71]","plainCitation":"[70], [71]","noteIndex":0},"citationItems":[{"id":"jMlmauCg/9zlP9HKj","uris":["http://zotero.org/users/3051968/items/I996NHAH"],"uri":["http://zotero.org/users/3051968/items/I996NHAH"],"itemData":{"id":768,"type":"thesis","title":"Analysis of gas turbine compressor fouling and washing on line","source":"Google Scholar","URL":"https://dspace.lib.cranfield.ac.uk/handle/1826/2448","author":[{"family":"Vigueras Zuniga","given":"Marco Osvaldo"}],"issued":{"date-parts":[["2007"]]},"accessed":{"date-parts":[["2017",4,8]]}}},{"id":"jMlmauCg/uiNDs0Z8","uris":["http://zotero.org/users/3051968/items/PM7PNKTU"],"uri":["http://zotero.org/users/3051968/items/PM7PNKTU"],"itemData":{"id":772,"type":"article-journal","title":"The Fouling of Axial Flow Compressors: Causes, Effects, Susceptibility, and Sensitivity","page":"571-590","source":"Silverchair","abstract":"Increased fuel costs have created a strong incentive for gas turbine operators to understand, minimize and control performance deterioration. The most prevalent deterioration problem faced by gas turbine operators is compressor fouling. Fouling causes a drop in airflow, pressure ratio and compressor efficiency, resulting in a “re-matching” of the gas turbine and compressor and a drop in power output and thermal efficiency. This paper addresses the causes and effects of fouling and provides a comprehensive treatment of the impact of salient gas turbine design parameters on the susceptibility and sensitivity to compressor fouling. Simulation analysis of ninety two (92) gas turbines of ranging from a few kW to large engines rated at greater than 300 MW has been conducted. It is hoped that this paper will provide practical information to gas turbine operators.","DOI":"10.1115/GT2009-59239","shortTitle":"The Fouling of Axial Flow Compressors","author":[{"family":"Meher-Homji","given":"Cyrus B."},{"family":"Chaker","given":"Mustapha"},{"family":"Bromley","given":"Andrew F."}],"issued":{"date-parts":[["2009",1,1]]}}}],"schema":"https://github.com/citation-style-language/schema/raw/master/csl-citation.json"} </w:instrText>
            </w:r>
            <w:r w:rsidRPr="00CC6CA3">
              <w:rPr>
                <w:sz w:val="20"/>
                <w:szCs w:val="20"/>
              </w:rPr>
              <w:fldChar w:fldCharType="separate"/>
            </w:r>
            <w:r w:rsidR="00854B0F" w:rsidRPr="00CC6CA3">
              <w:rPr>
                <w:rFonts w:cs="Times New Roman"/>
                <w:sz w:val="20"/>
              </w:rPr>
              <w:t>[70], [71]</w:t>
            </w:r>
            <w:r w:rsidRPr="00CC6CA3">
              <w:rPr>
                <w:sz w:val="20"/>
                <w:szCs w:val="20"/>
              </w:rPr>
              <w:fldChar w:fldCharType="end"/>
            </w:r>
            <w:r w:rsidRPr="00CC6CA3">
              <w:rPr>
                <w:sz w:val="20"/>
                <w:szCs w:val="20"/>
              </w:rPr>
              <w:t>;</w:t>
            </w:r>
          </w:p>
          <w:p w14:paraId="563005CB" w14:textId="092DE588" w:rsidR="00E2359E" w:rsidRPr="00CC6CA3" w:rsidRDefault="00E2359E" w:rsidP="00F632C0">
            <w:pPr>
              <w:spacing w:line="240" w:lineRule="auto"/>
              <w:rPr>
                <w:sz w:val="20"/>
                <w:szCs w:val="20"/>
              </w:rPr>
            </w:pPr>
            <w:r w:rsidRPr="00CC6CA3">
              <w:rPr>
                <w:sz w:val="20"/>
                <w:szCs w:val="20"/>
              </w:rPr>
              <w:t xml:space="preserve">Polytropic efficiency </w:t>
            </w:r>
            <w:r w:rsidRPr="00CC6CA3">
              <w:rPr>
                <w:sz w:val="20"/>
                <w:szCs w:val="20"/>
              </w:rPr>
              <w:fldChar w:fldCharType="begin"/>
            </w:r>
            <w:r w:rsidR="007D1BCC" w:rsidRPr="00CC6CA3">
              <w:rPr>
                <w:sz w:val="20"/>
                <w:szCs w:val="20"/>
              </w:rPr>
              <w:instrText xml:space="preserve"> ADDIN ZOTERO_ITEM CSL_CITATION {"citationID":"a1csm7rs65v","properties":{"formattedCitation":"[71]","plainCitation":"[71]","noteIndex":0},"citationItems":[{"id":"jMlmauCg/uiNDs0Z8","uris":["http://zotero.org/users/3051968/items/PM7PNKTU"],"uri":["http://zotero.org/users/3051968/items/PM7PNKTU"],"itemData":{"id":772,"type":"article-journal","title":"The Fouling of Axial Flow Compressors: Causes, Effects, Susceptibility, and Sensitivity","page":"571-590","source":"Silverchair","abstract":"Increased fuel costs have created a strong incentive for gas turbine operators to understand, minimize and control performance deterioration. The most prevalent deterioration problem faced by gas turbine operators is compressor fouling. Fouling causes a drop in airflow, pressure ratio and compressor efficiency, resulting in a “re-matching” of the gas turbine and compressor and a drop in power output and thermal efficiency. This paper addresses the causes and effects of fouling and provides a comprehensive treatment of the impact of salient gas turbine design parameters on the susceptibility and sensitivity to compressor fouling. Simulation analysis of ninety two (92) gas turbines of ranging from a few kW to large engines rated at greater than 300 MW has been conducted. It is hoped that this paper will provide practical information to gas turbine operators.","DOI":"10.1115/GT2009-59239","shortTitle":"The Fouling of Axial Flow Compressors","author":[{"family":"Meher-Homji","given":"Cyrus B."},{"family":"Chaker","given":"Mustapha"},{"family":"Bromley","given":"Andrew F."}],"issued":{"date-parts":[["2009",1,1]]}}}],"schema":"https://github.com/citation-style-language/schema/raw/master/csl-citation.json"} </w:instrText>
            </w:r>
            <w:r w:rsidRPr="00CC6CA3">
              <w:rPr>
                <w:sz w:val="20"/>
                <w:szCs w:val="20"/>
              </w:rPr>
              <w:fldChar w:fldCharType="separate"/>
            </w:r>
            <w:r w:rsidR="00854B0F" w:rsidRPr="00CC6CA3">
              <w:rPr>
                <w:rFonts w:cs="Times New Roman"/>
                <w:sz w:val="20"/>
              </w:rPr>
              <w:t>[71]</w:t>
            </w:r>
            <w:r w:rsidRPr="00CC6CA3">
              <w:rPr>
                <w:sz w:val="20"/>
                <w:szCs w:val="20"/>
              </w:rPr>
              <w:fldChar w:fldCharType="end"/>
            </w:r>
            <w:r w:rsidRPr="00CC6CA3">
              <w:rPr>
                <w:sz w:val="20"/>
                <w:szCs w:val="20"/>
              </w:rPr>
              <w:t xml:space="preserve">; </w:t>
            </w:r>
          </w:p>
          <w:p w14:paraId="0B5B20BE" w14:textId="4BCA1AFC" w:rsidR="00E2359E" w:rsidRPr="00CC6CA3" w:rsidRDefault="00E2359E" w:rsidP="00F632C0">
            <w:pPr>
              <w:spacing w:line="240" w:lineRule="auto"/>
              <w:rPr>
                <w:sz w:val="20"/>
                <w:szCs w:val="20"/>
              </w:rPr>
            </w:pPr>
            <w:r w:rsidRPr="00CC6CA3">
              <w:rPr>
                <w:sz w:val="20"/>
                <w:szCs w:val="20"/>
              </w:rPr>
              <w:t xml:space="preserve">Bearing temperature </w:t>
            </w:r>
            <w:r w:rsidRPr="00CC6CA3">
              <w:rPr>
                <w:sz w:val="20"/>
                <w:szCs w:val="20"/>
              </w:rPr>
              <w:fldChar w:fldCharType="begin"/>
            </w:r>
            <w:r w:rsidR="007D1BCC" w:rsidRPr="00CC6CA3">
              <w:rPr>
                <w:sz w:val="20"/>
                <w:szCs w:val="20"/>
              </w:rPr>
              <w:instrText xml:space="preserve"> ADDIN ZOTERO_ITEM CSL_CITATION {"citationID":"a2emk8k04k5","properties":{"formattedCitation":"[72]","plainCitation":"[72]","noteIndex":0},"citationItems":[{"id":"jMlmauCg/puoQtMCM","uris":["http://zotero.org/users/3051968/items/9DD9Q38J"],"uri":["http://zotero.org/users/3051968/items/9DD9Q38J"],"itemData":{"id":756,"type":"patent","title":"Framework and method for monitoring equipment","abstract":"A system comprising at least one piece of equipment; a state detector adapted to measure one or more operating parameters of the equipment; and a signature generator adapted to encode a plurality of data streams from the state detector into an operating signature for the equipment.","URL":"http://www.google.ch/patents/US20100257410","note":"U.S. Classification 714/45, 714/E11.189, 706/12; International Classification G06F11/34, G06F15/18; Cooperative Classification G05B23/0229, G06K7/10009; European Classification G05B23/02S4H2A","number":"US20100257410 A1","author":[{"family":"Cottrell","given":"Michael Edward"},{"family":"Innes","given":"Kenneth John"},{"family":"Kong","given":"James Po-Cheung"},{"family":"Lickteig","given":"Charles Anthony"},{"family":"Parchewsky","given":"Robert Frank"},{"family":"Schulthesis","given":"Steven Michael"},{"family":"Ying","given":"Daniel Dazhang"}],"issued":{"date-parts":[["2010",10,7]]},"accessed":{"date-parts":[["2017",4,8]]},"submitted":{"date-parts":[["2008",6,16]]}}}],"schema":"https://github.com/citation-style-language/schema/raw/master/csl-citation.json"} </w:instrText>
            </w:r>
            <w:r w:rsidRPr="00CC6CA3">
              <w:rPr>
                <w:sz w:val="20"/>
                <w:szCs w:val="20"/>
              </w:rPr>
              <w:fldChar w:fldCharType="separate"/>
            </w:r>
            <w:r w:rsidR="00854B0F" w:rsidRPr="00CC6CA3">
              <w:rPr>
                <w:rFonts w:cs="Times New Roman"/>
                <w:sz w:val="20"/>
              </w:rPr>
              <w:t>[72]</w:t>
            </w:r>
            <w:r w:rsidRPr="00CC6CA3">
              <w:rPr>
                <w:sz w:val="20"/>
                <w:szCs w:val="20"/>
              </w:rPr>
              <w:fldChar w:fldCharType="end"/>
            </w:r>
            <w:r w:rsidRPr="00CC6CA3">
              <w:rPr>
                <w:sz w:val="20"/>
                <w:szCs w:val="20"/>
              </w:rPr>
              <w:t xml:space="preserve">; </w:t>
            </w:r>
          </w:p>
          <w:p w14:paraId="4203C8AE" w14:textId="2E597577" w:rsidR="00E2359E" w:rsidRPr="00CC6CA3" w:rsidRDefault="00E2359E" w:rsidP="00F632C0">
            <w:pPr>
              <w:spacing w:line="240" w:lineRule="auto"/>
              <w:rPr>
                <w:sz w:val="20"/>
                <w:szCs w:val="20"/>
              </w:rPr>
            </w:pPr>
            <w:r w:rsidRPr="00CC6CA3">
              <w:rPr>
                <w:sz w:val="20"/>
                <w:szCs w:val="20"/>
              </w:rPr>
              <w:t xml:space="preserve">Intercooler pressure </w:t>
            </w:r>
            <w:r w:rsidRPr="00CC6CA3">
              <w:rPr>
                <w:sz w:val="20"/>
                <w:szCs w:val="20"/>
              </w:rPr>
              <w:fldChar w:fldCharType="begin"/>
            </w:r>
            <w:r w:rsidR="007D1BCC" w:rsidRPr="00CC6CA3">
              <w:rPr>
                <w:sz w:val="20"/>
                <w:szCs w:val="20"/>
              </w:rPr>
              <w:instrText xml:space="preserve"> ADDIN ZOTERO_ITEM CSL_CITATION {"citationID":"GYLaC0cH","properties":{"formattedCitation":"[28]","plainCitation":"[28]","noteIndex":0},"citationItems":[{"id":"jMlmauCg/0g6PFSiV","uris":["http://zotero.org/users/3051968/items/HPX857VW"],"uri":["http://zotero.org/users/3051968/items/HPX857VW"],"itemData":{"id":817,"type":"book","title":"The compressor maintenance manuals","publisher":"Chemical Industry Press","publisher-place":"Beijing","event-place":"Beijing","ISBN":"978-7-122-07672-4","language":"Chinese","author":[{"family":"Zhou","given":"Guoliang"}],"issued":{"date-parts":[["2010"]]}}}],"schema":"https://github.com/citation-style-language/schema/raw/master/csl-citation.json"} </w:instrText>
            </w:r>
            <w:r w:rsidRPr="00CC6CA3">
              <w:rPr>
                <w:sz w:val="20"/>
                <w:szCs w:val="20"/>
              </w:rPr>
              <w:fldChar w:fldCharType="separate"/>
            </w:r>
            <w:r w:rsidR="00854B0F" w:rsidRPr="00CC6CA3">
              <w:rPr>
                <w:rFonts w:cs="Times New Roman"/>
                <w:sz w:val="20"/>
              </w:rPr>
              <w:t>[28]</w:t>
            </w:r>
            <w:r w:rsidRPr="00CC6CA3">
              <w:rPr>
                <w:sz w:val="20"/>
                <w:szCs w:val="20"/>
              </w:rPr>
              <w:fldChar w:fldCharType="end"/>
            </w:r>
            <w:r w:rsidRPr="00CC6CA3">
              <w:rPr>
                <w:sz w:val="20"/>
                <w:szCs w:val="20"/>
              </w:rPr>
              <w:t>;</w:t>
            </w:r>
          </w:p>
          <w:p w14:paraId="263682C5" w14:textId="049B7DA8" w:rsidR="00E2359E" w:rsidRPr="00CC6CA3" w:rsidRDefault="00E2359E" w:rsidP="00F632C0">
            <w:pPr>
              <w:spacing w:line="240" w:lineRule="auto"/>
              <w:rPr>
                <w:sz w:val="20"/>
                <w:szCs w:val="20"/>
              </w:rPr>
            </w:pPr>
            <w:r w:rsidRPr="00CC6CA3">
              <w:rPr>
                <w:sz w:val="20"/>
                <w:szCs w:val="20"/>
              </w:rPr>
              <w:t xml:space="preserve">Shaft speed </w:t>
            </w:r>
            <w:r w:rsidRPr="00CC6CA3">
              <w:rPr>
                <w:sz w:val="20"/>
                <w:szCs w:val="20"/>
              </w:rPr>
              <w:fldChar w:fldCharType="begin"/>
            </w:r>
            <w:r w:rsidR="007D1BCC" w:rsidRPr="00CC6CA3">
              <w:rPr>
                <w:sz w:val="20"/>
                <w:szCs w:val="20"/>
              </w:rPr>
              <w:instrText xml:space="preserve"> ADDIN ZOTERO_ITEM CSL_CITATION {"citationID":"atj0lvfqak","properties":{"formattedCitation":"[69]","plainCitation":"[69]","noteIndex":0},"citationItems":[{"id":"jMlmauCg/DPibPUvg","uris":["http://zotero.org/users/3051968/items/HQZDIURB"],"uri":["http://zotero.org/users/3051968/items/HQZDIURB"],"itemData":{"id":769,"type":"article-journal","title":"Detection of Axial Compressor Fouling in High Ambient Temperature Conditions","page":"V003T07A006","source":"Silverchair","abstract":"This paper discusses gas turbine engine health monitoring with a fleet of 3 MW units operating at ambient temperatures up to 45 °C. The engines operate continuously near the topping temperature and cannot tolerate a significant performance loss due to compressor fouling. Various parameters indicating engine health condition were investigated and the single best parameter was found to be compressor delivery pressure. A simple predictive monitoring scheme was developed for assessing the degree of compressor fouling to help in optimizing the time between compressor washes.","DOI":"10.1115/91-GT-067","author":[{"family":"Haq","given":"Inamul"},{"family":"Saravanamuttoo","given":"H. I. H."}],"issued":{"date-parts":[["1991",6,3]]}}}],"schema":"https://github.com/citation-style-language/schema/raw/master/csl-citation.json"} </w:instrText>
            </w:r>
            <w:r w:rsidRPr="00CC6CA3">
              <w:rPr>
                <w:sz w:val="20"/>
                <w:szCs w:val="20"/>
              </w:rPr>
              <w:fldChar w:fldCharType="separate"/>
            </w:r>
            <w:r w:rsidR="00854B0F" w:rsidRPr="00CC6CA3">
              <w:rPr>
                <w:rFonts w:cs="Times New Roman"/>
                <w:sz w:val="20"/>
              </w:rPr>
              <w:t>[69]</w:t>
            </w:r>
            <w:r w:rsidRPr="00CC6CA3">
              <w:rPr>
                <w:sz w:val="20"/>
                <w:szCs w:val="20"/>
              </w:rPr>
              <w:fldChar w:fldCharType="end"/>
            </w:r>
            <w:r w:rsidRPr="00CC6CA3">
              <w:rPr>
                <w:sz w:val="20"/>
                <w:szCs w:val="20"/>
              </w:rPr>
              <w:t xml:space="preserve">. </w:t>
            </w:r>
          </w:p>
          <w:p w14:paraId="144384F4" w14:textId="3CABF7EE" w:rsidR="00E2359E" w:rsidRPr="00CC6CA3" w:rsidRDefault="00E2359E" w:rsidP="00F632C0">
            <w:pPr>
              <w:spacing w:line="240" w:lineRule="auto"/>
              <w:rPr>
                <w:sz w:val="20"/>
                <w:szCs w:val="20"/>
              </w:rPr>
            </w:pPr>
            <w:r w:rsidRPr="00CC6CA3">
              <w:rPr>
                <w:sz w:val="20"/>
                <w:szCs w:val="20"/>
              </w:rPr>
              <w:t>Intermittent vibration or irregular vibration with high amplitude</w:t>
            </w:r>
            <w:r w:rsidRPr="00CC6CA3">
              <w:rPr>
                <w:sz w:val="20"/>
                <w:szCs w:val="20"/>
              </w:rPr>
              <w:fldChar w:fldCharType="begin"/>
            </w:r>
            <w:r w:rsidR="007D1BCC" w:rsidRPr="00CC6CA3">
              <w:rPr>
                <w:sz w:val="20"/>
                <w:szCs w:val="20"/>
              </w:rPr>
              <w:instrText xml:space="preserve"> ADDIN ZOTERO_ITEM CSL_CITATION {"citationID":"dKNA3xio","properties":{"formattedCitation":"[73], [74]","plainCitation":"[73], [74]","noteIndex":0},"citationItems":[{"id":34,"uris":["http://zotero.org/users/3051968/items/7JMD9UJC"],"uri":["http://zotero.org/users/3051968/items/7JMD9UJC"],"itemData":{"id":34,"type":"paper-conference","container-title":"ASME 1995 International Gas Turbine and Aeroengine Congress and Exposition","page":"V004T11A015–V004T11A015","publisher":"American Society of Mechanical Engineers","source":"Google Scholar","title":"Blading vibration and failures in gas turbines: part B—compressor and turbine airfoil distress","title-short":"Blading vibration and failures in gas turbines","URL":"http://proceedings.asmedigitalcollection.asme.org/proceeding.aspx?articleid=2130420","author":[{"family":"Meher-Homji","given":"Cyrus B."}],"accessed":{"date-parts":[["2017",4,8]]},"issued":{"date-parts":[["1995"]]}}},{"id":"jMlmauCg/ihHOlxtr","uris":["http://zotero.org/users/3051968/items/R497HBNK"],"uri":["http://zotero.org/users/3051968/items/R497HBNK"],"itemData":{"id":753,"type":"patent","title":"Process and apparatus for mitigating compressor fouling in a compressor system","abstract":"The invention is to a process for removing contaminants from a compressor and/or compressor intercooler in a methanol to olefin separation system. The process comprises compressing an effluent in a compressor having an inlet and an outlet and a compressor surface, the compressing occurring under conditions effective to form a contaminant on the compressor surface. A contaminant-removal medium is injected into the compressor or intercooler and the contaminant-removal medium contacts the contaminant under conditions effective to remove the contaminant from the compressor or intercooler inner surface thereby forming a mobile contaminant. The mobile contaminant is then removed from the compressor or intercooler.","URL":"http://www.google.ch/patents/US20040079392","note":"U.S. Classification 134/22.19, 134/22.18, 417/201, 134/22.1; International Classification C07C1/20; Cooperative Classification Y02P30/48, Y02P30/42, C07C1/20, C07C2529/85, C07C7/00; European Classification C07C1/20","number":"US20040079392 A1","author":[{"family":"Kuechler","given":"Keith"},{"family":"Lumgair","given":"David"},{"family":"Coute","given":"Nicolas"},{"family":"Chisholm","given":"Paul"},{"family":"Egmond","given":"Cor Van"}],"issued":{"date-parts":[["2004",4,29]]},"accessed":{"date-parts":[["2017",4,8]]},"submitted":{"date-parts":[["2002",10,28]]}}}],"schema":"https://github.com/citation-style-language/schema/raw/master/csl-citation.json"} </w:instrText>
            </w:r>
            <w:r w:rsidRPr="00CC6CA3">
              <w:rPr>
                <w:sz w:val="20"/>
                <w:szCs w:val="20"/>
              </w:rPr>
              <w:fldChar w:fldCharType="separate"/>
            </w:r>
            <w:r w:rsidR="00854B0F" w:rsidRPr="00CC6CA3">
              <w:rPr>
                <w:rFonts w:cs="Times New Roman"/>
                <w:sz w:val="20"/>
              </w:rPr>
              <w:t>[73], [74]</w:t>
            </w:r>
            <w:r w:rsidRPr="00CC6CA3">
              <w:rPr>
                <w:sz w:val="20"/>
                <w:szCs w:val="20"/>
              </w:rPr>
              <w:fldChar w:fldCharType="end"/>
            </w:r>
            <w:r w:rsidRPr="00CC6CA3">
              <w:rPr>
                <w:sz w:val="20"/>
                <w:szCs w:val="20"/>
              </w:rPr>
              <w:t xml:space="preserve">; </w:t>
            </w:r>
          </w:p>
          <w:p w14:paraId="7D503FC1" w14:textId="7596E4D7" w:rsidR="00E2359E" w:rsidRPr="00CC6CA3" w:rsidRDefault="00E2359E" w:rsidP="00F632C0">
            <w:pPr>
              <w:spacing w:line="240" w:lineRule="auto"/>
              <w:rPr>
                <w:sz w:val="20"/>
                <w:szCs w:val="20"/>
              </w:rPr>
            </w:pPr>
            <w:r w:rsidRPr="00CC6CA3">
              <w:rPr>
                <w:sz w:val="20"/>
                <w:szCs w:val="20"/>
              </w:rPr>
              <w:t xml:space="preserve">Radial vibration amplitude increased gradually </w:t>
            </w:r>
            <w:r w:rsidRPr="00CC6CA3">
              <w:rPr>
                <w:sz w:val="20"/>
                <w:szCs w:val="20"/>
              </w:rPr>
              <w:fldChar w:fldCharType="begin"/>
            </w:r>
            <w:r w:rsidR="007D1BCC" w:rsidRPr="00CC6CA3">
              <w:rPr>
                <w:sz w:val="20"/>
                <w:szCs w:val="20"/>
              </w:rPr>
              <w:instrText xml:space="preserve"> ADDIN ZOTERO_ITEM CSL_CITATION {"citationID":"aBOVuynX","properties":{"formattedCitation":"[72]","plainCitation":"[72]","noteIndex":0},"citationItems":[{"id":"jMlmauCg/puoQtMCM","uris":["http://zotero.org/users/3051968/items/9DD9Q38J"],"uri":["http://zotero.org/users/3051968/items/9DD9Q38J"],"itemData":{"id":756,"type":"patent","title":"Framework and method for monitoring equipment","abstract":"A system comprising at least one piece of equipment; a state detector adapted to measure one or more operating parameters of the equipment; and a signature generator adapted to encode a plurality of data streams from the state detector into an operating signature for the equipment.","URL":"http://www.google.ch/patents/US20100257410","note":"U.S. Classification 714/45, 714/E11.189, 706/12; International Classification G06F11/34, G06F15/18; Cooperative Classification G05B23/0229, G06K7/10009; European Classification G05B23/02S4H2A","number":"US20100257410 A1","author":[{"family":"Cottrell","given":"Michael Edward"},{"family":"Innes","given":"Kenneth John"},{"family":"Kong","given":"James Po-Cheung"},{"family":"Lickteig","given":"Charles Anthony"},{"family":"Parchewsky","given":"Robert Frank"},{"family":"Schulthesis","given":"Steven Michael"},{"family":"Ying","given":"Daniel Dazhang"}],"issued":{"date-parts":[["2010",10,7]]},"accessed":{"date-parts":[["2017",4,8]]},"submitted":{"date-parts":[["2008",6,16]]}}}],"schema":"https://github.com/citation-style-language/schema/raw/master/csl-citation.json"} </w:instrText>
            </w:r>
            <w:r w:rsidRPr="00CC6CA3">
              <w:rPr>
                <w:sz w:val="20"/>
                <w:szCs w:val="20"/>
              </w:rPr>
              <w:fldChar w:fldCharType="separate"/>
            </w:r>
            <w:r w:rsidR="00854B0F" w:rsidRPr="00CC6CA3">
              <w:rPr>
                <w:rFonts w:cs="Times New Roman"/>
                <w:sz w:val="20"/>
              </w:rPr>
              <w:t>[72]</w:t>
            </w:r>
            <w:r w:rsidRPr="00CC6CA3">
              <w:rPr>
                <w:sz w:val="20"/>
                <w:szCs w:val="20"/>
              </w:rPr>
              <w:fldChar w:fldCharType="end"/>
            </w:r>
            <w:r w:rsidRPr="00CC6CA3">
              <w:rPr>
                <w:sz w:val="20"/>
                <w:szCs w:val="20"/>
              </w:rPr>
              <w:t xml:space="preserve">; </w:t>
            </w:r>
          </w:p>
        </w:tc>
      </w:tr>
    </w:tbl>
    <w:p w14:paraId="57AEF346" w14:textId="77777777" w:rsidR="00E2359E" w:rsidRPr="00CC6CA3" w:rsidRDefault="00E2359E" w:rsidP="00E2359E">
      <w:pPr>
        <w:pStyle w:val="Body"/>
        <w:rPr>
          <w:rFonts w:cs="Times New Roman"/>
        </w:rPr>
      </w:pPr>
    </w:p>
    <w:p w14:paraId="6DB7B8DE" w14:textId="77777777" w:rsidR="00E2359E" w:rsidRPr="00CC6CA3" w:rsidRDefault="00E2359E" w:rsidP="00E2359E">
      <w:pPr>
        <w:pStyle w:val="Heading5"/>
      </w:pPr>
      <w:r w:rsidRPr="00CC6CA3">
        <w:lastRenderedPageBreak/>
        <w:t xml:space="preserve">Hotelling </w:t>
      </w:r>
      <m:oMath>
        <m:sSup>
          <m:sSupPr>
            <m:ctrlPr>
              <w:rPr>
                <w:rFonts w:ascii="Cambria Math" w:hAnsi="Cambria Math"/>
              </w:rPr>
            </m:ctrlPr>
          </m:sSupPr>
          <m:e>
            <m:r>
              <w:rPr>
                <w:rFonts w:ascii="Cambria Math" w:hAnsi="Cambria Math"/>
              </w:rPr>
              <m:t>T</m:t>
            </m:r>
          </m:e>
          <m:sup>
            <m:r>
              <w:rPr>
                <w:rFonts w:ascii="Cambria Math" w:hAnsi="Cambria Math"/>
              </w:rPr>
              <m:t>2</m:t>
            </m:r>
          </m:sup>
        </m:sSup>
      </m:oMath>
    </w:p>
    <w:p w14:paraId="7033DCDB" w14:textId="7FA60DBE" w:rsidR="007B08A8" w:rsidRPr="00CC6CA3" w:rsidRDefault="00E2359E" w:rsidP="00E2359E">
      <w:r w:rsidRPr="00CC6CA3">
        <w:t xml:space="preserve">Hotelling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CC6CA3">
        <w:t xml:space="preserve"> is one of the most widely used</w:t>
      </w:r>
      <w:r w:rsidR="00224EF4" w:rsidRPr="00CC6CA3">
        <w:t xml:space="preserve"> statistical</w:t>
      </w:r>
      <w:r w:rsidRPr="00CC6CA3">
        <w:t xml:space="preserve"> indicators for condition monitoring data </w:t>
      </w:r>
      <w:r w:rsidRPr="00CC6CA3">
        <w:fldChar w:fldCharType="begin" w:fldLock="1"/>
      </w:r>
      <w:r w:rsidR="007D1BCC" w:rsidRPr="00CC6CA3">
        <w:instrText xml:space="preserve"> ADDIN ZOTERO_ITEM CSL_CITATION {"citationID":"tNVZCkG1","properties":{"formattedCitation":"[75]\\uc0\\u8211{}[80]","plainCitation":"[75]–[80]","noteIndex":0},"citationItems":[{"id":"jMlmauCg/IgiHCFVZ","uris":["http://www.mendeley.com/documents/?uuid=ca6e9400-1085-41dc-b87e-d872d6ac14a9"],"uri":["http://www.mendeley.com/documents/?uuid=ca6e9400-1085-41dc-b87e-d872d6ac14a9"],"itemData":{"DOI":"10.1016/0169-7439(95)80036-9","ISBN":"0169-7439","ISSN":"01697439","PMID":"25219","abstract":"Multivariate statistical methods for the analysis, monitoring and diagnosis of process operating performance are becoming more important because of the availability of on-line process computers which routinely collect measurements on large numbers of process variables. Traditional univariate control charts have been extended to multivariate quality control situations using the Hotelling T2 statistic. Recent approaches to multivariate statistical process control which utilize not only product quality data (Y), but also all of the available process variable data (X) are based on multivariate statistical projection methods (principal component analysis, (PCA), partial least squares, (PLS), multi-block PLS and multi-way PCA). An overview of these methods and their use in the statistical process control of multivariate continuous and batch processes is presented. Applications are provided on the analysis of historical data from the catalytic cracking section of a large petroleum refinery, on the monitoring and diagnosis of a continuous polymerization process and on the monitoring of an industrial batch process.","author":[{"dropping-particle":"","family":"Kourti","given":"Theodora","non-dropping-particle":"","parse-names":false,"suffix":""},{"dropping-particle":"","family":"MacGregor","given":"Jf F John F.","non-dropping-particle":"","parse-names":false,"suffix":""}],"container-title":"Chemometrics and intelligent laboratory systems","id":"ITEM-1","issued":{"date-parts":[["1995"]]},"page":"3-21","title":"Process analysis, monitoring and diagnosis, using multivariate projection methods","type":"article-journal","volume":"28"}},{"id":"jMlmauCg/ZxA2eIIp","uris":["http://www.mendeley.com/documents/?uuid=d97d942f-8893-4ea5-9dd8-1c062f7c6458"],"uri":["http://www.mendeley.com/documents/?uuid=d97d942f-8893-4ea5-9dd8-1c062f7c6458"],"itemData":{"DOI":"10.1002/acs.859","ISBN":"0890-6327","ISSN":"08906327","abstract":"Multivariate monitoring and control schemes based on latent variable methods have been receiving increasing attention by industrial practitioners in the last 15 years. Several companies have enthusiastically adopted the methods and have reported many success stories. Applications have been reported where multivariate statistical process control, fault detection and diagnosis is achieved by utilizing the latent variable space, for continuous and batch processes, as well as, for process transitions as for example start ups and re-starts. This paper gives an overview of the latest developments in multivariate statistical process control (MSPC) and its application for fault detection and isolation (FDI) in industrial processes. It provides a critical review of the methodology and describes how it is transferred to the industrial environment. Recent applications of latent variable methods to process control as well as to image analysis for monitoring and feedback control are discussed. Finally it is emphasized that the multivariate nature of the data should be preserved when data compression and data preprocessing is applied. It is shown that univariate data compression and reconstruction may hinder the validity of multivariate analysis by introducing spurious correlations.","author":[{"dropping-particle":"","family":"Kourti","given":"Theodora","non-dropping-particle":"","parse-names":false,"suffix":""}],"container-title":"International Journal of Adaptive Control and Signal Processing","id":"ITEM-2","issue":"4","issued":{"date-parts":[["2005"]]},"page":"213-246","title":"Application of latent variable methods to process control and multivariate statistical process control in industry","type":"article-journal","volume":"19"}},{"id":"jMlmauCg/nETTySkF","uris":["http://www.mendeley.com/documents/?uuid=1365040b-589c-4241-8c08-d1df66772b17"],"uri":["http://www.mendeley.com/documents/?uuid=1365040b-589c-4241-8c08-d1df66772b17"],"itemData":{"author":[{"dropping-particle":"","family":"Ketelaere","given":"Bart D E","non-dropping-particle":"","parse-names":false,"suffix":""},{"dropping-particle":"","family":"Hubert","given":"M I A","non-dropping-particle":"","parse-names":false,"suffix":""},{"dropping-particle":"","family":"Schmitt","given":"Eric","non-dropping-particle":"","parse-names":false,"suffix":""}],"container-title":"Journal of Quality Technology","id":"ITEM-3","issue":"4","issued":{"date-parts":[["2015"]]},"page":"318-335","title":"Overview of PCA-Based Statistical Process-Monitoring Methods for Time-Dependent , High-Dimensional Data","type":"article-journal","volume":"47"}},{"id":"jMlmauCg/mCCrBgBB","uris":["http://www.mendeley.com/documents/?uuid=42f1e7f9-d46c-4fff-9021-64403446df98"],"uri":["http://www.mendeley.com/documents/?uuid=42f1e7f9-d46c-4fff-9021-64403446df98"],"itemData":{"DOI":"10.1016/j.arcontrol.2012.09.004","ISBN":"1367-5788","ISSN":"13675788","abstract":"This paper provides a state-of-the-art review of the methods and applications of data-driven fault detection and diagnosis that have been developed over the last two decades. The scope of the problem is described with reference to the scale and complexity of industrial process operations, where multi-level hierarchical optimization and control are necessary for efficient operation, but are also prone to hard failure and soft operational faults that lead to economic losses. Commonly used multivariate statistical tools are introduced to characterize normal variations and detect abnormal changes. Further, diagnosis methods are surveyed and analyzed, with fault detectability and fault identifiability for rigorous analysis. Challenges, opportunities, and extensions are summarized with the intent to draw attention from the systems and control community and the process control community. ?? 2012 Elsevier Ltd. All rights reserved.","author":[{"dropping-particle":"","family":"Qin","given":"S. Joe","non-dropping-particle":"","parse-names":false,"suffix":""}],"container-title":"Annual Reviews in Control","id":"ITEM-4","issue":"2","issued":{"date-parts":[["2012"]]},"page":"220-234","publisher":"Elsevier Ltd","title":"Survey on data-driven industrial process monitoring and diagnosis","type":"article-journal","volume":"36"}},{"id":"jMlmauCg/peLFblNK","uris":["http://www.mendeley.com/documents/?uuid=0440bb65-4592-4114-9c72-d1abcb52afa1"],"uri":["http://www.mendeley.com/documents/?uuid=0440bb65-4592-4114-9c72-d1abcb52afa1"],"itemData":{"DOI":"10.1002/9780470517253","ISBN":"9780470517253","author":[{"dropping-particle":"","family":"Kruger","given":"Uwe","non-dropping-particle":"","parse-names":false,"suffix":""},{"dropping-particle":"","family":"Xie","given":"Lei","non-dropping-particle":"","parse-names":false,"suffix":""}],"id":"ITEM-5","issued":{"date-parts":[["2012","9","21"]]},"publisher":"John Wiley &amp; Sons, Ltd","publisher-place":"Chichester, UK","title":"Statistical Monitoring of Complex Multivariate Processes","type":"book"}},{"id":"jMlmauCg/yLYczdAp","uris":["http://www.mendeley.com/documents/?uuid=819905af-7f6e-4e84-8096-c2a73217fa5c"],"uri":["http://www.mendeley.com/documents/?uuid=819905af-7f6e-4e84-8096-c2a73217fa5c"],"itemData":{"DOI":"10.1080/00401706.1995.10485888","ISSN":"0040-1706","abstract":"The problem of using time-varying trajectory data measured on many process variables over the finite duration of a batch process is considered. Multiway principal-component analysis is used to compress the information contained in the data trajectories into low-dimensional spaces that describe the operation of past batches. This approach facilitates the analysis of operational and quality-control problems in past batches and allows for the development of multivariate statistical process control charts for on-line monitoring of the progress of new batches. Control limits for the proposed charts are developed using information from the historical reference distribution of past successful batches. The method is applied to data collected from an industrial batch polymerization reactor.","author":[{"dropping-particle":"","family":"Nomikos","given":"Paul","non-dropping-particle":"","parse-names":false,"suffix":""},{"dropping-particle":"","family":"MacGregor","given":"John F.","non-dropping-particle":"","parse-names":false,"suffix":""}],"container-title":"Technometrics","id":"ITEM-6","issue":"1","issued":{"date-parts":[["1995","2"]]},"page":"41-59","title":"Multivariate SPC Charts for Monitoring Batch Processes","type":"article-journal","volume":"37"}}],"schema":"https://github.com/citation-style-language/schema/raw/master/csl-citation.json"} </w:instrText>
      </w:r>
      <w:r w:rsidRPr="00CC6CA3">
        <w:fldChar w:fldCharType="separate"/>
      </w:r>
      <w:r w:rsidR="00854B0F" w:rsidRPr="00CC6CA3">
        <w:rPr>
          <w:rFonts w:cs="Times New Roman"/>
          <w:szCs w:val="24"/>
        </w:rPr>
        <w:t>[75]–[80]</w:t>
      </w:r>
      <w:r w:rsidRPr="00CC6CA3">
        <w:fldChar w:fldCharType="end"/>
      </w:r>
      <w:r w:rsidRPr="00CC6CA3">
        <w:t xml:space="preserve">. </w:t>
      </w:r>
      <w:r w:rsidR="00E81CC0" w:rsidRPr="00CC6CA3">
        <w:t>The equation</w:t>
      </w:r>
      <w:r w:rsidR="00D757CC" w:rsidRPr="00CC6CA3">
        <w:t>s</w:t>
      </w:r>
      <w:r w:rsidR="00E81CC0" w:rsidRPr="00CC6CA3">
        <w:t xml:space="preserve"> </w:t>
      </w:r>
      <w:r w:rsidR="007D1BCC" w:rsidRPr="00CC6CA3">
        <w:fldChar w:fldCharType="begin"/>
      </w:r>
      <w:r w:rsidR="007D1BCC" w:rsidRPr="00CC6CA3">
        <w:instrText xml:space="preserve"> ADDIN ZOTERO_ITEM CSL_CITATION {"citationID":"5Ihs7IMO","properties":{"formattedCitation":"[81]","plainCitation":"[81]","noteIndex":0},"citationItems":[{"id":1191,"uris":["http://zotero.org/users/3051968/items/HB2WEN39"],"uri":["http://zotero.org/users/3051968/items/HB2WEN39"],"itemData":{"id":1191,"type":"article-journal","container-title":"Computers &amp; Chemical Engineering","DOI":"10.1016/j.compchemeng.2020.106807","ISSN":"00981354","journalAbbreviation":"Computers &amp; Chemical Engineering","language":"en","page":"106807","source":"DOI.org (Crossref)","title":"Multiple Hotelling’s T2 tests for distributed fault detection of large-scale systems","volume":"136","author":[{"family":"Khatib","given":"Shaaz"},{"family":"Daoutidis","given":"Prodromos"}],"issued":{"date-parts":[["2020",5]]}}}],"schema":"https://github.com/citation-style-language/schema/raw/master/csl-citation.json"} </w:instrText>
      </w:r>
      <w:r w:rsidR="007D1BCC" w:rsidRPr="00CC6CA3">
        <w:fldChar w:fldCharType="separate"/>
      </w:r>
      <w:r w:rsidR="007D1BCC" w:rsidRPr="00CC6CA3">
        <w:rPr>
          <w:rFonts w:cs="Times New Roman"/>
        </w:rPr>
        <w:t>[81]</w:t>
      </w:r>
      <w:r w:rsidR="007D1BCC" w:rsidRPr="00CC6CA3">
        <w:fldChar w:fldCharType="end"/>
      </w:r>
      <w:r w:rsidR="00A428A5" w:rsidRPr="00CC6CA3">
        <w:t xml:space="preserve"> </w:t>
      </w:r>
      <w:r w:rsidR="00E81CC0" w:rsidRPr="00CC6CA3">
        <w:t xml:space="preserve">of the Hotelling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00E81CC0" w:rsidRPr="00CC6CA3">
        <w:t xml:space="preserve"> </w:t>
      </w:r>
      <w:r w:rsidR="00D757CC" w:rsidRPr="00CC6CA3">
        <w:t>are</w:t>
      </w:r>
      <w:r w:rsidR="00E81CC0" w:rsidRPr="00CC6CA3">
        <w:t xml:space="preserve"> described as follows:</w:t>
      </w:r>
    </w:p>
    <w:p w14:paraId="1320C40E" w14:textId="4FD926AD" w:rsidR="0093317E" w:rsidRPr="00CC6CA3" w:rsidRDefault="004A62A4" w:rsidP="00E2359E">
      <w:r w:rsidRPr="00CC6CA3">
        <w:t xml:space="preserve">Assume that a system was </w:t>
      </w:r>
      <w:r w:rsidR="00667171" w:rsidRPr="00CC6CA3">
        <w:t xml:space="preserve">equipped </w:t>
      </w:r>
      <w:r w:rsidRPr="00CC6CA3">
        <w:t xml:space="preserve">with </w:t>
      </w:r>
      <m:oMath>
        <m:r>
          <w:rPr>
            <w:rFonts w:ascii="Cambria Math" w:hAnsi="Cambria Math"/>
          </w:rPr>
          <m:t>m</m:t>
        </m:r>
      </m:oMath>
      <w:r w:rsidRPr="00CC6CA3">
        <w:t xml:space="preserve"> sensors that are indexed from 1 to </w:t>
      </w:r>
      <m:oMath>
        <m:r>
          <w:rPr>
            <w:rFonts w:ascii="Cambria Math" w:hAnsi="Cambria Math"/>
          </w:rPr>
          <m:t>m</m:t>
        </m:r>
      </m:oMath>
      <w:r w:rsidRPr="00CC6CA3">
        <w:t xml:space="preserve">. If </w:t>
      </w:r>
      <m:oMath>
        <m:sSub>
          <m:sSubPr>
            <m:ctrlPr>
              <w:rPr>
                <w:rFonts w:ascii="Cambria Math" w:hAnsi="Cambria Math" w:cs="Times New Roman"/>
                <w:i/>
                <w:szCs w:val="24"/>
              </w:rPr>
            </m:ctrlPr>
          </m:sSubPr>
          <m:e>
            <m:r>
              <w:rPr>
                <w:rFonts w:ascii="Cambria Math" w:hAnsi="Cambria Math"/>
              </w:rPr>
              <m:t>y</m:t>
            </m:r>
          </m:e>
          <m:sub>
            <m:r>
              <w:rPr>
                <w:rFonts w:ascii="Cambria Math" w:hAnsi="Cambria Math"/>
              </w:rPr>
              <m:t>i</m:t>
            </m:r>
          </m:sub>
        </m:sSub>
      </m:oMath>
      <w:r w:rsidRPr="00CC6CA3">
        <w:t xml:space="preserve"> is a measurement of sensor </w:t>
      </w:r>
      <m:oMath>
        <m:r>
          <w:rPr>
            <w:rFonts w:ascii="Cambria Math" w:hAnsi="Cambria Math"/>
          </w:rPr>
          <m:t>i</m:t>
        </m:r>
      </m:oMath>
      <w:r w:rsidRPr="00CC6CA3">
        <w:t xml:space="preserve">, under normal operation, the </w:t>
      </w:r>
      <m:oMath>
        <m:sSub>
          <m:sSubPr>
            <m:ctrlPr>
              <w:rPr>
                <w:rFonts w:ascii="Cambria Math" w:hAnsi="Cambria Math" w:cs="Times New Roman"/>
                <w:i/>
                <w:szCs w:val="24"/>
              </w:rPr>
            </m:ctrlPr>
          </m:sSubPr>
          <m:e>
            <m:r>
              <w:rPr>
                <w:rFonts w:ascii="Cambria Math" w:hAnsi="Cambria Math"/>
              </w:rPr>
              <m:t>μ</m:t>
            </m:r>
          </m:e>
          <m:sub>
            <m:r>
              <w:rPr>
                <w:rFonts w:ascii="Cambria Math" w:hAnsi="Cambria Math"/>
              </w:rPr>
              <m:t>i</m:t>
            </m:r>
          </m:sub>
        </m:sSub>
      </m:oMath>
      <w:r w:rsidRPr="00CC6CA3">
        <w:t xml:space="preserve"> and </w:t>
      </w:r>
      <m:oMath>
        <m:sSub>
          <m:sSubPr>
            <m:ctrlPr>
              <w:rPr>
                <w:rFonts w:ascii="Cambria Math" w:hAnsi="Cambria Math" w:cs="Times New Roman"/>
                <w:i/>
                <w:szCs w:val="24"/>
              </w:rPr>
            </m:ctrlPr>
          </m:sSubPr>
          <m:e>
            <m:r>
              <m:rPr>
                <m:sty m:val="p"/>
              </m:rPr>
              <w:rPr>
                <w:rFonts w:ascii="Cambria Math" w:hAnsi="Cambria Math"/>
              </w:rPr>
              <m:t>σ</m:t>
            </m:r>
          </m:e>
          <m:sub>
            <m:r>
              <w:rPr>
                <w:rFonts w:ascii="Cambria Math" w:hAnsi="Cambria Math"/>
              </w:rPr>
              <m:t>i</m:t>
            </m:r>
          </m:sub>
        </m:sSub>
      </m:oMath>
      <w:r w:rsidRPr="00CC6CA3">
        <w:t xml:space="preserve"> are the mean and the standard deviation value of </w:t>
      </w:r>
      <m:oMath>
        <m:sSub>
          <m:sSubPr>
            <m:ctrlPr>
              <w:rPr>
                <w:rFonts w:ascii="Cambria Math" w:hAnsi="Cambria Math" w:cs="Times New Roman"/>
                <w:i/>
                <w:szCs w:val="24"/>
              </w:rPr>
            </m:ctrlPr>
          </m:sSubPr>
          <m:e>
            <m:r>
              <w:rPr>
                <w:rFonts w:ascii="Cambria Math" w:hAnsi="Cambria Math"/>
              </w:rPr>
              <m:t>y</m:t>
            </m:r>
          </m:e>
          <m:sub>
            <m:r>
              <w:rPr>
                <w:rFonts w:ascii="Cambria Math" w:hAnsi="Cambria Math"/>
              </w:rPr>
              <m:t>i</m:t>
            </m:r>
          </m:sub>
        </m:sSub>
      </m:oMath>
      <w:r w:rsidRPr="00CC6CA3">
        <w:t xml:space="preserve">, respectively. </w:t>
      </w:r>
      <w:r w:rsidR="00667171" w:rsidRPr="00CC6CA3">
        <w:t>T</w:t>
      </w:r>
      <w:r w:rsidRPr="00CC6CA3">
        <w:t>he standardized value (</w:t>
      </w:r>
      <m:oMath>
        <m:sSub>
          <m:sSubPr>
            <m:ctrlPr>
              <w:rPr>
                <w:rFonts w:ascii="Cambria Math" w:hAnsi="Cambria Math" w:cs="Times New Roman"/>
                <w:i/>
                <w:szCs w:val="24"/>
              </w:rPr>
            </m:ctrlPr>
          </m:sSubPr>
          <m:e>
            <m:r>
              <w:rPr>
                <w:rFonts w:ascii="Cambria Math" w:hAnsi="Cambria Math"/>
              </w:rPr>
              <m:t>x</m:t>
            </m:r>
          </m:e>
          <m:sub>
            <m:r>
              <w:rPr>
                <w:rFonts w:ascii="Cambria Math" w:hAnsi="Cambria Math"/>
              </w:rPr>
              <m:t>i</m:t>
            </m:r>
          </m:sub>
        </m:sSub>
      </m:oMath>
      <w:r w:rsidRPr="00CC6CA3">
        <w:t xml:space="preserve">) of </w:t>
      </w:r>
      <m:oMath>
        <m:sSub>
          <m:sSubPr>
            <m:ctrlPr>
              <w:rPr>
                <w:rFonts w:ascii="Cambria Math" w:hAnsi="Cambria Math" w:cs="Times New Roman"/>
                <w:i/>
                <w:szCs w:val="24"/>
              </w:rPr>
            </m:ctrlPr>
          </m:sSubPr>
          <m:e>
            <m:r>
              <w:rPr>
                <w:rFonts w:ascii="Cambria Math" w:hAnsi="Cambria Math"/>
              </w:rPr>
              <m:t>y</m:t>
            </m:r>
          </m:e>
          <m:sub>
            <m:r>
              <w:rPr>
                <w:rFonts w:ascii="Cambria Math" w:hAnsi="Cambria Math"/>
              </w:rPr>
              <m:t>i</m:t>
            </m:r>
          </m:sub>
        </m:sSub>
      </m:oMath>
      <w:r w:rsidRPr="00CC6CA3">
        <w:t xml:space="preserve"> can be written as</w:t>
      </w:r>
      <w:r w:rsidR="0093317E" w:rsidRPr="00CC6CA3">
        <w:t>:</w:t>
      </w:r>
    </w:p>
    <w:tbl>
      <w:tblPr>
        <w:tblW w:w="5000" w:type="pct"/>
        <w:tblLook w:val="00A0" w:firstRow="1" w:lastRow="0" w:firstColumn="1" w:lastColumn="0" w:noHBand="0" w:noVBand="0"/>
      </w:tblPr>
      <w:tblGrid>
        <w:gridCol w:w="7946"/>
        <w:gridCol w:w="819"/>
      </w:tblGrid>
      <w:tr w:rsidR="00CC6CA3" w:rsidRPr="00CC6CA3" w14:paraId="2983E325" w14:textId="77777777" w:rsidTr="00CE5EE5">
        <w:tc>
          <w:tcPr>
            <w:tcW w:w="4533" w:type="pct"/>
          </w:tcPr>
          <w:p w14:paraId="5B30391A" w14:textId="234D3FA9" w:rsidR="00E81CC0" w:rsidRPr="00CC6CA3" w:rsidRDefault="00D62691" w:rsidP="00CE5EE5">
            <w:pPr>
              <w:pStyle w:val="Body"/>
              <w:rPr>
                <w:i/>
                <w:iCs/>
              </w:rPr>
            </w:pPr>
            <m:oMathPara>
              <m:oMath>
                <m:sSub>
                  <m:sSubPr>
                    <m:ctrlPr>
                      <w:rPr>
                        <w:rFonts w:ascii="Cambria Math" w:hAnsi="Cambria Math" w:cstheme="minorBidi"/>
                        <w:i/>
                        <w:lang w:eastAsia="zh-CN"/>
                      </w:rPr>
                    </m:ctrlPr>
                  </m:sSubPr>
                  <m:e>
                    <m:r>
                      <w:rPr>
                        <w:rFonts w:ascii="Cambria Math" w:hAnsi="Cambria Math"/>
                      </w:rPr>
                      <m:t>x</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cstheme="minorBidi"/>
                            <w:i/>
                            <w:lang w:eastAsia="zh-CN"/>
                          </w:rPr>
                        </m:ctrlPr>
                      </m:sSubPr>
                      <m:e>
                        <m:r>
                          <w:rPr>
                            <w:rFonts w:ascii="Cambria Math" w:hAnsi="Cambria Math"/>
                          </w:rPr>
                          <m:t>y</m:t>
                        </m:r>
                      </m:e>
                      <m:sub>
                        <m:r>
                          <w:rPr>
                            <w:rFonts w:ascii="Cambria Math" w:hAnsi="Cambria Math"/>
                          </w:rPr>
                          <m:t>i</m:t>
                        </m:r>
                      </m:sub>
                    </m:sSub>
                    <m:r>
                      <w:rPr>
                        <w:rFonts w:ascii="Cambria Math" w:hAnsi="Cambria Math" w:cstheme="minorBidi"/>
                        <w:lang w:eastAsia="zh-CN"/>
                      </w:rPr>
                      <m:t>-</m:t>
                    </m:r>
                    <m:sSub>
                      <m:sSubPr>
                        <m:ctrlPr>
                          <w:rPr>
                            <w:rFonts w:ascii="Cambria Math" w:hAnsi="Cambria Math" w:cstheme="minorBidi"/>
                            <w:i/>
                            <w:lang w:eastAsia="zh-CN"/>
                          </w:rPr>
                        </m:ctrlPr>
                      </m:sSubPr>
                      <m:e>
                        <m:r>
                          <w:rPr>
                            <w:rFonts w:ascii="Cambria Math" w:hAnsi="Cambria Math"/>
                          </w:rPr>
                          <m:t>μ</m:t>
                        </m:r>
                      </m:e>
                      <m:sub>
                        <m:r>
                          <w:rPr>
                            <w:rFonts w:ascii="Cambria Math" w:hAnsi="Cambria Math"/>
                          </w:rPr>
                          <m:t>i</m:t>
                        </m:r>
                      </m:sub>
                    </m:sSub>
                  </m:num>
                  <m:den>
                    <m:sSub>
                      <m:sSubPr>
                        <m:ctrlPr>
                          <w:rPr>
                            <w:rFonts w:ascii="Cambria Math" w:hAnsi="Cambria Math" w:cstheme="minorBidi"/>
                            <w:i/>
                            <w:lang w:eastAsia="zh-CN"/>
                          </w:rPr>
                        </m:ctrlPr>
                      </m:sSubPr>
                      <m:e>
                        <m:r>
                          <m:rPr>
                            <m:sty m:val="p"/>
                          </m:rPr>
                          <w:rPr>
                            <w:rFonts w:ascii="Cambria Math" w:hAnsi="Cambria Math"/>
                          </w:rPr>
                          <m:t>σ</m:t>
                        </m:r>
                      </m:e>
                      <m:sub>
                        <m:r>
                          <w:rPr>
                            <w:rFonts w:ascii="Cambria Math" w:hAnsi="Cambria Math"/>
                          </w:rPr>
                          <m:t>i</m:t>
                        </m:r>
                      </m:sub>
                    </m:sSub>
                  </m:den>
                </m:f>
              </m:oMath>
            </m:oMathPara>
          </w:p>
        </w:tc>
        <w:tc>
          <w:tcPr>
            <w:tcW w:w="467" w:type="pct"/>
          </w:tcPr>
          <w:p w14:paraId="640B8897" w14:textId="663E0348" w:rsidR="00E81CC0" w:rsidRPr="00CC6CA3" w:rsidRDefault="00E81CC0" w:rsidP="00CE5EE5">
            <w:pPr>
              <w:pStyle w:val="Body"/>
              <w:jc w:val="right"/>
            </w:pPr>
            <w:r w:rsidRPr="00CC6CA3">
              <w:t>(</w:t>
            </w:r>
            <w:fldSimple w:instr=" STYLEREF 1 \s ">
              <w:r w:rsidR="001906D9" w:rsidRPr="00CC6CA3">
                <w:rPr>
                  <w:noProof/>
                </w:rPr>
                <w:t>2</w:t>
              </w:r>
            </w:fldSimple>
            <w:r w:rsidRPr="00CC6CA3">
              <w:noBreakHyphen/>
            </w:r>
            <w:fldSimple w:instr=" SEQ Equation \* ARABIC \s 1 ">
              <w:r w:rsidR="001906D9" w:rsidRPr="00CC6CA3">
                <w:rPr>
                  <w:noProof/>
                </w:rPr>
                <w:t>2</w:t>
              </w:r>
            </w:fldSimple>
            <w:r w:rsidRPr="00CC6CA3">
              <w:t>)</w:t>
            </w:r>
          </w:p>
        </w:tc>
      </w:tr>
    </w:tbl>
    <w:p w14:paraId="3DB449DB" w14:textId="3E0A3A6B" w:rsidR="00E81CC0" w:rsidRPr="00CC6CA3" w:rsidRDefault="00E81CC0" w:rsidP="00E2359E">
      <w:r w:rsidRPr="00CC6CA3">
        <w:t xml:space="preserve">All sensor measurements mentioned henceforth are equal to their standardized values. Let </w:t>
      </w:r>
      <m:oMath>
        <m:r>
          <w:rPr>
            <w:rFonts w:ascii="Cambria Math" w:hAnsi="Cambria Math"/>
          </w:rPr>
          <m:t>R</m:t>
        </m:r>
      </m:oMath>
      <w:r w:rsidRPr="00CC6CA3">
        <w:t xml:space="preserve"> be the correlation matrix where:</w:t>
      </w:r>
    </w:p>
    <w:tbl>
      <w:tblPr>
        <w:tblW w:w="5000" w:type="pct"/>
        <w:tblLook w:val="00A0" w:firstRow="1" w:lastRow="0" w:firstColumn="1" w:lastColumn="0" w:noHBand="0" w:noVBand="0"/>
      </w:tblPr>
      <w:tblGrid>
        <w:gridCol w:w="7946"/>
        <w:gridCol w:w="819"/>
      </w:tblGrid>
      <w:tr w:rsidR="00CC6CA3" w:rsidRPr="00CC6CA3" w14:paraId="15A03434" w14:textId="77777777" w:rsidTr="00CE5EE5">
        <w:tc>
          <w:tcPr>
            <w:tcW w:w="4533" w:type="pct"/>
          </w:tcPr>
          <w:p w14:paraId="5460F2D8" w14:textId="58F9DE64" w:rsidR="00B643AA" w:rsidRPr="00CC6CA3" w:rsidRDefault="00B643AA" w:rsidP="00CE5EE5">
            <w:pPr>
              <w:pStyle w:val="Body"/>
              <w:rPr>
                <w:i/>
                <w:iCs/>
              </w:rPr>
            </w:pPr>
            <m:oMathPara>
              <m:oMath>
                <m:r>
                  <w:rPr>
                    <w:rFonts w:ascii="Cambria Math" w:hAnsi="Cambria Math" w:cstheme="minorBidi"/>
                    <w:lang w:eastAsia="zh-CN"/>
                  </w:rPr>
                  <m:t>R(i,j)</m:t>
                </m:r>
                <m:r>
                  <w:rPr>
                    <w:rFonts w:ascii="Cambria Math" w:hAnsi="Cambria Math"/>
                  </w:rPr>
                  <m:t>=E[</m:t>
                </m:r>
                <m:sSub>
                  <m:sSubPr>
                    <m:ctrlPr>
                      <w:rPr>
                        <w:rFonts w:ascii="Cambria Math" w:hAnsi="Cambria Math" w:cstheme="minorBidi"/>
                        <w:i/>
                        <w:lang w:eastAsia="zh-CN"/>
                      </w:rPr>
                    </m:ctrlPr>
                  </m:sSubPr>
                  <m:e>
                    <m:r>
                      <w:rPr>
                        <w:rFonts w:ascii="Cambria Math" w:hAnsi="Cambria Math"/>
                      </w:rPr>
                      <m:t>x</m:t>
                    </m:r>
                  </m:e>
                  <m:sub>
                    <m:r>
                      <w:rPr>
                        <w:rFonts w:ascii="Cambria Math" w:hAnsi="Cambria Math"/>
                      </w:rPr>
                      <m:t>i</m:t>
                    </m:r>
                  </m:sub>
                </m:sSub>
                <m:sSub>
                  <m:sSubPr>
                    <m:ctrlPr>
                      <w:rPr>
                        <w:rFonts w:ascii="Cambria Math" w:hAnsi="Cambria Math" w:cstheme="minorBidi"/>
                        <w:i/>
                        <w:lang w:eastAsia="zh-CN"/>
                      </w:rPr>
                    </m:ctrlPr>
                  </m:sSubPr>
                  <m:e>
                    <m:r>
                      <w:rPr>
                        <w:rFonts w:ascii="Cambria Math" w:hAnsi="Cambria Math"/>
                      </w:rPr>
                      <m:t>x</m:t>
                    </m:r>
                  </m:e>
                  <m:sub>
                    <m:r>
                      <w:rPr>
                        <w:rFonts w:ascii="Cambria Math" w:hAnsi="Cambria Math" w:cstheme="minorBidi"/>
                        <w:lang w:eastAsia="zh-CN"/>
                      </w:rPr>
                      <m:t>j</m:t>
                    </m:r>
                  </m:sub>
                </m:sSub>
                <m:r>
                  <w:rPr>
                    <w:rFonts w:ascii="Cambria Math" w:hAnsi="Cambria Math"/>
                  </w:rPr>
                  <m:t>]</m:t>
                </m:r>
              </m:oMath>
            </m:oMathPara>
          </w:p>
        </w:tc>
        <w:tc>
          <w:tcPr>
            <w:tcW w:w="467" w:type="pct"/>
          </w:tcPr>
          <w:p w14:paraId="26513D0F" w14:textId="043B3162" w:rsidR="00B643AA" w:rsidRPr="00CC6CA3" w:rsidRDefault="00B643AA" w:rsidP="00CE5EE5">
            <w:pPr>
              <w:pStyle w:val="Body"/>
              <w:jc w:val="right"/>
            </w:pPr>
            <w:r w:rsidRPr="00CC6CA3">
              <w:t>(</w:t>
            </w:r>
            <w:fldSimple w:instr=" STYLEREF 1 \s ">
              <w:r w:rsidR="001906D9" w:rsidRPr="00CC6CA3">
                <w:rPr>
                  <w:noProof/>
                </w:rPr>
                <w:t>2</w:t>
              </w:r>
            </w:fldSimple>
            <w:r w:rsidRPr="00CC6CA3">
              <w:noBreakHyphen/>
            </w:r>
            <w:fldSimple w:instr=" SEQ Equation \* ARABIC \s 1 ">
              <w:r w:rsidR="001906D9" w:rsidRPr="00CC6CA3">
                <w:rPr>
                  <w:noProof/>
                </w:rPr>
                <w:t>3</w:t>
              </w:r>
            </w:fldSimple>
            <w:r w:rsidRPr="00CC6CA3">
              <w:t>)</w:t>
            </w:r>
          </w:p>
        </w:tc>
      </w:tr>
    </w:tbl>
    <w:p w14:paraId="464B5DF9" w14:textId="4F8AF806" w:rsidR="00B643AA" w:rsidRPr="00CC6CA3" w:rsidRDefault="00DC0B19" w:rsidP="00E2359E">
      <w:r w:rsidRPr="00CC6CA3">
        <w:t xml:space="preserve">When the plant is under operation, a multivariate measurement is described by the </w:t>
      </w:r>
      <m:oMath>
        <m:r>
          <w:rPr>
            <w:rFonts w:ascii="Cambria Math" w:hAnsi="Cambria Math"/>
          </w:rPr>
          <m:t>m</m:t>
        </m:r>
        <m:r>
          <m:rPr>
            <m:sty m:val="p"/>
          </m:rPr>
          <w:rPr>
            <w:rFonts w:ascii="Cambria Math" w:hAnsi="Cambria Math"/>
          </w:rPr>
          <m:t xml:space="preserve"> × 1</m:t>
        </m:r>
      </m:oMath>
      <w:r w:rsidRPr="00CC6CA3">
        <w:t xml:space="preserve"> vector </w:t>
      </w:r>
      <m:oMath>
        <m:r>
          <w:rPr>
            <w:rFonts w:ascii="Cambria Math" w:hAnsi="Cambria Math"/>
          </w:rPr>
          <m:t>x</m:t>
        </m:r>
      </m:oMath>
      <w:r w:rsidRPr="00CC6CA3">
        <w:t xml:space="preserve">, with </w:t>
      </w:r>
      <m:oMath>
        <m:r>
          <w:rPr>
            <w:rFonts w:ascii="Cambria Math" w:hAnsi="Cambria Math"/>
          </w:rPr>
          <m:t>x</m:t>
        </m:r>
        <m:r>
          <m:rPr>
            <m:sty m:val="p"/>
          </m:rPr>
          <w:rPr>
            <w:rFonts w:ascii="Cambria Math" w:hAnsi="Cambria Math"/>
          </w:rPr>
          <m:t>(</m:t>
        </m:r>
        <m:r>
          <w:rPr>
            <w:rFonts w:ascii="Cambria Math" w:hAnsi="Cambria Math"/>
          </w:rPr>
          <m:t>i</m:t>
        </m:r>
        <m:r>
          <m:rPr>
            <m:sty m:val="p"/>
          </m:rPr>
          <w:rPr>
            <w:rFonts w:ascii="Cambria Math" w:hAnsi="Cambria Math"/>
          </w:rPr>
          <m:t>)</m:t>
        </m:r>
      </m:oMath>
      <w:r w:rsidRPr="00CC6CA3">
        <w:t xml:space="preserve"> representing a measurement from sensor </w:t>
      </w:r>
      <m:oMath>
        <m:r>
          <w:rPr>
            <w:rFonts w:ascii="Cambria Math" w:hAnsi="Cambria Math"/>
          </w:rPr>
          <m:t>i</m:t>
        </m:r>
      </m:oMath>
      <w:r w:rsidRPr="00CC6CA3">
        <w:t xml:space="preserve">. In the centralized configuration, a single </w:t>
      </w:r>
      <m:oMath>
        <m:sSup>
          <m:sSupPr>
            <m:ctrlPr>
              <w:rPr>
                <w:rFonts w:ascii="Cambria Math" w:hAnsi="Cambria Math" w:cs="Times New Roman"/>
                <w:szCs w:val="24"/>
              </w:rPr>
            </m:ctrlPr>
          </m:sSupPr>
          <m:e>
            <m:r>
              <w:rPr>
                <w:rFonts w:ascii="Cambria Math" w:hAnsi="Cambria Math"/>
              </w:rPr>
              <m:t>T</m:t>
            </m:r>
          </m:e>
          <m:sup>
            <m:r>
              <m:rPr>
                <m:sty m:val="p"/>
              </m:rPr>
              <w:rPr>
                <w:rFonts w:ascii="Cambria Math" w:hAnsi="Cambria Math"/>
              </w:rPr>
              <m:t>2</m:t>
            </m:r>
          </m:sup>
        </m:sSup>
      </m:oMath>
      <w:r w:rsidRPr="00CC6CA3">
        <w:t xml:space="preserve"> test will use sample </w:t>
      </w:r>
      <m:oMath>
        <m:r>
          <w:rPr>
            <w:rFonts w:ascii="Cambria Math" w:hAnsi="Cambria Math"/>
          </w:rPr>
          <m:t>x</m:t>
        </m:r>
      </m:oMath>
      <w:r w:rsidRPr="00CC6CA3">
        <w:t xml:space="preserve"> to check if the system is suffering a fault. The sample </w:t>
      </w:r>
      <m:oMath>
        <m:r>
          <w:rPr>
            <w:rFonts w:ascii="Cambria Math" w:hAnsi="Cambria Math"/>
          </w:rPr>
          <m:t>x</m:t>
        </m:r>
      </m:oMath>
      <w:r w:rsidRPr="00CC6CA3">
        <w:t xml:space="preserve"> is detected by the </w:t>
      </w:r>
      <m:oMath>
        <m:sSup>
          <m:sSupPr>
            <m:ctrlPr>
              <w:rPr>
                <w:rFonts w:ascii="Cambria Math" w:hAnsi="Cambria Math" w:cs="Times New Roman"/>
                <w:szCs w:val="24"/>
              </w:rPr>
            </m:ctrlPr>
          </m:sSupPr>
          <m:e>
            <m:r>
              <w:rPr>
                <w:rFonts w:ascii="Cambria Math" w:hAnsi="Cambria Math"/>
              </w:rPr>
              <m:t>T</m:t>
            </m:r>
          </m:e>
          <m:sup>
            <m:r>
              <m:rPr>
                <m:sty m:val="p"/>
              </m:rPr>
              <w:rPr>
                <w:rFonts w:ascii="Cambria Math" w:hAnsi="Cambria Math"/>
              </w:rPr>
              <m:t>2</m:t>
            </m:r>
          </m:sup>
        </m:sSup>
      </m:oMath>
      <w:r w:rsidRPr="00CC6CA3">
        <w:t xml:space="preserve"> test as having been generated when the process is in faulty operation if</w:t>
      </w:r>
      <w:r w:rsidR="00B643AA" w:rsidRPr="00CC6CA3">
        <w:t>:</w:t>
      </w:r>
    </w:p>
    <w:tbl>
      <w:tblPr>
        <w:tblW w:w="5000" w:type="pct"/>
        <w:tblLook w:val="00A0" w:firstRow="1" w:lastRow="0" w:firstColumn="1" w:lastColumn="0" w:noHBand="0" w:noVBand="0"/>
      </w:tblPr>
      <w:tblGrid>
        <w:gridCol w:w="7946"/>
        <w:gridCol w:w="819"/>
      </w:tblGrid>
      <w:tr w:rsidR="00CC6CA3" w:rsidRPr="00CC6CA3" w14:paraId="7D88B7EE" w14:textId="77777777" w:rsidTr="00CE5EE5">
        <w:tc>
          <w:tcPr>
            <w:tcW w:w="4533" w:type="pct"/>
          </w:tcPr>
          <w:p w14:paraId="535FB2E9" w14:textId="3BF6E4A4" w:rsidR="000C60B7" w:rsidRPr="00CC6CA3" w:rsidRDefault="00D62691" w:rsidP="00CE5EE5">
            <w:pPr>
              <w:pStyle w:val="Body"/>
              <w:rPr>
                <w:i/>
                <w:iCs/>
              </w:rPr>
            </w:pPr>
            <m:oMathPara>
              <m:oMath>
                <m:sSup>
                  <m:sSupPr>
                    <m:ctrlPr>
                      <w:rPr>
                        <w:rFonts w:ascii="Cambria Math" w:hAnsi="Cambria Math"/>
                        <w:szCs w:val="24"/>
                      </w:rPr>
                    </m:ctrlPr>
                  </m:sSupPr>
                  <m:e>
                    <m:r>
                      <w:rPr>
                        <w:rFonts w:ascii="Cambria Math" w:hAnsi="Cambria Math"/>
                        <w:szCs w:val="24"/>
                      </w:rPr>
                      <m:t>T</m:t>
                    </m:r>
                  </m:e>
                  <m:sup>
                    <m:r>
                      <w:rPr>
                        <w:rFonts w:ascii="Cambria Math" w:hAnsi="Cambria Math"/>
                        <w:szCs w:val="24"/>
                      </w:rPr>
                      <m:t>2</m:t>
                    </m:r>
                  </m:sup>
                </m:sSup>
                <m:r>
                  <w:rPr>
                    <w:rFonts w:ascii="Cambria Math" w:hAnsi="Cambria Math"/>
                  </w:rPr>
                  <m:t>=</m:t>
                </m:r>
                <m:sSup>
                  <m:sSupPr>
                    <m:ctrlPr>
                      <w:rPr>
                        <w:rFonts w:ascii="Cambria Math" w:hAnsi="Cambria Math"/>
                        <w:szCs w:val="24"/>
                      </w:rPr>
                    </m:ctrlPr>
                  </m:sSupPr>
                  <m:e>
                    <m:r>
                      <w:rPr>
                        <w:rFonts w:ascii="Cambria Math" w:hAnsi="Cambria Math"/>
                        <w:szCs w:val="24"/>
                      </w:rPr>
                      <m:t>x</m:t>
                    </m:r>
                  </m:e>
                  <m:sup>
                    <m:r>
                      <w:rPr>
                        <w:rFonts w:ascii="Cambria Math" w:hAnsi="Cambria Math"/>
                        <w:szCs w:val="24"/>
                      </w:rPr>
                      <m:t>T</m:t>
                    </m:r>
                  </m:sup>
                </m:sSup>
                <m:sSup>
                  <m:sSupPr>
                    <m:ctrlPr>
                      <w:rPr>
                        <w:rFonts w:ascii="Cambria Math" w:hAnsi="Cambria Math"/>
                        <w:szCs w:val="24"/>
                      </w:rPr>
                    </m:ctrlPr>
                  </m:sSupPr>
                  <m:e>
                    <m:r>
                      <w:rPr>
                        <w:rFonts w:ascii="Cambria Math" w:hAnsi="Cambria Math"/>
                        <w:szCs w:val="24"/>
                      </w:rPr>
                      <m:t>R</m:t>
                    </m:r>
                  </m:e>
                  <m:sup>
                    <m:r>
                      <w:rPr>
                        <w:rFonts w:ascii="Cambria Math" w:hAnsi="Cambria Math"/>
                        <w:szCs w:val="24"/>
                      </w:rPr>
                      <m:t>-1</m:t>
                    </m:r>
                  </m:sup>
                </m:sSup>
                <m:r>
                  <w:rPr>
                    <w:rFonts w:ascii="Cambria Math" w:hAnsi="Cambria Math"/>
                    <w:szCs w:val="24"/>
                  </w:rPr>
                  <m:t>x&gt;</m:t>
                </m:r>
                <m:sSubSup>
                  <m:sSubSupPr>
                    <m:ctrlPr>
                      <w:rPr>
                        <w:rFonts w:ascii="Cambria Math" w:hAnsi="Cambria Math"/>
                        <w:i/>
                        <w:iCs/>
                        <w:szCs w:val="24"/>
                      </w:rPr>
                    </m:ctrlPr>
                  </m:sSubSupPr>
                  <m:e>
                    <m:r>
                      <m:rPr>
                        <m:sty m:val="p"/>
                      </m:rPr>
                      <w:rPr>
                        <w:rFonts w:ascii="Cambria Math" w:hAnsi="Cambria Math"/>
                      </w:rPr>
                      <m:t>χ</m:t>
                    </m:r>
                  </m:e>
                  <m:sub>
                    <m:r>
                      <w:rPr>
                        <w:rFonts w:ascii="Cambria Math" w:hAnsi="Cambria Math"/>
                        <w:szCs w:val="24"/>
                      </w:rPr>
                      <m:t>α</m:t>
                    </m:r>
                  </m:sub>
                  <m:sup>
                    <m:r>
                      <w:rPr>
                        <w:rFonts w:ascii="Cambria Math" w:hAnsi="Cambria Math"/>
                        <w:szCs w:val="24"/>
                      </w:rPr>
                      <m:t>2</m:t>
                    </m:r>
                  </m:sup>
                </m:sSubSup>
                <m:r>
                  <w:rPr>
                    <w:rFonts w:ascii="Cambria Math" w:hAnsi="Cambria Math"/>
                    <w:szCs w:val="24"/>
                  </w:rPr>
                  <m:t>(m)</m:t>
                </m:r>
              </m:oMath>
            </m:oMathPara>
          </w:p>
        </w:tc>
        <w:tc>
          <w:tcPr>
            <w:tcW w:w="467" w:type="pct"/>
          </w:tcPr>
          <w:p w14:paraId="195F7142" w14:textId="132E5ED5" w:rsidR="000C60B7" w:rsidRPr="00CC6CA3" w:rsidRDefault="000C60B7" w:rsidP="00CE5EE5">
            <w:pPr>
              <w:pStyle w:val="Body"/>
              <w:jc w:val="right"/>
            </w:pPr>
            <w:r w:rsidRPr="00CC6CA3">
              <w:t>(</w:t>
            </w:r>
            <w:fldSimple w:instr=" STYLEREF 1 \s ">
              <w:r w:rsidR="001906D9" w:rsidRPr="00CC6CA3">
                <w:rPr>
                  <w:noProof/>
                </w:rPr>
                <w:t>2</w:t>
              </w:r>
            </w:fldSimple>
            <w:r w:rsidRPr="00CC6CA3">
              <w:noBreakHyphen/>
            </w:r>
            <w:fldSimple w:instr=" SEQ Equation \* ARABIC \s 1 ">
              <w:r w:rsidR="001906D9" w:rsidRPr="00CC6CA3">
                <w:rPr>
                  <w:noProof/>
                </w:rPr>
                <w:t>4</w:t>
              </w:r>
            </w:fldSimple>
            <w:r w:rsidRPr="00CC6CA3">
              <w:t>)</w:t>
            </w:r>
          </w:p>
        </w:tc>
      </w:tr>
    </w:tbl>
    <w:p w14:paraId="16853A1D" w14:textId="72B4C43E" w:rsidR="007B08A8" w:rsidRPr="00CC6CA3" w:rsidRDefault="00B643AA" w:rsidP="00E2359E">
      <w:r w:rsidRPr="00CC6CA3">
        <w:t xml:space="preserve">where </w:t>
      </w:r>
      <m:oMath>
        <m:r>
          <w:rPr>
            <w:rFonts w:ascii="Cambria Math" w:hAnsi="Cambria Math"/>
          </w:rPr>
          <m:t>α</m:t>
        </m:r>
      </m:oMath>
      <w:r w:rsidRPr="00CC6CA3">
        <w:t xml:space="preserve"> is the level of significance and </w:t>
      </w:r>
      <m:oMath>
        <m:sSubSup>
          <m:sSubSupPr>
            <m:ctrlPr>
              <w:rPr>
                <w:rFonts w:ascii="Cambria Math" w:hAnsi="Cambria Math" w:cs="Arial"/>
                <w:i/>
                <w:iCs/>
                <w:szCs w:val="24"/>
                <w:lang w:eastAsia="en-US"/>
              </w:rPr>
            </m:ctrlPr>
          </m:sSubSupPr>
          <m:e>
            <m:r>
              <m:rPr>
                <m:sty m:val="p"/>
              </m:rPr>
              <w:rPr>
                <w:rFonts w:ascii="Cambria Math" w:hAnsi="Cambria Math"/>
              </w:rPr>
              <m:t>χ</m:t>
            </m:r>
          </m:e>
          <m:sub>
            <m:r>
              <w:rPr>
                <w:rFonts w:ascii="Cambria Math" w:hAnsi="Cambria Math"/>
                <w:szCs w:val="24"/>
              </w:rPr>
              <m:t>α</m:t>
            </m:r>
          </m:sub>
          <m:sup>
            <m:r>
              <w:rPr>
                <w:rFonts w:ascii="Cambria Math" w:hAnsi="Cambria Math"/>
                <w:szCs w:val="24"/>
              </w:rPr>
              <m:t>2</m:t>
            </m:r>
          </m:sup>
        </m:sSubSup>
        <m:r>
          <w:rPr>
            <w:rFonts w:ascii="Cambria Math" w:hAnsi="Cambria Math"/>
            <w:szCs w:val="24"/>
          </w:rPr>
          <m:t>(m)</m:t>
        </m:r>
      </m:oMath>
      <w:r w:rsidRPr="00CC6CA3">
        <w:t xml:space="preserve"> is the inverse of the </w:t>
      </w:r>
      <m:oMath>
        <m:sSup>
          <m:sSupPr>
            <m:ctrlPr>
              <w:rPr>
                <w:rFonts w:ascii="Cambria Math" w:hAnsi="Cambria Math"/>
                <w:szCs w:val="24"/>
              </w:rPr>
            </m:ctrlPr>
          </m:sSupPr>
          <m:e>
            <m:r>
              <m:rPr>
                <m:sty m:val="p"/>
              </m:rPr>
              <w:rPr>
                <w:rFonts w:ascii="Cambria Math" w:hAnsi="Cambria Math"/>
              </w:rPr>
              <m:t>χ</m:t>
            </m:r>
          </m:e>
          <m:sup>
            <m:r>
              <w:rPr>
                <w:rFonts w:ascii="Cambria Math" w:hAnsi="Cambria Math"/>
                <w:szCs w:val="24"/>
              </w:rPr>
              <m:t>2</m:t>
            </m:r>
          </m:sup>
        </m:sSup>
      </m:oMath>
      <w:r w:rsidRPr="00CC6CA3">
        <w:t xml:space="preserve"> cumulative distribution function with </w:t>
      </w:r>
      <m:oMath>
        <m:r>
          <w:rPr>
            <w:rFonts w:ascii="Cambria Math" w:hAnsi="Cambria Math"/>
          </w:rPr>
          <m:t>m</m:t>
        </m:r>
      </m:oMath>
      <w:r w:rsidRPr="00CC6CA3">
        <w:t xml:space="preserve"> degrees of freedom for a probability value of </w:t>
      </w:r>
      <m:oMath>
        <m:r>
          <w:rPr>
            <w:rFonts w:ascii="Cambria Math" w:hAnsi="Cambria Math"/>
          </w:rPr>
          <m:t>1 – α</m:t>
        </m:r>
      </m:oMath>
      <w:r w:rsidR="000255F5" w:rsidRPr="00CC6CA3">
        <w:t xml:space="preserve"> </w:t>
      </w:r>
      <w:r w:rsidR="000255F5" w:rsidRPr="00CC6CA3">
        <w:rPr>
          <w:rFonts w:cs="Times New Roman"/>
          <w:szCs w:val="24"/>
        </w:rPr>
        <w:fldChar w:fldCharType="begin"/>
      </w:r>
      <w:r w:rsidR="000255F5" w:rsidRPr="00CC6CA3">
        <w:rPr>
          <w:rFonts w:cs="Times New Roman"/>
          <w:szCs w:val="24"/>
        </w:rPr>
        <w:instrText xml:space="preserve"> ADDIN ZOTERO_ITEM CSL_CITATION {"citationID":"5Ihs7IMO","properties":{"formattedCitation":"[81]","plainCitation":"[81]","noteIndex":0},"citationItems":[{"id":1191,"uris":["http://zotero.org/users/3051968/items/HB2WEN39"],"uri":["http://zotero.org/users/3051968/items/HB2WEN39"],"itemData":{"id":1191,"type":"article-journal","container-title":"Computers &amp; Chemical Engineering","DOI":"10.1016/j.compchemeng.2020.106807","ISSN":"00981354","journalAbbreviation":"Computers &amp; Chemical Engineering","language":"en","page":"106807","source":"DOI.org (Crossref)","title":"Multiple Hotelling’s T2 tests for distributed fault detection of large-scale systems","volume":"136","author":[{"family":"Khatib","given":"Shaaz"},{"family":"Daoutidis","given":"Prodromos"}],"issued":{"date-parts":[["2020",5]]}}}],"schema":"https://github.com/citation-style-language/schema/raw/master/csl-citation.json"} </w:instrText>
      </w:r>
      <w:r w:rsidR="000255F5" w:rsidRPr="00CC6CA3">
        <w:rPr>
          <w:rFonts w:cs="Times New Roman"/>
          <w:szCs w:val="24"/>
        </w:rPr>
        <w:fldChar w:fldCharType="separate"/>
      </w:r>
      <w:r w:rsidR="000255F5" w:rsidRPr="00CC6CA3">
        <w:rPr>
          <w:rFonts w:cs="Times New Roman"/>
          <w:szCs w:val="24"/>
        </w:rPr>
        <w:t>[81]</w:t>
      </w:r>
      <w:r w:rsidR="000255F5" w:rsidRPr="00CC6CA3">
        <w:rPr>
          <w:rFonts w:cs="Times New Roman"/>
          <w:szCs w:val="24"/>
        </w:rPr>
        <w:fldChar w:fldCharType="end"/>
      </w:r>
      <w:r w:rsidRPr="00CC6CA3">
        <w:t xml:space="preserve">. </w:t>
      </w:r>
    </w:p>
    <w:p w14:paraId="68B8071D" w14:textId="77777777" w:rsidR="00E2359E" w:rsidRPr="00CC6CA3" w:rsidRDefault="00E2359E" w:rsidP="00E2359E">
      <w:pPr>
        <w:pStyle w:val="Heading5"/>
      </w:pPr>
      <m:oMath>
        <m:r>
          <w:rPr>
            <w:rFonts w:ascii="Cambria Math" w:hAnsi="Cambria Math"/>
          </w:rPr>
          <m:t>Q</m:t>
        </m:r>
      </m:oMath>
      <w:r w:rsidRPr="00CC6CA3">
        <w:t xml:space="preserve"> metric</w:t>
      </w:r>
    </w:p>
    <w:p w14:paraId="76F5DDED" w14:textId="1BB5F68A" w:rsidR="00E2359E" w:rsidRPr="00CC6CA3" w:rsidRDefault="00E2359E" w:rsidP="00E2359E">
      <w:r w:rsidRPr="00CC6CA3">
        <w:t xml:space="preserve">The </w:t>
      </w:r>
      <m:oMath>
        <m:r>
          <w:rPr>
            <w:rFonts w:ascii="Cambria Math" w:hAnsi="Cambria Math"/>
          </w:rPr>
          <m:t>Q</m:t>
        </m:r>
      </m:oMath>
      <w:r w:rsidRPr="00CC6CA3">
        <w:t xml:space="preserve"> metric (also called squared prediction error, SPE) is another widely used indicator</w:t>
      </w:r>
      <w:r w:rsidR="001002B2" w:rsidRPr="00CC6CA3">
        <w:t xml:space="preserve"> </w:t>
      </w:r>
      <w:r w:rsidRPr="00CC6CA3">
        <w:t xml:space="preserve">for condition monitoring data </w:t>
      </w:r>
      <w:r w:rsidRPr="00CC6CA3">
        <w:fldChar w:fldCharType="begin" w:fldLock="1"/>
      </w:r>
      <w:r w:rsidR="007D1BCC" w:rsidRPr="00CC6CA3">
        <w:instrText xml:space="preserve"> ADDIN ZOTERO_ITEM CSL_CITATION {"citationID":"vBu1adSX","properties":{"formattedCitation":"[75]\\uc0\\u8211{}[80]","plainCitation":"[75]–[80]","noteIndex":0},"citationItems":[{"id":"jMlmauCg/IgiHCFVZ","uris":["http://www.mendeley.com/documents/?uuid=ca6e9400-1085-41dc-b87e-d872d6ac14a9"],"uri":["http://www.mendeley.com/documents/?uuid=ca6e9400-1085-41dc-b87e-d872d6ac14a9"],"itemData":{"DOI":"10.1016/0169-7439(95)80036-9","ISBN":"0169-7439","ISSN":"01697439","PMID":"25219","abstract":"Multivariate statistical methods for the analysis, monitoring and diagnosis of process operating performance are becoming more important because of the availability of on-line process computers which routinely collect measurements on large numbers of process variables. Traditional univariate control charts have been extended to multivariate quality control situations using the Hotelling T2 statistic. Recent approaches to multivariate statistical process control which utilize not only product quality data (Y), but also all of the available process variable data (X) are based on multivariate statistical projection methods (principal component analysis, (PCA), partial least squares, (PLS), multi-block PLS and multi-way PCA). An overview of these methods and their use in the statistical process control of multivariate continuous and batch processes is presented. Applications are provided on the analysis of historical data from the catalytic cracking section of a large petroleum refinery, on the monitoring and diagnosis of a continuous polymerization process and on the monitoring of an industrial batch process.","author":[{"dropping-particle":"","family":"Kourti","given":"Theodora","non-dropping-particle":"","parse-names":false,"suffix":""},{"dropping-particle":"","family":"MacGregor","given":"Jf F John F.","non-dropping-particle":"","parse-names":false,"suffix":""}],"container-title":"Chemometrics and intelligent laboratory systems","id":"ITEM-1","issued":{"date-parts":[["1995"]]},"page":"3-21","title":"Process analysis, monitoring and diagnosis, using multivariate projection methods","type":"article-journal","volume":"28"}},{"id":"jMlmauCg/ZxA2eIIp","uris":["http://www.mendeley.com/documents/?uuid=d97d942f-8893-4ea5-9dd8-1c062f7c6458"],"uri":["http://www.mendeley.com/documents/?uuid=d97d942f-8893-4ea5-9dd8-1c062f7c6458"],"itemData":{"DOI":"10.1002/acs.859","ISBN":"0890-6327","ISSN":"08906327","abstract":"Multivariate monitoring and control schemes based on latent variable methods have been receiving increasing attention by industrial practitioners in the last 15 years. Several companies have enthusiastically adopted the methods and have reported many success stories. Applications have been reported where multivariate statistical process control, fault detection and diagnosis is achieved by utilizing the latent variable space, for continuous and batch processes, as well as, for process transitions as for example start ups and re-starts. This paper gives an overview of the latest developments in multivariate statistical process control (MSPC) and its application for fault detection and isolation (FDI) in industrial processes. It provides a critical review of the methodology and describes how it is transferred to the industrial environment. Recent applications of latent variable methods to process control as well as to image analysis for monitoring and feedback control are discussed. Finally it is emphasized that the multivariate nature of the data should be preserved when data compression and data preprocessing is applied. It is shown that univariate data compression and reconstruction may hinder the validity of multivariate analysis by introducing spurious correlations.","author":[{"dropping-particle":"","family":"Kourti","given":"Theodora","non-dropping-particle":"","parse-names":false,"suffix":""}],"container-title":"International Journal of Adaptive Control and Signal Processing","id":"ITEM-2","issue":"4","issued":{"date-parts":[["2005"]]},"page":"213-246","title":"Application of latent variable methods to process control and multivariate statistical process control in industry","type":"article-journal","volume":"19"}},{"id":"jMlmauCg/nETTySkF","uris":["http://www.mendeley.com/documents/?uuid=1365040b-589c-4241-8c08-d1df66772b17"],"uri":["http://www.mendeley.com/documents/?uuid=1365040b-589c-4241-8c08-d1df66772b17"],"itemData":{"author":[{"dropping-particle":"","family":"Ketelaere","given":"Bart D E","non-dropping-particle":"","parse-names":false,"suffix":""},{"dropping-particle":"","family":"Hubert","given":"M I A","non-dropping-particle":"","parse-names":false,"suffix":""},{"dropping-particle":"","family":"Schmitt","given":"Eric","non-dropping-particle":"","parse-names":false,"suffix":""}],"container-title":"Journal of Quality Technology","id":"ITEM-3","issue":"4","issued":{"date-parts":[["2015"]]},"page":"318-335","title":"Overview of PCA-Based Statistical Process-Monitoring Methods for Time-Dependent , High-Dimensional Data","type":"article-journal","volume":"47"}},{"id":"jMlmauCg/mCCrBgBB","uris":["http://www.mendeley.com/documents/?uuid=42f1e7f9-d46c-4fff-9021-64403446df98"],"uri":["http://www.mendeley.com/documents/?uuid=42f1e7f9-d46c-4fff-9021-64403446df98"],"itemData":{"DOI":"10.1016/j.arcontrol.2012.09.004","ISBN":"1367-5788","ISSN":"13675788","abstract":"This paper provides a state-of-the-art review of the methods and applications of data-driven fault detection and diagnosis that have been developed over the last two decades. The scope of the problem is described with reference to the scale and complexity of industrial process operations, where multi-level hierarchical optimization and control are necessary for efficient operation, but are also prone to hard failure and soft operational faults that lead to economic losses. Commonly used multivariate statistical tools are introduced to characterize normal variations and detect abnormal changes. Further, diagnosis methods are surveyed and analyzed, with fault detectability and fault identifiability for rigorous analysis. Challenges, opportunities, and extensions are summarized with the intent to draw attention from the systems and control community and the process control community. ?? 2012 Elsevier Ltd. All rights reserved.","author":[{"dropping-particle":"","family":"Qin","given":"S. Joe","non-dropping-particle":"","parse-names":false,"suffix":""}],"container-title":"Annual Reviews in Control","id":"ITEM-4","issue":"2","issued":{"date-parts":[["2012"]]},"page":"220-234","publisher":"Elsevier Ltd","title":"Survey on data-driven industrial process monitoring and diagnosis","type":"article-journal","volume":"36"}},{"id":"jMlmauCg/peLFblNK","uris":["http://www.mendeley.com/documents/?uuid=0440bb65-4592-4114-9c72-d1abcb52afa1"],"uri":["http://www.mendeley.com/documents/?uuid=0440bb65-4592-4114-9c72-d1abcb52afa1"],"itemData":{"DOI":"10.1002/9780470517253","ISBN":"9780470517253","author":[{"dropping-particle":"","family":"Kruger","given":"Uwe","non-dropping-particle":"","parse-names":false,"suffix":""},{"dropping-particle":"","family":"Xie","given":"Lei","non-dropping-particle":"","parse-names":false,"suffix":""}],"id":"ITEM-5","issued":{"date-parts":[["2012","9","21"]]},"publisher":"John Wiley &amp; Sons, Ltd","publisher-place":"Chichester, UK","title":"Statistical Monitoring of Complex Multivariate Processes","type":"book"}},{"id":"jMlmauCg/yLYczdAp","uris":["http://www.mendeley.com/documents/?uuid=819905af-7f6e-4e84-8096-c2a73217fa5c"],"uri":["http://www.mendeley.com/documents/?uuid=819905af-7f6e-4e84-8096-c2a73217fa5c"],"itemData":{"DOI":"10.1080/00401706.1995.10485888","ISSN":"0040-1706","abstract":"The problem of using time-varying trajectory data measured on many process variables over the finite duration of a batch process is considered. Multiway principal-component analysis is used to compress the information contained in the data trajectories into low-dimensional spaces that describe the operation of past batches. This approach facilitates the analysis of operational and quality-control problems in past batches and allows for the development of multivariate statistical process control charts for on-line monitoring of the progress of new batches. Control limits for the proposed charts are developed using information from the historical reference distribution of past successful batches. The method is applied to data collected from an industrial batch polymerization reactor.","author":[{"dropping-particle":"","family":"Nomikos","given":"Paul","non-dropping-particle":"","parse-names":false,"suffix":""},{"dropping-particle":"","family":"MacGregor","given":"John F.","non-dropping-particle":"","parse-names":false,"suffix":""}],"container-title":"Technometrics","id":"ITEM-6","issue":"1","issued":{"date-parts":[["1995","2"]]},"page":"41-59","title":"Multivariate SPC Charts for Monitoring Batch Processes","type":"article-journal","volume":"37"}}],"schema":"https://github.com/citation-style-language/schema/raw/master/csl-citation.json"} </w:instrText>
      </w:r>
      <w:r w:rsidRPr="00CC6CA3">
        <w:fldChar w:fldCharType="separate"/>
      </w:r>
      <w:r w:rsidR="00854B0F" w:rsidRPr="00CC6CA3">
        <w:rPr>
          <w:rFonts w:cs="Times New Roman"/>
          <w:szCs w:val="24"/>
        </w:rPr>
        <w:t>[75]–[80]</w:t>
      </w:r>
      <w:r w:rsidRPr="00CC6CA3">
        <w:fldChar w:fldCharType="end"/>
      </w:r>
      <w:r w:rsidRPr="00CC6CA3">
        <w:t xml:space="preserve">. It can be given by Equation </w:t>
      </w:r>
      <w:r w:rsidRPr="00CC6CA3">
        <w:fldChar w:fldCharType="begin"/>
      </w:r>
      <w:r w:rsidRPr="00CC6CA3">
        <w:instrText xml:space="preserve"> REF _Ref47019566 \h </w:instrText>
      </w:r>
      <w:r w:rsidRPr="00CC6CA3">
        <w:fldChar w:fldCharType="separate"/>
      </w:r>
      <w:r w:rsidR="001906D9" w:rsidRPr="00CC6CA3">
        <w:t>(</w:t>
      </w:r>
      <w:r w:rsidR="001906D9" w:rsidRPr="00CC6CA3">
        <w:rPr>
          <w:noProof/>
        </w:rPr>
        <w:t>2</w:t>
      </w:r>
      <w:r w:rsidR="001906D9" w:rsidRPr="00CC6CA3">
        <w:noBreakHyphen/>
      </w:r>
      <w:r w:rsidR="001906D9" w:rsidRPr="00CC6CA3">
        <w:rPr>
          <w:noProof/>
        </w:rPr>
        <w:t>5</w:t>
      </w:r>
      <w:r w:rsidR="001906D9" w:rsidRPr="00CC6CA3">
        <w:t>)</w:t>
      </w:r>
      <w:r w:rsidRPr="00CC6CA3">
        <w:fldChar w:fldCharType="end"/>
      </w:r>
      <w:r w:rsidRPr="00CC6CA3">
        <w:t>:</w:t>
      </w:r>
    </w:p>
    <w:tbl>
      <w:tblPr>
        <w:tblW w:w="5000" w:type="pct"/>
        <w:tblLook w:val="00A0" w:firstRow="1" w:lastRow="0" w:firstColumn="1" w:lastColumn="0" w:noHBand="0" w:noVBand="0"/>
      </w:tblPr>
      <w:tblGrid>
        <w:gridCol w:w="7946"/>
        <w:gridCol w:w="819"/>
      </w:tblGrid>
      <w:tr w:rsidR="00CC6CA3" w:rsidRPr="00CC6CA3" w14:paraId="5CF5995F" w14:textId="77777777" w:rsidTr="00F632C0">
        <w:tc>
          <w:tcPr>
            <w:tcW w:w="4533" w:type="pct"/>
          </w:tcPr>
          <w:p w14:paraId="514FD551" w14:textId="77777777" w:rsidR="00E2359E" w:rsidRPr="00CC6CA3" w:rsidRDefault="00E2359E" w:rsidP="00F632C0">
            <w:pPr>
              <w:pStyle w:val="Body"/>
              <w:rPr>
                <w:i/>
                <w:iCs/>
              </w:rPr>
            </w:pPr>
            <m:oMathPara>
              <m:oMath>
                <m:r>
                  <w:rPr>
                    <w:rFonts w:ascii="Cambria Math" w:hAnsi="Cambria Math"/>
                  </w:rPr>
                  <m:t>Q=</m:t>
                </m:r>
                <m:nary>
                  <m:naryPr>
                    <m:chr m:val="∑"/>
                    <m:limLoc m:val="undOvr"/>
                    <m:ctrlPr>
                      <w:rPr>
                        <w:rFonts w:ascii="Cambria Math" w:hAnsi="Cambria Math"/>
                        <w:i/>
                        <w:iCs/>
                      </w:rPr>
                    </m:ctrlPr>
                  </m:naryPr>
                  <m:sub>
                    <m:r>
                      <w:rPr>
                        <w:rFonts w:ascii="Cambria Math" w:hAnsi="Cambria Math"/>
                      </w:rPr>
                      <m:t>i=1</m:t>
                    </m:r>
                  </m:sub>
                  <m:sup>
                    <m:r>
                      <w:rPr>
                        <w:rFonts w:ascii="Cambria Math" w:hAnsi="Cambria Math"/>
                      </w:rPr>
                      <m:t>k</m:t>
                    </m:r>
                  </m:sup>
                  <m:e>
                    <m:sSup>
                      <m:sSupPr>
                        <m:ctrlPr>
                          <w:rPr>
                            <w:rFonts w:ascii="Cambria Math" w:hAnsi="Cambria Math"/>
                            <w:i/>
                            <w:iCs/>
                          </w:rPr>
                        </m:ctrlPr>
                      </m:sSupPr>
                      <m:e>
                        <m:r>
                          <w:rPr>
                            <w:rFonts w:ascii="Cambria Math" w:hAnsi="Cambria Math"/>
                          </w:rPr>
                          <m:t>(</m:t>
                        </m:r>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iCs/>
                              </w:rPr>
                            </m:ctrlPr>
                          </m:sSubPr>
                          <m:e>
                            <m:acc>
                              <m:accPr>
                                <m:ctrlPr>
                                  <w:rPr>
                                    <w:rFonts w:ascii="Cambria Math" w:hAnsi="Cambria Math"/>
                                    <w:i/>
                                    <w:iCs/>
                                  </w:rPr>
                                </m:ctrlPr>
                              </m:accPr>
                              <m:e>
                                <m:r>
                                  <w:rPr>
                                    <w:rFonts w:ascii="Cambria Math" w:hAnsi="Cambria Math"/>
                                  </w:rPr>
                                  <m:t>x</m:t>
                                </m:r>
                              </m:e>
                            </m:acc>
                          </m:e>
                          <m:sub>
                            <m:r>
                              <w:rPr>
                                <w:rFonts w:ascii="Cambria Math" w:hAnsi="Cambria Math"/>
                              </w:rPr>
                              <m:t>i</m:t>
                            </m:r>
                          </m:sub>
                        </m:sSub>
                        <m:r>
                          <w:rPr>
                            <w:rFonts w:ascii="Cambria Math" w:hAnsi="Cambria Math"/>
                          </w:rPr>
                          <m:t>)</m:t>
                        </m:r>
                      </m:e>
                      <m:sup>
                        <m:r>
                          <w:rPr>
                            <w:rFonts w:ascii="Cambria Math" w:hAnsi="Cambria Math"/>
                          </w:rPr>
                          <m:t>2</m:t>
                        </m:r>
                      </m:sup>
                    </m:sSup>
                  </m:e>
                </m:nary>
              </m:oMath>
            </m:oMathPara>
          </w:p>
        </w:tc>
        <w:tc>
          <w:tcPr>
            <w:tcW w:w="467" w:type="pct"/>
          </w:tcPr>
          <w:p w14:paraId="7EB766F4" w14:textId="051FB405" w:rsidR="00E2359E" w:rsidRPr="00CC6CA3" w:rsidRDefault="00E2359E" w:rsidP="00F632C0">
            <w:pPr>
              <w:pStyle w:val="Body"/>
              <w:jc w:val="right"/>
            </w:pPr>
            <w:bookmarkStart w:id="117" w:name="_Toc467684060"/>
            <w:bookmarkStart w:id="118" w:name="_Ref47019566"/>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5</w:t>
            </w:r>
            <w:r w:rsidR="00D62691" w:rsidRPr="00CC6CA3">
              <w:rPr>
                <w:noProof/>
              </w:rPr>
              <w:fldChar w:fldCharType="end"/>
            </w:r>
            <w:r w:rsidRPr="00CC6CA3">
              <w:t>)</w:t>
            </w:r>
            <w:bookmarkEnd w:id="117"/>
            <w:bookmarkEnd w:id="118"/>
          </w:p>
        </w:tc>
      </w:tr>
    </w:tbl>
    <w:p w14:paraId="5509BFBB" w14:textId="413D4325" w:rsidR="00E2359E" w:rsidRPr="00CC6CA3" w:rsidRDefault="00E2359E" w:rsidP="00E2359E">
      <w:r w:rsidRPr="00CC6CA3">
        <w:t xml:space="preserve">where </w:t>
      </w:r>
      <m:oMath>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i</m:t>
            </m:r>
          </m:sub>
        </m:sSub>
      </m:oMath>
      <w:r w:rsidRPr="00CC6CA3">
        <w:t xml:space="preserve"> are the reconstructed values of </w:t>
      </w:r>
      <m:oMath>
        <m:sSub>
          <m:sSubPr>
            <m:ctrlPr>
              <w:rPr>
                <w:rFonts w:ascii="Cambria Math" w:hAnsi="Cambria Math"/>
              </w:rPr>
            </m:ctrlPr>
          </m:sSubPr>
          <m:e>
            <m:r>
              <w:rPr>
                <w:rFonts w:ascii="Cambria Math" w:hAnsi="Cambria Math"/>
              </w:rPr>
              <m:t>x</m:t>
            </m:r>
          </m:e>
          <m:sub>
            <m:r>
              <w:rPr>
                <w:rFonts w:ascii="Cambria Math" w:hAnsi="Cambria Math"/>
              </w:rPr>
              <m:t>i</m:t>
            </m:r>
          </m:sub>
        </m:sSub>
      </m:oMath>
      <w:r w:rsidRPr="00CC6CA3">
        <w:t xml:space="preserve">. </w:t>
      </w:r>
      <m:oMath>
        <m:r>
          <w:rPr>
            <w:rFonts w:ascii="Cambria Math" w:hAnsi="Cambria Math"/>
          </w:rPr>
          <m:t>k</m:t>
        </m:r>
      </m:oMath>
      <w:r w:rsidRPr="00CC6CA3">
        <w:t xml:space="preserve"> is the total number of variables. </w:t>
      </w:r>
      <m:oMath>
        <m:r>
          <w:rPr>
            <w:rFonts w:ascii="Cambria Math" w:hAnsi="Cambria Math"/>
          </w:rPr>
          <m:t>Q</m:t>
        </m:r>
      </m:oMath>
      <w:r w:rsidRPr="00CC6CA3">
        <w:t xml:space="preserve"> can be considered as the squared Euclidean distance in the reduced dimensional space </w:t>
      </w:r>
      <w:r w:rsidRPr="00CC6CA3">
        <w:fldChar w:fldCharType="begin" w:fldLock="1"/>
      </w:r>
      <w:r w:rsidR="007D1BCC" w:rsidRPr="00CC6CA3">
        <w:instrText xml:space="preserve"> ADDIN ZOTERO_ITEM CSL_CITATION {"citationID":"bQklxCxB","properties":{"formattedCitation":"[77]","plainCitation":"[77]","noteIndex":0},"citationItems":[{"id":"jMlmauCg/nETTySkF","uris":["http://www.mendeley.com/documents/?uuid=1365040b-589c-4241-8c08-d1df66772b17"],"uri":["http://www.mendeley.com/documents/?uuid=1365040b-589c-4241-8c08-d1df66772b17"],"itemData":{"author":[{"dropping-particle":"","family":"Ketelaere","given":"Bart D E","non-dropping-particle":"","parse-names":false,"suffix":""},{"dropping-particle":"","family":"Hubert","given":"M I A","non-dropping-particle":"","parse-names":false,"suffix":""},{"dropping-particle":"","family":"Schmitt","given":"Eric","non-dropping-particle":"","parse-names":false,"suffix":""}],"container-title":"Journal of Quality Technology","id":"ITEM-1","issue":"4","issued":{"date-parts":[["2015"]]},"page":"318-335","title":"Overview of PCA-Based Statistical Process-Monitoring Methods for Time-Dependent , High-Dimensional Data","type":"article-journal","volume":"47"}}],"schema":"https://github.com/citation-style-language/schema/raw/master/csl-citation.json"} </w:instrText>
      </w:r>
      <w:r w:rsidRPr="00CC6CA3">
        <w:fldChar w:fldCharType="separate"/>
      </w:r>
      <w:r w:rsidR="00854B0F" w:rsidRPr="00CC6CA3">
        <w:rPr>
          <w:rFonts w:cs="Times New Roman"/>
        </w:rPr>
        <w:t>[77]</w:t>
      </w:r>
      <w:r w:rsidRPr="00CC6CA3">
        <w:fldChar w:fldCharType="end"/>
      </w:r>
      <w:r w:rsidRPr="00CC6CA3">
        <w:t>. Reference</w:t>
      </w:r>
      <w:r w:rsidR="00035637" w:rsidRPr="00CC6CA3">
        <w:t>s</w:t>
      </w:r>
      <w:r w:rsidRPr="00CC6CA3">
        <w:t xml:space="preserve"> </w:t>
      </w:r>
      <w:r w:rsidRPr="00CC6CA3">
        <w:fldChar w:fldCharType="begin" w:fldLock="1"/>
      </w:r>
      <w:r w:rsidR="007D1BCC" w:rsidRPr="00CC6CA3">
        <w:instrText xml:space="preserve"> ADDIN ZOTERO_ITEM CSL_CITATION {"citationID":"EcJ4U1nI","properties":{"formattedCitation":"[75]\\uc0\\u8211{}[80]","plainCitation":"[75]–[80]","noteIndex":0},"citationItems":[{"id":"jMlmauCg/IgiHCFVZ","uris":["http://www.mendeley.com/documents/?uuid=ca6e9400-1085-41dc-b87e-d872d6ac14a9"],"uri":["http://www.mendeley.com/documents/?uuid=ca6e9400-1085-41dc-b87e-d872d6ac14a9"],"itemData":{"DOI":"10.1016/0169-7439(95)80036-9","ISBN":"0169-7439","ISSN":"01697439","PMID":"25219","abstract":"Multivariate statistical methods for the analysis, monitoring and diagnosis of process operating performance are becoming more important because of the availability of on-line process computers which routinely collect measurements on large numbers of process variables. Traditional univariate control charts have been extended to multivariate quality control situations using the Hotelling T2 statistic. Recent approaches to multivariate statistical process control which utilize not only product quality data (Y), but also all of the available process variable data (X) are based on multivariate statistical projection methods (principal component analysis, (PCA), partial least squares, (PLS), multi-block PLS and multi-way PCA). An overview of these methods and their use in the statistical process control of multivariate continuous and batch processes is presented. Applications are provided on the analysis of historical data from the catalytic cracking section of a large petroleum refinery, on the monitoring and diagnosis of a continuous polymerization process and on the monitoring of an industrial batch process.","author":[{"dropping-particle":"","family":"Kourti","given":"Theodora","non-dropping-particle":"","parse-names":false,"suffix":""},{"dropping-particle":"","family":"MacGregor","given":"Jf F John F.","non-dropping-particle":"","parse-names":false,"suffix":""}],"container-title":"Chemometrics and intelligent laboratory systems","id":"ITEM-1","issued":{"date-parts":[["1995"]]},"page":"3-21","title":"Process analysis, monitoring and diagnosis, using multivariate projection methods","type":"article-journal","volume":"28"}},{"id":"jMlmauCg/ZxA2eIIp","uris":["http://www.mendeley.com/documents/?uuid=d97d942f-8893-4ea5-9dd8-1c062f7c6458"],"uri":["http://www.mendeley.com/documents/?uuid=d97d942f-8893-4ea5-9dd8-1c062f7c6458"],"itemData":{"DOI":"10.1002/acs.859","ISBN":"0890-6327","ISSN":"08906327","abstract":"Multivariate monitoring and control schemes based on latent variable methods have been receiving increasing attention by industrial practitioners in the last 15 years. Several companies have enthusiastically adopted the methods and have reported many success stories. Applications have been reported where multivariate statistical process control, fault detection and diagnosis is achieved by utilizing the latent variable space, for continuous and batch processes, as well as, for process transitions as for example start ups and re-starts. This paper gives an overview of the latest developments in multivariate statistical process control (MSPC) and its application for fault detection and isolation (FDI) in industrial processes. It provides a critical review of the methodology and describes how it is transferred to the industrial environment. Recent applications of latent variable methods to process control as well as to image analysis for monitoring and feedback control are discussed. Finally it is emphasized that the multivariate nature of the data should be preserved when data compression and data preprocessing is applied. It is shown that univariate data compression and reconstruction may hinder the validity of multivariate analysis by introducing spurious correlations.","author":[{"dropping-particle":"","family":"Kourti","given":"Theodora","non-dropping-particle":"","parse-names":false,"suffix":""}],"container-title":"International Journal of Adaptive Control and Signal Processing","id":"ITEM-2","issue":"4","issued":{"date-parts":[["2005"]]},"page":"213-246","title":"Application of latent variable methods to process control and multivariate statistical process control in industry","type":"article-journal","volume":"19"}},{"id":"jMlmauCg/nETTySkF","uris":["http://www.mendeley.com/documents/?uuid=1365040b-589c-4241-8c08-d1df66772b17"],"uri":["http://www.mendeley.com/documents/?uuid=1365040b-589c-4241-8c08-d1df66772b17"],"itemData":{"author":[{"dropping-particle":"","family":"Ketelaere","given":"Bart D E","non-dropping-particle":"","parse-names":false,"suffix":""},{"dropping-particle":"","family":"Hubert","given":"M I A","non-dropping-particle":"","parse-names":false,"suffix":""},{"dropping-particle":"","family":"Schmitt","given":"Eric","non-dropping-particle":"","parse-names":false,"suffix":""}],"container-title":"Journal of Quality Technology","id":"ITEM-3","issue":"4","issued":{"date-parts":[["2015"]]},"page":"318-335","title":"Overview of PCA-Based Statistical Process-Monitoring Methods for Time-Dependent , High-Dimensional Data","type":"article-journal","volume":"47"}},{"id":"jMlmauCg/mCCrBgBB","uris":["http://www.mendeley.com/documents/?uuid=42f1e7f9-d46c-4fff-9021-64403446df98"],"uri":["http://www.mendeley.com/documents/?uuid=42f1e7f9-d46c-4fff-9021-64403446df98"],"itemData":{"DOI":"10.1016/j.arcontrol.2012.09.004","ISBN":"1367-5788","ISSN":"13675788","abstract":"This paper provides a state-of-the-art review of the methods and applications of data-driven fault detection and diagnosis that have been developed over the last two decades. The scope of the problem is described with reference to the scale and complexity of industrial process operations, where multi-level hierarchical optimization and control are necessary for efficient operation, but are also prone to hard failure and soft operational faults that lead to economic losses. Commonly used multivariate statistical tools are introduced to characterize normal variations and detect abnormal changes. Further, diagnosis methods are surveyed and analyzed, with fault detectability and fault identifiability for rigorous analysis. Challenges, opportunities, and extensions are summarized with the intent to draw attention from the systems and control community and the process control community. ?? 2012 Elsevier Ltd. All rights reserved.","author":[{"dropping-particle":"","family":"Qin","given":"S. Joe","non-dropping-particle":"","parse-names":false,"suffix":""}],"container-title":"Annual Reviews in Control","id":"ITEM-4","issue":"2","issued":{"date-parts":[["2012"]]},"page":"220-234","publisher":"Elsevier Ltd","title":"Survey on data-driven industrial process monitoring and diagnosis","type":"article-journal","volume":"36"}},{"id":"jMlmauCg/peLFblNK","uris":["http://www.mendeley.com/documents/?uuid=0440bb65-4592-4114-9c72-d1abcb52afa1"],"uri":["http://www.mendeley.com/documents/?uuid=0440bb65-4592-4114-9c72-d1abcb52afa1"],"itemData":{"DOI":"10.1002/9780470517253","ISBN":"9780470517253","author":[{"dropping-particle":"","family":"Kruger","given":"Uwe","non-dropping-particle":"","parse-names":false,"suffix":""},{"dropping-particle":"","family":"Xie","given":"Lei","non-dropping-particle":"","parse-names":false,"suffix":""}],"id":"ITEM-5","issued":{"date-parts":[["2012","9","21"]]},"publisher":"John Wiley &amp; Sons, Ltd","publisher-place":"Chichester, UK","title":"Statistical Monitoring of Complex Multivariate Processes","type":"book"}},{"id":"jMlmauCg/yLYczdAp","uris":["http://www.mendeley.com/documents/?uuid=819905af-7f6e-4e84-8096-c2a73217fa5c"],"uri":["http://www.mendeley.com/documents/?uuid=819905af-7f6e-4e84-8096-c2a73217fa5c"],"itemData":{"DOI":"10.1080/00401706.1995.10485888","ISSN":"0040-1706","abstract":"The problem of using time-varying trajectory data measured on many process variables over the finite duration of a batch process is considered. Multiway principal-component analysis is used to compress the information contained in the data trajectories into low-dimensional spaces that describe the operation of past batches. This approach facilitates the analysis of operational and quality-control problems in past batches and allows for the development of multivariate statistical process control charts for on-line monitoring of the progress of new batches. Control limits for the proposed charts are developed using information from the historical reference distribution of past successful batches. The method is applied to data collected from an industrial batch polymerization reactor.","author":[{"dropping-particle":"","family":"Nomikos","given":"Paul","non-dropping-particle":"","parse-names":false,"suffix":""},{"dropping-particle":"","family":"MacGregor","given":"John F.","non-dropping-particle":"","parse-names":false,"suffix":""}],"container-title":"Technometrics","id":"ITEM-6","issue":"1","issued":{"date-parts":[["1995","2"]]},"page":"41-59","title":"Multivariate SPC Charts for Monitoring Batch Processes","type":"article-journal","volume":"37"}}],"schema":"https://github.com/citation-style-language/schema/raw/master/csl-citation.json"} </w:instrText>
      </w:r>
      <w:r w:rsidRPr="00CC6CA3">
        <w:fldChar w:fldCharType="separate"/>
      </w:r>
      <w:r w:rsidR="00854B0F" w:rsidRPr="00CC6CA3">
        <w:rPr>
          <w:rFonts w:cs="Times New Roman"/>
          <w:szCs w:val="24"/>
        </w:rPr>
        <w:t>[75]–[80]</w:t>
      </w:r>
      <w:r w:rsidRPr="00CC6CA3">
        <w:fldChar w:fldCharType="end"/>
      </w:r>
      <w:r w:rsidRPr="00CC6CA3">
        <w:t xml:space="preserve"> provide various propositions about the control limits of this metric. A threshold of</w:t>
      </w:r>
      <w:r w:rsidR="00035637" w:rsidRPr="00CC6CA3">
        <w:t xml:space="preserve"> the</w:t>
      </w:r>
      <w:r w:rsidRPr="00CC6CA3">
        <w:t xml:space="preserve"> </w:t>
      </w:r>
      <m:oMath>
        <m:r>
          <w:rPr>
            <w:rFonts w:ascii="Cambria Math" w:hAnsi="Cambria Math"/>
          </w:rPr>
          <m:t>Q</m:t>
        </m:r>
      </m:oMath>
      <w:r w:rsidRPr="00CC6CA3">
        <w:rPr>
          <w:iCs/>
        </w:rPr>
        <w:t xml:space="preserve"> </w:t>
      </w:r>
      <w:r w:rsidRPr="00CC6CA3">
        <w:t xml:space="preserve">metric in </w:t>
      </w:r>
      <w:r w:rsidRPr="00CC6CA3">
        <w:fldChar w:fldCharType="begin" w:fldLock="1"/>
      </w:r>
      <w:r w:rsidR="007D1BCC" w:rsidRPr="00CC6CA3">
        <w:instrText xml:space="preserve"> ADDIN ZOTERO_ITEM CSL_CITATION {"citationID":"wRi8orgC","properties":{"formattedCitation":"[76], [80]","plainCitation":"[76], [80]","noteIndex":0},"citationItems":[{"id":"jMlmauCg/yLYczdAp","uris":["http://www.mendeley.com/documents/?uuid=819905af-7f6e-4e84-8096-c2a73217fa5c"],"uri":["http://www.mendeley.com/documents/?uuid=819905af-7f6e-4e84-8096-c2a73217fa5c"],"itemData":{"DOI":"10.1080/00401706.1995.10485888","ISSN":"0040-1706","abstract":"The problem of using time-varying trajectory data measured on many process variables over the finite duration of a batch process is considered. Multiway principal-component analysis is used to compress the information contained in the data trajectories into low-dimensional spaces that describe the operation of past batches. This approach facilitates the analysis of operational and quality-control problems in past batches and allows for the development of multivariate statistical process control charts for on-line monitoring of the progress of new batches. Control limits for the proposed charts are developed using information from the historical reference distribution of past successful batches. The method is applied to data collected from an industrial batch polymerization reactor.","author":[{"dropping-particle":"","family":"Nomikos","given":"Paul","non-dropping-particle":"","parse-names":false,"suffix":""},{"dropping-particle":"","family":"MacGregor","given":"John F.","non-dropping-particle":"","parse-names":false,"suffix":""}],"container-title":"Technometrics","id":"ITEM-1","issue":"1","issued":{"date-parts":[["1995","2"]]},"page":"41-59","title":"Multivariate SPC Charts for Monitoring Batch Processes","type":"article-journal","volume":"37"}},{"id":"jMlmauCg/ZxA2eIIp","uris":["http://www.mendeley.com/documents/?uuid=d97d942f-8893-4ea5-9dd8-1c062f7c6458"],"uri":["http://www.mendeley.com/documents/?uuid=d97d942f-8893-4ea5-9dd8-1c062f7c6458"],"itemData":{"DOI":"10.1002/acs.859","ISBN":"0890-6327","ISSN":"08906327","abstract":"Multivariate monitoring and control schemes based on latent variable methods have been receiving increasing attention by industrial practitioners in the last 15 years. Several companies have enthusiastically adopted the methods and have reported many success stories. Applications have been reported where multivariate statistical process control, fault detection and diagnosis is achieved by utilizing the latent variable space, for continuous and batch processes, as well as, for process transitions as for example start ups and re-starts. This paper gives an overview of the latest developments in multivariate statistical process control (MSPC) and its application for fault detection and isolation (FDI) in industrial processes. It provides a critical review of the methodology and describes how it is transferred to the industrial environment. Recent applications of latent variable methods to process control as well as to image analysis for monitoring and feedback control are discussed. Finally it is emphasized that the multivariate nature of the data should be preserved when data compression and data preprocessing is applied. It is shown that univariate data compression and reconstruction may hinder the validity of multivariate analysis by introducing spurious correlations.","author":[{"dropping-particle":"","family":"Kourti","given":"Theodora","non-dropping-particle":"","parse-names":false,"suffix":""}],"container-title":"International Journal of Adaptive Control and Signal Processing","id":"ITEM-2","issue":"4","issued":{"date-parts":[["2005"]]},"page":"213-246","title":"Application of latent variable methods to process control and multivariate statistical process control in industry","type":"article-journal","volume":"19"}}],"schema":"https://github.com/citation-style-language/schema/raw/master/csl-citation.json"} </w:instrText>
      </w:r>
      <w:r w:rsidRPr="00CC6CA3">
        <w:fldChar w:fldCharType="separate"/>
      </w:r>
      <w:r w:rsidR="00854B0F" w:rsidRPr="00CC6CA3">
        <w:rPr>
          <w:rFonts w:cs="Times New Roman"/>
        </w:rPr>
        <w:t>[76], [80]</w:t>
      </w:r>
      <w:r w:rsidRPr="00CC6CA3">
        <w:fldChar w:fldCharType="end"/>
      </w:r>
      <w:r w:rsidRPr="00CC6CA3">
        <w:t xml:space="preserve"> was written as:</w:t>
      </w:r>
    </w:p>
    <w:tbl>
      <w:tblPr>
        <w:tblW w:w="0" w:type="auto"/>
        <w:tblLook w:val="00A0" w:firstRow="1" w:lastRow="0" w:firstColumn="1" w:lastColumn="0" w:noHBand="0" w:noVBand="0"/>
      </w:tblPr>
      <w:tblGrid>
        <w:gridCol w:w="7905"/>
        <w:gridCol w:w="815"/>
      </w:tblGrid>
      <w:tr w:rsidR="00CC6CA3" w:rsidRPr="00CC6CA3" w14:paraId="017F1B97" w14:textId="77777777" w:rsidTr="00F632C0">
        <w:tc>
          <w:tcPr>
            <w:tcW w:w="7905" w:type="dxa"/>
          </w:tcPr>
          <w:p w14:paraId="720D4A30" w14:textId="77777777" w:rsidR="00E2359E" w:rsidRPr="00CC6CA3" w:rsidRDefault="00D62691" w:rsidP="00F632C0">
            <w:pPr>
              <w:pStyle w:val="Body"/>
              <w:rPr>
                <w:i/>
                <w:iCs/>
              </w:rPr>
            </w:pPr>
            <m:oMathPara>
              <m:oMath>
                <m:sSub>
                  <m:sSubPr>
                    <m:ctrlPr>
                      <w:rPr>
                        <w:rFonts w:ascii="Cambria Math" w:hAnsi="Cambria Math"/>
                        <w:i/>
                        <w:iCs/>
                      </w:rPr>
                    </m:ctrlPr>
                  </m:sSubPr>
                  <m:e>
                    <m:r>
                      <w:rPr>
                        <w:rFonts w:ascii="Cambria Math" w:hAnsi="Cambria Math"/>
                      </w:rPr>
                      <m:t>Q</m:t>
                    </m:r>
                  </m:e>
                  <m:sub>
                    <m:r>
                      <w:rPr>
                        <w:rFonts w:ascii="Cambria Math" w:hAnsi="Cambria Math"/>
                      </w:rPr>
                      <m:t>UCL</m:t>
                    </m:r>
                  </m:sub>
                </m:sSub>
                <m:r>
                  <w:rPr>
                    <w:rFonts w:ascii="Cambria Math" w:hAnsi="Cambria Math"/>
                  </w:rPr>
                  <m:t>=</m:t>
                </m:r>
                <m:f>
                  <m:fPr>
                    <m:ctrlPr>
                      <w:rPr>
                        <w:rFonts w:ascii="Cambria Math" w:hAnsi="Cambria Math"/>
                        <w:i/>
                        <w:iCs/>
                      </w:rPr>
                    </m:ctrlPr>
                  </m:fPr>
                  <m:num>
                    <m:r>
                      <w:rPr>
                        <w:rFonts w:ascii="Cambria Math" w:hAnsi="Cambria Math"/>
                      </w:rPr>
                      <m:t>v</m:t>
                    </m:r>
                  </m:num>
                  <m:den>
                    <m:r>
                      <w:rPr>
                        <w:rFonts w:ascii="Cambria Math" w:hAnsi="Cambria Math"/>
                      </w:rPr>
                      <m:t>2b</m:t>
                    </m:r>
                  </m:den>
                </m:f>
                <m:sSubSup>
                  <m:sSubSupPr>
                    <m:ctrlPr>
                      <w:rPr>
                        <w:rFonts w:ascii="Cambria Math" w:hAnsi="Cambria Math"/>
                        <w:i/>
                        <w:iCs/>
                      </w:rPr>
                    </m:ctrlPr>
                  </m:sSubSupPr>
                  <m:e>
                    <m:r>
                      <w:rPr>
                        <w:rFonts w:ascii="Cambria Math" w:hAnsi="Cambria Math"/>
                      </w:rPr>
                      <m:t>χ</m:t>
                    </m:r>
                  </m:e>
                  <m:sub>
                    <m:r>
                      <w:rPr>
                        <w:rFonts w:ascii="Cambria Math" w:hAnsi="Cambria Math"/>
                      </w:rPr>
                      <m:t>a</m:t>
                    </m:r>
                  </m:sub>
                  <m:sup>
                    <m:r>
                      <w:rPr>
                        <w:rFonts w:ascii="Cambria Math" w:hAnsi="Cambria Math"/>
                      </w:rPr>
                      <m:t>2</m:t>
                    </m:r>
                  </m:sup>
                </m:sSubSup>
                <m:f>
                  <m:fPr>
                    <m:ctrlPr>
                      <w:rPr>
                        <w:rFonts w:ascii="Cambria Math" w:hAnsi="Cambria Math"/>
                        <w:i/>
                        <w:iCs/>
                      </w:rPr>
                    </m:ctrlPr>
                  </m:fPr>
                  <m:num>
                    <m:r>
                      <w:rPr>
                        <w:rFonts w:ascii="Cambria Math" w:hAnsi="Cambria Math"/>
                      </w:rPr>
                      <m:t>(</m:t>
                    </m:r>
                    <m:sSup>
                      <m:sSupPr>
                        <m:ctrlPr>
                          <w:rPr>
                            <w:rFonts w:ascii="Cambria Math" w:hAnsi="Cambria Math"/>
                            <w:i/>
                            <w:iCs/>
                          </w:rPr>
                        </m:ctrlPr>
                      </m:sSupPr>
                      <m:e>
                        <m:r>
                          <w:rPr>
                            <w:rFonts w:ascii="Cambria Math" w:hAnsi="Cambria Math"/>
                          </w:rPr>
                          <m:t>2b)</m:t>
                        </m:r>
                      </m:e>
                      <m:sup>
                        <m:r>
                          <w:rPr>
                            <w:rFonts w:ascii="Cambria Math" w:hAnsi="Cambria Math"/>
                          </w:rPr>
                          <m:t>2</m:t>
                        </m:r>
                      </m:sup>
                    </m:sSup>
                  </m:num>
                  <m:den>
                    <m:r>
                      <w:rPr>
                        <w:rFonts w:ascii="Cambria Math" w:hAnsi="Cambria Math"/>
                      </w:rPr>
                      <m:t>v</m:t>
                    </m:r>
                  </m:den>
                </m:f>
              </m:oMath>
            </m:oMathPara>
          </w:p>
        </w:tc>
        <w:tc>
          <w:tcPr>
            <w:tcW w:w="815" w:type="dxa"/>
          </w:tcPr>
          <w:p w14:paraId="02E40ACD" w14:textId="38D305FA" w:rsidR="00E2359E" w:rsidRPr="00CC6CA3" w:rsidRDefault="00E2359E" w:rsidP="00F632C0">
            <w:pPr>
              <w:pStyle w:val="Body"/>
            </w:pPr>
            <w:bookmarkStart w:id="119" w:name="_Toc467684061"/>
            <w:bookmarkStart w:id="120" w:name="_Ref60217494"/>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6</w:t>
            </w:r>
            <w:r w:rsidR="00D62691" w:rsidRPr="00CC6CA3">
              <w:rPr>
                <w:noProof/>
              </w:rPr>
              <w:fldChar w:fldCharType="end"/>
            </w:r>
            <w:r w:rsidRPr="00CC6CA3">
              <w:t>)</w:t>
            </w:r>
            <w:bookmarkEnd w:id="119"/>
            <w:bookmarkEnd w:id="120"/>
          </w:p>
        </w:tc>
      </w:tr>
    </w:tbl>
    <w:p w14:paraId="04521D6B" w14:textId="0ED243F6" w:rsidR="00E2359E" w:rsidRPr="00CC6CA3" w:rsidRDefault="00E2359E" w:rsidP="00E2359E">
      <w:r w:rsidRPr="00CC6CA3">
        <w:t xml:space="preserve">where </w:t>
      </w:r>
      <m:oMath>
        <m:r>
          <w:rPr>
            <w:rFonts w:ascii="Cambria Math" w:hAnsi="Cambria Math"/>
          </w:rPr>
          <m:t>a</m:t>
        </m:r>
      </m:oMath>
      <w:r w:rsidRPr="00CC6CA3">
        <w:rPr>
          <w:iCs/>
        </w:rPr>
        <w:t xml:space="preserve"> denotes the signiﬁcance level. </w:t>
      </w:r>
      <m:oMath>
        <m:r>
          <w:rPr>
            <w:rFonts w:ascii="Cambria Math" w:hAnsi="Cambria Math"/>
          </w:rPr>
          <m:t>b</m:t>
        </m:r>
      </m:oMath>
      <w:r w:rsidRPr="00CC6CA3">
        <w:rPr>
          <w:iCs/>
        </w:rPr>
        <w:t xml:space="preserve"> and </w:t>
      </w:r>
      <m:oMath>
        <m:r>
          <w:rPr>
            <w:rFonts w:ascii="Cambria Math" w:hAnsi="Cambria Math"/>
          </w:rPr>
          <m:t>v</m:t>
        </m:r>
      </m:oMath>
      <w:r w:rsidRPr="00CC6CA3">
        <w:rPr>
          <w:iCs/>
        </w:rPr>
        <w:t xml:space="preserve"> are the </w:t>
      </w:r>
      <w:r w:rsidR="00035637" w:rsidRPr="00CC6CA3">
        <w:rPr>
          <w:iCs/>
        </w:rPr>
        <w:t xml:space="preserve">mean and variance, respectively, of the Chi-square distribution of the </w:t>
      </w:r>
      <m:oMath>
        <m:r>
          <w:rPr>
            <w:rFonts w:ascii="Cambria Math" w:hAnsi="Cambria Math"/>
          </w:rPr>
          <m:t>Q</m:t>
        </m:r>
      </m:oMath>
      <w:r w:rsidR="00035637" w:rsidRPr="00CC6CA3">
        <w:rPr>
          <w:iCs/>
        </w:rPr>
        <w:t xml:space="preserve"> </w:t>
      </w:r>
      <w:r w:rsidR="00035637" w:rsidRPr="00CC6CA3">
        <w:t>metric</w:t>
      </w:r>
      <w:r w:rsidR="00035637" w:rsidRPr="00CC6CA3">
        <w:rPr>
          <w:iCs/>
        </w:rPr>
        <w:t xml:space="preserve"> at any time interval</w:t>
      </w:r>
      <w:r w:rsidRPr="00CC6CA3">
        <w:rPr>
          <w:iCs/>
        </w:rPr>
        <w:t>.</w:t>
      </w:r>
      <w:r w:rsidRPr="00CC6CA3">
        <w:t xml:space="preserve"> </w:t>
      </w:r>
    </w:p>
    <w:p w14:paraId="5D3F46C3" w14:textId="77777777" w:rsidR="00E2359E" w:rsidRPr="00CC6CA3" w:rsidRDefault="00E2359E" w:rsidP="00E2359E">
      <w:pPr>
        <w:pStyle w:val="Heading5"/>
      </w:pPr>
      <w:r w:rsidRPr="00CC6CA3">
        <w:t xml:space="preserve">Mahalanobis distance </w:t>
      </w:r>
    </w:p>
    <w:p w14:paraId="5F8A9D0E" w14:textId="23A07F3A" w:rsidR="00E2359E" w:rsidRPr="00CC6CA3" w:rsidRDefault="00E2359E" w:rsidP="00E2359E">
      <w:pPr>
        <w:rPr>
          <w:iCs/>
        </w:rPr>
      </w:pPr>
      <w:r w:rsidRPr="00CC6CA3">
        <w:rPr>
          <w:iCs/>
        </w:rPr>
        <w:t>The Mahalanobis distance (MD) was proposed by Indian statistician Mahalanobis to represent the covariance distance of the data</w:t>
      </w:r>
      <w:r w:rsidR="00B3098D" w:rsidRPr="00CC6CA3">
        <w:rPr>
          <w:iCs/>
        </w:rPr>
        <w:t xml:space="preserve"> </w:t>
      </w:r>
      <w:r w:rsidR="00B3098D" w:rsidRPr="00CC6CA3">
        <w:rPr>
          <w:iCs/>
        </w:rPr>
        <w:fldChar w:fldCharType="begin"/>
      </w:r>
      <w:r w:rsidR="007D1BCC" w:rsidRPr="00CC6CA3">
        <w:rPr>
          <w:iCs/>
        </w:rPr>
        <w:instrText xml:space="preserve"> ADDIN ZOTERO_ITEM CSL_CITATION {"citationID":"2BY9VEJY","properties":{"formattedCitation":"[82]","plainCitation":"[82]","noteIndex":0},"citationItems":[{"id":1029,"uris":["http://zotero.org/users/3051968/items/PWGBAI99"],"uri":["http://zotero.org/users/3051968/items/PWGBAI99"],"itemData":{"id":1029,"type":"article-journal","container-title":"Applied Sciences","issue":"19","note":"publisher: Multidisciplinary Digital Publishing Institute","page":"6789","source":"Google Scholar","title":"A Sparse Autoencoder-Based Unsupervised Scheme for Pump Fault Detection and Isolation","volume":"10","author":[{"family":"Liang","given":"Xiaoxia"},{"family":"Duan","given":"Fang"},{"family":"Bennett","given":"Ian"},{"family":"Mba","given":"David"}],"issued":{"date-parts":[["2020"]]}}}],"schema":"https://github.com/citation-style-language/schema/raw/master/csl-citation.json"} </w:instrText>
      </w:r>
      <w:r w:rsidR="00B3098D" w:rsidRPr="00CC6CA3">
        <w:rPr>
          <w:iCs/>
        </w:rPr>
        <w:fldChar w:fldCharType="separate"/>
      </w:r>
      <w:r w:rsidR="007D1BCC" w:rsidRPr="00CC6CA3">
        <w:rPr>
          <w:rFonts w:cs="Times New Roman"/>
        </w:rPr>
        <w:t>[82]</w:t>
      </w:r>
      <w:r w:rsidR="00B3098D" w:rsidRPr="00CC6CA3">
        <w:rPr>
          <w:iCs/>
        </w:rPr>
        <w:fldChar w:fldCharType="end"/>
      </w:r>
      <w:r w:rsidRPr="00CC6CA3">
        <w:rPr>
          <w:iCs/>
        </w:rPr>
        <w:t xml:space="preserve">. Unlike the Euclidean distance, the MD is a unitless distance measurement, </w:t>
      </w:r>
      <w:r w:rsidRPr="00CC6CA3">
        <w:t>and</w:t>
      </w:r>
      <w:r w:rsidRPr="00CC6CA3">
        <w:rPr>
          <w:iCs/>
        </w:rPr>
        <w:t xml:space="preserve"> it </w:t>
      </w:r>
      <w:proofErr w:type="gramStart"/>
      <w:r w:rsidRPr="00CC6CA3">
        <w:rPr>
          <w:iCs/>
        </w:rPr>
        <w:t>takes into account</w:t>
      </w:r>
      <w:proofErr w:type="gramEnd"/>
      <w:r w:rsidRPr="00CC6CA3">
        <w:rPr>
          <w:iCs/>
        </w:rPr>
        <w:t xml:space="preserve"> the correlations among variables. The MD provides a univariate distance value for multivariate data, and therefore, was applied in anomaly detection models. MD can be calculated by Equation </w:t>
      </w:r>
      <w:r w:rsidRPr="00CC6CA3">
        <w:rPr>
          <w:iCs/>
        </w:rPr>
        <w:fldChar w:fldCharType="begin"/>
      </w:r>
      <w:r w:rsidRPr="00CC6CA3">
        <w:rPr>
          <w:iCs/>
        </w:rPr>
        <w:instrText xml:space="preserve"> REF _Ref60217559 \h </w:instrText>
      </w:r>
      <w:r w:rsidRPr="00CC6CA3">
        <w:rPr>
          <w:iCs/>
        </w:rPr>
      </w:r>
      <w:r w:rsidRPr="00CC6CA3">
        <w:rPr>
          <w:iCs/>
        </w:rPr>
        <w:fldChar w:fldCharType="separate"/>
      </w:r>
      <w:r w:rsidR="001906D9" w:rsidRPr="00CC6CA3">
        <w:t>(</w:t>
      </w:r>
      <w:r w:rsidR="001906D9" w:rsidRPr="00CC6CA3">
        <w:rPr>
          <w:noProof/>
        </w:rPr>
        <w:t>2</w:t>
      </w:r>
      <w:r w:rsidR="001906D9" w:rsidRPr="00CC6CA3">
        <w:noBreakHyphen/>
      </w:r>
      <w:r w:rsidR="001906D9" w:rsidRPr="00CC6CA3">
        <w:rPr>
          <w:noProof/>
        </w:rPr>
        <w:t>7</w:t>
      </w:r>
      <w:r w:rsidR="001906D9" w:rsidRPr="00CC6CA3">
        <w:t>)</w:t>
      </w:r>
      <w:r w:rsidRPr="00CC6CA3">
        <w:rPr>
          <w:iCs/>
        </w:rPr>
        <w:fldChar w:fldCharType="end"/>
      </w:r>
      <w:r w:rsidRPr="00CC6CA3">
        <w:rPr>
          <w:iC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9"/>
        <w:gridCol w:w="696"/>
      </w:tblGrid>
      <w:tr w:rsidR="00CC6CA3" w:rsidRPr="00CC6CA3" w14:paraId="7C8CF244" w14:textId="77777777" w:rsidTr="00F632C0">
        <w:tc>
          <w:tcPr>
            <w:tcW w:w="4684" w:type="pct"/>
            <w:vAlign w:val="center"/>
          </w:tcPr>
          <w:p w14:paraId="63B81BEB" w14:textId="77777777" w:rsidR="00E2359E" w:rsidRPr="00CC6CA3" w:rsidRDefault="00D62691" w:rsidP="00F632C0">
            <w:pPr>
              <w:rPr>
                <w:iCs/>
              </w:rPr>
            </w:pPr>
            <m:oMathPara>
              <m:oMath>
                <m:sSub>
                  <m:sSubPr>
                    <m:ctrlPr>
                      <w:rPr>
                        <w:rFonts w:ascii="Cambria Math" w:hAnsi="Cambria Math"/>
                        <w:iCs/>
                      </w:rPr>
                    </m:ctrlPr>
                  </m:sSubPr>
                  <m:e>
                    <m:r>
                      <w:rPr>
                        <w:rFonts w:ascii="Cambria Math" w:hAnsi="Cambria Math"/>
                      </w:rPr>
                      <m:t>MD</m:t>
                    </m:r>
                  </m:e>
                  <m:sub>
                    <m:r>
                      <w:rPr>
                        <w:rFonts w:ascii="Cambria Math" w:hAnsi="Cambria Math"/>
                      </w:rPr>
                      <m:t>i</m:t>
                    </m:r>
                  </m:sub>
                </m:sSub>
                <m:r>
                  <m:rPr>
                    <m:sty m:val="p"/>
                  </m:rPr>
                  <w:rPr>
                    <w:rFonts w:ascii="Cambria Math" w:hAnsi="Cambria Math"/>
                  </w:rPr>
                  <m:t>=</m:t>
                </m:r>
                <m:rad>
                  <m:radPr>
                    <m:degHide m:val="1"/>
                    <m:ctrlPr>
                      <w:rPr>
                        <w:rFonts w:ascii="Cambria Math" w:hAnsi="Cambria Math"/>
                        <w:iCs/>
                      </w:rPr>
                    </m:ctrlPr>
                  </m:radPr>
                  <m:deg/>
                  <m:e>
                    <m:r>
                      <m:rPr>
                        <m:sty m:val="p"/>
                      </m:rPr>
                      <w:rPr>
                        <w:rFonts w:ascii="Cambria Math" w:hAnsi="Cambria Math"/>
                      </w:rPr>
                      <m:t>(</m:t>
                    </m:r>
                    <m:d>
                      <m:dPr>
                        <m:ctrlPr>
                          <w:rPr>
                            <w:rFonts w:ascii="Cambria Math" w:hAnsi="Cambria Math"/>
                            <w:iCs/>
                          </w:rPr>
                        </m:ctrlPr>
                      </m:dPr>
                      <m:e>
                        <m:sSub>
                          <m:sSubPr>
                            <m:ctrlPr>
                              <w:rPr>
                                <w:rFonts w:ascii="Cambria Math" w:hAnsi="Cambria Math"/>
                                <w:iCs/>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iCs/>
                              </w:rPr>
                            </m:ctrlPr>
                          </m:sSubPr>
                          <m:e>
                            <m:acc>
                              <m:accPr>
                                <m:chr m:val="̅"/>
                                <m:ctrlPr>
                                  <w:rPr>
                                    <w:rFonts w:ascii="Cambria Math" w:hAnsi="Cambria Math"/>
                                    <w:iCs/>
                                  </w:rPr>
                                </m:ctrlPr>
                              </m:accPr>
                              <m:e>
                                <m:r>
                                  <w:rPr>
                                    <w:rFonts w:ascii="Cambria Math" w:hAnsi="Cambria Math"/>
                                  </w:rPr>
                                  <m:t>Y</m:t>
                                </m:r>
                              </m:e>
                            </m:acc>
                          </m:e>
                          <m:sub>
                            <m:r>
                              <w:rPr>
                                <w:rFonts w:ascii="Cambria Math" w:hAnsi="Cambria Math"/>
                              </w:rPr>
                              <m:t>i</m:t>
                            </m:r>
                          </m:sub>
                        </m:sSub>
                      </m:e>
                    </m:d>
                    <m:r>
                      <m:rPr>
                        <m:sty m:val="p"/>
                      </m:rPr>
                      <w:rPr>
                        <w:rFonts w:ascii="Cambria Math" w:hAnsi="Cambria Math"/>
                      </w:rPr>
                      <m:t>-</m:t>
                    </m:r>
                    <m:limUpp>
                      <m:limUppPr>
                        <m:ctrlPr>
                          <w:rPr>
                            <w:rFonts w:ascii="Cambria Math" w:hAnsi="Cambria Math"/>
                            <w:iCs/>
                          </w:rPr>
                        </m:ctrlPr>
                      </m:limUppPr>
                      <m:e>
                        <m:r>
                          <w:rPr>
                            <w:rFonts w:ascii="Cambria Math" w:hAnsi="Cambria Math"/>
                          </w:rPr>
                          <m:t>μ</m:t>
                        </m:r>
                      </m:e>
                      <m:lim>
                        <m:r>
                          <m:rPr>
                            <m:sty m:val="p"/>
                          </m:rPr>
                          <w:rPr>
                            <w:rFonts w:ascii="Cambria Math" w:hAnsi="Cambria Math"/>
                          </w:rPr>
                          <m:t>^</m:t>
                        </m:r>
                      </m:lim>
                    </m:limUpp>
                    <m:r>
                      <m:rPr>
                        <m:sty m:val="p"/>
                      </m:rPr>
                      <w:rPr>
                        <w:rFonts w:ascii="Cambria Math" w:hAnsi="Cambria Math"/>
                      </w:rPr>
                      <m:t>)</m:t>
                    </m:r>
                    <m:sSup>
                      <m:sSupPr>
                        <m:ctrlPr>
                          <w:rPr>
                            <w:rFonts w:ascii="Cambria Math" w:hAnsi="Cambria Math"/>
                            <w:iCs/>
                          </w:rPr>
                        </m:ctrlPr>
                      </m:sSupPr>
                      <m:e>
                        <m:r>
                          <w:rPr>
                            <w:rFonts w:ascii="Cambria Math" w:hAnsi="Cambria Math"/>
                          </w:rPr>
                          <m:t>S</m:t>
                        </m:r>
                      </m:e>
                      <m:sup>
                        <m:r>
                          <m:rPr>
                            <m:sty m:val="p"/>
                          </m:rPr>
                          <w:rPr>
                            <w:rFonts w:ascii="Cambria Math" w:hAnsi="Cambria Math"/>
                          </w:rPr>
                          <m:t>-1</m:t>
                        </m:r>
                      </m:sup>
                    </m:sSup>
                    <m:sSup>
                      <m:sSupPr>
                        <m:ctrlPr>
                          <w:rPr>
                            <w:rFonts w:ascii="Cambria Math" w:hAnsi="Cambria Math"/>
                            <w:iCs/>
                          </w:rPr>
                        </m:ctrlPr>
                      </m:sSupPr>
                      <m:e>
                        <m:r>
                          <m:rPr>
                            <m:sty m:val="p"/>
                          </m:rPr>
                          <w:rPr>
                            <w:rFonts w:ascii="Cambria Math" w:hAnsi="Cambria Math"/>
                          </w:rPr>
                          <m:t>((</m:t>
                        </m:r>
                        <m:sSub>
                          <m:sSubPr>
                            <m:ctrlPr>
                              <w:rPr>
                                <w:rFonts w:ascii="Cambria Math" w:hAnsi="Cambria Math"/>
                                <w:iCs/>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iCs/>
                              </w:rPr>
                            </m:ctrlPr>
                          </m:sSubPr>
                          <m:e>
                            <m:acc>
                              <m:accPr>
                                <m:chr m:val="̅"/>
                                <m:ctrlPr>
                                  <w:rPr>
                                    <w:rFonts w:ascii="Cambria Math" w:hAnsi="Cambria Math"/>
                                    <w:iCs/>
                                  </w:rPr>
                                </m:ctrlPr>
                              </m:accPr>
                              <m:e>
                                <m:r>
                                  <w:rPr>
                                    <w:rFonts w:ascii="Cambria Math" w:hAnsi="Cambria Math"/>
                                  </w:rPr>
                                  <m:t>Y</m:t>
                                </m:r>
                              </m:e>
                            </m:acc>
                          </m:e>
                          <m:sub>
                            <m:r>
                              <w:rPr>
                                <w:rFonts w:ascii="Cambria Math" w:hAnsi="Cambria Math"/>
                              </w:rPr>
                              <m:t>i</m:t>
                            </m:r>
                          </m:sub>
                        </m:sSub>
                        <m:r>
                          <m:rPr>
                            <m:sty m:val="p"/>
                          </m:rPr>
                          <w:rPr>
                            <w:rFonts w:ascii="Cambria Math" w:hAnsi="Cambria Math"/>
                          </w:rPr>
                          <m:t>)-</m:t>
                        </m:r>
                        <m:limUpp>
                          <m:limUppPr>
                            <m:ctrlPr>
                              <w:rPr>
                                <w:rFonts w:ascii="Cambria Math" w:hAnsi="Cambria Math"/>
                                <w:iCs/>
                              </w:rPr>
                            </m:ctrlPr>
                          </m:limUppPr>
                          <m:e>
                            <m:r>
                              <w:rPr>
                                <w:rFonts w:ascii="Cambria Math" w:hAnsi="Cambria Math"/>
                              </w:rPr>
                              <m:t>μ</m:t>
                            </m:r>
                          </m:e>
                          <m:lim>
                            <m:r>
                              <m:rPr>
                                <m:sty m:val="p"/>
                              </m:rPr>
                              <w:rPr>
                                <w:rFonts w:ascii="Cambria Math" w:hAnsi="Cambria Math"/>
                              </w:rPr>
                              <m:t>^</m:t>
                            </m:r>
                          </m:lim>
                        </m:limUpp>
                        <m:r>
                          <m:rPr>
                            <m:sty m:val="p"/>
                          </m:rPr>
                          <w:rPr>
                            <w:rFonts w:ascii="Cambria Math" w:hAnsi="Cambria Math"/>
                          </w:rPr>
                          <m:t>)</m:t>
                        </m:r>
                      </m:e>
                      <m:sup>
                        <m:r>
                          <w:rPr>
                            <w:rFonts w:ascii="Cambria Math" w:hAnsi="Cambria Math"/>
                          </w:rPr>
                          <m:t>T</m:t>
                        </m:r>
                      </m:sup>
                    </m:sSup>
                  </m:e>
                </m:rad>
              </m:oMath>
            </m:oMathPara>
          </w:p>
        </w:tc>
        <w:tc>
          <w:tcPr>
            <w:tcW w:w="316" w:type="pct"/>
            <w:vAlign w:val="center"/>
          </w:tcPr>
          <w:p w14:paraId="2913ED8D" w14:textId="0F8C36C3" w:rsidR="00E2359E" w:rsidRPr="00CC6CA3" w:rsidRDefault="00E2359E" w:rsidP="00F632C0">
            <w:pPr>
              <w:rPr>
                <w:iCs/>
              </w:rPr>
            </w:pPr>
            <w:bookmarkStart w:id="121" w:name="_Ref60217559"/>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7</w:t>
            </w:r>
            <w:r w:rsidR="00D62691" w:rsidRPr="00CC6CA3">
              <w:rPr>
                <w:noProof/>
              </w:rPr>
              <w:fldChar w:fldCharType="end"/>
            </w:r>
            <w:r w:rsidRPr="00CC6CA3">
              <w:t>)</w:t>
            </w:r>
            <w:bookmarkEnd w:id="121"/>
          </w:p>
        </w:tc>
      </w:tr>
    </w:tbl>
    <w:p w14:paraId="463715CF" w14:textId="77777777" w:rsidR="00E2359E" w:rsidRPr="00CC6CA3" w:rsidRDefault="00E2359E" w:rsidP="00E2359E">
      <w:pPr>
        <w:rPr>
          <w:iCs/>
        </w:rPr>
      </w:pPr>
      <w:r w:rsidRPr="00CC6CA3">
        <w:rPr>
          <w:iCs/>
        </w:rPr>
        <w:t xml:space="preserve">where </w:t>
      </w:r>
      <m:oMath>
        <m:sSub>
          <m:sSubPr>
            <m:ctrlPr>
              <w:rPr>
                <w:rFonts w:ascii="Cambria Math" w:hAnsi="Cambria Math"/>
                <w:iCs/>
              </w:rPr>
            </m:ctrlPr>
          </m:sSubPr>
          <m:e>
            <m:r>
              <w:rPr>
                <w:rFonts w:ascii="Cambria Math" w:hAnsi="Cambria Math"/>
              </w:rPr>
              <m:t>Y</m:t>
            </m:r>
          </m:e>
          <m:sub>
            <m:r>
              <w:rPr>
                <w:rFonts w:ascii="Cambria Math" w:hAnsi="Cambria Math"/>
              </w:rPr>
              <m:t>i</m:t>
            </m:r>
          </m:sub>
        </m:sSub>
      </m:oMath>
      <w:r w:rsidRPr="00CC6CA3">
        <w:rPr>
          <w:iCs/>
        </w:rPr>
        <w:t xml:space="preserve"> is the </w:t>
      </w:r>
      <m:oMath>
        <m:r>
          <w:rPr>
            <w:rFonts w:ascii="Cambria Math" w:hAnsi="Cambria Math"/>
          </w:rPr>
          <m:t>i</m:t>
        </m:r>
      </m:oMath>
      <w:r w:rsidRPr="00CC6CA3">
        <w:rPr>
          <w:iCs/>
        </w:rPr>
        <w:t>-th features in a machine learning model.</w:t>
      </w:r>
      <m:oMath>
        <m:r>
          <m:rPr>
            <m:sty m:val="p"/>
          </m:rPr>
          <w:rPr>
            <w:rFonts w:ascii="Cambria Math" w:hAnsi="Cambria Math"/>
          </w:rPr>
          <m:t xml:space="preserve"> </m:t>
        </m:r>
        <m:sSub>
          <m:sSubPr>
            <m:ctrlPr>
              <w:rPr>
                <w:rFonts w:ascii="Cambria Math" w:hAnsi="Cambria Math"/>
                <w:iCs/>
              </w:rPr>
            </m:ctrlPr>
          </m:sSubPr>
          <m:e>
            <m:acc>
              <m:accPr>
                <m:chr m:val="̅"/>
                <m:ctrlPr>
                  <w:rPr>
                    <w:rFonts w:ascii="Cambria Math" w:hAnsi="Cambria Math"/>
                    <w:iCs/>
                  </w:rPr>
                </m:ctrlPr>
              </m:accPr>
              <m:e>
                <m:r>
                  <w:rPr>
                    <w:rFonts w:ascii="Cambria Math" w:hAnsi="Cambria Math"/>
                  </w:rPr>
                  <m:t>Y</m:t>
                </m:r>
              </m:e>
            </m:acc>
          </m:e>
          <m:sub>
            <m:r>
              <w:rPr>
                <w:rFonts w:ascii="Cambria Math" w:hAnsi="Cambria Math"/>
              </w:rPr>
              <m:t>i</m:t>
            </m:r>
          </m:sub>
        </m:sSub>
      </m:oMath>
      <w:r w:rsidRPr="00CC6CA3">
        <w:rPr>
          <w:iCs/>
        </w:rPr>
        <w:t xml:space="preserve"> is the reconstructed values of </w:t>
      </w:r>
      <m:oMath>
        <m:sSub>
          <m:sSubPr>
            <m:ctrlPr>
              <w:rPr>
                <w:rFonts w:ascii="Cambria Math" w:hAnsi="Cambria Math"/>
                <w:iCs/>
              </w:rPr>
            </m:ctrlPr>
          </m:sSubPr>
          <m:e>
            <m:r>
              <w:rPr>
                <w:rFonts w:ascii="Cambria Math" w:hAnsi="Cambria Math"/>
              </w:rPr>
              <m:t>Y</m:t>
            </m:r>
          </m:e>
          <m:sub>
            <m:r>
              <w:rPr>
                <w:rFonts w:ascii="Cambria Math" w:hAnsi="Cambria Math"/>
              </w:rPr>
              <m:t>i</m:t>
            </m:r>
          </m:sub>
        </m:sSub>
      </m:oMath>
      <w:r w:rsidRPr="00CC6CA3">
        <w:rPr>
          <w:iCs/>
        </w:rPr>
        <w:t xml:space="preserve">. </w:t>
      </w:r>
      <m:oMath>
        <m:d>
          <m:dPr>
            <m:ctrlPr>
              <w:rPr>
                <w:rFonts w:ascii="Cambria Math" w:hAnsi="Cambria Math"/>
                <w:iCs/>
              </w:rPr>
            </m:ctrlPr>
          </m:dPr>
          <m:e>
            <m:sSub>
              <m:sSubPr>
                <m:ctrlPr>
                  <w:rPr>
                    <w:rFonts w:ascii="Cambria Math" w:hAnsi="Cambria Math"/>
                    <w:iCs/>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iCs/>
                  </w:rPr>
                </m:ctrlPr>
              </m:sSubPr>
              <m:e>
                <m:acc>
                  <m:accPr>
                    <m:chr m:val="̅"/>
                    <m:ctrlPr>
                      <w:rPr>
                        <w:rFonts w:ascii="Cambria Math" w:hAnsi="Cambria Math"/>
                        <w:iCs/>
                      </w:rPr>
                    </m:ctrlPr>
                  </m:accPr>
                  <m:e>
                    <m:r>
                      <w:rPr>
                        <w:rFonts w:ascii="Cambria Math" w:hAnsi="Cambria Math"/>
                      </w:rPr>
                      <m:t>Y</m:t>
                    </m:r>
                  </m:e>
                </m:acc>
              </m:e>
              <m:sub>
                <m:r>
                  <w:rPr>
                    <w:rFonts w:ascii="Cambria Math" w:hAnsi="Cambria Math"/>
                  </w:rPr>
                  <m:t>i</m:t>
                </m:r>
              </m:sub>
            </m:sSub>
          </m:e>
        </m:d>
      </m:oMath>
      <w:r w:rsidRPr="00CC6CA3">
        <w:rPr>
          <w:iCs/>
        </w:rPr>
        <w:t xml:space="preserve"> denotes the residual </w:t>
      </w:r>
      <w:r w:rsidRPr="00CC6CA3">
        <w:t>between</w:t>
      </w:r>
      <w:r w:rsidRPr="00CC6CA3">
        <w:rPr>
          <w:iCs/>
        </w:rPr>
        <w:t xml:space="preserve"> the reconstructed value and the original value. </w:t>
      </w:r>
      <m:oMath>
        <m:limUpp>
          <m:limUppPr>
            <m:ctrlPr>
              <w:rPr>
                <w:rFonts w:ascii="Cambria Math" w:hAnsi="Cambria Math"/>
                <w:iCs/>
              </w:rPr>
            </m:ctrlPr>
          </m:limUppPr>
          <m:e>
            <m:r>
              <w:rPr>
                <w:rFonts w:ascii="Cambria Math" w:hAnsi="Cambria Math"/>
              </w:rPr>
              <m:t>μ</m:t>
            </m:r>
          </m:e>
          <m:lim>
            <m:r>
              <m:rPr>
                <m:sty m:val="p"/>
              </m:rPr>
              <w:rPr>
                <w:rFonts w:ascii="Cambria Math" w:hAnsi="Cambria Math"/>
              </w:rPr>
              <m:t>^</m:t>
            </m:r>
          </m:lim>
        </m:limUpp>
      </m:oMath>
      <w:r w:rsidRPr="00CC6CA3">
        <w:rPr>
          <w:iCs/>
        </w:rPr>
        <w:t xml:space="preserve"> and </w:t>
      </w:r>
      <m:oMath>
        <m:r>
          <w:rPr>
            <w:rFonts w:ascii="Cambria Math" w:hAnsi="Cambria Math"/>
          </w:rPr>
          <m:t>S</m:t>
        </m:r>
      </m:oMath>
      <w:r w:rsidRPr="00CC6CA3">
        <w:rPr>
          <w:iCs/>
        </w:rPr>
        <w:t xml:space="preserve"> are the sample mean and covariance of the reference samples, respectively.</w:t>
      </w:r>
    </w:p>
    <w:p w14:paraId="4A4C90D2" w14:textId="77777777" w:rsidR="00E2359E" w:rsidRPr="00CC6CA3" w:rsidRDefault="00E2359E" w:rsidP="00E2359E">
      <w:pPr>
        <w:pStyle w:val="Heading5"/>
      </w:pPr>
      <w:r w:rsidRPr="00CC6CA3">
        <w:t>Remaining useful life</w:t>
      </w:r>
    </w:p>
    <w:p w14:paraId="765CB455" w14:textId="2CA41FF9" w:rsidR="00E2359E" w:rsidRPr="00CC6CA3" w:rsidRDefault="00E2359E" w:rsidP="00E2359E">
      <w:r w:rsidRPr="00CC6CA3">
        <w:t xml:space="preserve">Another way to calculate the health indicator for CBM is to estimate the remaining useful life (RUL) of the equipment or </w:t>
      </w:r>
      <w:r w:rsidRPr="00CC6CA3">
        <w:rPr>
          <w:iCs/>
        </w:rPr>
        <w:t>system</w:t>
      </w:r>
      <w:r w:rsidRPr="00CC6CA3">
        <w:t xml:space="preserve">. The </w:t>
      </w:r>
      <w:r w:rsidR="00203E98" w:rsidRPr="00CC6CA3">
        <w:t xml:space="preserve">RUL measures how much longer the machine can operate safely and perform its function, and it has been defined as </w:t>
      </w:r>
      <w:r w:rsidRPr="00CC6CA3">
        <w:t xml:space="preserve">Equation </w:t>
      </w:r>
      <w:r w:rsidRPr="00CC6CA3">
        <w:fldChar w:fldCharType="begin"/>
      </w:r>
      <w:r w:rsidRPr="00CC6CA3">
        <w:instrText xml:space="preserve"> REF _Ref60221139 \h </w:instrText>
      </w:r>
      <w:r w:rsidRPr="00CC6CA3">
        <w:fldChar w:fldCharType="separate"/>
      </w:r>
      <w:r w:rsidR="001906D9" w:rsidRPr="00CC6CA3">
        <w:t>(</w:t>
      </w:r>
      <w:r w:rsidR="001906D9" w:rsidRPr="00CC6CA3">
        <w:rPr>
          <w:noProof/>
        </w:rPr>
        <w:t>2</w:t>
      </w:r>
      <w:r w:rsidR="001906D9" w:rsidRPr="00CC6CA3">
        <w:noBreakHyphen/>
      </w:r>
      <w:r w:rsidR="001906D9" w:rsidRPr="00CC6CA3">
        <w:rPr>
          <w:noProof/>
        </w:rPr>
        <w:t>8</w:t>
      </w:r>
      <w:r w:rsidR="001906D9" w:rsidRPr="00CC6CA3">
        <w:t>)</w:t>
      </w:r>
      <w:r w:rsidRPr="00CC6CA3">
        <w:fldChar w:fldCharType="end"/>
      </w:r>
      <w:r w:rsidRPr="00CC6CA3">
        <w:t xml:space="preserve"> </w:t>
      </w:r>
      <w:r w:rsidRPr="00CC6CA3">
        <w:fldChar w:fldCharType="begin"/>
      </w:r>
      <w:r w:rsidR="00854B0F" w:rsidRPr="00CC6CA3">
        <w:instrText xml:space="preserve"> ADDIN ZOTERO_ITEM CSL_CITATION {"citationID":"XzgBxcQ3","properties":{"formattedCitation":"[14]","plainCitation":"[14]","noteIndex":0},"citationItems":[{"id":4,"uris":["http://zotero.org/users/3051968/items/ESWKWJYN"],"uri":["http://zotero.org/users/3051968/items/ESWKWJYN"],"itemData":{"id":4,"type":"article-journal","container-title":"Mechanical Systems and Signal Processing","DOI":"10.1016/j.ymssp.2005.09.012","ISSN":"08883270","issue":"7","language":"en","page":"1483-1510","source":"CrossRef","title":"A review on machinery diagnostics and prognostics implementing condition-based maintenance","volume":"20","author":[{"family":"Jardine","given":"Andrew K.S."},{"family":"Lin","given":"Daming"},{"family":"Banjevic","given":"Dragan"}],"issued":{"date-parts":[["2006",10]]}}}],"schema":"https://github.com/citation-style-language/schema/raw/master/csl-citation.json"} </w:instrText>
      </w:r>
      <w:r w:rsidRPr="00CC6CA3">
        <w:fldChar w:fldCharType="separate"/>
      </w:r>
      <w:r w:rsidR="00854B0F" w:rsidRPr="00CC6CA3">
        <w:rPr>
          <w:rFonts w:cs="Times New Roman"/>
        </w:rPr>
        <w:t>[14]</w:t>
      </w:r>
      <w:r w:rsidRPr="00CC6CA3">
        <w:fldChar w:fldCharType="end"/>
      </w:r>
      <w:r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0"/>
        <w:gridCol w:w="815"/>
      </w:tblGrid>
      <w:tr w:rsidR="00CC6CA3" w:rsidRPr="00CC6CA3" w14:paraId="534C2F63" w14:textId="77777777" w:rsidTr="00F632C0">
        <w:tc>
          <w:tcPr>
            <w:tcW w:w="4535" w:type="pct"/>
            <w:vAlign w:val="center"/>
          </w:tcPr>
          <w:p w14:paraId="5D7F1E3C" w14:textId="77777777" w:rsidR="00E2359E" w:rsidRPr="00CC6CA3" w:rsidRDefault="00E2359E" w:rsidP="00F632C0">
            <w:pPr>
              <w:rPr>
                <w:iCs/>
              </w:rPr>
            </w:pPr>
            <m:oMathPara>
              <m:oMath>
                <m:r>
                  <w:rPr>
                    <w:rFonts w:ascii="Cambria Math" w:hAnsi="Cambria Math"/>
                  </w:rPr>
                  <m:t>T-t|T&gt;t,Z(t)</m:t>
                </m:r>
              </m:oMath>
            </m:oMathPara>
          </w:p>
        </w:tc>
        <w:tc>
          <w:tcPr>
            <w:tcW w:w="465" w:type="pct"/>
            <w:vAlign w:val="center"/>
          </w:tcPr>
          <w:p w14:paraId="70B7B94A" w14:textId="203BEFF6" w:rsidR="00E2359E" w:rsidRPr="00CC6CA3" w:rsidRDefault="00E2359E" w:rsidP="00F632C0">
            <w:pPr>
              <w:rPr>
                <w:iCs/>
              </w:rPr>
            </w:pPr>
            <w:bookmarkStart w:id="122" w:name="_Ref60221139"/>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8</w:t>
            </w:r>
            <w:r w:rsidR="00D62691" w:rsidRPr="00CC6CA3">
              <w:rPr>
                <w:noProof/>
              </w:rPr>
              <w:fldChar w:fldCharType="end"/>
            </w:r>
            <w:r w:rsidRPr="00CC6CA3">
              <w:t>)</w:t>
            </w:r>
            <w:bookmarkEnd w:id="122"/>
          </w:p>
        </w:tc>
      </w:tr>
    </w:tbl>
    <w:p w14:paraId="23C6C6C9" w14:textId="4448D8DA" w:rsidR="00951E99" w:rsidRPr="00CC6CA3" w:rsidRDefault="00E2359E" w:rsidP="00E2359E">
      <w:r w:rsidRPr="00CC6CA3">
        <w:rPr>
          <w:rFonts w:hint="eastAsia"/>
        </w:rPr>
        <w:t>A</w:t>
      </w:r>
      <w:r w:rsidRPr="00CC6CA3">
        <w:t xml:space="preserve"> sketch </w:t>
      </w:r>
      <w:r w:rsidRPr="00CC6CA3">
        <w:rPr>
          <w:rFonts w:hint="eastAsia"/>
        </w:rPr>
        <w:t>o</w:t>
      </w:r>
      <w:r w:rsidRPr="00CC6CA3">
        <w:t xml:space="preserve">f a degradation process and RUL is shown in </w:t>
      </w:r>
      <w:r w:rsidRPr="00CC6CA3">
        <w:rPr>
          <w:rFonts w:cs="Times New Roman"/>
          <w:szCs w:val="24"/>
        </w:rPr>
        <w:fldChar w:fldCharType="begin"/>
      </w:r>
      <w:r w:rsidRPr="00CC6CA3">
        <w:rPr>
          <w:rFonts w:cs="Times New Roman"/>
          <w:szCs w:val="24"/>
        </w:rPr>
        <w:instrText xml:space="preserve"> REF _Ref532141152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2</w:t>
      </w:r>
      <w:r w:rsidR="001906D9" w:rsidRPr="00CC6CA3">
        <w:t>.</w:t>
      </w:r>
      <w:r w:rsidR="001906D9" w:rsidRPr="00CC6CA3">
        <w:rPr>
          <w:noProof/>
        </w:rPr>
        <w:t>5</w:t>
      </w:r>
      <w:r w:rsidRPr="00CC6CA3">
        <w:rPr>
          <w:rFonts w:cs="Times New Roman"/>
          <w:szCs w:val="24"/>
        </w:rPr>
        <w:fldChar w:fldCharType="end"/>
      </w:r>
      <w:r w:rsidRPr="00CC6CA3">
        <w:rPr>
          <w:rFonts w:cs="Times New Roman"/>
          <w:szCs w:val="24"/>
        </w:rPr>
        <w:t>.</w:t>
      </w:r>
      <w:r w:rsidRPr="00CC6CA3">
        <w:t xml:space="preserve"> As can be seen in the figure that, t</w:t>
      </w:r>
      <w:r w:rsidRPr="00CC6CA3">
        <w:rPr>
          <w:noProof/>
          <w:szCs w:val="20"/>
        </w:rPr>
        <w:t xml:space="preserve">he RUL is shown as </w:t>
      </w:r>
      <w:r w:rsidRPr="00CC6CA3">
        <w:t>the</w:t>
      </w:r>
      <w:r w:rsidRPr="00CC6CA3">
        <w:rPr>
          <w:noProof/>
          <w:szCs w:val="20"/>
        </w:rPr>
        <w:t xml:space="preserve"> time length between the current time point and the moment when the predicted fault feature reaches a threshold. </w:t>
      </w:r>
    </w:p>
    <w:p w14:paraId="47FA1C06" w14:textId="6DFFD90B" w:rsidR="00E2359E" w:rsidRPr="00CC6CA3" w:rsidRDefault="004D176D" w:rsidP="00083A61">
      <w:pPr>
        <w:keepNext/>
        <w:spacing w:after="0" w:line="240" w:lineRule="auto"/>
        <w:jc w:val="center"/>
      </w:pPr>
      <w:r w:rsidRPr="00CC6CA3">
        <w:rPr>
          <w:noProof/>
        </w:rPr>
        <w:drawing>
          <wp:inline distT="0" distB="0" distL="0" distR="0" wp14:anchorId="446120E1" wp14:editId="69074D8C">
            <wp:extent cx="2778803" cy="18415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0225" cy="1855696"/>
                    </a:xfrm>
                    <a:prstGeom prst="rect">
                      <a:avLst/>
                    </a:prstGeom>
                    <a:noFill/>
                  </pic:spPr>
                </pic:pic>
              </a:graphicData>
            </a:graphic>
          </wp:inline>
        </w:drawing>
      </w:r>
    </w:p>
    <w:p w14:paraId="6111EA5E" w14:textId="08A9AE59" w:rsidR="00E2359E" w:rsidRPr="00CC6CA3" w:rsidRDefault="00E2359E" w:rsidP="00E2359E">
      <w:pPr>
        <w:pStyle w:val="Caption"/>
        <w:jc w:val="center"/>
      </w:pPr>
      <w:bookmarkStart w:id="123" w:name="_Ref532141152"/>
      <w:bookmarkStart w:id="124" w:name="_Toc8155333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w:t>
      </w:r>
      <w:r w:rsidR="00D62691" w:rsidRPr="00CC6CA3">
        <w:rPr>
          <w:noProof/>
        </w:rPr>
        <w:fldChar w:fldCharType="end"/>
      </w:r>
      <w:bookmarkEnd w:id="123"/>
      <w:r w:rsidRPr="00CC6CA3">
        <w:t xml:space="preserve"> </w:t>
      </w:r>
      <w:r w:rsidRPr="00CC6CA3">
        <w:rPr>
          <w:rFonts w:hint="eastAsia"/>
        </w:rPr>
        <w:t>A</w:t>
      </w:r>
      <w:r w:rsidRPr="00CC6CA3">
        <w:t xml:space="preserve"> sketch </w:t>
      </w:r>
      <w:r w:rsidRPr="00CC6CA3">
        <w:rPr>
          <w:rFonts w:hint="eastAsia"/>
        </w:rPr>
        <w:t>o</w:t>
      </w:r>
      <w:r w:rsidRPr="00CC6CA3">
        <w:t>f a degradation process and RUL</w:t>
      </w:r>
      <w:bookmarkEnd w:id="124"/>
    </w:p>
    <w:p w14:paraId="07591056" w14:textId="77777777" w:rsidR="00E2359E" w:rsidRPr="00CC6CA3" w:rsidRDefault="00E2359E" w:rsidP="00E2359E">
      <w:pPr>
        <w:pStyle w:val="Heading3"/>
      </w:pPr>
      <w:bookmarkStart w:id="125" w:name="_Toc81553253"/>
      <w:r w:rsidRPr="00CC6CA3">
        <w:lastRenderedPageBreak/>
        <w:t>Comments</w:t>
      </w:r>
      <w:bookmarkEnd w:id="125"/>
    </w:p>
    <w:p w14:paraId="7ED47434" w14:textId="1B9771C5" w:rsidR="00E2359E" w:rsidRPr="00CC6CA3" w:rsidRDefault="00E2359E" w:rsidP="00E2359E">
      <w:r w:rsidRPr="00CC6CA3">
        <w:t xml:space="preserve">Based </w:t>
      </w:r>
      <w:r w:rsidR="00B22E21" w:rsidRPr="00CC6CA3">
        <w:t xml:space="preserve">on a review of some popular maintenance strategies, a summary of their relative advantages and disadvantages is given in </w:t>
      </w:r>
      <w:r w:rsidRPr="00CC6CA3">
        <w:fldChar w:fldCharType="begin"/>
      </w:r>
      <w:r w:rsidRPr="00CC6CA3">
        <w:instrText xml:space="preserve"> REF _Ref531282073 \h  \* MERGEFORMAT </w:instrText>
      </w:r>
      <w:r w:rsidRPr="00CC6CA3">
        <w:fldChar w:fldCharType="separate"/>
      </w:r>
      <w:r w:rsidR="001906D9" w:rsidRPr="00CC6CA3">
        <w:t>Table 2.2</w:t>
      </w:r>
      <w:r w:rsidRPr="00CC6CA3">
        <w:fldChar w:fldCharType="end"/>
      </w:r>
      <w:r w:rsidRPr="00CC6CA3">
        <w:t>.</w:t>
      </w:r>
    </w:p>
    <w:p w14:paraId="377ADB3D" w14:textId="44C2052D" w:rsidR="00E2359E" w:rsidRPr="00CC6CA3" w:rsidRDefault="00E2359E" w:rsidP="00E2359E">
      <w:pPr>
        <w:pStyle w:val="Caption"/>
      </w:pPr>
      <w:bookmarkStart w:id="126" w:name="_Ref531282073"/>
      <w:bookmarkStart w:id="127" w:name="_Toc81553467"/>
      <w:r w:rsidRPr="00CC6CA3">
        <w:t xml:space="preserve">Table </w:t>
      </w:r>
      <w:r w:rsidR="00D62691" w:rsidRPr="00CC6CA3">
        <w:fldChar w:fldCharType="begin"/>
      </w:r>
      <w:r w:rsidR="00D62691" w:rsidRPr="00CC6CA3">
        <w:instrText xml:space="preserve"> STYLEREF </w:instrText>
      </w:r>
      <w:r w:rsidR="00D62691" w:rsidRPr="00CC6CA3">
        <w:instrText xml:space="preserve">1 \s </w:instrText>
      </w:r>
      <w:r w:rsidR="00D62691" w:rsidRPr="00CC6CA3">
        <w:fldChar w:fldCharType="separate"/>
      </w:r>
      <w:r w:rsidR="001906D9" w:rsidRPr="00CC6CA3">
        <w:rPr>
          <w:noProof/>
        </w:rPr>
        <w:t>2</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2</w:t>
      </w:r>
      <w:r w:rsidR="00D62691" w:rsidRPr="00CC6CA3">
        <w:rPr>
          <w:noProof/>
        </w:rPr>
        <w:fldChar w:fldCharType="end"/>
      </w:r>
      <w:bookmarkEnd w:id="126"/>
      <w:r w:rsidRPr="00CC6CA3">
        <w:t xml:space="preserve"> Comparison of maintenance strategies</w:t>
      </w:r>
      <w:bookmarkEnd w:id="127"/>
    </w:p>
    <w:tbl>
      <w:tblPr>
        <w:tblStyle w:val="TableGrid"/>
        <w:tblW w:w="8755" w:type="dxa"/>
        <w:tblLayout w:type="fixed"/>
        <w:tblLook w:val="04A0" w:firstRow="1" w:lastRow="0" w:firstColumn="1" w:lastColumn="0" w:noHBand="0" w:noVBand="1"/>
      </w:tblPr>
      <w:tblGrid>
        <w:gridCol w:w="1413"/>
        <w:gridCol w:w="3798"/>
        <w:gridCol w:w="3544"/>
      </w:tblGrid>
      <w:tr w:rsidR="00CC6CA3" w:rsidRPr="00CC6CA3" w14:paraId="3B0398A8" w14:textId="77777777" w:rsidTr="00F632C0">
        <w:trPr>
          <w:trHeight w:val="347"/>
        </w:trPr>
        <w:tc>
          <w:tcPr>
            <w:tcW w:w="1413" w:type="dxa"/>
            <w:vAlign w:val="center"/>
          </w:tcPr>
          <w:p w14:paraId="7F397FCF" w14:textId="77777777" w:rsidR="00E2359E" w:rsidRPr="00CC6CA3" w:rsidRDefault="00E2359E" w:rsidP="00F632C0">
            <w:pPr>
              <w:pStyle w:val="NoSpacing"/>
              <w:spacing w:afterLines="0" w:after="0"/>
              <w:jc w:val="left"/>
              <w:rPr>
                <w:b/>
                <w:sz w:val="20"/>
              </w:rPr>
            </w:pPr>
            <w:r w:rsidRPr="00CC6CA3">
              <w:rPr>
                <w:b/>
                <w:sz w:val="20"/>
              </w:rPr>
              <w:t>Strategy</w:t>
            </w:r>
          </w:p>
        </w:tc>
        <w:tc>
          <w:tcPr>
            <w:tcW w:w="3798" w:type="dxa"/>
            <w:vAlign w:val="center"/>
          </w:tcPr>
          <w:p w14:paraId="5BE9216F" w14:textId="77777777" w:rsidR="00E2359E" w:rsidRPr="00CC6CA3" w:rsidRDefault="00E2359E" w:rsidP="00F632C0">
            <w:pPr>
              <w:pStyle w:val="NoSpacing"/>
              <w:spacing w:afterLines="0" w:after="0"/>
              <w:jc w:val="center"/>
              <w:rPr>
                <w:b/>
                <w:sz w:val="20"/>
              </w:rPr>
            </w:pPr>
            <w:r w:rsidRPr="00CC6CA3">
              <w:rPr>
                <w:b/>
                <w:sz w:val="20"/>
              </w:rPr>
              <w:t>Advantage</w:t>
            </w:r>
          </w:p>
        </w:tc>
        <w:tc>
          <w:tcPr>
            <w:tcW w:w="3544" w:type="dxa"/>
            <w:vAlign w:val="center"/>
          </w:tcPr>
          <w:p w14:paraId="19B47545" w14:textId="77777777" w:rsidR="00E2359E" w:rsidRPr="00CC6CA3" w:rsidRDefault="00E2359E" w:rsidP="00F632C0">
            <w:pPr>
              <w:pStyle w:val="NoSpacing"/>
              <w:spacing w:afterLines="0" w:after="0"/>
              <w:jc w:val="center"/>
              <w:rPr>
                <w:b/>
                <w:sz w:val="20"/>
              </w:rPr>
            </w:pPr>
            <w:r w:rsidRPr="00CC6CA3">
              <w:rPr>
                <w:b/>
                <w:sz w:val="20"/>
              </w:rPr>
              <w:t>Disadvantage</w:t>
            </w:r>
          </w:p>
        </w:tc>
      </w:tr>
      <w:tr w:rsidR="00CC6CA3" w:rsidRPr="00CC6CA3" w14:paraId="3B82D530" w14:textId="77777777" w:rsidTr="00F632C0">
        <w:tc>
          <w:tcPr>
            <w:tcW w:w="1413" w:type="dxa"/>
            <w:vAlign w:val="center"/>
          </w:tcPr>
          <w:p w14:paraId="14042E8A" w14:textId="77777777" w:rsidR="00A7672F" w:rsidRPr="00CC6CA3" w:rsidRDefault="00A7672F" w:rsidP="00A7672F">
            <w:pPr>
              <w:pStyle w:val="NoSpacing"/>
              <w:spacing w:afterLines="0" w:after="0"/>
              <w:jc w:val="center"/>
              <w:rPr>
                <w:b/>
                <w:sz w:val="20"/>
                <w:szCs w:val="20"/>
              </w:rPr>
            </w:pPr>
            <w:r w:rsidRPr="00CC6CA3">
              <w:rPr>
                <w:b/>
                <w:sz w:val="20"/>
                <w:szCs w:val="20"/>
              </w:rPr>
              <w:t>Breakdown maintenance</w:t>
            </w:r>
          </w:p>
        </w:tc>
        <w:tc>
          <w:tcPr>
            <w:tcW w:w="3798" w:type="dxa"/>
            <w:vAlign w:val="center"/>
          </w:tcPr>
          <w:p w14:paraId="04161B26"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 xml:space="preserve">Easy to conduct </w:t>
            </w:r>
          </w:p>
          <w:p w14:paraId="0AFF60CD" w14:textId="0D4ABA4A"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 xml:space="preserve">Low </w:t>
            </w:r>
            <w:r w:rsidR="00715F6C" w:rsidRPr="00CC6CA3">
              <w:rPr>
                <w:sz w:val="20"/>
                <w:szCs w:val="20"/>
              </w:rPr>
              <w:t xml:space="preserve">maintenance </w:t>
            </w:r>
            <w:r w:rsidRPr="00CC6CA3">
              <w:rPr>
                <w:sz w:val="20"/>
                <w:szCs w:val="20"/>
              </w:rPr>
              <w:t>cost</w:t>
            </w:r>
          </w:p>
        </w:tc>
        <w:tc>
          <w:tcPr>
            <w:tcW w:w="3544" w:type="dxa"/>
            <w:vAlign w:val="center"/>
          </w:tcPr>
          <w:p w14:paraId="121D3D72"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 xml:space="preserve">May result in </w:t>
            </w:r>
            <w:r w:rsidRPr="00CC6CA3">
              <w:rPr>
                <w:noProof/>
                <w:sz w:val="20"/>
                <w:szCs w:val="20"/>
              </w:rPr>
              <w:t>plant-related</w:t>
            </w:r>
            <w:r w:rsidRPr="00CC6CA3">
              <w:rPr>
                <w:sz w:val="20"/>
                <w:szCs w:val="20"/>
              </w:rPr>
              <w:t xml:space="preserve"> damage</w:t>
            </w:r>
          </w:p>
          <w:p w14:paraId="023161D5" w14:textId="2C6E1632" w:rsidR="00715F6C" w:rsidRPr="00CC6CA3" w:rsidRDefault="00715F6C" w:rsidP="00A7672F">
            <w:pPr>
              <w:pStyle w:val="NoSpacing"/>
              <w:numPr>
                <w:ilvl w:val="0"/>
                <w:numId w:val="4"/>
              </w:numPr>
              <w:spacing w:afterLines="0" w:after="0" w:line="240" w:lineRule="auto"/>
              <w:jc w:val="left"/>
              <w:rPr>
                <w:sz w:val="20"/>
                <w:szCs w:val="20"/>
              </w:rPr>
            </w:pPr>
            <w:r w:rsidRPr="00CC6CA3">
              <w:rPr>
                <w:sz w:val="20"/>
                <w:szCs w:val="20"/>
              </w:rPr>
              <w:t>Can be used only if the machinery failure will not result in critical damage</w:t>
            </w:r>
          </w:p>
        </w:tc>
      </w:tr>
      <w:tr w:rsidR="00CC6CA3" w:rsidRPr="00CC6CA3" w14:paraId="5833E97E" w14:textId="77777777" w:rsidTr="00F632C0">
        <w:tc>
          <w:tcPr>
            <w:tcW w:w="1413" w:type="dxa"/>
            <w:vAlign w:val="center"/>
          </w:tcPr>
          <w:p w14:paraId="25395DBF" w14:textId="6F566FE4" w:rsidR="00A7672F" w:rsidRPr="00CC6CA3" w:rsidRDefault="00A30B93" w:rsidP="00A7672F">
            <w:pPr>
              <w:pStyle w:val="NoSpacing"/>
              <w:spacing w:afterLines="0" w:after="0"/>
              <w:jc w:val="center"/>
              <w:rPr>
                <w:b/>
                <w:sz w:val="20"/>
                <w:szCs w:val="20"/>
              </w:rPr>
            </w:pPr>
            <w:r w:rsidRPr="00CC6CA3">
              <w:rPr>
                <w:b/>
                <w:sz w:val="20"/>
                <w:szCs w:val="20"/>
              </w:rPr>
              <w:t>Planned preventive</w:t>
            </w:r>
            <w:r w:rsidR="00A7672F" w:rsidRPr="00CC6CA3">
              <w:rPr>
                <w:b/>
                <w:sz w:val="20"/>
                <w:szCs w:val="20"/>
              </w:rPr>
              <w:t xml:space="preserve"> maintenance</w:t>
            </w:r>
          </w:p>
        </w:tc>
        <w:tc>
          <w:tcPr>
            <w:tcW w:w="3798" w:type="dxa"/>
            <w:vAlign w:val="center"/>
          </w:tcPr>
          <w:p w14:paraId="12472B11"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 xml:space="preserve">Easy to conduct </w:t>
            </w:r>
          </w:p>
          <w:p w14:paraId="12EA3522" w14:textId="4F4BEF83"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A good supplementary to other types of maintenance (i.e., RBM and CBM)</w:t>
            </w:r>
          </w:p>
        </w:tc>
        <w:tc>
          <w:tcPr>
            <w:tcW w:w="3544" w:type="dxa"/>
            <w:vAlign w:val="center"/>
          </w:tcPr>
          <w:p w14:paraId="6943BA64"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Difficult to calculate the optimum maintenance intervals</w:t>
            </w:r>
          </w:p>
          <w:p w14:paraId="66528A7B" w14:textId="620F782F" w:rsidR="00A7672F" w:rsidRPr="00CC6CA3" w:rsidRDefault="000303AA" w:rsidP="00A7672F">
            <w:pPr>
              <w:pStyle w:val="NoSpacing"/>
              <w:numPr>
                <w:ilvl w:val="0"/>
                <w:numId w:val="4"/>
              </w:numPr>
              <w:spacing w:afterLines="0" w:after="0" w:line="240" w:lineRule="auto"/>
              <w:jc w:val="left"/>
              <w:rPr>
                <w:sz w:val="20"/>
                <w:szCs w:val="20"/>
              </w:rPr>
            </w:pPr>
            <w:r w:rsidRPr="00CC6CA3">
              <w:rPr>
                <w:sz w:val="20"/>
                <w:szCs w:val="20"/>
              </w:rPr>
              <w:t>Failures with the maintenance intervals may cause unplanned shutdowns</w:t>
            </w:r>
          </w:p>
          <w:p w14:paraId="33AEE92B" w14:textId="07979011" w:rsidR="00A7672F" w:rsidRPr="00CC6CA3" w:rsidRDefault="00A7672F" w:rsidP="00A7672F">
            <w:pPr>
              <w:pStyle w:val="NoSpacing"/>
              <w:numPr>
                <w:ilvl w:val="0"/>
                <w:numId w:val="4"/>
              </w:numPr>
              <w:spacing w:afterLines="0" w:after="0" w:line="240" w:lineRule="auto"/>
              <w:jc w:val="left"/>
              <w:rPr>
                <w:sz w:val="20"/>
                <w:szCs w:val="20"/>
              </w:rPr>
            </w:pPr>
            <w:r w:rsidRPr="00CC6CA3">
              <w:rPr>
                <w:noProof/>
                <w:sz w:val="20"/>
                <w:szCs w:val="20"/>
              </w:rPr>
              <w:t>Over maintenance</w:t>
            </w:r>
            <w:r w:rsidRPr="00CC6CA3">
              <w:rPr>
                <w:sz w:val="20"/>
                <w:szCs w:val="20"/>
              </w:rPr>
              <w:t xml:space="preserve"> is cost consuming </w:t>
            </w:r>
          </w:p>
        </w:tc>
      </w:tr>
      <w:tr w:rsidR="00CC6CA3" w:rsidRPr="00CC6CA3" w14:paraId="0645D65D" w14:textId="77777777" w:rsidTr="00F632C0">
        <w:tc>
          <w:tcPr>
            <w:tcW w:w="1413" w:type="dxa"/>
            <w:vAlign w:val="center"/>
          </w:tcPr>
          <w:p w14:paraId="5A915C91" w14:textId="77777777" w:rsidR="00A7672F" w:rsidRPr="00CC6CA3" w:rsidRDefault="00A7672F" w:rsidP="00A7672F">
            <w:pPr>
              <w:pStyle w:val="NoSpacing"/>
              <w:spacing w:afterLines="0" w:after="0"/>
              <w:jc w:val="center"/>
              <w:rPr>
                <w:b/>
                <w:sz w:val="20"/>
                <w:szCs w:val="20"/>
              </w:rPr>
            </w:pPr>
            <w:r w:rsidRPr="00CC6CA3">
              <w:rPr>
                <w:b/>
                <w:sz w:val="20"/>
                <w:szCs w:val="20"/>
              </w:rPr>
              <w:t>Risk-based inspection/</w:t>
            </w:r>
          </w:p>
          <w:p w14:paraId="1598FFB2" w14:textId="77777777" w:rsidR="00A7672F" w:rsidRPr="00CC6CA3" w:rsidRDefault="00A7672F" w:rsidP="00A7672F">
            <w:pPr>
              <w:pStyle w:val="NoSpacing"/>
              <w:spacing w:afterLines="0" w:after="0"/>
              <w:jc w:val="center"/>
              <w:rPr>
                <w:b/>
                <w:sz w:val="20"/>
                <w:szCs w:val="20"/>
              </w:rPr>
            </w:pPr>
            <w:r w:rsidRPr="00CC6CA3">
              <w:rPr>
                <w:b/>
                <w:sz w:val="20"/>
                <w:szCs w:val="20"/>
              </w:rPr>
              <w:t>maintenance</w:t>
            </w:r>
          </w:p>
        </w:tc>
        <w:tc>
          <w:tcPr>
            <w:tcW w:w="3798" w:type="dxa"/>
            <w:vAlign w:val="center"/>
          </w:tcPr>
          <w:p w14:paraId="7D23594E"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Maintenance activities focused on critical components in a system</w:t>
            </w:r>
          </w:p>
          <w:p w14:paraId="5025F5CD"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Reduction of the risk of equipment/plant</w:t>
            </w:r>
          </w:p>
          <w:p w14:paraId="5B53AC09"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Manage each inspection based on the inspection results</w:t>
            </w:r>
          </w:p>
          <w:p w14:paraId="3B09957B" w14:textId="33FBCB0F"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Often results in significant cost savings by avoiding unplanned shutdowns</w:t>
            </w:r>
          </w:p>
        </w:tc>
        <w:tc>
          <w:tcPr>
            <w:tcW w:w="3544" w:type="dxa"/>
            <w:vAlign w:val="center"/>
          </w:tcPr>
          <w:p w14:paraId="5534FF13"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Conventional RBI only uses statistical data, and maintenance actions are unable to be scheduled on an as-needed basis</w:t>
            </w:r>
          </w:p>
          <w:p w14:paraId="31257D54" w14:textId="6D2A62C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Taking a wrong starting point, reducing its effectiveness</w:t>
            </w:r>
          </w:p>
        </w:tc>
      </w:tr>
      <w:tr w:rsidR="00CC6CA3" w:rsidRPr="00CC6CA3" w14:paraId="3E4B0BD3" w14:textId="77777777" w:rsidTr="00F632C0">
        <w:tc>
          <w:tcPr>
            <w:tcW w:w="1413" w:type="dxa"/>
            <w:vAlign w:val="center"/>
          </w:tcPr>
          <w:p w14:paraId="403D4EE7" w14:textId="77777777" w:rsidR="00A7672F" w:rsidRPr="00CC6CA3" w:rsidRDefault="00A7672F" w:rsidP="00A7672F">
            <w:pPr>
              <w:pStyle w:val="NoSpacing"/>
              <w:spacing w:afterLines="0" w:after="0"/>
              <w:jc w:val="center"/>
              <w:rPr>
                <w:b/>
                <w:sz w:val="20"/>
                <w:szCs w:val="20"/>
              </w:rPr>
            </w:pPr>
            <w:r w:rsidRPr="00CC6CA3">
              <w:rPr>
                <w:b/>
                <w:sz w:val="20"/>
                <w:szCs w:val="20"/>
              </w:rPr>
              <w:t>Condition-based maintenance</w:t>
            </w:r>
          </w:p>
        </w:tc>
        <w:tc>
          <w:tcPr>
            <w:tcW w:w="3798" w:type="dxa"/>
            <w:vAlign w:val="center"/>
          </w:tcPr>
          <w:p w14:paraId="6FFD1E07"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 xml:space="preserve">Maintenance actions are arranged on an as-needed basis </w:t>
            </w:r>
          </w:p>
          <w:p w14:paraId="5C75DB97" w14:textId="77777777"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Able to exploit the maximum operating time of a machine/equipment</w:t>
            </w:r>
          </w:p>
          <w:p w14:paraId="318CB83B" w14:textId="3076232C"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 xml:space="preserve">Often results in significant cost savings by avoiding unplanned </w:t>
            </w:r>
            <w:r w:rsidRPr="00CC6CA3">
              <w:rPr>
                <w:noProof/>
                <w:sz w:val="20"/>
                <w:szCs w:val="20"/>
              </w:rPr>
              <w:t>shutdowns</w:t>
            </w:r>
            <w:r w:rsidRPr="00CC6CA3">
              <w:rPr>
                <w:sz w:val="20"/>
                <w:szCs w:val="20"/>
              </w:rPr>
              <w:t xml:space="preserve"> and reducing the number of unnecessary maintenance visits</w:t>
            </w:r>
          </w:p>
        </w:tc>
        <w:tc>
          <w:tcPr>
            <w:tcW w:w="3544" w:type="dxa"/>
            <w:vAlign w:val="center"/>
          </w:tcPr>
          <w:p w14:paraId="7E848E11" w14:textId="32FD3675" w:rsidR="00A7672F" w:rsidRPr="00CC6CA3" w:rsidRDefault="00A7672F" w:rsidP="00A7672F">
            <w:pPr>
              <w:pStyle w:val="NoSpacing"/>
              <w:numPr>
                <w:ilvl w:val="0"/>
                <w:numId w:val="4"/>
              </w:numPr>
              <w:spacing w:afterLines="0" w:after="0" w:line="240" w:lineRule="auto"/>
              <w:jc w:val="left"/>
              <w:rPr>
                <w:sz w:val="20"/>
                <w:szCs w:val="20"/>
              </w:rPr>
            </w:pPr>
            <w:r w:rsidRPr="00CC6CA3">
              <w:rPr>
                <w:sz w:val="20"/>
                <w:szCs w:val="20"/>
              </w:rPr>
              <w:t>Requires experts for data analysis, fault detection and isolation, and maintenance planning</w:t>
            </w:r>
          </w:p>
        </w:tc>
      </w:tr>
    </w:tbl>
    <w:p w14:paraId="221D08B5" w14:textId="3C26EDF2" w:rsidR="00E2359E" w:rsidRPr="00CC6CA3" w:rsidRDefault="00E2359E" w:rsidP="00240DAA">
      <w:pPr>
        <w:spacing w:before="120"/>
      </w:pPr>
      <w:r w:rsidRPr="00CC6CA3">
        <w:rPr>
          <w:rFonts w:hint="eastAsia"/>
        </w:rPr>
        <w:t xml:space="preserve">The </w:t>
      </w:r>
      <w:r w:rsidR="00FC733D" w:rsidRPr="00CC6CA3">
        <w:rPr>
          <w:rFonts w:hint="eastAsia"/>
        </w:rPr>
        <w:t xml:space="preserve">limitations of traditional and current maintenance strategies make it necessary to seek </w:t>
      </w:r>
      <w:r w:rsidR="00FC733D" w:rsidRPr="00CC6CA3">
        <w:t>practical</w:t>
      </w:r>
      <w:r w:rsidR="00FC733D" w:rsidRPr="00CC6CA3">
        <w:rPr>
          <w:rFonts w:hint="eastAsia"/>
        </w:rPr>
        <w:t xml:space="preserve"> and cost-saving maintenance strategies to deal with the increasingly complex problems of modern industrial systems</w:t>
      </w:r>
      <w:r w:rsidRPr="00CC6CA3">
        <w:rPr>
          <w:rFonts w:hint="eastAsia"/>
        </w:rPr>
        <w:t xml:space="preserve"> </w:t>
      </w:r>
      <w:r w:rsidRPr="00CC6CA3">
        <w:t xml:space="preserve">[3], [20]. </w:t>
      </w:r>
      <w:r w:rsidR="00FC733D" w:rsidRPr="00CC6CA3">
        <w:t>The intelligent and integrated maintenance strategies, which apply the state-of-the-art diagnosis algorithms, or utilise the advantages of different strategies, to achieve higher efficiency and lower life cycle cost, can be a solution for the problems mentioned above.</w:t>
      </w:r>
      <w:r w:rsidRPr="00CC6CA3">
        <w:t xml:space="preserve"> </w:t>
      </w:r>
      <w:r w:rsidRPr="00CC6CA3">
        <w:fldChar w:fldCharType="begin"/>
      </w:r>
      <w:r w:rsidRPr="00CC6CA3">
        <w:instrText xml:space="preserve"> REF _Ref7794103 \h  \* MERGEFORMAT </w:instrText>
      </w:r>
      <w:r w:rsidRPr="00CC6CA3">
        <w:fldChar w:fldCharType="separate"/>
      </w:r>
      <w:r w:rsidR="001906D9" w:rsidRPr="00CC6CA3">
        <w:t>Figure 2.6</w:t>
      </w:r>
      <w:r w:rsidRPr="00CC6CA3">
        <w:fldChar w:fldCharType="end"/>
      </w:r>
      <w:r w:rsidRPr="00CC6CA3">
        <w:t xml:space="preserve"> shows the efficiency of different maintenance strategies, and </w:t>
      </w:r>
      <w:r w:rsidRPr="00CC6CA3">
        <w:fldChar w:fldCharType="begin"/>
      </w:r>
      <w:r w:rsidRPr="00CC6CA3">
        <w:instrText xml:space="preserve"> REF _Ref7947653 \h  \* MERGEFORMAT </w:instrText>
      </w:r>
      <w:r w:rsidRPr="00CC6CA3">
        <w:fldChar w:fldCharType="separate"/>
      </w:r>
      <w:r w:rsidR="001906D9" w:rsidRPr="00CC6CA3">
        <w:t>Figure 2.7</w:t>
      </w:r>
      <w:r w:rsidRPr="00CC6CA3">
        <w:fldChar w:fldCharType="end"/>
      </w:r>
      <w:r w:rsidRPr="00CC6CA3">
        <w:t xml:space="preserve"> estimates the average life cycle cost for these strategies.</w:t>
      </w:r>
    </w:p>
    <w:p w14:paraId="4EE3CB0A" w14:textId="77777777" w:rsidR="00E2359E" w:rsidRPr="00CC6CA3" w:rsidRDefault="00E2359E" w:rsidP="00E2359E">
      <w:pPr>
        <w:keepNext/>
        <w:ind w:left="360"/>
        <w:jc w:val="center"/>
      </w:pPr>
      <w:r w:rsidRPr="00CC6CA3">
        <w:rPr>
          <w:noProof/>
        </w:rPr>
        <w:lastRenderedPageBreak/>
        <w:drawing>
          <wp:inline distT="0" distB="0" distL="0" distR="0" wp14:anchorId="036E31A6" wp14:editId="35736580">
            <wp:extent cx="2762080" cy="18000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62080" cy="1800000"/>
                    </a:xfrm>
                    <a:prstGeom prst="rect">
                      <a:avLst/>
                    </a:prstGeom>
                  </pic:spPr>
                </pic:pic>
              </a:graphicData>
            </a:graphic>
          </wp:inline>
        </w:drawing>
      </w:r>
    </w:p>
    <w:p w14:paraId="13F11CD2" w14:textId="139959FD" w:rsidR="00E2359E" w:rsidRPr="00CC6CA3" w:rsidRDefault="00E2359E" w:rsidP="00E2359E">
      <w:pPr>
        <w:pStyle w:val="Caption"/>
        <w:ind w:left="360"/>
        <w:jc w:val="center"/>
      </w:pPr>
      <w:bookmarkStart w:id="128" w:name="_Ref7794103"/>
      <w:bookmarkStart w:id="129" w:name="_Toc8155333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w:t>
      </w:r>
      <w:r w:rsidR="00D62691" w:rsidRPr="00CC6CA3">
        <w:rPr>
          <w:noProof/>
        </w:rPr>
        <w:fldChar w:fldCharType="end"/>
      </w:r>
      <w:bookmarkEnd w:id="128"/>
      <w:r w:rsidRPr="00CC6CA3">
        <w:t xml:space="preserve"> Maintenance strategies and their corresponding </w:t>
      </w:r>
      <w:r w:rsidR="00FC733D" w:rsidRPr="00CC6CA3">
        <w:rPr>
          <w:szCs w:val="20"/>
        </w:rPr>
        <w:t xml:space="preserve">efficiencies </w:t>
      </w:r>
      <w:r w:rsidRPr="00CC6CA3">
        <w:fldChar w:fldCharType="begin"/>
      </w:r>
      <w:r w:rsidR="007D1BCC" w:rsidRPr="00CC6CA3">
        <w:instrText xml:space="preserve"> ADDIN ZOTERO_ITEM CSL_CITATION {"citationID":"emo1FDBq","properties":{"formattedCitation":"[83]","plainCitation":"[83]","noteIndex":0},"citationItems":[{"id":158,"uris":["http://zotero.org/users/3051968/items/8AKL8M8U"],"uri":["http://zotero.org/users/3051968/items/8AKL8M8U"],"itemData":{"id":158,"type":"article-journal","abstract":"Equipment management in process industry in China essentially belongs to the traditional breakdown maintenance pattern, and the basic inspection/maintenance decision-making is weak. Equipment inspection/maintenance tasks are mainly based on the empirical or qualitative method, and it lacks identiﬁcation and classiﬁcation of critical equipment, so that maintenance resources can’t be reasonably allocated. Reliability, availability and safety of equipment are difﬁcult to control and guarantee due to the existing maintenance deﬁciencies, maintenance surplus, potential danger and possible accidents. In order to ensure stable production and reduce operation cost, equipment maintenance and safety integrity management system (MSI) is established in this paper, which integrates ERP, MES, RBI, RCM, SIL and PMIS together. MSI can provide dynamic risk rank data, predictive maintenance data and RAM decision-making data, through which the personnel at all levels can grasp the risk state of equipment timely and accurately and optimize maintenance schedules to support the decision-making. The result of an engineering case shows that the system can improve reliability, availability, and safety, lower failure frequency, decrease failure consequences and make full use of maintenance resources, thus achieving the reasonable and positive result.","container-title":"Journal of Loss Prevention in the Process Industries","DOI":"10.1016/j.jlp.2011.01.008","ISSN":"09504230","issue":"4","journalAbbreviation":"Journal of Loss Prevention in the Process Industries","language":"en","page":"321-332","source":"DOI.org (Crossref)","title":"Development and application of equipment maintenance and safety integrity management system","volume":"24","author":[{"family":"Qingfeng","given":"Wang"},{"family":"Wenbin","given":"Liu"},{"family":"Xin","given":"Zhong"},{"family":"Jianfeng","given":"Yang"},{"family":"Qingbin","given":"Yuan"}],"issued":{"date-parts":[["2011",7]]}}}],"schema":"https://github.com/citation-style-language/schema/raw/master/csl-citation.json"} </w:instrText>
      </w:r>
      <w:r w:rsidRPr="00CC6CA3">
        <w:fldChar w:fldCharType="separate"/>
      </w:r>
      <w:r w:rsidR="007D1BCC" w:rsidRPr="00CC6CA3">
        <w:rPr>
          <w:rFonts w:cs="Times New Roman"/>
        </w:rPr>
        <w:t>[83]</w:t>
      </w:r>
      <w:bookmarkEnd w:id="129"/>
      <w:r w:rsidRPr="00CC6CA3">
        <w:fldChar w:fldCharType="end"/>
      </w:r>
    </w:p>
    <w:p w14:paraId="23EB6421" w14:textId="77777777" w:rsidR="00E2359E" w:rsidRPr="00CC6CA3" w:rsidRDefault="00E2359E" w:rsidP="00E2359E">
      <w:pPr>
        <w:keepNext/>
        <w:ind w:left="360"/>
        <w:jc w:val="center"/>
      </w:pPr>
      <w:r w:rsidRPr="00CC6CA3">
        <w:rPr>
          <w:noProof/>
        </w:rPr>
        <w:drawing>
          <wp:inline distT="0" distB="0" distL="0" distR="0" wp14:anchorId="2709C22F" wp14:editId="3C6B4104">
            <wp:extent cx="2603460" cy="18000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03460" cy="1800000"/>
                    </a:xfrm>
                    <a:prstGeom prst="rect">
                      <a:avLst/>
                    </a:prstGeom>
                  </pic:spPr>
                </pic:pic>
              </a:graphicData>
            </a:graphic>
          </wp:inline>
        </w:drawing>
      </w:r>
    </w:p>
    <w:p w14:paraId="186D168A" w14:textId="0A10B377" w:rsidR="00E2359E" w:rsidRPr="00CC6CA3" w:rsidRDefault="00E2359E" w:rsidP="00E2359E">
      <w:pPr>
        <w:pStyle w:val="Caption"/>
        <w:ind w:left="360"/>
        <w:jc w:val="center"/>
      </w:pPr>
      <w:bookmarkStart w:id="130" w:name="_Ref7947653"/>
      <w:bookmarkStart w:id="131" w:name="_Toc8155333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7</w:t>
      </w:r>
      <w:r w:rsidR="00D62691" w:rsidRPr="00CC6CA3">
        <w:rPr>
          <w:noProof/>
        </w:rPr>
        <w:fldChar w:fldCharType="end"/>
      </w:r>
      <w:bookmarkEnd w:id="130"/>
      <w:r w:rsidRPr="00CC6CA3">
        <w:t xml:space="preserve"> Management strategies and their life cycle cost</w:t>
      </w:r>
      <w:r w:rsidR="00BA3A08" w:rsidRPr="00CC6CA3">
        <w:t>s</w:t>
      </w:r>
      <w:r w:rsidRPr="00CC6CA3">
        <w:t xml:space="preserve"> </w:t>
      </w:r>
      <w:r w:rsidRPr="00CC6CA3">
        <w:fldChar w:fldCharType="begin"/>
      </w:r>
      <w:r w:rsidR="007D1BCC" w:rsidRPr="00CC6CA3">
        <w:instrText xml:space="preserve"> ADDIN ZOTERO_ITEM CSL_CITATION {"citationID":"ojjZUQe4","properties":{"formattedCitation":"[84]","plainCitation":"[84]","noteIndex":0},"citationItems":[{"id":150,"uris":["http://zotero.org/users/3051968/items/HXXP6A67"],"uri":["http://zotero.org/users/3051968/items/HXXP6A67"],"itemData":{"id":150,"type":"paper-conference","abstract":"Performance-based contracting (PBC) is reshaping the acquisition, operation, and maintenance of capital equipment. Under the PBC scheme, we propose a holistic approach for lowering the cost of wind turbine ownership while meeting the availability requirement. Our effects are focused on integrated firms who design and market wind turbines, and also provide maintenance and repair service. PBC differs from conventional service contracts in that the wind farmers compensate the service provider for the system performance, not the spare parts and repair labor. We explore the analytical relationship between system cost, reliability and spare parts stocking. This analytical insight into the system performance allows the turbine manufacturer to optimize design, production, and after-sales services. The study aims to create a theoretical basis to facilitate the transition of the maintenance paradigm from a material-based contract to a performance-based contract in the power industry.","container-title":"2012 IEEE Power and Energy Society General Meeting","DOI":"10.1109/PESGM.2012.6344739","event":"2012 IEEE Power and Energy Society General Meeting","page":"1-6","source":"IEEE Xplore","title":"Managing wind turbine reliability and maintenance via performance-based contract","author":[{"family":"Jin","given":"T."},{"family":"Ding","given":"Y."},{"family":"Guo","given":"H."},{"family":"Nalajala","given":"N."}],"issued":{"date-parts":[["2012",7]]}}}],"schema":"https://github.com/citation-style-language/schema/raw/master/csl-citation.json"} </w:instrText>
      </w:r>
      <w:r w:rsidRPr="00CC6CA3">
        <w:fldChar w:fldCharType="separate"/>
      </w:r>
      <w:r w:rsidR="007D1BCC" w:rsidRPr="00CC6CA3">
        <w:rPr>
          <w:rFonts w:cs="Times New Roman"/>
        </w:rPr>
        <w:t>[84]</w:t>
      </w:r>
      <w:bookmarkEnd w:id="131"/>
      <w:r w:rsidRPr="00CC6CA3">
        <w:fldChar w:fldCharType="end"/>
      </w:r>
    </w:p>
    <w:p w14:paraId="2C0669BA" w14:textId="563F06A5" w:rsidR="00E2359E" w:rsidRPr="00CC6CA3" w:rsidRDefault="00E2359E" w:rsidP="00E2359E">
      <w:pPr>
        <w:pStyle w:val="Heading2"/>
      </w:pPr>
      <w:bookmarkStart w:id="132" w:name="_Toc81553254"/>
      <w:r w:rsidRPr="00CC6CA3">
        <w:t xml:space="preserve">Development </w:t>
      </w:r>
      <w:r w:rsidR="003D705A" w:rsidRPr="00CC6CA3">
        <w:t>of a condition-based risk assessment maintenance strategy</w:t>
      </w:r>
      <w:bookmarkEnd w:id="132"/>
      <w:r w:rsidRPr="00CC6CA3">
        <w:t xml:space="preserve"> </w:t>
      </w:r>
    </w:p>
    <w:p w14:paraId="0D12C3E3" w14:textId="3E125797" w:rsidR="00E2359E" w:rsidRPr="00CC6CA3" w:rsidRDefault="00E26542" w:rsidP="00E2359E">
      <w:r w:rsidRPr="00CC6CA3">
        <w:t>Maintenance is intended to minimise or avoid unplanned shutdowns due to the inevitable degradation of a machine during its working life, and to keep the machine close to its normal working condition. An appropriate maintenance strategy is essential for a company to minimise maintenance costs and maximise profits</w:t>
      </w:r>
      <w:r w:rsidR="00E2359E" w:rsidRPr="00CC6CA3">
        <w:t xml:space="preserve"> </w:t>
      </w:r>
      <w:r w:rsidR="00E2359E" w:rsidRPr="00CC6CA3">
        <w:fldChar w:fldCharType="begin"/>
      </w:r>
      <w:r w:rsidR="007D1BCC" w:rsidRPr="00CC6CA3">
        <w:instrText xml:space="preserve"> ADDIN ZOTERO_ITEM CSL_CITATION {"citationID":"hVumpmoL","properties":{"formattedCitation":"[13]","plainCitation":"[13]","noteIndex":0},"citationItems":[{"id":"jMlmauCg/j1UDUQ2F","uris":["http://zotero.org/users/3051968/items/44TVM76S"],"uri":["http://zotero.org/users/3051968/items/44TVM76S"],"itemData":{"id":857,"type":"article-journal","title":"Optimal economic production quantity policy for randomly failing process with minimal repair, backorder and preventive maintenance","container-title":"International Journal of Systems Science","page":"1602-1612","volume":"44","issue":"9","source":"Taylor and Francis+NEJM","abstract":"This study examines the feasibility of using an economic production quantity (EPQ) model incorporating maintenance and production programs to model an imperfect process involving a deteriorating production system. In response to failure, defective parts were produced and minimal repairs performed to create an in-control state. The conditions are studied in the case of the EPQ model undergoing a backorder owing to rejection of defective parts after a failure. Following production run period, two types of periodic preventive maintenance (PM) exist: imperfect and perfect. The probability of perfect PM being performed depends on the number of imperfect PM performed since the last renewal cycle. For the EPQ model, the optimal run time for minimising the total cost is discussed. Various special cases are considered, including the PM learning effect. Finally, this investigation presents a numerical example to illustrate the effects of PM ability, repair cost and defect number on total costs and production period. This study finds that enhancing maintenance ability reduces production related costs. The product system can be produced more efficiently using a PM program.","DOI":"10.1080/00207721.2012.659702","ISSN":"0020-7721","author":[{"family":"Liao","given":"Gwo-Liang"}],"issued":{"date-parts":[["2013",9,1]]}}}],"schema":"https://github.com/citation-style-language/schema/raw/master/csl-citation.json"} </w:instrText>
      </w:r>
      <w:r w:rsidR="00E2359E" w:rsidRPr="00CC6CA3">
        <w:fldChar w:fldCharType="separate"/>
      </w:r>
      <w:r w:rsidR="00854B0F" w:rsidRPr="00CC6CA3">
        <w:rPr>
          <w:rFonts w:cs="Times New Roman"/>
        </w:rPr>
        <w:t>[13]</w:t>
      </w:r>
      <w:r w:rsidR="00E2359E" w:rsidRPr="00CC6CA3">
        <w:fldChar w:fldCharType="end"/>
      </w:r>
      <w:r w:rsidR="00E2359E" w:rsidRPr="00CC6CA3">
        <w:t>.</w:t>
      </w:r>
    </w:p>
    <w:p w14:paraId="23F1A19A" w14:textId="5E278150" w:rsidR="00E2359E" w:rsidRPr="00CC6CA3" w:rsidRDefault="00E2359E" w:rsidP="00E2359E">
      <w:r w:rsidRPr="00CC6CA3">
        <w:t xml:space="preserve">Among the commonly used maintenance strategies in Section 2.2, the RBM and CBM have attracted increasing attention, because both of them can not only improve safety, but also reduce operating costs </w:t>
      </w:r>
      <w:r w:rsidRPr="00CC6CA3">
        <w:fldChar w:fldCharType="begin"/>
      </w:r>
      <w:r w:rsidR="007D1BCC" w:rsidRPr="00CC6CA3">
        <w:instrText xml:space="preserve"> ADDIN ZOTERO_ITEM CSL_CITATION {"citationID":"QVEXrNOz","properties":{"formattedCitation":"[85]","plainCitation":"[85]","noteIndex":0},"citationItems":[{"id":299,"uris":["http://zotero.org/users/3051968/items/SB25Z9IB"],"uri":["http://zotero.org/users/3051968/items/SB25Z9IB"],"itemData":{"id":299,"type":"article-journal","abstract":"The development of South African legislation concerning the inspection of boilers and pressure vessels is briefly reviewed in order to present an understanding of current prescriptive time--based inspection requirements. The alternative philosophy of Risk Based Inspection (RBI) is explained and the potential benefits in terms of increased equipment integrity and reduced cost is demonstrated.","language":"en","page":"8","source":"Zotero","title":"Cost savings achievable through application of risk based inspection philosophies","author":[{"family":"Holland","given":"M L"}],"issued":{"date-parts":[["1998"]]}}}],"schema":"https://github.com/citation-style-language/schema/raw/master/csl-citation.json"} </w:instrText>
      </w:r>
      <w:r w:rsidRPr="00CC6CA3">
        <w:fldChar w:fldCharType="separate"/>
      </w:r>
      <w:r w:rsidR="007D1BCC" w:rsidRPr="00CC6CA3">
        <w:rPr>
          <w:rFonts w:cs="Times New Roman"/>
        </w:rPr>
        <w:t>[85]</w:t>
      </w:r>
      <w:r w:rsidRPr="00CC6CA3">
        <w:fldChar w:fldCharType="end"/>
      </w:r>
      <w:r w:rsidRPr="00CC6CA3">
        <w:t>. Apart from the</w:t>
      </w:r>
      <w:r w:rsidR="00852DCA" w:rsidRPr="00CC6CA3">
        <w:t>se</w:t>
      </w:r>
      <w:r w:rsidRPr="00CC6CA3">
        <w:t xml:space="preserve"> merits, both strategies have their own limits. The traditional RBM uses near miss and incident data, so that the risk assessment results cannot be updated during the life of a process </w:t>
      </w:r>
      <w:r w:rsidRPr="00CC6CA3">
        <w:fldChar w:fldCharType="begin"/>
      </w:r>
      <w:r w:rsidR="007D1BCC" w:rsidRPr="00CC6CA3">
        <w:instrText xml:space="preserve"> ADDIN ZOTERO_ITEM CSL_CITATION {"citationID":"rcxybpUH","properties":{"formattedCitation":"[86]","plainCitation":"[86]","noteIndex":0},"citationItems":[{"id":810,"uris":["http://zotero.org/users/3051968/items/SUUFYI23"],"uri":["http://zotero.org/users/3051968/items/SUUFYI23"],"itemData":{"id":810,"type":"article-journal","container-title":"Journal of Loss Prevention in the Process Industries","issue":"5","page":"600–606","source":"Google Scholar","title":"Dynamic risk assessment using failure assessment and Bayesian theory","volume":"22","author":[{"family":"Kalantarnia","given":"Maryam"},{"family":"Khan","given":"Faisal"},{"family":"Hawboldt","given":"Kelly"}],"issued":{"date-parts":[["2009"]]}}}],"schema":"https://github.com/citation-style-language/schema/raw/master/csl-citation.json"} </w:instrText>
      </w:r>
      <w:r w:rsidRPr="00CC6CA3">
        <w:fldChar w:fldCharType="separate"/>
      </w:r>
      <w:r w:rsidR="007D1BCC" w:rsidRPr="00CC6CA3">
        <w:rPr>
          <w:rFonts w:cs="Times New Roman"/>
        </w:rPr>
        <w:t>[86]</w:t>
      </w:r>
      <w:r w:rsidRPr="00CC6CA3">
        <w:fldChar w:fldCharType="end"/>
      </w:r>
      <w:r w:rsidRPr="00CC6CA3">
        <w:t xml:space="preserve">. </w:t>
      </w:r>
      <w:r w:rsidR="00852DCA" w:rsidRPr="00CC6CA3">
        <w:t xml:space="preserve">As maintenance is determined according to the risk assessment results, the RBM is unable to conduct a maintenance action on an as-needed basis, and therefore, may still have the problem of unplanned shutdowns and over-maintenance. Although the CBM monitors the working conditions of the equipment in real-time, current studies mainly focus on developing advanced models to detect incipient faults, </w:t>
      </w:r>
      <w:r w:rsidR="00852DCA" w:rsidRPr="00CC6CA3">
        <w:lastRenderedPageBreak/>
        <w:t>without considering the financial cost or risk factors when calculating the optimum time for maintenance. To overcome this problem, a dynamic condition-based risk assessment method, which combines the positive sides of CBM and RBM, has been developed, enabling the capture of the system risk profile over time. The idea behind the development of this cost-saving maintenance strategy can be seen in</w:t>
      </w:r>
      <w:r w:rsidRPr="00CC6CA3">
        <w:t xml:space="preserve"> </w:t>
      </w:r>
      <w:r w:rsidRPr="00CC6CA3">
        <w:fldChar w:fldCharType="begin"/>
      </w:r>
      <w:r w:rsidRPr="00CC6CA3">
        <w:instrText xml:space="preserve"> REF _Ref60259631 \h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8</w:t>
      </w:r>
      <w:r w:rsidRPr="00CC6CA3">
        <w:fldChar w:fldCharType="end"/>
      </w:r>
      <w:r w:rsidRPr="00CC6CA3">
        <w:t>.</w:t>
      </w:r>
    </w:p>
    <w:p w14:paraId="07D14506" w14:textId="270C5824" w:rsidR="00E2359E" w:rsidRPr="00CC6CA3" w:rsidRDefault="00951E99" w:rsidP="00240DAA">
      <w:pPr>
        <w:keepNext/>
        <w:spacing w:after="0"/>
        <w:jc w:val="center"/>
      </w:pPr>
      <w:r w:rsidRPr="00CC6CA3">
        <w:object w:dxaOrig="7957" w:dyaOrig="6313" w14:anchorId="294A8A09">
          <v:shape id="_x0000_i1029" type="#_x0000_t75" style="width:240pt;height:166pt" o:ole="">
            <v:imagedata r:id="rId34" o:title="" cropbottom="6783f"/>
          </v:shape>
          <o:OLEObject Type="Embed" ProgID="Visio.Drawing.15" ShapeID="_x0000_i1029" DrawAspect="Content" ObjectID="_1692500308" r:id="rId35"/>
        </w:object>
      </w:r>
    </w:p>
    <w:p w14:paraId="0251B3E0" w14:textId="5DDA9256" w:rsidR="00E2359E" w:rsidRPr="00CC6CA3" w:rsidRDefault="00E2359E" w:rsidP="00E2359E">
      <w:pPr>
        <w:pStyle w:val="Caption"/>
        <w:jc w:val="center"/>
      </w:pPr>
      <w:bookmarkStart w:id="133" w:name="_Ref60259631"/>
      <w:bookmarkStart w:id="134" w:name="_Toc8155333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8</w:t>
      </w:r>
      <w:r w:rsidR="00D62691" w:rsidRPr="00CC6CA3">
        <w:rPr>
          <w:noProof/>
        </w:rPr>
        <w:fldChar w:fldCharType="end"/>
      </w:r>
      <w:bookmarkEnd w:id="133"/>
      <w:r w:rsidRPr="00CC6CA3">
        <w:t xml:space="preserve"> The </w:t>
      </w:r>
      <w:r w:rsidR="00184DB5" w:rsidRPr="00CC6CA3">
        <w:rPr>
          <w:szCs w:val="20"/>
        </w:rPr>
        <w:t xml:space="preserve">idea behind developing </w:t>
      </w:r>
      <w:r w:rsidRPr="00CC6CA3">
        <w:t>an intelligent cost-saving maintenance strategy</w:t>
      </w:r>
      <w:bookmarkEnd w:id="134"/>
    </w:p>
    <w:p w14:paraId="136E50CD" w14:textId="77777777" w:rsidR="00E2359E" w:rsidRPr="00CC6CA3" w:rsidRDefault="00E2359E" w:rsidP="00E2359E">
      <w:r w:rsidRPr="00CC6CA3">
        <w:t>The condition-based risk assessment has three main components, which are condition-based fault detection, the calculation of the probability of fault/failure, and associated consequences. These three components are reviewed in the following sections, and the health indicator for condition-based risk assessment is described.</w:t>
      </w:r>
    </w:p>
    <w:p w14:paraId="0A1E7356" w14:textId="77777777" w:rsidR="00E2359E" w:rsidRPr="00CC6CA3" w:rsidRDefault="00E2359E" w:rsidP="00E2359E">
      <w:pPr>
        <w:pStyle w:val="Heading3"/>
      </w:pPr>
      <w:bookmarkStart w:id="135" w:name="_Toc81553255"/>
      <w:r w:rsidRPr="00CC6CA3">
        <w:t>Condition-based fault detection</w:t>
      </w:r>
      <w:bookmarkEnd w:id="135"/>
      <w:r w:rsidRPr="00CC6CA3">
        <w:t xml:space="preserve"> </w:t>
      </w:r>
    </w:p>
    <w:p w14:paraId="4D3B70D3" w14:textId="1297AB19" w:rsidR="00E2359E" w:rsidRPr="00CC6CA3" w:rsidRDefault="00E2359E" w:rsidP="00E2359E">
      <w:r w:rsidRPr="00CC6CA3">
        <w:t xml:space="preserve">A minor undetected fault in the equipment may cause performance degradation or failure, thereby seriously affecting the plant's safety and productivity. </w:t>
      </w:r>
      <w:r w:rsidR="000243E1" w:rsidRPr="00CC6CA3">
        <w:t xml:space="preserve">With industrial systems getting more sophisticated, downtime cost has become more expensive, and the root causes of failures have become more important to locate. </w:t>
      </w:r>
      <w:r w:rsidRPr="00CC6CA3">
        <w:t xml:space="preserve">Therefore, to enhance plant safety and productivity, and reduce operation costs, accurate and incipient fault detection is essential. </w:t>
      </w:r>
    </w:p>
    <w:p w14:paraId="3798BE34" w14:textId="5B795430" w:rsidR="00CC31D6" w:rsidRPr="00CC6CA3" w:rsidRDefault="00E2359E" w:rsidP="00E2359E">
      <w:r w:rsidRPr="00CC6CA3">
        <w:t xml:space="preserve">Quite a few diagnostic methods have been proposed and reported in the literature. According to </w:t>
      </w:r>
      <w:r w:rsidRPr="00CC6CA3">
        <w:fldChar w:fldCharType="begin"/>
      </w:r>
      <w:r w:rsidR="007D1BCC" w:rsidRPr="00CC6CA3">
        <w:instrText xml:space="preserve"> ADDIN ZOTERO_ITEM CSL_CITATION {"citationID":"AbECfZkY","properties":{"formattedCitation":"[87]","plainCitation":"[87]","noteIndex":0},"citationItems":[{"id":914,"uris":["http://zotero.org/users/3051968/items/S8JAYCHG"],"uri":["http://zotero.org/users/3051968/items/S8JAYCHG"],"itemData":{"id":914,"type":"article-journal","container-title":"Annual reviews in control","issue":"2","note":"publisher: Elsevier","page":"229–252","source":"Google Scholar","title":"Bibliographical review on reconfigurable fault-tolerant control systems","volume":"32","author":[{"family":"Zhang","given":"Youmin"},{"family":"Jiang","given":"Jin"}],"issued":{"date-parts":[["2008"]]}}}],"schema":"https://github.com/citation-style-language/schema/raw/master/csl-citation.json"} </w:instrText>
      </w:r>
      <w:r w:rsidRPr="00CC6CA3">
        <w:fldChar w:fldCharType="separate"/>
      </w:r>
      <w:r w:rsidR="007D1BCC" w:rsidRPr="00CC6CA3">
        <w:rPr>
          <w:rFonts w:cs="Times New Roman"/>
        </w:rPr>
        <w:t>[87]</w:t>
      </w:r>
      <w:r w:rsidRPr="00CC6CA3">
        <w:fldChar w:fldCharType="end"/>
      </w:r>
      <w:r w:rsidRPr="00CC6CA3">
        <w:t xml:space="preserve">, fault detection and diagnosis methods can be broadly divided into two categories: model-based methods and data-driven methods, and both methods can be qualitative and quantitative </w:t>
      </w:r>
      <w:r w:rsidRPr="00CC6CA3">
        <w:fldChar w:fldCharType="begin"/>
      </w:r>
      <w:r w:rsidR="007D1BCC" w:rsidRPr="00CC6CA3">
        <w:instrText xml:space="preserve"> ADDIN ZOTERO_ITEM CSL_CITATION {"citationID":"UU7zoymU","properties":{"formattedCitation":"[87]","plainCitation":"[87]","noteIndex":0},"citationItems":[{"id":914,"uris":["http://zotero.org/users/3051968/items/S8JAYCHG"],"uri":["http://zotero.org/users/3051968/items/S8JAYCHG"],"itemData":{"id":914,"type":"article-journal","container-title":"Annual reviews in control","issue":"2","note":"publisher: Elsevier","page":"229–252","source":"Google Scholar","title":"Bibliographical review on reconfigurable fault-tolerant control systems","volume":"32","author":[{"family":"Zhang","given":"Youmin"},{"family":"Jiang","given":"Jin"}],"issued":{"date-parts":[["2008"]]}}}],"schema":"https://github.com/citation-style-language/schema/raw/master/csl-citation.json"} </w:instrText>
      </w:r>
      <w:r w:rsidRPr="00CC6CA3">
        <w:fldChar w:fldCharType="separate"/>
      </w:r>
      <w:r w:rsidR="007D1BCC" w:rsidRPr="00CC6CA3">
        <w:rPr>
          <w:rFonts w:cs="Times New Roman"/>
        </w:rPr>
        <w:t>[87]</w:t>
      </w:r>
      <w:r w:rsidRPr="00CC6CA3">
        <w:fldChar w:fldCharType="end"/>
      </w:r>
      <w:r w:rsidRPr="00CC6CA3">
        <w:t xml:space="preserve">. The fault detection and diagnosis methods </w:t>
      </w:r>
      <w:r w:rsidR="000243E1" w:rsidRPr="00CC6CA3">
        <w:t xml:space="preserve">are </w:t>
      </w:r>
      <w:r w:rsidRPr="00CC6CA3">
        <w:t xml:space="preserve">briefly described in </w:t>
      </w:r>
      <w:r w:rsidRPr="00CC6CA3">
        <w:fldChar w:fldCharType="begin"/>
      </w:r>
      <w:r w:rsidRPr="00CC6CA3">
        <w:instrText xml:space="preserve"> REF _Ref45116119 \h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9</w:t>
      </w:r>
      <w:r w:rsidRPr="00CC6CA3">
        <w:fldChar w:fldCharType="end"/>
      </w:r>
      <w:r w:rsidRPr="00CC6CA3">
        <w:t xml:space="preserve">. </w:t>
      </w:r>
    </w:p>
    <w:p w14:paraId="7C642C89" w14:textId="59A204A3" w:rsidR="00E2359E" w:rsidRPr="00CC6CA3" w:rsidRDefault="00E2359E" w:rsidP="00E2359E">
      <w:r w:rsidRPr="00CC6CA3">
        <w:t>This section focuses on the review of quantitative data-driven methods.</w:t>
      </w:r>
    </w:p>
    <w:p w14:paraId="2A0D7477" w14:textId="77777777" w:rsidR="00E2359E" w:rsidRPr="00CC6CA3" w:rsidRDefault="00E2359E" w:rsidP="00240DAA">
      <w:pPr>
        <w:keepNext/>
        <w:spacing w:after="0"/>
        <w:jc w:val="center"/>
      </w:pPr>
      <w:r w:rsidRPr="00CC6CA3">
        <w:object w:dxaOrig="13033" w:dyaOrig="6024" w14:anchorId="2B9E4A8C">
          <v:shape id="_x0000_i1030" type="#_x0000_t75" style="width:402pt;height:186pt" o:ole="">
            <v:imagedata r:id="rId36" o:title=""/>
          </v:shape>
          <o:OLEObject Type="Embed" ProgID="Visio.Drawing.15" ShapeID="_x0000_i1030" DrawAspect="Content" ObjectID="_1692500309" r:id="rId37"/>
        </w:object>
      </w:r>
    </w:p>
    <w:p w14:paraId="6139B3E6" w14:textId="16C99B72" w:rsidR="00E2359E" w:rsidRPr="00CC6CA3" w:rsidRDefault="00E2359E" w:rsidP="00E2359E">
      <w:pPr>
        <w:pStyle w:val="Caption"/>
        <w:jc w:val="center"/>
      </w:pPr>
      <w:bookmarkStart w:id="136" w:name="_Ref45116119"/>
      <w:bookmarkStart w:id="137" w:name="_Toc8155333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9</w:t>
      </w:r>
      <w:r w:rsidR="00D62691" w:rsidRPr="00CC6CA3">
        <w:rPr>
          <w:noProof/>
        </w:rPr>
        <w:fldChar w:fldCharType="end"/>
      </w:r>
      <w:bookmarkEnd w:id="136"/>
      <w:r w:rsidRPr="00CC6CA3">
        <w:t xml:space="preserve"> Fault detection and diagnosis methods </w:t>
      </w:r>
      <w:r w:rsidRPr="00CC6CA3">
        <w:fldChar w:fldCharType="begin"/>
      </w:r>
      <w:r w:rsidR="007D1BCC" w:rsidRPr="00CC6CA3">
        <w:instrText xml:space="preserve"> ADDIN ZOTERO_ITEM CSL_CITATION {"citationID":"dpEQXNGz","properties":{"formattedCitation":"[87]","plainCitation":"[87]","noteIndex":0},"citationItems":[{"id":914,"uris":["http://zotero.org/users/3051968/items/S8JAYCHG"],"uri":["http://zotero.org/users/3051968/items/S8JAYCHG"],"itemData":{"id":914,"type":"article-journal","container-title":"Annual reviews in control","issue":"2","note":"publisher: Elsevier","page":"229–252","source":"Google Scholar","title":"Bibliographical review on reconfigurable fault-tolerant control systems","volume":"32","author":[{"family":"Zhang","given":"Youmin"},{"family":"Jiang","given":"Jin"}],"issued":{"date-parts":[["2008"]]}}}],"schema":"https://github.com/citation-style-language/schema/raw/master/csl-citation.json"} </w:instrText>
      </w:r>
      <w:r w:rsidRPr="00CC6CA3">
        <w:fldChar w:fldCharType="separate"/>
      </w:r>
      <w:r w:rsidR="007D1BCC" w:rsidRPr="00CC6CA3">
        <w:rPr>
          <w:rFonts w:cs="Times New Roman"/>
        </w:rPr>
        <w:t>[87]</w:t>
      </w:r>
      <w:bookmarkEnd w:id="137"/>
      <w:r w:rsidRPr="00CC6CA3">
        <w:fldChar w:fldCharType="end"/>
      </w:r>
    </w:p>
    <w:p w14:paraId="7DB76102" w14:textId="77777777" w:rsidR="00E2359E" w:rsidRPr="00CC6CA3" w:rsidRDefault="00E2359E" w:rsidP="00E2359E">
      <w:pPr>
        <w:pStyle w:val="Heading4"/>
      </w:pPr>
      <w:r w:rsidRPr="00CC6CA3">
        <w:t>Model</w:t>
      </w:r>
      <w:r w:rsidRPr="00CC6CA3">
        <w:rPr>
          <w:rFonts w:hint="eastAsia"/>
        </w:rPr>
        <w:t>-</w:t>
      </w:r>
      <w:r w:rsidRPr="00CC6CA3">
        <w:t>based fault detection methods</w:t>
      </w:r>
    </w:p>
    <w:p w14:paraId="7F117D7D" w14:textId="3FB7155D" w:rsidR="00E2359E" w:rsidRPr="00CC6CA3" w:rsidRDefault="00E2359E" w:rsidP="00E2359E">
      <w:r w:rsidRPr="00CC6CA3">
        <w:t xml:space="preserve">According to </w:t>
      </w:r>
      <w:r w:rsidRPr="00CC6CA3">
        <w:fldChar w:fldCharType="begin"/>
      </w:r>
      <w:r w:rsidR="007D1BCC" w:rsidRPr="00CC6CA3">
        <w:instrText xml:space="preserve"> ADDIN ZOTERO_ITEM CSL_CITATION {"citationID":"OO9ss9rJ","properties":{"formattedCitation":"[88]","plainCitation":"[88]","noteIndex":0},"citationItems":[{"id":890,"uris":["http://zotero.org/users/3051968/items/Z75WGB3M"],"uri":["http://zotero.org/users/3051968/items/Z75WGB3M"],"itemData":{"id":890,"type":"paper-conference","container-title":"Proceedings of the 2004 IEEE International Conference on Control Applications, 2004.","page":"1229–1235","publisher":"IEEE","source":"Google Scholar","title":"Model based fault diagnosis in a centrifugal pump application using structural analysis","volume":"2","author":[{"family":"Kallesoe","given":"Carsten Skovmose"},{"family":"Izaili-Zamanabadi","given":"R."},{"family":"Rasmussen","given":"Henrik"},{"family":"Cocquempot","given":"Vincent"}],"issued":{"date-parts":[["2004"]]}}}],"schema":"https://github.com/citation-style-language/schema/raw/master/csl-citation.json"} </w:instrText>
      </w:r>
      <w:r w:rsidRPr="00CC6CA3">
        <w:fldChar w:fldCharType="separate"/>
      </w:r>
      <w:r w:rsidR="007D1BCC" w:rsidRPr="00CC6CA3">
        <w:rPr>
          <w:rFonts w:cs="Times New Roman"/>
        </w:rPr>
        <w:t>[88]</w:t>
      </w:r>
      <w:r w:rsidRPr="00CC6CA3">
        <w:fldChar w:fldCharType="end"/>
      </w:r>
      <w:r w:rsidRPr="00CC6CA3">
        <w:t xml:space="preserve">, </w:t>
      </w:r>
      <w:r w:rsidRPr="00CC6CA3">
        <w:fldChar w:fldCharType="begin"/>
      </w:r>
      <w:r w:rsidR="007D1BCC" w:rsidRPr="00CC6CA3">
        <w:instrText xml:space="preserve"> ADDIN ZOTERO_ITEM CSL_CITATION {"citationID":"pciwk3LY","properties":{"formattedCitation":"[89]","plainCitation":"[89]","noteIndex":0},"citationItems":[{"id":877,"uris":["http://zotero.org/users/3051968/items/C4GPRSSU"],"uri":["http://zotero.org/users/3051968/items/C4GPRSSU"],"itemData":{"id":877,"type":"article-journal","container-title":"automatica","issue":"4","note":"publisher: Elsevier","page":"387–404","source":"Google Scholar","title":"Process fault detection based on modeling and estimation methods—A survey","volume":"20","author":[{"family":"Isermann","given":"Rolf"}],"issued":{"date-parts":[["1984"]]}}}],"schema":"https://github.com/citation-style-language/schema/raw/master/csl-citation.json"} </w:instrText>
      </w:r>
      <w:r w:rsidRPr="00CC6CA3">
        <w:fldChar w:fldCharType="separate"/>
      </w:r>
      <w:r w:rsidR="007D1BCC" w:rsidRPr="00CC6CA3">
        <w:rPr>
          <w:rFonts w:cs="Times New Roman"/>
        </w:rPr>
        <w:t>[89]</w:t>
      </w:r>
      <w:r w:rsidRPr="00CC6CA3">
        <w:fldChar w:fldCharType="end"/>
      </w:r>
      <w:r w:rsidRPr="00CC6CA3">
        <w:t>, a model-based fault detection system is composed of a residual generator and a residual evaluator (</w:t>
      </w:r>
      <w:r w:rsidRPr="00CC6CA3">
        <w:fldChar w:fldCharType="begin"/>
      </w:r>
      <w:r w:rsidRPr="00CC6CA3">
        <w:instrText xml:space="preserve"> REF _Ref45133850 \h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10</w:t>
      </w:r>
      <w:r w:rsidRPr="00CC6CA3">
        <w:fldChar w:fldCharType="end"/>
      </w:r>
      <w:r w:rsidRPr="00CC6CA3">
        <w:t xml:space="preserve">). The residual generator calculates the residual between the estimated output </w:t>
      </w:r>
      <w:r w:rsidR="00CC31D6" w:rsidRPr="00CC6CA3">
        <w:t xml:space="preserve">of </w:t>
      </w:r>
      <w:r w:rsidRPr="00CC6CA3">
        <w:t>a predefined model with the actual measured values of the system. The residual evaluator determines the health state of the equipment by assessing the received residuals from the residual generator.</w:t>
      </w:r>
    </w:p>
    <w:p w14:paraId="5D0816AD" w14:textId="2ACF1C2F" w:rsidR="00E2359E" w:rsidRPr="00CC6CA3" w:rsidRDefault="00E2359E" w:rsidP="00E2359E">
      <w:r w:rsidRPr="00CC6CA3">
        <w:rPr>
          <w:rFonts w:hint="eastAsia"/>
        </w:rPr>
        <w:t xml:space="preserve">As can be seen in </w:t>
      </w:r>
      <w:r w:rsidRPr="00CC6CA3">
        <w:fldChar w:fldCharType="begin"/>
      </w:r>
      <w:r w:rsidRPr="00CC6CA3">
        <w:instrText xml:space="preserve"> </w:instrText>
      </w:r>
      <w:r w:rsidRPr="00CC6CA3">
        <w:rPr>
          <w:rFonts w:hint="eastAsia"/>
        </w:rPr>
        <w:instrText>REF _Ref45116119 \h</w:instrText>
      </w:r>
      <w:r w:rsidRPr="00CC6CA3">
        <w:instrText xml:space="preserve">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9</w:t>
      </w:r>
      <w:r w:rsidRPr="00CC6CA3">
        <w:fldChar w:fldCharType="end"/>
      </w:r>
      <w:r w:rsidRPr="00CC6CA3">
        <w:rPr>
          <w:rFonts w:hint="eastAsia"/>
        </w:rPr>
        <w:t xml:space="preserve">, </w:t>
      </w:r>
      <w:r w:rsidR="00CC31D6" w:rsidRPr="00CC6CA3">
        <w:t>i</w:t>
      </w:r>
      <w:r w:rsidRPr="00CC6CA3">
        <w:rPr>
          <w:rFonts w:hint="eastAsia"/>
        </w:rPr>
        <w:t>n a qualitative model, the relationships are expressed by qualitative terms, us</w:t>
      </w:r>
      <w:r w:rsidRPr="00CC6CA3">
        <w:t>ing</w:t>
      </w:r>
      <w:r w:rsidRPr="00CC6CA3">
        <w:rPr>
          <w:rFonts w:hint="eastAsia"/>
        </w:rPr>
        <w:t xml:space="preserve"> if-then</w:t>
      </w:r>
      <w:r w:rsidRPr="00CC6CA3">
        <w:t xml:space="preserve"> rules</w:t>
      </w:r>
      <w:r w:rsidRPr="00CC6CA3">
        <w:rPr>
          <w:rFonts w:hint="eastAsia"/>
        </w:rPr>
        <w:t xml:space="preserve"> and inference engines to draw conclusions </w:t>
      </w:r>
      <w:r w:rsidRPr="00CC6CA3">
        <w:fldChar w:fldCharType="begin"/>
      </w:r>
      <w:r w:rsidR="007D1BCC" w:rsidRPr="00CC6CA3">
        <w:instrText xml:space="preserve"> ADDIN ZOTERO_ITEM CSL_CITATION {"citationID":"qymuBbNm","properties":{"formattedCitation":"[90]","plainCitation":"[90]","noteIndex":0},"citationItems":[{"id":909,"uris":["http://zotero.org/users/3051968/items/YWGF96JH"],"uri":["http://zotero.org/users/3051968/items/YWGF96JH"],"itemData":{"id":909,"type":"article-journal","container-title":"Journal of process control","issue":"6","note":"publisher: Elsevier","page":"403–424","source":"Google Scholar","title":"Survey of robust residual generation and evaluation methods in observer-based fault detection systems","volume":"7","author":[{"family":"Frank","given":"Paul M."},{"family":"Ding","given":"Xianchun"}],"issued":{"date-parts":[["1997"]]}}}],"schema":"https://github.com/citation-style-language/schema/raw/master/csl-citation.json"} </w:instrText>
      </w:r>
      <w:r w:rsidRPr="00CC6CA3">
        <w:fldChar w:fldCharType="separate"/>
      </w:r>
      <w:r w:rsidR="007D1BCC" w:rsidRPr="00CC6CA3">
        <w:rPr>
          <w:rFonts w:cs="Times New Roman"/>
        </w:rPr>
        <w:t>[90]</w:t>
      </w:r>
      <w:r w:rsidRPr="00CC6CA3">
        <w:fldChar w:fldCharType="end"/>
      </w:r>
      <w:r w:rsidRPr="00CC6CA3">
        <w:rPr>
          <w:rFonts w:hint="eastAsia"/>
        </w:rPr>
        <w:t>.</w:t>
      </w:r>
      <w:r w:rsidR="00A12CD2" w:rsidRPr="00CC6CA3">
        <w:t xml:space="preserve"> I</w:t>
      </w:r>
      <w:r w:rsidRPr="00CC6CA3">
        <w:t xml:space="preserve">n a quantitative model, the estimated output and its relation with the input are expressed by mathematical functions </w:t>
      </w:r>
      <w:r w:rsidRPr="00CC6CA3">
        <w:fldChar w:fldCharType="begin"/>
      </w:r>
      <w:r w:rsidR="007D1BCC" w:rsidRPr="00CC6CA3">
        <w:instrText xml:space="preserve"> ADDIN ZOTERO_ITEM CSL_CITATION {"citationID":"zXrX64yC","properties":{"formattedCitation":"[90]","plainCitation":"[90]","noteIndex":0},"citationItems":[{"id":909,"uris":["http://zotero.org/users/3051968/items/YWGF96JH"],"uri":["http://zotero.org/users/3051968/items/YWGF96JH"],"itemData":{"id":909,"type":"article-journal","container-title":"Journal of process control","issue":"6","note":"publisher: Elsevier","page":"403–424","source":"Google Scholar","title":"Survey of robust residual generation and evaluation methods in observer-based fault detection systems","volume":"7","author":[{"family":"Frank","given":"Paul M."},{"family":"Ding","given":"Xianchun"}],"issued":{"date-parts":[["1997"]]}}}],"schema":"https://github.com/citation-style-language/schema/raw/master/csl-citation.json"} </w:instrText>
      </w:r>
      <w:r w:rsidRPr="00CC6CA3">
        <w:fldChar w:fldCharType="separate"/>
      </w:r>
      <w:r w:rsidR="007D1BCC" w:rsidRPr="00CC6CA3">
        <w:rPr>
          <w:rFonts w:cs="Times New Roman"/>
        </w:rPr>
        <w:t>[90]</w:t>
      </w:r>
      <w:r w:rsidRPr="00CC6CA3">
        <w:fldChar w:fldCharType="end"/>
      </w:r>
      <w:r w:rsidRPr="00CC6CA3">
        <w:t>. R</w:t>
      </w:r>
      <w:r w:rsidRPr="00CC6CA3">
        <w:rPr>
          <w:rFonts w:hint="eastAsia"/>
        </w:rPr>
        <w:t xml:space="preserve">eviews </w:t>
      </w:r>
      <w:r w:rsidRPr="00CC6CA3">
        <w:t xml:space="preserve">of </w:t>
      </w:r>
      <w:r w:rsidRPr="00CC6CA3">
        <w:rPr>
          <w:rFonts w:hint="eastAsia"/>
        </w:rPr>
        <w:t>model-based methods</w:t>
      </w:r>
      <w:r w:rsidRPr="00CC6CA3">
        <w:t xml:space="preserve"> can be found in </w:t>
      </w:r>
      <w:r w:rsidRPr="00CC6CA3">
        <w:rPr>
          <w:rFonts w:hint="eastAsia"/>
        </w:rPr>
        <w:t xml:space="preserve">Venkatasubramanian </w:t>
      </w:r>
      <w:r w:rsidRPr="00CC6CA3">
        <w:fldChar w:fldCharType="begin"/>
      </w:r>
      <w:r w:rsidR="00854B0F" w:rsidRPr="00CC6CA3">
        <w:instrText xml:space="preserve"> ADDIN ZOTERO_ITEM CSL_CITATION {"citationID":"gU4e5HCy","properties":{"formattedCitation":"[9]","plainCitation":"[9]","noteIndex":0},"citationItems":[{"id":831,"uris":["http://zotero.org/users/3051968/items/2TF7LTSW"],"uri":["http://zotero.org/users/3051968/items/2TF7LTSW"],"itemData":{"id":831,"type":"article-journal","container-title":"Computers &amp; chemical engineering","issue":"3","note":"publisher: Elsevier","page":"293–311","source":"Google Scholar","title":"A review of process fault detection and diagnosis: Part I: Quantitative model-based methods","title-short":"A review of process fault detection and diagnosis","volume":"27","author":[{"family":"Venkatasubramanian","given":"Venkat"},{"family":"Rengaswamy","given":"Raghunathan"},{"family":"Yin","given":"Kewen"},{"family":"Kavuri","given":"Surya N."}],"issued":{"date-parts":[["2003"]]}}}],"schema":"https://github.com/citation-style-language/schema/raw/master/csl-citation.json"} </w:instrText>
      </w:r>
      <w:r w:rsidRPr="00CC6CA3">
        <w:fldChar w:fldCharType="separate"/>
      </w:r>
      <w:r w:rsidR="00854B0F" w:rsidRPr="00CC6CA3">
        <w:rPr>
          <w:rFonts w:cs="Times New Roman"/>
        </w:rPr>
        <w:t>[9]</w:t>
      </w:r>
      <w:r w:rsidRPr="00CC6CA3">
        <w:fldChar w:fldCharType="end"/>
      </w:r>
      <w:r w:rsidRPr="00CC6CA3">
        <w:rPr>
          <w:rFonts w:hint="eastAsia"/>
        </w:rPr>
        <w:t xml:space="preserve">, </w:t>
      </w:r>
      <w:r w:rsidRPr="00CC6CA3">
        <w:t xml:space="preserve">Frank </w:t>
      </w:r>
      <w:r w:rsidRPr="00CC6CA3">
        <w:fldChar w:fldCharType="begin"/>
      </w:r>
      <w:r w:rsidR="007D1BCC" w:rsidRPr="00CC6CA3">
        <w:instrText xml:space="preserve"> ADDIN ZOTERO_ITEM CSL_CITATION {"citationID":"rqMwzzp1","properties":{"formattedCitation":"[90]","plainCitation":"[90]","noteIndex":0},"citationItems":[{"id":909,"uris":["http://zotero.org/users/3051968/items/YWGF96JH"],"uri":["http://zotero.org/users/3051968/items/YWGF96JH"],"itemData":{"id":909,"type":"article-journal","container-title":"Journal of process control","issue":"6","note":"publisher: Elsevier","page":"403–424","source":"Google Scholar","title":"Survey of robust residual generation and evaluation methods in observer-based fault detection systems","volume":"7","author":[{"family":"Frank","given":"Paul M."},{"family":"Ding","given":"Xianchun"}],"issued":{"date-parts":[["1997"]]}}}],"schema":"https://github.com/citation-style-language/schema/raw/master/csl-citation.json"} </w:instrText>
      </w:r>
      <w:r w:rsidRPr="00CC6CA3">
        <w:fldChar w:fldCharType="separate"/>
      </w:r>
      <w:r w:rsidR="007D1BCC" w:rsidRPr="00CC6CA3">
        <w:rPr>
          <w:rFonts w:cs="Times New Roman"/>
        </w:rPr>
        <w:t>[90]</w:t>
      </w:r>
      <w:r w:rsidRPr="00CC6CA3">
        <w:fldChar w:fldCharType="end"/>
      </w:r>
      <w:r w:rsidRPr="00CC6CA3">
        <w:t xml:space="preserve">, and Isermann </w:t>
      </w:r>
      <w:r w:rsidRPr="00CC6CA3">
        <w:fldChar w:fldCharType="begin"/>
      </w:r>
      <w:r w:rsidR="007D1BCC" w:rsidRPr="00CC6CA3">
        <w:instrText xml:space="preserve"> ADDIN ZOTERO_ITEM CSL_CITATION {"citationID":"bVxq3UlS","properties":{"formattedCitation":"[89]","plainCitation":"[89]","noteIndex":0},"citationItems":[{"id":877,"uris":["http://zotero.org/users/3051968/items/C4GPRSSU"],"uri":["http://zotero.org/users/3051968/items/C4GPRSSU"],"itemData":{"id":877,"type":"article-journal","container-title":"automatica","issue":"4","note":"publisher: Elsevier","page":"387–404","source":"Google Scholar","title":"Process fault detection based on modeling and estimation methods—A survey","volume":"20","author":[{"family":"Isermann","given":"Rolf"}],"issued":{"date-parts":[["1984"]]}}}],"schema":"https://github.com/citation-style-language/schema/raw/master/csl-citation.json"} </w:instrText>
      </w:r>
      <w:r w:rsidRPr="00CC6CA3">
        <w:fldChar w:fldCharType="separate"/>
      </w:r>
      <w:r w:rsidR="007D1BCC" w:rsidRPr="00CC6CA3">
        <w:rPr>
          <w:rFonts w:cs="Times New Roman"/>
        </w:rPr>
        <w:t>[89]</w:t>
      </w:r>
      <w:r w:rsidRPr="00CC6CA3">
        <w:fldChar w:fldCharType="end"/>
      </w:r>
      <w:r w:rsidRPr="00CC6CA3">
        <w:rPr>
          <w:rFonts w:hint="eastAsia"/>
        </w:rPr>
        <w:t>.</w:t>
      </w:r>
    </w:p>
    <w:p w14:paraId="1A5AC4D7" w14:textId="77777777" w:rsidR="00E2359E" w:rsidRPr="00CC6CA3" w:rsidRDefault="00E2359E" w:rsidP="00E2359E">
      <w:pPr>
        <w:keepNext/>
        <w:jc w:val="center"/>
      </w:pPr>
      <w:r w:rsidRPr="00CC6CA3">
        <w:object w:dxaOrig="11353" w:dyaOrig="2329" w14:anchorId="729E9713">
          <v:shape id="_x0000_i1031" type="#_x0000_t75" style="width:318pt;height:66pt" o:ole="">
            <v:imagedata r:id="rId38" o:title=""/>
          </v:shape>
          <o:OLEObject Type="Embed" ProgID="Visio.Drawing.15" ShapeID="_x0000_i1031" DrawAspect="Content" ObjectID="_1692500310" r:id="rId39"/>
        </w:object>
      </w:r>
    </w:p>
    <w:p w14:paraId="273E255A" w14:textId="5C224128" w:rsidR="00E2359E" w:rsidRPr="00CC6CA3" w:rsidRDefault="00E2359E" w:rsidP="00E2359E">
      <w:pPr>
        <w:pStyle w:val="Caption"/>
        <w:jc w:val="center"/>
      </w:pPr>
      <w:bookmarkStart w:id="138" w:name="_Ref45133850"/>
      <w:bookmarkStart w:id="139" w:name="_Toc8155333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10</w:t>
      </w:r>
      <w:r w:rsidR="00D62691" w:rsidRPr="00CC6CA3">
        <w:rPr>
          <w:noProof/>
        </w:rPr>
        <w:fldChar w:fldCharType="end"/>
      </w:r>
      <w:bookmarkEnd w:id="138"/>
      <w:r w:rsidRPr="00CC6CA3">
        <w:t xml:space="preserve"> Model-based fault detection strategy </w:t>
      </w:r>
      <w:r w:rsidRPr="00CC6CA3">
        <w:fldChar w:fldCharType="begin"/>
      </w:r>
      <w:r w:rsidR="007D1BCC" w:rsidRPr="00CC6CA3">
        <w:instrText xml:space="preserve"> ADDIN ZOTERO_ITEM CSL_CITATION {"citationID":"UIW9wvv2","properties":{"formattedCitation":"[89]","plainCitation":"[89]","noteIndex":0},"citationItems":[{"id":877,"uris":["http://zotero.org/users/3051968/items/C4GPRSSU"],"uri":["http://zotero.org/users/3051968/items/C4GPRSSU"],"itemData":{"id":877,"type":"article-journal","container-title":"automatica","issue":"4","note":"publisher: Elsevier","page":"387–404","source":"Google Scholar","title":"Process fault detection based on modeling and estimation methods—A survey","volume":"20","author":[{"family":"Isermann","given":"Rolf"}],"issued":{"date-parts":[["1984"]]}}}],"schema":"https://github.com/citation-style-language/schema/raw/master/csl-citation.json"} </w:instrText>
      </w:r>
      <w:r w:rsidRPr="00CC6CA3">
        <w:fldChar w:fldCharType="separate"/>
      </w:r>
      <w:r w:rsidR="007D1BCC" w:rsidRPr="00CC6CA3">
        <w:rPr>
          <w:rFonts w:cs="Times New Roman"/>
        </w:rPr>
        <w:t>[89]</w:t>
      </w:r>
      <w:bookmarkEnd w:id="139"/>
      <w:r w:rsidRPr="00CC6CA3">
        <w:fldChar w:fldCharType="end"/>
      </w:r>
    </w:p>
    <w:p w14:paraId="162BBED8" w14:textId="60C03BD6" w:rsidR="00E2359E" w:rsidRPr="00CC6CA3" w:rsidRDefault="00E2359E" w:rsidP="00E2359E">
      <w:r w:rsidRPr="00CC6CA3">
        <w:t xml:space="preserve">In model-based methods, the fault detection results are determined by the calculated residual between actual </w:t>
      </w:r>
      <w:r w:rsidR="004C71DB" w:rsidRPr="00CC6CA3">
        <w:t xml:space="preserve">measured </w:t>
      </w:r>
      <w:r w:rsidRPr="00CC6CA3">
        <w:t xml:space="preserve">values and the output values obtained from the model. Obviously, the model should be accurate in order to get satisfactory results </w:t>
      </w:r>
      <w:r w:rsidRPr="00CC6CA3">
        <w:fldChar w:fldCharType="begin"/>
      </w:r>
      <w:r w:rsidR="007D1BCC" w:rsidRPr="00CC6CA3">
        <w:instrText xml:space="preserve"> ADDIN ZOTERO_ITEM CSL_CITATION {"citationID":"WBNSibTA","properties":{"formattedCitation":"[90]","plainCitation":"[90]","noteIndex":0},"citationItems":[{"id":909,"uris":["http://zotero.org/users/3051968/items/YWGF96JH"],"uri":["http://zotero.org/users/3051968/items/YWGF96JH"],"itemData":{"id":909,"type":"article-journal","container-title":"Journal of process control","issue":"6","note":"publisher: Elsevier","page":"403–424","source":"Google Scholar","title":"Survey of robust residual generation and evaluation methods in observer-based fault detection systems","volume":"7","author":[{"family":"Frank","given":"Paul M."},{"family":"Ding","given":"Xianchun"}],"issued":{"date-parts":[["1997"]]}}}],"schema":"https://github.com/citation-style-language/schema/raw/master/csl-citation.json"} </w:instrText>
      </w:r>
      <w:r w:rsidRPr="00CC6CA3">
        <w:fldChar w:fldCharType="separate"/>
      </w:r>
      <w:r w:rsidR="007D1BCC" w:rsidRPr="00CC6CA3">
        <w:rPr>
          <w:rFonts w:cs="Times New Roman"/>
        </w:rPr>
        <w:t>[90]</w:t>
      </w:r>
      <w:r w:rsidRPr="00CC6CA3">
        <w:fldChar w:fldCharType="end"/>
      </w:r>
      <w:r w:rsidRPr="00CC6CA3">
        <w:t>. However, developing a precise failure model for large-scale industrial facilities can be challenging due to their complexity.</w:t>
      </w:r>
    </w:p>
    <w:p w14:paraId="27453372" w14:textId="77777777" w:rsidR="00E2359E" w:rsidRPr="00CC6CA3" w:rsidRDefault="00E2359E" w:rsidP="00E2359E">
      <w:pPr>
        <w:pStyle w:val="Heading4"/>
      </w:pPr>
      <w:r w:rsidRPr="00CC6CA3">
        <w:lastRenderedPageBreak/>
        <w:t>Data-driven fault detection methods</w:t>
      </w:r>
    </w:p>
    <w:p w14:paraId="24D36120" w14:textId="3E080736" w:rsidR="00E2359E" w:rsidRPr="00CC6CA3" w:rsidRDefault="00E2359E" w:rsidP="00E2359E">
      <w:r w:rsidRPr="00CC6CA3">
        <w:t xml:space="preserve">Instead of focusing on developing accurate analytical models of the </w:t>
      </w:r>
      <w:r w:rsidR="00D36900" w:rsidRPr="00CC6CA3">
        <w:t xml:space="preserve">system, data-driven models are generated based on prior knowledge and a large volume of historical </w:t>
      </w:r>
      <w:proofErr w:type="gramStart"/>
      <w:r w:rsidR="00D36900" w:rsidRPr="00CC6CA3">
        <w:t>data.</w:t>
      </w:r>
      <w:r w:rsidRPr="00CC6CA3">
        <w:t>.</w:t>
      </w:r>
      <w:proofErr w:type="gramEnd"/>
      <w:r w:rsidRPr="00CC6CA3">
        <w:t xml:space="preserve"> This type of method can also be quantitative and qualitative. The fault detection results are determined by the calculated distance/residual between the actual measurements and the estimated output obtained from the data-driven model. The effectiveness of the data-driven methods is highly depended on the quality and quantity of input data.</w:t>
      </w:r>
    </w:p>
    <w:p w14:paraId="5C41D1C1" w14:textId="5430EF37" w:rsidR="00E2359E" w:rsidRPr="00CC6CA3" w:rsidRDefault="00E2359E" w:rsidP="00E2359E">
      <w:r w:rsidRPr="00CC6CA3">
        <w:t xml:space="preserve">As shown in </w:t>
      </w:r>
      <w:r w:rsidRPr="00CC6CA3">
        <w:fldChar w:fldCharType="begin"/>
      </w:r>
      <w:r w:rsidRPr="00CC6CA3">
        <w:instrText xml:space="preserve"> REF _Ref45116119 \h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9</w:t>
      </w:r>
      <w:r w:rsidRPr="00CC6CA3">
        <w:fldChar w:fldCharType="end"/>
      </w:r>
      <w:r w:rsidRPr="00CC6CA3">
        <w:t xml:space="preserve">, the qualitative methods include expert systems, fuzzy logic, </w:t>
      </w:r>
      <w:proofErr w:type="gramStart"/>
      <w:r w:rsidRPr="00CC6CA3">
        <w:t>frequency</w:t>
      </w:r>
      <w:proofErr w:type="gramEnd"/>
      <w:r w:rsidRPr="00CC6CA3">
        <w:t xml:space="preserve"> and time-frequency analysis, etc. Quantitative methods include principal component analysis (PCA)/partial least squares (PLS) and statistical classifiers, neural </w:t>
      </w:r>
      <w:proofErr w:type="gramStart"/>
      <w:r w:rsidRPr="00CC6CA3">
        <w:t>networks</w:t>
      </w:r>
      <w:proofErr w:type="gramEnd"/>
      <w:r w:rsidRPr="00CC6CA3">
        <w:t xml:space="preserve"> and statistically derived models. The following sections mainly focus on the review of quantitative data-driven methods.</w:t>
      </w:r>
    </w:p>
    <w:p w14:paraId="6418BDBD" w14:textId="77777777" w:rsidR="00E2359E" w:rsidRPr="00CC6CA3" w:rsidRDefault="00E2359E" w:rsidP="00E2359E">
      <w:pPr>
        <w:pStyle w:val="Heading5"/>
      </w:pPr>
      <w:r w:rsidRPr="00CC6CA3">
        <w:t>Principal component analysis (PCA)</w:t>
      </w:r>
    </w:p>
    <w:p w14:paraId="2433F9B1" w14:textId="7C74B9D9" w:rsidR="00E2359E" w:rsidRPr="00CC6CA3" w:rsidRDefault="00E2359E" w:rsidP="00E2359E">
      <w:r w:rsidRPr="00CC6CA3">
        <w:t xml:space="preserve">In many studies </w:t>
      </w:r>
      <w:r w:rsidRPr="00CC6CA3">
        <w:fldChar w:fldCharType="begin"/>
      </w:r>
      <w:r w:rsidR="007D1BCC" w:rsidRPr="00CC6CA3">
        <w:instrText xml:space="preserve"> ADDIN ZOTERO_ITEM CSL_CITATION {"citationID":"a277it4ljht","properties":{"formattedCitation":"[91], [92]","plainCitation":"[91], [92]","noteIndex":0},"citationItems":[{"id":"jMlmauCg/JHiLSytc","uris":["http://zotero.org/users/local/gaB6tXH5/items/HVY8DASH"],"uri":["http://zotero.org/users/local/gaB6tXH5/items/HVY8DASH"],"itemData":{"id":5629,"type":"paper-conference","title":"Sensitivity of PCA for traffic anomaly detection","container-title":"ACM SIGMETRICS Performance Evaluation Review","publisher":"ACM","page":"109–120","volume":"35","source":"Google Scholar","author":[{"family":"Ringberg","given":"Haakon"},{"family":"Soule","given":"Augustin"},{"family":"Rexford","given":"Jennifer"},{"family":"Diot","given":"Christophe"}],"issued":{"date-parts":[["2007"]]}}},{"id":"jMlmauCg/fmG9jplC","uris":["http://zotero.org/users/local/gaB6tXH5/items/RL7K22X7"],"uri":["http://zotero.org/users/local/gaB6tXH5/items/RL7K22X7"],"itemData":{"id":"6F0fGG7J/xLGdo2zE","type":"article-journal","title":"Anomaly detection in IP networks","container-title":"IEEE Transactions on signal processing","page":"2191–2204","volume":"51","issue":"8","source":"Google Scholar","author":[{"family":"Thottan","given":"Marina"},{"family":"Ji","given":"Chuanyi"}],"issued":{"date-parts":[["2003"]]}}}],"schema":"https://github.com/citation-style-language/schema/raw/master/csl-citation.json"} </w:instrText>
      </w:r>
      <w:r w:rsidRPr="00CC6CA3">
        <w:fldChar w:fldCharType="separate"/>
      </w:r>
      <w:r w:rsidR="007D1BCC" w:rsidRPr="00CC6CA3">
        <w:rPr>
          <w:rFonts w:cs="Times New Roman"/>
        </w:rPr>
        <w:t>[91], [92]</w:t>
      </w:r>
      <w:r w:rsidRPr="00CC6CA3">
        <w:fldChar w:fldCharType="end"/>
      </w:r>
      <w:r w:rsidRPr="00CC6CA3">
        <w:t xml:space="preserve">, principal component analysis (PCA) has proven to be an effective unsupervised dimensionality reduction and feature extraction method, which linearly transforms high-dimensional data into low-dimensional. PCA has been widely applied in </w:t>
      </w:r>
      <w:r w:rsidRPr="00CC6CA3">
        <w:rPr>
          <w:rFonts w:hint="eastAsia"/>
        </w:rPr>
        <w:t>process</w:t>
      </w:r>
      <w:r w:rsidRPr="00CC6CA3">
        <w:t xml:space="preserve"> control </w:t>
      </w:r>
      <w:r w:rsidRPr="00CC6CA3">
        <w:fldChar w:fldCharType="begin"/>
      </w:r>
      <w:r w:rsidR="007D1BCC" w:rsidRPr="00CC6CA3">
        <w:instrText xml:space="preserve"> ADDIN ZOTERO_ITEM CSL_CITATION {"citationID":"13WbOTAd","properties":{"formattedCitation":"[93]","plainCitation":"[93]","noteIndex":0},"citationItems":[{"id":880,"uris":["http://zotero.org/users/3051968/items/PEUUILJH"],"uri":["http://zotero.org/users/3051968/items/PEUUILJH"],"itemData":{"id":880,"type":"book","publisher":"Routledge","source":"Google Scholar","title":"Statistical process control","author":[{"family":"Oakland","given":"John S."}],"issued":{"date-parts":[["2007"]]}}}],"schema":"https://github.com/citation-style-language/schema/raw/master/csl-citation.json"} </w:instrText>
      </w:r>
      <w:r w:rsidRPr="00CC6CA3">
        <w:fldChar w:fldCharType="separate"/>
      </w:r>
      <w:r w:rsidR="007D1BCC" w:rsidRPr="00CC6CA3">
        <w:rPr>
          <w:rFonts w:cs="Times New Roman"/>
        </w:rPr>
        <w:t>[93]</w:t>
      </w:r>
      <w:r w:rsidRPr="00CC6CA3">
        <w:fldChar w:fldCharType="end"/>
      </w:r>
      <w:r w:rsidRPr="00CC6CA3">
        <w:t xml:space="preserve">, fault detection and system risk assessment </w:t>
      </w:r>
      <w:r w:rsidRPr="00CC6CA3">
        <w:fldChar w:fldCharType="begin"/>
      </w:r>
      <w:r w:rsidR="007D1BCC" w:rsidRPr="00CC6CA3">
        <w:instrText xml:space="preserve"> ADDIN ZOTERO_ITEM CSL_CITATION {"citationID":"BMP75kCQ","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network traffic anomaly detection </w:t>
      </w:r>
      <w:r w:rsidRPr="00CC6CA3">
        <w:fldChar w:fldCharType="begin"/>
      </w:r>
      <w:r w:rsidR="007D1BCC" w:rsidRPr="00CC6CA3">
        <w:instrText xml:space="preserve"> ADDIN ZOTERO_ITEM CSL_CITATION {"citationID":"a1kjampk6gl","properties":{"formattedCitation":"[91]","plainCitation":"[91]","noteIndex":0},"citationItems":[{"id":"jMlmauCg/JHiLSytc","uris":["http://zotero.org/users/local/gaB6tXH5/items/HVY8DASH"],"uri":["http://zotero.org/users/local/gaB6tXH5/items/HVY8DASH"],"itemData":{"id":5629,"type":"paper-conference","title":"Sensitivity of PCA for traffic anomaly detection","container-title":"ACM SIGMETRICS Performance Evaluation Review","publisher":"ACM","page":"109–120","volume":"35","source":"Google Scholar","author":[{"family":"Ringberg","given":"Haakon"},{"family":"Soule","given":"Augustin"},{"family":"Rexford","given":"Jennifer"},{"family":"Diot","given":"Christophe"}],"issued":{"date-parts":[["2007"]]}}}],"schema":"https://github.com/citation-style-language/schema/raw/master/csl-citation.json"} </w:instrText>
      </w:r>
      <w:r w:rsidRPr="00CC6CA3">
        <w:fldChar w:fldCharType="separate"/>
      </w:r>
      <w:r w:rsidR="007D1BCC" w:rsidRPr="00CC6CA3">
        <w:rPr>
          <w:rFonts w:cs="Times New Roman"/>
        </w:rPr>
        <w:t>[91]</w:t>
      </w:r>
      <w:r w:rsidRPr="00CC6CA3">
        <w:fldChar w:fldCharType="end"/>
      </w:r>
      <w:r w:rsidRPr="00CC6CA3">
        <w:t xml:space="preserve">, network intrusion detection </w:t>
      </w:r>
      <w:r w:rsidRPr="00CC6CA3">
        <w:fldChar w:fldCharType="begin"/>
      </w:r>
      <w:r w:rsidR="007D1BCC" w:rsidRPr="00CC6CA3">
        <w:instrText xml:space="preserve"> ADDIN ZOTERO_ITEM CSL_CITATION {"citationID":"a4n61m5ion","properties":{"formattedCitation":"[92]","plainCitation":"[92]","noteIndex":0},"citationItems":[{"id":"jMlmauCg/fmG9jplC","uris":["http://zotero.org/users/local/gaB6tXH5/items/RL7K22X7"],"uri":["http://zotero.org/users/local/gaB6tXH5/items/RL7K22X7"],"itemData":{"id":5626,"type":"article-journal","title":"Anomaly detection in IP networks","container-title":"IEEE Transactions on signal processing","page":"2191–2204","volume":"51","issue":"8","source":"Google Scholar","author":[{"family":"Thottan","given":"Marina"},{"family":"Ji","given":"Chuanyi"}],"issued":{"date-parts":[["2003"]]}}}],"schema":"https://github.com/citation-style-language/schema/raw/master/csl-citation.json"} </w:instrText>
      </w:r>
      <w:r w:rsidRPr="00CC6CA3">
        <w:fldChar w:fldCharType="separate"/>
      </w:r>
      <w:r w:rsidR="007D1BCC" w:rsidRPr="00CC6CA3">
        <w:rPr>
          <w:rFonts w:cs="Times New Roman"/>
        </w:rPr>
        <w:t>[92]</w:t>
      </w:r>
      <w:r w:rsidRPr="00CC6CA3">
        <w:fldChar w:fldCharType="end"/>
      </w:r>
      <w:r w:rsidRPr="00CC6CA3">
        <w:t>, etc.</w:t>
      </w:r>
    </w:p>
    <w:p w14:paraId="78FEC2B4" w14:textId="30A7E694" w:rsidR="00E2359E" w:rsidRPr="00CC6CA3" w:rsidRDefault="00E2359E" w:rsidP="00E2359E">
      <w:r w:rsidRPr="00CC6CA3">
        <w:t>Kernel PCA is a variant of PCA, which is</w:t>
      </w:r>
      <w:r w:rsidRPr="00CC6CA3">
        <w:rPr>
          <w:rFonts w:hint="eastAsia"/>
        </w:rPr>
        <w:t xml:space="preserve"> </w:t>
      </w:r>
      <w:r w:rsidRPr="00CC6CA3">
        <w:t>a nonlinear</w:t>
      </w:r>
      <w:r w:rsidRPr="00CC6CA3">
        <w:rPr>
          <w:rFonts w:hint="eastAsia"/>
        </w:rPr>
        <w:t xml:space="preserve"> </w:t>
      </w:r>
      <w:r w:rsidRPr="00CC6CA3">
        <w:t>PCA</w:t>
      </w:r>
      <w:r w:rsidRPr="00CC6CA3">
        <w:rPr>
          <w:rFonts w:hint="eastAsia"/>
        </w:rPr>
        <w:t xml:space="preserve"> </w:t>
      </w:r>
      <w:r w:rsidRPr="00CC6CA3">
        <w:t>approach</w:t>
      </w:r>
      <w:r w:rsidRPr="00CC6CA3">
        <w:rPr>
          <w:rFonts w:hint="eastAsia"/>
        </w:rPr>
        <w:t xml:space="preserve"> </w:t>
      </w:r>
      <w:r w:rsidRPr="00CC6CA3">
        <w:t xml:space="preserve">using </w:t>
      </w:r>
      <w:r w:rsidR="00DB4C68" w:rsidRPr="00CC6CA3">
        <w:t xml:space="preserve">the </w:t>
      </w:r>
      <w:r w:rsidRPr="00CC6CA3">
        <w:t xml:space="preserve">kernel method </w:t>
      </w:r>
      <w:r w:rsidRPr="00CC6CA3">
        <w:fldChar w:fldCharType="begin"/>
      </w:r>
      <w:r w:rsidR="007D1BCC" w:rsidRPr="00CC6CA3">
        <w:instrText xml:space="preserve"> ADDIN ZOTERO_ITEM CSL_CITATION {"citationID":"2bck4n66k3","properties":{"formattedCitation":"[95]","plainCitation":"[95]","noteIndex":0},"citationItems":[{"id":"jMlmauCg/PmSkrtAq","uris":["http://zotero.org/users/3051968/items/WG4IP44V"],"uri":["http://zotero.org/users/3051968/items/WG4IP44V"],"itemData":{"id":531,"type":"article-journal","title":"Kernel PCA for novelty detection","container-title":"Pattern Recognition","page":"863-874","volume":"40","issue":"3","source":"CrossRef","DOI":"10.1016/j.patcog.2006.07.009","ISSN":"00313203","language":"en","author":[{"family":"Hoffmann","given":"Heiko"}],"issued":{"date-parts":[["2007",3]]}}}],"schema":"https://github.com/citation-style-language/schema/raw/master/csl-citation.json"} </w:instrText>
      </w:r>
      <w:r w:rsidRPr="00CC6CA3">
        <w:fldChar w:fldCharType="separate"/>
      </w:r>
      <w:r w:rsidR="007D1BCC" w:rsidRPr="00CC6CA3">
        <w:rPr>
          <w:rFonts w:cs="Times New Roman"/>
        </w:rPr>
        <w:t>[95]</w:t>
      </w:r>
      <w:r w:rsidRPr="00CC6CA3">
        <w:fldChar w:fldCharType="end"/>
      </w:r>
      <w:r w:rsidRPr="00CC6CA3">
        <w:t>.</w:t>
      </w:r>
      <w:r w:rsidRPr="00CC6CA3">
        <w:rPr>
          <w:rFonts w:hint="eastAsia"/>
        </w:rPr>
        <w:t xml:space="preserve"> </w:t>
      </w:r>
      <w:r w:rsidRPr="00CC6CA3">
        <w:t xml:space="preserve">The idea is to firstly map the original input </w:t>
      </w:r>
      <w:r w:rsidRPr="00CC6CA3">
        <w:rPr>
          <w:lang w:val="en-US"/>
        </w:rPr>
        <w:t>(</w:t>
      </w:r>
      <m:oMath>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j</m:t>
            </m:r>
          </m:sub>
        </m:sSub>
      </m:oMath>
      <w:r w:rsidRPr="00CC6CA3">
        <w:rPr>
          <w:lang w:val="en-US"/>
        </w:rPr>
        <w:t xml:space="preserve">) </w:t>
      </w:r>
      <w:r w:rsidRPr="00CC6CA3">
        <w:t xml:space="preserve">into a </w:t>
      </w:r>
      <w:bookmarkStart w:id="140" w:name="OLE_LINK18"/>
      <w:bookmarkStart w:id="141" w:name="OLE_LINK19"/>
      <w:r w:rsidRPr="00CC6CA3">
        <w:t>high-dimensional feature space</w:t>
      </w:r>
      <w:bookmarkEnd w:id="140"/>
      <w:bookmarkEnd w:id="141"/>
      <w:r w:rsidRPr="00CC6CA3">
        <w:rPr>
          <w:rFonts w:hint="eastAsia"/>
        </w:rPr>
        <w:t xml:space="preserve"> </w:t>
      </w:r>
      <m:oMath>
        <m:r>
          <w:rPr>
            <w:rFonts w:ascii="Cambria Math" w:hAnsi="Cambria Math"/>
            <w:lang w:val="el-GR"/>
          </w:rPr>
          <m:t>Φ</m:t>
        </m:r>
        <m:r>
          <w:rPr>
            <w:rFonts w:ascii="Cambria Math" w:hAnsi="Cambria Math"/>
            <w:lang w:val="en-US"/>
          </w:rPr>
          <m:t>(</m:t>
        </m:r>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r>
          <w:rPr>
            <w:rFonts w:ascii="Cambria Math" w:hAnsi="Cambria Math"/>
            <w:lang w:val="el-GR"/>
          </w:rPr>
          <m:t>Φ</m:t>
        </m:r>
        <m:r>
          <w:rPr>
            <w:rFonts w:ascii="Cambria Math" w:hAnsi="Cambria Math"/>
            <w:lang w:val="en-US"/>
          </w:rPr>
          <m:t>(</m:t>
        </m:r>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j</m:t>
            </m:r>
          </m:sub>
        </m:sSub>
        <m:r>
          <w:rPr>
            <w:rFonts w:ascii="Cambria Math" w:hAnsi="Cambria Math"/>
            <w:lang w:val="en-US"/>
          </w:rPr>
          <m:t>)</m:t>
        </m:r>
      </m:oMath>
      <w:r w:rsidRPr="00CC6CA3">
        <w:rPr>
          <w:lang w:val="en-US"/>
        </w:rPr>
        <w:t xml:space="preserve"> </w:t>
      </w:r>
      <w:r w:rsidRPr="00CC6CA3">
        <w:t xml:space="preserve">via a </w:t>
      </w:r>
      <w:r w:rsidRPr="00CC6CA3">
        <w:rPr>
          <w:noProof/>
        </w:rPr>
        <w:t>nonlinear</w:t>
      </w:r>
      <w:r w:rsidRPr="00CC6CA3">
        <w:t xml:space="preserve"> function (kernel function) and then conduct the linear PCA to the data in </w:t>
      </w:r>
      <w:r w:rsidRPr="00CC6CA3">
        <w:rPr>
          <w:rFonts w:hint="eastAsia"/>
        </w:rPr>
        <w:t>th</w:t>
      </w:r>
      <w:r w:rsidRPr="00CC6CA3">
        <w:t>at</w:t>
      </w:r>
      <w:r w:rsidRPr="00CC6CA3">
        <w:rPr>
          <w:rFonts w:hint="eastAsia"/>
        </w:rPr>
        <w:t xml:space="preserve"> </w:t>
      </w:r>
      <w:r w:rsidRPr="00CC6CA3">
        <w:t xml:space="preserve">high-dimensional feature space </w:t>
      </w:r>
      <w:r w:rsidRPr="00CC6CA3">
        <w:fldChar w:fldCharType="begin"/>
      </w:r>
      <w:r w:rsidR="007D1BCC" w:rsidRPr="00CC6CA3">
        <w:instrText xml:space="preserve"> ADDIN ZOTERO_ITEM CSL_CITATION {"citationID":"85f280cca","properties":{"formattedCitation":"[96]","plainCitation":"[96]","noteIndex":0},"citationItems":[{"id":"jMlmauCg/jVLUw3Kh","uris":["http://zotero.org/users/3051968/items/QMFQDBZ8"],"uri":["http://zotero.org/users/3051968/items/QMFQDBZ8"],"itemData":{"id":562,"type":"article-journal","title":"A comparison of PCA, KPCA and ICA for dimensionality reduction in support vector machine","container-title":"Neurocomputing","page":"321-336","volume":"55","issue":"1-2","source":"CrossRef","DOI":"10.1016/S0925-2312(03)00433-8","ISSN":"09252312","language":"en","author":[{"family":"Cao","given":"L.J."},{"family":"Chua","given":"K.S."},{"family":"Chong","given":"W.K."},{"family":"Lee","given":"H.P."},{"family":"Gu","given":"Q.M."}],"issued":{"date-parts":[["2003",9]]}}}],"schema":"https://github.com/citation-style-language/schema/raw/master/csl-citation.json"} </w:instrText>
      </w:r>
      <w:r w:rsidRPr="00CC6CA3">
        <w:fldChar w:fldCharType="separate"/>
      </w:r>
      <w:r w:rsidR="007D1BCC" w:rsidRPr="00CC6CA3">
        <w:rPr>
          <w:rFonts w:cs="Times New Roman"/>
        </w:rPr>
        <w:t>[96]</w:t>
      </w:r>
      <w:r w:rsidRPr="00CC6CA3">
        <w:fldChar w:fldCharType="end"/>
      </w:r>
      <w:r w:rsidRPr="00CC6CA3">
        <w:t xml:space="preserve">. </w:t>
      </w:r>
    </w:p>
    <w:p w14:paraId="60807790" w14:textId="62F00C3F" w:rsidR="00E2359E" w:rsidRPr="00CC6CA3" w:rsidRDefault="00E2359E" w:rsidP="00E2359E">
      <w:r w:rsidRPr="00CC6CA3">
        <w:rPr>
          <w:rFonts w:hint="eastAsia"/>
        </w:rPr>
        <w:t>M</w:t>
      </w:r>
      <w:r w:rsidRPr="00CC6CA3">
        <w:t xml:space="preserve">otivated by the successful applications of </w:t>
      </w:r>
      <w:r w:rsidR="00DB4C68" w:rsidRPr="00CC6CA3">
        <w:t xml:space="preserve">the </w:t>
      </w:r>
      <w:r w:rsidRPr="00CC6CA3">
        <w:t xml:space="preserve">PCA method in </w:t>
      </w:r>
      <w:r w:rsidRPr="00CC6CA3">
        <w:rPr>
          <w:rFonts w:hint="eastAsia"/>
        </w:rPr>
        <w:t>process</w:t>
      </w:r>
      <w:r w:rsidRPr="00CC6CA3">
        <w:t xml:space="preserve"> control, fault detection and system risk assessment fields, this thesis applied the PCA method in fault detection processes. Further details can be found in Chapter 4.</w:t>
      </w:r>
    </w:p>
    <w:p w14:paraId="3B77B909" w14:textId="77777777" w:rsidR="00E2359E" w:rsidRPr="00CC6CA3" w:rsidRDefault="00E2359E" w:rsidP="00E2359E">
      <w:pPr>
        <w:pStyle w:val="Heading5"/>
      </w:pPr>
      <w:r w:rsidRPr="00CC6CA3">
        <w:t>Neural networks</w:t>
      </w:r>
    </w:p>
    <w:p w14:paraId="7B02736B" w14:textId="29830F3D" w:rsidR="00E2359E" w:rsidRPr="00CC6CA3" w:rsidRDefault="00E2359E" w:rsidP="00E2359E">
      <w:r w:rsidRPr="00CC6CA3">
        <w:t xml:space="preserve">Artificial neural networks (ANNs) have been developed in the form of parallel distributed network models inspired by the biological learning process of the human brain. Among different types of ANNs, </w:t>
      </w:r>
      <w:r w:rsidR="00DB4C68" w:rsidRPr="00CC6CA3">
        <w:t xml:space="preserve">the </w:t>
      </w:r>
      <w:r w:rsidRPr="00CC6CA3">
        <w:t xml:space="preserve">multilayer perceptron (MLP) neural network is one of the most widely used </w:t>
      </w:r>
      <w:r w:rsidRPr="00CC6CA3">
        <w:fldChar w:fldCharType="begin"/>
      </w:r>
      <w:r w:rsidR="007D1BCC" w:rsidRPr="00CC6CA3">
        <w:instrText xml:space="preserve"> ADDIN ZOTERO_ITEM CSL_CITATION {"citationID":"a24jkevtn5f","properties":{"formattedCitation":"[97]","plainCitation":"[97]","noteIndex":0},"citationItems":[{"id":280,"uris":["http://zotero.org/users/3051968/items/CD42GGFT"],"uri":["http://zotero.org/users/3051968/items/CD42GGFT"],"itemData":{"id":280,"type":"article-journal","abstract":"A study is presented to compare the performance of gear fault detection using artificial neural networks (ANNs) and support vector machines (SMVs). The time-domain vibration signals of a rotating machine with normal and defective gears are processed for feature extraction. The extracted features from original and preprocessed signals are used as inputs to both classifiers based on ANNs and SVMs for two-class (normal or fault) recognition. The number of nodes in the hidden layer, in case of ANNs, and the radial basis function kernel parameter, in case of SVMs, along with the selection of input features are optimised using genetic algorithms (GAs). For each trial, the ANNs and SVMs are trained with a subset of the experimental data for known machine conditions. The trained ANNs and SVMs are tested using the remaining set of data. The procedure is illustrated using the experimental vibration data of a gearbox. The roles of different vibration signals, obtained under both normal and light loads, and at low and high sampling rates, are investigated. The results compare the effectiveness of both types of classifiers without and with GA-based selection of features and the classifier parameters. For most of the cases considered, the classification accuracy of SVM is better than ANN, without GA. With GA-based selection, the performance of both classifiers are comparable, in most cases, with three selected features. However, for SVMs with six features, 100% classification success is achieved in all test cases. The training time of SVMs is substantially less compared to ANNs in all cases considered. The present classification accuracy compares well with the results reported in a recent work, (Mech. Systems Signal Process. 16 (2002) 373), though the data and the feature sets are different.","container-title":"Mechanical Systems and Signal Processing","DOI":"10.1016/S0888-3270(03)00020-7","ISSN":"0888-3270","issue":"3","journalAbbreviation":"Mechanical Systems and Signal Processing","page":"625-644","source":"ScienceDirect","title":"Gear fault detection using artificial neural networks and support vector machines with genetic algorithms","volume":"18","author":[{"family":"Samanta","given":"B."}],"issued":{"date-parts":[["2004",5,1]]}}}],"schema":"https://github.com/citation-style-language/schema/raw/master/csl-citation.json"} </w:instrText>
      </w:r>
      <w:r w:rsidRPr="00CC6CA3">
        <w:fldChar w:fldCharType="separate"/>
      </w:r>
      <w:r w:rsidR="007D1BCC" w:rsidRPr="00CC6CA3">
        <w:rPr>
          <w:rFonts w:cs="Times New Roman"/>
        </w:rPr>
        <w:t>[97]</w:t>
      </w:r>
      <w:r w:rsidRPr="00CC6CA3">
        <w:fldChar w:fldCharType="end"/>
      </w:r>
      <w:r w:rsidRPr="00CC6CA3">
        <w:t xml:space="preserve">. </w:t>
      </w:r>
    </w:p>
    <w:p w14:paraId="2812D851" w14:textId="5B7C824E" w:rsidR="00E2359E" w:rsidRPr="00CC6CA3" w:rsidRDefault="00E2359E" w:rsidP="00E2359E">
      <w:r w:rsidRPr="00CC6CA3">
        <w:lastRenderedPageBreak/>
        <w:t xml:space="preserve">MLP comprises an input layer, a hidden layer(s) with computation nodes, and an output layer. The structure of an MLP neural network is shown in </w:t>
      </w:r>
      <w:r w:rsidRPr="00CC6CA3">
        <w:fldChar w:fldCharType="begin"/>
      </w:r>
      <w:r w:rsidRPr="00CC6CA3">
        <w:instrText xml:space="preserve"> REF _Ref47218915 \h </w:instrText>
      </w:r>
      <w:r w:rsidRPr="00CC6CA3">
        <w:fldChar w:fldCharType="separate"/>
      </w:r>
      <w:r w:rsidR="001906D9" w:rsidRPr="00CC6CA3">
        <w:t xml:space="preserve">Figure </w:t>
      </w:r>
      <w:r w:rsidR="001906D9" w:rsidRPr="00CC6CA3">
        <w:rPr>
          <w:noProof/>
        </w:rPr>
        <w:t>2</w:t>
      </w:r>
      <w:r w:rsidR="001906D9" w:rsidRPr="00CC6CA3">
        <w:t>.</w:t>
      </w:r>
      <w:r w:rsidR="001906D9" w:rsidRPr="00CC6CA3">
        <w:rPr>
          <w:noProof/>
        </w:rPr>
        <w:t>11</w:t>
      </w:r>
      <w:r w:rsidRPr="00CC6CA3">
        <w:fldChar w:fldCharType="end"/>
      </w:r>
      <w:r w:rsidRPr="00CC6CA3">
        <w:t xml:space="preserve">. </w:t>
      </w:r>
      <w:r w:rsidR="006A5522" w:rsidRPr="00CC6CA3">
        <w:t xml:space="preserve">The connections between simple processing units enable complex processing of data. The number of hidden layers and the number of nodes in each hidden layer can influence the capability and effectiveness of the network. An insufficient number of hidden layers and neurons may speed-up the calculations, but lower performance. Too many hidden layers and hidden nodes may lead to over-fitting and a long computation time. A variety of methods can be applied to select the number of hidden layers and the nodes, i.e., heuristic and systematic methods </w:t>
      </w:r>
      <w:r w:rsidRPr="00CC6CA3">
        <w:fldChar w:fldCharType="begin"/>
      </w:r>
      <w:r w:rsidR="007D1BCC" w:rsidRPr="00CC6CA3">
        <w:instrText xml:space="preserve"> ADDIN ZOTERO_ITEM CSL_CITATION {"citationID":"ahf8is4c3h","properties":{"formattedCitation":"[98]","plainCitation":"[98]","noteIndex":0},"citationItems":[{"id":274,"uris":["http://zotero.org/users/3051968/items/3QNWJWSA"],"uri":["http://zotero.org/users/3051968/items/3QNWJWSA"],"itemData":{"id":274,"type":"book","title":"S. Haykin, Neural Networks: A Comprehensive Foundation, 2nd Edition, Prentice-Hall, NJ, USA, 1999"}}],"schema":"https://github.com/citation-style-language/schema/raw/master/csl-citation.json"} </w:instrText>
      </w:r>
      <w:r w:rsidRPr="00CC6CA3">
        <w:fldChar w:fldCharType="separate"/>
      </w:r>
      <w:r w:rsidR="007D1BCC" w:rsidRPr="00CC6CA3">
        <w:rPr>
          <w:rFonts w:cs="Times New Roman"/>
        </w:rPr>
        <w:t>[98]</w:t>
      </w:r>
      <w:r w:rsidRPr="00CC6CA3">
        <w:fldChar w:fldCharType="end"/>
      </w:r>
      <w:r w:rsidRPr="00CC6CA3">
        <w:t xml:space="preserve">. </w:t>
      </w:r>
    </w:p>
    <w:p w14:paraId="76016C6C" w14:textId="77777777" w:rsidR="00E2359E" w:rsidRPr="00CC6CA3" w:rsidRDefault="00E2359E" w:rsidP="00E2359E">
      <w:pPr>
        <w:keepNext/>
        <w:jc w:val="center"/>
      </w:pPr>
      <w:r w:rsidRPr="00CC6CA3">
        <w:rPr>
          <w:noProof/>
        </w:rPr>
        <w:drawing>
          <wp:inline distT="0" distB="0" distL="0" distR="0" wp14:anchorId="79AA1C47" wp14:editId="0E0BCA3B">
            <wp:extent cx="4212295" cy="2700000"/>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12295" cy="2700000"/>
                    </a:xfrm>
                    <a:prstGeom prst="rect">
                      <a:avLst/>
                    </a:prstGeom>
                  </pic:spPr>
                </pic:pic>
              </a:graphicData>
            </a:graphic>
          </wp:inline>
        </w:drawing>
      </w:r>
    </w:p>
    <w:p w14:paraId="2FA952A3" w14:textId="6E1F6B40" w:rsidR="00E2359E" w:rsidRPr="00CC6CA3" w:rsidRDefault="00E2359E" w:rsidP="00E2359E">
      <w:pPr>
        <w:pStyle w:val="Caption"/>
        <w:jc w:val="center"/>
      </w:pPr>
      <w:bookmarkStart w:id="142" w:name="_Ref47218915"/>
      <w:bookmarkStart w:id="143" w:name="_Toc8155334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11</w:t>
      </w:r>
      <w:r w:rsidR="00D62691" w:rsidRPr="00CC6CA3">
        <w:rPr>
          <w:noProof/>
        </w:rPr>
        <w:fldChar w:fldCharType="end"/>
      </w:r>
      <w:bookmarkEnd w:id="142"/>
      <w:r w:rsidRPr="00CC6CA3">
        <w:t xml:space="preserve"> A typical structure of the MLP neural network</w:t>
      </w:r>
      <w:bookmarkEnd w:id="143"/>
    </w:p>
    <w:p w14:paraId="0DD4042B" w14:textId="023CE919" w:rsidR="00E2359E" w:rsidRPr="00CC6CA3" w:rsidRDefault="005B1F7F" w:rsidP="00E2359E">
      <w:r w:rsidRPr="00CC6CA3">
        <w:t xml:space="preserve">An autoencoder is an unsupervised neural network, with its number of outputs equalling the number of inputs. It comprises an encoder and a decoder. The encoder extracts features and reduces the dimensions of original inputs, similarly to the PCA, but it can provide both linear and nonlinear transformations </w:t>
      </w:r>
      <w:r w:rsidR="00E2359E" w:rsidRPr="00CC6CA3">
        <w:fldChar w:fldCharType="begin"/>
      </w:r>
      <w:r w:rsidR="007D1BCC" w:rsidRPr="00CC6CA3">
        <w:instrText xml:space="preserve"> ADDIN ZOTERO_ITEM CSL_CITATION {"citationID":"antjo0o2u5","properties":{"formattedCitation":"[99]","plainCitation":"[99]","noteIndex":0},"citationItems":[{"id":"jMlmauCg/8kpkvnTB","uris":["http://zotero.org/users/local/gaB6tXH5/items/BUIRHYS9"],"uri":["http://zotero.org/users/local/gaB6tXH5/items/BUIRHYS9"],"itemData":{"id":4633,"type":"article-journal","title":"A Multi-Level-Denoising Autoencoder Approach for Wind Turbine Fault Detection","container-title":"IEEE Access","page":"59376-59387","volume":"7","source":"IEEE Xplore","abstract":"The effective fault detection of wind turbines (WTs) can greatly help to improve their availability and reduce their operation and maintenance costs. In this context, data-driven fault detection approaches have attracted a lot of interests due to the availability of a large amount of monitoring sensor data containing rich information related to health conditions of WTs. However, sensor data collected from WTs are naturally multivariate and highly nonlinear correlated with redundant information and significantly contaminated measurement noise, which makes the WT fault detection more challenging. To this end, this paper develops a multivariate data-driven fault detection (MDFD) framework based on a recently emerged neural network algorithm named denoising autoencoder (DAE). Instead of using a single fixed noise level in the traditional DAE, a novel multi-level-denoising autoencoder (MLD-AE) method is proposed to enhance the representation learning ability by designing different multi-level noise adding schemes. The proposed MLD-AE could better discover useful patterns at multiple corrupted scales and capture nonlinear dependencies from noisy multivariate sensor data, therefore robustly reconstruct the original signal with the preserved largest information. The proposed framework and method are evaluated on both simulated data from a generic 5 MW WT benchmark and SCADA data from a real wind farm. The results demonstrate that our proposed MLD-AE-based fault detection approach significantly outperforms traditional DAE, AE, and linear PCA approaches, which has great potentials for practical applications in the wind industry.","DOI":"10.1109/ACCESS.2019.2914731","ISSN":"2169-3536","author":[{"family":"Wu","given":"X."},{"family":"Jiang","given":"G."},{"family":"Wang","given":"X."},{"family":"Xie","given":"P."},{"family":"Li","given":"X."}],"issued":{"date-parts":[["2019"]]}}}],"schema":"https://github.com/citation-style-language/schema/raw/master/csl-citation.json"} </w:instrText>
      </w:r>
      <w:r w:rsidR="00E2359E" w:rsidRPr="00CC6CA3">
        <w:fldChar w:fldCharType="separate"/>
      </w:r>
      <w:r w:rsidR="007D1BCC" w:rsidRPr="00CC6CA3">
        <w:rPr>
          <w:rFonts w:cs="Times New Roman"/>
        </w:rPr>
        <w:t>[99]</w:t>
      </w:r>
      <w:r w:rsidR="00E2359E" w:rsidRPr="00CC6CA3">
        <w:fldChar w:fldCharType="end"/>
      </w:r>
      <w:r w:rsidR="00E2359E" w:rsidRPr="00CC6CA3">
        <w:t xml:space="preserve">. The decoder reconstructs the inputs. The autoencoder is more flexible than existing linear monitoring methods </w:t>
      </w:r>
      <w:r w:rsidR="00E2359E" w:rsidRPr="00CC6CA3">
        <w:fldChar w:fldCharType="begin"/>
      </w:r>
      <w:r w:rsidR="007D1BCC" w:rsidRPr="00CC6CA3">
        <w:instrText xml:space="preserve"> ADDIN ZOTERO_ITEM CSL_CITATION {"citationID":"016Hpc2m","properties":{"formattedCitation":"[99]","plainCitation":"[99]","noteIndex":0},"citationItems":[{"id":"jMlmauCg/8kpkvnTB","uris":["http://zotero.org/users/local/gaB6tXH5/items/BUIRHYS9"],"uri":["http://zotero.org/users/local/gaB6tXH5/items/BUIRHYS9"],"itemData":{"id":4633,"type":"article-journal","title":"A Multi-Level-Denoising Autoencoder Approach for Wind Turbine Fault Detection","container-title":"IEEE Access","page":"59376-59387","volume":"7","source":"IEEE Xplore","abstract":"The effective fault detection of wind turbines (WTs) can greatly help to improve their availability and reduce their operation and maintenance costs. In this context, data-driven fault detection approaches have attracted a lot of interests due to the availability of a large amount of monitoring sensor data containing rich information related to health conditions of WTs. However, sensor data collected from WTs are naturally multivariate and highly nonlinear correlated with redundant information and significantly contaminated measurement noise, which makes the WT fault detection more challenging. To this end, this paper develops a multivariate data-driven fault detection (MDFD) framework based on a recently emerged neural network algorithm named denoising autoencoder (DAE). Instead of using a single fixed noise level in the traditional DAE, a novel multi-level-denoising autoencoder (MLD-AE) method is proposed to enhance the representation learning ability by designing different multi-level noise adding schemes. The proposed MLD-AE could better discover useful patterns at multiple corrupted scales and capture nonlinear dependencies from noisy multivariate sensor data, therefore robustly reconstruct the original signal with the preserved largest information. The proposed framework and method are evaluated on both simulated data from a generic 5 MW WT benchmark and SCADA data from a real wind farm. The results demonstrate that our proposed MLD-AE-based fault detection approach significantly outperforms traditional DAE, AE, and linear PCA approaches, which has great potentials for practical applications in the wind industry.","DOI":"10.1109/ACCESS.2019.2914731","ISSN":"2169-3536","author":[{"family":"Wu","given":"X."},{"family":"Jiang","given":"G."},{"family":"Wang","given":"X."},{"family":"Xie","given":"P."},{"family":"Li","given":"X."}],"issued":{"date-parts":[["2019"]]}}}],"schema":"https://github.com/citation-style-language/schema/raw/master/csl-citation.json"} </w:instrText>
      </w:r>
      <w:r w:rsidR="00E2359E" w:rsidRPr="00CC6CA3">
        <w:fldChar w:fldCharType="separate"/>
      </w:r>
      <w:r w:rsidR="007D1BCC" w:rsidRPr="00CC6CA3">
        <w:rPr>
          <w:rFonts w:cs="Times New Roman"/>
        </w:rPr>
        <w:t>[99]</w:t>
      </w:r>
      <w:r w:rsidR="00E2359E" w:rsidRPr="00CC6CA3">
        <w:fldChar w:fldCharType="end"/>
      </w:r>
      <w:r w:rsidR="00E2359E" w:rsidRPr="00CC6CA3">
        <w:t xml:space="preserve">. However, like many neural networks, it can suffer </w:t>
      </w:r>
      <w:r w:rsidRPr="00CC6CA3">
        <w:t xml:space="preserve">from </w:t>
      </w:r>
      <w:r w:rsidR="00E2359E" w:rsidRPr="00CC6CA3">
        <w:t xml:space="preserve">the problem of overfitting </w:t>
      </w:r>
      <w:r w:rsidR="00E2359E" w:rsidRPr="00CC6CA3">
        <w:fldChar w:fldCharType="begin"/>
      </w:r>
      <w:r w:rsidR="007D1BCC" w:rsidRPr="00CC6CA3">
        <w:instrText xml:space="preserve"> ADDIN ZOTERO_ITEM CSL_CITATION {"citationID":"a1cb91nc3ur","properties":{"formattedCitation":"[100]","plainCitation":"[100]","noteIndex":0},"citationItems":[{"id":257,"uris":["http://zotero.org/users/3051968/items/ZR8KSBLY"],"uri":["http://zotero.org/users/3051968/items/ZR8KSBLY"],"itemData":{"id":257,"type":"article-journal","container-title":"The journal of machine learning research","issue":"1","page":"1929–1958","source":"Google Scholar","title":"Dropout: a simple way to prevent neural networks from overfitting","title-short":"Dropout","volume":"15","author":[{"family":"Srivastava","given":"Nitish"},{"family":"Hinton","given":"Geoffrey"},{"family":"Krizhevsky","given":"Alex"},{"family":"Sutskever","given":"Ilya"},{"family":"Salakhutdinov","given":"Ruslan"}],"issued":{"date-parts":[["2014"]]}}}],"schema":"https://github.com/citation-style-language/schema/raw/master/csl-citation.json"} </w:instrText>
      </w:r>
      <w:r w:rsidR="00E2359E" w:rsidRPr="00CC6CA3">
        <w:fldChar w:fldCharType="separate"/>
      </w:r>
      <w:r w:rsidR="007D1BCC" w:rsidRPr="00CC6CA3">
        <w:rPr>
          <w:rFonts w:cs="Times New Roman"/>
        </w:rPr>
        <w:t>[100]</w:t>
      </w:r>
      <w:r w:rsidR="00E2359E" w:rsidRPr="00CC6CA3">
        <w:fldChar w:fldCharType="end"/>
      </w:r>
      <w:r w:rsidR="00E2359E" w:rsidRPr="00CC6CA3">
        <w:t xml:space="preserve">. </w:t>
      </w:r>
      <w:r w:rsidRPr="00CC6CA3">
        <w:t xml:space="preserve">Thus, a couple of variants have been developed, e.g. the multi-level-denoising autoencoder </w:t>
      </w:r>
      <w:r w:rsidR="00E2359E" w:rsidRPr="00CC6CA3">
        <w:fldChar w:fldCharType="begin"/>
      </w:r>
      <w:r w:rsidR="007D1BCC" w:rsidRPr="00CC6CA3">
        <w:instrText xml:space="preserve"> ADDIN ZOTERO_ITEM CSL_CITATION {"citationID":"BWS6hgv3","properties":{"formattedCitation":"[99]","plainCitation":"[99]","noteIndex":0},"citationItems":[{"id":"jMlmauCg/8kpkvnTB","uris":["http://zotero.org/users/local/gaB6tXH5/items/BUIRHYS9"],"uri":["http://zotero.org/users/local/gaB6tXH5/items/BUIRHYS9"],"itemData":{"id":4633,"type":"article-journal","title":"A Multi-Level-Denoising Autoencoder Approach for Wind Turbine Fault Detection","container-title":"IEEE Access","page":"59376-59387","volume":"7","source":"IEEE Xplore","abstract":"The effective fault detection of wind turbines (WTs) can greatly help to improve their availability and reduce their operation and maintenance costs. In this context, data-driven fault detection approaches have attracted a lot of interests due to the availability of a large amount of monitoring sensor data containing rich information related to health conditions of WTs. However, sensor data collected from WTs are naturally multivariate and highly nonlinear correlated with redundant information and significantly contaminated measurement noise, which makes the WT fault detection more challenging. To this end, this paper develops a multivariate data-driven fault detection (MDFD) framework based on a recently emerged neural network algorithm named denoising autoencoder (DAE). Instead of using a single fixed noise level in the traditional DAE, a novel multi-level-denoising autoencoder (MLD-AE) method is proposed to enhance the representation learning ability by designing different multi-level noise adding schemes. The proposed MLD-AE could better discover useful patterns at multiple corrupted scales and capture nonlinear dependencies from noisy multivariate sensor data, therefore robustly reconstruct the original signal with the preserved largest information. The proposed framework and method are evaluated on both simulated data from a generic 5 MW WT benchmark and SCADA data from a real wind farm. The results demonstrate that our proposed MLD-AE-based fault detection approach significantly outperforms traditional DAE, AE, and linear PCA approaches, which has great potentials for practical applications in the wind industry.","DOI":"10.1109/ACCESS.2019.2914731","ISSN":"2169-3536","author":[{"family":"Wu","given":"X."},{"family":"Jiang","given":"G."},{"family":"Wang","given":"X."},{"family":"Xie","given":"P."},{"family":"Li","given":"X."}],"issued":{"date-parts":[["2019"]]}}}],"schema":"https://github.com/citation-style-language/schema/raw/master/csl-citation.json"} </w:instrText>
      </w:r>
      <w:r w:rsidR="00E2359E" w:rsidRPr="00CC6CA3">
        <w:fldChar w:fldCharType="separate"/>
      </w:r>
      <w:r w:rsidR="007D1BCC" w:rsidRPr="00CC6CA3">
        <w:rPr>
          <w:rFonts w:cs="Times New Roman"/>
        </w:rPr>
        <w:t>[99]</w:t>
      </w:r>
      <w:r w:rsidR="00E2359E" w:rsidRPr="00CC6CA3">
        <w:fldChar w:fldCharType="end"/>
      </w:r>
      <w:r w:rsidR="00E2359E" w:rsidRPr="00CC6CA3">
        <w:t xml:space="preserve">, </w:t>
      </w:r>
      <w:r w:rsidRPr="00CC6CA3">
        <w:t xml:space="preserve">and </w:t>
      </w:r>
      <w:r w:rsidR="00E2359E" w:rsidRPr="00CC6CA3">
        <w:t xml:space="preserve">sparse autoencoder (SAE) </w:t>
      </w:r>
      <w:r w:rsidR="00E2359E" w:rsidRPr="00CC6CA3">
        <w:fldChar w:fldCharType="begin"/>
      </w:r>
      <w:r w:rsidR="007D1BCC" w:rsidRPr="00CC6CA3">
        <w:instrText xml:space="preserve"> ADDIN ZOTERO_ITEM CSL_CITATION {"citationID":"anu1hnk46g","properties":{"formattedCitation":"[101]","plainCitation":"[101]","noteIndex":0},"citationItems":[{"id":262,"uris":["http://zotero.org/users/3051968/items/SUVABFV7"],"uri":["http://zotero.org/users/3051968/items/SUVABFV7"],"itemData":{"id":262,"type":"article-journal","container-title":"CS294A Lecture notes","issue":"2011","page":"1–19","source":"Google Scholar","title":"Sparse autoencoder","volume":"72","author":[{"family":"Ng","given":"Andrew"}],"issued":{"date-parts":[["2011"]]}}}],"schema":"https://github.com/citation-style-language/schema/raw/master/csl-citation.json"} </w:instrText>
      </w:r>
      <w:r w:rsidR="00E2359E" w:rsidRPr="00CC6CA3">
        <w:fldChar w:fldCharType="separate"/>
      </w:r>
      <w:r w:rsidR="007D1BCC" w:rsidRPr="00CC6CA3">
        <w:rPr>
          <w:rFonts w:cs="Times New Roman"/>
        </w:rPr>
        <w:t>[101]</w:t>
      </w:r>
      <w:r w:rsidR="00E2359E" w:rsidRPr="00CC6CA3">
        <w:fldChar w:fldCharType="end"/>
      </w:r>
      <w:r w:rsidR="00E2359E" w:rsidRPr="00CC6CA3">
        <w:t xml:space="preserve">. </w:t>
      </w:r>
      <w:r w:rsidRPr="00CC6CA3">
        <w:t xml:space="preserve">Of these, the </w:t>
      </w:r>
      <w:r w:rsidR="00E2359E" w:rsidRPr="00CC6CA3">
        <w:t xml:space="preserve">SAE is an effective anomaly detection method, which solves the overfitting problem by adding a sparsity constraint on the hidden units </w:t>
      </w:r>
      <w:r w:rsidR="00E2359E" w:rsidRPr="00CC6CA3">
        <w:fldChar w:fldCharType="begin"/>
      </w:r>
      <w:r w:rsidR="007D1BCC" w:rsidRPr="00CC6CA3">
        <w:instrText xml:space="preserve"> ADDIN ZOTERO_ITEM CSL_CITATION {"citationID":"a6e2s6b3rp","properties":{"formattedCitation":"[101], [102]","plainCitation":"[101], [102]","noteIndex":0},"citationItems":[{"id":262,"uris":["http://zotero.org/users/3051968/items/SUVABFV7"],"uri":["http://zotero.org/users/3051968/items/SUVABFV7"],"itemData":{"id":262,"type":"article-journal","container-title":"CS294A Lecture notes","issue":"2011","page":"1–19","source":"Google Scholar","title":"Sparse autoencoder","volume":"72","author":[{"family":"Ng","given":"Andrew"}],"issued":{"date-parts":[["2011"]]}}},{"id":255,"uris":["http://zotero.org/users/3051968/items/VGAQLPBF"],"uri":["http://zotero.org/users/3051968/items/VGAQLPBF"],"itemData":{"id":255,"type":"book","publisher":" O'Reilly Media, Inc.","source":"Google Scholar","title":"Hands-on machine learning with Scikit-Learn and TensorFlow: concepts, tools, and techniques to build intelligent systems","title-short":"Hands-on machine learning with Scikit-Learn and TensorFlow","author":[{"family":"Géron","given":"Aurélien"}],"issued":{"date-parts":[["2017"]]}}}],"schema":"https://github.com/citation-style-language/schema/raw/master/csl-citation.json"} </w:instrText>
      </w:r>
      <w:r w:rsidR="00E2359E" w:rsidRPr="00CC6CA3">
        <w:fldChar w:fldCharType="separate"/>
      </w:r>
      <w:r w:rsidR="007D1BCC" w:rsidRPr="00CC6CA3">
        <w:rPr>
          <w:rFonts w:cs="Times New Roman"/>
        </w:rPr>
        <w:t>[101], [102]</w:t>
      </w:r>
      <w:r w:rsidR="00E2359E" w:rsidRPr="00CC6CA3">
        <w:fldChar w:fldCharType="end"/>
      </w:r>
      <w:r w:rsidR="00E2359E" w:rsidRPr="00CC6CA3">
        <w:t xml:space="preserve">. </w:t>
      </w:r>
      <w:r w:rsidRPr="00CC6CA3">
        <w:t xml:space="preserve">The SAE has been successfully applied for anomaly detection in turbomachinery </w:t>
      </w:r>
      <w:r w:rsidR="00E2359E" w:rsidRPr="00CC6CA3">
        <w:fldChar w:fldCharType="begin"/>
      </w:r>
      <w:r w:rsidR="007D1BCC" w:rsidRPr="00CC6CA3">
        <w:instrText xml:space="preserve"> ADDIN ZOTERO_ITEM CSL_CITATION {"citationID":"a5di2k0r8j","properties":{"formattedCitation":"[103]","plainCitation":"[103]","noteIndex":0},"citationItems":[{"id":256,"uris":["http://zotero.org/users/3051968/items/9IC6H3UX"],"uri":["http://zotero.org/users/3051968/items/9IC6H3UX"],"itemData":{"id":256,"type":"article-journal","source":"Google Scholar","title":"Sparse Neural Networks for Anomaly Detection in High-Dimensional Time Series","author":[{"family":"Gugulothu","given":"Narendhar"},{"family":"Malhotra","given":"Pankaj"},{"family":"Vig","given":"Lovekesh"},{"family":"Shroff","given":"Gautam"}]}}],"schema":"https://github.com/citation-style-language/schema/raw/master/csl-citation.json"} </w:instrText>
      </w:r>
      <w:r w:rsidR="00E2359E" w:rsidRPr="00CC6CA3">
        <w:fldChar w:fldCharType="separate"/>
      </w:r>
      <w:r w:rsidR="007D1BCC" w:rsidRPr="00CC6CA3">
        <w:rPr>
          <w:rFonts w:cs="Times New Roman"/>
        </w:rPr>
        <w:t>[103]</w:t>
      </w:r>
      <w:r w:rsidR="00E2359E" w:rsidRPr="00CC6CA3">
        <w:fldChar w:fldCharType="end"/>
      </w:r>
      <w:r w:rsidR="00E2359E" w:rsidRPr="00CC6CA3">
        <w:t xml:space="preserve">, industrial pumps </w:t>
      </w:r>
      <w:r w:rsidR="00E2359E" w:rsidRPr="00CC6CA3">
        <w:fldChar w:fldCharType="begin"/>
      </w:r>
      <w:r w:rsidR="007D1BCC" w:rsidRPr="00CC6CA3">
        <w:instrText xml:space="preserve"> ADDIN ZOTERO_ITEM CSL_CITATION {"citationID":"ulW1tCG0","properties":{"formattedCitation":"[82]","plainCitation":"[82]","noteIndex":0},"citationItems":[{"id":1029,"uris":["http://zotero.org/users/3051968/items/PWGBAI99"],"uri":["http://zotero.org/users/3051968/items/PWGBAI99"],"itemData":{"id":1029,"type":"article-journal","container-title":"Applied Sciences","issue":"19","note":"publisher: Multidisciplinary Digital Publishing Institute","page":"6789","source":"Google Scholar","title":"A Sparse Autoencoder-Based Unsupervised Scheme for Pump Fault Detection and Isolation","volume":"10","author":[{"family":"Liang","given":"Xiaoxia"},{"family":"Duan","given":"Fang"},{"family":"Bennett","given":"Ian"},{"family":"Mba","given":"David"}],"issued":{"date-parts":[["2020"]]}}}],"schema":"https://github.com/citation-style-language/schema/raw/master/csl-citation.json"} </w:instrText>
      </w:r>
      <w:r w:rsidR="00E2359E" w:rsidRPr="00CC6CA3">
        <w:fldChar w:fldCharType="separate"/>
      </w:r>
      <w:r w:rsidR="007D1BCC" w:rsidRPr="00CC6CA3">
        <w:rPr>
          <w:rFonts w:cs="Times New Roman"/>
        </w:rPr>
        <w:t>[82]</w:t>
      </w:r>
      <w:r w:rsidR="00E2359E" w:rsidRPr="00CC6CA3">
        <w:fldChar w:fldCharType="end"/>
      </w:r>
      <w:r w:rsidR="00E2359E" w:rsidRPr="00CC6CA3">
        <w:t xml:space="preserve"> and compressors </w:t>
      </w:r>
      <w:r w:rsidR="00E2359E" w:rsidRPr="00CC6CA3">
        <w:fldChar w:fldCharType="begin"/>
      </w:r>
      <w:r w:rsidR="007D1BCC" w:rsidRPr="00CC6CA3">
        <w:instrText xml:space="preserve"> ADDIN ZOTERO_ITEM CSL_CITATION {"citationID":"WG2n4s0e","properties":{"formattedCitation":"[104]","plainCitation":"[104]","noteIndex":0},"citationItems":[{"id":1064,"uris":["http://zotero.org/users/3051968/items/GSRXRA4T"],"uri":["http://zotero.org/users/3051968/items/GSRXRA4T"],"itemData":{"id":1064,"type":"article-journal","container-title":"Energies","issue":"1","note":"publisher: Multidisciplinary Digital Publishing Institute","page":"28","source":"Google Scholar","title":"A Comprehensive Health Indicator Integrated by the Dynamic Risk Profile from Condition Monitoring Data and the Function of Financial Losses","volume":"14","author":[{"family":"Liang","given":"Xiaoxia"},{"family":"Duan","given":"Fang"},{"family":"Bennett","given":"Ian"},{"family":"Mba","given":"David"}],"issued":{"date-parts":[["2021"]]}}}],"schema":"https://github.com/citation-style-language/schema/raw/master/csl-citation.json"} </w:instrText>
      </w:r>
      <w:r w:rsidR="00E2359E" w:rsidRPr="00CC6CA3">
        <w:fldChar w:fldCharType="separate"/>
      </w:r>
      <w:r w:rsidR="007D1BCC" w:rsidRPr="00CC6CA3">
        <w:rPr>
          <w:rFonts w:cs="Times New Roman"/>
        </w:rPr>
        <w:t>[104]</w:t>
      </w:r>
      <w:r w:rsidR="00E2359E" w:rsidRPr="00CC6CA3">
        <w:fldChar w:fldCharType="end"/>
      </w:r>
      <w:r w:rsidR="00E2359E" w:rsidRPr="00CC6CA3">
        <w:t>.</w:t>
      </w:r>
    </w:p>
    <w:p w14:paraId="19B0AE01" w14:textId="5F2D5D3E" w:rsidR="00E2359E" w:rsidRPr="00CC6CA3" w:rsidRDefault="005B1F7F" w:rsidP="00E2359E">
      <w:r w:rsidRPr="00CC6CA3">
        <w:lastRenderedPageBreak/>
        <w:t xml:space="preserve">A nonlinear auto-regressive network with exogenous inputs (NARX) </w:t>
      </w:r>
      <w:r w:rsidR="00E2359E" w:rsidRPr="00CC6CA3">
        <w:fldChar w:fldCharType="begin"/>
      </w:r>
      <w:r w:rsidR="007D1BCC" w:rsidRPr="00CC6CA3">
        <w:instrText xml:space="preserve"> ADDIN ZOTERO_ITEM CSL_CITATION {"citationID":"ave2f7hhc7","properties":{"formattedCitation":"[105], [106]","plainCitation":"[105], [106]","noteIndex":0},"citationItems":[{"id":292,"uris":["http://zotero.org/users/3051968/items/E6ENJ9WR"],"uri":["http://zotero.org/users/3051968/items/E6ENJ9WR"],"itemData":{"id":292,"type":"article-journal","abstract":"Gearbox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Bertling"}],"issued":{"date-parts":[["2015",3]]}}},{"id":289,"uris":["http://zotero.org/users/3051968/items/6I2JVAZ7"],"uri":["http://zotero.org/users/3051968/items/6I2JVAZ7"],"itemData":{"id":289,"type":"article-journal","container-title":"Wind Energy","issue":"8","page":"1421–1438","source":"Google Scholar","title":"An artificial neural network-based condition monitoring method for wind turbines, with application to the monitoring of the gearbox","volume":"20","author":[{"family":"Bangalore","given":"P."},{"family":"Letzgus","given":"S."},{"family":"Karlsson","given":"D."},{"family":"Patriksson","given":"M."}],"issued":{"date-parts":[["2017"]]}}}],"schema":"https://github.com/citation-style-language/schema/raw/master/csl-citation.json"} </w:instrText>
      </w:r>
      <w:r w:rsidR="00E2359E" w:rsidRPr="00CC6CA3">
        <w:fldChar w:fldCharType="separate"/>
      </w:r>
      <w:r w:rsidR="007D1BCC" w:rsidRPr="00CC6CA3">
        <w:rPr>
          <w:rFonts w:cs="Times New Roman"/>
        </w:rPr>
        <w:t>[105], [106]</w:t>
      </w:r>
      <w:r w:rsidR="00E2359E" w:rsidRPr="00CC6CA3">
        <w:fldChar w:fldCharType="end"/>
      </w:r>
      <w:r w:rsidR="00E2359E" w:rsidRPr="00CC6CA3">
        <w:t xml:space="preserve"> </w:t>
      </w:r>
      <w:r w:rsidRPr="00CC6CA3">
        <w:t>has feedback architecture that comes from the output neurons. The structure of the NARX neural network includes an input layer, a hidden layer(s</w:t>
      </w:r>
      <w:proofErr w:type="gramStart"/>
      <w:r w:rsidRPr="00CC6CA3">
        <w:t>)</w:t>
      </w:r>
      <w:proofErr w:type="gramEnd"/>
      <w:r w:rsidRPr="00CC6CA3">
        <w:t xml:space="preserve"> and an output layer. The number of nodes in the input layer determined by the number of inputs; the number of nodes in the output layer determined by the number of outputs. The training method of the NARX neural network is </w:t>
      </w:r>
      <w:proofErr w:type="gramStart"/>
      <w:r w:rsidRPr="00CC6CA3">
        <w:t>similar to</w:t>
      </w:r>
      <w:proofErr w:type="gramEnd"/>
      <w:r w:rsidRPr="00CC6CA3">
        <w:t xml:space="preserve"> that of the MLP. The features of NARX include: 1) NARX adds delay and feedback mechanisms, so it can enhance the memory </w:t>
      </w:r>
      <w:r w:rsidRPr="00CC6CA3">
        <w:rPr>
          <w:rFonts w:hint="eastAsia"/>
        </w:rPr>
        <w:t>and</w:t>
      </w:r>
      <w:r w:rsidRPr="00CC6CA3">
        <w:t xml:space="preserve"> learning process  of historical data </w:t>
      </w:r>
      <w:r w:rsidR="00E2359E" w:rsidRPr="00CC6CA3">
        <w:fldChar w:fldCharType="begin"/>
      </w:r>
      <w:r w:rsidR="007D1BCC" w:rsidRPr="00CC6CA3">
        <w:instrText xml:space="preserve"> ADDIN ZOTERO_ITEM CSL_CITATION {"citationID":"f0FTFvV2","properties":{"formattedCitation":"[107]","plainCitation":"[107]","noteIndex":0},"citationItems":[{"id":1074,"uris":["http://zotero.org/users/3051968/items/H6V2I4CT"],"uri":["http://zotero.org/users/3051968/items/H6V2I4CT"],"itemData":{"id":1074,"type":"article-journal","container-title":"Neural Computing and Applications","issue":"2","note":"publisher: Springer","page":"447–472","source":"Google Scholar","title":"Neural network applications in fault diagnosis and detection: an overview of implementations in engineering-related systems","title-short":"Neural network applications in fault diagnosis and detection","volume":"32","author":[{"family":"Amiruddin","given":"Ahmad Azharuddin Azhari Mohd"},{"family":"Zabiri","given":"Haslinda"},{"family":"Taqvi","given":"Syed Ali Ammar"},{"family":"Tufa","given":"Lemma Dendena"}],"issued":{"date-parts":[["2020"]]}}}],"schema":"https://github.com/citation-style-language/schema/raw/master/csl-citation.json"} </w:instrText>
      </w:r>
      <w:r w:rsidR="00E2359E" w:rsidRPr="00CC6CA3">
        <w:fldChar w:fldCharType="separate"/>
      </w:r>
      <w:r w:rsidR="007D1BCC" w:rsidRPr="00CC6CA3">
        <w:rPr>
          <w:rFonts w:cs="Times New Roman"/>
        </w:rPr>
        <w:t>[107]</w:t>
      </w:r>
      <w:r w:rsidR="00E2359E" w:rsidRPr="00CC6CA3">
        <w:fldChar w:fldCharType="end"/>
      </w:r>
      <w:r w:rsidR="00E2359E" w:rsidRPr="00CC6CA3">
        <w:t xml:space="preserve">. 2) NARX is suitable for time series forecasting and has been used to solve nonlinear forecasting problems in various fields </w:t>
      </w:r>
      <w:r w:rsidR="00E2359E" w:rsidRPr="00CC6CA3">
        <w:fldChar w:fldCharType="begin"/>
      </w:r>
      <w:r w:rsidR="007D1BCC" w:rsidRPr="00CC6CA3">
        <w:instrText xml:space="preserve"> ADDIN ZOTERO_ITEM CSL_CITATION {"citationID":"uPfAZkKx","properties":{"formattedCitation":"[107]\\uc0\\u8211{}[109]","plainCitation":"[107]–[109]","noteIndex":0},"citationItems":[{"id":1070,"uris":["http://zotero.org/users/3051968/items/FSI9PPVM"],"uri":["http://zotero.org/users/3051968/items/FSI9PPVM"],"itemData":{"id":1070,"type":"paper-conference","container-title":"2009 International conference on machine learning and cybernetics","page":"1275–1279","publisher":"IEEE","source":"Google Scholar","title":"Time series prediction based on NARX neural networks: An advanced approach","title-short":"Time series prediction based on NARX neural networks","volume":"3","author":[{"family":"Xie","given":"Hang"},{"family":"Tang","given":"Hao"},{"family":"Liao","given":"Yu-He"}],"issued":{"date-parts":[["2009"]]}}},{"id":1072,"uris":["http://zotero.org/users/3051968/items/5C5X67W3"],"uri":["http://zotero.org/users/3051968/items/5C5X67W3"],"itemData":{"id":1072,"type":"article-journal","container-title":"Neural Computing and Applications","issue":"8","note":"publisher: Springer","page":"2157–2192","source":"Google Scholar","title":"Dynamic neural networks for gas turbine engine degradation prediction, health monitoring and prognosis","volume":"27","author":[{"family":"Kiakojoori","given":"S."},{"family":"Khorasani","given":"Khashayar"}],"issued":{"date-parts":[["2016"]]}}},{"id":1074,"uris":["http://zotero.org/users/3051968/items/H6V2I4CT"],"uri":["http://zotero.org/users/3051968/items/H6V2I4CT"],"itemData":{"id":1074,"type":"article-journal","container-title":"Neural Computing and Applications","issue":"2","note":"publisher: Springer","page":"447–472","source":"Google Scholar","title":"Neural network applications in fault diagnosis and detection: an overview of implementations in engineering-related systems","title-short":"Neural network applications in fault diagnosis and detection","volume":"32","author":[{"family":"Amiruddin","given":"Ahmad Azharuddin Azhari Mohd"},{"family":"Zabiri","given":"Haslinda"},{"family":"Taqvi","given":"Syed Ali Ammar"},{"family":"Tufa","given":"Lemma Dendena"}],"issued":{"date-parts":[["2020"]]}}}],"schema":"https://github.com/citation-style-language/schema/raw/master/csl-citation.json"} </w:instrText>
      </w:r>
      <w:r w:rsidR="00E2359E" w:rsidRPr="00CC6CA3">
        <w:fldChar w:fldCharType="separate"/>
      </w:r>
      <w:r w:rsidR="007D1BCC" w:rsidRPr="00CC6CA3">
        <w:rPr>
          <w:rFonts w:cs="Times New Roman"/>
          <w:szCs w:val="24"/>
        </w:rPr>
        <w:t>[107]–[109]</w:t>
      </w:r>
      <w:r w:rsidR="00E2359E" w:rsidRPr="00CC6CA3">
        <w:fldChar w:fldCharType="end"/>
      </w:r>
      <w:r w:rsidR="00E2359E" w:rsidRPr="00CC6CA3">
        <w:t>.</w:t>
      </w:r>
    </w:p>
    <w:p w14:paraId="2A1021AC" w14:textId="77777777" w:rsidR="00E2359E" w:rsidRPr="00CC6CA3" w:rsidRDefault="00E2359E" w:rsidP="00E2359E">
      <w:pPr>
        <w:pStyle w:val="Heading5"/>
      </w:pPr>
      <w:r w:rsidRPr="00CC6CA3">
        <w:t xml:space="preserve">Statistical classifiers </w:t>
      </w:r>
    </w:p>
    <w:p w14:paraId="47E89DFF" w14:textId="5E57FFDA" w:rsidR="00E2359E" w:rsidRPr="00CC6CA3" w:rsidRDefault="009F5924" w:rsidP="00E2359E">
      <w:r w:rsidRPr="00CC6CA3">
        <w:t xml:space="preserve">Cluster analysis is a popular multivariate method used in statistical analysis that divides signals into different fault types or categories based on the similarity of the signals' characteristics, whilst minimising the within-group variance and maximising the between-group variance </w:t>
      </w:r>
      <w:r w:rsidR="00E2359E" w:rsidRPr="00CC6CA3">
        <w:fldChar w:fldCharType="begin"/>
      </w:r>
      <w:r w:rsidR="00854B0F" w:rsidRPr="00CC6CA3">
        <w:instrText xml:space="preserve"> ADDIN ZOTERO_ITEM CSL_CITATION {"citationID":"ZnVe44kM","properties":{"formattedCitation":"[14]","plainCitation":"[14]","noteIndex":0},"citationItems":[{"id":4,"uris":["http://zotero.org/users/3051968/items/ESWKWJYN"],"uri":["http://zotero.org/users/3051968/items/ESWKWJYN"],"itemData":{"id":4,"type":"article-journal","container-title":"Mechanical Systems and Signal Processing","DOI":"10.1016/j.ymssp.2005.09.012","ISSN":"08883270","issue":"7","language":"en","page":"1483-1510","source":"CrossRef","title":"A review on machinery diagnostics and prognostics implementing condition-based maintenance","volume":"20","author":[{"family":"Jardine","given":"Andrew K.S."},{"family":"Lin","given":"Daming"},{"family":"Banjevic","given":"Dragan"}],"issued":{"date-parts":[["2006",10]]}}}],"schema":"https://github.com/citation-style-language/schema/raw/master/csl-citation.json"} </w:instrText>
      </w:r>
      <w:r w:rsidR="00E2359E" w:rsidRPr="00CC6CA3">
        <w:fldChar w:fldCharType="separate"/>
      </w:r>
      <w:r w:rsidR="00854B0F" w:rsidRPr="00CC6CA3">
        <w:rPr>
          <w:rFonts w:cs="Times New Roman"/>
        </w:rPr>
        <w:t>[14]</w:t>
      </w:r>
      <w:r w:rsidR="00E2359E" w:rsidRPr="00CC6CA3">
        <w:fldChar w:fldCharType="end"/>
      </w:r>
      <w:r w:rsidR="00E2359E" w:rsidRPr="00CC6CA3">
        <w:t xml:space="preserve">. </w:t>
      </w:r>
      <w:r w:rsidRPr="00CC6CA3">
        <w:t xml:space="preserve">Popular cluster techniques include the nearest neighbour algorithm </w:t>
      </w:r>
      <w:r w:rsidR="00E2359E" w:rsidRPr="00CC6CA3">
        <w:fldChar w:fldCharType="begin"/>
      </w:r>
      <w:r w:rsidR="007D1BCC" w:rsidRPr="00CC6CA3">
        <w:instrText xml:space="preserve"> ADDIN ZOTERO_ITEM CSL_CITATION {"citationID":"SlBF7825","properties":{"formattedCitation":"[110]","plainCitation":"[110]","noteIndex":0},"citationItems":[{"id":214,"uris":["http://zotero.org/users/3051968/items/9BIBWUMS"],"uri":["http://zotero.org/users/3051968/items/9BIBWUMS"],"itemData":{"id":214,"type":"article-journal","container-title":"J. Inf. Hiding Multimed. Signal Process","page":"508–517","source":"Google Scholar","title":"A compact K nearest neighbor classification for power plant fault diagnosis","volume":"5","author":[{"family":"Wang","given":"Xiao-Xia"},{"family":"Ma","given":"Liang-Yu"}],"issued":{"date-parts":[["2014"]]}}}],"schema":"https://github.com/citation-style-language/schema/raw/master/csl-citation.json"} </w:instrText>
      </w:r>
      <w:r w:rsidR="00E2359E" w:rsidRPr="00CC6CA3">
        <w:fldChar w:fldCharType="separate"/>
      </w:r>
      <w:r w:rsidR="007D1BCC" w:rsidRPr="00CC6CA3">
        <w:rPr>
          <w:rFonts w:cs="Times New Roman"/>
        </w:rPr>
        <w:t>[110]</w:t>
      </w:r>
      <w:r w:rsidR="00E2359E" w:rsidRPr="00CC6CA3">
        <w:fldChar w:fldCharType="end"/>
      </w:r>
      <w:r w:rsidR="00E2359E" w:rsidRPr="00CC6CA3">
        <w:t xml:space="preserve">, K means clustering </w:t>
      </w:r>
      <w:r w:rsidR="00E2359E" w:rsidRPr="00CC6CA3">
        <w:fldChar w:fldCharType="begin"/>
      </w:r>
      <w:r w:rsidR="007D1BCC" w:rsidRPr="00CC6CA3">
        <w:instrText xml:space="preserve"> ADDIN ZOTERO_ITEM CSL_CITATION {"citationID":"SbIn9xZ8","properties":{"formattedCitation":"[111]","plainCitation":"[111]","noteIndex":0},"citationItems":[{"id":213,"uris":["http://zotero.org/users/3051968/items/BUB26H6M"],"uri":["http://zotero.org/users/3051968/items/BUB26H6M"],"itemData":{"id":213,"type":"article-journal","abstract":"A K-means clustering approach is proposed for the automated diagnosis of defective rolling element bearings. Since K-means clustering is an unsupervised learning procedure, the method can be directly implemented to measured vibration data. Thus, the need for training the method with data measured on the specific machine under defective bearing conditions is eliminated. This fact consists the major advantage of the method, especially in industrial environments. Critical to the success of the method is the feature set used, which consists of a set of appropriately selected frequency-domain parameters, extracted both from the raw signal, as well as from the signal envelope, as a result of the engineering expertise, gained from the understanding of the physical behavior of defective rolling element bearings. Other advantages of the method are its ease of programming, simplicity and robustness. In order to overcome the sensitivity of the method to the choice of the initial cluster centers, the initial centers are selected using features extracted from simulated signals, resulting from a well established model for the dynamic behavior of defective rolling element bearings. Then, the method is implemented as a two-stage procedure. At the first step, the method decides whether a bearing fault exists or not. At the second step, the type of the defect (e.g. inner or outer race) is identified. The effectiveness of the method is tested in one literature established laboratory test case and in three different industrial test cases. Each test case includes successive measurements from bearings under different types of defects. In all cases, the method presents a 100% classification success. Contrarily, a K-means clustering approach, which is based on typical statistical time domain based features, presents an unstable classification behavior.","container-title":"Expert Systems with Applications","DOI":"10.1016/j.eswa.2010.08.083","ISSN":"0957-4174","issue":"3","journalAbbreviation":"Expert Systems with Applications","page":"2888-2911","source":"ScienceDirect","title":"Rolling element bearing fault detection in industrial environments based on a K-means clustering approach","volume":"38","author":[{"family":"Yiakopoulos","given":"C. T."},{"family":"Gryllias","given":"K. C."},{"family":"Antoniadis","given":"I. A."}],"issued":{"date-parts":[["2011",3,1]]}}}],"schema":"https://github.com/citation-style-language/schema/raw/master/csl-citation.json"} </w:instrText>
      </w:r>
      <w:r w:rsidR="00E2359E" w:rsidRPr="00CC6CA3">
        <w:fldChar w:fldCharType="separate"/>
      </w:r>
      <w:r w:rsidR="007D1BCC" w:rsidRPr="00CC6CA3">
        <w:rPr>
          <w:rFonts w:cs="Times New Roman"/>
        </w:rPr>
        <w:t>[111]</w:t>
      </w:r>
      <w:r w:rsidR="00E2359E" w:rsidRPr="00CC6CA3">
        <w:fldChar w:fldCharType="end"/>
      </w:r>
      <w:r w:rsidR="00E2359E" w:rsidRPr="00CC6CA3">
        <w:t xml:space="preserve">, fuzzy C means clustering </w:t>
      </w:r>
      <w:r w:rsidR="00E2359E" w:rsidRPr="00CC6CA3">
        <w:rPr>
          <w:rFonts w:eastAsia="Times New Roman"/>
        </w:rPr>
        <w:fldChar w:fldCharType="begin"/>
      </w:r>
      <w:r w:rsidR="007D1BCC" w:rsidRPr="00CC6CA3">
        <w:rPr>
          <w:rFonts w:eastAsia="Times New Roman"/>
        </w:rPr>
        <w:instrText xml:space="preserve"> ADDIN ZOTERO_ITEM CSL_CITATION {"citationID":"8p3ark041","properties":{"formattedCitation":"[112]","plainCitation":"[112]","noteIndex":0},"citationItems":[{"id":"jMlmauCg/h2zBQJE7","uris":["http://zotero.org/users/3051968/items/XFEU5FBQ"],"uri":["http://zotero.org/users/3051968/items/XFEU5FBQ"],"itemData":{"id":535,"type":"article-journal","title":"FCM: The fuzzy c-means clustering algorithm","container-title":"Computers &amp; Geosciences","page":"191–203","volume":"10","issue":"2-3","source":"Google Scholar","shortTitle":"FCM","author":[{"family":"Bezdek","given":"James C."},{"family":"Ehrlich","given":"Robert"},{"family":"Full","given":"William"}],"issued":{"date-parts":[["1984"]]}}}],"schema":"https://github.com/citation-style-language/schema/raw/master/csl-citation.json"} </w:instrText>
      </w:r>
      <w:r w:rsidR="00E2359E" w:rsidRPr="00CC6CA3">
        <w:rPr>
          <w:rFonts w:eastAsia="Times New Roman"/>
        </w:rPr>
        <w:fldChar w:fldCharType="separate"/>
      </w:r>
      <w:r w:rsidR="007D1BCC" w:rsidRPr="00CC6CA3">
        <w:rPr>
          <w:rFonts w:cs="Times New Roman"/>
        </w:rPr>
        <w:t>[112]</w:t>
      </w:r>
      <w:r w:rsidR="00E2359E" w:rsidRPr="00CC6CA3">
        <w:rPr>
          <w:rFonts w:eastAsia="Times New Roman"/>
        </w:rPr>
        <w:fldChar w:fldCharType="end"/>
      </w:r>
      <w:r w:rsidR="00E2359E" w:rsidRPr="00CC6CA3">
        <w:t xml:space="preserve">, support vector machine (SVM) </w:t>
      </w:r>
      <w:r w:rsidR="00E2359E" w:rsidRPr="00CC6CA3">
        <w:fldChar w:fldCharType="begin"/>
      </w:r>
      <w:r w:rsidR="007D1BCC" w:rsidRPr="00CC6CA3">
        <w:instrText xml:space="preserve"> ADDIN ZOTERO_ITEM CSL_CITATION {"citationID":"1BgJay1f","properties":{"formattedCitation":"[113]","plainCitation":"[113]","noteIndex":0},"citationItems":[{"id":224,"uris":["http://zotero.org/users/3051968/items/BIIAFYA4"],"uri":["http://zotero.org/users/3051968/items/BIIAFYA4"],"itemData":{"id":224,"type":"paper-conference","container-title":"System Engineering and Technology (ICSET), 2011 IEEE International Conference on","page":"65–69","publisher":"IEEE","source":"Google Scholar","title":"An optimized fault diagnosis method for reciprocating air compressors based on SVM","author":[{"family":"Verma","given":"Nishchal K."},{"family":"Roy","given":"Abhishek"},{"family":"Salour","given":"Al"}],"issued":{"date-parts":[["2011"]]}}}],"schema":"https://github.com/citation-style-language/schema/raw/master/csl-citation.json"} </w:instrText>
      </w:r>
      <w:r w:rsidR="00E2359E" w:rsidRPr="00CC6CA3">
        <w:fldChar w:fldCharType="separate"/>
      </w:r>
      <w:r w:rsidR="007D1BCC" w:rsidRPr="00CC6CA3">
        <w:rPr>
          <w:rFonts w:cs="Times New Roman"/>
        </w:rPr>
        <w:t>[113]</w:t>
      </w:r>
      <w:r w:rsidR="00E2359E" w:rsidRPr="00CC6CA3">
        <w:fldChar w:fldCharType="end"/>
      </w:r>
      <w:r w:rsidR="00E2359E" w:rsidRPr="00CC6CA3">
        <w:t xml:space="preserve"> and cluster methods based on Gaussian mixture models </w:t>
      </w:r>
      <w:r w:rsidR="00E2359E" w:rsidRPr="00CC6CA3">
        <w:fldChar w:fldCharType="begin"/>
      </w:r>
      <w:r w:rsidR="007D1BCC" w:rsidRPr="00CC6CA3">
        <w:instrText xml:space="preserve"> ADDIN ZOTERO_ITEM CSL_CITATION {"citationID":"eDq7Rv8Q","properties":{"formattedCitation":"[114]","plainCitation":"[114]","noteIndex":0},"citationItems":[{"id":212,"uris":["http://zotero.org/users/3051968/items/ZGQGCTZT"],"uri":["http://zotero.org/users/3051968/items/ZGQGCTZT"],"itemData":{"id":212,"type":"webpage","abstract":"This paper extends traditional Gaussian mixture model (GMM) techniques to provide recognition of operational states and detection of emerging faults for industrial systems. A variational Bayesian method allows a GMM to cluster with its mixture components to facilitate the extraction of steady-state operational behaviour; this is recognised as being a primary factor in reducing the susceptibility of alternative prognostic/diagnostic techniques, which would initiate false-alarms resulting from control set-point and load changes. Furthermore, a GMM with an outlier component is discussed and applied for direct novelty/fault detection. An advantage of the variational Bayesian method over traditional predefined thresholds is the extraction of steady-state data during both full- and part-load cases, and a primary advantage of the GMM with an outlier component is its applicability for novelty detection when there is a lack of prior knowledge of fault patterns. Results obtained from the real-time measurements on the operational industrial gas turbines have shown that the proposed technique provides integrated preprocessing, benchmarking, and novelty/fault detection methodology.","container-title":"International Journal of Rotating Machinery","genre":"Research article","language":"en","note":"DOI: 10.1155/2017/5435794","title":"Detection of Emerging Faults on Industrial Gas Turbines Using Extended Gaussian Mixture Models","URL":"https://www.hindawi.com/journals/ijrm/2017/5435794/abs/","author":[{"family":"Zhang","given":"Yu"},{"family":"Bingham","given":"Chris"},{"family":"Martínez-García","given":"Miguel"},{"family":"Cox","given":"Darren"}],"accessed":{"date-parts":[["2018",10,15]]},"issued":{"date-parts":[["2017"]]}}}],"schema":"https://github.com/citation-style-language/schema/raw/master/csl-citation.json"} </w:instrText>
      </w:r>
      <w:r w:rsidR="00E2359E" w:rsidRPr="00CC6CA3">
        <w:fldChar w:fldCharType="separate"/>
      </w:r>
      <w:r w:rsidR="007D1BCC" w:rsidRPr="00CC6CA3">
        <w:rPr>
          <w:rFonts w:cs="Times New Roman"/>
        </w:rPr>
        <w:t>[114]</w:t>
      </w:r>
      <w:r w:rsidR="00E2359E" w:rsidRPr="00CC6CA3">
        <w:fldChar w:fldCharType="end"/>
      </w:r>
      <w:r w:rsidR="00E2359E" w:rsidRPr="00CC6CA3">
        <w:t xml:space="preserve">. </w:t>
      </w:r>
      <w:r w:rsidRPr="00CC6CA3">
        <w:t>Advantages of cluster techniques are that they can deal with both one-class and multi-class classification tasks and can quickly achieve automatic classification</w:t>
      </w:r>
      <w:r w:rsidR="00E2359E" w:rsidRPr="00CC6CA3">
        <w:t>.</w:t>
      </w:r>
    </w:p>
    <w:p w14:paraId="420229A9" w14:textId="7F1A1048" w:rsidR="00E2359E" w:rsidRPr="00CC6CA3" w:rsidRDefault="00E2359E" w:rsidP="00E2359E">
      <w:r w:rsidRPr="00CC6CA3">
        <w:t xml:space="preserve">One-class classification (OCC) </w:t>
      </w:r>
      <w:r w:rsidR="00234AC0" w:rsidRPr="00CC6CA3">
        <w:t xml:space="preserve">tries to identify objects of a specific class among all the objects. The training set contains only the objects of that class, and OCC determines a decision boundary that covers all the training samples </w:t>
      </w:r>
      <w:r w:rsidRPr="00CC6CA3">
        <w:fldChar w:fldCharType="begin"/>
      </w:r>
      <w:r w:rsidR="007D1BCC" w:rsidRPr="00CC6CA3">
        <w:instrText xml:space="preserve"> ADDIN ZOTERO_ITEM CSL_CITATION {"citationID":"kp3LOama","properties":{"formattedCitation":"[115]","plainCitation":"[115]","noteIndex":0},"citationItems":[{"id":922,"uris":["http://zotero.org/users/3051968/items/KMWGHVDT"],"uri":["http://zotero.org/users/3051968/items/KMWGHVDT"],"itemData":{"id":922,"type":"article-journal","container-title":"Information sciences","note":"publisher: Elsevier","page":"182–195","source":"Google Scholar","title":"Clustering-based ensembles for one-class classification","volume":"264","author":[{"family":"Krawczyk","given":"Bartosz"},{"family":"Woźniak","given":"Micha\\l"},{"family":"Cyganek","given":"Bogus\\law"}],"issued":{"date-parts":[["2014"]]}}}],"schema":"https://github.com/citation-style-language/schema/raw/master/csl-citation.json"} </w:instrText>
      </w:r>
      <w:r w:rsidRPr="00CC6CA3">
        <w:fldChar w:fldCharType="separate"/>
      </w:r>
      <w:r w:rsidR="007D1BCC" w:rsidRPr="00CC6CA3">
        <w:rPr>
          <w:rFonts w:cs="Times New Roman"/>
        </w:rPr>
        <w:t>[115]</w:t>
      </w:r>
      <w:r w:rsidRPr="00CC6CA3">
        <w:fldChar w:fldCharType="end"/>
      </w:r>
      <w:r w:rsidRPr="00CC6CA3">
        <w:t xml:space="preserve">. </w:t>
      </w:r>
      <w:r w:rsidR="00234AC0" w:rsidRPr="00CC6CA3">
        <w:t xml:space="preserve">Hence, during the test/execution phase, new objects that were not </w:t>
      </w:r>
      <w:proofErr w:type="gramStart"/>
      <w:r w:rsidR="00234AC0" w:rsidRPr="00CC6CA3">
        <w:t>similar to</w:t>
      </w:r>
      <w:proofErr w:type="gramEnd"/>
      <w:r w:rsidR="00234AC0" w:rsidRPr="00CC6CA3">
        <w:t xml:space="preserve"> the training samples can be detected. These objects, which are outside the boundaries, are called outliers or anomalies, and are assumed to come from different classes</w:t>
      </w:r>
      <w:r w:rsidRPr="00CC6CA3">
        <w:t>.</w:t>
      </w:r>
    </w:p>
    <w:p w14:paraId="6805130E" w14:textId="7622A4DB" w:rsidR="00E2359E" w:rsidRPr="00CC6CA3" w:rsidRDefault="00E2359E" w:rsidP="00D84BAC">
      <w:r w:rsidRPr="00CC6CA3">
        <w:t xml:space="preserve">In contrast, the multi-class classification (MCC) is based on the idea of combining multiple classifiers into a composite recognition system </w:t>
      </w:r>
      <w:r w:rsidRPr="00CC6CA3">
        <w:fldChar w:fldCharType="begin"/>
      </w:r>
      <w:r w:rsidR="007D1BCC" w:rsidRPr="00CC6CA3">
        <w:instrText xml:space="preserve"> ADDIN ZOTERO_ITEM CSL_CITATION {"citationID":"qH3L79SV","properties":{"formattedCitation":"[115]","plainCitation":"[115]","noteIndex":0},"citationItems":[{"id":922,"uris":["http://zotero.org/users/3051968/items/KMWGHVDT"],"uri":["http://zotero.org/users/3051968/items/KMWGHVDT"],"itemData":{"id":922,"type":"article-journal","container-title":"Information sciences","note":"publisher: Elsevier","page":"182–195","source":"Google Scholar","title":"Clustering-based ensembles for one-class classification","volume":"264","author":[{"family":"Krawczyk","given":"Bartosz"},{"family":"Woźniak","given":"Micha\\l"},{"family":"Cyganek","given":"Bogus\\law"}],"issued":{"date-parts":[["2014"]]}}}],"schema":"https://github.com/citation-style-language/schema/raw/master/csl-citation.json"} </w:instrText>
      </w:r>
      <w:r w:rsidRPr="00CC6CA3">
        <w:fldChar w:fldCharType="separate"/>
      </w:r>
      <w:r w:rsidR="007D1BCC" w:rsidRPr="00CC6CA3">
        <w:rPr>
          <w:rFonts w:cs="Times New Roman"/>
        </w:rPr>
        <w:t>[115]</w:t>
      </w:r>
      <w:r w:rsidRPr="00CC6CA3">
        <w:fldChar w:fldCharType="end"/>
      </w:r>
      <w:r w:rsidRPr="00CC6CA3">
        <w:t xml:space="preserve">. </w:t>
      </w:r>
      <w:r w:rsidR="00234AC0" w:rsidRPr="00CC6CA3">
        <w:t>The MCC calculates decision boundaries for each class and, therefore, can classify different data categories at one time. In MCC, training data requires nearly equally large volumes of data for each group in order to avoid errors caused by biased sampling</w:t>
      </w:r>
      <w:r w:rsidRPr="00CC6CA3">
        <w:t xml:space="preserve"> </w:t>
      </w:r>
      <w:r w:rsidRPr="00CC6CA3">
        <w:fldChar w:fldCharType="begin"/>
      </w:r>
      <w:r w:rsidR="007D1BCC" w:rsidRPr="00CC6CA3">
        <w:instrText xml:space="preserve"> ADDIN ZOTERO_ITEM CSL_CITATION {"citationID":"fck0rKEw","properties":{"formattedCitation":"[116]","plainCitation":"[116]","noteIndex":0},"citationItems":[{"id":925,"uris":["http://zotero.org/users/3051968/items/TIRF5YBL"],"uri":["http://zotero.org/users/3051968/items/TIRF5YBL"],"itemData":{"id":925,"type":"article-journal","source":"Google Scholar","title":"A balanced approach to the multi-class imbalance problem","author":[{"family":"Mosley","given":"Lawrence"}],"issued":{"date-parts":[["2013"]]}}}],"schema":"https://github.com/citation-style-language/schema/raw/master/csl-citation.json"} </w:instrText>
      </w:r>
      <w:r w:rsidRPr="00CC6CA3">
        <w:fldChar w:fldCharType="separate"/>
      </w:r>
      <w:r w:rsidR="007D1BCC" w:rsidRPr="00CC6CA3">
        <w:rPr>
          <w:rFonts w:cs="Times New Roman"/>
        </w:rPr>
        <w:t>[116]</w:t>
      </w:r>
      <w:r w:rsidRPr="00CC6CA3">
        <w:fldChar w:fldCharType="end"/>
      </w:r>
      <w:r w:rsidRPr="00CC6CA3">
        <w:t>.</w:t>
      </w:r>
    </w:p>
    <w:p w14:paraId="25B8F80C" w14:textId="36B1015E" w:rsidR="00E2359E" w:rsidRPr="00CC6CA3" w:rsidRDefault="00E2359E" w:rsidP="00E2359E">
      <w:pPr>
        <w:spacing w:before="120"/>
      </w:pPr>
      <w:r w:rsidRPr="00CC6CA3">
        <w:t xml:space="preserve">During the operation of modern industrial machines, the monitoring system collects a large amount of data. </w:t>
      </w:r>
      <w:r w:rsidR="00234AC0" w:rsidRPr="00CC6CA3">
        <w:t xml:space="preserve">However, most of the data belongs to normal working conditions, and fault </w:t>
      </w:r>
      <w:r w:rsidR="00234AC0" w:rsidRPr="00CC6CA3">
        <w:lastRenderedPageBreak/>
        <w:t>data is usually rare and sometimes not available. There is a requirement for a fault detection (anomaly defection) model to fully use a large amount of health data to effectively detect faults. Therefore, the OCC is more common in the field of fault detection than multi-category clustering methods</w:t>
      </w:r>
      <w:r w:rsidRPr="00CC6CA3">
        <w:t xml:space="preserve">. </w:t>
      </w:r>
    </w:p>
    <w:p w14:paraId="4410B6C8" w14:textId="77777777" w:rsidR="00E2359E" w:rsidRPr="00CC6CA3" w:rsidRDefault="00E2359E" w:rsidP="00E2359E">
      <w:pPr>
        <w:pStyle w:val="Heading4"/>
      </w:pPr>
      <w:r w:rsidRPr="00CC6CA3">
        <w:t>Comments on multivariate fault detection methods</w:t>
      </w:r>
    </w:p>
    <w:p w14:paraId="5040E900" w14:textId="75CE9404" w:rsidR="00E2359E" w:rsidRPr="00CC6CA3" w:rsidRDefault="00E40740" w:rsidP="00E2359E">
      <w:pPr>
        <w:spacing w:before="120"/>
      </w:pPr>
      <w:r w:rsidRPr="00CC6CA3">
        <w:t>Both model-based and data-driven methods have their advantages and disadvantages</w:t>
      </w:r>
      <w:r w:rsidR="00E2359E" w:rsidRPr="00CC6CA3">
        <w:t xml:space="preserve">. According to comprehensive reviews carried out by Venkatasubramanian </w:t>
      </w:r>
      <w:r w:rsidR="00E2359E" w:rsidRPr="00CC6CA3">
        <w:fldChar w:fldCharType="begin"/>
      </w:r>
      <w:r w:rsidR="00854B0F" w:rsidRPr="00CC6CA3">
        <w:instrText xml:space="preserve"> ADDIN ZOTERO_ITEM CSL_CITATION {"citationID":"p1DZjaGB","properties":{"formattedCitation":"[9]","plainCitation":"[9]","noteIndex":0},"citationItems":[{"id":831,"uris":["http://zotero.org/users/3051968/items/2TF7LTSW"],"uri":["http://zotero.org/users/3051968/items/2TF7LTSW"],"itemData":{"id":831,"type":"article-journal","container-title":"Computers &amp; chemical engineering","issue":"3","note":"publisher: Elsevier","page":"293–311","source":"Google Scholar","title":"A review of process fault detection and diagnosis: Part I: Quantitative model-based methods","title-short":"A review of process fault detection and diagnosis","volume":"27","author":[{"family":"Venkatasubramanian","given":"Venkat"},{"family":"Rengaswamy","given":"Raghunathan"},{"family":"Yin","given":"Kewen"},{"family":"Kavuri","given":"Surya N."}],"issued":{"date-parts":[["2003"]]}}}],"schema":"https://github.com/citation-style-language/schema/raw/master/csl-citation.json"} </w:instrText>
      </w:r>
      <w:r w:rsidR="00E2359E" w:rsidRPr="00CC6CA3">
        <w:fldChar w:fldCharType="separate"/>
      </w:r>
      <w:r w:rsidR="00854B0F" w:rsidRPr="00CC6CA3">
        <w:rPr>
          <w:rFonts w:cs="Times New Roman"/>
        </w:rPr>
        <w:t>[9]</w:t>
      </w:r>
      <w:r w:rsidR="00E2359E" w:rsidRPr="00CC6CA3">
        <w:fldChar w:fldCharType="end"/>
      </w:r>
      <w:r w:rsidR="00E2359E" w:rsidRPr="00CC6CA3">
        <w:t xml:space="preserve"> and Zhang </w:t>
      </w:r>
      <w:r w:rsidR="00E2359E" w:rsidRPr="00CC6CA3">
        <w:fldChar w:fldCharType="begin"/>
      </w:r>
      <w:r w:rsidR="007D1BCC" w:rsidRPr="00CC6CA3">
        <w:instrText xml:space="preserve"> ADDIN ZOTERO_ITEM CSL_CITATION {"citationID":"HfLYqRwX","properties":{"formattedCitation":"[87]","plainCitation":"[87]","noteIndex":0},"citationItems":[{"id":914,"uris":["http://zotero.org/users/3051968/items/S8JAYCHG"],"uri":["http://zotero.org/users/3051968/items/S8JAYCHG"],"itemData":{"id":914,"type":"article-journal","container-title":"Annual reviews in control","issue":"2","note":"publisher: Elsevier","page":"229–252","source":"Google Scholar","title":"Bibliographical review on reconfigurable fault-tolerant control systems","volume":"32","author":[{"family":"Zhang","given":"Youmin"},{"family":"Jiang","given":"Jin"}],"issued":{"date-parts":[["2008"]]}}}],"schema":"https://github.com/citation-style-language/schema/raw/master/csl-citation.json"} </w:instrText>
      </w:r>
      <w:r w:rsidR="00E2359E" w:rsidRPr="00CC6CA3">
        <w:fldChar w:fldCharType="separate"/>
      </w:r>
      <w:r w:rsidR="007D1BCC" w:rsidRPr="00CC6CA3">
        <w:rPr>
          <w:rFonts w:cs="Times New Roman"/>
        </w:rPr>
        <w:t>[87]</w:t>
      </w:r>
      <w:r w:rsidR="00E2359E" w:rsidRPr="00CC6CA3">
        <w:fldChar w:fldCharType="end"/>
      </w:r>
      <w:r w:rsidR="00E2359E" w:rsidRPr="00CC6CA3">
        <w:t xml:space="preserve">, if </w:t>
      </w:r>
      <w:r w:rsidRPr="00CC6CA3">
        <w:t>all the inputs and outputs of the system, as well as the dynamic relationships between them, were clearly understood, the model-based fault detection method has the advantage of being able to cope with unexpected faults. However, due to the increasing complexity and nonlinearity of complex systems, getting such modelling information is becoming more difficult and may not be possible, which reduces the accuracy and effectiveness of the model-based method. On the other hand, due to lower requirements for prior knowledge, the data-driven fault detection method is easier to implement. The quantitative data-driven method uses data from the condition monitoring system, making it especially suitable for modern industrial facilities with complete instrumentation</w:t>
      </w:r>
      <w:r w:rsidR="00E2359E" w:rsidRPr="00CC6CA3">
        <w:t>.</w:t>
      </w:r>
    </w:p>
    <w:p w14:paraId="653796BD" w14:textId="4F6A1ACE" w:rsidR="00E2359E" w:rsidRPr="00CC6CA3" w:rsidRDefault="00E2359E" w:rsidP="00E2359E">
      <w:r w:rsidRPr="00CC6CA3">
        <w:t xml:space="preserve">The latest research on quantitative methods based on data mainly focuses on fault detection of bearings, gearboxes and turbines </w:t>
      </w:r>
      <w:r w:rsidRPr="00CC6CA3">
        <w:fldChar w:fldCharType="begin"/>
      </w:r>
      <w:r w:rsidR="007D1BCC" w:rsidRPr="00CC6CA3">
        <w:instrText xml:space="preserve"> ADDIN ZOTERO_ITEM CSL_CITATION {"citationID":"01HirUDg","properties":{"formattedCitation":"[105], [106], [117], [118]","plainCitation":"[105], [106], [117], [118]","noteIndex":0},"citationItems":[{"id":292,"uris":["http://zotero.org/users/3051968/items/E6ENJ9WR"],"uri":["http://zotero.org/users/3051968/items/E6ENJ9WR"],"itemData":{"id":292,"type":"article-journal","abstract":"Gearbox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Bertling"}],"issued":{"date-parts":[["2015",3]]}}},{"id":289,"uris":["http://zotero.org/users/3051968/items/6I2JVAZ7"],"uri":["http://zotero.org/users/3051968/items/6I2JVAZ7"],"itemData":{"id":289,"type":"article-journal","container-title":"Wind Energy","issue":"8","page":"1421–1438","source":"Google Scholar","title":"An artificial neural network-based condition monitoring method for wind turbines, with application to the monitoring of the gearbox","volume":"20","author":[{"family":"Bangalore","given":"P."},{"family":"Letzgus","given":"S."},{"family":"Karlsson","given":"D."},{"family":"Patriksson","given":"M."}],"issued":{"date-parts":[["2017"]]}}},{"id":293,"uris":["http://zotero.org/users/3051968/items/3IA5AWPD"],"uri":["http://zotero.org/users/3051968/items/3IA5AWPD"],"itemData":{"id":293,"type":"article-journal","container-title":"Mechanical Systems and Signal Processing","page":"460–493","source":"Google Scholar","title":"Research on variational mode decomposition in rolling bearings fault diagnosis of the multistage centrifugal pump","volume":"93","author":[{"family":"Zhang","given":"Ming"},{"family":"Jiang","given":"Zhinong"},{"family":"Feng","given":"Kun"}],"issued":{"date-parts":[["2017"]]}}},{"id":294,"uris":["http://zotero.org/users/3051968/items/CKHYDF3T"],"uri":["http://zotero.org/users/3051968/items/CKHYDF3T"],"itemData":{"id":294,"type":"article-journal","container-title":"Journal of vibration and acoustics","issue":"3","page":"303–310","source":"Google Scholar","title":"Wavelet analysis and envelope detection for rolling element bearing fault diagnosis—their effectiveness and flexibilities","volume":"123","author":[{"family":"Peter","given":"W. Tse"},{"family":"Peng","given":"Y. H."},{"family":"Yam","given":"Richard","non-dropping-particle":"and"}],"issued":{"date-parts":[["2001"]]}}}],"schema":"https://github.com/citation-style-language/schema/raw/master/csl-citation.json"} </w:instrText>
      </w:r>
      <w:r w:rsidRPr="00CC6CA3">
        <w:fldChar w:fldCharType="separate"/>
      </w:r>
      <w:r w:rsidR="007D1BCC" w:rsidRPr="00CC6CA3">
        <w:rPr>
          <w:rFonts w:cs="Times New Roman"/>
        </w:rPr>
        <w:t>[105], [106], [117], [118]</w:t>
      </w:r>
      <w:r w:rsidRPr="00CC6CA3">
        <w:fldChar w:fldCharType="end"/>
      </w:r>
      <w:r w:rsidRPr="00CC6CA3">
        <w:t xml:space="preserve">. </w:t>
      </w:r>
      <w:r w:rsidR="003C2A91" w:rsidRPr="00CC6CA3">
        <w:t>A limited number of papers can be found on fault detection models for pumps and compressors</w:t>
      </w:r>
      <w:r w:rsidRPr="00CC6CA3">
        <w:t xml:space="preserve">. For example, Sakthivel et al. </w:t>
      </w:r>
      <w:r w:rsidRPr="00CC6CA3">
        <w:fldChar w:fldCharType="begin"/>
      </w:r>
      <w:r w:rsidR="007D1BCC" w:rsidRPr="00CC6CA3">
        <w:instrText xml:space="preserve"> ADDIN ZOTERO_ITEM CSL_CITATION {"citationID":"and1vqpitj","properties":{"formattedCitation":"[119]","plainCitation":"[119]","noteIndex":0},"citationItems":[{"id":209,"uris":["http://zotero.org/users/3051968/items/8KM5PQRI"],"uri":["http://zotero.org/users/3051968/items/8KM5PQRI"],"itemData":{"id":209,"type":"article-journal","container-title":"Expert Systems with Applications","issue":"6","page":"4040–4049","source":"Google Scholar","title":"Vibration based fault diagnosis of monoblock centrifugal pump using decision tree","volume":"37","author":[{"family":"Sakthivel","given":"N. R."},{"family":"Sugumaran","given":"V."},{"family":"Babudevasenapati","given":"S."}],"issued":{"date-parts":[["2010"]]}}}],"schema":"https://github.com/citation-style-language/schema/raw/master/csl-citation.json"} </w:instrText>
      </w:r>
      <w:r w:rsidRPr="00CC6CA3">
        <w:fldChar w:fldCharType="separate"/>
      </w:r>
      <w:r w:rsidR="007D1BCC" w:rsidRPr="00CC6CA3">
        <w:rPr>
          <w:rFonts w:cs="Times New Roman"/>
        </w:rPr>
        <w:t>[119]</w:t>
      </w:r>
      <w:r w:rsidRPr="00CC6CA3">
        <w:fldChar w:fldCharType="end"/>
      </w:r>
      <w:r w:rsidRPr="00CC6CA3">
        <w:t xml:space="preserve"> used a decision tree method on vibration signals to detect five types of faults in pumps, including bearings fault, impeller fault, a combination of both, seal defects, and pump cavitation. Tse et al. </w:t>
      </w:r>
      <w:r w:rsidRPr="00CC6CA3">
        <w:fldChar w:fldCharType="begin"/>
      </w:r>
      <w:r w:rsidR="007D1BCC" w:rsidRPr="00CC6CA3">
        <w:instrText xml:space="preserve"> ADDIN ZOTERO_ITEM CSL_CITATION {"citationID":"PdgUN4Iq","properties":{"formattedCitation":"[118]","plainCitation":"[118]","noteIndex":0},"citationItems":[{"id":294,"uris":["http://zotero.org/users/3051968/items/CKHYDF3T"],"uri":["http://zotero.org/users/3051968/items/CKHYDF3T"],"itemData":{"id":294,"type":"article-journal","container-title":"Journal of vibration and acoustics","issue":"3","page":"303–310","source":"Google Scholar","title":"Wavelet analysis and envelope detection for rolling element bearing fault diagnosis—their effectiveness and flexibilities","volume":"123","author":[{"family":"Peter","given":"W. Tse"},{"family":"Peng","given":"Y. H."},{"family":"Yam","given":"Richard","non-dropping-particle":"and"}],"issued":{"date-parts":[["2001"]]}}}],"schema":"https://github.com/citation-style-language/schema/raw/master/csl-citation.json"} </w:instrText>
      </w:r>
      <w:r w:rsidRPr="00CC6CA3">
        <w:fldChar w:fldCharType="separate"/>
      </w:r>
      <w:r w:rsidR="007D1BCC" w:rsidRPr="00CC6CA3">
        <w:rPr>
          <w:rFonts w:cs="Times New Roman"/>
        </w:rPr>
        <w:t>[118]</w:t>
      </w:r>
      <w:r w:rsidRPr="00CC6CA3">
        <w:fldChar w:fldCharType="end"/>
      </w:r>
      <w:r w:rsidRPr="00CC6CA3">
        <w:t xml:space="preserve"> conducted wavelet analysis on vibration signals and found that wavelet analysis can make it easier for machine operators to detect some types of bearing faults, which cannot be achieved by the fast Fourier transform with envelope analysis. Zouari et al. </w:t>
      </w:r>
      <w:r w:rsidRPr="00CC6CA3">
        <w:fldChar w:fldCharType="begin"/>
      </w:r>
      <w:r w:rsidR="007D1BCC" w:rsidRPr="00CC6CA3">
        <w:instrText xml:space="preserve"> ADDIN ZOTERO_ITEM CSL_CITATION {"citationID":"caD3DHQV","properties":{"formattedCitation":"[120]","plainCitation":"[120]","noteIndex":0},"citationItems":[{"id":902,"uris":["http://zotero.org/users/3051968/items/Q6EUT9NR"],"uri":["http://zotero.org/users/3051968/items/Q6EUT9NR"],"itemData":{"id":902,"type":"article-journal","container-title":"Surveillance","page":"11–13","source":"Google Scholar","title":"Fault detection system for centrifugal pumps using neural networks and neuro-fuzzy techniques","volume":"5","author":[{"family":"Zouari","given":"Rafik"},{"family":"Sieg-Zieba","given":"Sophie"},{"family":"Sidahmed","given":"Menad"}],"issued":{"date-parts":[["2004"]]}}}],"schema":"https://github.com/citation-style-language/schema/raw/master/csl-citation.json"} </w:instrText>
      </w:r>
      <w:r w:rsidRPr="00CC6CA3">
        <w:fldChar w:fldCharType="separate"/>
      </w:r>
      <w:r w:rsidR="007D1BCC" w:rsidRPr="00CC6CA3">
        <w:rPr>
          <w:rFonts w:cs="Times New Roman"/>
        </w:rPr>
        <w:t>[120]</w:t>
      </w:r>
      <w:r w:rsidRPr="00CC6CA3">
        <w:fldChar w:fldCharType="end"/>
      </w:r>
      <w:r w:rsidRPr="00CC6CA3">
        <w:t xml:space="preserve"> </w:t>
      </w:r>
      <w:r w:rsidR="003C2A91" w:rsidRPr="00CC6CA3">
        <w:t>developed a real-time fault detection tool for centrifugal pumps using a neural and fuzzy technology system based on vibration measurement. The tool was able to detect several failure modes, including partial flow, loosening of front/rear pump attachments, misalignment, cavitation, and air injection into the air intake</w:t>
      </w:r>
      <w:r w:rsidRPr="00CC6CA3">
        <w:t>.</w:t>
      </w:r>
    </w:p>
    <w:p w14:paraId="209EC686" w14:textId="4ECE99F0" w:rsidR="00E2359E" w:rsidRPr="00CC6CA3" w:rsidRDefault="003C2A91" w:rsidP="00E2359E">
      <w:r w:rsidRPr="00CC6CA3">
        <w:t>However</w:t>
      </w:r>
      <w:r w:rsidRPr="00CC6CA3">
        <w:rPr>
          <w:lang w:val="en-US"/>
        </w:rPr>
        <w:t xml:space="preserve">, challenges in detecting faults in compressors and pumps remain. For example, </w:t>
      </w:r>
      <w:r w:rsidRPr="00CC6CA3">
        <w:t xml:space="preserve">most of the references mentioned above mainly focused on vibration-based techniques, mostly detecting faults on specific components, lacking an inherent system-wide perspective. </w:t>
      </w:r>
      <w:r w:rsidRPr="00CC6CA3">
        <w:lastRenderedPageBreak/>
        <w:t>Currently, there is a general trend to construct a system-wide health monitoring system using multivariate operating data</w:t>
      </w:r>
      <w:r w:rsidR="00E2359E" w:rsidRPr="00CC6CA3">
        <w:t>.</w:t>
      </w:r>
    </w:p>
    <w:p w14:paraId="0632D1CF" w14:textId="628A301B" w:rsidR="00E2359E" w:rsidRPr="00CC6CA3" w:rsidRDefault="003C2A91" w:rsidP="00E2359E">
      <w:r w:rsidRPr="00CC6CA3">
        <w:rPr>
          <w:lang w:val="en-US"/>
        </w:rPr>
        <w:t xml:space="preserve">The applications of </w:t>
      </w:r>
      <w:r w:rsidRPr="00CC6CA3">
        <w:t xml:space="preserve">PCA and ANN (especially NARX and SAE) for successful fault detection using simulated data, data obtained from laboratory test rigs or data captured from real industrial processes </w:t>
      </w:r>
      <w:r w:rsidR="00E2359E" w:rsidRPr="00CC6CA3">
        <w:fldChar w:fldCharType="begin"/>
      </w:r>
      <w:r w:rsidR="007D1BCC" w:rsidRPr="00CC6CA3">
        <w:instrText xml:space="preserve"> ADDIN ZOTERO_ITEM CSL_CITATION {"citationID":"xM9UV45Z","properties":{"formattedCitation":"[93], [105], [106]","plainCitation":"[93], [105], [106]","noteIndex":0},"citationItems":[{"id":880,"uris":["http://zotero.org/users/3051968/items/PEUUILJH"],"uri":["http://zotero.org/users/3051968/items/PEUUILJH"],"itemData":{"id":880,"type":"book","publisher":"Routledge","source":"Google Scholar","title":"Statistical process control","author":[{"family":"Oakland","given":"John S."}],"issued":{"date-parts":[["2007"]]}}},{"id":292,"uris":["http://zotero.org/users/3051968/items/E6ENJ9WR"],"uri":["http://zotero.org/users/3051968/items/E6ENJ9WR"],"itemData":{"id":292,"type":"article-journal","abstract":"Gearbox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Bertling"}],"issued":{"date-parts":[["2015",3]]}}},{"id":289,"uris":["http://zotero.org/users/3051968/items/6I2JVAZ7"],"uri":["http://zotero.org/users/3051968/items/6I2JVAZ7"],"itemData":{"id":289,"type":"article-journal","container-title":"Wind Energy","issue":"8","page":"1421–1438","source":"Google Scholar","title":"An artificial neural network-based condition monitoring method for wind turbines, with application to the monitoring of the gearbox","volume":"20","author":[{"family":"Bangalore","given":"P."},{"family":"Letzgus","given":"S."},{"family":"Karlsson","given":"D."},{"family":"Patriksson","given":"M."}],"issued":{"date-parts":[["2017"]]}}}],"schema":"https://github.com/citation-style-language/schema/raw/master/csl-citation.json"} </w:instrText>
      </w:r>
      <w:r w:rsidR="00E2359E" w:rsidRPr="00CC6CA3">
        <w:fldChar w:fldCharType="separate"/>
      </w:r>
      <w:r w:rsidR="007D1BCC" w:rsidRPr="00CC6CA3">
        <w:rPr>
          <w:rFonts w:cs="Times New Roman"/>
        </w:rPr>
        <w:t>[93], [105], [106]</w:t>
      </w:r>
      <w:r w:rsidR="00E2359E" w:rsidRPr="00CC6CA3">
        <w:fldChar w:fldCharType="end"/>
      </w:r>
      <w:r w:rsidR="00E2359E" w:rsidRPr="00CC6CA3">
        <w:t xml:space="preserve"> </w:t>
      </w:r>
      <w:r w:rsidRPr="00CC6CA3">
        <w:t xml:space="preserve">is noted, and in </w:t>
      </w:r>
      <w:r w:rsidRPr="00CC6CA3">
        <w:rPr>
          <w:lang w:val="en-US"/>
        </w:rPr>
        <w:t xml:space="preserve">Chapter 4 of this thesis, we </w:t>
      </w:r>
      <w:r w:rsidRPr="00CC6CA3">
        <w:t xml:space="preserve">will explore the capacity of </w:t>
      </w:r>
      <w:r w:rsidRPr="00CC6CA3">
        <w:rPr>
          <w:lang w:val="en-US"/>
        </w:rPr>
        <w:t xml:space="preserve">PCA, NARX, and SAE </w:t>
      </w:r>
      <w:r w:rsidRPr="00CC6CA3">
        <w:t>to detect faults and identify faulty components in industrial compressors and pumps, and to develop a system-wide feature</w:t>
      </w:r>
      <w:r w:rsidR="00E2359E" w:rsidRPr="00CC6CA3">
        <w:t>.</w:t>
      </w:r>
    </w:p>
    <w:p w14:paraId="66A79E7B" w14:textId="77777777" w:rsidR="00E2359E" w:rsidRPr="00CC6CA3" w:rsidRDefault="00E2359E" w:rsidP="00E2359E">
      <w:pPr>
        <w:pStyle w:val="Heading3"/>
      </w:pPr>
      <w:bookmarkStart w:id="144" w:name="_Toc81553256"/>
      <w:r w:rsidRPr="00CC6CA3">
        <w:t>Calculation of probability of fault in risk assessment</w:t>
      </w:r>
      <w:bookmarkEnd w:id="144"/>
    </w:p>
    <w:p w14:paraId="4777BBEF" w14:textId="64A8681B" w:rsidR="00E2359E" w:rsidRPr="00CC6CA3" w:rsidRDefault="00E2359E" w:rsidP="00E2359E">
      <w:pPr>
        <w:spacing w:before="120"/>
        <w:rPr>
          <w:rStyle w:val="mjxassistivemathml"/>
          <w:bdr w:val="none" w:sz="0" w:space="0" w:color="auto" w:frame="1"/>
        </w:rPr>
      </w:pPr>
      <w:r w:rsidRPr="00CC6CA3">
        <w:t xml:space="preserve">In conventional RBM, the </w:t>
      </w:r>
      <m:oMath>
        <m:r>
          <w:rPr>
            <w:rStyle w:val="mjxassistivemathml"/>
            <w:rFonts w:ascii="Cambria Math" w:hAnsi="Cambria Math"/>
            <w:bdr w:val="none" w:sz="0" w:space="0" w:color="auto" w:frame="1"/>
          </w:rPr>
          <m:t>POF</m:t>
        </m:r>
      </m:oMath>
      <w:r w:rsidRPr="00CC6CA3">
        <w:rPr>
          <w:rStyle w:val="mjxassistivemathml"/>
          <w:bdr w:val="none" w:sz="0" w:space="0" w:color="auto" w:frame="1"/>
        </w:rPr>
        <w:t xml:space="preserve"> is </w:t>
      </w:r>
      <w:r w:rsidRPr="00CC6CA3">
        <w:t xml:space="preserve">the probability of </w:t>
      </w:r>
      <w:r w:rsidR="00084A15" w:rsidRPr="00CC6CA3">
        <w:t>an</w:t>
      </w:r>
      <w:r w:rsidRPr="00CC6CA3">
        <w:t xml:space="preserve"> unwanted event. In the </w:t>
      </w:r>
      <w:r w:rsidRPr="00CC6CA3">
        <w:rPr>
          <w:lang w:val="en-US"/>
        </w:rPr>
        <w:t xml:space="preserve">condition-based risk </w:t>
      </w:r>
      <w:r w:rsidRPr="00CC6CA3">
        <w:t>assessment</w:t>
      </w:r>
      <w:r w:rsidRPr="00CC6CA3">
        <w:rPr>
          <w:lang w:val="en-US"/>
        </w:rPr>
        <w:t xml:space="preserve"> strategy, the </w:t>
      </w:r>
      <m:oMath>
        <m:r>
          <w:rPr>
            <w:rStyle w:val="mjxassistivemathml"/>
            <w:rFonts w:ascii="Cambria Math" w:hAnsi="Cambria Math"/>
            <w:bdr w:val="none" w:sz="0" w:space="0" w:color="auto" w:frame="1"/>
          </w:rPr>
          <m:t>POF</m:t>
        </m:r>
      </m:oMath>
      <w:r w:rsidRPr="00CC6CA3">
        <w:rPr>
          <w:rStyle w:val="mjxassistivemathml"/>
          <w:bdr w:val="none" w:sz="0" w:space="0" w:color="auto" w:frame="1"/>
        </w:rPr>
        <w:t xml:space="preserve"> is defined as </w:t>
      </w:r>
      <w:r w:rsidRPr="00CC6CA3">
        <w:rPr>
          <w:lang w:val="en-US"/>
        </w:rPr>
        <w:t xml:space="preserve">the probability of </w:t>
      </w:r>
      <w:r w:rsidR="00084A15" w:rsidRPr="00CC6CA3">
        <w:rPr>
          <w:lang w:val="en-US"/>
        </w:rPr>
        <w:t xml:space="preserve">a </w:t>
      </w:r>
      <w:r w:rsidRPr="00CC6CA3">
        <w:rPr>
          <w:lang w:val="en-US"/>
        </w:rPr>
        <w:t>fault.</w:t>
      </w:r>
      <w:r w:rsidRPr="00CC6CA3">
        <w:rPr>
          <w:rStyle w:val="mjxassistivemathml"/>
          <w:bdr w:val="none" w:sz="0" w:space="0" w:color="auto" w:frame="1"/>
        </w:rPr>
        <w:t xml:space="preserve"> </w:t>
      </w:r>
    </w:p>
    <w:p w14:paraId="3DDB8C84" w14:textId="3EE9FD34" w:rsidR="00E2359E" w:rsidRPr="00CC6CA3" w:rsidRDefault="00084A15" w:rsidP="00E2359E">
      <w:pPr>
        <w:spacing w:before="120"/>
        <w:rPr>
          <w:lang w:val="en-US"/>
        </w:rPr>
      </w:pPr>
      <w:r w:rsidRPr="00CC6CA3">
        <w:rPr>
          <w:rStyle w:val="mjxassistivemathml"/>
          <w:bdr w:val="none" w:sz="0" w:space="0" w:color="auto" w:frame="1"/>
        </w:rPr>
        <w:t>There have been</w:t>
      </w:r>
      <w:r w:rsidRPr="00CC6CA3">
        <w:t xml:space="preserve"> a few attempts at </w:t>
      </w:r>
      <w:r w:rsidRPr="00CC6CA3">
        <w:rPr>
          <w:lang w:val="en-US"/>
        </w:rPr>
        <w:t xml:space="preserve">condition-based risk assessment strategy. Bao et al. </w:t>
      </w:r>
      <w:r w:rsidR="00E2359E" w:rsidRPr="00CC6CA3">
        <w:fldChar w:fldCharType="begin"/>
      </w:r>
      <w:r w:rsidR="007D1BCC" w:rsidRPr="00CC6CA3">
        <w:instrText xml:space="preserve"> ADDIN ZOTERO_ITEM CSL_CITATION {"citationID":"exWy5FH1","properties":{"formattedCitation":"[121]","plainCitation":"[121]","noteIndex":0},"citationItems":[{"id":870,"uris":["http://zotero.org/users/3051968/items/DCAA7IZN"],"uri":["http://zotero.org/users/3051968/items/DCAA7IZN"],"itemData":{"id":870,"type":"article-journal","container-title":"Process Safety Progress","issue":"1","note":"publisher: Wiley Online Library","page":"6–17","source":"Google Scholar","title":"Risk-based fault diagnosis and safety management for process systems","volume":"30","author":[{"family":"Bao","given":"Huizhi"},{"family":"Khan","given":"Faisal"},{"family":"Iqbal","given":"Tariq"},{"family":"Chang","given":"Yanjun"}],"issued":{"date-parts":[["2011"]]}}}],"schema":"https://github.com/citation-style-language/schema/raw/master/csl-citation.json"} </w:instrText>
      </w:r>
      <w:r w:rsidR="00E2359E" w:rsidRPr="00CC6CA3">
        <w:fldChar w:fldCharType="separate"/>
      </w:r>
      <w:r w:rsidR="007D1BCC" w:rsidRPr="00CC6CA3">
        <w:rPr>
          <w:rFonts w:cs="Times New Roman"/>
        </w:rPr>
        <w:t>[121]</w:t>
      </w:r>
      <w:r w:rsidR="00E2359E" w:rsidRPr="00CC6CA3">
        <w:fldChar w:fldCharType="end"/>
      </w:r>
      <w:r w:rsidR="00E2359E" w:rsidRPr="00CC6CA3">
        <w:t xml:space="preserve"> </w:t>
      </w:r>
      <w:r w:rsidRPr="00CC6CA3">
        <w:t xml:space="preserve">applied a control chart method in risk calculation where the </w:t>
      </w:r>
      <m:oMath>
        <m:r>
          <w:rPr>
            <w:rStyle w:val="mjxassistivemathml"/>
            <w:rFonts w:ascii="Cambria Math" w:hAnsi="Cambria Math"/>
            <w:bdr w:val="none" w:sz="0" w:space="0" w:color="auto" w:frame="1"/>
          </w:rPr>
          <m:t>POF</m:t>
        </m:r>
      </m:oMath>
      <w:r w:rsidRPr="00CC6CA3">
        <w:rPr>
          <w:rStyle w:val="mjxassistivemathml"/>
          <w:bdr w:val="none" w:sz="0" w:space="0" w:color="auto" w:frame="1"/>
        </w:rPr>
        <w:t xml:space="preserve"> ranged from 0 to 1, and was estimated based on the deviation of a selected signal from its threshold. The selected signal </w:t>
      </w:r>
      <w:r w:rsidRPr="00CC6CA3">
        <w:t>should</w:t>
      </w:r>
      <w:r w:rsidRPr="00CC6CA3">
        <w:rPr>
          <w:rStyle w:val="mjxassistivemathml"/>
          <w:bdr w:val="none" w:sz="0" w:space="0" w:color="auto" w:frame="1"/>
        </w:rPr>
        <w:t xml:space="preserve"> be sensitive to the changing of health conditions of the machine; however, as machinery becomes increasingly sophisticated, the fault types are becoming more diverse, and sometimes, one signal may not provide enough information for early fault detection. Therefore, the </w:t>
      </w:r>
      <m:oMath>
        <m:r>
          <w:rPr>
            <w:rStyle w:val="mjxassistivemathml"/>
            <w:rFonts w:ascii="Cambria Math" w:hAnsi="Cambria Math"/>
            <w:bdr w:val="none" w:sz="0" w:space="0" w:color="auto" w:frame="1"/>
          </w:rPr>
          <m:t>POF</m:t>
        </m:r>
      </m:oMath>
      <w:r w:rsidRPr="00CC6CA3">
        <w:rPr>
          <w:rStyle w:val="mjxassistivemathml"/>
          <w:bdr w:val="none" w:sz="0" w:space="0" w:color="auto" w:frame="1"/>
        </w:rPr>
        <w:t xml:space="preserve"> calculated by this method is not so useful </w:t>
      </w:r>
      <w:r w:rsidRPr="00CC6CA3">
        <w:rPr>
          <w:rStyle w:val="mjxassistivemathml"/>
          <w:rFonts w:hint="eastAsia"/>
          <w:bdr w:val="none" w:sz="0" w:space="0" w:color="auto" w:frame="1"/>
        </w:rPr>
        <w:t>in</w:t>
      </w:r>
      <w:r w:rsidRPr="00CC6CA3">
        <w:rPr>
          <w:rStyle w:val="mjxassistivemathml"/>
          <w:bdr w:val="none" w:sz="0" w:space="0" w:color="auto" w:frame="1"/>
        </w:rPr>
        <w:t xml:space="preserve"> condition-based risk assessment</w:t>
      </w:r>
      <w:r w:rsidR="00E2359E" w:rsidRPr="00CC6CA3">
        <w:rPr>
          <w:rStyle w:val="mjxassistivemathml"/>
          <w:bdr w:val="none" w:sz="0" w:space="0" w:color="auto" w:frame="1"/>
        </w:rPr>
        <w:t>.</w:t>
      </w:r>
    </w:p>
    <w:p w14:paraId="2AAA6884" w14:textId="21FACF1C" w:rsidR="00E2359E" w:rsidRPr="00CC6CA3" w:rsidRDefault="00E2359E" w:rsidP="00E2359E">
      <w:pPr>
        <w:spacing w:before="120"/>
        <w:rPr>
          <w:rStyle w:val="mjxassistivemathml"/>
          <w:bdr w:val="none" w:sz="0" w:space="0" w:color="auto" w:frame="1"/>
        </w:rPr>
      </w:pPr>
      <w:r w:rsidRPr="00CC6CA3">
        <w:rPr>
          <w:lang w:val="en-US"/>
        </w:rPr>
        <w:t>Zadakbar et al.</w:t>
      </w:r>
      <w:r w:rsidRPr="00CC6CA3">
        <w:rPr>
          <w:lang w:val="en-US"/>
        </w:rPr>
        <w:fldChar w:fldCharType="begin"/>
      </w:r>
      <w:r w:rsidR="007D1BCC" w:rsidRPr="00CC6CA3">
        <w:rPr>
          <w:lang w:val="en-US"/>
        </w:rPr>
        <w:instrText xml:space="preserve"> ADDIN ZOTERO_ITEM CSL_CITATION {"citationID":"lHWav8uO","properties":{"formattedCitation":"[122]","plainCitation":"[122]","noteIndex":0},"citationItems":[{"id":865,"uris":["http://zotero.org/users/3051968/items/UZ3QMX2Z"],"uri":["http://zotero.org/users/3051968/items/UZ3QMX2Z"],"itemData":{"id":865,"type":"article-journal","container-title":"Process Safety Progress","issue":"4","note":"publisher: Wiley Online Library","page":"365–375","source":"Google Scholar","title":"Dynamic risk assessment and fault detection using a multivariate technique","volume":"32","author":[{"family":"Zadakbar","given":"O."},{"family":"Imtiaz","given":"S."},{"family":"Khan","given":"F."}],"issued":{"date-parts":[["2013"]]}}}],"schema":"https://github.com/citation-style-language/schema/raw/master/csl-citation.json"} </w:instrText>
      </w:r>
      <w:r w:rsidRPr="00CC6CA3">
        <w:rPr>
          <w:lang w:val="en-US"/>
        </w:rPr>
        <w:fldChar w:fldCharType="separate"/>
      </w:r>
      <w:r w:rsidR="007D1BCC" w:rsidRPr="00CC6CA3">
        <w:rPr>
          <w:rFonts w:cs="Times New Roman"/>
        </w:rPr>
        <w:t>[122]</w:t>
      </w:r>
      <w:r w:rsidRPr="00CC6CA3">
        <w:rPr>
          <w:lang w:val="en-US"/>
        </w:rPr>
        <w:fldChar w:fldCharType="end"/>
      </w:r>
      <w:r w:rsidRPr="00CC6CA3">
        <w:rPr>
          <w:lang w:val="en-US"/>
        </w:rPr>
        <w:t xml:space="preserve"> extended the univariate risk assessment method to a multivariate model. </w:t>
      </w:r>
      <w:r w:rsidRPr="00CC6CA3">
        <w:t xml:space="preserve">The </w:t>
      </w:r>
      <m:oMath>
        <m:r>
          <w:rPr>
            <w:rStyle w:val="mjxassistivemathml"/>
            <w:rFonts w:ascii="Cambria Math" w:hAnsi="Cambria Math"/>
            <w:bdr w:val="none" w:sz="0" w:space="0" w:color="auto" w:frame="1"/>
          </w:rPr>
          <m:t>POF</m:t>
        </m:r>
      </m:oMath>
      <w:r w:rsidRPr="00CC6CA3">
        <w:rPr>
          <w:rStyle w:val="mjxassistivemathml"/>
          <w:bdr w:val="none" w:sz="0" w:space="0" w:color="auto" w:frame="1"/>
        </w:rPr>
        <w:t xml:space="preserve"> was calculated based on the residuals generated from the Kalman filter. As can be seen in </w:t>
      </w:r>
      <w:r w:rsidRPr="00CC6CA3">
        <w:rPr>
          <w:rStyle w:val="mjxassistivemathml"/>
          <w:bdr w:val="none" w:sz="0" w:space="0" w:color="auto" w:frame="1"/>
        </w:rPr>
        <w:fldChar w:fldCharType="begin"/>
      </w:r>
      <w:r w:rsidRPr="00CC6CA3">
        <w:rPr>
          <w:rStyle w:val="mjxassistivemathml"/>
          <w:bdr w:val="none" w:sz="0" w:space="0" w:color="auto" w:frame="1"/>
        </w:rPr>
        <w:instrText xml:space="preserve"> REF _Ref45116119 \h </w:instrText>
      </w:r>
      <w:r w:rsidRPr="00CC6CA3">
        <w:rPr>
          <w:rStyle w:val="mjxassistivemathml"/>
          <w:bdr w:val="none" w:sz="0" w:space="0" w:color="auto" w:frame="1"/>
        </w:rPr>
      </w:r>
      <w:r w:rsidRPr="00CC6CA3">
        <w:rPr>
          <w:rStyle w:val="mjxassistivemathml"/>
          <w:bdr w:val="none" w:sz="0" w:space="0" w:color="auto" w:frame="1"/>
        </w:rPr>
        <w:fldChar w:fldCharType="separate"/>
      </w:r>
      <w:r w:rsidR="001906D9" w:rsidRPr="00CC6CA3">
        <w:t xml:space="preserve">Figure </w:t>
      </w:r>
      <w:r w:rsidR="001906D9" w:rsidRPr="00CC6CA3">
        <w:rPr>
          <w:noProof/>
        </w:rPr>
        <w:t>2</w:t>
      </w:r>
      <w:r w:rsidR="001906D9" w:rsidRPr="00CC6CA3">
        <w:t>.</w:t>
      </w:r>
      <w:r w:rsidR="001906D9" w:rsidRPr="00CC6CA3">
        <w:rPr>
          <w:noProof/>
        </w:rPr>
        <w:t>9</w:t>
      </w:r>
      <w:r w:rsidRPr="00CC6CA3">
        <w:rPr>
          <w:rStyle w:val="mjxassistivemathml"/>
          <w:bdr w:val="none" w:sz="0" w:space="0" w:color="auto" w:frame="1"/>
        </w:rPr>
        <w:fldChar w:fldCharType="end"/>
      </w:r>
      <w:r w:rsidRPr="00CC6CA3">
        <w:rPr>
          <w:rStyle w:val="mjxassistivemathml"/>
          <w:bdr w:val="none" w:sz="0" w:space="0" w:color="auto" w:frame="1"/>
        </w:rPr>
        <w:t xml:space="preserve">, the </w:t>
      </w:r>
      <w:r w:rsidR="00084A15" w:rsidRPr="00CC6CA3">
        <w:rPr>
          <w:rStyle w:val="mjxassistivemathml"/>
          <w:bdr w:val="none" w:sz="0" w:space="0" w:color="auto" w:frame="1"/>
        </w:rPr>
        <w:t>Kalman filter is a model-based fault detection method; hence, the accuracy and effectiveness of the method depend on the availability as well as the accuracy of the model</w:t>
      </w:r>
      <w:r w:rsidRPr="00CC6CA3">
        <w:rPr>
          <w:rStyle w:val="mjxassistivemathml"/>
          <w:bdr w:val="none" w:sz="0" w:space="0" w:color="auto" w:frame="1"/>
        </w:rPr>
        <w:t xml:space="preserve">. </w:t>
      </w:r>
    </w:p>
    <w:p w14:paraId="66784B25" w14:textId="4CF77045" w:rsidR="00E2359E" w:rsidRPr="00CC6CA3" w:rsidRDefault="00E2359E" w:rsidP="00E2359E">
      <w:pPr>
        <w:spacing w:before="120"/>
        <w:rPr>
          <w:lang w:val="en-US"/>
        </w:rPr>
      </w:pPr>
      <w:r w:rsidRPr="00CC6CA3">
        <w:rPr>
          <w:lang w:val="en-US"/>
        </w:rPr>
        <w:t xml:space="preserve">Zadakbar et al. </w:t>
      </w:r>
      <w:r w:rsidRPr="00CC6CA3">
        <w:rPr>
          <w:lang w:val="en-US"/>
        </w:rPr>
        <w:fldChar w:fldCharType="begin"/>
      </w:r>
      <w:r w:rsidR="007D1BCC" w:rsidRPr="00CC6CA3">
        <w:rPr>
          <w:lang w:val="en-US"/>
        </w:rPr>
        <w:instrText xml:space="preserve"> ADDIN ZOTERO_ITEM CSL_CITATION {"citationID":"oYoJcANU","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rPr>
          <w:lang w:val="en-US"/>
        </w:rPr>
        <w:fldChar w:fldCharType="separate"/>
      </w:r>
      <w:r w:rsidR="007D1BCC" w:rsidRPr="00CC6CA3">
        <w:rPr>
          <w:rFonts w:cs="Times New Roman"/>
        </w:rPr>
        <w:t>[94]</w:t>
      </w:r>
      <w:r w:rsidRPr="00CC6CA3">
        <w:rPr>
          <w:lang w:val="en-US"/>
        </w:rPr>
        <w:fldChar w:fldCharType="end"/>
      </w:r>
      <w:r w:rsidRPr="00CC6CA3">
        <w:rPr>
          <w:lang w:val="en-US"/>
        </w:rPr>
        <w:t xml:space="preserve"> proposed a multivariate methodology to assess the process risk, with </w:t>
      </w:r>
      <m:oMath>
        <m:r>
          <w:rPr>
            <w:rFonts w:ascii="Cambria Math" w:hAnsi="Cambria Math"/>
            <w:lang w:val="en-US"/>
          </w:rPr>
          <m:t>POF</m:t>
        </m:r>
      </m:oMath>
      <w:r w:rsidRPr="00CC6CA3">
        <w:rPr>
          <w:lang w:val="en-US"/>
        </w:rPr>
        <w:t xml:space="preserve"> calculated by a data-driven fault detection method - PCA. </w:t>
      </w:r>
      <w:r w:rsidR="00993F54" w:rsidRPr="00CC6CA3">
        <w:rPr>
          <w:lang w:val="en-US"/>
        </w:rPr>
        <w:t xml:space="preserve">In this paper, the principal component, which was most sensitive to the fault, was selected to calculate the </w:t>
      </w:r>
      <m:oMath>
        <m:r>
          <w:rPr>
            <w:rFonts w:ascii="Cambria Math" w:hAnsi="Cambria Math"/>
            <w:lang w:val="en-US"/>
          </w:rPr>
          <m:t>POF</m:t>
        </m:r>
      </m:oMath>
      <w:r w:rsidR="00993F54" w:rsidRPr="00CC6CA3">
        <w:rPr>
          <w:lang w:val="en-US"/>
        </w:rPr>
        <w:t xml:space="preserve">. Other condition based </w:t>
      </w:r>
      <w:r w:rsidR="00993F54" w:rsidRPr="00CC6CA3">
        <w:t>risk</w:t>
      </w:r>
      <w:r w:rsidR="00993F54" w:rsidRPr="00CC6CA3">
        <w:rPr>
          <w:lang w:val="en-US"/>
        </w:rPr>
        <w:t xml:space="preserve"> assessment methods that used data-driven fault detection methods, include</w:t>
      </w:r>
      <w:r w:rsidRPr="00CC6CA3">
        <w:rPr>
          <w:lang w:val="en-US"/>
        </w:rPr>
        <w:t xml:space="preserve">: Yu et al. </w:t>
      </w:r>
      <w:r w:rsidRPr="00CC6CA3">
        <w:rPr>
          <w:lang w:val="en-US"/>
        </w:rPr>
        <w:fldChar w:fldCharType="begin"/>
      </w:r>
      <w:r w:rsidR="007D1BCC" w:rsidRPr="00CC6CA3">
        <w:rPr>
          <w:lang w:val="en-US"/>
        </w:rPr>
        <w:instrText xml:space="preserve"> ADDIN ZOTERO_ITEM CSL_CITATION {"citationID":"O174vVpz","properties":{"formattedCitation":"[123]","plainCitation":"[123]","noteIndex":0},"citationItems":[{"id":1067,"uris":["http://zotero.org/users/3051968/items/MQ3C6G6F"],"uri":["http://zotero.org/users/3051968/items/MQ3C6G6F"],"itemData":{"id":1067,"type":"article-journal","container-title":"Industrial &amp; Engineering Chemistry Research","issue":"21","note":"publisher: ACS Publications","page":"8831–8843","source":"Google Scholar","title":"Self-organizing map based fault diagnosis technique for non-Gaussian processes","volume":"53","author":[{"family":"Yu","given":"Hongyang"},{"family":"Khan","given":"Faisal"},{"family":"Garaniya","given":"Vikram"},{"family":"Ahmad","given":"Arshad"}],"issued":{"date-parts":[["2014"]]}}}],"schema":"https://github.com/citation-style-language/schema/raw/master/csl-citation.json"} </w:instrText>
      </w:r>
      <w:r w:rsidRPr="00CC6CA3">
        <w:rPr>
          <w:lang w:val="en-US"/>
        </w:rPr>
        <w:fldChar w:fldCharType="separate"/>
      </w:r>
      <w:r w:rsidR="007D1BCC" w:rsidRPr="00CC6CA3">
        <w:rPr>
          <w:rFonts w:cs="Times New Roman"/>
        </w:rPr>
        <w:t>[123]</w:t>
      </w:r>
      <w:r w:rsidRPr="00CC6CA3">
        <w:rPr>
          <w:lang w:val="en-US"/>
        </w:rPr>
        <w:fldChar w:fldCharType="end"/>
      </w:r>
      <w:r w:rsidRPr="00CC6CA3">
        <w:rPr>
          <w:lang w:val="en-US"/>
        </w:rPr>
        <w:t xml:space="preserve">, </w:t>
      </w:r>
      <w:r w:rsidR="00993F54" w:rsidRPr="00CC6CA3">
        <w:rPr>
          <w:lang w:val="en-US"/>
        </w:rPr>
        <w:t xml:space="preserve">who developed </w:t>
      </w:r>
      <w:r w:rsidRPr="00CC6CA3">
        <w:rPr>
          <w:lang w:val="en-US"/>
        </w:rPr>
        <w:t xml:space="preserve">a self-organising map based methodology; Wang et al. </w:t>
      </w:r>
      <w:r w:rsidRPr="00CC6CA3">
        <w:rPr>
          <w:lang w:val="en-US"/>
        </w:rPr>
        <w:fldChar w:fldCharType="begin"/>
      </w:r>
      <w:r w:rsidR="00854B0F" w:rsidRPr="00CC6CA3">
        <w:rPr>
          <w:lang w:val="en-US"/>
        </w:rPr>
        <w:instrText xml:space="preserve"> ADDIN ZOTERO_ITEM CSL_CITATION {"citationID":"qxSqapSQ","properties":{"formattedCitation":"[27]","plainCitation":"[27]","noteIndex":0},"citationItems":[{"id":867,"uris":["http://zotero.org/users/3051968/items/3SXZT2C4"],"uri":["http://zotero.org/users/3051968/items/3SXZT2C4"],"itemData":{"id":867,"type":"article-journal","abstract":"This paper presents a novel dynamic quantitative risk assessment method to analyze the operational performance of chemical processes. Unlike traditional methods, the proposed method estimates the probability of undesirable event occurrence by monitoring multiple key variables in the process. This probability is continuously updated considering real-time disturbances in the variables. The consequences are estimated using dynamic loss functions developed considering multiple key state variables. As a result, the process׳ operational performance is assessed dynamically in the form of quantitative risk (dollar) value. The quantitative dynamic risk value helps to make swift operational decisions to maintain the process within the safer operating limits, thus preventing untoward incidents/accidents. To demonstrate the efficacy of the proposed methodology, it is tested on two case studies, a simple tank system and the benchmark Tennessee Eastman process.","container-title":"Chemical Engineering Science","DOI":"10.1016/j.ces.2015.11.034","ISSN":"0009-2509","journalAbbreviation":"Chemical Engineering Science","language":"en","page":"62-78","source":"ScienceDirect","title":"Dynamic quantitative operational risk assessment of chemical processes","volume":"142","author":[{"family":"Wang","given":"Hangzhou"},{"family":"Khan","given":"Faisal"},{"family":"Ahmed","given":"Salim"},{"family":"Imtiaz","given":"Syed"}],"issued":{"date-parts":[["2016",3,13]]}}}],"schema":"https://github.com/citation-style-language/schema/raw/master/csl-citation.json"} </w:instrText>
      </w:r>
      <w:r w:rsidRPr="00CC6CA3">
        <w:rPr>
          <w:lang w:val="en-US"/>
        </w:rPr>
        <w:fldChar w:fldCharType="separate"/>
      </w:r>
      <w:r w:rsidR="00854B0F" w:rsidRPr="00CC6CA3">
        <w:rPr>
          <w:rFonts w:cs="Times New Roman"/>
        </w:rPr>
        <w:t>[27]</w:t>
      </w:r>
      <w:r w:rsidRPr="00CC6CA3">
        <w:rPr>
          <w:lang w:val="en-US"/>
        </w:rPr>
        <w:fldChar w:fldCharType="end"/>
      </w:r>
      <w:r w:rsidRPr="00CC6CA3">
        <w:rPr>
          <w:lang w:val="en-US"/>
        </w:rPr>
        <w:t xml:space="preserve">, </w:t>
      </w:r>
      <w:r w:rsidR="00993F54" w:rsidRPr="00CC6CA3">
        <w:rPr>
          <w:lang w:val="en-US"/>
        </w:rPr>
        <w:t xml:space="preserve">where the </w:t>
      </w:r>
      <m:oMath>
        <m:r>
          <w:rPr>
            <w:rFonts w:ascii="Cambria Math" w:hAnsi="Cambria Math"/>
            <w:lang w:val="en-US"/>
          </w:rPr>
          <m:t>POF</m:t>
        </m:r>
      </m:oMath>
      <w:r w:rsidRPr="00CC6CA3">
        <w:rPr>
          <w:lang w:val="en-US"/>
        </w:rPr>
        <w:t xml:space="preserve"> is calculated based on the estimated RUL </w:t>
      </w:r>
      <w:r w:rsidR="00993F54" w:rsidRPr="00CC6CA3">
        <w:rPr>
          <w:lang w:val="en-US"/>
        </w:rPr>
        <w:t>using an exponential</w:t>
      </w:r>
      <w:r w:rsidRPr="00CC6CA3">
        <w:rPr>
          <w:lang w:val="en-US"/>
        </w:rPr>
        <w:t xml:space="preserve"> distribution function.</w:t>
      </w:r>
    </w:p>
    <w:p w14:paraId="2FE7B750" w14:textId="6042E4D5" w:rsidR="00E2359E" w:rsidRPr="00CC6CA3" w:rsidRDefault="00E2359E" w:rsidP="00E2359E">
      <w:pPr>
        <w:spacing w:before="120"/>
      </w:pPr>
      <w:r w:rsidRPr="00CC6CA3">
        <w:rPr>
          <w:lang w:val="en-US"/>
        </w:rPr>
        <w:lastRenderedPageBreak/>
        <w:t xml:space="preserve">In the abovementioned methods, </w:t>
      </w:r>
      <m:oMath>
        <m:r>
          <w:rPr>
            <w:rFonts w:ascii="Cambria Math" w:hAnsi="Cambria Math"/>
            <w:lang w:val="en-US"/>
          </w:rPr>
          <m:t>POFs</m:t>
        </m:r>
      </m:oMath>
      <w:r w:rsidR="00521095" w:rsidRPr="00CC6CA3">
        <w:rPr>
          <w:lang w:val="en-US"/>
        </w:rPr>
        <w:t xml:space="preserve"> are mainly estimated based on the residual of features or deviations of a selected measurement</w:t>
      </w:r>
      <w:r w:rsidRPr="00CC6CA3">
        <w:rPr>
          <w:lang w:val="en-US"/>
        </w:rPr>
        <w:t xml:space="preserve">. A typical </w:t>
      </w:r>
      <m:oMath>
        <m:r>
          <w:rPr>
            <w:rFonts w:ascii="Cambria Math" w:hAnsi="Cambria Math"/>
            <w:lang w:val="en-US"/>
          </w:rPr>
          <m:t>POF</m:t>
        </m:r>
      </m:oMath>
      <w:r w:rsidRPr="00CC6CA3">
        <w:rPr>
          <w:lang w:val="en-US"/>
        </w:rPr>
        <w:t xml:space="preserve"> calculation process can be expressed by </w:t>
      </w:r>
      <w:r w:rsidRPr="00CC6CA3">
        <w:t xml:space="preserve">Equation </w:t>
      </w:r>
      <w:r w:rsidRPr="00CC6CA3">
        <w:fldChar w:fldCharType="begin"/>
      </w:r>
      <w:r w:rsidRPr="00CC6CA3">
        <w:instrText xml:space="preserve"> REF _Ref41858170 \h  \* MERGEFORMAT </w:instrText>
      </w:r>
      <w:r w:rsidRPr="00CC6CA3">
        <w:fldChar w:fldCharType="separate"/>
      </w:r>
      <w:r w:rsidR="001906D9" w:rsidRPr="00CC6CA3">
        <w:rPr>
          <w:rFonts w:hint="eastAsia"/>
        </w:rPr>
        <w:t>(</w:t>
      </w:r>
      <w:r w:rsidR="001906D9" w:rsidRPr="00CC6CA3">
        <w:t>2</w:t>
      </w:r>
      <w:r w:rsidR="001906D9" w:rsidRPr="00CC6CA3">
        <w:noBreakHyphen/>
        <w:t>9)</w:t>
      </w:r>
      <w:r w:rsidRPr="00CC6CA3">
        <w:fldChar w:fldCharType="end"/>
      </w:r>
      <w:r w:rsidRPr="00CC6CA3">
        <w:t xml:space="preserve"> to </w:t>
      </w:r>
      <w:r w:rsidRPr="00CC6CA3">
        <w:fldChar w:fldCharType="begin"/>
      </w:r>
      <w:r w:rsidRPr="00CC6CA3">
        <w:instrText xml:space="preserve"> REF _Ref41858185 \h  \* MERGEFORMAT </w:instrText>
      </w:r>
      <w:r w:rsidRPr="00CC6CA3">
        <w:fldChar w:fldCharType="separate"/>
      </w:r>
      <w:r w:rsidR="001906D9" w:rsidRPr="00CC6CA3">
        <w:rPr>
          <w:rFonts w:hint="eastAsia"/>
        </w:rPr>
        <w:t>(</w:t>
      </w:r>
      <w:r w:rsidR="001906D9" w:rsidRPr="00CC6CA3">
        <w:t>2</w:t>
      </w:r>
      <w:r w:rsidR="001906D9" w:rsidRPr="00CC6CA3">
        <w:noBreakHyphen/>
        <w:t>11)</w:t>
      </w:r>
      <w:r w:rsidRPr="00CC6CA3">
        <w:fldChar w:fldCharType="end"/>
      </w:r>
      <w:r w:rsidRPr="00CC6CA3">
        <w:t xml:space="preserve"> </w:t>
      </w:r>
      <w:r w:rsidRPr="00CC6CA3">
        <w:fldChar w:fldCharType="begin"/>
      </w:r>
      <w:r w:rsidR="007D1BCC" w:rsidRPr="00CC6CA3">
        <w:instrText xml:space="preserve"> ADDIN ZOTERO_ITEM CSL_CITATION {"citationID":"ExfcHCJZ","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009F07D5" w:rsidRPr="00CC6C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0"/>
        <w:gridCol w:w="1055"/>
      </w:tblGrid>
      <w:tr w:rsidR="00CC6CA3" w:rsidRPr="00CC6CA3" w14:paraId="4B1B4482" w14:textId="77777777" w:rsidTr="00F632C0">
        <w:tc>
          <w:tcPr>
            <w:tcW w:w="7700" w:type="dxa"/>
          </w:tcPr>
          <w:p w14:paraId="67704EFA" w14:textId="77777777" w:rsidR="00E2359E" w:rsidRPr="00CC6CA3" w:rsidRDefault="00E2359E" w:rsidP="00F632C0">
            <w:pPr>
              <w:jc w:val="left"/>
              <w:rPr>
                <w:rFonts w:asciiTheme="minorHAnsi" w:hAnsiTheme="minorHAnsi"/>
                <w:i/>
                <w:iCs/>
                <w:sz w:val="22"/>
              </w:rPr>
            </w:pPr>
            <m:oMathPara>
              <m:oMath>
                <m:r>
                  <w:rPr>
                    <w:rFonts w:ascii="Cambria Math" w:hAnsi="Cambria Math"/>
                  </w:rPr>
                  <m:t>POF= φ(</m:t>
                </m:r>
                <m:f>
                  <m:fPr>
                    <m:ctrlPr>
                      <w:rPr>
                        <w:rFonts w:ascii="Cambria Math" w:hAnsi="Cambria Math"/>
                        <w:i/>
                        <w:iCs/>
                      </w:rPr>
                    </m:ctrlPr>
                  </m:fPr>
                  <m:num>
                    <m:r>
                      <w:rPr>
                        <w:rFonts w:ascii="Cambria Math" w:hAnsi="Cambria Math"/>
                      </w:rPr>
                      <m:t>x-μ</m:t>
                    </m:r>
                  </m:num>
                  <m:den>
                    <m:r>
                      <w:rPr>
                        <w:rFonts w:ascii="Cambria Math" w:hAnsi="Cambria Math"/>
                      </w:rPr>
                      <m:t>σ</m:t>
                    </m:r>
                  </m:den>
                </m:f>
                <m:r>
                  <w:rPr>
                    <w:rFonts w:ascii="Cambria Math" w:hAnsi="Cambria Math"/>
                  </w:rPr>
                  <m:t>)</m:t>
                </m:r>
              </m:oMath>
            </m:oMathPara>
          </w:p>
        </w:tc>
        <w:tc>
          <w:tcPr>
            <w:tcW w:w="1055" w:type="dxa"/>
          </w:tcPr>
          <w:p w14:paraId="5A92C1A2" w14:textId="7E8EF196" w:rsidR="00E2359E" w:rsidRPr="00CC6CA3" w:rsidRDefault="00E2359E" w:rsidP="00F632C0">
            <w:pPr>
              <w:jc w:val="right"/>
              <w:rPr>
                <w:rFonts w:cs="Times New Roman"/>
                <w:sz w:val="26"/>
                <w:szCs w:val="26"/>
              </w:rPr>
            </w:pPr>
            <w:bookmarkStart w:id="145" w:name="_Ref41858170"/>
            <w:r w:rsidRPr="00CC6CA3">
              <w:rPr>
                <w:rFonts w:cs="Times New Roman" w:hint="eastAsia"/>
                <w:sz w:val="26"/>
                <w:szCs w:val="26"/>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9</w:t>
            </w:r>
            <w:r w:rsidR="00D62691" w:rsidRPr="00CC6CA3">
              <w:rPr>
                <w:noProof/>
              </w:rPr>
              <w:fldChar w:fldCharType="end"/>
            </w:r>
            <w:r w:rsidRPr="00CC6CA3">
              <w:rPr>
                <w:rFonts w:cs="Times New Roman"/>
                <w:sz w:val="26"/>
                <w:szCs w:val="26"/>
              </w:rPr>
              <w:t>)</w:t>
            </w:r>
            <w:bookmarkEnd w:id="145"/>
          </w:p>
        </w:tc>
      </w:tr>
    </w:tbl>
    <w:p w14:paraId="70201534" w14:textId="033B39C5" w:rsidR="00E2359E" w:rsidRPr="00CC6CA3" w:rsidRDefault="009F07D5" w:rsidP="00E2359E">
      <w:pPr>
        <w:spacing w:before="120"/>
      </w:pPr>
      <w:r w:rsidRPr="00CC6CA3">
        <w:t>w</w:t>
      </w:r>
      <w:r w:rsidR="00E2359E" w:rsidRPr="00CC6CA3">
        <w:t xml:space="preserve">here </w:t>
      </w:r>
      <m:oMath>
        <m:r>
          <w:rPr>
            <w:rFonts w:ascii="Cambria Math" w:hAnsi="Cambria Math"/>
          </w:rPr>
          <m:t>x</m:t>
        </m:r>
      </m:oMath>
      <w:r w:rsidR="00E2359E" w:rsidRPr="00CC6CA3">
        <w:rPr>
          <w:lang w:val="en-US"/>
        </w:rPr>
        <w:t xml:space="preserve"> is the residual of features or deviations of a selected measurement;</w:t>
      </w:r>
      <w:r w:rsidR="00E2359E" w:rsidRPr="00CC6CA3">
        <w:t xml:space="preserve"> </w:t>
      </w:r>
      <m:oMath>
        <m:r>
          <w:rPr>
            <w:rFonts w:ascii="Cambria Math" w:hAnsi="Cambria Math"/>
          </w:rPr>
          <m:t>μ</m:t>
        </m:r>
      </m:oMath>
      <w:r w:rsidR="00E2359E" w:rsidRPr="00CC6CA3">
        <w:t xml:space="preserve"> is the mean value, and </w:t>
      </w:r>
      <m:oMath>
        <m:r>
          <w:rPr>
            <w:rFonts w:ascii="Cambria Math" w:hAnsi="Cambria Math"/>
          </w:rPr>
          <m:t>σ</m:t>
        </m:r>
      </m:oMath>
      <w:r w:rsidR="00E2359E" w:rsidRPr="00CC6CA3">
        <w:t xml:space="preserve"> is the standard deviation of the </w:t>
      </w:r>
      <w:r w:rsidR="00E2359E" w:rsidRPr="00CC6CA3">
        <w:rPr>
          <w:lang w:val="en-US"/>
        </w:rPr>
        <w:t xml:space="preserve">input </w:t>
      </w:r>
      <m:oMath>
        <m:r>
          <w:rPr>
            <w:rFonts w:ascii="Cambria Math" w:hAnsi="Cambria Math"/>
          </w:rPr>
          <m:t>x</m:t>
        </m:r>
      </m:oMath>
      <w:r w:rsidR="00E2359E" w:rsidRPr="00CC6CA3">
        <w:t xml:space="preserve">. </w:t>
      </w:r>
      <m:oMath>
        <m:r>
          <w:rPr>
            <w:rFonts w:ascii="Cambria Math" w:hAnsi="Cambria Math"/>
          </w:rPr>
          <m:t>φ</m:t>
        </m:r>
      </m:oMath>
      <w:r w:rsidR="00E2359E" w:rsidRPr="00CC6CA3">
        <w:t xml:space="preserve"> is a cumulative distribution function.</w:t>
      </w:r>
    </w:p>
    <w:p w14:paraId="19DA4DE6" w14:textId="2BD62EA2" w:rsidR="00E2359E" w:rsidRPr="00CC6CA3" w:rsidRDefault="00E2359E" w:rsidP="00E2359E">
      <w:pPr>
        <w:spacing w:before="120"/>
      </w:pPr>
      <w:r w:rsidRPr="00CC6CA3">
        <w:fldChar w:fldCharType="begin"/>
      </w:r>
      <w:r w:rsidRPr="00CC6CA3">
        <w:instrText xml:space="preserve"> REF _Ref43305503 \h  \* MERGEFORMAT </w:instrText>
      </w:r>
      <w:r w:rsidRPr="00CC6CA3">
        <w:fldChar w:fldCharType="separate"/>
      </w:r>
      <w:r w:rsidR="001906D9" w:rsidRPr="00CC6CA3">
        <w:t>Figure 2.12</w:t>
      </w:r>
      <w:r w:rsidRPr="00CC6CA3">
        <w:fldChar w:fldCharType="end"/>
      </w:r>
      <w:r w:rsidRPr="00CC6CA3">
        <w:t xml:space="preserve"> </w:t>
      </w:r>
      <w:r w:rsidRPr="00CC6CA3">
        <w:fldChar w:fldCharType="begin"/>
      </w:r>
      <w:r w:rsidR="007D1BCC" w:rsidRPr="00CC6CA3">
        <w:instrText xml:space="preserve"> ADDIN ZOTERO_ITEM CSL_CITATION {"citationID":"BdA1WxDI","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w:t>
      </w:r>
      <w:r w:rsidR="00521095" w:rsidRPr="00CC6CA3">
        <w:t xml:space="preserve">shows an example of </w:t>
      </w:r>
      <m:oMath>
        <m:r>
          <w:rPr>
            <w:rFonts w:ascii="Cambria Math" w:hAnsi="Cambria Math"/>
          </w:rPr>
          <m:t>POF</m:t>
        </m:r>
      </m:oMath>
      <w:r w:rsidR="00521095" w:rsidRPr="00CC6CA3">
        <w:t xml:space="preserve"> calculated by using PCA and condition monitoring </w:t>
      </w:r>
      <w:r w:rsidR="00521095" w:rsidRPr="00CC6CA3">
        <w:rPr>
          <w:rFonts w:hint="eastAsia"/>
        </w:rPr>
        <w:t>data</w:t>
      </w:r>
      <w:r w:rsidR="00521095" w:rsidRPr="00CC6CA3">
        <w:t xml:space="preserve">. In the figure, </w:t>
      </w:r>
      <m:oMath>
        <m:r>
          <w:rPr>
            <w:rFonts w:ascii="Cambria Math" w:hAnsi="Cambria Math"/>
          </w:rPr>
          <m:t xml:space="preserve"> POF(μ)</m:t>
        </m:r>
      </m:oMath>
      <w:r w:rsidR="00521095" w:rsidRPr="00CC6CA3">
        <w:t xml:space="preserve"> was set to 0; the </w:t>
      </w:r>
      <m:oMath>
        <m:r>
          <w:rPr>
            <w:rFonts w:ascii="Cambria Math" w:hAnsi="Cambria Math"/>
          </w:rPr>
          <m:t>μ</m:t>
        </m:r>
        <m:r>
          <m:rPr>
            <m:sty m:val="p"/>
          </m:rPr>
          <w:rPr>
            <w:rFonts w:ascii="Cambria Math" w:hAnsi="Cambria Math"/>
          </w:rPr>
          <m:t xml:space="preserve"> – 3</m:t>
        </m:r>
        <m:r>
          <w:rPr>
            <w:rFonts w:ascii="Cambria Math" w:hAnsi="Cambria Math"/>
          </w:rPr>
          <m:t>σ</m:t>
        </m:r>
      </m:oMath>
      <w:r w:rsidR="00521095" w:rsidRPr="00CC6CA3">
        <w:t xml:space="preserve"> and </w:t>
      </w:r>
      <m:oMath>
        <m:r>
          <w:rPr>
            <w:rFonts w:ascii="Cambria Math" w:hAnsi="Cambria Math"/>
          </w:rPr>
          <m:t>μ</m:t>
        </m:r>
        <m:r>
          <m:rPr>
            <m:sty m:val="p"/>
          </m:rPr>
          <w:rPr>
            <w:rFonts w:ascii="Cambria Math" w:hAnsi="Cambria Math"/>
          </w:rPr>
          <m:t xml:space="preserve"> + 3</m:t>
        </m:r>
        <m:r>
          <w:rPr>
            <w:rFonts w:ascii="Cambria Math" w:hAnsi="Cambria Math"/>
          </w:rPr>
          <m:t>σ</m:t>
        </m:r>
      </m:oMath>
      <w:r w:rsidR="00521095" w:rsidRPr="00CC6CA3">
        <w:t xml:space="preserve"> was used as the lower and upper thresholds for normal operation </w:t>
      </w:r>
      <w:r w:rsidRPr="00CC6CA3">
        <w:fldChar w:fldCharType="begin"/>
      </w:r>
      <w:r w:rsidR="007D1BCC" w:rsidRPr="00CC6CA3">
        <w:instrText xml:space="preserve"> ADDIN ZOTERO_ITEM CSL_CITATION {"citationID":"KrAu0VFl","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and the values of </w:t>
      </w:r>
      <m:oMath>
        <m:r>
          <w:rPr>
            <w:rFonts w:ascii="Cambria Math" w:hAnsi="Cambria Math"/>
          </w:rPr>
          <m:t>POF(μ</m:t>
        </m:r>
        <m:r>
          <m:rPr>
            <m:sty m:val="p"/>
          </m:rPr>
          <w:rPr>
            <w:rFonts w:ascii="Cambria Math" w:hAnsi="Cambria Math"/>
          </w:rPr>
          <m:t xml:space="preserve"> – 3</m:t>
        </m:r>
        <m:r>
          <w:rPr>
            <w:rFonts w:ascii="Cambria Math" w:hAnsi="Cambria Math"/>
          </w:rPr>
          <m:t>σ)</m:t>
        </m:r>
      </m:oMath>
      <w:r w:rsidRPr="00CC6CA3">
        <w:t xml:space="preserve"> and </w:t>
      </w:r>
      <m:oMath>
        <m:r>
          <w:rPr>
            <w:rFonts w:ascii="Cambria Math" w:hAnsi="Cambria Math"/>
          </w:rPr>
          <m:t>POF(μ</m:t>
        </m:r>
        <m:r>
          <m:rPr>
            <m:sty m:val="p"/>
          </m:rPr>
          <w:rPr>
            <w:rFonts w:ascii="Cambria Math" w:hAnsi="Cambria Math"/>
          </w:rPr>
          <m:t>+3</m:t>
        </m:r>
        <m:r>
          <w:rPr>
            <w:rFonts w:ascii="Cambria Math" w:hAnsi="Cambria Math"/>
          </w:rPr>
          <m:t>σ)</m:t>
        </m:r>
      </m:oMath>
      <w:r w:rsidRPr="00CC6CA3">
        <w:t xml:space="preserve"> were set to 0.5. </w:t>
      </w:r>
      <w:r w:rsidR="00521095" w:rsidRPr="00CC6CA3">
        <w:t>The further the data from the thresholds, the more likely a fault has occurred in the system</w:t>
      </w:r>
      <w:r w:rsidRPr="00CC6CA3">
        <w:t>.</w:t>
      </w:r>
    </w:p>
    <w:p w14:paraId="66EB3A82" w14:textId="77777777" w:rsidR="00E2359E" w:rsidRPr="00CC6CA3" w:rsidRDefault="00E2359E" w:rsidP="00E2359E">
      <w:pPr>
        <w:keepNext/>
        <w:jc w:val="center"/>
      </w:pPr>
      <w:r w:rsidRPr="00CC6CA3">
        <w:object w:dxaOrig="11041" w:dyaOrig="6360" w14:anchorId="4916B946">
          <v:shape id="_x0000_i1032" type="#_x0000_t75" style="width:294pt;height:168pt;mso-position-horizontal:absolute;mso-position-vertical:absolute" o:ole="">
            <v:imagedata r:id="rId41" o:title=""/>
          </v:shape>
          <o:OLEObject Type="Embed" ProgID="Visio.Drawing.15" ShapeID="_x0000_i1032" DrawAspect="Content" ObjectID="_1692500311" r:id="rId42"/>
        </w:object>
      </w:r>
    </w:p>
    <w:p w14:paraId="693071C7" w14:textId="4938FF37" w:rsidR="00E2359E" w:rsidRPr="00CC6CA3" w:rsidRDefault="00E2359E" w:rsidP="00E2359E">
      <w:pPr>
        <w:pStyle w:val="Caption"/>
        <w:jc w:val="center"/>
        <w:rPr>
          <w:rFonts w:ascii="Roboto" w:hAnsi="Roboto"/>
          <w:sz w:val="26"/>
          <w:szCs w:val="26"/>
        </w:rPr>
      </w:pPr>
      <w:bookmarkStart w:id="146" w:name="_Ref43305503"/>
      <w:bookmarkStart w:id="147" w:name="_Toc8155334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12</w:t>
      </w:r>
      <w:r w:rsidR="00D62691" w:rsidRPr="00CC6CA3">
        <w:rPr>
          <w:noProof/>
        </w:rPr>
        <w:fldChar w:fldCharType="end"/>
      </w:r>
      <w:bookmarkEnd w:id="146"/>
      <w:r w:rsidRPr="00CC6CA3">
        <w:t xml:space="preserve"> Change in probability of fault (φ) with the deviation of score from the mean </w:t>
      </w:r>
      <w:r w:rsidRPr="00CC6CA3">
        <w:fldChar w:fldCharType="begin"/>
      </w:r>
      <w:r w:rsidR="007D1BCC" w:rsidRPr="00CC6CA3">
        <w:instrText xml:space="preserve"> ADDIN ZOTERO_ITEM CSL_CITATION {"citationID":"1NnK8sCH","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bookmarkEnd w:id="147"/>
      <w:r w:rsidRPr="00CC6CA3">
        <w:fldChar w:fldCharType="end"/>
      </w:r>
    </w:p>
    <w:p w14:paraId="0289D65C" w14:textId="73A30930" w:rsidR="00E2359E" w:rsidRPr="00CC6CA3" w:rsidRDefault="00E2359E" w:rsidP="00E2359E">
      <w:pPr>
        <w:spacing w:before="120"/>
        <w:rPr>
          <w:rFonts w:cs="Times New Roman"/>
        </w:rPr>
      </w:pPr>
      <w:r w:rsidRPr="00CC6CA3">
        <w:t>When the input approaches the upper threshold (</w:t>
      </w:r>
      <m:oMath>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&gt;</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oMath>
      <w:r w:rsidRPr="00CC6CA3">
        <w:t xml:space="preserve">), the probability of the fault is calculated by </w:t>
      </w:r>
      <m:oMath>
        <m:r>
          <w:rPr>
            <w:rFonts w:ascii="Cambria Math" w:hAnsi="Cambria Math"/>
          </w:rPr>
          <m:t>φ</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+ 3</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oMath>
      <w:r w:rsidRPr="00CC6CA3">
        <w:t>. On the other hand, if the scores approach the lower threshold (</w:t>
      </w:r>
      <m:oMath>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&lt;</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oMath>
      <w:r w:rsidRPr="00CC6CA3">
        <w:t xml:space="preserve">), the probability of the fault is calculated by </w:t>
      </w:r>
      <m:oMath>
        <m:r>
          <m:rPr>
            <m:sty m:val="p"/>
          </m:rPr>
          <w:rPr>
            <w:rFonts w:ascii="Cambria Math" w:hAnsi="Cambria Math" w:hint="eastAsia"/>
          </w:rPr>
          <m:t>1</m:t>
        </m:r>
        <m:r>
          <m:rPr>
            <m:sty m:val="p"/>
          </m:rPr>
          <w:rPr>
            <w:rFonts w:ascii="微软雅黑" w:eastAsia="微软雅黑" w:hAnsi="微软雅黑" w:cs="微软雅黑" w:hint="eastAsia"/>
          </w:rPr>
          <m:t>-</m:t>
        </m:r>
        <m:r>
          <w:rPr>
            <w:rFonts w:ascii="Cambria Math" w:hAnsi="Cambria Math" w:cs="Times New Roman"/>
          </w:rPr>
          <m:t>φ</m:t>
        </m:r>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x</m:t>
            </m:r>
          </m:e>
          <m:sub>
            <m:r>
              <w:rPr>
                <w:rFonts w:ascii="Cambria Math" w:hAnsi="Cambria Math" w:cs="Times New Roman"/>
              </w:rPr>
              <m:t>ij</m:t>
            </m:r>
          </m:sub>
        </m:sSub>
        <m:r>
          <m:rPr>
            <m:sty m:val="p"/>
          </m:rPr>
          <w:rPr>
            <w:rFonts w:ascii="Cambria Math" w:hAnsi="Cambria Math" w:cs="Times New Roman"/>
          </w:rPr>
          <m:t xml:space="preserve"> – (</m:t>
        </m:r>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i</m:t>
            </m:r>
          </m:sub>
        </m:sSub>
        <m:r>
          <m:rPr>
            <m:sty m:val="p"/>
          </m:rPr>
          <w:rPr>
            <w:rFonts w:ascii="Cambria Math" w:hAnsi="Cambria Math" w:cs="Times New Roman"/>
          </w:rPr>
          <m:t xml:space="preserve"> + 3</m:t>
        </m:r>
        <m:sSub>
          <m:sSubPr>
            <m:ctrlPr>
              <w:rPr>
                <w:rFonts w:ascii="Cambria Math" w:hAnsi="Cambria Math" w:cs="Times New Roman"/>
              </w:rPr>
            </m:ctrlPr>
          </m:sSubPr>
          <m:e>
            <m:r>
              <w:rPr>
                <w:rFonts w:ascii="Cambria Math" w:hAnsi="Cambria Math" w:cs="Times New Roman"/>
              </w:rPr>
              <m:t>σ</m:t>
            </m:r>
          </m:e>
          <m:sub>
            <m:r>
              <w:rPr>
                <w:rFonts w:ascii="Cambria Math" w:hAnsi="Cambria Math" w:cs="Times New Roman"/>
              </w:rPr>
              <m:t>i</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σ</m:t>
            </m:r>
          </m:e>
          <m:sub>
            <m:r>
              <w:rPr>
                <w:rFonts w:ascii="Cambria Math" w:hAnsi="Cambria Math" w:cs="Times New Roman"/>
              </w:rPr>
              <m:t>i</m:t>
            </m:r>
          </m:sub>
        </m:sSub>
        <m:r>
          <m:rPr>
            <m:sty m:val="p"/>
          </m:rPr>
          <w:rPr>
            <w:rFonts w:ascii="Cambria Math" w:hAnsi="Cambria Math" w:cs="Times New Roman"/>
          </w:rPr>
          <m:t>}</m:t>
        </m:r>
      </m:oMath>
      <w:r w:rsidRPr="00CC6CA3">
        <w:rPr>
          <w:rFonts w:cs="Times New Roman" w:hint="eastAsia"/>
        </w:rPr>
        <w:t>.</w:t>
      </w:r>
      <w:r w:rsidRPr="00CC6CA3">
        <w:rPr>
          <w:rFonts w:cs="Times New Roman"/>
        </w:rPr>
        <w:t xml:space="preserve"> When input fits </w:t>
      </w:r>
      <w:r w:rsidR="004237AC" w:rsidRPr="00CC6CA3">
        <w:rPr>
          <w:rFonts w:cs="Times New Roman"/>
        </w:rPr>
        <w:t xml:space="preserve">a </w:t>
      </w:r>
      <w:r w:rsidRPr="00CC6CA3">
        <w:rPr>
          <w:rFonts w:cs="Times New Roman"/>
        </w:rPr>
        <w:t xml:space="preserve">normal distribution, the </w:t>
      </w:r>
      <m:oMath>
        <m:r>
          <w:rPr>
            <w:rFonts w:ascii="Cambria Math" w:hAnsi="Cambria Math"/>
          </w:rPr>
          <m:t>POF</m:t>
        </m:r>
      </m:oMath>
      <w:r w:rsidRPr="00CC6CA3">
        <w:rPr>
          <w:rFonts w:cs="Times New Roman"/>
        </w:rPr>
        <w:t xml:space="preserve"> can be expressed by Equation</w:t>
      </w:r>
      <w:r w:rsidR="00665632" w:rsidRPr="00CC6CA3">
        <w:rPr>
          <w:rFonts w:cs="Times New Roman"/>
        </w:rPr>
        <w:t>s</w:t>
      </w:r>
      <w:r w:rsidRPr="00CC6CA3">
        <w:rPr>
          <w:rFonts w:cs="Times New Roman"/>
        </w:rPr>
        <w:t xml:space="preserve"> </w:t>
      </w:r>
      <w:r w:rsidRPr="00CC6CA3">
        <w:rPr>
          <w:rFonts w:cs="Times New Roman"/>
        </w:rPr>
        <w:fldChar w:fldCharType="begin"/>
      </w:r>
      <w:r w:rsidRPr="00CC6CA3">
        <w:rPr>
          <w:rFonts w:cs="Times New Roman"/>
        </w:rPr>
        <w:instrText xml:space="preserve"> REF _Ref43645084 \h </w:instrText>
      </w:r>
      <w:r w:rsidRPr="00CC6CA3">
        <w:rPr>
          <w:rFonts w:cs="Times New Roman"/>
        </w:rPr>
      </w:r>
      <w:r w:rsidRPr="00CC6CA3">
        <w:rPr>
          <w:rFonts w:cs="Times New Roman"/>
        </w:rPr>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10</w:t>
      </w:r>
      <w:r w:rsidR="001906D9" w:rsidRPr="00CC6CA3">
        <w:rPr>
          <w:rFonts w:cs="Times New Roman"/>
          <w:sz w:val="26"/>
          <w:szCs w:val="26"/>
        </w:rPr>
        <w:t>)</w:t>
      </w:r>
      <w:r w:rsidRPr="00CC6CA3">
        <w:rPr>
          <w:rFonts w:cs="Times New Roman"/>
        </w:rPr>
        <w:fldChar w:fldCharType="end"/>
      </w:r>
      <w:r w:rsidRPr="00CC6CA3">
        <w:rPr>
          <w:rFonts w:cs="Times New Roman"/>
        </w:rPr>
        <w:t xml:space="preserve"> and </w:t>
      </w:r>
      <w:r w:rsidRPr="00CC6CA3">
        <w:rPr>
          <w:rFonts w:cs="Times New Roman"/>
        </w:rPr>
        <w:fldChar w:fldCharType="begin"/>
      </w:r>
      <w:r w:rsidRPr="00CC6CA3">
        <w:rPr>
          <w:rFonts w:cs="Times New Roman"/>
        </w:rPr>
        <w:instrText xml:space="preserve"> REF _Ref41858185 \h </w:instrText>
      </w:r>
      <w:r w:rsidRPr="00CC6CA3">
        <w:rPr>
          <w:rFonts w:cs="Times New Roman"/>
        </w:rPr>
      </w:r>
      <w:r w:rsidRPr="00CC6CA3">
        <w:rPr>
          <w:rFonts w:cs="Times New Roman"/>
        </w:rPr>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11</w:t>
      </w:r>
      <w:r w:rsidR="001906D9" w:rsidRPr="00CC6CA3">
        <w:rPr>
          <w:rFonts w:cs="Times New Roman"/>
          <w:sz w:val="26"/>
          <w:szCs w:val="26"/>
        </w:rPr>
        <w:t>)</w:t>
      </w:r>
      <w:r w:rsidRPr="00CC6CA3">
        <w:rPr>
          <w:rFonts w:cs="Times New Roman"/>
        </w:rPr>
        <w:fldChar w:fldCharType="end"/>
      </w:r>
      <w:r w:rsidRPr="00CC6CA3">
        <w:rPr>
          <w:rFonts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5"/>
        <w:gridCol w:w="830"/>
      </w:tblGrid>
      <w:tr w:rsidR="00CC6CA3" w:rsidRPr="00CC6CA3" w14:paraId="30C8AF59" w14:textId="77777777" w:rsidTr="00F632C0">
        <w:tc>
          <w:tcPr>
            <w:tcW w:w="8050" w:type="dxa"/>
          </w:tcPr>
          <w:p w14:paraId="7CF12C95" w14:textId="77777777" w:rsidR="00E2359E" w:rsidRPr="00CC6CA3" w:rsidRDefault="00E2359E" w:rsidP="00F632C0">
            <w:pPr>
              <w:jc w:val="left"/>
              <w:rPr>
                <w:rFonts w:asciiTheme="minorHAnsi" w:hAnsiTheme="minorHAnsi"/>
                <w:sz w:val="22"/>
              </w:rPr>
            </w:pPr>
            <w:r w:rsidRPr="00CC6CA3">
              <w:rPr>
                <w:rFonts w:cs="Times New Roman"/>
              </w:rPr>
              <w:t xml:space="preserve">For </w:t>
            </w:r>
            <m:oMath>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&gt;</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 xml:space="preserve"> </m:t>
              </m:r>
            </m:oMath>
            <w:r w:rsidRPr="00CC6CA3">
              <w:rPr>
                <w:rFonts w:cs="Times New Roman"/>
                <w:sz w:val="26"/>
                <w:szCs w:val="26"/>
              </w:rPr>
              <w:t xml:space="preserve">, </w:t>
            </w:r>
            <m:oMath>
              <m:r>
                <w:rPr>
                  <w:rFonts w:ascii="Cambria Math" w:hAnsi="Cambria Math"/>
                </w:rPr>
                <m:t>POF</m:t>
              </m:r>
              <m:r>
                <m:rPr>
                  <m:sty m:val="p"/>
                </m:rPr>
                <w:rPr>
                  <w:rFonts w:ascii="Cambria Math" w:hAnsi="Cambria Math"/>
                </w:rPr>
                <m:t>= φ</m:t>
              </m:r>
              <m:d>
                <m:dPr>
                  <m:ctrlPr>
                    <w:rPr>
                      <w:rFonts w:ascii="Cambria Math" w:hAnsi="Cambria Math"/>
                    </w:rPr>
                  </m:ctrlPr>
                </m:dPr>
                <m:e>
                  <m:f>
                    <m:fPr>
                      <m:ctrlPr>
                        <w:rPr>
                          <w:rFonts w:ascii="Cambria Math" w:hAnsi="Cambria Math"/>
                        </w:rPr>
                      </m:ctrlPr>
                    </m:fPr>
                    <m:num>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w:rPr>
                          <w:rFonts w:ascii="Cambria Math" w:hAnsi="Cambria Math"/>
                        </w:rPr>
                        <m:t>-</m:t>
                      </m:r>
                      <m:d>
                        <m:dPr>
                          <m:ctrlPr>
                            <w:rPr>
                              <w:rFonts w:ascii="Cambria Math" w:hAnsi="Cambria Math" w:cs="Times New Roman"/>
                              <w:sz w:val="26"/>
                              <w:szCs w:val="26"/>
                            </w:rPr>
                          </m:ctrlPr>
                        </m:dPr>
                        <m:e>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 xml:space="preserve"> + 3</m:t>
                          </m:r>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e>
                      </m:d>
                    </m:num>
                    <m:den>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den>
                  </m:f>
                </m:e>
              </m:d>
              <m:r>
                <m:rPr>
                  <m:sty m:val="p"/>
                </m:rPr>
                <w:rPr>
                  <w:rFonts w:ascii="Cambria Math" w:hAnsi="Cambria Math"/>
                </w:rPr>
                <m:t>=</m:t>
              </m:r>
              <m:nary>
                <m:naryPr>
                  <m:limLoc m:val="subSup"/>
                  <m:ctrlPr>
                    <w:rPr>
                      <w:rFonts w:ascii="Cambria Math" w:hAnsi="Cambria Math"/>
                    </w:rPr>
                  </m:ctrlPr>
                </m:naryPr>
                <m:sub>
                  <m:r>
                    <w:rPr>
                      <w:rFonts w:ascii="Cambria Math" w:hAnsi="Cambria Math"/>
                    </w:rPr>
                    <m:t>-∞</m:t>
                  </m:r>
                </m:sub>
                <m:sup>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sup>
                <m:e>
                  <m:f>
                    <m:fPr>
                      <m:ctrlPr>
                        <w:rPr>
                          <w:rFonts w:ascii="Cambria Math" w:hAnsi="Cambria Math"/>
                          <w:i/>
                        </w:rPr>
                      </m:ctrlPr>
                    </m:fPr>
                    <m:num>
                      <m:r>
                        <w:rPr>
                          <w:rFonts w:ascii="Cambria Math" w:hAnsi="Cambria Math"/>
                        </w:rPr>
                        <m:t>1</m:t>
                      </m:r>
                    </m:num>
                    <m:den>
                      <m:sSub>
                        <m:sSubPr>
                          <m:ctrlPr>
                            <w:rPr>
                              <w:rFonts w:ascii="Cambria Math" w:hAnsi="Cambria Math" w:cs="Times New Roman"/>
                              <w:sz w:val="26"/>
                              <w:szCs w:val="26"/>
                            </w:rPr>
                          </m:ctrlPr>
                        </m:sSubPr>
                        <m:e>
                          <m:rad>
                            <m:radPr>
                              <m:degHide m:val="1"/>
                              <m:ctrlPr>
                                <w:rPr>
                                  <w:rFonts w:ascii="Cambria Math" w:hAnsi="Cambria Math" w:cs="Times New Roman"/>
                                  <w:i/>
                                  <w:iCs/>
                                  <w:sz w:val="26"/>
                                  <w:szCs w:val="26"/>
                                </w:rPr>
                              </m:ctrlPr>
                            </m:radPr>
                            <m:deg/>
                            <m:e>
                              <m:r>
                                <w:rPr>
                                  <w:rFonts w:ascii="Cambria Math" w:hAnsi="Cambria Math" w:cs="Times New Roman"/>
                                  <w:sz w:val="26"/>
                                  <w:szCs w:val="26"/>
                                </w:rPr>
                                <m:t>2π</m:t>
                              </m:r>
                            </m:e>
                          </m:rad>
                          <m:r>
                            <w:rPr>
                              <w:rFonts w:ascii="Cambria Math" w:hAnsi="Cambria Math" w:cs="Times New Roman"/>
                              <w:sz w:val="26"/>
                              <w:szCs w:val="26"/>
                            </w:rPr>
                            <m:t>σ</m:t>
                          </m:r>
                        </m:e>
                        <m:sub>
                          <m:r>
                            <w:rPr>
                              <w:rFonts w:ascii="Cambria Math" w:hAnsi="Cambria Math" w:cs="Times New Roman"/>
                              <w:sz w:val="26"/>
                              <w:szCs w:val="26"/>
                            </w:rPr>
                            <m:t>i</m:t>
                          </m:r>
                        </m:sub>
                      </m:sSub>
                    </m:den>
                  </m:f>
                  <m:sSup>
                    <m:sSupPr>
                      <m:ctrlPr>
                        <w:rPr>
                          <w:rFonts w:ascii="Cambria Math" w:hAnsi="Cambria Math"/>
                          <w:i/>
                        </w:rPr>
                      </m:ctrlPr>
                    </m:sSupPr>
                    <m:e>
                      <m:r>
                        <w:rPr>
                          <w:rFonts w:ascii="Cambria Math" w:hAnsi="Cambria Math"/>
                        </w:rPr>
                        <m:t>e</m:t>
                      </m:r>
                    </m:e>
                    <m:sup>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 xml:space="preserve"> – (</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 xml:space="preserve"> + 3</m:t>
                      </m:r>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r>
                        <m:rPr>
                          <m:sty m:val="p"/>
                        </m:rPr>
                        <w:rPr>
                          <w:rFonts w:ascii="Cambria Math" w:hAnsi="Cambria Math" w:cs="Times New Roman"/>
                          <w:sz w:val="26"/>
                          <w:szCs w:val="26"/>
                        </w:rPr>
                        <m:t>}</m:t>
                      </m:r>
                    </m:sup>
                  </m:sSup>
                </m:e>
              </m:nary>
            </m:oMath>
          </w:p>
        </w:tc>
        <w:tc>
          <w:tcPr>
            <w:tcW w:w="705" w:type="dxa"/>
          </w:tcPr>
          <w:p w14:paraId="4B4853EE" w14:textId="611004F2" w:rsidR="00E2359E" w:rsidRPr="00CC6CA3" w:rsidRDefault="00E2359E" w:rsidP="00F632C0">
            <w:pPr>
              <w:jc w:val="right"/>
              <w:rPr>
                <w:rFonts w:cs="Times New Roman"/>
                <w:sz w:val="26"/>
                <w:szCs w:val="26"/>
              </w:rPr>
            </w:pPr>
            <w:bookmarkStart w:id="148" w:name="_Ref43645084"/>
            <w:r w:rsidRPr="00CC6CA3">
              <w:rPr>
                <w:rFonts w:cs="Times New Roman" w:hint="eastAsia"/>
                <w:sz w:val="26"/>
                <w:szCs w:val="26"/>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10</w:t>
            </w:r>
            <w:r w:rsidR="00D62691" w:rsidRPr="00CC6CA3">
              <w:rPr>
                <w:noProof/>
              </w:rPr>
              <w:fldChar w:fldCharType="end"/>
            </w:r>
            <w:r w:rsidRPr="00CC6CA3">
              <w:rPr>
                <w:rFonts w:cs="Times New Roman"/>
                <w:sz w:val="26"/>
                <w:szCs w:val="26"/>
              </w:rPr>
              <w:t>)</w:t>
            </w:r>
            <w:bookmarkEnd w:id="148"/>
          </w:p>
        </w:tc>
      </w:tr>
      <w:tr w:rsidR="00CC6CA3" w:rsidRPr="00CC6CA3" w14:paraId="0E7CA70F" w14:textId="77777777" w:rsidTr="00F632C0">
        <w:tc>
          <w:tcPr>
            <w:tcW w:w="8050" w:type="dxa"/>
          </w:tcPr>
          <w:p w14:paraId="1DFBB3AA" w14:textId="77777777" w:rsidR="00E2359E" w:rsidRPr="00CC6CA3" w:rsidRDefault="00E2359E" w:rsidP="00F632C0">
            <w:pPr>
              <w:jc w:val="left"/>
              <w:rPr>
                <w:rFonts w:eastAsia="等线" w:cs="Times New Roman"/>
              </w:rPr>
            </w:pPr>
            <w:r w:rsidRPr="00CC6CA3">
              <w:rPr>
                <w:rFonts w:cs="Times New Roman"/>
              </w:rPr>
              <w:t xml:space="preserve">For </w:t>
            </w:r>
            <m:oMath>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&lt;</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 xml:space="preserve"> </m:t>
              </m:r>
            </m:oMath>
            <w:r w:rsidRPr="00CC6CA3">
              <w:rPr>
                <w:rFonts w:cs="Times New Roman"/>
                <w:sz w:val="26"/>
                <w:szCs w:val="26"/>
              </w:rPr>
              <w:t xml:space="preserve">, </w:t>
            </w:r>
            <m:oMath>
              <m:r>
                <w:rPr>
                  <w:rFonts w:ascii="Cambria Math" w:hAnsi="Cambria Math"/>
                </w:rPr>
                <m:t>POF</m:t>
              </m:r>
              <m:r>
                <m:rPr>
                  <m:sty m:val="p"/>
                </m:rPr>
                <w:rPr>
                  <w:rFonts w:ascii="Cambria Math" w:hAnsi="Cambria Math"/>
                </w:rPr>
                <m:t>=1- φ</m:t>
              </m:r>
              <m:d>
                <m:dPr>
                  <m:ctrlPr>
                    <w:rPr>
                      <w:rFonts w:ascii="Cambria Math" w:hAnsi="Cambria Math"/>
                    </w:rPr>
                  </m:ctrlPr>
                </m:dPr>
                <m:e>
                  <m:f>
                    <m:fPr>
                      <m:ctrlPr>
                        <w:rPr>
                          <w:rFonts w:ascii="Cambria Math" w:hAnsi="Cambria Math"/>
                        </w:rPr>
                      </m:ctrlPr>
                    </m:fPr>
                    <m:num>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w:rPr>
                          <w:rFonts w:ascii="Cambria Math" w:hAnsi="Cambria Math"/>
                        </w:rPr>
                        <m:t>-</m:t>
                      </m:r>
                      <m:d>
                        <m:dPr>
                          <m:ctrlPr>
                            <w:rPr>
                              <w:rFonts w:ascii="Cambria Math" w:hAnsi="Cambria Math" w:cs="Times New Roman"/>
                              <w:sz w:val="26"/>
                              <w:szCs w:val="26"/>
                            </w:rPr>
                          </m:ctrlPr>
                        </m:dPr>
                        <m:e>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- 3</m:t>
                          </m:r>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e>
                      </m:d>
                    </m:num>
                    <m:den>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den>
                  </m:f>
                </m:e>
              </m:d>
              <m:r>
                <m:rPr>
                  <m:sty m:val="p"/>
                </m:rPr>
                <w:rPr>
                  <w:rFonts w:ascii="Cambria Math" w:hAnsi="Cambria Math"/>
                </w:rPr>
                <m:t>=1-</m:t>
              </m:r>
              <m:nary>
                <m:naryPr>
                  <m:limLoc m:val="subSup"/>
                  <m:ctrlPr>
                    <w:rPr>
                      <w:rFonts w:ascii="Cambria Math" w:hAnsi="Cambria Math"/>
                    </w:rPr>
                  </m:ctrlPr>
                </m:naryPr>
                <m:sub>
                  <m:r>
                    <w:rPr>
                      <w:rFonts w:ascii="Cambria Math" w:hAnsi="Cambria Math"/>
                    </w:rPr>
                    <m:t>-∞</m:t>
                  </m:r>
                </m:sub>
                <m:sup>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sup>
                <m:e>
                  <m:f>
                    <m:fPr>
                      <m:ctrlPr>
                        <w:rPr>
                          <w:rFonts w:ascii="Cambria Math" w:hAnsi="Cambria Math"/>
                          <w:i/>
                        </w:rPr>
                      </m:ctrlPr>
                    </m:fPr>
                    <m:num>
                      <m:r>
                        <w:rPr>
                          <w:rFonts w:ascii="Cambria Math" w:hAnsi="Cambria Math"/>
                        </w:rPr>
                        <m:t>1</m:t>
                      </m:r>
                    </m:num>
                    <m:den>
                      <m:sSub>
                        <m:sSubPr>
                          <m:ctrlPr>
                            <w:rPr>
                              <w:rFonts w:ascii="Cambria Math" w:hAnsi="Cambria Math" w:cs="Times New Roman"/>
                              <w:sz w:val="26"/>
                              <w:szCs w:val="26"/>
                            </w:rPr>
                          </m:ctrlPr>
                        </m:sSubPr>
                        <m:e>
                          <m:rad>
                            <m:radPr>
                              <m:degHide m:val="1"/>
                              <m:ctrlPr>
                                <w:rPr>
                                  <w:rFonts w:ascii="Cambria Math" w:hAnsi="Cambria Math" w:cs="Times New Roman"/>
                                  <w:i/>
                                  <w:iCs/>
                                  <w:sz w:val="26"/>
                                  <w:szCs w:val="26"/>
                                </w:rPr>
                              </m:ctrlPr>
                            </m:radPr>
                            <m:deg/>
                            <m:e>
                              <m:r>
                                <w:rPr>
                                  <w:rFonts w:ascii="Cambria Math" w:hAnsi="Cambria Math" w:cs="Times New Roman"/>
                                  <w:sz w:val="26"/>
                                  <w:szCs w:val="26"/>
                                </w:rPr>
                                <m:t>2π</m:t>
                              </m:r>
                            </m:e>
                          </m:rad>
                          <m:r>
                            <w:rPr>
                              <w:rFonts w:ascii="Cambria Math" w:hAnsi="Cambria Math" w:cs="Times New Roman"/>
                              <w:sz w:val="26"/>
                              <w:szCs w:val="26"/>
                            </w:rPr>
                            <m:t>σ</m:t>
                          </m:r>
                        </m:e>
                        <m:sub>
                          <m:r>
                            <w:rPr>
                              <w:rFonts w:ascii="Cambria Math" w:hAnsi="Cambria Math" w:cs="Times New Roman"/>
                              <w:sz w:val="26"/>
                              <w:szCs w:val="26"/>
                            </w:rPr>
                            <m:t>i</m:t>
                          </m:r>
                        </m:sub>
                      </m:sSub>
                    </m:den>
                  </m:f>
                  <m:sSup>
                    <m:sSupPr>
                      <m:ctrlPr>
                        <w:rPr>
                          <w:rFonts w:ascii="Cambria Math" w:hAnsi="Cambria Math"/>
                          <w:i/>
                        </w:rPr>
                      </m:ctrlPr>
                    </m:sSupPr>
                    <m:e>
                      <m:r>
                        <w:rPr>
                          <w:rFonts w:ascii="Cambria Math" w:hAnsi="Cambria Math"/>
                        </w:rPr>
                        <m:t>e</m:t>
                      </m:r>
                    </m:e>
                    <m:sup>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 xml:space="preserve"> – (</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-3</m:t>
                      </m:r>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r>
                        <m:rPr>
                          <m:sty m:val="p"/>
                        </m:rPr>
                        <w:rPr>
                          <w:rFonts w:ascii="Cambria Math" w:hAnsi="Cambria Math" w:cs="Times New Roman"/>
                          <w:sz w:val="26"/>
                          <w:szCs w:val="26"/>
                        </w:rPr>
                        <m:t>}</m:t>
                      </m:r>
                    </m:sup>
                  </m:sSup>
                </m:e>
              </m:nary>
            </m:oMath>
          </w:p>
        </w:tc>
        <w:tc>
          <w:tcPr>
            <w:tcW w:w="705" w:type="dxa"/>
          </w:tcPr>
          <w:p w14:paraId="5C283B6D" w14:textId="37848875" w:rsidR="00E2359E" w:rsidRPr="00CC6CA3" w:rsidRDefault="00E2359E" w:rsidP="00F632C0">
            <w:pPr>
              <w:jc w:val="right"/>
              <w:rPr>
                <w:rFonts w:cs="Times New Roman"/>
                <w:sz w:val="26"/>
                <w:szCs w:val="26"/>
              </w:rPr>
            </w:pPr>
            <w:bookmarkStart w:id="149" w:name="_Ref41858185"/>
            <w:r w:rsidRPr="00CC6CA3">
              <w:rPr>
                <w:rFonts w:cs="Times New Roman" w:hint="eastAsia"/>
                <w:sz w:val="26"/>
                <w:szCs w:val="26"/>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11</w:t>
            </w:r>
            <w:r w:rsidR="00D62691" w:rsidRPr="00CC6CA3">
              <w:rPr>
                <w:noProof/>
              </w:rPr>
              <w:fldChar w:fldCharType="end"/>
            </w:r>
            <w:r w:rsidRPr="00CC6CA3">
              <w:rPr>
                <w:rFonts w:cs="Times New Roman"/>
                <w:sz w:val="26"/>
                <w:szCs w:val="26"/>
              </w:rPr>
              <w:t>)</w:t>
            </w:r>
            <w:bookmarkEnd w:id="149"/>
          </w:p>
        </w:tc>
      </w:tr>
    </w:tbl>
    <w:p w14:paraId="5F21917C" w14:textId="1461EB56" w:rsidR="00E2359E" w:rsidRPr="00CC6CA3" w:rsidRDefault="00E2359E" w:rsidP="00E2359E">
      <w:pPr>
        <w:rPr>
          <w:rFonts w:cs="Times New Roman"/>
          <w:szCs w:val="24"/>
        </w:rPr>
      </w:pPr>
      <w:r w:rsidRPr="00CC6CA3">
        <w:rPr>
          <w:rFonts w:cs="Times New Roman"/>
          <w:szCs w:val="24"/>
        </w:rPr>
        <w:lastRenderedPageBreak/>
        <w:t xml:space="preserve">where </w:t>
      </w:r>
      <m:oMath>
        <m:r>
          <w:rPr>
            <w:rFonts w:ascii="Cambria Math" w:hAnsi="Cambria Math" w:cs="Times New Roman"/>
            <w:szCs w:val="24"/>
          </w:rPr>
          <m:t>i=1,…,n</m:t>
        </m:r>
      </m:oMath>
      <w:r w:rsidRPr="00CC6CA3">
        <w:rPr>
          <w:rFonts w:cs="Times New Roman"/>
          <w:szCs w:val="24"/>
        </w:rPr>
        <w:t>,</w:t>
      </w:r>
      <w:r w:rsidR="00665632" w:rsidRPr="00CC6CA3">
        <w:rPr>
          <w:rFonts w:cs="Times New Roman"/>
          <w:szCs w:val="24"/>
        </w:rPr>
        <w:t xml:space="preserve"> and</w:t>
      </w:r>
      <w:r w:rsidRPr="00CC6CA3">
        <w:rPr>
          <w:rFonts w:cs="Times New Roman"/>
          <w:szCs w:val="24"/>
        </w:rPr>
        <w:t xml:space="preserve"> </w:t>
      </w:r>
      <m:oMath>
        <m:r>
          <w:rPr>
            <w:rFonts w:ascii="Cambria Math" w:hAnsi="Cambria Math" w:cs="Times New Roman"/>
            <w:szCs w:val="24"/>
          </w:rPr>
          <m:t>n</m:t>
        </m:r>
      </m:oMath>
      <w:r w:rsidRPr="00CC6CA3">
        <w:rPr>
          <w:rFonts w:cs="Times New Roman"/>
          <w:szCs w:val="24"/>
        </w:rPr>
        <w:t xml:space="preserve"> is the number of </w:t>
      </w:r>
      <w:r w:rsidRPr="00CC6CA3">
        <w:rPr>
          <w:lang w:val="en-US"/>
        </w:rPr>
        <w:t>principal component</w:t>
      </w:r>
      <w:r w:rsidRPr="00CC6CA3">
        <w:rPr>
          <w:rFonts w:cs="Times New Roman"/>
          <w:szCs w:val="24"/>
        </w:rPr>
        <w:t xml:space="preserve">s; </w:t>
      </w:r>
      <m:oMath>
        <m:r>
          <w:rPr>
            <w:rFonts w:ascii="Cambria Math" w:hAnsi="Cambria Math" w:cs="Times New Roman"/>
            <w:szCs w:val="24"/>
          </w:rPr>
          <m:t>j=1,…,m</m:t>
        </m:r>
      </m:oMath>
      <w:r w:rsidRPr="00CC6CA3">
        <w:rPr>
          <w:rFonts w:cs="Times New Roman"/>
          <w:szCs w:val="24"/>
        </w:rPr>
        <w:t>,</w:t>
      </w:r>
      <w:r w:rsidR="00665632" w:rsidRPr="00CC6CA3">
        <w:rPr>
          <w:rFonts w:cs="Times New Roman"/>
          <w:szCs w:val="24"/>
        </w:rPr>
        <w:t xml:space="preserve"> and</w:t>
      </w:r>
      <w:r w:rsidRPr="00CC6CA3">
        <w:rPr>
          <w:rFonts w:cs="Times New Roman"/>
          <w:szCs w:val="24"/>
        </w:rPr>
        <w:t xml:space="preserve"> </w:t>
      </w:r>
      <m:oMath>
        <m:r>
          <w:rPr>
            <w:rFonts w:ascii="Cambria Math" w:hAnsi="Cambria Math" w:cs="Times New Roman"/>
            <w:szCs w:val="24"/>
          </w:rPr>
          <m:t>m</m:t>
        </m:r>
      </m:oMath>
      <w:r w:rsidRPr="00CC6CA3">
        <w:rPr>
          <w:rFonts w:cs="Times New Roman"/>
          <w:szCs w:val="24"/>
        </w:rPr>
        <w:t xml:space="preserve"> is the number of samples.</w:t>
      </w:r>
    </w:p>
    <w:p w14:paraId="25D7343D" w14:textId="77777777" w:rsidR="00E2359E" w:rsidRPr="00CC6CA3" w:rsidRDefault="00E2359E" w:rsidP="00E2359E">
      <w:pPr>
        <w:pStyle w:val="Heading3"/>
      </w:pPr>
      <w:bookmarkStart w:id="150" w:name="_Toc81553257"/>
      <w:r w:rsidRPr="00CC6CA3">
        <w:t>Calculation of consequence in risk assessment</w:t>
      </w:r>
      <w:bookmarkEnd w:id="150"/>
    </w:p>
    <w:p w14:paraId="4BFBDB1B" w14:textId="5D11FE77" w:rsidR="00E2359E" w:rsidRPr="00CC6CA3" w:rsidRDefault="004237AC" w:rsidP="00E2359E">
      <w:r w:rsidRPr="00CC6CA3">
        <w:t>Consequence is another key parameter in risk assessment, and there are two main ways of establishing this model. One way is to calculate a severity score for the fault, and another way is to calculate financial consequences</w:t>
      </w:r>
      <w:r w:rsidR="00E2359E" w:rsidRPr="00CC6CA3">
        <w:t>.</w:t>
      </w:r>
    </w:p>
    <w:p w14:paraId="18117793" w14:textId="77777777" w:rsidR="00E2359E" w:rsidRPr="00CC6CA3" w:rsidRDefault="00E2359E" w:rsidP="00E2359E">
      <w:pPr>
        <w:pStyle w:val="Heading4"/>
      </w:pPr>
      <w:r w:rsidRPr="00CC6CA3">
        <w:t>Severity score</w:t>
      </w:r>
    </w:p>
    <w:p w14:paraId="7124F0EE" w14:textId="601B29B6" w:rsidR="00E2359E" w:rsidRPr="00CC6CA3" w:rsidRDefault="00E2359E" w:rsidP="00E2359E">
      <w:r w:rsidRPr="00CC6CA3">
        <w:t xml:space="preserve">In reference </w:t>
      </w:r>
      <w:r w:rsidRPr="00CC6CA3">
        <w:fldChar w:fldCharType="begin"/>
      </w:r>
      <w:r w:rsidR="007D1BCC" w:rsidRPr="00CC6CA3">
        <w:instrText xml:space="preserve"> ADDIN ZOTERO_ITEM CSL_CITATION {"citationID":"3ztpzHu1","properties":{"formattedCitation":"[94], [121], [122], [124]","plainCitation":"[94], [121], [122], [124]","noteIndex":0},"citationItems":[{"id":844,"uris":["http://zotero.org/users/3051968/items/G28KKBIP"],"uri":["http://zotero.org/users/3051968/items/G28KKBIP"],"itemData":{"id":844,"type":"article-journal","container-title":"Industrial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id":870,"uris":["http://zotero.org/users/3051968/items/DCAA7IZN"],"uri":["http://zotero.org/users/3051968/items/DCAA7IZN"],"itemData":{"id":870,"type":"article-journal","container-title":"Process Safety Progress","issue":"1","note":"publisher: Wiley Online Library","page":"6–17","source":"Google Scholar","title":"Risk-based fault diagnosis and safety management for process systems","volume":"30","author":[{"family":"Bao","given":"Huizhi"},{"family":"Khan","given":"Faisal"},{"family":"Iqbal","given":"Tariq"},{"family":"Chang","given":"Yanjun"}],"issued":{"date-parts":[["2011"]]}}},{"id":865,"uris":["http://zotero.org/users/3051968/items/UZ3QMX2Z"],"uri":["http://zotero.org/users/3051968/items/UZ3QMX2Z"],"itemData":{"id":865,"type":"article-journal","container-title":"Process Safety Progress","issue":"4","note":"publisher: Wiley Online Library","page":"365–375","source":"Google Scholar","title":"Dynamic risk assessment and fault detection using a multivariate technique","volume":"32","author":[{"family":"Zadakbar","given":"O."},{"family":"Imtiaz","given":"S."},{"family":"Khan","given":"F."}],"issued":{"date-parts":[["2013"]]}}},{"id":873,"uris":["http://zotero.org/users/3051968/items/QXTLXQHJ"],"uri":["http://zotero.org/users/3051968/items/QXTLXQHJ"],"itemData":{"id":873,"type":"article-journal","container-title":"The Canadian Journal of Chemical Engineering","issue":"7","note":"publisher: Wiley Online Library","page":"1201–1211","source":"Google Scholar","title":"Dynamic risk assessment of a nonlinear non-Gaussian system using a particle filter and detailed consequence analysis","volume":"93","author":[{"family":"Zadakbar","given":"Omid"},{"family":"Khan","given":"Faisal"},{"family":"Imtiaz","given":"Syed"}],"issued":{"date-parts":[["2015"]]}}}],"schema":"https://github.com/citation-style-language/schema/raw/master/csl-citation.json"} </w:instrText>
      </w:r>
      <w:r w:rsidRPr="00CC6CA3">
        <w:fldChar w:fldCharType="separate"/>
      </w:r>
      <w:r w:rsidR="007D1BCC" w:rsidRPr="00CC6CA3">
        <w:rPr>
          <w:rFonts w:cs="Times New Roman"/>
        </w:rPr>
        <w:t>[94], [121], [122], [124]</w:t>
      </w:r>
      <w:r w:rsidRPr="00CC6CA3">
        <w:fldChar w:fldCharType="end"/>
      </w:r>
      <w:r w:rsidRPr="00CC6CA3">
        <w:t xml:space="preserve">, the 'consequence' in </w:t>
      </w:r>
      <w:r w:rsidR="001514DE" w:rsidRPr="00CC6CA3">
        <w:t xml:space="preserve">the </w:t>
      </w:r>
      <w:r w:rsidRPr="00CC6CA3">
        <w:t xml:space="preserve">risk model was replaced by a fault severity score, which was designed for the applied </w:t>
      </w:r>
      <w:r w:rsidR="00540A71" w:rsidRPr="00CC6CA3">
        <w:t xml:space="preserve">fault detection method, i.e., </w:t>
      </w:r>
      <w:r w:rsidR="00540A71" w:rsidRPr="00CC6CA3">
        <w:rPr>
          <w:rFonts w:hint="eastAsia"/>
        </w:rPr>
        <w:t>contro</w:t>
      </w:r>
      <w:r w:rsidR="00540A71" w:rsidRPr="00CC6CA3">
        <w:t>l chart technique, PCA</w:t>
      </w:r>
      <w:r w:rsidRPr="00CC6CA3">
        <w:t>.</w:t>
      </w:r>
    </w:p>
    <w:p w14:paraId="313BD2F2" w14:textId="325494A7" w:rsidR="00E2359E" w:rsidRPr="00CC6CA3" w:rsidRDefault="00E2359E" w:rsidP="00E2359E">
      <w:r w:rsidRPr="00CC6CA3">
        <w:t xml:space="preserve">For example, in reference </w:t>
      </w:r>
      <w:r w:rsidRPr="00CC6CA3">
        <w:fldChar w:fldCharType="begin"/>
      </w:r>
      <w:r w:rsidR="007D1BCC" w:rsidRPr="00CC6CA3">
        <w:instrText xml:space="preserve"> ADDIN ZOTERO_ITEM CSL_CITATION {"citationID":"T9LQSKeh","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the designed severity is composed of two terms: an exponential term and a pre-exponential term. The exponential term gives the magnitude of fault based on the exceedance of the threshold. The pre-exponential term gives a relative measure of the hazard potential of each principal component. The severity scores for the PCA method can be calculated by Equations </w:t>
      </w:r>
      <w:r w:rsidRPr="00CC6CA3">
        <w:fldChar w:fldCharType="begin"/>
      </w:r>
      <w:r w:rsidRPr="00CC6CA3">
        <w:instrText xml:space="preserve"> REF _Ref41943482 \h  \* MERGEFORMAT </w:instrText>
      </w:r>
      <w:r w:rsidRPr="00CC6CA3">
        <w:fldChar w:fldCharType="separate"/>
      </w:r>
      <w:r w:rsidR="001906D9" w:rsidRPr="00CC6CA3">
        <w:rPr>
          <w:rFonts w:hint="eastAsia"/>
        </w:rPr>
        <w:t>(</w:t>
      </w:r>
      <w:r w:rsidR="001906D9" w:rsidRPr="00CC6CA3">
        <w:t>2</w:t>
      </w:r>
      <w:r w:rsidR="001906D9" w:rsidRPr="00CC6CA3">
        <w:noBreakHyphen/>
        <w:t>12)</w:t>
      </w:r>
      <w:r w:rsidRPr="00CC6CA3">
        <w:fldChar w:fldCharType="end"/>
      </w:r>
      <w:r w:rsidRPr="00CC6CA3">
        <w:t xml:space="preserve"> and </w:t>
      </w:r>
      <w:r w:rsidRPr="00CC6CA3">
        <w:fldChar w:fldCharType="begin"/>
      </w:r>
      <w:r w:rsidRPr="00CC6CA3">
        <w:instrText xml:space="preserve"> REF _Ref43370046 \h  \* MERGEFORMAT </w:instrText>
      </w:r>
      <w:r w:rsidRPr="00CC6CA3">
        <w:fldChar w:fldCharType="separate"/>
      </w:r>
      <w:r w:rsidR="001906D9" w:rsidRPr="00CC6CA3">
        <w:rPr>
          <w:rFonts w:hint="eastAsia"/>
        </w:rPr>
        <w:t>(</w:t>
      </w:r>
      <w:r w:rsidR="001906D9" w:rsidRPr="00CC6CA3">
        <w:t>2</w:t>
      </w:r>
      <w:r w:rsidR="001906D9" w:rsidRPr="00CC6CA3">
        <w:noBreakHyphen/>
        <w:t>13)</w:t>
      </w:r>
      <w:r w:rsidRPr="00CC6CA3">
        <w:fldChar w:fldCharType="end"/>
      </w:r>
      <w:r w:rsidRPr="00CC6C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0"/>
        <w:gridCol w:w="1055"/>
      </w:tblGrid>
      <w:tr w:rsidR="00CC6CA3" w:rsidRPr="00CC6CA3" w14:paraId="6D970C08" w14:textId="77777777" w:rsidTr="00F632C0">
        <w:tc>
          <w:tcPr>
            <w:tcW w:w="7700" w:type="dxa"/>
          </w:tcPr>
          <w:p w14:paraId="5F186AC0" w14:textId="77777777" w:rsidR="00E2359E" w:rsidRPr="00CC6CA3" w:rsidRDefault="00E2359E" w:rsidP="00F632C0">
            <w:pPr>
              <w:jc w:val="left"/>
              <w:rPr>
                <w:rFonts w:asciiTheme="minorHAnsi" w:hAnsiTheme="minorHAnsi"/>
                <w:sz w:val="22"/>
              </w:rPr>
            </w:pPr>
            <w:r w:rsidRPr="00CC6CA3">
              <w:rPr>
                <w:rFonts w:cs="Times New Roman"/>
              </w:rPr>
              <w:t xml:space="preserve">For </w:t>
            </w:r>
            <m:oMath>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&gt;</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 xml:space="preserve"> </m:t>
              </m:r>
            </m:oMath>
            <w:r w:rsidRPr="00CC6CA3">
              <w:rPr>
                <w:rFonts w:cs="Times New Roman"/>
                <w:sz w:val="26"/>
                <w:szCs w:val="26"/>
              </w:rPr>
              <w:t xml:space="preserve">, </w:t>
            </w:r>
            <m:oMath>
              <m:r>
                <w:rPr>
                  <w:rFonts w:ascii="Cambria Math" w:hAnsi="Cambria Math" w:cs="Times New Roman"/>
                  <w:sz w:val="26"/>
                  <w:szCs w:val="26"/>
                </w:rPr>
                <m:t>S</m:t>
              </m:r>
              <m:r>
                <w:rPr>
                  <w:rFonts w:ascii="Cambria Math" w:hAnsi="Cambria Math"/>
                </w:rPr>
                <m:t xml:space="preserve">= </m:t>
              </m:r>
              <m:nary>
                <m:naryPr>
                  <m:chr m:val="∑"/>
                  <m:limLoc m:val="undOvr"/>
                  <m:ctrlPr>
                    <w:rPr>
                      <w:rFonts w:ascii="Cambria Math" w:hAnsi="Cambria Math"/>
                      <w:i/>
                      <w:iCs/>
                    </w:rPr>
                  </m:ctrlPr>
                </m:naryPr>
                <m:sub>
                  <m:r>
                    <w:rPr>
                      <w:rFonts w:ascii="Cambria Math" w:hAnsi="Cambria Math"/>
                    </w:rPr>
                    <m:t>k=1</m:t>
                  </m:r>
                </m:sub>
                <m:sup>
                  <m:r>
                    <w:rPr>
                      <w:rFonts w:ascii="Cambria Math" w:hAnsi="Cambria Math"/>
                    </w:rPr>
                    <m:t>q</m:t>
                  </m:r>
                </m:sup>
                <m:e>
                  <m:sSub>
                    <m:sSubPr>
                      <m:ctrlPr>
                        <w:rPr>
                          <w:rFonts w:ascii="Cambria Math" w:hAnsi="Cambria Math"/>
                          <w:i/>
                          <w:iCs/>
                        </w:rPr>
                      </m:ctrlPr>
                    </m:sSubPr>
                    <m:e>
                      <m:r>
                        <w:rPr>
                          <w:rFonts w:ascii="Cambria Math" w:hAnsi="Cambria Math"/>
                        </w:rPr>
                        <m:t>w</m:t>
                      </m:r>
                    </m:e>
                    <m:sub>
                      <m:r>
                        <w:rPr>
                          <w:rFonts w:ascii="Cambria Math" w:hAnsi="Cambria Math"/>
                        </w:rPr>
                        <m:t>k</m:t>
                      </m:r>
                    </m:sub>
                  </m:sSub>
                  <m:sSub>
                    <m:sSubPr>
                      <m:ctrlPr>
                        <w:rPr>
                          <w:rFonts w:ascii="Cambria Math" w:hAnsi="Cambria Math"/>
                          <w:i/>
                          <w:iCs/>
                        </w:rPr>
                      </m:ctrlPr>
                    </m:sSubPr>
                    <m:e>
                      <m:r>
                        <w:rPr>
                          <w:rFonts w:ascii="Cambria Math" w:hAnsi="Cambria Math"/>
                        </w:rPr>
                        <m:t>a</m:t>
                      </m:r>
                    </m:e>
                    <m:sub>
                      <m:r>
                        <w:rPr>
                          <w:rFonts w:ascii="Cambria Math" w:hAnsi="Cambria Math"/>
                        </w:rPr>
                        <m:t>k</m:t>
                      </m:r>
                    </m:sub>
                  </m:sSub>
                </m:e>
              </m:nary>
              <m:sSup>
                <m:sSupPr>
                  <m:ctrlPr>
                    <w:rPr>
                      <w:rFonts w:ascii="Cambria Math" w:hAnsi="Cambria Math"/>
                      <w:i/>
                      <w:iCs/>
                    </w:rPr>
                  </m:ctrlPr>
                </m:sSupPr>
                <m:e>
                  <m:r>
                    <w:rPr>
                      <w:rFonts w:ascii="Cambria Math" w:hAnsi="Cambria Math"/>
                    </w:rPr>
                    <m:t>100</m:t>
                  </m:r>
                </m:e>
                <m:sup>
                  <m:r>
                    <w:rPr>
                      <w:rFonts w:ascii="Cambria Math" w:hAnsi="Cambria Math" w:cs="Times New Roman"/>
                      <w:sz w:val="26"/>
                      <w:szCs w:val="26"/>
                    </w:rPr>
                    <m:t>{[</m:t>
                  </m:r>
                  <m:sSub>
                    <m:sSubPr>
                      <m:ctrlPr>
                        <w:rPr>
                          <w:rFonts w:ascii="Cambria Math" w:hAnsi="Cambria Math" w:cs="Times New Roman"/>
                          <w:i/>
                          <w:iCs/>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w:rPr>
                      <w:rFonts w:ascii="Cambria Math" w:hAnsi="Cambria Math" w:cs="Times New Roman"/>
                      <w:sz w:val="26"/>
                      <w:szCs w:val="26"/>
                    </w:rPr>
                    <m:t xml:space="preserve"> – (</m:t>
                  </m:r>
                  <m:sSub>
                    <m:sSubPr>
                      <m:ctrlPr>
                        <w:rPr>
                          <w:rFonts w:ascii="Cambria Math" w:hAnsi="Cambria Math" w:cs="Times New Roman"/>
                          <w:i/>
                          <w:iCs/>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w:rPr>
                      <w:rFonts w:ascii="Cambria Math" w:hAnsi="Cambria Math" w:cs="Times New Roman"/>
                      <w:sz w:val="26"/>
                      <w:szCs w:val="26"/>
                    </w:rPr>
                    <m:t xml:space="preserve"> + 3</m:t>
                  </m:r>
                  <m:sSub>
                    <m:sSubPr>
                      <m:ctrlPr>
                        <w:rPr>
                          <w:rFonts w:ascii="Cambria Math" w:hAnsi="Cambria Math" w:cs="Times New Roman"/>
                          <w:i/>
                          <w:iCs/>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r>
                    <w:rPr>
                      <w:rFonts w:ascii="Cambria Math" w:hAnsi="Cambria Math" w:cs="Times New Roman"/>
                      <w:sz w:val="26"/>
                      <w:szCs w:val="26"/>
                    </w:rPr>
                    <m:t>)]/(</m:t>
                  </m:r>
                  <m:sSub>
                    <m:sSubPr>
                      <m:ctrlPr>
                        <w:rPr>
                          <w:rFonts w:ascii="Cambria Math" w:hAnsi="Cambria Math" w:cs="Times New Roman"/>
                          <w:i/>
                          <w:iCs/>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w:rPr>
                      <w:rFonts w:ascii="Cambria Math" w:hAnsi="Cambria Math" w:cs="Times New Roman"/>
                      <w:sz w:val="26"/>
                      <w:szCs w:val="26"/>
                    </w:rPr>
                    <m:t>-</m:t>
                  </m:r>
                  <m:sSub>
                    <m:sSubPr>
                      <m:ctrlPr>
                        <w:rPr>
                          <w:rFonts w:ascii="Cambria Math" w:hAnsi="Cambria Math" w:cs="Times New Roman"/>
                          <w:i/>
                          <w:iCs/>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w:rPr>
                      <w:rFonts w:ascii="Cambria Math" w:hAnsi="Cambria Math" w:cs="Times New Roman"/>
                      <w:sz w:val="26"/>
                      <w:szCs w:val="26"/>
                    </w:rPr>
                    <m:t>)}</m:t>
                  </m:r>
                </m:sup>
              </m:sSup>
            </m:oMath>
          </w:p>
        </w:tc>
        <w:tc>
          <w:tcPr>
            <w:tcW w:w="1055" w:type="dxa"/>
          </w:tcPr>
          <w:p w14:paraId="46C4239D" w14:textId="06F7E7A2" w:rsidR="00E2359E" w:rsidRPr="00CC6CA3" w:rsidRDefault="00E2359E" w:rsidP="00F632C0">
            <w:pPr>
              <w:jc w:val="right"/>
              <w:rPr>
                <w:rFonts w:cs="Times New Roman"/>
                <w:sz w:val="26"/>
                <w:szCs w:val="26"/>
              </w:rPr>
            </w:pPr>
            <w:bookmarkStart w:id="151" w:name="_Ref41943482"/>
            <w:r w:rsidRPr="00CC6CA3">
              <w:rPr>
                <w:rFonts w:cs="Times New Roman" w:hint="eastAsia"/>
                <w:sz w:val="26"/>
                <w:szCs w:val="26"/>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12</w:t>
            </w:r>
            <w:r w:rsidR="00D62691" w:rsidRPr="00CC6CA3">
              <w:rPr>
                <w:noProof/>
              </w:rPr>
              <w:fldChar w:fldCharType="end"/>
            </w:r>
            <w:r w:rsidRPr="00CC6CA3">
              <w:rPr>
                <w:rFonts w:cs="Times New Roman"/>
                <w:sz w:val="26"/>
                <w:szCs w:val="26"/>
              </w:rPr>
              <w:t>)</w:t>
            </w:r>
            <w:bookmarkEnd w:id="151"/>
          </w:p>
        </w:tc>
      </w:tr>
      <w:tr w:rsidR="00CC6CA3" w:rsidRPr="00CC6CA3" w14:paraId="294E32F1" w14:textId="77777777" w:rsidTr="00F632C0">
        <w:tc>
          <w:tcPr>
            <w:tcW w:w="7700" w:type="dxa"/>
          </w:tcPr>
          <w:p w14:paraId="56B5927B" w14:textId="77777777" w:rsidR="00E2359E" w:rsidRPr="00CC6CA3" w:rsidRDefault="00E2359E" w:rsidP="00F632C0">
            <w:pPr>
              <w:jc w:val="left"/>
              <w:rPr>
                <w:rFonts w:eastAsia="等线" w:cs="Times New Roman"/>
              </w:rPr>
            </w:pPr>
            <w:r w:rsidRPr="00CC6CA3">
              <w:rPr>
                <w:rFonts w:cs="Times New Roman"/>
              </w:rPr>
              <w:t xml:space="preserve">For </w:t>
            </w:r>
            <m:oMath>
              <m:sSub>
                <m:sSubPr>
                  <m:ctrlPr>
                    <w:rPr>
                      <w:rFonts w:ascii="Cambria Math" w:hAnsi="Cambria Math" w:cs="Times New Roman"/>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m:rPr>
                  <m:sty m:val="p"/>
                </m:rPr>
                <w:rPr>
                  <w:rFonts w:ascii="Cambria Math" w:hAnsi="Cambria Math" w:cs="Times New Roman"/>
                  <w:sz w:val="26"/>
                  <w:szCs w:val="26"/>
                </w:rPr>
                <m:t>&lt;</m:t>
              </m:r>
              <m:sSub>
                <m:sSubPr>
                  <m:ctrlPr>
                    <w:rPr>
                      <w:rFonts w:ascii="Cambria Math" w:hAnsi="Cambria Math" w:cs="Times New Roman"/>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m:rPr>
                  <m:sty m:val="p"/>
                </m:rPr>
                <w:rPr>
                  <w:rFonts w:ascii="Cambria Math" w:hAnsi="Cambria Math" w:cs="Times New Roman"/>
                  <w:sz w:val="26"/>
                  <w:szCs w:val="26"/>
                </w:rPr>
                <m:t xml:space="preserve"> </m:t>
              </m:r>
            </m:oMath>
            <w:r w:rsidRPr="00CC6CA3">
              <w:rPr>
                <w:rFonts w:cs="Times New Roman"/>
                <w:sz w:val="26"/>
                <w:szCs w:val="26"/>
              </w:rPr>
              <w:t xml:space="preserve">, </w:t>
            </w:r>
            <m:oMath>
              <m:r>
                <w:rPr>
                  <w:rFonts w:ascii="Cambria Math" w:hAnsi="Cambria Math" w:cs="Times New Roman"/>
                  <w:sz w:val="26"/>
                  <w:szCs w:val="26"/>
                </w:rPr>
                <m:t>S</m:t>
              </m:r>
              <m:r>
                <w:rPr>
                  <w:rFonts w:ascii="Cambria Math" w:hAnsi="Cambria Math"/>
                </w:rPr>
                <m:t xml:space="preserve">= </m:t>
              </m:r>
              <m:nary>
                <m:naryPr>
                  <m:chr m:val="∑"/>
                  <m:limLoc m:val="undOvr"/>
                  <m:ctrlPr>
                    <w:rPr>
                      <w:rFonts w:ascii="Cambria Math" w:hAnsi="Cambria Math"/>
                      <w:i/>
                      <w:iCs/>
                    </w:rPr>
                  </m:ctrlPr>
                </m:naryPr>
                <m:sub>
                  <m:r>
                    <w:rPr>
                      <w:rFonts w:ascii="Cambria Math" w:hAnsi="Cambria Math"/>
                    </w:rPr>
                    <m:t>k=1</m:t>
                  </m:r>
                </m:sub>
                <m:sup>
                  <m:r>
                    <w:rPr>
                      <w:rFonts w:ascii="Cambria Math" w:hAnsi="Cambria Math"/>
                    </w:rPr>
                    <m:t>q</m:t>
                  </m:r>
                </m:sup>
                <m:e>
                  <m:sSub>
                    <m:sSubPr>
                      <m:ctrlPr>
                        <w:rPr>
                          <w:rFonts w:ascii="Cambria Math" w:hAnsi="Cambria Math"/>
                          <w:i/>
                          <w:iCs/>
                        </w:rPr>
                      </m:ctrlPr>
                    </m:sSubPr>
                    <m:e>
                      <m:r>
                        <w:rPr>
                          <w:rFonts w:ascii="Cambria Math" w:hAnsi="Cambria Math"/>
                        </w:rPr>
                        <m:t>w</m:t>
                      </m:r>
                    </m:e>
                    <m:sub>
                      <m:r>
                        <w:rPr>
                          <w:rFonts w:ascii="Cambria Math" w:hAnsi="Cambria Math"/>
                        </w:rPr>
                        <m:t>k</m:t>
                      </m:r>
                    </m:sub>
                  </m:sSub>
                  <m:sSub>
                    <m:sSubPr>
                      <m:ctrlPr>
                        <w:rPr>
                          <w:rFonts w:ascii="Cambria Math" w:hAnsi="Cambria Math"/>
                          <w:i/>
                          <w:iCs/>
                        </w:rPr>
                      </m:ctrlPr>
                    </m:sSubPr>
                    <m:e>
                      <m:r>
                        <w:rPr>
                          <w:rFonts w:ascii="Cambria Math" w:hAnsi="Cambria Math"/>
                        </w:rPr>
                        <m:t>a</m:t>
                      </m:r>
                    </m:e>
                    <m:sub>
                      <m:r>
                        <w:rPr>
                          <w:rFonts w:ascii="Cambria Math" w:hAnsi="Cambria Math"/>
                        </w:rPr>
                        <m:t>k</m:t>
                      </m:r>
                    </m:sub>
                  </m:sSub>
                </m:e>
              </m:nary>
              <m:sSup>
                <m:sSupPr>
                  <m:ctrlPr>
                    <w:rPr>
                      <w:rFonts w:ascii="Cambria Math" w:hAnsi="Cambria Math"/>
                      <w:i/>
                      <w:iCs/>
                    </w:rPr>
                  </m:ctrlPr>
                </m:sSupPr>
                <m:e>
                  <m:r>
                    <w:rPr>
                      <w:rFonts w:ascii="Cambria Math" w:hAnsi="Cambria Math"/>
                    </w:rPr>
                    <m:t>100</m:t>
                  </m:r>
                </m:e>
                <m:sup>
                  <m:r>
                    <w:rPr>
                      <w:rFonts w:ascii="Cambria Math" w:hAnsi="Cambria Math" w:cs="Times New Roman"/>
                      <w:sz w:val="26"/>
                      <w:szCs w:val="26"/>
                    </w:rPr>
                    <m:t>{[</m:t>
                  </m:r>
                  <m:sSub>
                    <m:sSubPr>
                      <m:ctrlPr>
                        <w:rPr>
                          <w:rFonts w:ascii="Cambria Math" w:hAnsi="Cambria Math" w:cs="Times New Roman"/>
                          <w:i/>
                          <w:iCs/>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w:rPr>
                      <w:rFonts w:ascii="Cambria Math" w:hAnsi="Cambria Math" w:cs="Times New Roman"/>
                      <w:sz w:val="26"/>
                      <w:szCs w:val="26"/>
                    </w:rPr>
                    <m:t xml:space="preserve"> – (</m:t>
                  </m:r>
                  <m:sSub>
                    <m:sSubPr>
                      <m:ctrlPr>
                        <w:rPr>
                          <w:rFonts w:ascii="Cambria Math" w:hAnsi="Cambria Math" w:cs="Times New Roman"/>
                          <w:i/>
                          <w:iCs/>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w:rPr>
                      <w:rFonts w:ascii="Cambria Math" w:hAnsi="Cambria Math" w:cs="Times New Roman"/>
                      <w:sz w:val="26"/>
                      <w:szCs w:val="26"/>
                    </w:rPr>
                    <m:t>- 3</m:t>
                  </m:r>
                  <m:sSub>
                    <m:sSubPr>
                      <m:ctrlPr>
                        <w:rPr>
                          <w:rFonts w:ascii="Cambria Math" w:hAnsi="Cambria Math" w:cs="Times New Roman"/>
                          <w:i/>
                          <w:iCs/>
                          <w:sz w:val="26"/>
                          <w:szCs w:val="26"/>
                        </w:rPr>
                      </m:ctrlPr>
                    </m:sSubPr>
                    <m:e>
                      <m:r>
                        <w:rPr>
                          <w:rFonts w:ascii="Cambria Math" w:hAnsi="Cambria Math" w:cs="Times New Roman"/>
                          <w:sz w:val="26"/>
                          <w:szCs w:val="26"/>
                        </w:rPr>
                        <m:t>σ</m:t>
                      </m:r>
                    </m:e>
                    <m:sub>
                      <m:r>
                        <w:rPr>
                          <w:rFonts w:ascii="Cambria Math" w:hAnsi="Cambria Math" w:cs="Times New Roman"/>
                          <w:sz w:val="26"/>
                          <w:szCs w:val="26"/>
                        </w:rPr>
                        <m:t>i</m:t>
                      </m:r>
                    </m:sub>
                  </m:sSub>
                  <m:r>
                    <w:rPr>
                      <w:rFonts w:ascii="Cambria Math" w:hAnsi="Cambria Math" w:cs="Times New Roman"/>
                      <w:sz w:val="26"/>
                      <w:szCs w:val="26"/>
                    </w:rPr>
                    <m:t>)]/(</m:t>
                  </m:r>
                  <m:sSub>
                    <m:sSubPr>
                      <m:ctrlPr>
                        <w:rPr>
                          <w:rFonts w:ascii="Cambria Math" w:hAnsi="Cambria Math" w:cs="Times New Roman"/>
                          <w:i/>
                          <w:iCs/>
                          <w:sz w:val="26"/>
                          <w:szCs w:val="26"/>
                        </w:rPr>
                      </m:ctrlPr>
                    </m:sSubPr>
                    <m:e>
                      <m:r>
                        <w:rPr>
                          <w:rFonts w:ascii="Cambria Math" w:hAnsi="Cambria Math" w:cs="Times New Roman"/>
                          <w:sz w:val="26"/>
                          <w:szCs w:val="26"/>
                        </w:rPr>
                        <m:t>x</m:t>
                      </m:r>
                    </m:e>
                    <m:sub>
                      <m:r>
                        <w:rPr>
                          <w:rFonts w:ascii="Cambria Math" w:hAnsi="Cambria Math" w:cs="Times New Roman"/>
                          <w:sz w:val="26"/>
                          <w:szCs w:val="26"/>
                        </w:rPr>
                        <m:t>ij</m:t>
                      </m:r>
                    </m:sub>
                  </m:sSub>
                  <m:r>
                    <w:rPr>
                      <w:rFonts w:ascii="Cambria Math" w:hAnsi="Cambria Math" w:cs="Times New Roman"/>
                      <w:sz w:val="26"/>
                      <w:szCs w:val="26"/>
                    </w:rPr>
                    <m:t>-</m:t>
                  </m:r>
                  <m:sSub>
                    <m:sSubPr>
                      <m:ctrlPr>
                        <w:rPr>
                          <w:rFonts w:ascii="Cambria Math" w:hAnsi="Cambria Math" w:cs="Times New Roman"/>
                          <w:i/>
                          <w:iCs/>
                          <w:sz w:val="26"/>
                          <w:szCs w:val="26"/>
                        </w:rPr>
                      </m:ctrlPr>
                    </m:sSubPr>
                    <m:e>
                      <m:r>
                        <w:rPr>
                          <w:rFonts w:ascii="Cambria Math" w:hAnsi="Cambria Math" w:cs="Times New Roman"/>
                          <w:sz w:val="26"/>
                          <w:szCs w:val="26"/>
                        </w:rPr>
                        <m:t>μ</m:t>
                      </m:r>
                    </m:e>
                    <m:sub>
                      <m:r>
                        <w:rPr>
                          <w:rFonts w:ascii="Cambria Math" w:hAnsi="Cambria Math" w:cs="Times New Roman"/>
                          <w:sz w:val="26"/>
                          <w:szCs w:val="26"/>
                        </w:rPr>
                        <m:t>i</m:t>
                      </m:r>
                    </m:sub>
                  </m:sSub>
                  <m:r>
                    <w:rPr>
                      <w:rFonts w:ascii="Cambria Math" w:hAnsi="Cambria Math" w:cs="Times New Roman"/>
                      <w:sz w:val="26"/>
                      <w:szCs w:val="26"/>
                    </w:rPr>
                    <m:t>)}</m:t>
                  </m:r>
                </m:sup>
              </m:sSup>
            </m:oMath>
          </w:p>
        </w:tc>
        <w:tc>
          <w:tcPr>
            <w:tcW w:w="1055" w:type="dxa"/>
          </w:tcPr>
          <w:p w14:paraId="0EC15107" w14:textId="1507268B" w:rsidR="00E2359E" w:rsidRPr="00CC6CA3" w:rsidRDefault="00E2359E" w:rsidP="00F632C0">
            <w:pPr>
              <w:jc w:val="right"/>
              <w:rPr>
                <w:rFonts w:cs="Times New Roman"/>
                <w:sz w:val="26"/>
                <w:szCs w:val="26"/>
              </w:rPr>
            </w:pPr>
            <w:bookmarkStart w:id="152" w:name="_Ref43370046"/>
            <w:r w:rsidRPr="00CC6CA3">
              <w:rPr>
                <w:rFonts w:cs="Times New Roman" w:hint="eastAsia"/>
                <w:sz w:val="26"/>
                <w:szCs w:val="26"/>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13</w:t>
            </w:r>
            <w:r w:rsidR="00D62691" w:rsidRPr="00CC6CA3">
              <w:rPr>
                <w:noProof/>
              </w:rPr>
              <w:fldChar w:fldCharType="end"/>
            </w:r>
            <w:r w:rsidRPr="00CC6CA3">
              <w:rPr>
                <w:rFonts w:cs="Times New Roman"/>
                <w:sz w:val="26"/>
                <w:szCs w:val="26"/>
              </w:rPr>
              <w:t>)</w:t>
            </w:r>
            <w:bookmarkEnd w:id="152"/>
          </w:p>
        </w:tc>
      </w:tr>
    </w:tbl>
    <w:p w14:paraId="38050046" w14:textId="518D0E34" w:rsidR="00E2359E" w:rsidRPr="00CC6CA3" w:rsidRDefault="00381CED" w:rsidP="00E2359E">
      <w:pPr>
        <w:rPr>
          <w:rFonts w:cs="Times New Roman"/>
          <w:szCs w:val="24"/>
        </w:rPr>
      </w:pPr>
      <w:r w:rsidRPr="00CC6CA3">
        <w:rPr>
          <w:rFonts w:cs="Times New Roman"/>
          <w:szCs w:val="24"/>
        </w:rPr>
        <w:t xml:space="preserve">where </w:t>
      </w:r>
      <m:oMath>
        <m:r>
          <w:rPr>
            <w:rFonts w:ascii="Cambria Math" w:hAnsi="Cambria Math" w:cs="Times New Roman"/>
            <w:szCs w:val="24"/>
          </w:rPr>
          <m:t>S</m:t>
        </m:r>
      </m:oMath>
      <w:r w:rsidRPr="00CC6CA3">
        <w:rPr>
          <w:rFonts w:cs="Times New Roman"/>
          <w:szCs w:val="24"/>
        </w:rPr>
        <w:t xml:space="preserve"> is the severity score of a selected principal </w:t>
      </w:r>
      <w:proofErr w:type="gramStart"/>
      <w:r w:rsidRPr="00CC6CA3">
        <w:rPr>
          <w:rFonts w:cs="Times New Roman"/>
          <w:szCs w:val="24"/>
        </w:rPr>
        <w:t>component.</w:t>
      </w:r>
      <w:proofErr w:type="gramEnd"/>
      <w:r w:rsidRPr="00CC6CA3">
        <w:rPr>
          <w:rFonts w:cs="Times New Roman"/>
          <w:szCs w:val="24"/>
        </w:rPr>
        <w:t xml:space="preserve"> </w:t>
      </w:r>
      <m:oMath>
        <m:r>
          <w:rPr>
            <w:rFonts w:ascii="Cambria Math" w:hAnsi="Cambria Math" w:cs="Times New Roman"/>
            <w:szCs w:val="24"/>
          </w:rPr>
          <m:t>k</m:t>
        </m:r>
        <m:r>
          <m:rPr>
            <m:sty m:val="p"/>
          </m:rPr>
          <w:rPr>
            <w:rFonts w:ascii="Cambria Math" w:hAnsi="Cambria Math" w:cs="Times New Roman"/>
            <w:szCs w:val="24"/>
          </w:rPr>
          <m:t>=1,…,</m:t>
        </m:r>
        <m:r>
          <w:rPr>
            <w:rFonts w:ascii="Cambria Math" w:hAnsi="Cambria Math" w:cs="Times New Roman"/>
            <w:szCs w:val="24"/>
          </w:rPr>
          <m:t>q</m:t>
        </m:r>
      </m:oMath>
      <w:r w:rsidRPr="00CC6CA3">
        <w:rPr>
          <w:rFonts w:cs="Times New Roman"/>
          <w:szCs w:val="24"/>
        </w:rPr>
        <w:t xml:space="preserve">, </w:t>
      </w:r>
      <m:oMath>
        <m:r>
          <w:rPr>
            <w:rFonts w:ascii="Cambria Math" w:hAnsi="Cambria Math" w:cs="Times New Roman"/>
            <w:szCs w:val="24"/>
          </w:rPr>
          <m:t>q</m:t>
        </m:r>
      </m:oMath>
      <w:r w:rsidRPr="00CC6CA3">
        <w:rPr>
          <w:rFonts w:cs="Times New Roman"/>
          <w:szCs w:val="24"/>
        </w:rPr>
        <w:t xml:space="preserve"> is the number of original process signals. </w:t>
      </w:r>
      <m:oMath>
        <m:sSub>
          <m:sSubPr>
            <m:ctrlPr>
              <w:rPr>
                <w:rFonts w:ascii="Cambria Math" w:hAnsi="Cambria Math" w:cs="Times New Roman"/>
                <w:szCs w:val="24"/>
              </w:rPr>
            </m:ctrlPr>
          </m:sSubPr>
          <m:e>
            <m:r>
              <w:rPr>
                <w:rFonts w:ascii="Cambria Math" w:hAnsi="Cambria Math" w:cs="Times New Roman"/>
                <w:szCs w:val="24"/>
              </w:rPr>
              <m:t>μ</m:t>
            </m:r>
          </m:e>
          <m:sub>
            <m:r>
              <w:rPr>
                <w:rFonts w:ascii="Cambria Math" w:hAnsi="Cambria Math" w:cs="Times New Roman"/>
                <w:szCs w:val="24"/>
              </w:rPr>
              <m:t>i</m:t>
            </m:r>
          </m:sub>
        </m:sSub>
        <m:r>
          <m:rPr>
            <m:sty m:val="p"/>
          </m:rPr>
          <w:rPr>
            <w:rFonts w:ascii="Cambria Math" w:hAnsi="Cambria Math" w:cs="Times New Roman"/>
            <w:szCs w:val="24"/>
          </w:rPr>
          <m:t>- 3</m:t>
        </m:r>
        <m:sSub>
          <m:sSubPr>
            <m:ctrlPr>
              <w:rPr>
                <w:rFonts w:ascii="Cambria Math" w:hAnsi="Cambria Math" w:cs="Times New Roman"/>
                <w:szCs w:val="24"/>
              </w:rPr>
            </m:ctrlPr>
          </m:sSubPr>
          <m:e>
            <m:r>
              <w:rPr>
                <w:rFonts w:ascii="Cambria Math" w:hAnsi="Cambria Math" w:cs="Times New Roman"/>
                <w:szCs w:val="24"/>
              </w:rPr>
              <m:t>σ</m:t>
            </m:r>
          </m:e>
          <m:sub>
            <m:r>
              <w:rPr>
                <w:rFonts w:ascii="Cambria Math" w:hAnsi="Cambria Math" w:cs="Times New Roman"/>
                <w:szCs w:val="24"/>
              </w:rPr>
              <m:t>i</m:t>
            </m:r>
          </m:sub>
        </m:sSub>
      </m:oMath>
      <w:r w:rsidRPr="00CC6CA3">
        <w:rPr>
          <w:rFonts w:cs="Times New Roman"/>
          <w:szCs w:val="24"/>
        </w:rPr>
        <w:t xml:space="preserve"> and </w:t>
      </w:r>
      <m:oMath>
        <m:sSub>
          <m:sSubPr>
            <m:ctrlPr>
              <w:rPr>
                <w:rFonts w:ascii="Cambria Math" w:hAnsi="Cambria Math" w:cs="Times New Roman"/>
                <w:szCs w:val="24"/>
              </w:rPr>
            </m:ctrlPr>
          </m:sSubPr>
          <m:e>
            <m:r>
              <w:rPr>
                <w:rFonts w:ascii="Cambria Math" w:hAnsi="Cambria Math" w:cs="Times New Roman"/>
                <w:szCs w:val="24"/>
              </w:rPr>
              <m:t>μ</m:t>
            </m:r>
          </m:e>
          <m:sub>
            <m:r>
              <w:rPr>
                <w:rFonts w:ascii="Cambria Math" w:hAnsi="Cambria Math" w:cs="Times New Roman"/>
                <w:szCs w:val="24"/>
              </w:rPr>
              <m:t>i</m:t>
            </m:r>
          </m:sub>
        </m:sSub>
        <m:r>
          <m:rPr>
            <m:sty m:val="p"/>
          </m:rPr>
          <w:rPr>
            <w:rFonts w:ascii="Cambria Math" w:hAnsi="Cambria Math" w:cs="Times New Roman"/>
            <w:szCs w:val="24"/>
          </w:rPr>
          <m:t xml:space="preserve"> + 3</m:t>
        </m:r>
        <m:sSub>
          <m:sSubPr>
            <m:ctrlPr>
              <w:rPr>
                <w:rFonts w:ascii="Cambria Math" w:hAnsi="Cambria Math" w:cs="Times New Roman"/>
                <w:szCs w:val="24"/>
              </w:rPr>
            </m:ctrlPr>
          </m:sSubPr>
          <m:e>
            <m:r>
              <w:rPr>
                <w:rFonts w:ascii="Cambria Math" w:hAnsi="Cambria Math" w:cs="Times New Roman"/>
                <w:szCs w:val="24"/>
              </w:rPr>
              <m:t>σ</m:t>
            </m:r>
          </m:e>
          <m:sub>
            <m:r>
              <w:rPr>
                <w:rFonts w:ascii="Cambria Math" w:hAnsi="Cambria Math" w:cs="Times New Roman"/>
                <w:szCs w:val="24"/>
              </w:rPr>
              <m:t>i</m:t>
            </m:r>
          </m:sub>
        </m:sSub>
      </m:oMath>
      <w:r w:rsidRPr="00CC6CA3">
        <w:rPr>
          <w:rFonts w:cs="Times New Roman"/>
          <w:szCs w:val="24"/>
        </w:rPr>
        <w:t xml:space="preserve"> are the lower and upper thresholds for normal operation of the selected principal component.  </w:t>
      </w:r>
      <m:oMath>
        <m:r>
          <w:rPr>
            <w:rFonts w:ascii="Cambria Math" w:hAnsi="Cambria Math" w:cs="Times New Roman"/>
            <w:szCs w:val="24"/>
          </w:rPr>
          <m:t>i</m:t>
        </m:r>
        <m:r>
          <m:rPr>
            <m:sty m:val="p"/>
          </m:rPr>
          <w:rPr>
            <w:rFonts w:ascii="Cambria Math" w:hAnsi="Cambria Math" w:cs="Times New Roman"/>
            <w:szCs w:val="24"/>
          </w:rPr>
          <m:t>=1,…,</m:t>
        </m:r>
        <m:r>
          <w:rPr>
            <w:rFonts w:ascii="Cambria Math" w:hAnsi="Cambria Math" w:cs="Times New Roman"/>
            <w:szCs w:val="24"/>
          </w:rPr>
          <m:t>n</m:t>
        </m:r>
      </m:oMath>
      <w:r w:rsidRPr="00CC6CA3">
        <w:rPr>
          <w:rFonts w:cs="Times New Roman"/>
          <w:szCs w:val="24"/>
        </w:rPr>
        <w:t xml:space="preserve">, </w:t>
      </w:r>
      <m:oMath>
        <m:r>
          <w:rPr>
            <w:rFonts w:ascii="Cambria Math" w:hAnsi="Cambria Math" w:cs="Times New Roman"/>
            <w:szCs w:val="24"/>
          </w:rPr>
          <m:t>n</m:t>
        </m:r>
      </m:oMath>
      <w:r w:rsidRPr="00CC6CA3">
        <w:rPr>
          <w:rFonts w:cs="Times New Roman"/>
          <w:szCs w:val="24"/>
        </w:rPr>
        <w:t xml:space="preserve"> is the number of principal components, </w:t>
      </w:r>
      <m:oMath>
        <m:r>
          <w:rPr>
            <w:rFonts w:ascii="Cambria Math" w:hAnsi="Cambria Math" w:cs="Times New Roman"/>
            <w:szCs w:val="24"/>
          </w:rPr>
          <m:t>j</m:t>
        </m:r>
        <m:r>
          <m:rPr>
            <m:sty m:val="p"/>
          </m:rPr>
          <w:rPr>
            <w:rFonts w:ascii="Cambria Math" w:hAnsi="Cambria Math" w:cs="Times New Roman"/>
            <w:szCs w:val="24"/>
          </w:rPr>
          <m:t>=1,…,</m:t>
        </m:r>
        <m:r>
          <w:rPr>
            <w:rFonts w:ascii="Cambria Math" w:hAnsi="Cambria Math" w:cs="Times New Roman"/>
            <w:szCs w:val="24"/>
          </w:rPr>
          <m:t>m</m:t>
        </m:r>
      </m:oMath>
      <w:r w:rsidRPr="00CC6CA3">
        <w:rPr>
          <w:rFonts w:cs="Times New Roman"/>
          <w:szCs w:val="24"/>
        </w:rPr>
        <w:t xml:space="preserve">, </w:t>
      </w:r>
      <m:oMath>
        <m:r>
          <w:rPr>
            <w:rFonts w:ascii="Cambria Math" w:hAnsi="Cambria Math" w:cs="Times New Roman"/>
            <w:szCs w:val="24"/>
          </w:rPr>
          <m:t>m</m:t>
        </m:r>
      </m:oMath>
      <w:r w:rsidRPr="00CC6CA3">
        <w:rPr>
          <w:rFonts w:cs="Times New Roman"/>
          <w:szCs w:val="24"/>
        </w:rPr>
        <w:t xml:space="preserve"> is the number of samples. </w:t>
      </w:r>
      <m:oMath>
        <m:sSub>
          <m:sSubPr>
            <m:ctrlPr>
              <w:rPr>
                <w:rFonts w:ascii="Cambria Math" w:hAnsi="Cambria Math" w:cs="Times New Roman"/>
                <w:szCs w:val="24"/>
              </w:rPr>
            </m:ctrlPr>
          </m:sSubPr>
          <m:e>
            <m:r>
              <w:rPr>
                <w:rFonts w:ascii="Cambria Math" w:hAnsi="Cambria Math" w:cs="Times New Roman"/>
                <w:szCs w:val="24"/>
              </w:rPr>
              <m:t>a</m:t>
            </m:r>
          </m:e>
          <m:sub>
            <m:r>
              <w:rPr>
                <w:rFonts w:ascii="Cambria Math" w:hAnsi="Cambria Math" w:cs="Times New Roman"/>
                <w:szCs w:val="24"/>
              </w:rPr>
              <m:t>k</m:t>
            </m:r>
          </m:sub>
        </m:sSub>
      </m:oMath>
      <w:r w:rsidRPr="00CC6CA3">
        <w:rPr>
          <w:rFonts w:cs="Times New Roman"/>
          <w:szCs w:val="24"/>
        </w:rPr>
        <w:t xml:space="preserve"> is an intensity coefficient of individual variables, and </w:t>
      </w:r>
      <m:oMath>
        <m:sSub>
          <m:sSubPr>
            <m:ctrlPr>
              <w:rPr>
                <w:rFonts w:ascii="Cambria Math" w:hAnsi="Cambria Math" w:cs="Times New Roman"/>
                <w:szCs w:val="24"/>
              </w:rPr>
            </m:ctrlPr>
          </m:sSubPr>
          <m:e>
            <m:r>
              <w:rPr>
                <w:rFonts w:ascii="Cambria Math" w:hAnsi="Cambria Math" w:cs="Times New Roman"/>
                <w:szCs w:val="24"/>
              </w:rPr>
              <m:t>w</m:t>
            </m:r>
          </m:e>
          <m:sub>
            <m:r>
              <w:rPr>
                <w:rFonts w:ascii="Cambria Math" w:hAnsi="Cambria Math" w:cs="Times New Roman"/>
                <w:szCs w:val="24"/>
              </w:rPr>
              <m:t>k</m:t>
            </m:r>
          </m:sub>
        </m:sSub>
      </m:oMath>
      <w:r w:rsidRPr="00CC6CA3">
        <w:rPr>
          <w:rFonts w:cs="Times New Roman"/>
          <w:szCs w:val="24"/>
        </w:rPr>
        <w:t xml:space="preserve"> is the absolute loading of each principal </w:t>
      </w:r>
      <w:proofErr w:type="gramStart"/>
      <w:r w:rsidRPr="00CC6CA3">
        <w:rPr>
          <w:rFonts w:cs="Times New Roman"/>
          <w:szCs w:val="24"/>
        </w:rPr>
        <w:t>component</w:t>
      </w:r>
      <w:r w:rsidR="00E2359E" w:rsidRPr="00CC6CA3">
        <w:rPr>
          <w:rFonts w:cs="Times New Roman"/>
          <w:szCs w:val="24"/>
        </w:rPr>
        <w:t>.</w:t>
      </w:r>
      <w:proofErr w:type="gramEnd"/>
      <w:r w:rsidR="00E2359E" w:rsidRPr="00CC6CA3">
        <w:rPr>
          <w:rFonts w:cs="Times New Roman"/>
          <w:szCs w:val="24"/>
        </w:rPr>
        <w:t xml:space="preserve"> Equations </w:t>
      </w:r>
      <w:r w:rsidR="00E2359E" w:rsidRPr="00CC6CA3">
        <w:rPr>
          <w:rFonts w:cs="Times New Roman"/>
          <w:szCs w:val="24"/>
        </w:rPr>
        <w:fldChar w:fldCharType="begin"/>
      </w:r>
      <w:r w:rsidR="00E2359E" w:rsidRPr="00CC6CA3">
        <w:rPr>
          <w:rFonts w:cs="Times New Roman"/>
          <w:szCs w:val="24"/>
        </w:rPr>
        <w:instrText xml:space="preserve"> REF _Ref41943482 \h  \* MERGEFORMAT </w:instrText>
      </w:r>
      <w:r w:rsidR="00E2359E" w:rsidRPr="00CC6CA3">
        <w:rPr>
          <w:rFonts w:cs="Times New Roman"/>
          <w:szCs w:val="24"/>
        </w:rPr>
      </w:r>
      <w:r w:rsidR="00E2359E" w:rsidRPr="00CC6CA3">
        <w:rPr>
          <w:rFonts w:cs="Times New Roman"/>
          <w:szCs w:val="24"/>
        </w:rPr>
        <w:fldChar w:fldCharType="separate"/>
      </w:r>
      <w:r w:rsidR="001906D9" w:rsidRPr="00CC6CA3">
        <w:rPr>
          <w:rFonts w:cs="Times New Roman" w:hint="eastAsia"/>
          <w:szCs w:val="24"/>
        </w:rPr>
        <w:t>(</w:t>
      </w:r>
      <w:r w:rsidR="001906D9" w:rsidRPr="00CC6CA3">
        <w:rPr>
          <w:rFonts w:cs="Times New Roman"/>
          <w:szCs w:val="24"/>
        </w:rPr>
        <w:t>2</w:t>
      </w:r>
      <w:r w:rsidR="001906D9" w:rsidRPr="00CC6CA3">
        <w:rPr>
          <w:rFonts w:cs="Times New Roman"/>
          <w:szCs w:val="24"/>
        </w:rPr>
        <w:noBreakHyphen/>
        <w:t>12)</w:t>
      </w:r>
      <w:r w:rsidR="00E2359E" w:rsidRPr="00CC6CA3">
        <w:rPr>
          <w:rFonts w:cs="Times New Roman"/>
          <w:szCs w:val="24"/>
        </w:rPr>
        <w:fldChar w:fldCharType="end"/>
      </w:r>
      <w:r w:rsidR="00E2359E" w:rsidRPr="00CC6CA3">
        <w:rPr>
          <w:rFonts w:cs="Times New Roman"/>
          <w:szCs w:val="24"/>
        </w:rPr>
        <w:t xml:space="preserve"> and </w:t>
      </w:r>
      <w:r w:rsidR="00E2359E" w:rsidRPr="00CC6CA3">
        <w:rPr>
          <w:rFonts w:cs="Times New Roman"/>
          <w:szCs w:val="24"/>
        </w:rPr>
        <w:fldChar w:fldCharType="begin"/>
      </w:r>
      <w:r w:rsidR="00E2359E" w:rsidRPr="00CC6CA3">
        <w:rPr>
          <w:rFonts w:cs="Times New Roman"/>
          <w:szCs w:val="24"/>
        </w:rPr>
        <w:instrText xml:space="preserve"> REF _Ref43370046 \h  \* MERGEFORMAT </w:instrText>
      </w:r>
      <w:r w:rsidR="00E2359E" w:rsidRPr="00CC6CA3">
        <w:rPr>
          <w:rFonts w:cs="Times New Roman"/>
          <w:szCs w:val="24"/>
        </w:rPr>
      </w:r>
      <w:r w:rsidR="00E2359E" w:rsidRPr="00CC6CA3">
        <w:rPr>
          <w:rFonts w:cs="Times New Roman"/>
          <w:szCs w:val="24"/>
        </w:rPr>
        <w:fldChar w:fldCharType="separate"/>
      </w:r>
      <w:r w:rsidR="001906D9" w:rsidRPr="00CC6CA3">
        <w:rPr>
          <w:rFonts w:cs="Times New Roman" w:hint="eastAsia"/>
          <w:szCs w:val="24"/>
        </w:rPr>
        <w:t>(</w:t>
      </w:r>
      <w:r w:rsidR="001906D9" w:rsidRPr="00CC6CA3">
        <w:rPr>
          <w:rFonts w:cs="Times New Roman"/>
          <w:szCs w:val="24"/>
        </w:rPr>
        <w:t>2</w:t>
      </w:r>
      <w:r w:rsidR="001906D9" w:rsidRPr="00CC6CA3">
        <w:rPr>
          <w:rFonts w:cs="Times New Roman"/>
          <w:szCs w:val="24"/>
        </w:rPr>
        <w:noBreakHyphen/>
        <w:t>13)</w:t>
      </w:r>
      <w:r w:rsidR="00E2359E" w:rsidRPr="00CC6CA3">
        <w:rPr>
          <w:rFonts w:cs="Times New Roman"/>
          <w:szCs w:val="24"/>
        </w:rPr>
        <w:fldChar w:fldCharType="end"/>
      </w:r>
      <w:r w:rsidR="00E2359E" w:rsidRPr="00CC6CA3">
        <w:rPr>
          <w:rFonts w:cs="Times New Roman"/>
          <w:szCs w:val="24"/>
        </w:rPr>
        <w:t xml:space="preserve"> </w:t>
      </w:r>
      <w:r w:rsidRPr="00CC6CA3">
        <w:rPr>
          <w:rFonts w:cs="Times New Roman"/>
          <w:szCs w:val="24"/>
        </w:rPr>
        <w:t xml:space="preserve">convert severity of the original process signals to severity scores for </w:t>
      </w:r>
      <w:r w:rsidRPr="00CC6CA3">
        <w:rPr>
          <w:rFonts w:cs="Times New Roman" w:hint="eastAsia"/>
          <w:szCs w:val="24"/>
        </w:rPr>
        <w:t>a</w:t>
      </w:r>
      <w:r w:rsidRPr="00CC6CA3">
        <w:rPr>
          <w:rFonts w:cs="Times New Roman"/>
          <w:szCs w:val="24"/>
        </w:rPr>
        <w:t xml:space="preserve"> selected principal component</w:t>
      </w:r>
      <w:r w:rsidR="00E2359E" w:rsidRPr="00CC6CA3">
        <w:rPr>
          <w:rFonts w:cs="Times New Roman"/>
          <w:szCs w:val="24"/>
        </w:rPr>
        <w:t>.</w:t>
      </w:r>
    </w:p>
    <w:p w14:paraId="32E8442A" w14:textId="77777777" w:rsidR="00E2359E" w:rsidRPr="00CC6CA3" w:rsidRDefault="00E2359E" w:rsidP="00E2359E">
      <w:pPr>
        <w:pStyle w:val="Heading4"/>
      </w:pPr>
      <w:r w:rsidRPr="00CC6CA3">
        <w:t>Financial consequences</w:t>
      </w:r>
    </w:p>
    <w:p w14:paraId="138BC4B8" w14:textId="07EB2981" w:rsidR="00E2359E" w:rsidRPr="00CC6CA3" w:rsidRDefault="00E2359E" w:rsidP="00E2359E">
      <w:pPr>
        <w:rPr>
          <w:rFonts w:cs="Times New Roman"/>
          <w:szCs w:val="24"/>
        </w:rPr>
      </w:pPr>
      <w:r w:rsidRPr="00CC6CA3">
        <w:rPr>
          <w:rFonts w:cs="Times New Roman"/>
          <w:szCs w:val="24"/>
        </w:rPr>
        <w:t xml:space="preserve">The consequence of the fault can also </w:t>
      </w:r>
      <w:r w:rsidRPr="00CC6CA3">
        <w:t>be</w:t>
      </w:r>
      <w:r w:rsidRPr="00CC6CA3">
        <w:rPr>
          <w:rFonts w:cs="Times New Roman"/>
          <w:szCs w:val="24"/>
        </w:rPr>
        <w:t xml:space="preserve"> expressed </w:t>
      </w:r>
      <w:r w:rsidR="0010175C" w:rsidRPr="00CC6CA3">
        <w:rPr>
          <w:rFonts w:cs="Times New Roman"/>
          <w:szCs w:val="24"/>
        </w:rPr>
        <w:t xml:space="preserve">in terms of </w:t>
      </w:r>
      <w:r w:rsidRPr="00CC6CA3">
        <w:rPr>
          <w:rFonts w:cs="Times New Roman"/>
          <w:szCs w:val="24"/>
        </w:rPr>
        <w:t xml:space="preserve">financial costs, using Equation </w:t>
      </w:r>
      <w:r w:rsidRPr="00CC6CA3">
        <w:rPr>
          <w:rFonts w:cs="Times New Roman"/>
          <w:szCs w:val="24"/>
        </w:rPr>
        <w:fldChar w:fldCharType="begin"/>
      </w:r>
      <w:r w:rsidRPr="00CC6CA3">
        <w:rPr>
          <w:rFonts w:cs="Times New Roman"/>
          <w:szCs w:val="24"/>
        </w:rPr>
        <w:instrText xml:space="preserve"> REF _Ref61872045 \h  \* MERGEFORMAT </w:instrText>
      </w:r>
      <w:r w:rsidRPr="00CC6CA3">
        <w:rPr>
          <w:rFonts w:cs="Times New Roman"/>
          <w:szCs w:val="24"/>
        </w:rPr>
      </w:r>
      <w:r w:rsidRPr="00CC6CA3">
        <w:rPr>
          <w:rFonts w:cs="Times New Roman"/>
          <w:szCs w:val="24"/>
        </w:rPr>
        <w:fldChar w:fldCharType="separate"/>
      </w:r>
      <w:r w:rsidR="001906D9" w:rsidRPr="00CC6CA3">
        <w:rPr>
          <w:rFonts w:cs="Times New Roman" w:hint="eastAsia"/>
          <w:szCs w:val="24"/>
        </w:rPr>
        <w:t>(</w:t>
      </w:r>
      <w:r w:rsidR="001906D9" w:rsidRPr="00CC6CA3">
        <w:rPr>
          <w:rFonts w:cs="Times New Roman"/>
          <w:szCs w:val="24"/>
        </w:rPr>
        <w:t>2</w:t>
      </w:r>
      <w:r w:rsidR="001906D9" w:rsidRPr="00CC6CA3">
        <w:rPr>
          <w:rFonts w:cs="Times New Roman"/>
          <w:szCs w:val="24"/>
        </w:rPr>
        <w:noBreakHyphen/>
        <w:t>14)</w:t>
      </w:r>
      <w:r w:rsidRPr="00CC6CA3">
        <w:rPr>
          <w:rFonts w:cs="Times New Roman"/>
          <w:szCs w:val="24"/>
        </w:rPr>
        <w:fldChar w:fldCharType="end"/>
      </w:r>
      <w:r w:rsidRPr="00CC6CA3">
        <w:rPr>
          <w:rFonts w:cs="Times New Roman"/>
          <w:szCs w:val="24"/>
        </w:rPr>
        <w:t xml:space="preserve"> </w:t>
      </w:r>
      <w:r w:rsidRPr="00CC6CA3">
        <w:rPr>
          <w:rFonts w:cs="Times New Roman"/>
          <w:szCs w:val="24"/>
        </w:rPr>
        <w:fldChar w:fldCharType="begin"/>
      </w:r>
      <w:r w:rsidR="007D1BCC" w:rsidRPr="00CC6CA3">
        <w:rPr>
          <w:rFonts w:cs="Times New Roman"/>
          <w:szCs w:val="24"/>
        </w:rPr>
        <w:instrText xml:space="preserve"> ADDIN ZOTERO_ITEM CSL_CITATION {"citationID":"S3XQg6B8","properties":{"formattedCitation":"[125]\\uc0\\u8211{}[127]","plainCitation":"[125]–[127]","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id":982,"uris":["http://zotero.org/users/3051968/items/X6VTIH2S"],"uri":["http://zotero.org/users/3051968/items/X6VTIH2S"],"itemData":{"id":982,"type":"article-journal","container-title":"The Canadian Journal of Chemical Engineering","issue":"7","note":"publisher: Wiley Online Library","page":"1295–1307","source":"Google Scholar","title":"Risk-based process system monitoring using self-organizing map integrated with loss functions","volume":"94","author":[{"family":"Yu","given":"Hongyang"},{"family":"Khan","given":"Faisal"},{"family":"Garaniya","given":"Vikram"}],"issued":{"date-parts":[["2016"]]}}},{"id":984,"uris":["http://zotero.org/users/3051968/items/DF25CZKV"],"uri":["http://zotero.org/users/3051968/items/DF25CZKV"],"itemData":{"id":984,"type":"article-journal","container-title":"Chemical Engineering Science","note":"publisher: Elsevier","page":"99–108","source":"Google Scholar","title":"Risk-based operational performance analysis using loss functions","volume":"116","author":[{"family":"Hashemi","given":"Seyed Javad"},{"family":"Ahmed","given":"Salim"},{"family":"Khan","given":"Faisal I."}],"issued":{"date-parts":[["2014"]]}}}],"schema":"https://github.com/citation-style-language/schema/raw/master/csl-citation.json"} </w:instrText>
      </w:r>
      <w:r w:rsidRPr="00CC6CA3">
        <w:rPr>
          <w:rFonts w:cs="Times New Roman"/>
          <w:szCs w:val="24"/>
        </w:rPr>
        <w:fldChar w:fldCharType="separate"/>
      </w:r>
      <w:r w:rsidR="007D1BCC" w:rsidRPr="00CC6CA3">
        <w:rPr>
          <w:rFonts w:cs="Times New Roman"/>
          <w:szCs w:val="24"/>
        </w:rPr>
        <w:t>[125]–[127]</w:t>
      </w:r>
      <w:r w:rsidRPr="00CC6CA3">
        <w:rPr>
          <w:rFonts w:cs="Times New Roman"/>
          <w:szCs w:val="24"/>
        </w:rPr>
        <w:fldChar w:fldCharType="end"/>
      </w:r>
      <w:r w:rsidRPr="00CC6CA3">
        <w:rPr>
          <w:rFonts w:cs="Times New Roman"/>
          <w:szCs w:val="24"/>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01"/>
        <w:gridCol w:w="1364"/>
      </w:tblGrid>
      <w:tr w:rsidR="00CC6CA3" w:rsidRPr="00CC6CA3" w14:paraId="1409CA04" w14:textId="77777777" w:rsidTr="00F632C0">
        <w:trPr>
          <w:jc w:val="center"/>
        </w:trPr>
        <w:tc>
          <w:tcPr>
            <w:tcW w:w="4222" w:type="pct"/>
            <w:vAlign w:val="center"/>
          </w:tcPr>
          <w:p w14:paraId="740688ED" w14:textId="77777777" w:rsidR="00E2359E" w:rsidRPr="00CC6CA3" w:rsidRDefault="00E2359E" w:rsidP="00F632C0">
            <w:pPr>
              <w:spacing w:after="160"/>
              <w:rPr>
                <w:rFonts w:cs="Times New Roman"/>
                <w:szCs w:val="24"/>
              </w:rPr>
            </w:pPr>
            <m:oMathPara>
              <m:oMath>
                <m:r>
                  <m:rPr>
                    <m:sty m:val="p"/>
                  </m:rPr>
                  <w:rPr>
                    <w:rFonts w:ascii="Cambria Math" w:hAnsi="Cambria Math" w:cs="Times New Roman"/>
                    <w:szCs w:val="24"/>
                  </w:rPr>
                  <w:fldChar w:fldCharType="begin"/>
                </m:r>
                <m:r>
                  <m:rPr>
                    <m:sty m:val="p"/>
                  </m:rPr>
                  <w:rPr>
                    <w:rFonts w:ascii="Cambria Math" w:hAnsi="Cambria Math" w:cs="Times New Roman"/>
                    <w:szCs w:val="24"/>
                  </w:rPr>
                  <m:t xml:space="preserve"> EQ </m:t>
                </m:r>
                <m:r>
                  <m:rPr>
                    <m:sty m:val="p"/>
                  </m:rPr>
                  <w:rPr>
                    <w:rFonts w:ascii="Cambria Math" w:hAnsi="Cambria Math" w:cs="Times New Roman"/>
                    <w:szCs w:val="24"/>
                  </w:rPr>
                  <w:fldChar w:fldCharType="end"/>
                </m:r>
                <m:r>
                  <w:rPr>
                    <w:rFonts w:ascii="Cambria Math" w:hAnsi="Cambria Math" w:cs="Times New Roman"/>
                    <w:szCs w:val="24"/>
                  </w:rPr>
                  <m:t>COF</m:t>
                </m:r>
                <m:r>
                  <m:rPr>
                    <m:sty m:val="p"/>
                  </m:rPr>
                  <w:rPr>
                    <w:rFonts w:ascii="Cambria Math" w:hAnsi="Cambria Math" w:cs="Times New Roman"/>
                    <w:szCs w:val="24"/>
                  </w:rPr>
                  <m:t xml:space="preserve">= </m:t>
                </m:r>
                <m:r>
                  <w:rPr>
                    <w:rFonts w:ascii="Cambria Math" w:hAnsi="Cambria Math" w:cs="Times New Roman"/>
                    <w:szCs w:val="24"/>
                  </w:rPr>
                  <m:t>EML</m:t>
                </m:r>
                <m:r>
                  <m:rPr>
                    <m:sty m:val="p"/>
                  </m:rPr>
                  <w:rPr>
                    <w:rFonts w:ascii="Cambria Math" w:hAnsi="Cambria Math" w:cs="Times New Roman"/>
                    <w:szCs w:val="24"/>
                  </w:rPr>
                  <m:t>∙</m:t>
                </m:r>
                <m:r>
                  <w:rPr>
                    <w:rFonts w:ascii="Cambria Math" w:hAnsi="Cambria Math" w:cs="Times New Roman"/>
                    <w:szCs w:val="24"/>
                  </w:rPr>
                  <m:t>L</m:t>
                </m:r>
                <m:d>
                  <m:dPr>
                    <m:ctrlPr>
                      <w:rPr>
                        <w:rFonts w:ascii="Cambria Math" w:hAnsi="Cambria Math" w:cs="Times New Roman"/>
                        <w:szCs w:val="24"/>
                      </w:rPr>
                    </m:ctrlPr>
                  </m:dPr>
                  <m:e>
                    <m:r>
                      <w:rPr>
                        <w:rFonts w:ascii="Cambria Math" w:hAnsi="Cambria Math" w:cs="Times New Roman"/>
                        <w:szCs w:val="24"/>
                      </w:rPr>
                      <m:t>y</m:t>
                    </m:r>
                  </m:e>
                </m:d>
              </m:oMath>
            </m:oMathPara>
          </w:p>
        </w:tc>
        <w:tc>
          <w:tcPr>
            <w:tcW w:w="778" w:type="pct"/>
            <w:vAlign w:val="center"/>
          </w:tcPr>
          <w:p w14:paraId="39BFF43E" w14:textId="5542EE0A" w:rsidR="00E2359E" w:rsidRPr="00CC6CA3" w:rsidRDefault="00E2359E" w:rsidP="00F632C0">
            <w:pPr>
              <w:spacing w:after="160"/>
              <w:jc w:val="right"/>
              <w:rPr>
                <w:rFonts w:cs="Times New Roman"/>
                <w:szCs w:val="24"/>
              </w:rPr>
            </w:pPr>
            <w:bookmarkStart w:id="153" w:name="_Ref61872045"/>
            <w:r w:rsidRPr="00CC6CA3">
              <w:rPr>
                <w:rFonts w:cs="Times New Roman" w:hint="eastAsia"/>
                <w:szCs w:val="24"/>
              </w:rPr>
              <w:t>(</w:t>
            </w:r>
            <w:r w:rsidRPr="00CC6CA3">
              <w:rPr>
                <w:rFonts w:cs="Times New Roman"/>
                <w:szCs w:val="24"/>
              </w:rPr>
              <w:fldChar w:fldCharType="begin"/>
            </w:r>
            <w:r w:rsidRPr="00CC6CA3">
              <w:rPr>
                <w:rFonts w:cs="Times New Roman"/>
                <w:szCs w:val="24"/>
              </w:rPr>
              <w:instrText xml:space="preserve"> STYLEREF 1 \s </w:instrText>
            </w:r>
            <w:r w:rsidRPr="00CC6CA3">
              <w:rPr>
                <w:rFonts w:cs="Times New Roman"/>
                <w:szCs w:val="24"/>
              </w:rPr>
              <w:fldChar w:fldCharType="separate"/>
            </w:r>
            <w:r w:rsidR="001906D9" w:rsidRPr="00CC6CA3">
              <w:rPr>
                <w:rFonts w:cs="Times New Roman"/>
                <w:noProof/>
                <w:szCs w:val="24"/>
              </w:rPr>
              <w:t>2</w:t>
            </w:r>
            <w:r w:rsidRPr="00CC6CA3">
              <w:rPr>
                <w:rFonts w:cs="Times New Roman"/>
                <w:szCs w:val="24"/>
              </w:rPr>
              <w:fldChar w:fldCharType="end"/>
            </w:r>
            <w:r w:rsidRPr="00CC6CA3">
              <w:rPr>
                <w:rFonts w:cs="Times New Roman"/>
                <w:szCs w:val="24"/>
              </w:rPr>
              <w:noBreakHyphen/>
            </w:r>
            <w:r w:rsidRPr="00CC6CA3">
              <w:rPr>
                <w:rFonts w:cs="Times New Roman"/>
                <w:szCs w:val="24"/>
              </w:rPr>
              <w:fldChar w:fldCharType="begin"/>
            </w:r>
            <w:r w:rsidRPr="00CC6CA3">
              <w:rPr>
                <w:rFonts w:cs="Times New Roman"/>
                <w:szCs w:val="24"/>
              </w:rPr>
              <w:instrText xml:space="preserve"> SEQ Equation \* ARABIC \s 1 </w:instrText>
            </w:r>
            <w:r w:rsidRPr="00CC6CA3">
              <w:rPr>
                <w:rFonts w:cs="Times New Roman"/>
                <w:szCs w:val="24"/>
              </w:rPr>
              <w:fldChar w:fldCharType="separate"/>
            </w:r>
            <w:r w:rsidR="001906D9" w:rsidRPr="00CC6CA3">
              <w:rPr>
                <w:rFonts w:cs="Times New Roman"/>
                <w:noProof/>
                <w:szCs w:val="24"/>
              </w:rPr>
              <w:t>14</w:t>
            </w:r>
            <w:r w:rsidRPr="00CC6CA3">
              <w:rPr>
                <w:rFonts w:cs="Times New Roman"/>
                <w:szCs w:val="24"/>
              </w:rPr>
              <w:fldChar w:fldCharType="end"/>
            </w:r>
            <w:r w:rsidRPr="00CC6CA3">
              <w:rPr>
                <w:rFonts w:cs="Times New Roman"/>
                <w:szCs w:val="24"/>
              </w:rPr>
              <w:t>)</w:t>
            </w:r>
            <w:bookmarkEnd w:id="153"/>
          </w:p>
        </w:tc>
      </w:tr>
    </w:tbl>
    <w:p w14:paraId="5697A69C" w14:textId="77777777" w:rsidR="00E2359E" w:rsidRPr="00CC6CA3" w:rsidRDefault="00E2359E" w:rsidP="00E2359E">
      <w:pPr>
        <w:rPr>
          <w:rFonts w:cs="Times New Roman"/>
          <w:szCs w:val="24"/>
        </w:rPr>
      </w:pPr>
      <w:r w:rsidRPr="00CC6CA3">
        <w:rPr>
          <w:rFonts w:cs="Times New Roman"/>
          <w:szCs w:val="24"/>
        </w:rPr>
        <w:lastRenderedPageBreak/>
        <w:t xml:space="preserve">where </w:t>
      </w:r>
      <m:oMath>
        <m:r>
          <w:rPr>
            <w:rFonts w:ascii="Cambria Math" w:hAnsi="Cambria Math" w:cs="Times New Roman"/>
            <w:szCs w:val="24"/>
          </w:rPr>
          <m:t>EML</m:t>
        </m:r>
      </m:oMath>
      <w:r w:rsidRPr="00CC6CA3">
        <w:rPr>
          <w:rFonts w:cs="Times New Roman"/>
          <w:szCs w:val="24"/>
        </w:rPr>
        <w:t xml:space="preserve"> is the </w:t>
      </w:r>
      <w:r w:rsidRPr="00CC6CA3">
        <w:t>estimated</w:t>
      </w:r>
      <w:r w:rsidRPr="00CC6CA3">
        <w:rPr>
          <w:rFonts w:cs="Times New Roman"/>
          <w:szCs w:val="24"/>
        </w:rPr>
        <w:t xml:space="preserve"> maximum loss based on the worst conditions, </w:t>
      </w:r>
      <m:oMath>
        <m:r>
          <w:rPr>
            <w:rFonts w:ascii="Cambria Math" w:hAnsi="Cambria Math" w:cs="Times New Roman"/>
            <w:szCs w:val="24"/>
          </w:rPr>
          <m:t>L</m:t>
        </m:r>
        <m:d>
          <m:dPr>
            <m:ctrlPr>
              <w:rPr>
                <w:rFonts w:ascii="Cambria Math" w:hAnsi="Cambria Math" w:cs="Times New Roman"/>
                <w:szCs w:val="24"/>
              </w:rPr>
            </m:ctrlPr>
          </m:dPr>
          <m:e>
            <m:r>
              <w:rPr>
                <w:rFonts w:ascii="Cambria Math" w:hAnsi="Cambria Math" w:cs="Times New Roman"/>
                <w:szCs w:val="24"/>
              </w:rPr>
              <m:t>y</m:t>
            </m:r>
          </m:e>
        </m:d>
      </m:oMath>
      <w:r w:rsidRPr="00CC6CA3">
        <w:rPr>
          <w:rFonts w:cs="Times New Roman"/>
          <w:szCs w:val="24"/>
        </w:rPr>
        <w:t xml:space="preserve"> is a loss function, and </w:t>
      </w:r>
      <m:oMath>
        <m:r>
          <w:rPr>
            <w:rFonts w:ascii="Cambria Math" w:hAnsi="Cambria Math" w:cs="Times New Roman"/>
            <w:szCs w:val="24"/>
          </w:rPr>
          <m:t>y</m:t>
        </m:r>
      </m:oMath>
      <w:r w:rsidRPr="00CC6CA3">
        <w:rPr>
          <w:rFonts w:cs="Times New Roman"/>
          <w:szCs w:val="24"/>
        </w:rPr>
        <w:t xml:space="preserve"> is the current value of the variable.</w:t>
      </w:r>
    </w:p>
    <w:p w14:paraId="12DFA07E" w14:textId="24BE0306" w:rsidR="00E2359E" w:rsidRPr="00CC6CA3" w:rsidRDefault="00E2359E" w:rsidP="00E2359E">
      <w:pPr>
        <w:rPr>
          <w:rFonts w:cs="Times New Roman"/>
          <w:szCs w:val="24"/>
        </w:rPr>
      </w:pPr>
      <w:r w:rsidRPr="00CC6CA3">
        <w:rPr>
          <w:rFonts w:cs="Times New Roman"/>
          <w:szCs w:val="24"/>
        </w:rPr>
        <w:t xml:space="preserve">For the calculation </w:t>
      </w:r>
      <w:r w:rsidR="00E5256D" w:rsidRPr="00CC6CA3">
        <w:rPr>
          <w:rFonts w:cs="Times New Roman"/>
          <w:szCs w:val="24"/>
        </w:rPr>
        <w:t xml:space="preserve">of </w:t>
      </w:r>
      <m:oMath>
        <m:r>
          <w:rPr>
            <w:rFonts w:ascii="Cambria Math" w:hAnsi="Cambria Math" w:cs="Times New Roman"/>
            <w:szCs w:val="24"/>
          </w:rPr>
          <m:t>EML</m:t>
        </m:r>
      </m:oMath>
      <w:r w:rsidRPr="00CC6CA3">
        <w:rPr>
          <w:rFonts w:cs="Times New Roman"/>
          <w:szCs w:val="24"/>
        </w:rPr>
        <w:t xml:space="preserve">, reference </w:t>
      </w:r>
      <w:r w:rsidRPr="00CC6CA3">
        <w:rPr>
          <w:rFonts w:cs="Times New Roman"/>
          <w:szCs w:val="24"/>
        </w:rPr>
        <w:fldChar w:fldCharType="begin"/>
      </w:r>
      <w:r w:rsidR="007D1BCC" w:rsidRPr="00CC6CA3">
        <w:rPr>
          <w:rFonts w:cs="Times New Roman"/>
          <w:szCs w:val="24"/>
        </w:rPr>
        <w:instrText xml:space="preserve"> ADDIN ZOTERO_ITEM CSL_CITATION {"citationID":"mGZ1wZIN","properties":{"formattedCitation":"[127]","plainCitation":"[127]","noteIndex":0},"citationItems":[{"id":984,"uris":["http://zotero.org/users/3051968/items/DF25CZKV"],"uri":["http://zotero.org/users/3051968/items/DF25CZKV"],"itemData":{"id":984,"type":"article-journal","container-title":"Chemical Engineering Science","note":"publisher: Elsevier","page":"99–108","source":"Google Scholar","title":"Risk-based operational performance analysis using loss functions","volume":"116","author":[{"family":"Hashemi","given":"Seyed Javad"},{"family":"Ahmed","given":"Salim"},{"family":"Khan","given":"Faisal I."}],"issued":{"date-parts":[["2014"]]}}}],"schema":"https://github.com/citation-style-language/schema/raw/master/csl-citation.json"} </w:instrText>
      </w:r>
      <w:r w:rsidRPr="00CC6CA3">
        <w:rPr>
          <w:rFonts w:cs="Times New Roman"/>
          <w:szCs w:val="24"/>
        </w:rPr>
        <w:fldChar w:fldCharType="separate"/>
      </w:r>
      <w:r w:rsidR="007D1BCC" w:rsidRPr="00CC6CA3">
        <w:rPr>
          <w:rFonts w:cs="Times New Roman"/>
        </w:rPr>
        <w:t>[127]</w:t>
      </w:r>
      <w:r w:rsidRPr="00CC6CA3">
        <w:rPr>
          <w:rFonts w:cs="Times New Roman"/>
          <w:szCs w:val="24"/>
        </w:rPr>
        <w:fldChar w:fldCharType="end"/>
      </w:r>
      <w:r w:rsidRPr="00CC6CA3">
        <w:rPr>
          <w:rFonts w:cs="Times New Roman"/>
          <w:szCs w:val="24"/>
        </w:rPr>
        <w:t xml:space="preserve"> suggested considering five categories: quality, production, asset, human health, and environment loss. The loss categories are displayed in </w:t>
      </w:r>
      <w:r w:rsidRPr="00CC6CA3">
        <w:rPr>
          <w:rFonts w:cs="Times New Roman"/>
          <w:szCs w:val="24"/>
        </w:rPr>
        <w:fldChar w:fldCharType="begin"/>
      </w:r>
      <w:r w:rsidRPr="00CC6CA3">
        <w:rPr>
          <w:rFonts w:cs="Times New Roman"/>
          <w:szCs w:val="24"/>
        </w:rPr>
        <w:instrText xml:space="preserve"> REF _Ref61876306 \h  \* MERGEFORMAT </w:instrText>
      </w:r>
      <w:r w:rsidRPr="00CC6CA3">
        <w:rPr>
          <w:rFonts w:cs="Times New Roman"/>
          <w:szCs w:val="24"/>
        </w:rPr>
      </w:r>
      <w:r w:rsidRPr="00CC6CA3">
        <w:rPr>
          <w:rFonts w:cs="Times New Roman"/>
          <w:szCs w:val="24"/>
        </w:rPr>
        <w:fldChar w:fldCharType="separate"/>
      </w:r>
      <w:r w:rsidR="001906D9" w:rsidRPr="00CC6CA3">
        <w:rPr>
          <w:rFonts w:cs="Times New Roman"/>
          <w:szCs w:val="24"/>
        </w:rPr>
        <w:t>Figure 2.13</w:t>
      </w:r>
      <w:r w:rsidRPr="00CC6CA3">
        <w:rPr>
          <w:rFonts w:cs="Times New Roman"/>
          <w:szCs w:val="24"/>
        </w:rPr>
        <w:fldChar w:fldCharType="end"/>
      </w:r>
      <w:r w:rsidRPr="00CC6CA3">
        <w:rPr>
          <w:rFonts w:cs="Times New Roman"/>
          <w:szCs w:val="24"/>
        </w:rPr>
        <w:t>.</w:t>
      </w:r>
    </w:p>
    <w:p w14:paraId="281CB1E1" w14:textId="77777777" w:rsidR="00E2359E" w:rsidRPr="00CC6CA3" w:rsidRDefault="00E2359E" w:rsidP="00E2359E">
      <w:pPr>
        <w:pStyle w:val="Caption"/>
        <w:jc w:val="center"/>
      </w:pPr>
      <w:r w:rsidRPr="00CC6CA3">
        <w:rPr>
          <w:noProof/>
        </w:rPr>
        <w:drawing>
          <wp:inline distT="0" distB="0" distL="0" distR="0" wp14:anchorId="7559E56A" wp14:editId="14C30540">
            <wp:extent cx="3836027" cy="2700000"/>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36027" cy="2700000"/>
                    </a:xfrm>
                    <a:prstGeom prst="rect">
                      <a:avLst/>
                    </a:prstGeom>
                    <a:noFill/>
                  </pic:spPr>
                </pic:pic>
              </a:graphicData>
            </a:graphic>
          </wp:inline>
        </w:drawing>
      </w:r>
    </w:p>
    <w:p w14:paraId="6FE0CFBD" w14:textId="2334382A" w:rsidR="00E2359E" w:rsidRPr="00CC6CA3" w:rsidRDefault="00E2359E" w:rsidP="00E2359E">
      <w:pPr>
        <w:pStyle w:val="Caption"/>
        <w:jc w:val="center"/>
      </w:pPr>
      <w:bookmarkStart w:id="154" w:name="_Ref61876306"/>
      <w:bookmarkStart w:id="155" w:name="_Toc8155334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FB19C9" w:rsidRPr="00CC6CA3">
        <w:t>.</w:t>
      </w:r>
      <w:r w:rsidR="00D62691" w:rsidRPr="00CC6CA3">
        <w:fldChar w:fldCharType="begin"/>
      </w:r>
      <w:r w:rsidR="00D62691" w:rsidRPr="00CC6CA3">
        <w:instrText xml:space="preserve"> SEQ F</w:instrText>
      </w:r>
      <w:r w:rsidR="00D62691" w:rsidRPr="00CC6CA3">
        <w:instrText xml:space="preserve">igure \* ARABIC \s 1 </w:instrText>
      </w:r>
      <w:r w:rsidR="00D62691" w:rsidRPr="00CC6CA3">
        <w:fldChar w:fldCharType="separate"/>
      </w:r>
      <w:r w:rsidR="001906D9" w:rsidRPr="00CC6CA3">
        <w:rPr>
          <w:noProof/>
        </w:rPr>
        <w:t>13</w:t>
      </w:r>
      <w:r w:rsidR="00D62691" w:rsidRPr="00CC6CA3">
        <w:rPr>
          <w:noProof/>
        </w:rPr>
        <w:fldChar w:fldCharType="end"/>
      </w:r>
      <w:bookmarkEnd w:id="154"/>
      <w:r w:rsidRPr="00CC6CA3">
        <w:t xml:space="preserve"> Loss categories can be considered for the calculation of the estimated maximum loss  </w:t>
      </w:r>
      <w:r w:rsidRPr="00CC6CA3">
        <w:fldChar w:fldCharType="begin"/>
      </w:r>
      <w:r w:rsidR="007D1BCC" w:rsidRPr="00CC6CA3">
        <w:instrText xml:space="preserve"> ADDIN ZOTERO_ITEM CSL_CITATION {"citationID":"2FuxCq2U","properties":{"formattedCitation":"[127]","plainCitation":"[127]","noteIndex":0},"citationItems":[{"id":984,"uris":["http://zotero.org/users/3051968/items/DF25CZKV"],"uri":["http://zotero.org/users/3051968/items/DF25CZKV"],"itemData":{"id":984,"type":"article-journal","container-title":"Chemical Engineering Science","note":"publisher: Elsevier","page":"99–108","source":"Google Scholar","title":"Risk-based operational performance analysis using loss functions","volume":"116","author":[{"family":"Hashemi","given":"Seyed Javad"},{"family":"Ahmed","given":"Salim"},{"family":"Khan","given":"Faisal I."}],"issued":{"date-parts":[["2014"]]}}}],"schema":"https://github.com/citation-style-language/schema/raw/master/csl-citation.json"} </w:instrText>
      </w:r>
      <w:r w:rsidRPr="00CC6CA3">
        <w:fldChar w:fldCharType="separate"/>
      </w:r>
      <w:r w:rsidR="007D1BCC" w:rsidRPr="00CC6CA3">
        <w:rPr>
          <w:rFonts w:cs="Times New Roman"/>
        </w:rPr>
        <w:t>[127]</w:t>
      </w:r>
      <w:bookmarkEnd w:id="155"/>
      <w:r w:rsidRPr="00CC6CA3">
        <w:fldChar w:fldCharType="end"/>
      </w:r>
    </w:p>
    <w:p w14:paraId="1E8E7F0C" w14:textId="2894282F" w:rsidR="00E2359E" w:rsidRPr="00CC6CA3" w:rsidRDefault="00B532C2" w:rsidP="00E2359E">
      <w:r w:rsidRPr="00CC6CA3">
        <w:rPr>
          <w:iCs/>
        </w:rPr>
        <w:t>The loss function describes the economic consequences of deviations from normal values</w:t>
      </w:r>
      <w:r w:rsidR="00E2359E" w:rsidRPr="00CC6CA3">
        <w:rPr>
          <w:iCs/>
        </w:rPr>
        <w:t xml:space="preserve"> </w:t>
      </w:r>
      <w:r w:rsidR="00E2359E" w:rsidRPr="00CC6CA3">
        <w:fldChar w:fldCharType="begin"/>
      </w:r>
      <w:r w:rsidR="007D1BCC" w:rsidRPr="00CC6CA3">
        <w:instrText xml:space="preserve"> ADDIN ZOTERO_ITEM CSL_CITATION {"citationID":"xSfBIKvW","properties":{"formattedCitation":"[125]","plainCitation":"[125]","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assessment","volume":"111","author":[{"family":"Khan","given":"Faisal"},{"family":"Wang","given":"Hangzhou"},{"family":"Yang","given":"Ming"}],"issued":{"date-parts":[["2016"]]}}}],"schema":"https://github.com/citation-style-language/schema/raw/master/csl-citation.json"} </w:instrText>
      </w:r>
      <w:r w:rsidR="00E2359E" w:rsidRPr="00CC6CA3">
        <w:fldChar w:fldCharType="separate"/>
      </w:r>
      <w:r w:rsidR="007D1BCC" w:rsidRPr="00CC6CA3">
        <w:rPr>
          <w:rFonts w:cs="Times New Roman"/>
        </w:rPr>
        <w:t>[125]</w:t>
      </w:r>
      <w:r w:rsidR="00E2359E" w:rsidRPr="00CC6CA3">
        <w:fldChar w:fldCharType="end"/>
      </w:r>
      <w:r w:rsidR="00E2359E" w:rsidRPr="00CC6CA3">
        <w:rPr>
          <w:iCs/>
        </w:rPr>
        <w:t xml:space="preserve">. </w:t>
      </w:r>
      <w:r w:rsidRPr="00CC6CA3">
        <w:t xml:space="preserve">Common types </w:t>
      </w:r>
      <w:r w:rsidR="00E2359E" w:rsidRPr="00CC6CA3">
        <w:t xml:space="preserve">of loss function are listed in </w:t>
      </w:r>
      <w:r w:rsidR="00E2359E" w:rsidRPr="00CC6CA3">
        <w:fldChar w:fldCharType="begin"/>
      </w:r>
      <w:r w:rsidR="00E2359E" w:rsidRPr="00CC6CA3">
        <w:instrText xml:space="preserve"> REF _Ref61900195 \h </w:instrText>
      </w:r>
      <w:r w:rsidR="00E2359E" w:rsidRPr="00CC6CA3">
        <w:fldChar w:fldCharType="separate"/>
      </w:r>
      <w:r w:rsidR="001906D9" w:rsidRPr="00CC6CA3">
        <w:t xml:space="preserve">Table </w:t>
      </w:r>
      <w:r w:rsidR="001906D9" w:rsidRPr="00CC6CA3">
        <w:rPr>
          <w:noProof/>
        </w:rPr>
        <w:t>2</w:t>
      </w:r>
      <w:r w:rsidR="001906D9" w:rsidRPr="00CC6CA3">
        <w:t>.</w:t>
      </w:r>
      <w:r w:rsidR="001906D9" w:rsidRPr="00CC6CA3">
        <w:rPr>
          <w:noProof/>
        </w:rPr>
        <w:t>3</w:t>
      </w:r>
      <w:r w:rsidR="00E2359E" w:rsidRPr="00CC6CA3">
        <w:fldChar w:fldCharType="end"/>
      </w:r>
      <w:r w:rsidR="00E2359E" w:rsidRPr="00CC6CA3">
        <w:t xml:space="preserve">, and their parameters are described in </w:t>
      </w:r>
      <w:r w:rsidR="00E2359E" w:rsidRPr="00CC6CA3">
        <w:fldChar w:fldCharType="begin"/>
      </w:r>
      <w:r w:rsidR="00E2359E" w:rsidRPr="00CC6CA3">
        <w:instrText xml:space="preserve"> REF _Ref61902645 \h </w:instrText>
      </w:r>
      <w:r w:rsidR="00E2359E" w:rsidRPr="00CC6CA3">
        <w:fldChar w:fldCharType="separate"/>
      </w:r>
      <w:r w:rsidR="001906D9" w:rsidRPr="00CC6CA3">
        <w:t xml:space="preserve">Table </w:t>
      </w:r>
      <w:r w:rsidR="001906D9" w:rsidRPr="00CC6CA3">
        <w:rPr>
          <w:noProof/>
        </w:rPr>
        <w:t>2</w:t>
      </w:r>
      <w:r w:rsidR="001906D9" w:rsidRPr="00CC6CA3">
        <w:t>.</w:t>
      </w:r>
      <w:r w:rsidR="001906D9" w:rsidRPr="00CC6CA3">
        <w:rPr>
          <w:noProof/>
        </w:rPr>
        <w:t>4</w:t>
      </w:r>
      <w:r w:rsidR="00E2359E" w:rsidRPr="00CC6CA3">
        <w:fldChar w:fldCharType="end"/>
      </w:r>
      <w:r w:rsidR="00E2359E" w:rsidRPr="00CC6CA3">
        <w:t>.</w:t>
      </w:r>
    </w:p>
    <w:p w14:paraId="5BACACB9" w14:textId="23D585AE" w:rsidR="00E2359E" w:rsidRPr="00CC6CA3" w:rsidRDefault="00E2359E" w:rsidP="00E2359E">
      <w:pPr>
        <w:pStyle w:val="Caption"/>
        <w:keepNext/>
      </w:pPr>
      <w:bookmarkStart w:id="156" w:name="_Ref61900195"/>
      <w:bookmarkStart w:id="157" w:name="_Toc81553468"/>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3</w:t>
      </w:r>
      <w:r w:rsidR="00D62691" w:rsidRPr="00CC6CA3">
        <w:rPr>
          <w:noProof/>
        </w:rPr>
        <w:fldChar w:fldCharType="end"/>
      </w:r>
      <w:bookmarkEnd w:id="156"/>
      <w:r w:rsidRPr="00CC6CA3">
        <w:t xml:space="preserve"> Common types of loss functions </w:t>
      </w:r>
      <w:r w:rsidRPr="00CC6CA3">
        <w:fldChar w:fldCharType="begin"/>
      </w:r>
      <w:r w:rsidR="007D1BCC" w:rsidRPr="00CC6CA3">
        <w:instrText xml:space="preserve"> ADDIN ZOTERO_ITEM CSL_CITATION {"citationID":"LQABwlpd","properties":{"formattedCitation":"[125]","plainCitation":"[125]","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assessment","volume":"111","author":[{"family":"Khan","given":"Faisal"},{"family":"Wang","given":"Hangzhou"},{"family":"Yang","given":"Ming"}],"issued":{"date-parts":[["2016"]]}}}],"schema":"https://github.com/citation-style-language/schema/raw/master/csl-citation.json"} </w:instrText>
      </w:r>
      <w:r w:rsidRPr="00CC6CA3">
        <w:fldChar w:fldCharType="separate"/>
      </w:r>
      <w:r w:rsidR="007D1BCC" w:rsidRPr="00CC6CA3">
        <w:rPr>
          <w:rFonts w:cs="Times New Roman"/>
        </w:rPr>
        <w:t>[125]</w:t>
      </w:r>
      <w:bookmarkEnd w:id="157"/>
      <w:r w:rsidRPr="00CC6CA3">
        <w:fldChar w:fldCharType="end"/>
      </w:r>
    </w:p>
    <w:tbl>
      <w:tblPr>
        <w:tblStyle w:val="TableGrid"/>
        <w:tblW w:w="0" w:type="auto"/>
        <w:tblLook w:val="04A0" w:firstRow="1" w:lastRow="0" w:firstColumn="1" w:lastColumn="0" w:noHBand="0" w:noVBand="1"/>
      </w:tblPr>
      <w:tblGrid>
        <w:gridCol w:w="3114"/>
        <w:gridCol w:w="5641"/>
      </w:tblGrid>
      <w:tr w:rsidR="00CC6CA3" w:rsidRPr="00CC6CA3" w14:paraId="717EF48B" w14:textId="77777777" w:rsidTr="00F632C0">
        <w:tc>
          <w:tcPr>
            <w:tcW w:w="3114" w:type="dxa"/>
          </w:tcPr>
          <w:p w14:paraId="0A6B2C59" w14:textId="77777777" w:rsidR="00E2359E" w:rsidRPr="00CC6CA3" w:rsidRDefault="00E2359E" w:rsidP="00F632C0">
            <w:pPr>
              <w:rPr>
                <w:b/>
                <w:bCs/>
                <w:iCs/>
                <w:sz w:val="20"/>
                <w:szCs w:val="20"/>
              </w:rPr>
            </w:pPr>
            <w:r w:rsidRPr="00CC6CA3">
              <w:rPr>
                <w:b/>
                <w:bCs/>
                <w:iCs/>
                <w:sz w:val="20"/>
                <w:szCs w:val="20"/>
              </w:rPr>
              <w:t>Loss functions</w:t>
            </w:r>
          </w:p>
        </w:tc>
        <w:tc>
          <w:tcPr>
            <w:tcW w:w="5641" w:type="dxa"/>
          </w:tcPr>
          <w:p w14:paraId="4C90FE77" w14:textId="77777777" w:rsidR="00E2359E" w:rsidRPr="00CC6CA3" w:rsidRDefault="00E2359E" w:rsidP="00F632C0">
            <w:pPr>
              <w:jc w:val="center"/>
              <w:rPr>
                <w:b/>
                <w:bCs/>
                <w:iCs/>
                <w:sz w:val="20"/>
                <w:szCs w:val="20"/>
              </w:rPr>
            </w:pPr>
            <w:r w:rsidRPr="00CC6CA3">
              <w:rPr>
                <w:b/>
                <w:bCs/>
                <w:iCs/>
                <w:sz w:val="20"/>
                <w:szCs w:val="20"/>
              </w:rPr>
              <w:t>Equations</w:t>
            </w:r>
          </w:p>
        </w:tc>
      </w:tr>
      <w:tr w:rsidR="00CC6CA3" w:rsidRPr="00CC6CA3" w14:paraId="7BE0C366" w14:textId="77777777" w:rsidTr="00F632C0">
        <w:tc>
          <w:tcPr>
            <w:tcW w:w="3114" w:type="dxa"/>
          </w:tcPr>
          <w:p w14:paraId="2E78661E" w14:textId="77777777" w:rsidR="00E2359E" w:rsidRPr="00CC6CA3" w:rsidRDefault="00E2359E" w:rsidP="00F632C0">
            <w:pPr>
              <w:rPr>
                <w:iCs/>
                <w:sz w:val="20"/>
                <w:szCs w:val="20"/>
              </w:rPr>
            </w:pPr>
            <w:r w:rsidRPr="00CC6CA3">
              <w:rPr>
                <w:iCs/>
                <w:sz w:val="20"/>
                <w:szCs w:val="20"/>
              </w:rPr>
              <w:t>Squared error loss function</w:t>
            </w:r>
          </w:p>
        </w:tc>
        <w:tc>
          <w:tcPr>
            <w:tcW w:w="5641" w:type="dxa"/>
          </w:tcPr>
          <w:p w14:paraId="5BF25CD8" w14:textId="77777777" w:rsidR="00E2359E" w:rsidRPr="00CC6CA3" w:rsidRDefault="00E2359E" w:rsidP="00F632C0">
            <w:pPr>
              <w:rPr>
                <w:iCs/>
                <w:sz w:val="20"/>
                <w:szCs w:val="20"/>
              </w:rPr>
            </w:pPr>
            <m:oMathPara>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y</m:t>
                </m:r>
                <m:r>
                  <m:rPr>
                    <m:sty m:val="p"/>
                  </m:rPr>
                  <w:rPr>
                    <w:rFonts w:ascii="Cambria Math" w:hAnsi="Cambria Math"/>
                    <w:sz w:val="20"/>
                    <w:szCs w:val="20"/>
                  </w:rPr>
                  <m:t xml:space="preserve">) = </m:t>
                </m:r>
                <m:sSup>
                  <m:sSupPr>
                    <m:ctrlPr>
                      <w:rPr>
                        <w:rFonts w:ascii="Cambria Math" w:hAnsi="Cambria Math"/>
                        <w:iCs/>
                        <w:sz w:val="20"/>
                        <w:szCs w:val="20"/>
                      </w:rPr>
                    </m:ctrlPr>
                  </m:sSupPr>
                  <m:e>
                    <m:r>
                      <m:rPr>
                        <m:sty m:val="p"/>
                      </m:rPr>
                      <w:rPr>
                        <w:rFonts w:ascii="Cambria Math" w:hAnsi="Cambria Math"/>
                        <w:sz w:val="20"/>
                        <w:szCs w:val="20"/>
                      </w:rPr>
                      <m:t>(</m:t>
                    </m:r>
                    <m:r>
                      <w:rPr>
                        <w:rFonts w:ascii="Cambria Math" w:hAnsi="Cambria Math"/>
                        <w:sz w:val="20"/>
                        <w:szCs w:val="20"/>
                      </w:rPr>
                      <m:t>y</m:t>
                    </m:r>
                    <m:r>
                      <m:rPr>
                        <m:sty m:val="p"/>
                      </m:rPr>
                      <w:rPr>
                        <w:rFonts w:ascii="Cambria Math" w:hAnsi="Cambria Math"/>
                        <w:sz w:val="20"/>
                        <w:szCs w:val="20"/>
                      </w:rPr>
                      <m:t xml:space="preserve"> </m:t>
                    </m:r>
                    <m:r>
                      <m:rPr>
                        <m:sty m:val="p"/>
                      </m:rPr>
                      <w:rPr>
                        <w:rFonts w:ascii="微软雅黑" w:eastAsia="微软雅黑" w:hAnsi="微软雅黑" w:cs="微软雅黑" w:hint="eastAsia"/>
                        <w:sz w:val="20"/>
                        <w:szCs w:val="20"/>
                      </w:rPr>
                      <m:t>-</m:t>
                    </m:r>
                    <m:r>
                      <m:rPr>
                        <m:sty m:val="p"/>
                      </m:rPr>
                      <w:rPr>
                        <w:rFonts w:ascii="Cambria Math" w:hAnsi="Cambria Math"/>
                        <w:sz w:val="20"/>
                        <w:szCs w:val="20"/>
                      </w:rPr>
                      <m:t xml:space="preserve"> </m:t>
                    </m:r>
                    <m:r>
                      <w:rPr>
                        <w:rFonts w:ascii="Cambria Math" w:hAnsi="Cambria Math"/>
                        <w:sz w:val="20"/>
                        <w:szCs w:val="20"/>
                      </w:rPr>
                      <m:t>T</m:t>
                    </m:r>
                    <m:r>
                      <m:rPr>
                        <m:sty m:val="p"/>
                      </m:rPr>
                      <w:rPr>
                        <w:rFonts w:ascii="Cambria Math" w:hAnsi="Cambria Math"/>
                        <w:sz w:val="20"/>
                        <w:szCs w:val="20"/>
                      </w:rPr>
                      <m:t>)</m:t>
                    </m:r>
                  </m:e>
                  <m:sup>
                    <m:r>
                      <m:rPr>
                        <m:sty m:val="p"/>
                      </m:rPr>
                      <w:rPr>
                        <w:rFonts w:ascii="Cambria Math" w:hAnsi="Cambria Math"/>
                        <w:sz w:val="20"/>
                        <w:szCs w:val="20"/>
                      </w:rPr>
                      <m:t>2</m:t>
                    </m:r>
                  </m:sup>
                </m:sSup>
              </m:oMath>
            </m:oMathPara>
          </w:p>
        </w:tc>
      </w:tr>
      <w:tr w:rsidR="00CC6CA3" w:rsidRPr="00CC6CA3" w14:paraId="3BC40D3D" w14:textId="77777777" w:rsidTr="00F632C0">
        <w:tc>
          <w:tcPr>
            <w:tcW w:w="3114" w:type="dxa"/>
          </w:tcPr>
          <w:p w14:paraId="78B526B3" w14:textId="77777777" w:rsidR="00E2359E" w:rsidRPr="00CC6CA3" w:rsidRDefault="00E2359E" w:rsidP="00F632C0">
            <w:pPr>
              <w:rPr>
                <w:iCs/>
                <w:sz w:val="20"/>
                <w:szCs w:val="20"/>
              </w:rPr>
            </w:pPr>
            <w:r w:rsidRPr="00CC6CA3">
              <w:rPr>
                <w:iCs/>
                <w:sz w:val="20"/>
                <w:szCs w:val="20"/>
              </w:rPr>
              <w:t>Absolute error loss function</w:t>
            </w:r>
          </w:p>
        </w:tc>
        <w:tc>
          <w:tcPr>
            <w:tcW w:w="5641" w:type="dxa"/>
          </w:tcPr>
          <w:p w14:paraId="589A8A9A" w14:textId="77777777" w:rsidR="00E2359E" w:rsidRPr="00CC6CA3" w:rsidRDefault="00E2359E" w:rsidP="00F632C0">
            <w:pPr>
              <w:rPr>
                <w:iCs/>
                <w:sz w:val="20"/>
                <w:szCs w:val="20"/>
              </w:rPr>
            </w:pPr>
            <m:oMathPara>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y</m:t>
                </m:r>
                <m:r>
                  <m:rPr>
                    <m:sty m:val="p"/>
                  </m:rPr>
                  <w:rPr>
                    <w:rFonts w:ascii="Cambria Math" w:hAnsi="Cambria Math"/>
                    <w:sz w:val="20"/>
                    <w:szCs w:val="20"/>
                  </w:rPr>
                  <m:t>) = |</m:t>
                </m:r>
                <m:r>
                  <w:rPr>
                    <w:rFonts w:ascii="Cambria Math" w:hAnsi="Cambria Math"/>
                    <w:sz w:val="20"/>
                    <w:szCs w:val="20"/>
                  </w:rPr>
                  <m:t>y</m:t>
                </m:r>
                <m:r>
                  <m:rPr>
                    <m:sty m:val="p"/>
                  </m:rPr>
                  <w:rPr>
                    <w:rFonts w:ascii="Cambria Math" w:hAnsi="Cambria Math"/>
                    <w:sz w:val="20"/>
                    <w:szCs w:val="20"/>
                  </w:rPr>
                  <m:t xml:space="preserve"> </m:t>
                </m:r>
                <m:r>
                  <m:rPr>
                    <m:sty m:val="p"/>
                  </m:rPr>
                  <w:rPr>
                    <w:rFonts w:ascii="微软雅黑" w:eastAsia="微软雅黑" w:hAnsi="微软雅黑" w:cs="微软雅黑" w:hint="eastAsia"/>
                    <w:sz w:val="20"/>
                    <w:szCs w:val="20"/>
                  </w:rPr>
                  <m:t>-</m:t>
                </m:r>
                <m:r>
                  <m:rPr>
                    <m:sty m:val="p"/>
                  </m:rPr>
                  <w:rPr>
                    <w:rFonts w:ascii="Cambria Math" w:hAnsi="Cambria Math"/>
                    <w:sz w:val="20"/>
                    <w:szCs w:val="20"/>
                  </w:rPr>
                  <m:t xml:space="preserve"> </m:t>
                </m:r>
                <m:r>
                  <w:rPr>
                    <w:rFonts w:ascii="Cambria Math" w:hAnsi="Cambria Math"/>
                    <w:sz w:val="20"/>
                    <w:szCs w:val="20"/>
                  </w:rPr>
                  <m:t>T</m:t>
                </m:r>
                <m:r>
                  <m:rPr>
                    <m:sty m:val="p"/>
                  </m:rPr>
                  <w:rPr>
                    <w:rFonts w:ascii="Cambria Math" w:hAnsi="Cambria Math"/>
                    <w:sz w:val="20"/>
                    <w:szCs w:val="20"/>
                  </w:rPr>
                  <m:t>|</m:t>
                </m:r>
              </m:oMath>
            </m:oMathPara>
          </w:p>
        </w:tc>
      </w:tr>
      <w:tr w:rsidR="00CC6CA3" w:rsidRPr="00CC6CA3" w14:paraId="2BDEEBB5" w14:textId="77777777" w:rsidTr="00F632C0">
        <w:tc>
          <w:tcPr>
            <w:tcW w:w="3114" w:type="dxa"/>
          </w:tcPr>
          <w:p w14:paraId="6B3CA816" w14:textId="77777777" w:rsidR="00E2359E" w:rsidRPr="00CC6CA3" w:rsidRDefault="00E2359E" w:rsidP="00F632C0">
            <w:pPr>
              <w:rPr>
                <w:iCs/>
                <w:sz w:val="20"/>
                <w:szCs w:val="20"/>
              </w:rPr>
            </w:pPr>
            <w:r w:rsidRPr="00CC6CA3">
              <w:rPr>
                <w:iCs/>
                <w:sz w:val="20"/>
                <w:szCs w:val="20"/>
              </w:rPr>
              <w:t>Weighted loss function</w:t>
            </w:r>
          </w:p>
        </w:tc>
        <w:tc>
          <w:tcPr>
            <w:tcW w:w="5641" w:type="dxa"/>
          </w:tcPr>
          <w:p w14:paraId="11094669" w14:textId="77777777" w:rsidR="00E2359E" w:rsidRPr="00CC6CA3" w:rsidRDefault="00E2359E" w:rsidP="00F632C0">
            <w:pPr>
              <w:rPr>
                <w:iCs/>
                <w:sz w:val="20"/>
                <w:szCs w:val="20"/>
              </w:rPr>
            </w:pPr>
            <m:oMathPara>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y</m:t>
                </m:r>
                <m:r>
                  <m:rPr>
                    <m:sty m:val="p"/>
                  </m:rPr>
                  <w:rPr>
                    <w:rFonts w:ascii="Cambria Math" w:hAnsi="Cambria Math"/>
                    <w:sz w:val="20"/>
                    <w:szCs w:val="20"/>
                  </w:rPr>
                  <m:t>) =</m:t>
                </m:r>
                <m:nary>
                  <m:naryPr>
                    <m:chr m:val="∑"/>
                    <m:limLoc m:val="undOvr"/>
                    <m:subHide m:val="1"/>
                    <m:supHide m:val="1"/>
                    <m:ctrlPr>
                      <w:rPr>
                        <w:rFonts w:ascii="Cambria Math" w:hAnsi="Cambria Math"/>
                        <w:iCs/>
                        <w:sz w:val="20"/>
                        <w:szCs w:val="20"/>
                      </w:rPr>
                    </m:ctrlPr>
                  </m:naryPr>
                  <m:sub/>
                  <m:sup/>
                  <m:e>
                    <m:sSub>
                      <m:sSubPr>
                        <m:ctrlPr>
                          <w:rPr>
                            <w:rFonts w:ascii="Cambria Math" w:hAnsi="Cambria Math"/>
                            <w:i/>
                            <w:iCs/>
                            <w:sz w:val="20"/>
                            <w:szCs w:val="20"/>
                          </w:rPr>
                        </m:ctrlPr>
                      </m:sSubPr>
                      <m:e>
                        <m:r>
                          <w:rPr>
                            <w:rFonts w:ascii="Cambria Math" w:hAnsi="Cambria Math"/>
                            <w:sz w:val="20"/>
                            <w:szCs w:val="20"/>
                          </w:rPr>
                          <m:t>ω</m:t>
                        </m:r>
                      </m:e>
                      <m:sub>
                        <m:r>
                          <w:rPr>
                            <w:rFonts w:ascii="Cambria Math" w:hAnsi="Cambria Math"/>
                            <w:sz w:val="20"/>
                            <w:szCs w:val="20"/>
                          </w:rPr>
                          <m:t>i</m:t>
                        </m:r>
                      </m:sub>
                    </m:sSub>
                    <m:sSup>
                      <m:sSupPr>
                        <m:ctrlPr>
                          <w:rPr>
                            <w:rFonts w:ascii="Cambria Math" w:hAnsi="Cambria Math"/>
                            <w:i/>
                            <w:iCs/>
                            <w:sz w:val="20"/>
                            <w:szCs w:val="20"/>
                          </w:rPr>
                        </m:ctrlPr>
                      </m:sSupPr>
                      <m:e>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y</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T</m:t>
                            </m:r>
                          </m:e>
                          <m:sub>
                            <m:r>
                              <w:rPr>
                                <w:rFonts w:ascii="Cambria Math" w:hAnsi="Cambria Math"/>
                                <w:sz w:val="20"/>
                                <w:szCs w:val="20"/>
                              </w:rPr>
                              <m:t>i</m:t>
                            </m:r>
                          </m:sub>
                        </m:sSub>
                        <m:r>
                          <w:rPr>
                            <w:rFonts w:ascii="Cambria Math" w:hAnsi="Cambria Math"/>
                            <w:sz w:val="20"/>
                            <w:szCs w:val="20"/>
                          </w:rPr>
                          <m:t>)</m:t>
                        </m:r>
                      </m:e>
                      <m:sup>
                        <m:r>
                          <w:rPr>
                            <w:rFonts w:ascii="Cambria Math" w:hAnsi="Cambria Math"/>
                            <w:sz w:val="20"/>
                            <w:szCs w:val="20"/>
                          </w:rPr>
                          <m:t>2</m:t>
                        </m:r>
                      </m:sup>
                    </m:sSup>
                  </m:e>
                </m:nary>
              </m:oMath>
            </m:oMathPara>
          </w:p>
        </w:tc>
      </w:tr>
      <w:tr w:rsidR="00CC6CA3" w:rsidRPr="00CC6CA3" w14:paraId="58C3ADD3" w14:textId="77777777" w:rsidTr="00F632C0">
        <w:tc>
          <w:tcPr>
            <w:tcW w:w="3114" w:type="dxa"/>
          </w:tcPr>
          <w:p w14:paraId="2205561F" w14:textId="77777777" w:rsidR="00E2359E" w:rsidRPr="00CC6CA3" w:rsidRDefault="00E2359E" w:rsidP="00F632C0">
            <w:pPr>
              <w:rPr>
                <w:iCs/>
                <w:sz w:val="20"/>
                <w:szCs w:val="20"/>
              </w:rPr>
            </w:pPr>
            <w:r w:rsidRPr="00CC6CA3">
              <w:rPr>
                <w:iCs/>
                <w:sz w:val="20"/>
                <w:szCs w:val="20"/>
              </w:rPr>
              <w:t>Zero-one loss function</w:t>
            </w:r>
          </w:p>
        </w:tc>
        <w:tc>
          <w:tcPr>
            <w:tcW w:w="5641" w:type="dxa"/>
          </w:tcPr>
          <w:p w14:paraId="41C5B529"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L</m:t>
                </m:r>
                <m:d>
                  <m:dPr>
                    <m:ctrlPr>
                      <w:rPr>
                        <w:rFonts w:ascii="Cambria Math" w:hAnsi="Cambria Math"/>
                        <w:i/>
                        <w:iCs/>
                        <w:sz w:val="20"/>
                        <w:szCs w:val="20"/>
                      </w:rPr>
                    </m:ctrlPr>
                  </m:dPr>
                  <m:e>
                    <m:r>
                      <w:rPr>
                        <w:rFonts w:ascii="Cambria Math" w:hAnsi="Cambria Math"/>
                        <w:sz w:val="20"/>
                        <w:szCs w:val="20"/>
                      </w:rPr>
                      <m:t>y</m:t>
                    </m:r>
                  </m:e>
                </m:d>
                <m:r>
                  <w:rPr>
                    <w:rFonts w:ascii="Cambria Math" w:hAnsi="Cambria Math"/>
                    <w:sz w:val="20"/>
                    <w:szCs w:val="20"/>
                  </w:rPr>
                  <m:t>=</m:t>
                </m:r>
                <m:d>
                  <m:dPr>
                    <m:begChr m:val="{"/>
                    <m:endChr m:val=""/>
                    <m:ctrlPr>
                      <w:rPr>
                        <w:rFonts w:ascii="Cambria Math" w:hAnsi="Cambria Math"/>
                        <w:i/>
                        <w:iCs/>
                        <w:sz w:val="20"/>
                        <w:szCs w:val="20"/>
                      </w:rPr>
                    </m:ctrlPr>
                  </m:dPr>
                  <m:e>
                    <m:eqArr>
                      <m:eqArrPr>
                        <m:ctrlPr>
                          <w:rPr>
                            <w:rFonts w:ascii="Cambria Math" w:hAnsi="Cambria Math"/>
                            <w:i/>
                            <w:iCs/>
                            <w:sz w:val="20"/>
                            <w:szCs w:val="20"/>
                          </w:rPr>
                        </m:ctrlPr>
                      </m:eqArrPr>
                      <m:e>
                        <m:r>
                          <w:rPr>
                            <w:rFonts w:ascii="Cambria Math" w:hAnsi="Cambria Math"/>
                            <w:sz w:val="20"/>
                            <w:szCs w:val="20"/>
                          </w:rPr>
                          <m:t>0,            if y=T</m:t>
                        </m:r>
                      </m:e>
                      <m:e>
                        <m:r>
                          <w:rPr>
                            <w:rFonts w:ascii="Cambria Math" w:hAnsi="Cambria Math"/>
                            <w:sz w:val="20"/>
                            <w:szCs w:val="20"/>
                          </w:rPr>
                          <m:t xml:space="preserve">1,            if y≠T  </m:t>
                        </m:r>
                      </m:e>
                    </m:eqArr>
                  </m:e>
                </m:d>
              </m:oMath>
            </m:oMathPara>
          </w:p>
        </w:tc>
      </w:tr>
      <w:tr w:rsidR="00CC6CA3" w:rsidRPr="00CC6CA3" w14:paraId="437FF9D0" w14:textId="77777777" w:rsidTr="00F632C0">
        <w:tc>
          <w:tcPr>
            <w:tcW w:w="3114" w:type="dxa"/>
          </w:tcPr>
          <w:p w14:paraId="65F05FE0" w14:textId="77777777" w:rsidR="00E2359E" w:rsidRPr="00CC6CA3" w:rsidRDefault="00E2359E" w:rsidP="00F632C0">
            <w:pPr>
              <w:rPr>
                <w:iCs/>
                <w:sz w:val="20"/>
                <w:szCs w:val="20"/>
              </w:rPr>
            </w:pPr>
            <w:r w:rsidRPr="00CC6CA3">
              <w:rPr>
                <w:iCs/>
                <w:sz w:val="20"/>
                <w:szCs w:val="20"/>
              </w:rPr>
              <w:t>Quadratic loss function</w:t>
            </w:r>
          </w:p>
        </w:tc>
        <w:tc>
          <w:tcPr>
            <w:tcW w:w="5641" w:type="dxa"/>
          </w:tcPr>
          <w:p w14:paraId="519B079D"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L</m:t>
                </m:r>
                <m:d>
                  <m:dPr>
                    <m:ctrlPr>
                      <w:rPr>
                        <w:rFonts w:ascii="Cambria Math" w:hAnsi="Cambria Math"/>
                        <w:i/>
                        <w:iCs/>
                        <w:sz w:val="20"/>
                        <w:szCs w:val="20"/>
                      </w:rPr>
                    </m:ctrlPr>
                  </m:dPr>
                  <m:e>
                    <m:r>
                      <w:rPr>
                        <w:rFonts w:ascii="Cambria Math" w:hAnsi="Cambria Math"/>
                        <w:sz w:val="20"/>
                        <w:szCs w:val="20"/>
                      </w:rPr>
                      <m:t>y</m:t>
                    </m:r>
                  </m:e>
                </m:d>
                <m:r>
                  <w:rPr>
                    <w:rFonts w:ascii="Cambria Math" w:hAnsi="Cambria Math"/>
                    <w:sz w:val="20"/>
                    <w:szCs w:val="20"/>
                  </w:rPr>
                  <m:t>=</m:t>
                </m:r>
                <m:d>
                  <m:dPr>
                    <m:begChr m:val="{"/>
                    <m:endChr m:val=""/>
                    <m:ctrlPr>
                      <w:rPr>
                        <w:rFonts w:ascii="Cambria Math" w:hAnsi="Cambria Math"/>
                        <w:i/>
                        <w:iCs/>
                        <w:sz w:val="20"/>
                        <w:szCs w:val="20"/>
                      </w:rPr>
                    </m:ctrlPr>
                  </m:dPr>
                  <m:e>
                    <m:eqArr>
                      <m:eqArrPr>
                        <m:ctrlPr>
                          <w:rPr>
                            <w:rFonts w:ascii="Cambria Math" w:hAnsi="Cambria Math"/>
                            <w:i/>
                            <w:iCs/>
                            <w:sz w:val="20"/>
                            <w:szCs w:val="20"/>
                          </w:rPr>
                        </m:ctrlPr>
                      </m:eqArrPr>
                      <m:e>
                        <m:r>
                          <w:rPr>
                            <w:rFonts w:ascii="Cambria Math" w:hAnsi="Cambria Math"/>
                            <w:sz w:val="20"/>
                            <w:szCs w:val="20"/>
                          </w:rPr>
                          <m:t>B</m:t>
                        </m:r>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T)</m:t>
                            </m:r>
                          </m:e>
                          <m:sup>
                            <m:r>
                              <w:rPr>
                                <w:rFonts w:ascii="Cambria Math" w:hAnsi="Cambria Math"/>
                                <w:sz w:val="20"/>
                                <w:szCs w:val="20"/>
                              </w:rPr>
                              <m:t>2</m:t>
                            </m:r>
                          </m:sup>
                        </m:sSup>
                        <m:r>
                          <w:rPr>
                            <w:rFonts w:ascii="Cambria Math" w:hAnsi="Cambria Math"/>
                            <w:sz w:val="20"/>
                            <w:szCs w:val="20"/>
                          </w:rPr>
                          <m:t xml:space="preserve">,          |y </m:t>
                        </m:r>
                        <m:r>
                          <w:rPr>
                            <w:rFonts w:ascii="微软雅黑" w:eastAsia="微软雅黑" w:hAnsi="微软雅黑" w:cs="微软雅黑" w:hint="eastAsia"/>
                            <w:sz w:val="20"/>
                            <w:szCs w:val="20"/>
                          </w:rPr>
                          <m:t>-</m:t>
                        </m:r>
                        <m:r>
                          <w:rPr>
                            <w:rFonts w:ascii="Cambria Math" w:hAnsi="Cambria Math"/>
                            <w:sz w:val="20"/>
                            <w:szCs w:val="20"/>
                          </w:rPr>
                          <m:t xml:space="preserve"> T|≤</m:t>
                        </m:r>
                        <m:rad>
                          <m:radPr>
                            <m:degHide m:val="1"/>
                            <m:ctrlPr>
                              <w:rPr>
                                <w:rFonts w:ascii="Cambria Math" w:hAnsi="Cambria Math"/>
                                <w:i/>
                                <w:iCs/>
                                <w:sz w:val="20"/>
                                <w:szCs w:val="20"/>
                              </w:rPr>
                            </m:ctrlPr>
                          </m:radPr>
                          <m:deg/>
                          <m:e>
                            <m:r>
                              <w:rPr>
                                <w:rFonts w:ascii="Cambria Math" w:hAnsi="Cambria Math"/>
                                <w:sz w:val="20"/>
                                <w:szCs w:val="20"/>
                              </w:rPr>
                              <m:t>K/B</m:t>
                            </m:r>
                          </m:e>
                        </m:rad>
                      </m:e>
                      <m:e>
                        <m:r>
                          <w:rPr>
                            <w:rFonts w:ascii="Cambria Math" w:hAnsi="Cambria Math"/>
                            <w:sz w:val="20"/>
                            <w:szCs w:val="20"/>
                          </w:rPr>
                          <m:t xml:space="preserve">EML,                       |y </m:t>
                        </m:r>
                        <m:r>
                          <w:rPr>
                            <w:rFonts w:ascii="微软雅黑" w:eastAsia="微软雅黑" w:hAnsi="微软雅黑" w:cs="微软雅黑" w:hint="eastAsia"/>
                            <w:sz w:val="20"/>
                            <w:szCs w:val="20"/>
                          </w:rPr>
                          <m:t>-</m:t>
                        </m:r>
                        <m:r>
                          <w:rPr>
                            <w:rFonts w:ascii="Cambria Math" w:hAnsi="Cambria Math"/>
                            <w:sz w:val="20"/>
                            <w:szCs w:val="20"/>
                          </w:rPr>
                          <m:t xml:space="preserve"> T|&gt;</m:t>
                        </m:r>
                        <m:rad>
                          <m:radPr>
                            <m:degHide m:val="1"/>
                            <m:ctrlPr>
                              <w:rPr>
                                <w:rFonts w:ascii="Cambria Math" w:hAnsi="Cambria Math"/>
                                <w:i/>
                                <w:iCs/>
                                <w:sz w:val="20"/>
                                <w:szCs w:val="20"/>
                              </w:rPr>
                            </m:ctrlPr>
                          </m:radPr>
                          <m:deg/>
                          <m:e>
                            <m:r>
                              <w:rPr>
                                <w:rFonts w:ascii="Cambria Math" w:hAnsi="Cambria Math"/>
                                <w:sz w:val="20"/>
                                <w:szCs w:val="20"/>
                              </w:rPr>
                              <m:t>K/B</m:t>
                            </m:r>
                          </m:e>
                        </m:rad>
                        <m:r>
                          <w:rPr>
                            <w:rFonts w:ascii="Cambria Math" w:hAnsi="Cambria Math"/>
                            <w:sz w:val="20"/>
                            <w:szCs w:val="20"/>
                          </w:rPr>
                          <m:t xml:space="preserve">  </m:t>
                        </m:r>
                      </m:e>
                    </m:eqArr>
                  </m:e>
                </m:d>
                <m:r>
                  <w:rPr>
                    <w:rFonts w:ascii="Cambria Math" w:hAnsi="Cambria Math"/>
                    <w:sz w:val="20"/>
                    <w:szCs w:val="20"/>
                  </w:rPr>
                  <m:t xml:space="preserve"> </m:t>
                </m:r>
              </m:oMath>
            </m:oMathPara>
          </w:p>
        </w:tc>
      </w:tr>
      <w:tr w:rsidR="00CC6CA3" w:rsidRPr="00CC6CA3" w14:paraId="67061CB0" w14:textId="77777777" w:rsidTr="00F632C0">
        <w:tc>
          <w:tcPr>
            <w:tcW w:w="3114" w:type="dxa"/>
          </w:tcPr>
          <w:p w14:paraId="1F9F69FF" w14:textId="77777777" w:rsidR="00E2359E" w:rsidRPr="00CC6CA3" w:rsidRDefault="00E2359E" w:rsidP="00F632C0">
            <w:pPr>
              <w:rPr>
                <w:iCs/>
                <w:sz w:val="20"/>
                <w:szCs w:val="20"/>
              </w:rPr>
            </w:pPr>
            <w:r w:rsidRPr="00CC6CA3">
              <w:rPr>
                <w:iCs/>
                <w:sz w:val="20"/>
                <w:szCs w:val="20"/>
              </w:rPr>
              <w:t>Quartic loss function</w:t>
            </w:r>
          </w:p>
        </w:tc>
        <w:tc>
          <w:tcPr>
            <w:tcW w:w="5641" w:type="dxa"/>
          </w:tcPr>
          <w:p w14:paraId="41B20F6A"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 xml:space="preserve">L(y)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T)</m:t>
                    </m:r>
                  </m:e>
                  <m:sup>
                    <m:r>
                      <w:rPr>
                        <w:rFonts w:ascii="Cambria Math" w:hAnsi="Cambria Math"/>
                        <w:sz w:val="20"/>
                        <w:szCs w:val="20"/>
                      </w:rPr>
                      <m:t>2</m:t>
                    </m:r>
                  </m:sup>
                </m:sSup>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3</m:t>
                    </m:r>
                  </m:sub>
                </m:sSub>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T)</m:t>
                    </m:r>
                  </m:e>
                  <m:sup>
                    <m:r>
                      <w:rPr>
                        <w:rFonts w:ascii="Cambria Math" w:hAnsi="Cambria Math"/>
                        <w:sz w:val="20"/>
                        <w:szCs w:val="20"/>
                      </w:rPr>
                      <m:t>3</m:t>
                    </m:r>
                  </m:sup>
                </m:sSup>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ub>
                </m:sSub>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T)</m:t>
                    </m:r>
                  </m:e>
                  <m:sup>
                    <m:r>
                      <w:rPr>
                        <w:rFonts w:ascii="Cambria Math" w:hAnsi="Cambria Math"/>
                        <w:sz w:val="20"/>
                        <w:szCs w:val="20"/>
                      </w:rPr>
                      <m:t>4</m:t>
                    </m:r>
                  </m:sup>
                </m:sSup>
              </m:oMath>
            </m:oMathPara>
          </w:p>
        </w:tc>
      </w:tr>
      <w:tr w:rsidR="00CC6CA3" w:rsidRPr="00CC6CA3" w14:paraId="2B6AADDA" w14:textId="77777777" w:rsidTr="00F632C0">
        <w:tc>
          <w:tcPr>
            <w:tcW w:w="3114" w:type="dxa"/>
          </w:tcPr>
          <w:p w14:paraId="70877B34" w14:textId="77777777" w:rsidR="00E2359E" w:rsidRPr="00CC6CA3" w:rsidRDefault="00E2359E" w:rsidP="00F632C0">
            <w:pPr>
              <w:rPr>
                <w:iCs/>
                <w:sz w:val="20"/>
                <w:szCs w:val="20"/>
              </w:rPr>
            </w:pPr>
            <w:r w:rsidRPr="00CC6CA3">
              <w:rPr>
                <w:iCs/>
                <w:sz w:val="20"/>
                <w:szCs w:val="20"/>
              </w:rPr>
              <w:t>Inverted normal loss function</w:t>
            </w:r>
          </w:p>
        </w:tc>
        <w:tc>
          <w:tcPr>
            <w:tcW w:w="5641" w:type="dxa"/>
          </w:tcPr>
          <w:p w14:paraId="188E6FFB"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L</m:t>
                </m:r>
                <m:d>
                  <m:dPr>
                    <m:ctrlPr>
                      <w:rPr>
                        <w:rFonts w:ascii="Cambria Math" w:hAnsi="Cambria Math"/>
                        <w:i/>
                        <w:iCs/>
                        <w:sz w:val="20"/>
                        <w:szCs w:val="20"/>
                      </w:rPr>
                    </m:ctrlPr>
                  </m:dPr>
                  <m:e>
                    <m:r>
                      <w:rPr>
                        <w:rFonts w:ascii="Cambria Math" w:hAnsi="Cambria Math"/>
                        <w:sz w:val="20"/>
                        <w:szCs w:val="20"/>
                      </w:rPr>
                      <m:t>y</m:t>
                    </m:r>
                  </m:e>
                </m:d>
                <m:r>
                  <w:rPr>
                    <w:rFonts w:ascii="Cambria Math" w:hAnsi="Cambria Math"/>
                    <w:sz w:val="20"/>
                    <w:szCs w:val="20"/>
                  </w:rPr>
                  <m:t>=EML(1-</m:t>
                </m:r>
                <m:sSup>
                  <m:sSupPr>
                    <m:ctrlPr>
                      <w:rPr>
                        <w:rFonts w:ascii="Cambria Math" w:hAnsi="Cambria Math"/>
                        <w:i/>
                        <w:iCs/>
                        <w:sz w:val="20"/>
                        <w:szCs w:val="20"/>
                      </w:rPr>
                    </m:ctrlPr>
                  </m:sSupPr>
                  <m:e>
                    <m:r>
                      <w:rPr>
                        <w:rFonts w:ascii="Cambria Math" w:hAnsi="Cambria Math"/>
                        <w:sz w:val="20"/>
                        <w:szCs w:val="20"/>
                      </w:rPr>
                      <m:t>e</m:t>
                    </m:r>
                  </m:e>
                  <m:sup>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T)</m:t>
                        </m:r>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iCs/>
                            <w:sz w:val="20"/>
                            <w:szCs w:val="20"/>
                          </w:rPr>
                        </m:ctrlPr>
                      </m:sSupPr>
                      <m:e>
                        <m:r>
                          <w:rPr>
                            <w:rFonts w:ascii="Cambria Math" w:hAnsi="Cambria Math"/>
                            <w:sz w:val="20"/>
                            <w:szCs w:val="20"/>
                          </w:rPr>
                          <m:t>2γ</m:t>
                        </m:r>
                      </m:e>
                      <m:sup>
                        <m:r>
                          <w:rPr>
                            <w:rFonts w:ascii="Cambria Math" w:hAnsi="Cambria Math"/>
                            <w:sz w:val="20"/>
                            <w:szCs w:val="20"/>
                          </w:rPr>
                          <m:t>2</m:t>
                        </m:r>
                      </m:sup>
                    </m:sSup>
                  </m:sup>
                </m:sSup>
                <m:r>
                  <w:rPr>
                    <w:rFonts w:ascii="Cambria Math" w:hAnsi="Cambria Math"/>
                    <w:sz w:val="20"/>
                    <w:szCs w:val="20"/>
                  </w:rPr>
                  <m:t>)</m:t>
                </m:r>
              </m:oMath>
            </m:oMathPara>
          </w:p>
        </w:tc>
      </w:tr>
      <w:tr w:rsidR="00CC6CA3" w:rsidRPr="00CC6CA3" w14:paraId="0FF4117B" w14:textId="77777777" w:rsidTr="00F632C0">
        <w:tc>
          <w:tcPr>
            <w:tcW w:w="3114" w:type="dxa"/>
          </w:tcPr>
          <w:p w14:paraId="369C4A7B" w14:textId="77777777" w:rsidR="00E2359E" w:rsidRPr="00CC6CA3" w:rsidRDefault="00E2359E" w:rsidP="00F632C0">
            <w:pPr>
              <w:rPr>
                <w:iCs/>
                <w:sz w:val="20"/>
                <w:szCs w:val="20"/>
              </w:rPr>
            </w:pPr>
            <w:r w:rsidRPr="00CC6CA3">
              <w:rPr>
                <w:iCs/>
                <w:sz w:val="20"/>
                <w:szCs w:val="20"/>
              </w:rPr>
              <w:lastRenderedPageBreak/>
              <w:t>Modified asymmetric inverted normal loss function (type 1)</w:t>
            </w:r>
          </w:p>
        </w:tc>
        <w:tc>
          <w:tcPr>
            <w:tcW w:w="5641" w:type="dxa"/>
          </w:tcPr>
          <w:p w14:paraId="24E212B3"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L</m:t>
                </m:r>
                <m:d>
                  <m:dPr>
                    <m:ctrlPr>
                      <w:rPr>
                        <w:rFonts w:ascii="Cambria Math" w:hAnsi="Cambria Math"/>
                        <w:i/>
                        <w:iCs/>
                        <w:sz w:val="20"/>
                        <w:szCs w:val="20"/>
                      </w:rPr>
                    </m:ctrlPr>
                  </m:dPr>
                  <m:e>
                    <m:r>
                      <w:rPr>
                        <w:rFonts w:ascii="Cambria Math" w:hAnsi="Cambria Math"/>
                        <w:sz w:val="20"/>
                        <w:szCs w:val="20"/>
                      </w:rPr>
                      <m:t>y</m:t>
                    </m:r>
                  </m:e>
                </m:d>
                <m:r>
                  <w:rPr>
                    <w:rFonts w:ascii="Cambria Math" w:hAnsi="Cambria Math"/>
                    <w:sz w:val="20"/>
                    <w:szCs w:val="20"/>
                  </w:rPr>
                  <m:t>=</m:t>
                </m:r>
                <m:d>
                  <m:dPr>
                    <m:begChr m:val="{"/>
                    <m:endChr m:val=""/>
                    <m:ctrlPr>
                      <w:rPr>
                        <w:rFonts w:ascii="Cambria Math" w:hAnsi="Cambria Math"/>
                        <w:i/>
                        <w:iCs/>
                        <w:sz w:val="20"/>
                        <w:szCs w:val="20"/>
                      </w:rPr>
                    </m:ctrlPr>
                  </m:dPr>
                  <m:e>
                    <m:eqArr>
                      <m:eqArrPr>
                        <m:ctrlPr>
                          <w:rPr>
                            <w:rFonts w:ascii="Cambria Math" w:hAnsi="Cambria Math"/>
                            <w:i/>
                            <w:iCs/>
                            <w:sz w:val="20"/>
                            <w:szCs w:val="20"/>
                          </w:rPr>
                        </m:ctrlPr>
                      </m:eqArrPr>
                      <m:e>
                        <m:sSub>
                          <m:sSubPr>
                            <m:ctrlPr>
                              <w:rPr>
                                <w:rFonts w:ascii="Cambria Math" w:hAnsi="Cambria Math"/>
                                <w:i/>
                                <w:iCs/>
                                <w:sz w:val="20"/>
                                <w:szCs w:val="20"/>
                              </w:rPr>
                            </m:ctrlPr>
                          </m:sSubPr>
                          <m:e>
                            <m:r>
                              <w:rPr>
                                <w:rFonts w:ascii="Cambria Math" w:hAnsi="Cambria Math"/>
                                <w:sz w:val="20"/>
                                <w:szCs w:val="20"/>
                              </w:rPr>
                              <m:t>EML</m:t>
                            </m:r>
                          </m:e>
                          <m:sub>
                            <m:r>
                              <w:rPr>
                                <w:rFonts w:ascii="Cambria Math" w:hAnsi="Cambria Math"/>
                                <w:sz w:val="20"/>
                                <w:szCs w:val="20"/>
                              </w:rPr>
                              <m:t>1</m:t>
                            </m:r>
                          </m:sub>
                        </m:sSub>
                        <m:r>
                          <w:rPr>
                            <w:rFonts w:ascii="Cambria Math" w:hAnsi="Cambria Math"/>
                            <w:sz w:val="20"/>
                            <w:szCs w:val="20"/>
                          </w:rPr>
                          <m:t>(1-</m:t>
                        </m:r>
                        <m:sSup>
                          <m:sSupPr>
                            <m:ctrlPr>
                              <w:rPr>
                                <w:rFonts w:ascii="Cambria Math" w:hAnsi="Cambria Math"/>
                                <w:i/>
                                <w:iCs/>
                                <w:sz w:val="20"/>
                                <w:szCs w:val="20"/>
                              </w:rPr>
                            </m:ctrlPr>
                          </m:sSupPr>
                          <m:e>
                            <m:r>
                              <w:rPr>
                                <w:rFonts w:ascii="Cambria Math" w:hAnsi="Cambria Math"/>
                                <w:sz w:val="20"/>
                                <w:szCs w:val="20"/>
                              </w:rPr>
                              <m:t>e</m:t>
                            </m:r>
                          </m:e>
                          <m:sup>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T)</m:t>
                                </m:r>
                              </m:e>
                              <m:sup>
                                <m:r>
                                  <w:rPr>
                                    <w:rFonts w:ascii="Cambria Math" w:hAnsi="Cambria Math"/>
                                    <w:sz w:val="20"/>
                                    <w:szCs w:val="20"/>
                                  </w:rPr>
                                  <m:t>2</m:t>
                                </m:r>
                              </m:sup>
                            </m:sSup>
                            <m:r>
                              <w:rPr>
                                <w:rFonts w:ascii="Cambria Math" w:hAnsi="Cambria Math"/>
                                <w:sz w:val="20"/>
                                <w:szCs w:val="20"/>
                              </w:rPr>
                              <m:t>/</m:t>
                            </m:r>
                            <m:sSubSup>
                              <m:sSubSupPr>
                                <m:ctrlPr>
                                  <w:rPr>
                                    <w:rFonts w:ascii="Cambria Math" w:hAnsi="Cambria Math"/>
                                    <w:i/>
                                    <w:iCs/>
                                    <w:sz w:val="20"/>
                                    <w:szCs w:val="20"/>
                                  </w:rPr>
                                </m:ctrlPr>
                              </m:sSubSupPr>
                              <m:e>
                                <m:r>
                                  <w:rPr>
                                    <w:rFonts w:ascii="Cambria Math" w:hAnsi="Cambria Math"/>
                                    <w:sz w:val="20"/>
                                    <w:szCs w:val="20"/>
                                  </w:rPr>
                                  <m:t>2γ</m:t>
                                </m:r>
                              </m:e>
                              <m:sub>
                                <m:r>
                                  <w:rPr>
                                    <w:rFonts w:ascii="Cambria Math" w:hAnsi="Cambria Math"/>
                                    <w:sz w:val="20"/>
                                    <w:szCs w:val="20"/>
                                  </w:rPr>
                                  <m:t>1</m:t>
                                </m:r>
                              </m:sub>
                              <m:sup>
                                <m:r>
                                  <w:rPr>
                                    <w:rFonts w:ascii="Cambria Math" w:hAnsi="Cambria Math"/>
                                    <w:sz w:val="20"/>
                                    <w:szCs w:val="20"/>
                                  </w:rPr>
                                  <m:t>2</m:t>
                                </m:r>
                              </m:sup>
                            </m:sSubSup>
                          </m:sup>
                        </m:sSup>
                        <m:r>
                          <w:rPr>
                            <w:rFonts w:ascii="Cambria Math" w:hAnsi="Cambria Math"/>
                            <w:sz w:val="20"/>
                            <w:szCs w:val="20"/>
                          </w:rPr>
                          <m:t>),        y≤T</m:t>
                        </m:r>
                      </m:e>
                      <m:e>
                        <m:sSub>
                          <m:sSubPr>
                            <m:ctrlPr>
                              <w:rPr>
                                <w:rFonts w:ascii="Cambria Math" w:hAnsi="Cambria Math"/>
                                <w:i/>
                                <w:iCs/>
                                <w:sz w:val="20"/>
                                <w:szCs w:val="20"/>
                              </w:rPr>
                            </m:ctrlPr>
                          </m:sSubPr>
                          <m:e>
                            <m:r>
                              <w:rPr>
                                <w:rFonts w:ascii="Cambria Math" w:hAnsi="Cambria Math"/>
                                <w:sz w:val="20"/>
                                <w:szCs w:val="20"/>
                              </w:rPr>
                              <m:t>EML</m:t>
                            </m:r>
                          </m:e>
                          <m:sub>
                            <m:r>
                              <w:rPr>
                                <w:rFonts w:ascii="Cambria Math" w:hAnsi="Cambria Math"/>
                                <w:sz w:val="20"/>
                                <w:szCs w:val="20"/>
                              </w:rPr>
                              <m:t>2</m:t>
                            </m:r>
                          </m:sub>
                        </m:sSub>
                        <m:r>
                          <w:rPr>
                            <w:rFonts w:ascii="Cambria Math" w:hAnsi="Cambria Math"/>
                            <w:sz w:val="20"/>
                            <w:szCs w:val="20"/>
                          </w:rPr>
                          <m:t>(1-</m:t>
                        </m:r>
                        <m:sSup>
                          <m:sSupPr>
                            <m:ctrlPr>
                              <w:rPr>
                                <w:rFonts w:ascii="Cambria Math" w:hAnsi="Cambria Math"/>
                                <w:i/>
                                <w:iCs/>
                                <w:sz w:val="20"/>
                                <w:szCs w:val="20"/>
                              </w:rPr>
                            </m:ctrlPr>
                          </m:sSupPr>
                          <m:e>
                            <m:r>
                              <w:rPr>
                                <w:rFonts w:ascii="Cambria Math" w:hAnsi="Cambria Math"/>
                                <w:sz w:val="20"/>
                                <w:szCs w:val="20"/>
                              </w:rPr>
                              <m:t>e</m:t>
                            </m:r>
                          </m:e>
                          <m:sup>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T)</m:t>
                                </m:r>
                              </m:e>
                              <m:sup>
                                <m:r>
                                  <w:rPr>
                                    <w:rFonts w:ascii="Cambria Math" w:hAnsi="Cambria Math"/>
                                    <w:sz w:val="20"/>
                                    <w:szCs w:val="20"/>
                                  </w:rPr>
                                  <m:t>2</m:t>
                                </m:r>
                              </m:sup>
                            </m:sSup>
                            <m:r>
                              <w:rPr>
                                <w:rFonts w:ascii="Cambria Math" w:hAnsi="Cambria Math"/>
                                <w:sz w:val="20"/>
                                <w:szCs w:val="20"/>
                              </w:rPr>
                              <m:t>/</m:t>
                            </m:r>
                            <m:sSubSup>
                              <m:sSubSupPr>
                                <m:ctrlPr>
                                  <w:rPr>
                                    <w:rFonts w:ascii="Cambria Math" w:hAnsi="Cambria Math"/>
                                    <w:i/>
                                    <w:iCs/>
                                    <w:sz w:val="20"/>
                                    <w:szCs w:val="20"/>
                                  </w:rPr>
                                </m:ctrlPr>
                              </m:sSubSupPr>
                              <m:e>
                                <m:r>
                                  <w:rPr>
                                    <w:rFonts w:ascii="Cambria Math" w:hAnsi="Cambria Math"/>
                                    <w:sz w:val="20"/>
                                    <w:szCs w:val="20"/>
                                  </w:rPr>
                                  <m:t>2γ</m:t>
                                </m:r>
                              </m:e>
                              <m:sub>
                                <m:r>
                                  <w:rPr>
                                    <w:rFonts w:ascii="Cambria Math" w:hAnsi="Cambria Math"/>
                                    <w:sz w:val="20"/>
                                    <w:szCs w:val="20"/>
                                  </w:rPr>
                                  <m:t>2</m:t>
                                </m:r>
                              </m:sub>
                              <m:sup>
                                <m:r>
                                  <w:rPr>
                                    <w:rFonts w:ascii="Cambria Math" w:hAnsi="Cambria Math"/>
                                    <w:sz w:val="20"/>
                                    <w:szCs w:val="20"/>
                                  </w:rPr>
                                  <m:t>2</m:t>
                                </m:r>
                              </m:sup>
                            </m:sSubSup>
                          </m:sup>
                        </m:sSup>
                        <m:r>
                          <w:rPr>
                            <w:rFonts w:ascii="Cambria Math" w:hAnsi="Cambria Math"/>
                            <w:sz w:val="20"/>
                            <w:szCs w:val="20"/>
                          </w:rPr>
                          <m:t xml:space="preserve">),          y&gt;T </m:t>
                        </m:r>
                      </m:e>
                    </m:eqArr>
                  </m:e>
                </m:d>
              </m:oMath>
            </m:oMathPara>
          </w:p>
        </w:tc>
      </w:tr>
      <w:tr w:rsidR="00CC6CA3" w:rsidRPr="00CC6CA3" w14:paraId="240968C2" w14:textId="77777777" w:rsidTr="00F632C0">
        <w:tc>
          <w:tcPr>
            <w:tcW w:w="3114" w:type="dxa"/>
          </w:tcPr>
          <w:p w14:paraId="214F54DB" w14:textId="77777777" w:rsidR="00E2359E" w:rsidRPr="00CC6CA3" w:rsidRDefault="00E2359E" w:rsidP="00F632C0">
            <w:pPr>
              <w:rPr>
                <w:iCs/>
                <w:sz w:val="20"/>
                <w:szCs w:val="20"/>
              </w:rPr>
            </w:pPr>
            <w:r w:rsidRPr="00CC6CA3">
              <w:rPr>
                <w:iCs/>
                <w:sz w:val="20"/>
                <w:szCs w:val="20"/>
              </w:rPr>
              <w:t>Modified asymmetric inverted normal loss function (type 2)</w:t>
            </w:r>
          </w:p>
        </w:tc>
        <w:tc>
          <w:tcPr>
            <w:tcW w:w="5641" w:type="dxa"/>
          </w:tcPr>
          <w:p w14:paraId="7B771FBC"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L</m:t>
                </m:r>
                <m:d>
                  <m:dPr>
                    <m:ctrlPr>
                      <w:rPr>
                        <w:rFonts w:ascii="Cambria Math" w:hAnsi="Cambria Math"/>
                        <w:i/>
                        <w:iCs/>
                        <w:sz w:val="20"/>
                        <w:szCs w:val="20"/>
                      </w:rPr>
                    </m:ctrlPr>
                  </m:dPr>
                  <m:e>
                    <m:r>
                      <w:rPr>
                        <w:rFonts w:ascii="Cambria Math" w:hAnsi="Cambria Math"/>
                        <w:sz w:val="20"/>
                        <w:szCs w:val="20"/>
                      </w:rPr>
                      <m:t>y</m:t>
                    </m:r>
                  </m:e>
                </m:d>
                <m:r>
                  <w:rPr>
                    <w:rFonts w:ascii="Cambria Math" w:hAnsi="Cambria Math"/>
                    <w:sz w:val="20"/>
                    <w:szCs w:val="20"/>
                  </w:rPr>
                  <m:t>=</m:t>
                </m:r>
                <m:d>
                  <m:dPr>
                    <m:begChr m:val="{"/>
                    <m:endChr m:val=""/>
                    <m:ctrlPr>
                      <w:rPr>
                        <w:rFonts w:ascii="Cambria Math" w:hAnsi="Cambria Math"/>
                        <w:i/>
                        <w:iCs/>
                        <w:sz w:val="20"/>
                        <w:szCs w:val="20"/>
                      </w:rPr>
                    </m:ctrlPr>
                  </m:dPr>
                  <m:e>
                    <m:eqArr>
                      <m:eqArrPr>
                        <m:ctrlPr>
                          <w:rPr>
                            <w:rFonts w:ascii="Cambria Math" w:hAnsi="Cambria Math"/>
                            <w:i/>
                            <w:iCs/>
                            <w:sz w:val="20"/>
                            <w:szCs w:val="20"/>
                          </w:rPr>
                        </m:ctrlPr>
                      </m:eqArrPr>
                      <m:e>
                        <m:sSub>
                          <m:sSubPr>
                            <m:ctrlPr>
                              <w:rPr>
                                <w:rFonts w:ascii="Cambria Math" w:hAnsi="Cambria Math"/>
                                <w:i/>
                                <w:iCs/>
                                <w:sz w:val="20"/>
                                <w:szCs w:val="20"/>
                              </w:rPr>
                            </m:ctrlPr>
                          </m:sSubPr>
                          <m:e>
                            <m:r>
                              <w:rPr>
                                <w:rFonts w:ascii="Cambria Math" w:hAnsi="Cambria Math"/>
                                <w:sz w:val="20"/>
                                <w:szCs w:val="20"/>
                              </w:rPr>
                              <m:t>EML</m:t>
                            </m:r>
                          </m:e>
                          <m:sub>
                            <m:r>
                              <w:rPr>
                                <w:rFonts w:ascii="Cambria Math" w:hAnsi="Cambria Math"/>
                                <w:sz w:val="20"/>
                                <w:szCs w:val="20"/>
                              </w:rPr>
                              <m:t>1</m:t>
                            </m:r>
                          </m:sub>
                        </m:sSub>
                        <m:d>
                          <m:dPr>
                            <m:ctrlPr>
                              <w:rPr>
                                <w:rFonts w:ascii="Cambria Math" w:hAnsi="Cambria Math"/>
                                <w:i/>
                                <w:iCs/>
                                <w:sz w:val="20"/>
                                <w:szCs w:val="20"/>
                              </w:rPr>
                            </m:ctrlPr>
                          </m:dPr>
                          <m:e>
                            <m:r>
                              <w:rPr>
                                <w:rFonts w:ascii="Cambria Math" w:hAnsi="Cambria Math"/>
                                <w:sz w:val="20"/>
                                <w:szCs w:val="20"/>
                              </w:rPr>
                              <m:t>1-</m:t>
                            </m:r>
                            <m:sSup>
                              <m:sSupPr>
                                <m:ctrlPr>
                                  <w:rPr>
                                    <w:rFonts w:ascii="Cambria Math" w:hAnsi="Cambria Math"/>
                                    <w:i/>
                                    <w:iCs/>
                                    <w:sz w:val="20"/>
                                    <w:szCs w:val="20"/>
                                  </w:rPr>
                                </m:ctrlPr>
                              </m:sSupPr>
                              <m:e>
                                <m:r>
                                  <w:rPr>
                                    <w:rFonts w:ascii="Cambria Math" w:hAnsi="Cambria Math"/>
                                    <w:sz w:val="20"/>
                                    <w:szCs w:val="20"/>
                                  </w:rPr>
                                  <m:t>e</m:t>
                                </m:r>
                              </m:e>
                              <m:sup>
                                <m:f>
                                  <m:fPr>
                                    <m:ctrlPr>
                                      <w:rPr>
                                        <w:rFonts w:ascii="Cambria Math" w:hAnsi="Cambria Math"/>
                                        <w:i/>
                                        <w:iCs/>
                                        <w:sz w:val="20"/>
                                        <w:szCs w:val="20"/>
                                      </w:rPr>
                                    </m:ctrlPr>
                                  </m:fPr>
                                  <m:num>
                                    <m:sSup>
                                      <m:sSupPr>
                                        <m:ctrlPr>
                                          <w:rPr>
                                            <w:rFonts w:ascii="Cambria Math" w:hAnsi="Cambria Math"/>
                                            <w:i/>
                                            <w:iCs/>
                                            <w:sz w:val="20"/>
                                            <w:szCs w:val="20"/>
                                          </w:rPr>
                                        </m:ctrlPr>
                                      </m:sSupPr>
                                      <m:e>
                                        <m:d>
                                          <m:dPr>
                                            <m:ctrlPr>
                                              <w:rPr>
                                                <w:rFonts w:ascii="Cambria Math" w:hAnsi="Cambria Math"/>
                                                <w:i/>
                                                <w:iCs/>
                                                <w:sz w:val="20"/>
                                                <w:szCs w:val="20"/>
                                              </w:rPr>
                                            </m:ctrlPr>
                                          </m:d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L</m:t>
                                            </m:r>
                                          </m:e>
                                        </m:d>
                                      </m:e>
                                      <m:sup>
                                        <m:r>
                                          <w:rPr>
                                            <w:rFonts w:ascii="Cambria Math" w:hAnsi="Cambria Math"/>
                                            <w:sz w:val="20"/>
                                            <w:szCs w:val="20"/>
                                          </w:rPr>
                                          <m:t>2</m:t>
                                        </m:r>
                                      </m:sup>
                                    </m:sSup>
                                  </m:num>
                                  <m:den>
                                    <m:sSubSup>
                                      <m:sSubSupPr>
                                        <m:ctrlPr>
                                          <w:rPr>
                                            <w:rFonts w:ascii="Cambria Math" w:hAnsi="Cambria Math"/>
                                            <w:i/>
                                            <w:iCs/>
                                            <w:sz w:val="20"/>
                                            <w:szCs w:val="20"/>
                                          </w:rPr>
                                        </m:ctrlPr>
                                      </m:sSubSupPr>
                                      <m:e>
                                        <m:r>
                                          <w:rPr>
                                            <w:rFonts w:ascii="Cambria Math" w:hAnsi="Cambria Math"/>
                                            <w:sz w:val="20"/>
                                            <w:szCs w:val="20"/>
                                          </w:rPr>
                                          <m:t>2γ</m:t>
                                        </m:r>
                                      </m:e>
                                      <m:sub>
                                        <m:r>
                                          <w:rPr>
                                            <w:rFonts w:ascii="Cambria Math" w:hAnsi="Cambria Math"/>
                                            <w:sz w:val="20"/>
                                            <w:szCs w:val="20"/>
                                          </w:rPr>
                                          <m:t>1</m:t>
                                        </m:r>
                                      </m:sub>
                                      <m:sup>
                                        <m:r>
                                          <w:rPr>
                                            <w:rFonts w:ascii="Cambria Math" w:hAnsi="Cambria Math"/>
                                            <w:sz w:val="20"/>
                                            <w:szCs w:val="20"/>
                                          </w:rPr>
                                          <m:t>2</m:t>
                                        </m:r>
                                      </m:sup>
                                    </m:sSubSup>
                                  </m:den>
                                </m:f>
                              </m:sup>
                            </m:sSup>
                          </m:e>
                        </m:d>
                        <m:r>
                          <w:rPr>
                            <w:rFonts w:ascii="Cambria Math" w:hAnsi="Cambria Math"/>
                            <w:sz w:val="20"/>
                            <w:szCs w:val="20"/>
                          </w:rPr>
                          <m:t>,           y≤L</m:t>
                        </m:r>
                      </m:e>
                      <m:e>
                        <m:r>
                          <w:rPr>
                            <w:rFonts w:ascii="Cambria Math" w:hAnsi="Cambria Math"/>
                            <w:sz w:val="20"/>
                            <w:szCs w:val="20"/>
                          </w:rPr>
                          <m:t>0,                                           L&lt;y≤U</m:t>
                        </m:r>
                        <m:ctrlPr>
                          <w:rPr>
                            <w:rFonts w:ascii="Cambria Math" w:eastAsia="Cambria Math" w:hAnsi="Cambria Math" w:cs="Cambria Math"/>
                            <w:i/>
                            <w:iCs/>
                            <w:sz w:val="20"/>
                            <w:szCs w:val="20"/>
                          </w:rPr>
                        </m:ctrlPr>
                      </m:e>
                      <m:e>
                        <m:sSub>
                          <m:sSubPr>
                            <m:ctrlPr>
                              <w:rPr>
                                <w:rFonts w:ascii="Cambria Math" w:hAnsi="Cambria Math"/>
                                <w:i/>
                                <w:iCs/>
                                <w:sz w:val="20"/>
                                <w:szCs w:val="20"/>
                              </w:rPr>
                            </m:ctrlPr>
                          </m:sSubPr>
                          <m:e>
                            <m:r>
                              <w:rPr>
                                <w:rFonts w:ascii="Cambria Math" w:hAnsi="Cambria Math"/>
                                <w:sz w:val="20"/>
                                <w:szCs w:val="20"/>
                              </w:rPr>
                              <m:t>EML</m:t>
                            </m:r>
                          </m:e>
                          <m:sub>
                            <m:r>
                              <w:rPr>
                                <w:rFonts w:ascii="Cambria Math" w:hAnsi="Cambria Math"/>
                                <w:sz w:val="20"/>
                                <w:szCs w:val="20"/>
                              </w:rPr>
                              <m:t>2</m:t>
                            </m:r>
                          </m:sub>
                        </m:sSub>
                        <m:r>
                          <w:rPr>
                            <w:rFonts w:ascii="Cambria Math" w:hAnsi="Cambria Math"/>
                            <w:sz w:val="20"/>
                            <w:szCs w:val="20"/>
                          </w:rPr>
                          <m:t>(1-</m:t>
                        </m:r>
                        <m:sSup>
                          <m:sSupPr>
                            <m:ctrlPr>
                              <w:rPr>
                                <w:rFonts w:ascii="Cambria Math" w:hAnsi="Cambria Math"/>
                                <w:i/>
                                <w:iCs/>
                                <w:sz w:val="20"/>
                                <w:szCs w:val="20"/>
                              </w:rPr>
                            </m:ctrlPr>
                          </m:sSupPr>
                          <m:e>
                            <m:r>
                              <w:rPr>
                                <w:rFonts w:ascii="Cambria Math" w:hAnsi="Cambria Math"/>
                                <w:sz w:val="20"/>
                                <w:szCs w:val="20"/>
                              </w:rPr>
                              <m:t>e</m:t>
                            </m:r>
                          </m:e>
                          <m:sup>
                            <m:sSup>
                              <m:sSupPr>
                                <m:ctrlPr>
                                  <w:rPr>
                                    <w:rFonts w:ascii="Cambria Math" w:hAnsi="Cambria Math"/>
                                    <w:i/>
                                    <w:iCs/>
                                    <w:sz w:val="20"/>
                                    <w:szCs w:val="20"/>
                                  </w:rPr>
                                </m:ctrlPr>
                              </m:sSupPr>
                              <m:e>
                                <m:r>
                                  <w:rPr>
                                    <w:rFonts w:ascii="Cambria Math" w:hAnsi="Cambria Math"/>
                                    <w:sz w:val="20"/>
                                    <w:szCs w:val="20"/>
                                  </w:rPr>
                                  <m:t xml:space="preserve">(y </m:t>
                                </m:r>
                                <m:r>
                                  <w:rPr>
                                    <w:rFonts w:ascii="微软雅黑" w:eastAsia="微软雅黑" w:hAnsi="微软雅黑" w:cs="微软雅黑" w:hint="eastAsia"/>
                                    <w:sz w:val="20"/>
                                    <w:szCs w:val="20"/>
                                  </w:rPr>
                                  <m:t>-</m:t>
                                </m:r>
                                <m:r>
                                  <w:rPr>
                                    <w:rFonts w:ascii="Cambria Math" w:hAnsi="Cambria Math"/>
                                    <w:sz w:val="20"/>
                                    <w:szCs w:val="20"/>
                                  </w:rPr>
                                  <m:t xml:space="preserve"> U)</m:t>
                                </m:r>
                              </m:e>
                              <m:sup>
                                <m:r>
                                  <w:rPr>
                                    <w:rFonts w:ascii="Cambria Math" w:hAnsi="Cambria Math"/>
                                    <w:sz w:val="20"/>
                                    <w:szCs w:val="20"/>
                                  </w:rPr>
                                  <m:t>2</m:t>
                                </m:r>
                              </m:sup>
                            </m:sSup>
                            <m:r>
                              <w:rPr>
                                <w:rFonts w:ascii="Cambria Math" w:hAnsi="Cambria Math"/>
                                <w:sz w:val="20"/>
                                <w:szCs w:val="20"/>
                              </w:rPr>
                              <m:t>/</m:t>
                            </m:r>
                            <m:sSubSup>
                              <m:sSubSupPr>
                                <m:ctrlPr>
                                  <w:rPr>
                                    <w:rFonts w:ascii="Cambria Math" w:hAnsi="Cambria Math"/>
                                    <w:i/>
                                    <w:iCs/>
                                    <w:sz w:val="20"/>
                                    <w:szCs w:val="20"/>
                                  </w:rPr>
                                </m:ctrlPr>
                              </m:sSubSupPr>
                              <m:e>
                                <m:r>
                                  <w:rPr>
                                    <w:rFonts w:ascii="Cambria Math" w:hAnsi="Cambria Math"/>
                                    <w:sz w:val="20"/>
                                    <w:szCs w:val="20"/>
                                  </w:rPr>
                                  <m:t>2γ</m:t>
                                </m:r>
                              </m:e>
                              <m:sub>
                                <m:r>
                                  <w:rPr>
                                    <w:rFonts w:ascii="Cambria Math" w:hAnsi="Cambria Math"/>
                                    <w:sz w:val="20"/>
                                    <w:szCs w:val="20"/>
                                  </w:rPr>
                                  <m:t>2</m:t>
                                </m:r>
                              </m:sub>
                              <m:sup>
                                <m:r>
                                  <w:rPr>
                                    <w:rFonts w:ascii="Cambria Math" w:hAnsi="Cambria Math"/>
                                    <w:sz w:val="20"/>
                                    <w:szCs w:val="20"/>
                                  </w:rPr>
                                  <m:t>2</m:t>
                                </m:r>
                              </m:sup>
                            </m:sSubSup>
                          </m:sup>
                        </m:sSup>
                        <m:r>
                          <w:rPr>
                            <w:rFonts w:ascii="Cambria Math" w:hAnsi="Cambria Math"/>
                            <w:sz w:val="20"/>
                            <w:szCs w:val="20"/>
                          </w:rPr>
                          <m:t xml:space="preserve">),          y&gt;U </m:t>
                        </m:r>
                      </m:e>
                    </m:eqArr>
                  </m:e>
                </m:d>
              </m:oMath>
            </m:oMathPara>
          </w:p>
        </w:tc>
      </w:tr>
      <w:tr w:rsidR="00CC6CA3" w:rsidRPr="00CC6CA3" w14:paraId="156AA0BF" w14:textId="77777777" w:rsidTr="00F632C0">
        <w:tc>
          <w:tcPr>
            <w:tcW w:w="3114" w:type="dxa"/>
          </w:tcPr>
          <w:p w14:paraId="18049EE4" w14:textId="77777777" w:rsidR="00E2359E" w:rsidRPr="00CC6CA3" w:rsidRDefault="00E2359E" w:rsidP="00F632C0">
            <w:pPr>
              <w:rPr>
                <w:iCs/>
                <w:sz w:val="20"/>
                <w:szCs w:val="20"/>
              </w:rPr>
            </w:pPr>
            <w:r w:rsidRPr="00CC6CA3">
              <w:rPr>
                <w:iCs/>
                <w:sz w:val="20"/>
                <w:szCs w:val="20"/>
              </w:rPr>
              <w:t>Inverted Beta loss function</w:t>
            </w:r>
          </w:p>
        </w:tc>
        <w:tc>
          <w:tcPr>
            <w:tcW w:w="5641" w:type="dxa"/>
          </w:tcPr>
          <w:p w14:paraId="04503E17"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L</m:t>
                </m:r>
                <m:d>
                  <m:dPr>
                    <m:ctrlPr>
                      <w:rPr>
                        <w:rFonts w:ascii="Cambria Math" w:hAnsi="Cambria Math"/>
                        <w:i/>
                        <w:iCs/>
                        <w:sz w:val="20"/>
                        <w:szCs w:val="20"/>
                      </w:rPr>
                    </m:ctrlPr>
                  </m:dPr>
                  <m:e>
                    <m:r>
                      <w:rPr>
                        <w:rFonts w:ascii="Cambria Math" w:hAnsi="Cambria Math"/>
                        <w:sz w:val="20"/>
                        <w:szCs w:val="20"/>
                      </w:rPr>
                      <m:t>y</m:t>
                    </m:r>
                  </m:e>
                </m:d>
                <m:r>
                  <w:rPr>
                    <w:rFonts w:ascii="Cambria Math" w:hAnsi="Cambria Math"/>
                    <w:sz w:val="20"/>
                    <w:szCs w:val="20"/>
                  </w:rPr>
                  <m:t>=EML</m:t>
                </m:r>
                <m:sSup>
                  <m:sSupPr>
                    <m:ctrlPr>
                      <w:rPr>
                        <w:rFonts w:ascii="Cambria Math" w:hAnsi="Cambria Math"/>
                        <w:i/>
                        <w:iCs/>
                        <w:sz w:val="20"/>
                        <w:szCs w:val="20"/>
                      </w:rPr>
                    </m:ctrlPr>
                  </m:sSupPr>
                  <m:e>
                    <m:r>
                      <w:rPr>
                        <w:rFonts w:ascii="Cambria Math" w:hAnsi="Cambria Math"/>
                        <w:sz w:val="20"/>
                        <w:szCs w:val="20"/>
                      </w:rPr>
                      <m:t>(1-</m:t>
                    </m:r>
                    <m:sSup>
                      <m:sSupPr>
                        <m:ctrlPr>
                          <w:rPr>
                            <w:rFonts w:ascii="Cambria Math" w:hAnsi="Cambria Math"/>
                            <w:i/>
                            <w:iCs/>
                            <w:sz w:val="20"/>
                            <w:szCs w:val="20"/>
                          </w:rPr>
                        </m:ctrlPr>
                      </m:sSupPr>
                      <m:e>
                        <m:r>
                          <w:rPr>
                            <w:rFonts w:ascii="Cambria Math" w:hAnsi="Cambria Math"/>
                            <w:sz w:val="20"/>
                            <w:szCs w:val="20"/>
                          </w:rPr>
                          <m:t>T(1-T)</m:t>
                        </m:r>
                      </m:e>
                      <m:sup>
                        <m:r>
                          <w:rPr>
                            <w:rFonts w:ascii="Cambria Math" w:hAnsi="Cambria Math"/>
                            <w:sz w:val="20"/>
                            <w:szCs w:val="20"/>
                          </w:rPr>
                          <m:t>(1-T)/T</m:t>
                        </m:r>
                      </m:sup>
                    </m:sSup>
                    <m:r>
                      <w:rPr>
                        <w:rFonts w:ascii="Cambria Math" w:hAnsi="Cambria Math"/>
                        <w:sz w:val="20"/>
                        <w:szCs w:val="20"/>
                      </w:rPr>
                      <m:t>)</m:t>
                    </m:r>
                  </m:e>
                  <m:sup>
                    <m:r>
                      <w:rPr>
                        <w:rFonts w:ascii="Cambria Math" w:hAnsi="Cambria Math"/>
                        <w:sz w:val="20"/>
                        <w:szCs w:val="20"/>
                      </w:rPr>
                      <m:t>1-α</m:t>
                    </m:r>
                  </m:sup>
                </m:sSup>
                <m:r>
                  <w:rPr>
                    <w:rFonts w:ascii="Cambria Math" w:hAnsi="Cambria Math"/>
                    <w:sz w:val="20"/>
                    <w:szCs w:val="20"/>
                  </w:rPr>
                  <m:t>∙</m:t>
                </m:r>
                <m:sSup>
                  <m:sSupPr>
                    <m:ctrlPr>
                      <w:rPr>
                        <w:rFonts w:ascii="Cambria Math" w:hAnsi="Cambria Math"/>
                        <w:i/>
                        <w:iCs/>
                        <w:sz w:val="20"/>
                        <w:szCs w:val="20"/>
                      </w:rPr>
                    </m:ctrlPr>
                  </m:sSupPr>
                  <m:e>
                    <m:r>
                      <w:rPr>
                        <w:rFonts w:ascii="Cambria Math" w:hAnsi="Cambria Math"/>
                        <w:sz w:val="20"/>
                        <w:szCs w:val="20"/>
                      </w:rPr>
                      <m:t>(y</m:t>
                    </m:r>
                    <m:sSup>
                      <m:sSupPr>
                        <m:ctrlPr>
                          <w:rPr>
                            <w:rFonts w:ascii="Cambria Math" w:hAnsi="Cambria Math"/>
                            <w:i/>
                            <w:iCs/>
                            <w:sz w:val="20"/>
                            <w:szCs w:val="20"/>
                          </w:rPr>
                        </m:ctrlPr>
                      </m:sSupPr>
                      <m:e>
                        <m:r>
                          <w:rPr>
                            <w:rFonts w:ascii="Cambria Math" w:hAnsi="Cambria Math"/>
                            <w:sz w:val="20"/>
                            <w:szCs w:val="20"/>
                          </w:rPr>
                          <m:t>(1-y)</m:t>
                        </m:r>
                      </m:e>
                      <m:sup>
                        <m:r>
                          <w:rPr>
                            <w:rFonts w:ascii="Cambria Math" w:hAnsi="Cambria Math"/>
                            <w:sz w:val="20"/>
                            <w:szCs w:val="20"/>
                          </w:rPr>
                          <m:t>(1-T)/T</m:t>
                        </m:r>
                      </m:sup>
                    </m:sSup>
                    <m:r>
                      <w:rPr>
                        <w:rFonts w:ascii="Cambria Math" w:hAnsi="Cambria Math"/>
                        <w:sz w:val="20"/>
                        <w:szCs w:val="20"/>
                      </w:rPr>
                      <m:t>)</m:t>
                    </m:r>
                  </m:e>
                  <m:sup>
                    <m:r>
                      <w:rPr>
                        <w:rFonts w:ascii="Cambria Math" w:hAnsi="Cambria Math"/>
                        <w:sz w:val="20"/>
                        <w:szCs w:val="20"/>
                      </w:rPr>
                      <m:t>α-1</m:t>
                    </m:r>
                  </m:sup>
                </m:sSup>
              </m:oMath>
            </m:oMathPara>
          </w:p>
        </w:tc>
      </w:tr>
      <w:tr w:rsidR="00CC6CA3" w:rsidRPr="00CC6CA3" w14:paraId="4BF1A0C0" w14:textId="77777777" w:rsidTr="00F632C0">
        <w:tc>
          <w:tcPr>
            <w:tcW w:w="3114" w:type="dxa"/>
          </w:tcPr>
          <w:p w14:paraId="36A56F31" w14:textId="77777777" w:rsidR="00E2359E" w:rsidRPr="00CC6CA3" w:rsidRDefault="00E2359E" w:rsidP="00F632C0">
            <w:pPr>
              <w:rPr>
                <w:iCs/>
                <w:sz w:val="20"/>
                <w:szCs w:val="20"/>
              </w:rPr>
            </w:pPr>
            <w:r w:rsidRPr="00CC6CA3">
              <w:rPr>
                <w:iCs/>
                <w:sz w:val="20"/>
                <w:szCs w:val="20"/>
              </w:rPr>
              <w:t>Inverted Gamma loss function</w:t>
            </w:r>
          </w:p>
        </w:tc>
        <w:tc>
          <w:tcPr>
            <w:tcW w:w="5641" w:type="dxa"/>
          </w:tcPr>
          <w:p w14:paraId="03A7804C" w14:textId="77777777" w:rsidR="00E2359E" w:rsidRPr="00CC6CA3" w:rsidRDefault="00E2359E" w:rsidP="00F632C0">
            <w:pPr>
              <w:rPr>
                <w:rFonts w:ascii="Cambria Math" w:hAnsi="Cambria Math"/>
                <w:i/>
                <w:iCs/>
                <w:sz w:val="20"/>
                <w:szCs w:val="20"/>
              </w:rPr>
            </w:pPr>
            <m:oMathPara>
              <m:oMath>
                <m:r>
                  <w:rPr>
                    <w:rFonts w:ascii="Cambria Math" w:hAnsi="Cambria Math"/>
                    <w:sz w:val="20"/>
                    <w:szCs w:val="20"/>
                  </w:rPr>
                  <m:t>L</m:t>
                </m:r>
                <m:d>
                  <m:dPr>
                    <m:ctrlPr>
                      <w:rPr>
                        <w:rFonts w:ascii="Cambria Math" w:hAnsi="Cambria Math"/>
                        <w:i/>
                        <w:iCs/>
                        <w:sz w:val="20"/>
                        <w:szCs w:val="20"/>
                      </w:rPr>
                    </m:ctrlPr>
                  </m:dPr>
                  <m:e>
                    <m:r>
                      <w:rPr>
                        <w:rFonts w:ascii="Cambria Math" w:hAnsi="Cambria Math"/>
                        <w:sz w:val="20"/>
                        <w:szCs w:val="20"/>
                      </w:rPr>
                      <m:t>y</m:t>
                    </m:r>
                  </m:e>
                </m:d>
                <m:r>
                  <w:rPr>
                    <w:rFonts w:ascii="Cambria Math" w:hAnsi="Cambria Math"/>
                    <w:sz w:val="20"/>
                    <w:szCs w:val="20"/>
                  </w:rPr>
                  <m:t>=EML</m:t>
                </m:r>
                <m:d>
                  <m:dPr>
                    <m:ctrlPr>
                      <w:rPr>
                        <w:rFonts w:ascii="Cambria Math" w:hAnsi="Cambria Math"/>
                        <w:i/>
                        <w:iCs/>
                        <w:sz w:val="20"/>
                        <w:szCs w:val="20"/>
                      </w:rPr>
                    </m:ctrlPr>
                  </m:dPr>
                  <m:e>
                    <m:r>
                      <w:rPr>
                        <w:rFonts w:ascii="Cambria Math" w:hAnsi="Cambria Math"/>
                        <w:sz w:val="20"/>
                        <w:szCs w:val="20"/>
                      </w:rPr>
                      <m:t>1-</m:t>
                    </m:r>
                    <m:sSup>
                      <m:sSupPr>
                        <m:ctrlPr>
                          <w:rPr>
                            <w:rFonts w:ascii="Cambria Math" w:hAnsi="Cambria Math"/>
                            <w:i/>
                            <w:iCs/>
                            <w:sz w:val="20"/>
                            <w:szCs w:val="20"/>
                          </w:rPr>
                        </m:ctrlPr>
                      </m:sSupPr>
                      <m:e>
                        <m:r>
                          <w:rPr>
                            <w:rFonts w:ascii="Cambria Math" w:hAnsi="Cambria Math"/>
                            <w:sz w:val="20"/>
                            <w:szCs w:val="20"/>
                          </w:rPr>
                          <m:t>(</m:t>
                        </m:r>
                        <m:f>
                          <m:fPr>
                            <m:ctrlPr>
                              <w:rPr>
                                <w:rFonts w:ascii="Cambria Math" w:hAnsi="Cambria Math"/>
                                <w:i/>
                                <w:iCs/>
                                <w:sz w:val="20"/>
                                <w:szCs w:val="20"/>
                              </w:rPr>
                            </m:ctrlPr>
                          </m:fPr>
                          <m:num>
                            <m:r>
                              <w:rPr>
                                <w:rFonts w:ascii="Cambria Math" w:hAnsi="Cambria Math"/>
                                <w:sz w:val="20"/>
                                <w:szCs w:val="20"/>
                              </w:rPr>
                              <m:t>y</m:t>
                            </m:r>
                            <m:sSup>
                              <m:sSupPr>
                                <m:ctrlPr>
                                  <w:rPr>
                                    <w:rFonts w:ascii="Cambria Math" w:hAnsi="Cambria Math"/>
                                    <w:i/>
                                    <w:iCs/>
                                    <w:sz w:val="20"/>
                                    <w:szCs w:val="20"/>
                                  </w:rPr>
                                </m:ctrlPr>
                              </m:sSupPr>
                              <m:e>
                                <m:r>
                                  <w:rPr>
                                    <w:rFonts w:ascii="Cambria Math" w:hAnsi="Cambria Math"/>
                                    <w:sz w:val="20"/>
                                    <w:szCs w:val="20"/>
                                  </w:rPr>
                                  <m:t>e</m:t>
                                </m:r>
                              </m:e>
                              <m:sup>
                                <m:r>
                                  <w:rPr>
                                    <w:rFonts w:ascii="Cambria Math" w:hAnsi="Cambria Math"/>
                                    <w:sz w:val="20"/>
                                    <w:szCs w:val="20"/>
                                  </w:rPr>
                                  <m:t>1-(y/T)</m:t>
                                </m:r>
                              </m:sup>
                            </m:sSup>
                          </m:num>
                          <m:den>
                            <m:r>
                              <w:rPr>
                                <w:rFonts w:ascii="Cambria Math" w:hAnsi="Cambria Math"/>
                                <w:sz w:val="20"/>
                                <w:szCs w:val="20"/>
                              </w:rPr>
                              <m:t>T</m:t>
                            </m:r>
                          </m:den>
                        </m:f>
                        <m:r>
                          <w:rPr>
                            <w:rFonts w:ascii="Cambria Math" w:hAnsi="Cambria Math"/>
                            <w:sz w:val="20"/>
                            <w:szCs w:val="20"/>
                          </w:rPr>
                          <m:t>)</m:t>
                        </m:r>
                      </m:e>
                      <m:sup>
                        <m:r>
                          <w:rPr>
                            <w:rFonts w:ascii="Cambria Math" w:hAnsi="Cambria Math"/>
                            <w:sz w:val="20"/>
                            <w:szCs w:val="20"/>
                          </w:rPr>
                          <m:t>α-1</m:t>
                        </m:r>
                      </m:sup>
                    </m:sSup>
                  </m:e>
                </m:d>
              </m:oMath>
            </m:oMathPara>
          </w:p>
        </w:tc>
      </w:tr>
    </w:tbl>
    <w:p w14:paraId="0FB0C7FC" w14:textId="0A0F9A22" w:rsidR="00E2359E" w:rsidRPr="00CC6CA3" w:rsidRDefault="00E2359E" w:rsidP="007C3528">
      <w:pPr>
        <w:pStyle w:val="Caption"/>
        <w:keepNext/>
        <w:spacing w:before="120"/>
      </w:pPr>
      <w:bookmarkStart w:id="158" w:name="_Ref61902645"/>
      <w:bookmarkStart w:id="159" w:name="_Toc81553469"/>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2</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4</w:t>
      </w:r>
      <w:r w:rsidR="00D62691" w:rsidRPr="00CC6CA3">
        <w:rPr>
          <w:noProof/>
        </w:rPr>
        <w:fldChar w:fldCharType="end"/>
      </w:r>
      <w:bookmarkEnd w:id="158"/>
      <w:r w:rsidRPr="00CC6CA3">
        <w:t xml:space="preserve"> Parameters for the loss functions </w:t>
      </w:r>
      <w:r w:rsidRPr="00CC6CA3">
        <w:fldChar w:fldCharType="begin"/>
      </w:r>
      <w:r w:rsidR="007D1BCC" w:rsidRPr="00CC6CA3">
        <w:instrText xml:space="preserve"> ADDIN ZOTERO_ITEM CSL_CITATION {"citationID":"3wzW867Z","properties":{"formattedCitation":"[125]","plainCitation":"[125]","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assessment","volume":"111","author":[{"family":"Khan","given":"Faisal"},{"family":"Wang","given":"Hangzhou"},{"family":"Yang","given":"Ming"}],"issued":{"date-parts":[["2016"]]}}}],"schema":"https://github.com/citation-style-language/schema/raw/master/csl-citation.json"} </w:instrText>
      </w:r>
      <w:r w:rsidRPr="00CC6CA3">
        <w:fldChar w:fldCharType="separate"/>
      </w:r>
      <w:r w:rsidR="007D1BCC" w:rsidRPr="00CC6CA3">
        <w:rPr>
          <w:rFonts w:cs="Times New Roman"/>
        </w:rPr>
        <w:t>[125]</w:t>
      </w:r>
      <w:bookmarkEnd w:id="159"/>
      <w:r w:rsidRPr="00CC6CA3">
        <w:fldChar w:fldCharType="end"/>
      </w:r>
    </w:p>
    <w:tbl>
      <w:tblPr>
        <w:tblStyle w:val="PlainTable2"/>
        <w:tblW w:w="0" w:type="auto"/>
        <w:tblLook w:val="04A0" w:firstRow="1" w:lastRow="0" w:firstColumn="1" w:lastColumn="0" w:noHBand="0" w:noVBand="1"/>
      </w:tblPr>
      <w:tblGrid>
        <w:gridCol w:w="1555"/>
        <w:gridCol w:w="7200"/>
      </w:tblGrid>
      <w:tr w:rsidR="00CC6CA3" w:rsidRPr="00CC6CA3" w14:paraId="29270843" w14:textId="77777777" w:rsidTr="00F632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BF4C70C" w14:textId="77777777" w:rsidR="00E2359E" w:rsidRPr="00CC6CA3" w:rsidRDefault="00E2359E" w:rsidP="00F632C0">
            <w:pPr>
              <w:rPr>
                <w:iCs/>
                <w:sz w:val="20"/>
                <w:szCs w:val="20"/>
              </w:rPr>
            </w:pPr>
            <w:r w:rsidRPr="00CC6CA3">
              <w:rPr>
                <w:sz w:val="20"/>
                <w:szCs w:val="20"/>
              </w:rPr>
              <w:t>Parameters</w:t>
            </w:r>
          </w:p>
        </w:tc>
        <w:tc>
          <w:tcPr>
            <w:tcW w:w="7200" w:type="dxa"/>
          </w:tcPr>
          <w:p w14:paraId="4884C930" w14:textId="77777777" w:rsidR="00E2359E" w:rsidRPr="00CC6CA3" w:rsidRDefault="00E2359E" w:rsidP="00F632C0">
            <w:pPr>
              <w:jc w:val="center"/>
              <w:cnfStyle w:val="100000000000" w:firstRow="1" w:lastRow="0" w:firstColumn="0" w:lastColumn="0" w:oddVBand="0" w:evenVBand="0" w:oddHBand="0" w:evenHBand="0" w:firstRowFirstColumn="0" w:firstRowLastColumn="0" w:lastRowFirstColumn="0" w:lastRowLastColumn="0"/>
              <w:rPr>
                <w:iCs/>
                <w:sz w:val="20"/>
                <w:szCs w:val="20"/>
              </w:rPr>
            </w:pPr>
            <w:r w:rsidRPr="00CC6CA3">
              <w:rPr>
                <w:iCs/>
                <w:sz w:val="20"/>
                <w:szCs w:val="20"/>
              </w:rPr>
              <w:t>Descriptions</w:t>
            </w:r>
          </w:p>
        </w:tc>
      </w:tr>
      <w:tr w:rsidR="00CC6CA3" w:rsidRPr="00CC6CA3" w14:paraId="06477F4B"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974B34D" w14:textId="77777777" w:rsidR="001D5FD4" w:rsidRPr="00CC6CA3" w:rsidRDefault="00D62691" w:rsidP="001D5FD4">
            <w:pPr>
              <w:rPr>
                <w:b w:val="0"/>
                <w:bCs w:val="0"/>
                <w:iCs/>
                <w:sz w:val="20"/>
                <w:szCs w:val="20"/>
              </w:rPr>
            </w:pPr>
            <m:oMathPara>
              <m:oMath>
                <m:sSub>
                  <m:sSubPr>
                    <m:ctrlPr>
                      <w:rPr>
                        <w:rFonts w:ascii="Cambria Math" w:hAnsi="Cambria Math"/>
                        <w:b w:val="0"/>
                        <w:bCs w:val="0"/>
                        <w:iCs/>
                        <w:sz w:val="20"/>
                        <w:szCs w:val="20"/>
                      </w:rPr>
                    </m:ctrlPr>
                  </m:sSubPr>
                  <m:e>
                    <m:r>
                      <m:rPr>
                        <m:sty m:val="bi"/>
                      </m:rPr>
                      <w:rPr>
                        <w:rFonts w:ascii="Cambria Math" w:hAnsi="Cambria Math"/>
                        <w:sz w:val="20"/>
                        <w:szCs w:val="20"/>
                      </w:rPr>
                      <m:t>ω</m:t>
                    </m:r>
                  </m:e>
                  <m:sub>
                    <m:r>
                      <m:rPr>
                        <m:sty m:val="bi"/>
                      </m:rPr>
                      <w:rPr>
                        <w:rFonts w:ascii="Cambria Math" w:hAnsi="Cambria Math"/>
                        <w:sz w:val="20"/>
                        <w:szCs w:val="20"/>
                      </w:rPr>
                      <m:t>i</m:t>
                    </m:r>
                  </m:sub>
                </m:sSub>
              </m:oMath>
            </m:oMathPara>
          </w:p>
        </w:tc>
        <w:tc>
          <w:tcPr>
            <w:tcW w:w="7200" w:type="dxa"/>
          </w:tcPr>
          <w:p w14:paraId="6D0F7D51" w14:textId="3DA1B367" w:rsidR="001D5FD4" w:rsidRPr="00CC6CA3" w:rsidRDefault="001D5FD4" w:rsidP="001D5FD4">
            <w:pPr>
              <w:cnfStyle w:val="000000100000" w:firstRow="0" w:lastRow="0" w:firstColumn="0" w:lastColumn="0" w:oddVBand="0" w:evenVBand="0" w:oddHBand="1" w:evenHBand="0" w:firstRowFirstColumn="0" w:firstRowLastColumn="0" w:lastRowFirstColumn="0" w:lastRowLastColumn="0"/>
              <w:rPr>
                <w:iCs/>
                <w:sz w:val="20"/>
                <w:szCs w:val="20"/>
              </w:rPr>
            </w:pPr>
            <w:r w:rsidRPr="00CC6CA3">
              <w:rPr>
                <w:iCs/>
                <w:sz w:val="20"/>
                <w:szCs w:val="20"/>
              </w:rPr>
              <w:t>weights for multiple target values</w:t>
            </w:r>
          </w:p>
        </w:tc>
      </w:tr>
      <w:tr w:rsidR="00CC6CA3" w:rsidRPr="00CC6CA3" w14:paraId="735A688A" w14:textId="77777777" w:rsidTr="00F632C0">
        <w:tc>
          <w:tcPr>
            <w:cnfStyle w:val="001000000000" w:firstRow="0" w:lastRow="0" w:firstColumn="1" w:lastColumn="0" w:oddVBand="0" w:evenVBand="0" w:oddHBand="0" w:evenHBand="0" w:firstRowFirstColumn="0" w:firstRowLastColumn="0" w:lastRowFirstColumn="0" w:lastRowLastColumn="0"/>
            <w:tcW w:w="1555" w:type="dxa"/>
          </w:tcPr>
          <w:p w14:paraId="7FEB2540" w14:textId="77777777" w:rsidR="001D5FD4" w:rsidRPr="00CC6CA3" w:rsidRDefault="001D5FD4" w:rsidP="001D5FD4">
            <w:pPr>
              <w:rPr>
                <w:b w:val="0"/>
                <w:bCs w:val="0"/>
                <w:iCs/>
                <w:sz w:val="20"/>
                <w:szCs w:val="20"/>
              </w:rPr>
            </w:pPr>
            <m:oMathPara>
              <m:oMath>
                <m:r>
                  <m:rPr>
                    <m:sty m:val="bi"/>
                  </m:rPr>
                  <w:rPr>
                    <w:rFonts w:ascii="Cambria Math" w:hAnsi="Cambria Math"/>
                    <w:sz w:val="20"/>
                    <w:szCs w:val="20"/>
                  </w:rPr>
                  <m:t>B</m:t>
                </m:r>
              </m:oMath>
            </m:oMathPara>
          </w:p>
        </w:tc>
        <w:tc>
          <w:tcPr>
            <w:tcW w:w="7200" w:type="dxa"/>
          </w:tcPr>
          <w:p w14:paraId="7B01139D" w14:textId="76A0C48E" w:rsidR="001D5FD4" w:rsidRPr="00CC6CA3" w:rsidRDefault="001D5FD4" w:rsidP="001D5FD4">
            <w:pPr>
              <w:cnfStyle w:val="000000000000" w:firstRow="0" w:lastRow="0" w:firstColumn="0" w:lastColumn="0" w:oddVBand="0" w:evenVBand="0" w:oddHBand="0" w:evenHBand="0" w:firstRowFirstColumn="0" w:firstRowLastColumn="0" w:lastRowFirstColumn="0" w:lastRowLastColumn="0"/>
              <w:rPr>
                <w:iCs/>
                <w:sz w:val="20"/>
                <w:szCs w:val="20"/>
              </w:rPr>
            </w:pPr>
            <w:r w:rsidRPr="00CC6CA3">
              <w:rPr>
                <w:iCs/>
                <w:sz w:val="20"/>
                <w:szCs w:val="20"/>
              </w:rPr>
              <w:t>proportionality constant</w:t>
            </w:r>
          </w:p>
        </w:tc>
      </w:tr>
      <w:tr w:rsidR="00CC6CA3" w:rsidRPr="00CC6CA3" w14:paraId="68F98537"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E6975BC" w14:textId="77777777" w:rsidR="001D5FD4" w:rsidRPr="00CC6CA3" w:rsidRDefault="001D5FD4" w:rsidP="001D5FD4">
            <w:pPr>
              <w:rPr>
                <w:b w:val="0"/>
                <w:bCs w:val="0"/>
                <w:iCs/>
                <w:sz w:val="20"/>
                <w:szCs w:val="20"/>
              </w:rPr>
            </w:pPr>
            <m:oMathPara>
              <m:oMath>
                <m:r>
                  <m:rPr>
                    <m:sty m:val="bi"/>
                  </m:rPr>
                  <w:rPr>
                    <w:rFonts w:ascii="Cambria Math" w:hAnsi="Cambria Math"/>
                    <w:sz w:val="20"/>
                    <w:szCs w:val="20"/>
                  </w:rPr>
                  <m:t>K</m:t>
                </m:r>
              </m:oMath>
            </m:oMathPara>
          </w:p>
        </w:tc>
        <w:tc>
          <w:tcPr>
            <w:tcW w:w="7200" w:type="dxa"/>
          </w:tcPr>
          <w:p w14:paraId="5ED69406" w14:textId="1C285C60" w:rsidR="001D5FD4" w:rsidRPr="00CC6CA3" w:rsidRDefault="001D5FD4" w:rsidP="001D5FD4">
            <w:pPr>
              <w:cnfStyle w:val="000000100000" w:firstRow="0" w:lastRow="0" w:firstColumn="0" w:lastColumn="0" w:oddVBand="0" w:evenVBand="0" w:oddHBand="1" w:evenHBand="0" w:firstRowFirstColumn="0" w:firstRowLastColumn="0" w:lastRowFirstColumn="0" w:lastRowLastColumn="0"/>
              <w:rPr>
                <w:iCs/>
                <w:sz w:val="20"/>
                <w:szCs w:val="20"/>
              </w:rPr>
            </w:pPr>
            <w:r w:rsidRPr="00CC6CA3">
              <w:rPr>
                <w:iCs/>
                <w:sz w:val="20"/>
                <w:szCs w:val="20"/>
              </w:rPr>
              <w:t>estimated maximum loss in the quadratic loss function</w:t>
            </w:r>
          </w:p>
        </w:tc>
      </w:tr>
      <w:tr w:rsidR="00CC6CA3" w:rsidRPr="00CC6CA3" w14:paraId="1314BAF2" w14:textId="77777777" w:rsidTr="00F632C0">
        <w:tc>
          <w:tcPr>
            <w:cnfStyle w:val="001000000000" w:firstRow="0" w:lastRow="0" w:firstColumn="1" w:lastColumn="0" w:oddVBand="0" w:evenVBand="0" w:oddHBand="0" w:evenHBand="0" w:firstRowFirstColumn="0" w:firstRowLastColumn="0" w:lastRowFirstColumn="0" w:lastRowLastColumn="0"/>
            <w:tcW w:w="1555" w:type="dxa"/>
          </w:tcPr>
          <w:p w14:paraId="4778836B" w14:textId="77777777" w:rsidR="001D5FD4" w:rsidRPr="00CC6CA3" w:rsidRDefault="001D5FD4" w:rsidP="001D5FD4">
            <w:pPr>
              <w:rPr>
                <w:b w:val="0"/>
                <w:bCs w:val="0"/>
                <w:iCs/>
                <w:sz w:val="20"/>
                <w:szCs w:val="20"/>
              </w:rPr>
            </w:pPr>
            <m:oMathPara>
              <m:oMath>
                <m:r>
                  <m:rPr>
                    <m:sty m:val="bi"/>
                  </m:rPr>
                  <w:rPr>
                    <w:rFonts w:ascii="Cambria Math" w:hAnsi="Cambria Math"/>
                    <w:sz w:val="20"/>
                    <w:szCs w:val="20"/>
                  </w:rPr>
                  <m:t>T</m:t>
                </m:r>
              </m:oMath>
            </m:oMathPara>
          </w:p>
        </w:tc>
        <w:tc>
          <w:tcPr>
            <w:tcW w:w="7200" w:type="dxa"/>
          </w:tcPr>
          <w:p w14:paraId="7556840C" w14:textId="0888FD90" w:rsidR="001D5FD4" w:rsidRPr="00CC6CA3" w:rsidRDefault="001D5FD4" w:rsidP="001D5FD4">
            <w:pPr>
              <w:cnfStyle w:val="000000000000" w:firstRow="0" w:lastRow="0" w:firstColumn="0" w:lastColumn="0" w:oddVBand="0" w:evenVBand="0" w:oddHBand="0" w:evenHBand="0" w:firstRowFirstColumn="0" w:firstRowLastColumn="0" w:lastRowFirstColumn="0" w:lastRowLastColumn="0"/>
              <w:rPr>
                <w:iCs/>
                <w:sz w:val="20"/>
                <w:szCs w:val="20"/>
              </w:rPr>
            </w:pPr>
            <w:r w:rsidRPr="00CC6CA3">
              <w:rPr>
                <w:iCs/>
                <w:sz w:val="20"/>
                <w:szCs w:val="20"/>
              </w:rPr>
              <w:t>target value of the variable</w:t>
            </w:r>
          </w:p>
        </w:tc>
      </w:tr>
      <w:tr w:rsidR="00CC6CA3" w:rsidRPr="00CC6CA3" w14:paraId="6B59FF34"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D548FB0" w14:textId="77777777" w:rsidR="001D5FD4" w:rsidRPr="00CC6CA3" w:rsidRDefault="00D62691" w:rsidP="001D5FD4">
            <w:pPr>
              <w:rPr>
                <w:b w:val="0"/>
                <w:bCs w:val="0"/>
                <w:iCs/>
                <w:sz w:val="20"/>
                <w:szCs w:val="20"/>
              </w:rPr>
            </w:pPr>
            <m:oMathPara>
              <m:oMath>
                <m:sSub>
                  <m:sSubPr>
                    <m:ctrlPr>
                      <w:rPr>
                        <w:rFonts w:ascii="Cambria Math" w:hAnsi="Cambria Math"/>
                        <w:b w:val="0"/>
                        <w:bCs w:val="0"/>
                        <w:iCs/>
                        <w:sz w:val="20"/>
                        <w:szCs w:val="20"/>
                      </w:rPr>
                    </m:ctrlPr>
                  </m:sSubPr>
                  <m:e>
                    <m:r>
                      <m:rPr>
                        <m:sty m:val="bi"/>
                      </m:rPr>
                      <w:rPr>
                        <w:rFonts w:ascii="Cambria Math" w:hAnsi="Cambria Math"/>
                        <w:sz w:val="20"/>
                        <w:szCs w:val="20"/>
                      </w:rPr>
                      <m:t>k</m:t>
                    </m:r>
                  </m:e>
                  <m:sub>
                    <m:r>
                      <m:rPr>
                        <m:sty m:val="bi"/>
                      </m:rPr>
                      <w:rPr>
                        <w:rFonts w:ascii="Cambria Math" w:hAnsi="Cambria Math"/>
                        <w:sz w:val="20"/>
                        <w:szCs w:val="20"/>
                      </w:rPr>
                      <m:t>i</m:t>
                    </m:r>
                  </m:sub>
                </m:sSub>
              </m:oMath>
            </m:oMathPara>
          </w:p>
        </w:tc>
        <w:tc>
          <w:tcPr>
            <w:tcW w:w="7200" w:type="dxa"/>
          </w:tcPr>
          <w:p w14:paraId="50190823" w14:textId="28FBCA7A" w:rsidR="001D5FD4" w:rsidRPr="00CC6CA3" w:rsidRDefault="001D5FD4" w:rsidP="001D5FD4">
            <w:pPr>
              <w:cnfStyle w:val="000000100000" w:firstRow="0" w:lastRow="0" w:firstColumn="0" w:lastColumn="0" w:oddVBand="0" w:evenVBand="0" w:oddHBand="1" w:evenHBand="0" w:firstRowFirstColumn="0" w:firstRowLastColumn="0" w:lastRowFirstColumn="0" w:lastRowLastColumn="0"/>
              <w:rPr>
                <w:iCs/>
                <w:sz w:val="20"/>
                <w:szCs w:val="20"/>
              </w:rPr>
            </w:pPr>
            <m:oMath>
              <m:r>
                <w:rPr>
                  <w:rFonts w:ascii="Cambria Math" w:hAnsi="Cambria Math"/>
                  <w:sz w:val="20"/>
                  <w:szCs w:val="20"/>
                </w:rPr>
                <m:t>i</m:t>
              </m:r>
              <m:r>
                <m:rPr>
                  <m:sty m:val="p"/>
                </m:rPr>
                <w:rPr>
                  <w:rFonts w:ascii="Cambria Math" w:hAnsi="Cambria Math"/>
                  <w:sz w:val="20"/>
                  <w:szCs w:val="20"/>
                </w:rPr>
                <m:t>-</m:t>
              </m:r>
              <m:r>
                <w:rPr>
                  <w:rFonts w:ascii="Cambria Math" w:hAnsi="Cambria Math"/>
                  <w:sz w:val="20"/>
                  <w:szCs w:val="20"/>
                </w:rPr>
                <m:t>th</m:t>
              </m:r>
            </m:oMath>
            <w:r w:rsidRPr="00CC6CA3">
              <w:rPr>
                <w:iCs/>
                <w:sz w:val="20"/>
                <w:szCs w:val="20"/>
              </w:rPr>
              <w:t xml:space="preserve"> order loss coefficient in the quartic loss function</w:t>
            </w:r>
          </w:p>
        </w:tc>
      </w:tr>
      <w:tr w:rsidR="00CC6CA3" w:rsidRPr="00CC6CA3" w14:paraId="210A8ACD" w14:textId="77777777" w:rsidTr="00F632C0">
        <w:tc>
          <w:tcPr>
            <w:cnfStyle w:val="001000000000" w:firstRow="0" w:lastRow="0" w:firstColumn="1" w:lastColumn="0" w:oddVBand="0" w:evenVBand="0" w:oddHBand="0" w:evenHBand="0" w:firstRowFirstColumn="0" w:firstRowLastColumn="0" w:lastRowFirstColumn="0" w:lastRowLastColumn="0"/>
            <w:tcW w:w="1555" w:type="dxa"/>
          </w:tcPr>
          <w:p w14:paraId="76A05B95" w14:textId="77777777" w:rsidR="001D5FD4" w:rsidRPr="00CC6CA3" w:rsidRDefault="001D5FD4" w:rsidP="001D5FD4">
            <w:pPr>
              <w:rPr>
                <w:b w:val="0"/>
                <w:bCs w:val="0"/>
                <w:iCs/>
                <w:sz w:val="20"/>
                <w:szCs w:val="20"/>
              </w:rPr>
            </w:pPr>
            <m:oMathPara>
              <m:oMath>
                <m:r>
                  <m:rPr>
                    <m:sty m:val="bi"/>
                  </m:rPr>
                  <w:rPr>
                    <w:rFonts w:ascii="Cambria Math" w:hAnsi="Cambria Math"/>
                    <w:sz w:val="20"/>
                    <w:szCs w:val="20"/>
                  </w:rPr>
                  <m:t>α</m:t>
                </m:r>
              </m:oMath>
            </m:oMathPara>
          </w:p>
        </w:tc>
        <w:tc>
          <w:tcPr>
            <w:tcW w:w="7200" w:type="dxa"/>
          </w:tcPr>
          <w:p w14:paraId="00E66057" w14:textId="57EF3C5B" w:rsidR="001D5FD4" w:rsidRPr="00CC6CA3" w:rsidRDefault="001D5FD4" w:rsidP="001D5FD4">
            <w:pPr>
              <w:cnfStyle w:val="000000000000" w:firstRow="0" w:lastRow="0" w:firstColumn="0" w:lastColumn="0" w:oddVBand="0" w:evenVBand="0" w:oddHBand="0" w:evenHBand="0" w:firstRowFirstColumn="0" w:firstRowLastColumn="0" w:lastRowFirstColumn="0" w:lastRowLastColumn="0"/>
              <w:rPr>
                <w:iCs/>
                <w:sz w:val="20"/>
                <w:szCs w:val="20"/>
              </w:rPr>
            </w:pPr>
            <w:r w:rsidRPr="00CC6CA3">
              <w:rPr>
                <w:iCs/>
                <w:sz w:val="20"/>
                <w:szCs w:val="20"/>
              </w:rPr>
              <w:t>shape parameter in the inverted Beta loss function</w:t>
            </w:r>
          </w:p>
        </w:tc>
      </w:tr>
      <w:tr w:rsidR="00CC6CA3" w:rsidRPr="00CC6CA3" w14:paraId="17667FB0"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C7B9FDC" w14:textId="77777777" w:rsidR="001D5FD4" w:rsidRPr="00CC6CA3" w:rsidRDefault="001D5FD4" w:rsidP="001D5FD4">
            <w:pPr>
              <w:rPr>
                <w:b w:val="0"/>
                <w:bCs w:val="0"/>
                <w:iCs/>
                <w:sz w:val="20"/>
                <w:szCs w:val="20"/>
              </w:rPr>
            </w:pPr>
            <m:oMathPara>
              <m:oMath>
                <m:r>
                  <m:rPr>
                    <m:sty m:val="bi"/>
                  </m:rPr>
                  <w:rPr>
                    <w:rFonts w:ascii="Cambria Math" w:hAnsi="Cambria Math"/>
                    <w:sz w:val="20"/>
                    <w:szCs w:val="20"/>
                  </w:rPr>
                  <m:t>γ</m:t>
                </m:r>
              </m:oMath>
            </m:oMathPara>
          </w:p>
        </w:tc>
        <w:tc>
          <w:tcPr>
            <w:tcW w:w="7200" w:type="dxa"/>
          </w:tcPr>
          <w:p w14:paraId="1DB0818B" w14:textId="52553A56" w:rsidR="001D5FD4" w:rsidRPr="00CC6CA3" w:rsidRDefault="001D5FD4" w:rsidP="001D5FD4">
            <w:pPr>
              <w:cnfStyle w:val="000000100000" w:firstRow="0" w:lastRow="0" w:firstColumn="0" w:lastColumn="0" w:oddVBand="0" w:evenVBand="0" w:oddHBand="1" w:evenHBand="0" w:firstRowFirstColumn="0" w:firstRowLastColumn="0" w:lastRowFirstColumn="0" w:lastRowLastColumn="0"/>
              <w:rPr>
                <w:iCs/>
                <w:sz w:val="20"/>
                <w:szCs w:val="20"/>
              </w:rPr>
            </w:pPr>
            <w:r w:rsidRPr="00CC6CA3">
              <w:rPr>
                <w:iCs/>
                <w:sz w:val="20"/>
                <w:szCs w:val="20"/>
              </w:rPr>
              <w:t>shape parameter in the inverted normal loss function</w:t>
            </w:r>
          </w:p>
        </w:tc>
      </w:tr>
    </w:tbl>
    <w:p w14:paraId="523D3806" w14:textId="3613699C" w:rsidR="00E2359E" w:rsidRPr="00CC6CA3" w:rsidRDefault="00CC0E82" w:rsidP="00CC0E82">
      <w:pPr>
        <w:spacing w:before="120"/>
        <w:rPr>
          <w:iCs/>
        </w:rPr>
      </w:pPr>
      <w:r w:rsidRPr="00CC6CA3">
        <w:t xml:space="preserve">For the loss functions listed </w:t>
      </w:r>
      <w:r w:rsidR="00E2359E" w:rsidRPr="00CC6CA3">
        <w:t xml:space="preserve">in </w:t>
      </w:r>
      <w:r w:rsidR="00E2359E" w:rsidRPr="00CC6CA3">
        <w:fldChar w:fldCharType="begin"/>
      </w:r>
      <w:r w:rsidR="00E2359E" w:rsidRPr="00CC6CA3">
        <w:instrText xml:space="preserve"> REF _Ref61900195 \h </w:instrText>
      </w:r>
      <w:r w:rsidR="00E2359E" w:rsidRPr="00CC6CA3">
        <w:fldChar w:fldCharType="separate"/>
      </w:r>
      <w:r w:rsidR="001906D9" w:rsidRPr="00CC6CA3">
        <w:t xml:space="preserve">Table </w:t>
      </w:r>
      <w:r w:rsidR="001906D9" w:rsidRPr="00CC6CA3">
        <w:rPr>
          <w:noProof/>
        </w:rPr>
        <w:t>2</w:t>
      </w:r>
      <w:r w:rsidR="001906D9" w:rsidRPr="00CC6CA3">
        <w:t>.</w:t>
      </w:r>
      <w:r w:rsidR="001906D9" w:rsidRPr="00CC6CA3">
        <w:rPr>
          <w:noProof/>
        </w:rPr>
        <w:t>3</w:t>
      </w:r>
      <w:r w:rsidR="00E2359E" w:rsidRPr="00CC6CA3">
        <w:fldChar w:fldCharType="end"/>
      </w:r>
      <w:r w:rsidR="00E2359E" w:rsidRPr="00CC6CA3">
        <w:t xml:space="preserve">, </w:t>
      </w:r>
      <w:r w:rsidRPr="00CC6CA3">
        <w:t xml:space="preserve">the first four, namely the square, absolute, </w:t>
      </w:r>
      <w:r w:rsidRPr="00CC6CA3">
        <w:rPr>
          <w:iCs/>
        </w:rPr>
        <w:t>weighted</w:t>
      </w:r>
      <w:r w:rsidRPr="00CC6CA3">
        <w:t xml:space="preserve"> and </w:t>
      </w:r>
      <w:r w:rsidRPr="00CC6CA3">
        <w:rPr>
          <w:iCs/>
        </w:rPr>
        <w:t>zero-one loss</w:t>
      </w:r>
      <w:r w:rsidRPr="00CC6CA3">
        <w:t xml:space="preserve"> functions, are simple ways to quantify losses associated with deviations from predetermined target values. The quadratic and quartic loss function are typical methods used in quality management; however, these two are not able to truly represent rapid changes of deviations from the normal value in, for example, strong nonlinear chemical processes</w:t>
      </w:r>
      <w:r w:rsidR="00E2359E" w:rsidRPr="00CC6CA3">
        <w:t xml:space="preserve"> </w:t>
      </w:r>
      <w:r w:rsidR="00E2359E" w:rsidRPr="00CC6CA3">
        <w:fldChar w:fldCharType="begin"/>
      </w:r>
      <w:r w:rsidR="007D1BCC" w:rsidRPr="00CC6CA3">
        <w:instrText xml:space="preserve"> ADDIN ZOTERO_ITEM CSL_CITATION {"citationID":"Cn9uecVU","properties":{"formattedCitation":"[125]","plainCitation":"[125]","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assessment","volume":"111","author":[{"family":"Khan","given":"Faisal"},{"family":"Wang","given":"Hangzhou"},{"family":"Yang","given":"Ming"}],"issued":{"date-parts":[["2016"]]}}}],"schema":"https://github.com/citation-style-language/schema/raw/master/csl-citation.json"} </w:instrText>
      </w:r>
      <w:r w:rsidR="00E2359E" w:rsidRPr="00CC6CA3">
        <w:fldChar w:fldCharType="separate"/>
      </w:r>
      <w:r w:rsidR="007D1BCC" w:rsidRPr="00CC6CA3">
        <w:rPr>
          <w:rFonts w:cs="Times New Roman"/>
        </w:rPr>
        <w:t>[125]</w:t>
      </w:r>
      <w:r w:rsidR="00E2359E" w:rsidRPr="00CC6CA3">
        <w:fldChar w:fldCharType="end"/>
      </w:r>
      <w:r w:rsidR="00E2359E" w:rsidRPr="00CC6CA3">
        <w:t xml:space="preserve">. The </w:t>
      </w:r>
      <w:r w:rsidR="00E2359E" w:rsidRPr="00CC6CA3">
        <w:rPr>
          <w:iCs/>
        </w:rPr>
        <w:t>inverted normal loss function and its variant</w:t>
      </w:r>
      <w:r w:rsidR="00E2359E" w:rsidRPr="00CC6CA3">
        <w:rPr>
          <w:rFonts w:hint="eastAsia"/>
          <w:iCs/>
        </w:rPr>
        <w:t>s</w:t>
      </w:r>
      <w:r w:rsidR="00E2359E" w:rsidRPr="00CC6CA3">
        <w:rPr>
          <w:iCs/>
        </w:rPr>
        <w:t xml:space="preserve"> are much more adaptable, as the normal distribution is the most widely used </w:t>
      </w:r>
      <w:r w:rsidR="00E2359E" w:rsidRPr="00CC6CA3">
        <w:t xml:space="preserve">pattern for describing random variables. </w:t>
      </w:r>
    </w:p>
    <w:p w14:paraId="119B1F67" w14:textId="0E872B60" w:rsidR="00E2359E" w:rsidRPr="00CC6CA3" w:rsidRDefault="00E2359E" w:rsidP="00E2359E">
      <w:r w:rsidRPr="00CC6CA3">
        <w:t xml:space="preserve">According to Hashemi et al. </w:t>
      </w:r>
      <w:r w:rsidRPr="00CC6CA3">
        <w:fldChar w:fldCharType="begin"/>
      </w:r>
      <w:r w:rsidR="007D1BCC" w:rsidRPr="00CC6CA3">
        <w:instrText xml:space="preserve"> ADDIN ZOTERO_ITEM CSL_CITATION {"citationID":"oHrWZSi6","properties":{"formattedCitation":"[128]","plainCitation":"[128]","noteIndex":0},"citationItems":[{"id":986,"uris":["http://zotero.org/users/3051968/items/9XRWY9IG"],"uri":["http://zotero.org/users/3051968/items/9XRWY9IG"],"itemData":{"id":986,"type":"article-journal","container-title":"Process Safety Progress","issue":"3","note":"publisher: Wiley Online Library","page":"285–291","source":"Google Scholar","title":"Loss functions and their applications in process safety assessment","volume":"33","author":[{"family":"Hashemi","given":"Seyed Javad"},{"family":"Ahmed","given":"Salim"},{"family":"Khan","given":"Faisal"}],"issued":{"date-parts":[["2014"]]}}}],"schema":"https://github.com/citation-style-language/schema/raw/master/csl-citation.json"} </w:instrText>
      </w:r>
      <w:r w:rsidRPr="00CC6CA3">
        <w:fldChar w:fldCharType="separate"/>
      </w:r>
      <w:r w:rsidR="007D1BCC" w:rsidRPr="00CC6CA3">
        <w:rPr>
          <w:rFonts w:cs="Times New Roman"/>
        </w:rPr>
        <w:t>[128]</w:t>
      </w:r>
      <w:r w:rsidRPr="00CC6CA3">
        <w:fldChar w:fldCharType="end"/>
      </w:r>
      <w:r w:rsidRPr="00CC6CA3">
        <w:t xml:space="preserve">, </w:t>
      </w:r>
      <w:r w:rsidR="00AB5D0F" w:rsidRPr="00CC6CA3">
        <w:t>the modified inverted normal loss function and the inverted Beta loss function were more adaptable and better able to depict system safety losses associated with process variations</w:t>
      </w:r>
      <w:r w:rsidRPr="00CC6CA3">
        <w:t xml:space="preserve">. In Khan et al. </w:t>
      </w:r>
      <w:r w:rsidRPr="00CC6CA3">
        <w:fldChar w:fldCharType="begin"/>
      </w:r>
      <w:r w:rsidR="007D1BCC" w:rsidRPr="00CC6CA3">
        <w:instrText xml:space="preserve"> ADDIN ZOTERO_ITEM CSL_CITATION {"citationID":"VmHhiUlE","properties":{"formattedCitation":"[125]","plainCitation":"[125]","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assessment","volume":"111","author":[{"family":"Khan","given":"Faisal"},{"family":"Wang","given":"Hangzhou"},{"family":"Yang","given":"Ming"}],"issued":{"date-parts":[["2016"]]}}}],"schema":"https://github.com/citation-style-language/schema/raw/master/csl-citation.json"} </w:instrText>
      </w:r>
      <w:r w:rsidRPr="00CC6CA3">
        <w:fldChar w:fldCharType="separate"/>
      </w:r>
      <w:r w:rsidR="007D1BCC" w:rsidRPr="00CC6CA3">
        <w:rPr>
          <w:rFonts w:cs="Times New Roman"/>
        </w:rPr>
        <w:t>[125]</w:t>
      </w:r>
      <w:r w:rsidRPr="00CC6CA3">
        <w:fldChar w:fldCharType="end"/>
      </w:r>
      <w:r w:rsidRPr="00CC6CA3">
        <w:t xml:space="preserve">, </w:t>
      </w:r>
      <w:r w:rsidR="00AB5D0F" w:rsidRPr="00CC6CA3">
        <w:t>the inverted Beta loss function was applied to units requiring both the upper and lower boundaries of an operating variable; the inverted normal loss function was used for units requiring only the upper boundary of an operating variable; multivariate inverted loss function was employed for units requiring multivariate monitoring</w:t>
      </w:r>
      <w:r w:rsidRPr="00CC6CA3">
        <w:t>.</w:t>
      </w:r>
    </w:p>
    <w:p w14:paraId="07106CB7" w14:textId="77777777" w:rsidR="00E2359E" w:rsidRPr="00CC6CA3" w:rsidRDefault="00E2359E" w:rsidP="00E2359E">
      <w:pPr>
        <w:pStyle w:val="Heading3"/>
      </w:pPr>
      <w:bookmarkStart w:id="160" w:name="_Toc81553258"/>
      <w:bookmarkStart w:id="161" w:name="_Toc529370786"/>
      <w:bookmarkStart w:id="162" w:name="_Toc2681931"/>
      <w:r w:rsidRPr="00CC6CA3">
        <w:lastRenderedPageBreak/>
        <w:t>Dynamic indicator for condition-based risk assessment</w:t>
      </w:r>
      <w:bookmarkEnd w:id="160"/>
    </w:p>
    <w:p w14:paraId="1C276819" w14:textId="777458E2" w:rsidR="00E2359E" w:rsidRPr="00CC6CA3" w:rsidRDefault="00297FCA" w:rsidP="00E2359E">
      <w:r w:rsidRPr="00CC6CA3">
        <w:t>A conventional</w:t>
      </w:r>
      <w:r w:rsidR="00E2359E" w:rsidRPr="00CC6CA3">
        <w:t xml:space="preserve"> risk indicator (see Section 2.2.3.2) quantifies the risk associated with a particular process activity using near miss and incident data. In contrast, </w:t>
      </w:r>
      <w:r w:rsidR="00A03B9A" w:rsidRPr="00CC6CA3">
        <w:t xml:space="preserve">the </w:t>
      </w:r>
      <w:r w:rsidR="00E2359E" w:rsidRPr="00CC6CA3">
        <w:t xml:space="preserve">dynamic condition-based risk assessment method uses condition monitoring data and </w:t>
      </w:r>
      <w:proofErr w:type="gramStart"/>
      <w:r w:rsidR="00E2359E" w:rsidRPr="00CC6CA3">
        <w:t>is capable of capturing</w:t>
      </w:r>
      <w:proofErr w:type="gramEnd"/>
      <w:r w:rsidR="00E2359E" w:rsidRPr="00CC6CA3">
        <w:t xml:space="preserve"> the time-dependent behaviour of the system risk profile. The health indicator for condition-based risk assessment can be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1530"/>
      </w:tblGrid>
      <w:tr w:rsidR="00CC6CA3" w:rsidRPr="00CC6CA3" w14:paraId="0003303D" w14:textId="77777777" w:rsidTr="00F632C0">
        <w:tc>
          <w:tcPr>
            <w:tcW w:w="7225" w:type="dxa"/>
          </w:tcPr>
          <w:p w14:paraId="2ED142BA" w14:textId="77777777" w:rsidR="00E2359E" w:rsidRPr="00CC6CA3" w:rsidRDefault="00E2359E" w:rsidP="00F632C0">
            <w:pPr>
              <w:rPr>
                <w:i/>
              </w:rPr>
            </w:pPr>
            <m:oMathPara>
              <m:oMathParaPr>
                <m:jc m:val="center"/>
              </m:oMathParaPr>
              <m:oMath>
                <m:r>
                  <w:rPr>
                    <w:rStyle w:val="mjxassistivemathml"/>
                    <w:rFonts w:ascii="Cambria Math" w:hAnsi="Cambria Math"/>
                    <w:bdr w:val="none" w:sz="0" w:space="0" w:color="auto" w:frame="1"/>
                  </w:rPr>
                  <m:t>Risk=POF×COF</m:t>
                </m:r>
              </m:oMath>
            </m:oMathPara>
          </w:p>
        </w:tc>
        <w:tc>
          <w:tcPr>
            <w:tcW w:w="1530" w:type="dxa"/>
          </w:tcPr>
          <w:p w14:paraId="2CF9A387" w14:textId="1E82B7D5" w:rsidR="00E2359E" w:rsidRPr="00CC6CA3" w:rsidRDefault="00E2359E" w:rsidP="00F632C0">
            <w:pPr>
              <w:jc w:val="right"/>
            </w:pPr>
            <w:r w:rsidRPr="00CC6CA3">
              <w:rPr>
                <w:noProof/>
              </w:rPr>
              <w:t>(</w:t>
            </w:r>
            <w:r w:rsidRPr="00CC6CA3">
              <w:rPr>
                <w:noProof/>
              </w:rPr>
              <w:fldChar w:fldCharType="begin"/>
            </w:r>
            <w:r w:rsidRPr="00CC6CA3">
              <w:rPr>
                <w:noProof/>
              </w:rPr>
              <w:instrText xml:space="preserve"> STYLEREF 1 \s </w:instrText>
            </w:r>
            <w:r w:rsidRPr="00CC6CA3">
              <w:rPr>
                <w:noProof/>
              </w:rPr>
              <w:fldChar w:fldCharType="separate"/>
            </w:r>
            <w:r w:rsidR="001906D9" w:rsidRPr="00CC6CA3">
              <w:rPr>
                <w:noProof/>
              </w:rPr>
              <w:t>2</w:t>
            </w:r>
            <w:r w:rsidRPr="00CC6CA3">
              <w:rPr>
                <w:noProof/>
              </w:rPr>
              <w:fldChar w:fldCharType="end"/>
            </w:r>
            <w:r w:rsidRPr="00CC6CA3">
              <w:noBreakHyphen/>
            </w:r>
            <w:r w:rsidRPr="00CC6CA3">
              <w:rPr>
                <w:noProof/>
              </w:rPr>
              <w:fldChar w:fldCharType="begin"/>
            </w:r>
            <w:r w:rsidRPr="00CC6CA3">
              <w:rPr>
                <w:noProof/>
              </w:rPr>
              <w:instrText xml:space="preserve"> SEQ Equation \* ARABIC \s 1 </w:instrText>
            </w:r>
            <w:r w:rsidRPr="00CC6CA3">
              <w:rPr>
                <w:noProof/>
              </w:rPr>
              <w:fldChar w:fldCharType="separate"/>
            </w:r>
            <w:r w:rsidR="001906D9" w:rsidRPr="00CC6CA3">
              <w:rPr>
                <w:noProof/>
              </w:rPr>
              <w:t>15</w:t>
            </w:r>
            <w:r w:rsidRPr="00CC6CA3">
              <w:rPr>
                <w:noProof/>
              </w:rPr>
              <w:fldChar w:fldCharType="end"/>
            </w:r>
            <w:r w:rsidRPr="00CC6CA3">
              <w:rPr>
                <w:noProof/>
              </w:rPr>
              <w:t>)</w:t>
            </w:r>
          </w:p>
        </w:tc>
      </w:tr>
    </w:tbl>
    <w:p w14:paraId="155E3E7F" w14:textId="3F6C3A04" w:rsidR="00E2359E" w:rsidRPr="00CC6CA3" w:rsidRDefault="00E2359E" w:rsidP="00E2359E">
      <w:r w:rsidRPr="00CC6CA3">
        <w:t xml:space="preserve">where </w:t>
      </w:r>
      <m:oMath>
        <m:r>
          <w:rPr>
            <w:rStyle w:val="mjxassistivemathml"/>
            <w:rFonts w:ascii="Cambria Math" w:hAnsi="Cambria Math"/>
            <w:bdr w:val="none" w:sz="0" w:space="0" w:color="auto" w:frame="1"/>
          </w:rPr>
          <m:t>POF</m:t>
        </m:r>
      </m:oMath>
      <w:r w:rsidRPr="00CC6CA3">
        <w:rPr>
          <w:rStyle w:val="mjxassistivemathml"/>
          <w:bdr w:val="none" w:sz="0" w:space="0" w:color="auto" w:frame="1"/>
        </w:rPr>
        <w:t xml:space="preserve"> is the </w:t>
      </w:r>
      <w:r w:rsidRPr="00CC6CA3">
        <w:t xml:space="preserve">probability of </w:t>
      </w:r>
      <w:r w:rsidR="00297FCA" w:rsidRPr="00CC6CA3">
        <w:t xml:space="preserve">a </w:t>
      </w:r>
      <w:r w:rsidRPr="00CC6CA3">
        <w:t xml:space="preserve">fault, and </w:t>
      </w:r>
      <m:oMath>
        <m:r>
          <w:rPr>
            <w:rStyle w:val="mjxassistivemathml"/>
            <w:rFonts w:ascii="Cambria Math" w:hAnsi="Cambria Math"/>
            <w:bdr w:val="none" w:sz="0" w:space="0" w:color="auto" w:frame="1"/>
          </w:rPr>
          <m:t>COF</m:t>
        </m:r>
      </m:oMath>
      <w:r w:rsidRPr="00CC6CA3">
        <w:rPr>
          <w:rStyle w:val="mjxassistivemathml"/>
          <w:bdr w:val="none" w:sz="0" w:space="0" w:color="auto" w:frame="1"/>
        </w:rPr>
        <w:t xml:space="preserve"> is the associated consequences, which can be presented either by </w:t>
      </w:r>
      <w:r w:rsidRPr="00CC6CA3">
        <w:t xml:space="preserve">severity score or by financial </w:t>
      </w:r>
      <w:proofErr w:type="gramStart"/>
      <w:r w:rsidRPr="00CC6CA3">
        <w:t>costs.</w:t>
      </w:r>
      <w:proofErr w:type="gramEnd"/>
    </w:p>
    <w:p w14:paraId="5B9059AA" w14:textId="77777777" w:rsidR="00E2359E" w:rsidRPr="00CC6CA3" w:rsidRDefault="00E2359E" w:rsidP="00E2359E">
      <w:pPr>
        <w:pStyle w:val="Heading3"/>
      </w:pPr>
      <w:bookmarkStart w:id="163" w:name="_Toc81553259"/>
      <w:r w:rsidRPr="00CC6CA3">
        <w:rPr>
          <w:rFonts w:hint="eastAsia"/>
        </w:rPr>
        <w:t>Comments</w:t>
      </w:r>
      <w:bookmarkEnd w:id="163"/>
    </w:p>
    <w:p w14:paraId="4BCCBA04" w14:textId="764194FE" w:rsidR="00E2359E" w:rsidRPr="00CC6CA3" w:rsidRDefault="00297FCA" w:rsidP="00E2359E">
      <w:r w:rsidRPr="00CC6CA3">
        <w:t>Irrespective of the good performance of the models referred to above, some challenges remain in the maintenance of machines in real industrial applications</w:t>
      </w:r>
      <w:r w:rsidR="00E2359E" w:rsidRPr="00CC6CA3">
        <w:t xml:space="preserve">. </w:t>
      </w:r>
    </w:p>
    <w:p w14:paraId="08091927" w14:textId="73500747" w:rsidR="00E2359E" w:rsidRPr="00CC6CA3" w:rsidRDefault="00E2359E" w:rsidP="00720314">
      <w:pPr>
        <w:pStyle w:val="ListParagraph"/>
        <w:numPr>
          <w:ilvl w:val="0"/>
          <w:numId w:val="18"/>
        </w:numPr>
        <w:rPr>
          <w:rFonts w:ascii="Times New Roman" w:hAnsi="Times New Roman"/>
        </w:rPr>
      </w:pPr>
      <w:r w:rsidRPr="00CC6CA3">
        <w:rPr>
          <w:rFonts w:ascii="Times New Roman" w:hAnsi="Times New Roman"/>
        </w:rPr>
        <w:t>On the one hand, the existing dynamic risk-based maintenance research (</w:t>
      </w:r>
      <w:r w:rsidRPr="00CC6CA3">
        <w:rPr>
          <w:rFonts w:ascii="Times New Roman" w:hAnsi="Times New Roman"/>
        </w:rPr>
        <w:fldChar w:fldCharType="begin"/>
      </w:r>
      <w:r w:rsidR="007D1BCC" w:rsidRPr="00CC6CA3">
        <w:rPr>
          <w:rFonts w:ascii="Times New Roman" w:hAnsi="Times New Roman"/>
        </w:rPr>
        <w:instrText xml:space="preserve"> ADDIN ZOTERO_ITEM CSL_CITATION {"citationID":"2b3XjpHJ","properties":{"formattedCitation":"[122]","plainCitation":"[122]","noteIndex":0},"citationItems":[{"id":865,"uris":["http://zotero.org/users/3051968/items/UZ3QMX2Z"],"uri":["http://zotero.org/users/3051968/items/UZ3QMX2Z"],"itemData":{"id":865,"type":"article-journal","container-title":"Process Safety Progress","issue":"4","note":"publisher: Wiley Online Library","page":"365–375","source":"Google Scholar","title":"Dynamic risk assessment and fault detection using a multivariate technique","volume":"32","author":[{"family":"Zadakbar","given":"O."},{"family":"Imtiaz","given":"S."},{"family":"Khan","given":"F."}],"issued":{"date-parts":[["2013"]]}}}],"schema":"https://github.com/citation-style-language/schema/raw/master/csl-citation.json"} </w:instrText>
      </w:r>
      <w:r w:rsidRPr="00CC6CA3">
        <w:rPr>
          <w:rFonts w:ascii="Times New Roman" w:hAnsi="Times New Roman"/>
        </w:rPr>
        <w:fldChar w:fldCharType="separate"/>
      </w:r>
      <w:r w:rsidR="007D1BCC" w:rsidRPr="00CC6CA3">
        <w:rPr>
          <w:rFonts w:ascii="Times New Roman" w:hAnsi="Times New Roman"/>
        </w:rPr>
        <w:t>[122]</w:t>
      </w:r>
      <w:r w:rsidRPr="00CC6CA3">
        <w:rPr>
          <w:rFonts w:ascii="Times New Roman" w:hAnsi="Times New Roman"/>
        </w:rPr>
        <w:fldChar w:fldCharType="end"/>
      </w:r>
      <w:r w:rsidRPr="00CC6CA3">
        <w:rPr>
          <w:rFonts w:ascii="Times New Roman" w:hAnsi="Times New Roman"/>
        </w:rPr>
        <w:t>-</w:t>
      </w:r>
      <w:r w:rsidRPr="00CC6CA3">
        <w:fldChar w:fldCharType="begin"/>
      </w:r>
      <w:r w:rsidR="007D1BCC" w:rsidRPr="00CC6CA3">
        <w:instrText xml:space="preserve"> ADDIN ZOTERO_ITEM CSL_CITATION {"citationID":"Vo2eRQPZ","properties":{"formattedCitation":"[128]","plainCitation":"[128]","noteIndex":0},"citationItems":[{"id":986,"uris":["http://zotero.org/users/3051968/items/9XRWY9IG"],"uri":["http://zotero.org/users/3051968/items/9XRWY9IG"],"itemData":{"id":986,"type":"article-journal","container-title":"Process Safety Progress","issue":"3","note":"publisher: Wiley Online Library","page":"285–291","source":"Google Scholar","title":"Loss functions and their applications in process safety assessment","volume":"33","author":[{"family":"Hashemi","given":"Seyed Javad"},{"family":"Ahmed","given":"Salim"},{"family":"Khan","given":"Faisal"}],"issued":{"date-parts":[["2014"]]}}}],"schema":"https://github.com/citation-style-language/schema/raw/master/csl-citation.json"} </w:instrText>
      </w:r>
      <w:r w:rsidRPr="00CC6CA3">
        <w:fldChar w:fldCharType="separate"/>
      </w:r>
      <w:r w:rsidR="007D1BCC" w:rsidRPr="00CC6CA3">
        <w:rPr>
          <w:rFonts w:ascii="Times New Roman" w:hAnsi="Times New Roman"/>
        </w:rPr>
        <w:t>[128]</w:t>
      </w:r>
      <w:r w:rsidRPr="00CC6CA3">
        <w:fldChar w:fldCharType="end"/>
      </w:r>
      <w:r w:rsidRPr="00CC6CA3">
        <w:rPr>
          <w:rFonts w:ascii="Times New Roman" w:hAnsi="Times New Roman"/>
        </w:rPr>
        <w:t xml:space="preserve">) </w:t>
      </w:r>
      <w:r w:rsidR="0060597C" w:rsidRPr="00CC6CA3">
        <w:rPr>
          <w:rFonts w:ascii="Times New Roman" w:hAnsi="Times New Roman"/>
        </w:rPr>
        <w:t>focuses on lowering the overall risk to the system, without placing much attention on the early detection of a fault. In the models, the fault/failure probabilities are heavily related to fault detection processes. Therefore, there is a need to improve the probability model with the application of advanced fault detection methods. Meanwhile, it is suggested that the loss function be integrated into the risk model, as it can help estimate economic risk and assist in effective operational decision-making</w:t>
      </w:r>
      <w:r w:rsidRPr="00CC6CA3">
        <w:rPr>
          <w:rFonts w:ascii="Times New Roman" w:hAnsi="Times New Roman"/>
        </w:rPr>
        <w:t xml:space="preserve">. </w:t>
      </w:r>
    </w:p>
    <w:p w14:paraId="60169DA5" w14:textId="39CD5826" w:rsidR="00E2359E" w:rsidRPr="00CC6CA3" w:rsidRDefault="00E2359E" w:rsidP="00720314">
      <w:pPr>
        <w:pStyle w:val="ListParagraph"/>
        <w:numPr>
          <w:ilvl w:val="0"/>
          <w:numId w:val="18"/>
        </w:numPr>
        <w:rPr>
          <w:rFonts w:ascii="Times New Roman" w:hAnsi="Times New Roman"/>
        </w:rPr>
      </w:pPr>
      <w:r w:rsidRPr="00CC6CA3">
        <w:rPr>
          <w:rFonts w:ascii="Times New Roman" w:hAnsi="Times New Roman"/>
        </w:rPr>
        <w:t>On the other hand, fault detection research (i.e.</w:t>
      </w:r>
      <w:r w:rsidR="0060597C" w:rsidRPr="00CC6CA3">
        <w:rPr>
          <w:rFonts w:ascii="Times New Roman" w:hAnsi="Times New Roman"/>
        </w:rPr>
        <w:t>,</w:t>
      </w:r>
      <w:r w:rsidRPr="00CC6CA3">
        <w:rPr>
          <w:rFonts w:ascii="Times New Roman" w:hAnsi="Times New Roman"/>
        </w:rPr>
        <w:t xml:space="preserve"> </w:t>
      </w:r>
      <w:r w:rsidRPr="00CC6CA3">
        <w:rPr>
          <w:rFonts w:ascii="Times New Roman" w:hAnsi="Times New Roman"/>
        </w:rPr>
        <w:fldChar w:fldCharType="begin"/>
      </w:r>
      <w:r w:rsidR="007D1BCC" w:rsidRPr="00CC6CA3">
        <w:rPr>
          <w:rFonts w:ascii="Times New Roman" w:hAnsi="Times New Roman"/>
        </w:rPr>
        <w:instrText xml:space="preserve"> ADDIN ZOTERO_ITEM CSL_CITATION {"citationID":"TpMEiuxM","properties":{"unsorted":true,"formattedCitation":"[120], [129], [130], [103]","plainCitation":"[120], [129], [130], [103]","noteIndex":0},"citationItems":[{"id":902,"uris":["http://zotero.org/users/3051968/items/Q6EUT9NR"],"uri":["http://zotero.org/users/3051968/items/Q6EUT9NR"],"itemData":{"id":902,"type":"article-journal","container-title":"Surveillance","page":"11–13","source":"Google Scholar","title":"Fault detection system for centrifugal pumps using neural networks and neuro-fuzzy techniques","volume":"5","author":[{"family":"Zouari","given":"Rafik"},{"family":"Sieg-Zieba","given":"Sophie"},{"family":"Sidahmed","given":"Menad"}],"issued":{"date-parts":[["2004"]]}}},{"id":952,"uris":["http://zotero.org/users/3051968/items/PGR24K7S"],"uri":["http://zotero.org/users/3051968/items/PGR24K7S"],"itemData":{"id":952,"type":"article-journal","container-title":"Applied Soft Computing","issue":"1","note":"publisher: Elsevier","page":"740–748","source":"Google Scholar","title":"Artificial neural network approach for fault detection in rotary system","volume":"8","author":[{"family":"Rajakarunakaran","given":"S."},{"family":"Venkumar","given":"P."},{"family":"Devaraj","given":"D."},{"family":"Rao","given":"K. Surya Prakasa"}],"issued":{"date-parts":[["2008"]]}}},{"id":955,"uris":["http://zotero.org/users/3051968/items/DI3ZBHUP"],"uri":["http://zotero.org/users/3051968/items/DI3ZBHUP"],"itemData":{"id":955,"type":"article-journal","container-title":"Energy","note":"publisher: Elsevier","page":"115877","source":"Google Scholar","title":"Refrigerant charge fault detection method of air source heat pump system using convolutional neural network for energy saving","volume":"187","author":[{"family":"Eom","given":"Yong Hwan"},{"family":"Yoo","given":"Jin Woo"},{"family":"Hong","given":"Sung Bin"},{"family":"Kim","given":"Min Soo"}],"issued":{"date-parts":[["2019"]]}}},{"id":256,"uris":["http://zotero.org/users/3051968/items/9IC6H3UX"],"uri":["http://zotero.org/users/3051968/items/9IC6H3UX"],"itemData":{"id":256,"type":"article-journal","source":"Google Scholar","title":"Sparse Neural Networks for Anomaly Detection in High-Dimensional Time Series","author":[{"family":"Gugulothu","given":"Narendhar"},{"family":"Malhotra","given":"Pankaj"},{"family":"Vig","given":"Lovekesh"},{"family":"Shroff","given":"Gautam"}]}}],"schema":"https://github.com/citation-style-language/schema/raw/master/csl-citation.json"} </w:instrText>
      </w:r>
      <w:r w:rsidRPr="00CC6CA3">
        <w:rPr>
          <w:rFonts w:ascii="Times New Roman" w:hAnsi="Times New Roman"/>
        </w:rPr>
        <w:fldChar w:fldCharType="separate"/>
      </w:r>
      <w:r w:rsidR="007D1BCC" w:rsidRPr="00CC6CA3">
        <w:rPr>
          <w:rFonts w:ascii="Times New Roman" w:hAnsi="Times New Roman"/>
        </w:rPr>
        <w:t>[120], [129], [130], [103]</w:t>
      </w:r>
      <w:r w:rsidRPr="00CC6CA3">
        <w:rPr>
          <w:rFonts w:ascii="Times New Roman" w:hAnsi="Times New Roman"/>
        </w:rPr>
        <w:fldChar w:fldCharType="end"/>
      </w:r>
      <w:r w:rsidRPr="00CC6CA3">
        <w:rPr>
          <w:rFonts w:ascii="Times New Roman" w:hAnsi="Times New Roman"/>
        </w:rPr>
        <w:t xml:space="preserve">) mainly focused on the development of advanced models to detect incipient faults, without considering the financial factors to calculate optimum time for maintenance. Most of the models were tested on simulated or experiment data only, lacking the evaluation using real industrial data. </w:t>
      </w:r>
    </w:p>
    <w:p w14:paraId="5EAAB0C9" w14:textId="5CF0160B" w:rsidR="00E2359E" w:rsidRPr="00CC6CA3" w:rsidRDefault="00E2359E" w:rsidP="00E2359E">
      <w:r w:rsidRPr="00CC6CA3">
        <w:t xml:space="preserve">To address the challenges mentioned above, a system-wide health indicator using </w:t>
      </w:r>
      <w:r w:rsidR="00A03B9A" w:rsidRPr="00CC6CA3">
        <w:t xml:space="preserve">a </w:t>
      </w:r>
      <w:r w:rsidRPr="00CC6CA3">
        <w:t xml:space="preserve">dynamic risk profile is proposed in this thesis, which </w:t>
      </w:r>
      <w:proofErr w:type="gramStart"/>
      <w:r w:rsidRPr="00CC6CA3">
        <w:t>takes into account</w:t>
      </w:r>
      <w:proofErr w:type="gramEnd"/>
      <w:r w:rsidRPr="00CC6CA3">
        <w:t xml:space="preserve"> both the financial loss and the fault probability based on condition monitoring data. Details can be found in the following chapters. The main benefits of the proposed method include early detection of faults, fault analysis, suggesting maintenance time, safety improvement and minimum interruption of operation.</w:t>
      </w:r>
    </w:p>
    <w:p w14:paraId="554CF3CC" w14:textId="77777777" w:rsidR="00E2359E" w:rsidRPr="00CC6CA3" w:rsidRDefault="00E2359E" w:rsidP="00E2359E">
      <w:pPr>
        <w:pStyle w:val="Heading2"/>
      </w:pPr>
      <w:bookmarkStart w:id="164" w:name="_Toc81553260"/>
      <w:r w:rsidRPr="00CC6CA3">
        <w:lastRenderedPageBreak/>
        <w:t>Summary</w:t>
      </w:r>
      <w:bookmarkEnd w:id="161"/>
      <w:bookmarkEnd w:id="162"/>
      <w:bookmarkEnd w:id="164"/>
    </w:p>
    <w:p w14:paraId="6D8876E3" w14:textId="77777777" w:rsidR="000B5CE9" w:rsidRPr="00CC6CA3" w:rsidRDefault="00297FCA" w:rsidP="00E2359E">
      <w:r w:rsidRPr="00CC6CA3">
        <w:t>This chapter reviews different industrial maintenance strategies that have been applied in the process control field. The advantages and disadvantages of these strategies are summarised. The health indicators for each strategy have been described. Following that, the major limitations of the currently applied maintenance strategies were summarised, which indicated that an intelligent cost-saving maintenance strategy is required. In Section 2.3, cost-saving condition-based risk assessment was described in detail, with the literature reviews carried out on its main components: condition-based fault detection, calculation of the probability of a fault, associated consequences, and risk (health indicator) calculation. The challenges in the condition-based risk assessment field are summarised and will be addressed in the following chapters</w:t>
      </w:r>
      <w:r w:rsidR="00E2359E" w:rsidRPr="00CC6CA3">
        <w:t>.</w:t>
      </w:r>
    </w:p>
    <w:p w14:paraId="56D0CBAE" w14:textId="6E9F3A32" w:rsidR="00E2359E" w:rsidRPr="00CC6CA3" w:rsidRDefault="00E2359E" w:rsidP="000B5CE9">
      <w:pPr>
        <w:pStyle w:val="Body"/>
      </w:pPr>
      <w:r w:rsidRPr="00CC6CA3">
        <w:br w:type="page"/>
      </w:r>
    </w:p>
    <w:p w14:paraId="3A6BDDAA" w14:textId="77777777" w:rsidR="00922D09" w:rsidRPr="00CC6CA3" w:rsidRDefault="00922D09" w:rsidP="00922D09">
      <w:pPr>
        <w:pStyle w:val="Title"/>
        <w:spacing w:line="360" w:lineRule="auto"/>
        <w:rPr>
          <w:sz w:val="44"/>
          <w:szCs w:val="44"/>
          <w:u w:val="thick"/>
        </w:rPr>
      </w:pPr>
    </w:p>
    <w:p w14:paraId="5723A91C" w14:textId="77777777" w:rsidR="00922D09" w:rsidRPr="00CC6CA3" w:rsidRDefault="00922D09" w:rsidP="00922D09">
      <w:pPr>
        <w:pStyle w:val="Title"/>
        <w:spacing w:line="360" w:lineRule="auto"/>
        <w:rPr>
          <w:sz w:val="44"/>
          <w:szCs w:val="44"/>
          <w:u w:val="thick"/>
        </w:rPr>
      </w:pPr>
      <w:r w:rsidRPr="00CC6CA3">
        <w:rPr>
          <w:sz w:val="44"/>
          <w:szCs w:val="44"/>
          <w:u w:val="thick"/>
        </w:rPr>
        <w:t xml:space="preserve">                             </w:t>
      </w:r>
    </w:p>
    <w:p w14:paraId="161DD044"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10CB7E99" w14:textId="65886723" w:rsidR="005710C8" w:rsidRPr="00CC6CA3" w:rsidRDefault="005710C8" w:rsidP="005710C8">
      <w:pPr>
        <w:pStyle w:val="Heading1"/>
      </w:pPr>
      <w:r w:rsidRPr="00CC6CA3">
        <w:br/>
      </w:r>
      <w:bookmarkStart w:id="165" w:name="_Ref532134538"/>
      <w:bookmarkStart w:id="166" w:name="_Ref536514928"/>
      <w:bookmarkStart w:id="167" w:name="_Toc2681932"/>
      <w:bookmarkStart w:id="168" w:name="_Toc81553261"/>
      <w:r w:rsidR="00AC6F24" w:rsidRPr="00CC6CA3">
        <w:rPr>
          <w:sz w:val="32"/>
          <w:szCs w:val="36"/>
        </w:rPr>
        <w:t xml:space="preserve">Data </w:t>
      </w:r>
      <w:r w:rsidR="00C07F6E" w:rsidRPr="00CC6CA3">
        <w:rPr>
          <w:sz w:val="32"/>
          <w:szCs w:val="36"/>
        </w:rPr>
        <w:t>D</w:t>
      </w:r>
      <w:r w:rsidR="00AC6F24" w:rsidRPr="00CC6CA3">
        <w:rPr>
          <w:sz w:val="32"/>
          <w:szCs w:val="36"/>
        </w:rPr>
        <w:t xml:space="preserve">escription and </w:t>
      </w:r>
      <w:r w:rsidR="00C07F6E" w:rsidRPr="00CC6CA3">
        <w:rPr>
          <w:sz w:val="32"/>
          <w:szCs w:val="36"/>
        </w:rPr>
        <w:t>P</w:t>
      </w:r>
      <w:r w:rsidR="00AC6F24" w:rsidRPr="00CC6CA3">
        <w:rPr>
          <w:sz w:val="32"/>
          <w:szCs w:val="36"/>
        </w:rPr>
        <w:t>re-processing</w:t>
      </w:r>
      <w:bookmarkEnd w:id="165"/>
      <w:bookmarkEnd w:id="166"/>
      <w:bookmarkEnd w:id="167"/>
      <w:bookmarkEnd w:id="168"/>
    </w:p>
    <w:p w14:paraId="69C46867"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2EE639CB" w14:textId="77777777" w:rsidR="005710C8" w:rsidRPr="00CC6CA3" w:rsidRDefault="005710C8" w:rsidP="005710C8"/>
    <w:p w14:paraId="5143FCAF" w14:textId="3C6A8885" w:rsidR="005710C8" w:rsidRPr="00CC6CA3" w:rsidRDefault="008D5D1A" w:rsidP="00D84BAC">
      <w:pPr>
        <w:rPr>
          <w:i/>
        </w:rPr>
      </w:pPr>
      <w:r w:rsidRPr="00CC6CA3">
        <w:rPr>
          <w:rFonts w:cs="Times New Roman"/>
          <w:szCs w:val="24"/>
        </w:rPr>
        <w:t xml:space="preserve">In practice, the data acquired from an industrial machine can be noisy, including missing and erroneous measurement values, and even downtimes. Such data cannot be fed directly into the fault detection model, whose performance strongly depends on the quality of the historical data. Therefore, data pre-processing is required to remove such noisy data points and </w:t>
      </w:r>
      <w:r w:rsidR="00DB5759" w:rsidRPr="00CC6CA3">
        <w:rPr>
          <w:rFonts w:cs="Times New Roman"/>
          <w:szCs w:val="24"/>
        </w:rPr>
        <w:t>increase</w:t>
      </w:r>
      <w:r w:rsidRPr="00CC6CA3">
        <w:rPr>
          <w:rFonts w:cs="Times New Roman"/>
          <w:szCs w:val="24"/>
        </w:rPr>
        <w:t xml:space="preserve"> the performance of the fault detection model. This chapter introduces the historical data set obtained from an industrial pump and a compressor system, describes the types of noisy data existing in the raw data, explains the corresponding pre-processing methods, and performs some preliminary analysis of the data after pre-processing</w:t>
      </w:r>
      <w:r w:rsidR="005710C8" w:rsidRPr="00CC6CA3">
        <w:rPr>
          <w:i/>
        </w:rPr>
        <w:t>.</w:t>
      </w:r>
    </w:p>
    <w:p w14:paraId="38419A8B" w14:textId="77777777" w:rsidR="005710C8" w:rsidRPr="00CC6CA3" w:rsidRDefault="005710C8" w:rsidP="005710C8"/>
    <w:p w14:paraId="5B6F4717" w14:textId="419EEA48" w:rsidR="00E63A77" w:rsidRPr="00CC6CA3" w:rsidRDefault="005710C8">
      <w:pPr>
        <w:spacing w:line="259" w:lineRule="auto"/>
        <w:jc w:val="left"/>
      </w:pPr>
      <w:r w:rsidRPr="00CC6CA3">
        <w:br w:type="page"/>
      </w:r>
    </w:p>
    <w:p w14:paraId="19EAF8C8" w14:textId="77777777" w:rsidR="005803DC" w:rsidRPr="00CC6CA3" w:rsidRDefault="005803DC" w:rsidP="005803DC">
      <w:pPr>
        <w:pStyle w:val="Heading2"/>
      </w:pPr>
      <w:bookmarkStart w:id="169" w:name="_Toc81553262"/>
      <w:r w:rsidRPr="00CC6CA3">
        <w:lastRenderedPageBreak/>
        <w:t>Introduction of the centrifugal gas compressor and pump</w:t>
      </w:r>
      <w:bookmarkEnd w:id="169"/>
    </w:p>
    <w:p w14:paraId="04D51844" w14:textId="77777777" w:rsidR="005406D6" w:rsidRPr="00CC6CA3" w:rsidRDefault="005406D6" w:rsidP="005406D6">
      <w:r w:rsidRPr="00CC6CA3">
        <w:t>Onshore and offshore development projects in the petrochemical industries are predominantly capital-intensive, with the likelihood of severe financial and environmental consequences if a catastrophic failure occurs. Therefore, an effective maintenance management approach is essential to the continuation of production in a safe and reliable manner at minimum overall cost.</w:t>
      </w:r>
    </w:p>
    <w:p w14:paraId="342E98AA" w14:textId="51699C58" w:rsidR="005406D6" w:rsidRPr="00CC6CA3" w:rsidRDefault="005406D6" w:rsidP="005406D6">
      <w:r w:rsidRPr="00CC6CA3">
        <w:t>Petroleum refineries and gas processing plants are large and complex operations with many systems and subsystems working simultaneously. Within and in-between each system/subsystem are separators, heat exchangers (condensers, boilers, and re-boilers), valves, scrubbers, accumulators, piping systems, and rotating mechanical systems (induction motors, compressors, pumps, etc.). According to</w:t>
      </w:r>
      <w:r w:rsidR="005803DC" w:rsidRPr="00CC6CA3">
        <w:t xml:space="preserve"> </w:t>
      </w:r>
      <w:r w:rsidR="005803DC" w:rsidRPr="00CC6CA3">
        <w:fldChar w:fldCharType="begin"/>
      </w:r>
      <w:r w:rsidR="007D1BCC" w:rsidRPr="00CC6CA3">
        <w:instrText xml:space="preserve"> ADDIN ZOTERO_ITEM CSL_CITATION {"citationID":"a1h61mcd5j3","properties":{"formattedCitation":"[131]","plainCitation":"[131]","noteIndex":0},"citationItems":[{"id":295,"uris":["http://zotero.org/users/3051968/items/Q4WYQ8IC"],"uri":["http://zotero.org/users/3051968/items/Q4WYQ8IC"],"itemData":{"id":295,"type":"paper-conference","container-title":"Proceedings of the 6th WSEAS International Conference on FLUID MECHANICS (FLUIDS'09)","page":"38–45","source":"Google Scholar","title":"A pump FMEA approach to improve reliability centered maintenance procedure: the case of centrifugal pumps in onshore industry","title-short":"A pump FMEA approach to improve reliability centered maintenance procedure","author":[{"family":"Azadeh","given":"A."},{"family":"Ebrahimipour","given":"V."},{"family":"Bavar","given":"P."}],"issued":{"date-parts":[["2009"]]}}}],"schema":"https://github.com/citation-style-language/schema/raw/master/csl-citation.json"} </w:instrText>
      </w:r>
      <w:r w:rsidR="005803DC" w:rsidRPr="00CC6CA3">
        <w:fldChar w:fldCharType="separate"/>
      </w:r>
      <w:r w:rsidR="007D1BCC" w:rsidRPr="00CC6CA3">
        <w:rPr>
          <w:rFonts w:cs="Times New Roman"/>
        </w:rPr>
        <w:t>[131]</w:t>
      </w:r>
      <w:r w:rsidR="005803DC" w:rsidRPr="00CC6CA3">
        <w:fldChar w:fldCharType="end"/>
      </w:r>
      <w:r w:rsidR="005803DC" w:rsidRPr="00CC6CA3">
        <w:t xml:space="preserve">, </w:t>
      </w:r>
      <w:r w:rsidRPr="00CC6CA3">
        <w:t>major equipment failures in a petrochemical plant are related mainly to pumps, compressors and piping. Therefore, the maintenance of pumps and compressors are of paramount importance for engineers and managers, as these influence the safety and productivity of the entire plant operations.</w:t>
      </w:r>
    </w:p>
    <w:p w14:paraId="2615D1BC" w14:textId="7AA38F1D" w:rsidR="005803DC" w:rsidRPr="00CC6CA3" w:rsidRDefault="005406D6" w:rsidP="005406D6">
      <w:r w:rsidRPr="00CC6CA3">
        <w:t>As described in Section 1.2, the data applied in this thesis are mainly condition-based process data. These data are obtained from a centrifugal gas compressor and a high-pressure injection pump by a multivariate condition monitoring system, of a type which is widely used by industrial organizations and companies in both the public and private sectors to monitor and maintain their assets</w:t>
      </w:r>
      <w:r w:rsidR="005803DC" w:rsidRPr="00CC6CA3">
        <w:t xml:space="preserve">. </w:t>
      </w:r>
    </w:p>
    <w:p w14:paraId="2E1BEC78" w14:textId="1680B0EF" w:rsidR="005803DC" w:rsidRPr="00CC6CA3" w:rsidRDefault="0086472C" w:rsidP="005803DC">
      <w:r w:rsidRPr="00CC6CA3">
        <w:t>The following two sections (Sections 3.1.1 and 3.1.2) briefly introduce the structures of a typical centrifugal compressor and a high-pressure injection pump, which are used in the petrochemical industries</w:t>
      </w:r>
      <w:r w:rsidR="005803DC" w:rsidRPr="00CC6CA3">
        <w:t xml:space="preserve">. </w:t>
      </w:r>
    </w:p>
    <w:p w14:paraId="004B82E7" w14:textId="77777777" w:rsidR="005803DC" w:rsidRPr="00CC6CA3" w:rsidRDefault="005803DC" w:rsidP="005803DC">
      <w:pPr>
        <w:pStyle w:val="Heading3"/>
      </w:pPr>
      <w:bookmarkStart w:id="170" w:name="_Ref18565042"/>
      <w:bookmarkStart w:id="171" w:name="_Toc81553263"/>
      <w:r w:rsidRPr="00CC6CA3">
        <w:t>Structure of a typical centrifugal compressor</w:t>
      </w:r>
      <w:bookmarkEnd w:id="170"/>
      <w:bookmarkEnd w:id="171"/>
    </w:p>
    <w:p w14:paraId="6BE97A15" w14:textId="155D8875" w:rsidR="005803DC" w:rsidRPr="00CC6CA3" w:rsidRDefault="000944F2" w:rsidP="005803DC">
      <w:r w:rsidRPr="00CC6CA3">
        <w:t>The c</w:t>
      </w:r>
      <w:r w:rsidRPr="00CC6CA3">
        <w:rPr>
          <w:rFonts w:hint="eastAsia"/>
        </w:rPr>
        <w:t>entrifugal</w:t>
      </w:r>
      <w:r w:rsidRPr="00CC6CA3">
        <w:t xml:space="preserve"> </w:t>
      </w:r>
      <w:r w:rsidRPr="00CC6CA3">
        <w:rPr>
          <w:rFonts w:hint="eastAsia"/>
        </w:rPr>
        <w:t>c</w:t>
      </w:r>
      <w:r w:rsidRPr="00CC6CA3">
        <w:t xml:space="preserve">ompressor </w:t>
      </w:r>
      <w:r w:rsidRPr="00CC6CA3">
        <w:rPr>
          <w:rFonts w:hint="eastAsia"/>
        </w:rPr>
        <w:t xml:space="preserve">has the advantage of </w:t>
      </w:r>
      <w:r w:rsidRPr="00CC6CA3">
        <w:t>smooth operation,</w:t>
      </w:r>
      <w:r w:rsidRPr="00CC6CA3">
        <w:rPr>
          <w:rFonts w:hint="eastAsia"/>
        </w:rPr>
        <w:t xml:space="preserve"> </w:t>
      </w:r>
      <w:r w:rsidRPr="00CC6CA3">
        <w:t>large</w:t>
      </w:r>
      <w:r w:rsidRPr="00CC6CA3">
        <w:rPr>
          <w:rFonts w:hint="eastAsia"/>
        </w:rPr>
        <w:t xml:space="preserve"> </w:t>
      </w:r>
      <w:r w:rsidRPr="00CC6CA3">
        <w:t>tolerance-to-process</w:t>
      </w:r>
      <w:r w:rsidRPr="00CC6CA3">
        <w:rPr>
          <w:rFonts w:hint="eastAsia"/>
        </w:rPr>
        <w:t xml:space="preserve"> </w:t>
      </w:r>
      <w:r w:rsidRPr="00CC6CA3">
        <w:t>fluctuations, and higher reliability than other</w:t>
      </w:r>
      <w:r w:rsidRPr="00CC6CA3">
        <w:rPr>
          <w:rFonts w:hint="eastAsia"/>
        </w:rPr>
        <w:t xml:space="preserve"> </w:t>
      </w:r>
      <w:r w:rsidRPr="00CC6CA3">
        <w:t>types of compressors</w:t>
      </w:r>
      <w:r w:rsidRPr="00CC6CA3">
        <w:rPr>
          <w:rFonts w:hint="eastAsia"/>
        </w:rPr>
        <w:t xml:space="preserve">, and are </w:t>
      </w:r>
      <w:r w:rsidRPr="00CC6CA3">
        <w:t>widely applied in automated applications, such as turbochargers, chemical plants, and gas turbines</w:t>
      </w:r>
      <w:r w:rsidR="005803DC" w:rsidRPr="00CC6CA3">
        <w:t xml:space="preserve">. </w:t>
      </w:r>
    </w:p>
    <w:p w14:paraId="76FD713C" w14:textId="77777777" w:rsidR="005803DC" w:rsidRPr="00CC6CA3" w:rsidRDefault="005803DC" w:rsidP="005803DC">
      <w:pPr>
        <w:pStyle w:val="Text0"/>
        <w:spacing w:line="360" w:lineRule="auto"/>
        <w:jc w:val="center"/>
        <w:rPr>
          <w:rFonts w:eastAsia="Times New Roman"/>
          <w:snapToGrid w:val="0"/>
          <w:w w:val="0"/>
          <w:sz w:val="0"/>
          <w:szCs w:val="0"/>
          <w:u w:color="000000"/>
          <w:bdr w:val="none" w:sz="0" w:space="0" w:color="000000"/>
          <w:shd w:val="clear" w:color="000000" w:fill="000000"/>
        </w:rPr>
      </w:pPr>
      <w:r w:rsidRPr="00CC6CA3">
        <w:rPr>
          <w:rFonts w:eastAsia="Times New Roman"/>
          <w:snapToGrid w:val="0"/>
          <w:w w:val="0"/>
          <w:sz w:val="0"/>
          <w:szCs w:val="0"/>
          <w:u w:color="000000"/>
          <w:bdr w:val="none" w:sz="0" w:space="0" w:color="000000"/>
          <w:shd w:val="clear" w:color="000000" w:fill="000000"/>
        </w:rPr>
        <w:t xml:space="preserve"> </w:t>
      </w:r>
    </w:p>
    <w:p w14:paraId="73EE11E4" w14:textId="77777777" w:rsidR="005803DC" w:rsidRPr="00CC6CA3" w:rsidRDefault="005803DC" w:rsidP="005803DC">
      <w:pPr>
        <w:pStyle w:val="image"/>
        <w:spacing w:line="360" w:lineRule="auto"/>
      </w:pPr>
      <w:r w:rsidRPr="00CC6CA3">
        <w:rPr>
          <w:noProof/>
          <w:lang w:val="en-GB"/>
        </w:rPr>
        <w:lastRenderedPageBreak/>
        <w:drawing>
          <wp:inline distT="0" distB="0" distL="0" distR="0" wp14:anchorId="79B3AD11" wp14:editId="14421DE9">
            <wp:extent cx="3529877" cy="2448000"/>
            <wp:effectExtent l="0" t="0" r="0" b="0"/>
            <wp:docPr id="8" name="图片 2" descr="C:\Users\LISA\Desktop\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SA\Desktop\图片2.png"/>
                    <pic:cNvPicPr>
                      <a:picLocks noChangeAspect="1" noChangeArrowheads="1"/>
                    </pic:cNvPicPr>
                  </pic:nvPicPr>
                  <pic:blipFill>
                    <a:blip r:embed="rId44" cstate="print"/>
                    <a:srcRect/>
                    <a:stretch>
                      <a:fillRect/>
                    </a:stretch>
                  </pic:blipFill>
                  <pic:spPr bwMode="auto">
                    <a:xfrm>
                      <a:off x="0" y="0"/>
                      <a:ext cx="3529877" cy="2448000"/>
                    </a:xfrm>
                    <a:prstGeom prst="rect">
                      <a:avLst/>
                    </a:prstGeom>
                    <a:noFill/>
                    <a:ln w="9525">
                      <a:noFill/>
                      <a:miter lim="800000"/>
                      <a:headEnd/>
                      <a:tailEnd/>
                    </a:ln>
                  </pic:spPr>
                </pic:pic>
              </a:graphicData>
            </a:graphic>
          </wp:inline>
        </w:drawing>
      </w:r>
    </w:p>
    <w:p w14:paraId="0F3144DA" w14:textId="5411089D" w:rsidR="005803DC" w:rsidRPr="00CC6CA3" w:rsidRDefault="005803DC" w:rsidP="005803DC">
      <w:pPr>
        <w:pStyle w:val="Caption"/>
        <w:spacing w:line="360" w:lineRule="auto"/>
        <w:jc w:val="center"/>
      </w:pPr>
      <w:bookmarkStart w:id="172" w:name="_Ref531427149"/>
      <w:bookmarkStart w:id="173" w:name="_Toc531538345"/>
      <w:bookmarkStart w:id="174" w:name="_Toc8155334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w:t>
      </w:r>
      <w:r w:rsidR="00D62691" w:rsidRPr="00CC6CA3">
        <w:rPr>
          <w:noProof/>
        </w:rPr>
        <w:fldChar w:fldCharType="end"/>
      </w:r>
      <w:bookmarkEnd w:id="172"/>
      <w:r w:rsidRPr="00CC6CA3">
        <w:t xml:space="preserve"> STC-SH single-shaft centrifugal compressor</w:t>
      </w:r>
      <w:bookmarkEnd w:id="173"/>
      <w:r w:rsidRPr="00CC6CA3">
        <w:t xml:space="preserve"> </w:t>
      </w:r>
      <w:r w:rsidRPr="00CC6CA3">
        <w:fldChar w:fldCharType="begin"/>
      </w:r>
      <w:r w:rsidR="007D1BCC" w:rsidRPr="00CC6CA3">
        <w:instrText xml:space="preserve"> ADDIN ZOTERO_ITEM CSL_CITATION {"citationID":"9vL7oILK","properties":{"formattedCitation":"[132]","plainCitation":"[132]","noteIndex":0},"citationItems":[{"id":247,"uris":["http://zotero.org/users/3051968/items/SWJ994WU"],"uri":["http://zotero.org/users/3051968/items/SWJ994WU"],"itemData":{"id":247,"type":"article","title":"STC-SH Siemens Turbocompressor – Single Shaft, Horizontally split casing","author":[{"family":"Siemens","given":""}]}}],"schema":"https://github.com/citation-style-language/schema/raw/master/csl-citation.json"} </w:instrText>
      </w:r>
      <w:r w:rsidRPr="00CC6CA3">
        <w:fldChar w:fldCharType="separate"/>
      </w:r>
      <w:r w:rsidR="007D1BCC" w:rsidRPr="00CC6CA3">
        <w:rPr>
          <w:rFonts w:cs="Times New Roman"/>
        </w:rPr>
        <w:t>[132]</w:t>
      </w:r>
      <w:bookmarkEnd w:id="174"/>
      <w:r w:rsidRPr="00CC6CA3">
        <w:fldChar w:fldCharType="end"/>
      </w:r>
    </w:p>
    <w:p w14:paraId="702B1DC2" w14:textId="2444B8BA" w:rsidR="005803DC" w:rsidRPr="00CC6CA3" w:rsidRDefault="005803DC" w:rsidP="005803DC">
      <w:r w:rsidRPr="00CC6CA3">
        <w:rPr>
          <w:rFonts w:hint="eastAsia"/>
        </w:rPr>
        <w:t>T</w:t>
      </w:r>
      <w:r w:rsidRPr="00CC6CA3">
        <w:t xml:space="preserve">he </w:t>
      </w:r>
      <w:r w:rsidRPr="00CC6CA3">
        <w:rPr>
          <w:rFonts w:hint="eastAsia"/>
        </w:rPr>
        <w:t>structure</w:t>
      </w:r>
      <w:r w:rsidRPr="00CC6CA3">
        <w:t xml:space="preserve"> of a </w:t>
      </w:r>
      <w:r w:rsidRPr="00CC6CA3">
        <w:rPr>
          <w:rFonts w:hint="eastAsia"/>
        </w:rPr>
        <w:t xml:space="preserve">typical </w:t>
      </w:r>
      <w:r w:rsidRPr="00CC6CA3">
        <w:t xml:space="preserve">multi-stage centrifugal compressor </w:t>
      </w:r>
      <w:r w:rsidRPr="00CC6CA3">
        <w:rPr>
          <w:rFonts w:hint="eastAsia"/>
        </w:rPr>
        <w:t>is illustrated in</w:t>
      </w:r>
      <w:r w:rsidRPr="00CC6CA3">
        <w:t xml:space="preserve"> </w:t>
      </w:r>
      <w:r w:rsidRPr="00CC6CA3">
        <w:fldChar w:fldCharType="begin"/>
      </w:r>
      <w:r w:rsidRPr="00CC6CA3">
        <w:instrText xml:space="preserve"> REF _Ref531427149 \h </w:instrText>
      </w:r>
      <w:r w:rsidRPr="00CC6CA3">
        <w:fldChar w:fldCharType="separate"/>
      </w:r>
      <w:r w:rsidR="001906D9" w:rsidRPr="00CC6CA3">
        <w:t xml:space="preserve">Figure </w:t>
      </w:r>
      <w:r w:rsidR="001906D9" w:rsidRPr="00CC6CA3">
        <w:rPr>
          <w:noProof/>
        </w:rPr>
        <w:t>3</w:t>
      </w:r>
      <w:r w:rsidR="001906D9" w:rsidRPr="00CC6CA3">
        <w:t>.</w:t>
      </w:r>
      <w:r w:rsidR="001906D9" w:rsidRPr="00CC6CA3">
        <w:rPr>
          <w:noProof/>
        </w:rPr>
        <w:t>1</w:t>
      </w:r>
      <w:r w:rsidRPr="00CC6CA3">
        <w:fldChar w:fldCharType="end"/>
      </w:r>
      <w:r w:rsidRPr="00CC6CA3">
        <w:t xml:space="preserve">. </w:t>
      </w:r>
      <w:r w:rsidR="000944F2" w:rsidRPr="00CC6CA3">
        <w:t>T</w:t>
      </w:r>
      <w:r w:rsidR="000944F2" w:rsidRPr="00CC6CA3">
        <w:rPr>
          <w:rFonts w:hint="eastAsia"/>
        </w:rPr>
        <w:t xml:space="preserve">his type of machine is composed of rotors and stationary </w:t>
      </w:r>
      <w:r w:rsidR="000944F2" w:rsidRPr="00CC6CA3">
        <w:t>part</w:t>
      </w:r>
      <w:r w:rsidR="000944F2" w:rsidRPr="00CC6CA3">
        <w:rPr>
          <w:rFonts w:hint="eastAsia"/>
        </w:rPr>
        <w:t xml:space="preserve">s. The </w:t>
      </w:r>
      <w:r w:rsidR="000944F2" w:rsidRPr="00CC6CA3">
        <w:t>impellers are mounted on a rotating drive shaft</w:t>
      </w:r>
      <w:r w:rsidR="000944F2" w:rsidRPr="00CC6CA3">
        <w:rPr>
          <w:rFonts w:hint="eastAsia"/>
        </w:rPr>
        <w:t xml:space="preserve">. The </w:t>
      </w:r>
      <w:r w:rsidR="000944F2" w:rsidRPr="00CC6CA3">
        <w:t>bearing</w:t>
      </w:r>
      <w:r w:rsidR="000944F2" w:rsidRPr="00CC6CA3">
        <w:rPr>
          <w:rFonts w:hint="eastAsia"/>
        </w:rPr>
        <w:t xml:space="preserve">s </w:t>
      </w:r>
      <w:r w:rsidR="000944F2" w:rsidRPr="00CC6CA3">
        <w:t xml:space="preserve">hold the rotor in place </w:t>
      </w:r>
      <w:r w:rsidR="000944F2" w:rsidRPr="00CC6CA3">
        <w:rPr>
          <w:rFonts w:hint="eastAsia"/>
        </w:rPr>
        <w:t xml:space="preserve">and </w:t>
      </w:r>
      <w:r w:rsidR="000944F2" w:rsidRPr="00CC6CA3">
        <w:t>reduce friction between moving parts</w:t>
      </w:r>
      <w:r w:rsidR="000944F2" w:rsidRPr="00CC6CA3">
        <w:rPr>
          <w:rFonts w:hint="eastAsia"/>
        </w:rPr>
        <w:t xml:space="preserve">. </w:t>
      </w:r>
      <w:r w:rsidR="000944F2" w:rsidRPr="00CC6CA3">
        <w:t>T</w:t>
      </w:r>
      <w:r w:rsidR="000944F2" w:rsidRPr="00CC6CA3">
        <w:rPr>
          <w:rFonts w:hint="eastAsia"/>
        </w:rPr>
        <w:t xml:space="preserve">he stationary </w:t>
      </w:r>
      <w:r w:rsidR="000944F2" w:rsidRPr="00CC6CA3">
        <w:t>part</w:t>
      </w:r>
      <w:r w:rsidR="000944F2" w:rsidRPr="00CC6CA3">
        <w:rPr>
          <w:rFonts w:hint="eastAsia"/>
        </w:rPr>
        <w:t>s</w:t>
      </w:r>
      <w:r w:rsidR="000944F2" w:rsidRPr="00CC6CA3">
        <w:t xml:space="preserve"> include an outer casing, which provides</w:t>
      </w:r>
      <w:r w:rsidR="000944F2" w:rsidRPr="00CC6CA3">
        <w:rPr>
          <w:rFonts w:hint="eastAsia"/>
        </w:rPr>
        <w:t xml:space="preserve"> a </w:t>
      </w:r>
      <w:r w:rsidR="000944F2" w:rsidRPr="00CC6CA3">
        <w:t xml:space="preserve">basis </w:t>
      </w:r>
      <w:r w:rsidR="000944F2" w:rsidRPr="00CC6CA3">
        <w:rPr>
          <w:rFonts w:hint="eastAsia"/>
        </w:rPr>
        <w:t>for rotors</w:t>
      </w:r>
      <w:r w:rsidR="000944F2" w:rsidRPr="00CC6CA3">
        <w:t>;</w:t>
      </w:r>
      <w:r w:rsidR="000944F2" w:rsidRPr="00CC6CA3">
        <w:rPr>
          <w:rFonts w:hint="eastAsia"/>
        </w:rPr>
        <w:t xml:space="preserve"> </w:t>
      </w:r>
      <w:r w:rsidR="000944F2" w:rsidRPr="00CC6CA3">
        <w:t xml:space="preserve">an </w:t>
      </w:r>
      <w:r w:rsidR="000944F2" w:rsidRPr="00CC6CA3">
        <w:rPr>
          <w:rFonts w:hint="eastAsia"/>
        </w:rPr>
        <w:t>inlet and</w:t>
      </w:r>
      <w:r w:rsidR="000944F2" w:rsidRPr="00CC6CA3">
        <w:t xml:space="preserve"> a</w:t>
      </w:r>
      <w:r w:rsidR="000944F2" w:rsidRPr="00CC6CA3">
        <w:rPr>
          <w:rFonts w:hint="eastAsia"/>
        </w:rPr>
        <w:t xml:space="preserve"> discharge </w:t>
      </w:r>
      <w:r w:rsidR="000944F2" w:rsidRPr="00CC6CA3">
        <w:t>n</w:t>
      </w:r>
      <w:r w:rsidR="000944F2" w:rsidRPr="00CC6CA3">
        <w:rPr>
          <w:rFonts w:hint="eastAsia"/>
        </w:rPr>
        <w:t>ozzle</w:t>
      </w:r>
      <w:r w:rsidR="000944F2" w:rsidRPr="00CC6CA3">
        <w:t>;</w:t>
      </w:r>
      <w:r w:rsidR="000944F2" w:rsidRPr="00CC6CA3">
        <w:rPr>
          <w:rFonts w:hint="eastAsia"/>
        </w:rPr>
        <w:t xml:space="preserve"> diaphragms install</w:t>
      </w:r>
      <w:r w:rsidR="000944F2" w:rsidRPr="00CC6CA3">
        <w:t>ed</w:t>
      </w:r>
      <w:r w:rsidR="000944F2" w:rsidRPr="00CC6CA3">
        <w:rPr>
          <w:rFonts w:hint="eastAsia"/>
        </w:rPr>
        <w:t xml:space="preserve"> at each stage</w:t>
      </w:r>
      <w:r w:rsidR="000944F2" w:rsidRPr="00CC6CA3">
        <w:t>;</w:t>
      </w:r>
      <w:r w:rsidR="000944F2" w:rsidRPr="00CC6CA3">
        <w:rPr>
          <w:rFonts w:hint="eastAsia"/>
        </w:rPr>
        <w:t xml:space="preserve"> and seals which help to </w:t>
      </w:r>
      <w:r w:rsidR="000944F2" w:rsidRPr="00CC6CA3">
        <w:t>prevent leakage</w:t>
      </w:r>
      <w:r w:rsidRPr="00CC6CA3">
        <w:rPr>
          <w:rFonts w:hint="eastAsia"/>
        </w:rPr>
        <w:t xml:space="preserve">. </w:t>
      </w:r>
    </w:p>
    <w:p w14:paraId="41218F04" w14:textId="77777777" w:rsidR="005803DC" w:rsidRPr="00CC6CA3" w:rsidRDefault="005803DC" w:rsidP="005803DC">
      <w:pPr>
        <w:pStyle w:val="Heading3"/>
      </w:pPr>
      <w:bookmarkStart w:id="175" w:name="_Ref18565051"/>
      <w:bookmarkStart w:id="176" w:name="_Toc81553264"/>
      <w:r w:rsidRPr="00CC6CA3">
        <w:t>Structure of a typical high-pressure injection pump</w:t>
      </w:r>
      <w:bookmarkEnd w:id="175"/>
      <w:bookmarkEnd w:id="176"/>
    </w:p>
    <w:p w14:paraId="3F7869E4" w14:textId="72D5A81E" w:rsidR="005803DC" w:rsidRPr="00CC6CA3" w:rsidRDefault="005803DC" w:rsidP="00D84BAC">
      <w:r w:rsidRPr="00CC6CA3">
        <w:t xml:space="preserve">High-pressure injection pumps are widely used in the petrochemical industries for oil transport, lift and injection. Centrifugal pumps are one of the most common pump types. They typically operate under high rotating speed, high pressure, and </w:t>
      </w:r>
      <w:r w:rsidR="004B37E4" w:rsidRPr="00CC6CA3">
        <w:t>high loads</w:t>
      </w:r>
      <w:r w:rsidRPr="00CC6CA3">
        <w:t xml:space="preserve">. </w:t>
      </w:r>
    </w:p>
    <w:p w14:paraId="098316B7" w14:textId="77777777" w:rsidR="005803DC" w:rsidRPr="00CC6CA3" w:rsidRDefault="005803DC" w:rsidP="005803DC">
      <w:pPr>
        <w:keepNext/>
        <w:jc w:val="center"/>
      </w:pPr>
      <w:r w:rsidRPr="00CC6CA3">
        <w:rPr>
          <w:noProof/>
        </w:rPr>
        <w:drawing>
          <wp:inline distT="0" distB="0" distL="0" distR="0" wp14:anchorId="032D5068" wp14:editId="01E5FD72">
            <wp:extent cx="4545469" cy="243840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1794" cy="2441793"/>
                    </a:xfrm>
                    <a:prstGeom prst="rect">
                      <a:avLst/>
                    </a:prstGeom>
                    <a:noFill/>
                  </pic:spPr>
                </pic:pic>
              </a:graphicData>
            </a:graphic>
          </wp:inline>
        </w:drawing>
      </w:r>
    </w:p>
    <w:p w14:paraId="050B1784" w14:textId="4101DD3C" w:rsidR="005803DC" w:rsidRPr="00CC6CA3" w:rsidRDefault="005803DC" w:rsidP="005803DC">
      <w:pPr>
        <w:pStyle w:val="Caption"/>
        <w:spacing w:line="360" w:lineRule="auto"/>
        <w:jc w:val="center"/>
        <w:rPr>
          <w:i w:val="0"/>
        </w:rPr>
      </w:pPr>
      <w:bookmarkStart w:id="177" w:name="_Ref7425793"/>
      <w:bookmarkStart w:id="178" w:name="_Toc8155334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w:t>
      </w:r>
      <w:r w:rsidR="00D62691" w:rsidRPr="00CC6CA3">
        <w:rPr>
          <w:noProof/>
        </w:rPr>
        <w:fldChar w:fldCharType="end"/>
      </w:r>
      <w:bookmarkEnd w:id="177"/>
      <w:r w:rsidRPr="00CC6CA3">
        <w:t xml:space="preserve"> A typical centrifugal pump</w:t>
      </w:r>
      <w:r w:rsidRPr="00CC6CA3">
        <w:rPr>
          <w:i w:val="0"/>
        </w:rPr>
        <w:t xml:space="preserve"> </w:t>
      </w:r>
      <w:r w:rsidRPr="00CC6CA3">
        <w:rPr>
          <w:i w:val="0"/>
        </w:rPr>
        <w:fldChar w:fldCharType="begin"/>
      </w:r>
      <w:r w:rsidR="007D1BCC" w:rsidRPr="00CC6CA3">
        <w:rPr>
          <w:i w:val="0"/>
        </w:rPr>
        <w:instrText xml:space="preserve"> ADDIN ZOTERO_ITEM CSL_CITATION {"citationID":"zAfIR0hN","properties":{"formattedCitation":"[133]","plainCitation":"[133]","noteIndex":0},"citationItems":[{"id":1077,"uris":["http://zotero.org/users/3051968/items/A6GTHGXU"],"uri":["http://zotero.org/users/3051968/items/A6GTHGXU"],"itemData":{"id":1077,"type":"post-weblog","container-title":"How centrifugal pumps work - with video","title":"How centrifugal pumps work - with video","URL":"https://cceonlinenews.com/2020/02/20/how-centrifugal-pumps-work-with-video/","author":[{"family":"Construction and civil engineering team","given":""}],"issued":{"date-parts":[["2020",2,20]]}}}],"schema":"https://github.com/citation-style-language/schema/raw/master/csl-citation.json"} </w:instrText>
      </w:r>
      <w:r w:rsidRPr="00CC6CA3">
        <w:rPr>
          <w:i w:val="0"/>
        </w:rPr>
        <w:fldChar w:fldCharType="separate"/>
      </w:r>
      <w:r w:rsidR="007D1BCC" w:rsidRPr="00CC6CA3">
        <w:rPr>
          <w:rFonts w:cs="Times New Roman"/>
        </w:rPr>
        <w:t>[133]</w:t>
      </w:r>
      <w:bookmarkEnd w:id="178"/>
      <w:r w:rsidRPr="00CC6CA3">
        <w:rPr>
          <w:i w:val="0"/>
        </w:rPr>
        <w:fldChar w:fldCharType="end"/>
      </w:r>
    </w:p>
    <w:p w14:paraId="1591DCCD" w14:textId="1895E683" w:rsidR="005803DC" w:rsidRPr="00CC6CA3" w:rsidRDefault="005803DC" w:rsidP="00D84BAC">
      <w:r w:rsidRPr="00CC6CA3">
        <w:lastRenderedPageBreak/>
        <w:t xml:space="preserve">A typical pump, see </w:t>
      </w:r>
      <w:r w:rsidRPr="00CC6CA3">
        <w:fldChar w:fldCharType="begin"/>
      </w:r>
      <w:r w:rsidRPr="00CC6CA3">
        <w:instrText xml:space="preserve"> REF _Ref7425793 \h  \* MERGEFORMAT </w:instrText>
      </w:r>
      <w:r w:rsidRPr="00CC6CA3">
        <w:fldChar w:fldCharType="separate"/>
      </w:r>
      <w:r w:rsidR="001906D9" w:rsidRPr="00CC6CA3">
        <w:t>Figure 3.2</w:t>
      </w:r>
      <w:r w:rsidRPr="00CC6CA3">
        <w:fldChar w:fldCharType="end"/>
      </w:r>
      <w:r w:rsidRPr="00CC6CA3">
        <w:t xml:space="preserve">, </w:t>
      </w:r>
      <w:r w:rsidR="004B37E4" w:rsidRPr="00CC6CA3">
        <w:t xml:space="preserve">is also composed of </w:t>
      </w:r>
      <w:r w:rsidR="004B37E4" w:rsidRPr="00CC6CA3">
        <w:rPr>
          <w:rFonts w:hint="eastAsia"/>
        </w:rPr>
        <w:t xml:space="preserve">rotors and stationary </w:t>
      </w:r>
      <w:r w:rsidR="004B37E4" w:rsidRPr="00CC6CA3">
        <w:t>part</w:t>
      </w:r>
      <w:r w:rsidR="004B37E4" w:rsidRPr="00CC6CA3">
        <w:rPr>
          <w:rFonts w:hint="eastAsia"/>
        </w:rPr>
        <w:t>s</w:t>
      </w:r>
      <w:r w:rsidR="004B37E4" w:rsidRPr="00CC6CA3">
        <w:t xml:space="preserve"> as is a centrifugal compressor. The </w:t>
      </w:r>
      <w:r w:rsidR="004B37E4" w:rsidRPr="00CC6CA3">
        <w:rPr>
          <w:rFonts w:hint="eastAsia"/>
        </w:rPr>
        <w:t xml:space="preserve">rotors </w:t>
      </w:r>
      <w:r w:rsidR="004B37E4" w:rsidRPr="00CC6CA3">
        <w:t xml:space="preserve">mainly include impellers, bearings, and the drive shaft. The </w:t>
      </w:r>
      <w:r w:rsidR="004B37E4" w:rsidRPr="00CC6CA3">
        <w:rPr>
          <w:rFonts w:hint="eastAsia"/>
        </w:rPr>
        <w:t xml:space="preserve">stationary </w:t>
      </w:r>
      <w:r w:rsidR="004B37E4" w:rsidRPr="00CC6CA3">
        <w:t>part</w:t>
      </w:r>
      <w:r w:rsidR="004B37E4" w:rsidRPr="00CC6CA3">
        <w:rPr>
          <w:rFonts w:hint="eastAsia"/>
        </w:rPr>
        <w:t>s</w:t>
      </w:r>
      <w:r w:rsidR="004B37E4" w:rsidRPr="00CC6CA3">
        <w:t xml:space="preserve"> are seals, suction</w:t>
      </w:r>
      <w:r w:rsidR="004B37E4" w:rsidRPr="00CC6CA3">
        <w:rPr>
          <w:rFonts w:hint="eastAsia"/>
        </w:rPr>
        <w:t xml:space="preserve"> and discharge </w:t>
      </w:r>
      <w:r w:rsidR="004B37E4" w:rsidRPr="00CC6CA3">
        <w:t>n</w:t>
      </w:r>
      <w:r w:rsidR="004B37E4" w:rsidRPr="00CC6CA3">
        <w:rPr>
          <w:rFonts w:hint="eastAsia"/>
        </w:rPr>
        <w:t>ozzle</w:t>
      </w:r>
      <w:r w:rsidR="004B37E4" w:rsidRPr="00CC6CA3">
        <w:t>, and other structural components. The pump's impeller rotates within the housing and reduces pressure at the inlet generating a force to move the fluid. This rotational motion of the impeller then imparts sufficient energy to the fluid to drive it out the discharge</w:t>
      </w:r>
      <w:r w:rsidRPr="00CC6CA3">
        <w:t xml:space="preserve"> </w:t>
      </w:r>
      <w:r w:rsidRPr="00CC6CA3">
        <w:fldChar w:fldCharType="begin"/>
      </w:r>
      <w:r w:rsidR="007D1BCC" w:rsidRPr="00CC6CA3">
        <w:instrText xml:space="preserve"> ADDIN ZOTERO_ITEM CSL_CITATION {"citationID":"bjAcq2pI","properties":{"formattedCitation":"[134]","plainCitation":"[134]","noteIndex":0},"citationItems":[{"id":160,"uris":["http://zotero.org/users/3051968/items/9MNLJUVS"],"uri":["http://zotero.org/users/3051968/items/9MNLJUVS"],"itemData":{"id":160,"type":"article-newspaper","title":"Introduction to Pumps","URL":"https://www.theprocesspiping.com/introduction-to-pumps/","author":[{"family":"theprocesspiping","given":""}],"issued":{"date-parts":[["2017",9,10]]}}}],"schema":"https://github.com/citation-style-language/schema/raw/master/csl-citation.json"} </w:instrText>
      </w:r>
      <w:r w:rsidRPr="00CC6CA3">
        <w:fldChar w:fldCharType="separate"/>
      </w:r>
      <w:r w:rsidR="007D1BCC" w:rsidRPr="00CC6CA3">
        <w:rPr>
          <w:rFonts w:cs="Times New Roman"/>
        </w:rPr>
        <w:t>[134]</w:t>
      </w:r>
      <w:r w:rsidRPr="00CC6CA3">
        <w:fldChar w:fldCharType="end"/>
      </w:r>
      <w:r w:rsidRPr="00CC6CA3">
        <w:t xml:space="preserve">. </w:t>
      </w:r>
      <w:r w:rsidR="004B37E4" w:rsidRPr="00CC6CA3">
        <w:t>The major difference between a pump and a compressor is that generally the pump is used to move (incompressible) liquids, while the compressor is typically used to compress a gas</w:t>
      </w:r>
      <w:r w:rsidRPr="00CC6CA3">
        <w:t xml:space="preserve">. </w:t>
      </w:r>
    </w:p>
    <w:p w14:paraId="17D060A5" w14:textId="77777777" w:rsidR="005803DC" w:rsidRPr="00CC6CA3" w:rsidRDefault="005803DC" w:rsidP="005803DC">
      <w:pPr>
        <w:pStyle w:val="Heading2"/>
      </w:pPr>
      <w:bookmarkStart w:id="179" w:name="_Toc81553265"/>
      <w:bookmarkStart w:id="180" w:name="_Toc2681933"/>
      <w:bookmarkStart w:id="181" w:name="_Ref3135272"/>
      <w:bookmarkStart w:id="182" w:name="_Hlk32660232"/>
      <w:r w:rsidRPr="00CC6CA3">
        <w:t>Pump data</w:t>
      </w:r>
      <w:bookmarkEnd w:id="179"/>
      <w:r w:rsidRPr="00CC6CA3">
        <w:t xml:space="preserve"> </w:t>
      </w:r>
      <w:bookmarkEnd w:id="180"/>
      <w:bookmarkEnd w:id="181"/>
    </w:p>
    <w:p w14:paraId="301847F3" w14:textId="77777777" w:rsidR="005803DC" w:rsidRPr="00CC6CA3" w:rsidRDefault="005803DC" w:rsidP="005803DC">
      <w:pPr>
        <w:pStyle w:val="Heading3"/>
      </w:pPr>
      <w:bookmarkStart w:id="183" w:name="_Toc81553266"/>
      <w:r w:rsidRPr="00CC6CA3">
        <w:t>Overview of the pump data before pre-processing</w:t>
      </w:r>
      <w:bookmarkEnd w:id="183"/>
    </w:p>
    <w:p w14:paraId="2E8CFCFC" w14:textId="3BE7B5D8" w:rsidR="005803DC" w:rsidRPr="00CC6CA3" w:rsidRDefault="006862CE" w:rsidP="005803DC">
      <w:pPr>
        <w:rPr>
          <w:iCs/>
          <w:szCs w:val="24"/>
        </w:rPr>
      </w:pPr>
      <w:r w:rsidRPr="00CC6CA3">
        <w:t xml:space="preserve">The pump data set used in this thesis was, as stated above, obtained from a multivariate condition monitoring system, which is widely used in industry to monitor and maintain capital assets. It </w:t>
      </w:r>
      <w:r w:rsidRPr="00CC6CA3">
        <w:rPr>
          <w:rFonts w:cs="Times New Roman"/>
        </w:rPr>
        <w:t xml:space="preserve">included 15 continual measurements (data measured every hour), which are listed in </w:t>
      </w:r>
      <w:r w:rsidR="005803DC" w:rsidRPr="00CC6CA3">
        <w:fldChar w:fldCharType="begin"/>
      </w:r>
      <w:r w:rsidR="005803DC" w:rsidRPr="00CC6CA3">
        <w:instrText xml:space="preserve"> REF _Ref531519541 \h </w:instrText>
      </w:r>
      <w:r w:rsidR="005803DC" w:rsidRPr="00CC6CA3">
        <w:fldChar w:fldCharType="separate"/>
      </w:r>
      <w:r w:rsidR="001906D9" w:rsidRPr="00CC6CA3">
        <w:t xml:space="preserve">Table </w:t>
      </w:r>
      <w:r w:rsidR="001906D9" w:rsidRPr="00CC6CA3">
        <w:rPr>
          <w:noProof/>
        </w:rPr>
        <w:t>3</w:t>
      </w:r>
      <w:r w:rsidR="001906D9" w:rsidRPr="00CC6CA3">
        <w:t>.</w:t>
      </w:r>
      <w:r w:rsidR="001906D9" w:rsidRPr="00CC6CA3">
        <w:rPr>
          <w:noProof/>
        </w:rPr>
        <w:t>1</w:t>
      </w:r>
      <w:r w:rsidR="005803DC" w:rsidRPr="00CC6CA3">
        <w:fldChar w:fldCharType="end"/>
      </w:r>
      <w:r w:rsidRPr="00CC6CA3">
        <w:rPr>
          <w:rFonts w:cs="Times New Roman"/>
        </w:rPr>
        <w:t>, and include shaft speed, discharge pressure, discharge temperature, and bearing temperature</w:t>
      </w:r>
      <w:r w:rsidR="009F5FFB" w:rsidRPr="00CC6CA3">
        <w:rPr>
          <w:rFonts w:cs="Times New Roman"/>
        </w:rPr>
        <w:t>, etc</w:t>
      </w:r>
      <w:r w:rsidR="005803DC" w:rsidRPr="00CC6CA3">
        <w:rPr>
          <w:rFonts w:cs="Times New Roman"/>
        </w:rPr>
        <w:t xml:space="preserve">. </w:t>
      </w:r>
    </w:p>
    <w:p w14:paraId="71D222DD" w14:textId="409DE3CA" w:rsidR="005803DC" w:rsidRPr="00CC6CA3" w:rsidRDefault="005803DC" w:rsidP="005803DC">
      <w:pPr>
        <w:pStyle w:val="Caption"/>
        <w:keepNext/>
      </w:pPr>
      <w:bookmarkStart w:id="184" w:name="_Ref531519541"/>
      <w:bookmarkStart w:id="185" w:name="_Toc81553470"/>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1</w:t>
      </w:r>
      <w:r w:rsidR="00D62691" w:rsidRPr="00CC6CA3">
        <w:rPr>
          <w:noProof/>
        </w:rPr>
        <w:fldChar w:fldCharType="end"/>
      </w:r>
      <w:bookmarkEnd w:id="184"/>
      <w:r w:rsidRPr="00CC6CA3">
        <w:t xml:space="preserve"> Measured variables for pump</w:t>
      </w:r>
      <w:bookmarkEnd w:id="185"/>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525"/>
        <w:gridCol w:w="2336"/>
        <w:gridCol w:w="433"/>
        <w:gridCol w:w="2608"/>
        <w:gridCol w:w="434"/>
        <w:gridCol w:w="2429"/>
      </w:tblGrid>
      <w:tr w:rsidR="00CC6CA3" w:rsidRPr="00CC6CA3" w14:paraId="5D859E1F" w14:textId="77777777" w:rsidTr="00F632C0">
        <w:tc>
          <w:tcPr>
            <w:tcW w:w="525" w:type="dxa"/>
            <w:vAlign w:val="center"/>
          </w:tcPr>
          <w:p w14:paraId="259077E4" w14:textId="77777777" w:rsidR="005803DC" w:rsidRPr="00CC6CA3" w:rsidRDefault="005803DC" w:rsidP="00F632C0">
            <w:pPr>
              <w:rPr>
                <w:rFonts w:cs="Times New Roman"/>
                <w:b/>
                <w:sz w:val="16"/>
                <w:szCs w:val="16"/>
              </w:rPr>
            </w:pPr>
            <w:r w:rsidRPr="00CC6CA3">
              <w:rPr>
                <w:rFonts w:cs="Times New Roman"/>
                <w:b/>
                <w:sz w:val="16"/>
                <w:szCs w:val="16"/>
              </w:rPr>
              <w:t>ID</w:t>
            </w:r>
          </w:p>
        </w:tc>
        <w:tc>
          <w:tcPr>
            <w:tcW w:w="2336" w:type="dxa"/>
            <w:vAlign w:val="center"/>
          </w:tcPr>
          <w:p w14:paraId="32542631" w14:textId="77777777" w:rsidR="005803DC" w:rsidRPr="00CC6CA3" w:rsidRDefault="005803DC" w:rsidP="00F632C0">
            <w:pPr>
              <w:rPr>
                <w:rFonts w:cs="Times New Roman"/>
                <w:b/>
                <w:sz w:val="16"/>
                <w:szCs w:val="16"/>
              </w:rPr>
            </w:pPr>
            <w:r w:rsidRPr="00CC6CA3">
              <w:rPr>
                <w:rFonts w:cs="Times New Roman"/>
                <w:b/>
                <w:sz w:val="16"/>
                <w:szCs w:val="16"/>
              </w:rPr>
              <w:t>Variable Name</w:t>
            </w:r>
          </w:p>
        </w:tc>
        <w:tc>
          <w:tcPr>
            <w:tcW w:w="433" w:type="dxa"/>
            <w:vAlign w:val="center"/>
          </w:tcPr>
          <w:p w14:paraId="614A00C3" w14:textId="77777777" w:rsidR="005803DC" w:rsidRPr="00CC6CA3" w:rsidRDefault="005803DC" w:rsidP="00F632C0">
            <w:pPr>
              <w:rPr>
                <w:rFonts w:cs="Times New Roman"/>
                <w:b/>
                <w:sz w:val="16"/>
                <w:szCs w:val="16"/>
              </w:rPr>
            </w:pPr>
            <w:r w:rsidRPr="00CC6CA3">
              <w:rPr>
                <w:rFonts w:cs="Times New Roman"/>
                <w:b/>
                <w:sz w:val="16"/>
                <w:szCs w:val="16"/>
              </w:rPr>
              <w:t>ID</w:t>
            </w:r>
          </w:p>
        </w:tc>
        <w:tc>
          <w:tcPr>
            <w:tcW w:w="2608" w:type="dxa"/>
            <w:vAlign w:val="center"/>
          </w:tcPr>
          <w:p w14:paraId="6F0C264F" w14:textId="77777777" w:rsidR="005803DC" w:rsidRPr="00CC6CA3" w:rsidRDefault="005803DC" w:rsidP="00F632C0">
            <w:pPr>
              <w:rPr>
                <w:rFonts w:cs="Times New Roman"/>
                <w:b/>
                <w:sz w:val="16"/>
                <w:szCs w:val="16"/>
              </w:rPr>
            </w:pPr>
            <w:r w:rsidRPr="00CC6CA3">
              <w:rPr>
                <w:rFonts w:cs="Times New Roman"/>
                <w:b/>
                <w:sz w:val="16"/>
                <w:szCs w:val="16"/>
              </w:rPr>
              <w:t>Variable Name</w:t>
            </w:r>
          </w:p>
        </w:tc>
        <w:tc>
          <w:tcPr>
            <w:tcW w:w="434" w:type="dxa"/>
            <w:vAlign w:val="center"/>
          </w:tcPr>
          <w:p w14:paraId="40268D00" w14:textId="77777777" w:rsidR="005803DC" w:rsidRPr="00CC6CA3" w:rsidRDefault="005803DC" w:rsidP="00F632C0">
            <w:pPr>
              <w:rPr>
                <w:rFonts w:cs="Times New Roman"/>
                <w:b/>
                <w:sz w:val="16"/>
                <w:szCs w:val="16"/>
              </w:rPr>
            </w:pPr>
            <w:r w:rsidRPr="00CC6CA3">
              <w:rPr>
                <w:rFonts w:cs="Times New Roman"/>
                <w:b/>
                <w:sz w:val="16"/>
                <w:szCs w:val="16"/>
              </w:rPr>
              <w:t>ID</w:t>
            </w:r>
          </w:p>
        </w:tc>
        <w:tc>
          <w:tcPr>
            <w:tcW w:w="2429" w:type="dxa"/>
            <w:vAlign w:val="center"/>
          </w:tcPr>
          <w:p w14:paraId="21FC0CD9" w14:textId="77777777" w:rsidR="005803DC" w:rsidRPr="00CC6CA3" w:rsidRDefault="005803DC" w:rsidP="00F632C0">
            <w:pPr>
              <w:rPr>
                <w:rFonts w:cs="Times New Roman"/>
                <w:b/>
                <w:sz w:val="16"/>
                <w:szCs w:val="16"/>
              </w:rPr>
            </w:pPr>
            <w:r w:rsidRPr="00CC6CA3">
              <w:rPr>
                <w:rFonts w:cs="Times New Roman"/>
                <w:b/>
                <w:sz w:val="16"/>
                <w:szCs w:val="16"/>
              </w:rPr>
              <w:t>Variable Name</w:t>
            </w:r>
          </w:p>
        </w:tc>
      </w:tr>
      <w:tr w:rsidR="00CC6CA3" w:rsidRPr="00CC6CA3" w14:paraId="34A03253" w14:textId="77777777" w:rsidTr="00F632C0">
        <w:tc>
          <w:tcPr>
            <w:tcW w:w="525" w:type="dxa"/>
          </w:tcPr>
          <w:p w14:paraId="6A0FFB6D" w14:textId="77777777" w:rsidR="005803DC" w:rsidRPr="00CC6CA3" w:rsidRDefault="005803DC" w:rsidP="00F632C0">
            <w:pPr>
              <w:rPr>
                <w:rFonts w:cs="Times New Roman"/>
                <w:sz w:val="16"/>
                <w:szCs w:val="16"/>
              </w:rPr>
            </w:pPr>
            <w:r w:rsidRPr="00CC6CA3">
              <w:rPr>
                <w:rFonts w:cs="Times New Roman"/>
                <w:sz w:val="16"/>
                <w:szCs w:val="16"/>
              </w:rPr>
              <w:t>1</w:t>
            </w:r>
          </w:p>
        </w:tc>
        <w:tc>
          <w:tcPr>
            <w:tcW w:w="2336" w:type="dxa"/>
          </w:tcPr>
          <w:p w14:paraId="022D8195" w14:textId="22A161C7" w:rsidR="005803DC" w:rsidRPr="00CC6CA3" w:rsidRDefault="005803DC" w:rsidP="00F632C0">
            <w:pPr>
              <w:rPr>
                <w:rFonts w:cs="Times New Roman"/>
                <w:sz w:val="16"/>
                <w:szCs w:val="16"/>
              </w:rPr>
            </w:pPr>
            <w:r w:rsidRPr="00CC6CA3">
              <w:rPr>
                <w:rFonts w:cs="Times New Roman"/>
                <w:sz w:val="16"/>
                <w:szCs w:val="16"/>
              </w:rPr>
              <w:t>S</w:t>
            </w:r>
            <w:r w:rsidR="002D291B" w:rsidRPr="00CC6CA3">
              <w:rPr>
                <w:rFonts w:cs="Times New Roman"/>
                <w:sz w:val="16"/>
                <w:szCs w:val="16"/>
              </w:rPr>
              <w:t xml:space="preserve">haft </w:t>
            </w:r>
            <w:r w:rsidR="00883F8E" w:rsidRPr="00CC6CA3">
              <w:rPr>
                <w:rFonts w:cs="Times New Roman"/>
                <w:sz w:val="16"/>
                <w:szCs w:val="16"/>
              </w:rPr>
              <w:t>s</w:t>
            </w:r>
            <w:r w:rsidRPr="00CC6CA3">
              <w:rPr>
                <w:rFonts w:cs="Times New Roman"/>
                <w:sz w:val="16"/>
                <w:szCs w:val="16"/>
              </w:rPr>
              <w:t>peed</w:t>
            </w:r>
          </w:p>
        </w:tc>
        <w:tc>
          <w:tcPr>
            <w:tcW w:w="433" w:type="dxa"/>
          </w:tcPr>
          <w:p w14:paraId="26D0E3B5" w14:textId="77777777" w:rsidR="005803DC" w:rsidRPr="00CC6CA3" w:rsidRDefault="005803DC" w:rsidP="00F632C0">
            <w:pPr>
              <w:rPr>
                <w:rFonts w:cs="Times New Roman"/>
                <w:sz w:val="16"/>
                <w:szCs w:val="16"/>
              </w:rPr>
            </w:pPr>
            <w:r w:rsidRPr="00CC6CA3">
              <w:rPr>
                <w:rFonts w:cs="Times New Roman"/>
                <w:sz w:val="16"/>
                <w:szCs w:val="16"/>
              </w:rPr>
              <w:t>2</w:t>
            </w:r>
          </w:p>
        </w:tc>
        <w:tc>
          <w:tcPr>
            <w:tcW w:w="2608" w:type="dxa"/>
          </w:tcPr>
          <w:p w14:paraId="36BC6189" w14:textId="77777777" w:rsidR="005803DC" w:rsidRPr="00CC6CA3" w:rsidRDefault="005803DC" w:rsidP="00F632C0">
            <w:pPr>
              <w:rPr>
                <w:rFonts w:cs="Times New Roman"/>
                <w:sz w:val="16"/>
                <w:szCs w:val="16"/>
              </w:rPr>
            </w:pPr>
            <w:r w:rsidRPr="00CC6CA3">
              <w:rPr>
                <w:rFonts w:cs="Times New Roman"/>
                <w:sz w:val="16"/>
                <w:szCs w:val="16"/>
              </w:rPr>
              <w:t>Suction pressure</w:t>
            </w:r>
          </w:p>
        </w:tc>
        <w:tc>
          <w:tcPr>
            <w:tcW w:w="434" w:type="dxa"/>
          </w:tcPr>
          <w:p w14:paraId="73F699E3" w14:textId="77777777" w:rsidR="005803DC" w:rsidRPr="00CC6CA3" w:rsidRDefault="005803DC" w:rsidP="00F632C0">
            <w:pPr>
              <w:rPr>
                <w:rFonts w:cs="Times New Roman"/>
                <w:sz w:val="16"/>
                <w:szCs w:val="16"/>
              </w:rPr>
            </w:pPr>
            <w:r w:rsidRPr="00CC6CA3">
              <w:rPr>
                <w:rFonts w:cs="Times New Roman"/>
                <w:sz w:val="16"/>
                <w:szCs w:val="16"/>
              </w:rPr>
              <w:t>3</w:t>
            </w:r>
          </w:p>
        </w:tc>
        <w:tc>
          <w:tcPr>
            <w:tcW w:w="2429" w:type="dxa"/>
          </w:tcPr>
          <w:p w14:paraId="567A807D" w14:textId="77777777" w:rsidR="005803DC" w:rsidRPr="00CC6CA3" w:rsidRDefault="005803DC" w:rsidP="00F632C0">
            <w:pPr>
              <w:rPr>
                <w:rFonts w:cs="Times New Roman"/>
                <w:sz w:val="16"/>
                <w:szCs w:val="16"/>
              </w:rPr>
            </w:pPr>
            <w:r w:rsidRPr="00CC6CA3">
              <w:rPr>
                <w:rFonts w:cs="Times New Roman"/>
                <w:sz w:val="16"/>
                <w:szCs w:val="16"/>
              </w:rPr>
              <w:t>Discharge pressure</w:t>
            </w:r>
          </w:p>
        </w:tc>
      </w:tr>
      <w:tr w:rsidR="00CC6CA3" w:rsidRPr="00CC6CA3" w14:paraId="150E77C9" w14:textId="77777777" w:rsidTr="00F632C0">
        <w:tc>
          <w:tcPr>
            <w:tcW w:w="525" w:type="dxa"/>
          </w:tcPr>
          <w:p w14:paraId="00B757BF" w14:textId="77777777" w:rsidR="005803DC" w:rsidRPr="00CC6CA3" w:rsidRDefault="005803DC" w:rsidP="00F632C0">
            <w:pPr>
              <w:rPr>
                <w:rFonts w:cs="Times New Roman"/>
                <w:sz w:val="16"/>
                <w:szCs w:val="16"/>
              </w:rPr>
            </w:pPr>
            <w:r w:rsidRPr="00CC6CA3">
              <w:rPr>
                <w:rFonts w:cs="Times New Roman"/>
                <w:sz w:val="16"/>
                <w:szCs w:val="16"/>
              </w:rPr>
              <w:t>4</w:t>
            </w:r>
          </w:p>
        </w:tc>
        <w:tc>
          <w:tcPr>
            <w:tcW w:w="2336" w:type="dxa"/>
          </w:tcPr>
          <w:p w14:paraId="14ADF9B4" w14:textId="77777777" w:rsidR="005803DC" w:rsidRPr="00CC6CA3" w:rsidRDefault="005803DC" w:rsidP="00F632C0">
            <w:pPr>
              <w:rPr>
                <w:rFonts w:cs="Times New Roman"/>
                <w:sz w:val="16"/>
                <w:szCs w:val="16"/>
              </w:rPr>
            </w:pPr>
            <w:r w:rsidRPr="00CC6CA3">
              <w:rPr>
                <w:rFonts w:cs="Times New Roman" w:hint="eastAsia"/>
                <w:sz w:val="16"/>
                <w:szCs w:val="16"/>
              </w:rPr>
              <w:t>Discharge</w:t>
            </w:r>
            <w:r w:rsidRPr="00CC6CA3">
              <w:rPr>
                <w:rFonts w:cs="Times New Roman"/>
                <w:sz w:val="16"/>
                <w:szCs w:val="16"/>
              </w:rPr>
              <w:t xml:space="preserve"> t</w:t>
            </w:r>
            <w:r w:rsidRPr="00CC6CA3">
              <w:rPr>
                <w:rFonts w:cs="Times New Roman" w:hint="eastAsia"/>
                <w:sz w:val="16"/>
                <w:szCs w:val="16"/>
              </w:rPr>
              <w:t>emperature</w:t>
            </w:r>
          </w:p>
        </w:tc>
        <w:tc>
          <w:tcPr>
            <w:tcW w:w="433" w:type="dxa"/>
          </w:tcPr>
          <w:p w14:paraId="71513486" w14:textId="77777777" w:rsidR="005803DC" w:rsidRPr="00CC6CA3" w:rsidRDefault="005803DC" w:rsidP="00F632C0">
            <w:pPr>
              <w:rPr>
                <w:rFonts w:cs="Times New Roman"/>
                <w:sz w:val="16"/>
                <w:szCs w:val="16"/>
              </w:rPr>
            </w:pPr>
            <w:r w:rsidRPr="00CC6CA3">
              <w:rPr>
                <w:rFonts w:cs="Times New Roman"/>
                <w:sz w:val="16"/>
                <w:szCs w:val="16"/>
              </w:rPr>
              <w:t>5</w:t>
            </w:r>
          </w:p>
        </w:tc>
        <w:tc>
          <w:tcPr>
            <w:tcW w:w="2608" w:type="dxa"/>
          </w:tcPr>
          <w:p w14:paraId="5358DE9E" w14:textId="77777777" w:rsidR="005803DC" w:rsidRPr="00CC6CA3" w:rsidRDefault="005803DC" w:rsidP="00F632C0">
            <w:pPr>
              <w:rPr>
                <w:rFonts w:cs="Times New Roman"/>
                <w:sz w:val="16"/>
                <w:szCs w:val="16"/>
              </w:rPr>
            </w:pPr>
            <w:r w:rsidRPr="00CC6CA3">
              <w:rPr>
                <w:rFonts w:cs="Times New Roman" w:hint="eastAsia"/>
                <w:sz w:val="16"/>
                <w:szCs w:val="16"/>
              </w:rPr>
              <w:t>Actual</w:t>
            </w:r>
            <w:r w:rsidRPr="00CC6CA3">
              <w:rPr>
                <w:rFonts w:cs="Times New Roman"/>
                <w:sz w:val="16"/>
                <w:szCs w:val="16"/>
              </w:rPr>
              <w:t xml:space="preserve"> </w:t>
            </w:r>
            <w:r w:rsidRPr="00CC6CA3">
              <w:rPr>
                <w:rFonts w:cs="Times New Roman" w:hint="eastAsia"/>
                <w:sz w:val="16"/>
                <w:szCs w:val="16"/>
              </w:rPr>
              <w:t>Flow</w:t>
            </w:r>
          </w:p>
        </w:tc>
        <w:tc>
          <w:tcPr>
            <w:tcW w:w="434" w:type="dxa"/>
          </w:tcPr>
          <w:p w14:paraId="13614538" w14:textId="77777777" w:rsidR="005803DC" w:rsidRPr="00CC6CA3" w:rsidRDefault="005803DC" w:rsidP="00F632C0">
            <w:pPr>
              <w:rPr>
                <w:rFonts w:cs="Times New Roman"/>
                <w:sz w:val="16"/>
                <w:szCs w:val="16"/>
              </w:rPr>
            </w:pPr>
            <w:r w:rsidRPr="00CC6CA3">
              <w:rPr>
                <w:rFonts w:cs="Times New Roman"/>
                <w:sz w:val="16"/>
                <w:szCs w:val="16"/>
              </w:rPr>
              <w:t>6</w:t>
            </w:r>
          </w:p>
        </w:tc>
        <w:tc>
          <w:tcPr>
            <w:tcW w:w="2429" w:type="dxa"/>
          </w:tcPr>
          <w:p w14:paraId="15A92573" w14:textId="77777777" w:rsidR="005803DC" w:rsidRPr="00CC6CA3" w:rsidRDefault="005803DC" w:rsidP="00F632C0">
            <w:pPr>
              <w:rPr>
                <w:rFonts w:cs="Times New Roman"/>
                <w:sz w:val="16"/>
                <w:szCs w:val="16"/>
              </w:rPr>
            </w:pPr>
            <w:r w:rsidRPr="00CC6CA3">
              <w:rPr>
                <w:rFonts w:cs="Times New Roman" w:hint="eastAsia"/>
                <w:sz w:val="16"/>
                <w:szCs w:val="16"/>
              </w:rPr>
              <w:t>Radial</w:t>
            </w:r>
            <w:r w:rsidRPr="00CC6CA3">
              <w:rPr>
                <w:rFonts w:cs="Times New Roman"/>
                <w:sz w:val="16"/>
                <w:szCs w:val="16"/>
              </w:rPr>
              <w:t xml:space="preserve"> </w:t>
            </w:r>
            <w:r w:rsidRPr="00CC6CA3">
              <w:rPr>
                <w:rFonts w:cs="Times New Roman" w:hint="eastAsia"/>
                <w:sz w:val="16"/>
                <w:szCs w:val="16"/>
              </w:rPr>
              <w:t>Vibration</w:t>
            </w:r>
            <w:r w:rsidRPr="00CC6CA3">
              <w:rPr>
                <w:rFonts w:cs="Times New Roman"/>
                <w:sz w:val="16"/>
                <w:szCs w:val="16"/>
              </w:rPr>
              <w:t xml:space="preserve"> </w:t>
            </w:r>
            <w:r w:rsidRPr="00CC6CA3">
              <w:rPr>
                <w:rFonts w:cs="Times New Roman" w:hint="eastAsia"/>
                <w:sz w:val="16"/>
                <w:szCs w:val="16"/>
              </w:rPr>
              <w:t>Overall</w:t>
            </w:r>
            <w:r w:rsidRPr="00CC6CA3">
              <w:rPr>
                <w:rFonts w:cs="Times New Roman"/>
                <w:sz w:val="16"/>
                <w:szCs w:val="16"/>
              </w:rPr>
              <w:t xml:space="preserve"> </w:t>
            </w:r>
            <w:r w:rsidRPr="00CC6CA3">
              <w:rPr>
                <w:rFonts w:cs="Times New Roman" w:hint="eastAsia"/>
                <w:sz w:val="16"/>
                <w:szCs w:val="16"/>
              </w:rPr>
              <w:t>X</w:t>
            </w:r>
          </w:p>
        </w:tc>
      </w:tr>
      <w:tr w:rsidR="00CC6CA3" w:rsidRPr="00CC6CA3" w14:paraId="1E8C3B98" w14:textId="77777777" w:rsidTr="00F632C0">
        <w:tc>
          <w:tcPr>
            <w:tcW w:w="525" w:type="dxa"/>
          </w:tcPr>
          <w:p w14:paraId="671606AD" w14:textId="77777777" w:rsidR="005803DC" w:rsidRPr="00CC6CA3" w:rsidRDefault="005803DC" w:rsidP="00F632C0">
            <w:pPr>
              <w:rPr>
                <w:rFonts w:cs="Times New Roman"/>
                <w:sz w:val="16"/>
                <w:szCs w:val="16"/>
              </w:rPr>
            </w:pPr>
            <w:r w:rsidRPr="00CC6CA3">
              <w:rPr>
                <w:rFonts w:cs="Times New Roman"/>
                <w:sz w:val="16"/>
                <w:szCs w:val="16"/>
              </w:rPr>
              <w:t>7</w:t>
            </w:r>
          </w:p>
        </w:tc>
        <w:tc>
          <w:tcPr>
            <w:tcW w:w="2336" w:type="dxa"/>
          </w:tcPr>
          <w:p w14:paraId="530AFE94" w14:textId="77777777" w:rsidR="005803DC" w:rsidRPr="00CC6CA3" w:rsidRDefault="005803DC" w:rsidP="00F632C0">
            <w:pPr>
              <w:rPr>
                <w:rFonts w:cs="Times New Roman"/>
                <w:sz w:val="16"/>
                <w:szCs w:val="16"/>
              </w:rPr>
            </w:pPr>
            <w:r w:rsidRPr="00CC6CA3">
              <w:rPr>
                <w:rFonts w:cs="Times New Roman" w:hint="eastAsia"/>
                <w:sz w:val="16"/>
                <w:szCs w:val="16"/>
              </w:rPr>
              <w:t>Radial</w:t>
            </w:r>
            <w:r w:rsidRPr="00CC6CA3">
              <w:rPr>
                <w:rFonts w:cs="Times New Roman"/>
                <w:sz w:val="16"/>
                <w:szCs w:val="16"/>
              </w:rPr>
              <w:t xml:space="preserve"> </w:t>
            </w:r>
            <w:r w:rsidRPr="00CC6CA3">
              <w:rPr>
                <w:rFonts w:cs="Times New Roman" w:hint="eastAsia"/>
                <w:sz w:val="16"/>
                <w:szCs w:val="16"/>
              </w:rPr>
              <w:t>Vibration</w:t>
            </w:r>
            <w:r w:rsidRPr="00CC6CA3">
              <w:rPr>
                <w:rFonts w:cs="Times New Roman"/>
                <w:sz w:val="16"/>
                <w:szCs w:val="16"/>
              </w:rPr>
              <w:t xml:space="preserve"> </w:t>
            </w:r>
            <w:r w:rsidRPr="00CC6CA3">
              <w:rPr>
                <w:rFonts w:cs="Times New Roman" w:hint="eastAsia"/>
                <w:sz w:val="16"/>
                <w:szCs w:val="16"/>
              </w:rPr>
              <w:t>Overall</w:t>
            </w:r>
            <w:r w:rsidRPr="00CC6CA3">
              <w:rPr>
                <w:rFonts w:cs="Times New Roman"/>
                <w:sz w:val="16"/>
                <w:szCs w:val="16"/>
              </w:rPr>
              <w:t xml:space="preserve"> </w:t>
            </w:r>
            <w:r w:rsidRPr="00CC6CA3">
              <w:rPr>
                <w:rFonts w:cs="Times New Roman" w:hint="eastAsia"/>
                <w:sz w:val="16"/>
                <w:szCs w:val="16"/>
              </w:rPr>
              <w:t>Y</w:t>
            </w:r>
          </w:p>
        </w:tc>
        <w:tc>
          <w:tcPr>
            <w:tcW w:w="433" w:type="dxa"/>
          </w:tcPr>
          <w:p w14:paraId="67D54489" w14:textId="77777777" w:rsidR="005803DC" w:rsidRPr="00CC6CA3" w:rsidRDefault="005803DC" w:rsidP="00F632C0">
            <w:pPr>
              <w:rPr>
                <w:rFonts w:cs="Times New Roman"/>
                <w:sz w:val="16"/>
                <w:szCs w:val="16"/>
              </w:rPr>
            </w:pPr>
            <w:r w:rsidRPr="00CC6CA3">
              <w:rPr>
                <w:rFonts w:cs="Times New Roman"/>
                <w:sz w:val="16"/>
                <w:szCs w:val="16"/>
              </w:rPr>
              <w:t>8</w:t>
            </w:r>
          </w:p>
        </w:tc>
        <w:tc>
          <w:tcPr>
            <w:tcW w:w="2608" w:type="dxa"/>
          </w:tcPr>
          <w:p w14:paraId="7BB334A0" w14:textId="77777777" w:rsidR="005803DC" w:rsidRPr="00CC6CA3" w:rsidRDefault="005803DC" w:rsidP="00F632C0">
            <w:pPr>
              <w:rPr>
                <w:rFonts w:cs="Times New Roman"/>
                <w:sz w:val="16"/>
                <w:szCs w:val="16"/>
              </w:rPr>
            </w:pPr>
            <w:r w:rsidRPr="00CC6CA3">
              <w:rPr>
                <w:rFonts w:cs="Times New Roman" w:hint="eastAsia"/>
                <w:sz w:val="16"/>
                <w:szCs w:val="16"/>
              </w:rPr>
              <w:t>Radial</w:t>
            </w:r>
            <w:r w:rsidRPr="00CC6CA3">
              <w:rPr>
                <w:rFonts w:cs="Times New Roman"/>
                <w:sz w:val="16"/>
                <w:szCs w:val="16"/>
              </w:rPr>
              <w:t xml:space="preserve"> </w:t>
            </w:r>
            <w:r w:rsidRPr="00CC6CA3">
              <w:rPr>
                <w:rFonts w:cs="Times New Roman" w:hint="eastAsia"/>
                <w:sz w:val="16"/>
                <w:szCs w:val="16"/>
              </w:rPr>
              <w:t>Bearing</w:t>
            </w:r>
            <w:r w:rsidRPr="00CC6CA3">
              <w:rPr>
                <w:rFonts w:cs="Times New Roman"/>
                <w:sz w:val="16"/>
                <w:szCs w:val="16"/>
              </w:rPr>
              <w:t xml:space="preserve"> </w:t>
            </w:r>
            <w:r w:rsidRPr="00CC6CA3">
              <w:rPr>
                <w:rFonts w:cs="Times New Roman" w:hint="eastAsia"/>
                <w:sz w:val="16"/>
                <w:szCs w:val="16"/>
              </w:rPr>
              <w:t>Temperature</w:t>
            </w:r>
            <w:r w:rsidRPr="00CC6CA3">
              <w:rPr>
                <w:rFonts w:cs="Times New Roman"/>
                <w:sz w:val="16"/>
                <w:szCs w:val="16"/>
              </w:rPr>
              <w:t xml:space="preserve"> </w:t>
            </w:r>
            <w:r w:rsidRPr="00CC6CA3">
              <w:rPr>
                <w:rFonts w:cs="Times New Roman" w:hint="eastAsia"/>
                <w:sz w:val="16"/>
                <w:szCs w:val="16"/>
              </w:rPr>
              <w:t>1</w:t>
            </w:r>
          </w:p>
        </w:tc>
        <w:tc>
          <w:tcPr>
            <w:tcW w:w="434" w:type="dxa"/>
          </w:tcPr>
          <w:p w14:paraId="24F6DDCE" w14:textId="77777777" w:rsidR="005803DC" w:rsidRPr="00CC6CA3" w:rsidRDefault="005803DC" w:rsidP="00F632C0">
            <w:pPr>
              <w:rPr>
                <w:rFonts w:cs="Times New Roman"/>
                <w:sz w:val="16"/>
                <w:szCs w:val="16"/>
              </w:rPr>
            </w:pPr>
            <w:r w:rsidRPr="00CC6CA3">
              <w:rPr>
                <w:rFonts w:cs="Times New Roman"/>
                <w:sz w:val="16"/>
                <w:szCs w:val="16"/>
              </w:rPr>
              <w:t>9</w:t>
            </w:r>
          </w:p>
        </w:tc>
        <w:tc>
          <w:tcPr>
            <w:tcW w:w="2429" w:type="dxa"/>
          </w:tcPr>
          <w:p w14:paraId="2DA7EF18" w14:textId="77777777" w:rsidR="005803DC" w:rsidRPr="00CC6CA3" w:rsidRDefault="005803DC" w:rsidP="00F632C0">
            <w:pPr>
              <w:rPr>
                <w:rFonts w:cs="Times New Roman"/>
                <w:sz w:val="16"/>
                <w:szCs w:val="16"/>
              </w:rPr>
            </w:pPr>
            <w:r w:rsidRPr="00CC6CA3">
              <w:rPr>
                <w:rFonts w:cs="Times New Roman" w:hint="eastAsia"/>
                <w:sz w:val="16"/>
                <w:szCs w:val="16"/>
              </w:rPr>
              <w:t>Radial</w:t>
            </w:r>
            <w:r w:rsidRPr="00CC6CA3">
              <w:rPr>
                <w:rFonts w:cs="Times New Roman"/>
                <w:sz w:val="16"/>
                <w:szCs w:val="16"/>
              </w:rPr>
              <w:t xml:space="preserve"> </w:t>
            </w:r>
            <w:r w:rsidRPr="00CC6CA3">
              <w:rPr>
                <w:rFonts w:cs="Times New Roman" w:hint="eastAsia"/>
                <w:sz w:val="16"/>
                <w:szCs w:val="16"/>
              </w:rPr>
              <w:t>Vibration</w:t>
            </w:r>
            <w:r w:rsidRPr="00CC6CA3">
              <w:rPr>
                <w:rFonts w:cs="Times New Roman"/>
                <w:sz w:val="16"/>
                <w:szCs w:val="16"/>
              </w:rPr>
              <w:t xml:space="preserve"> </w:t>
            </w:r>
            <w:r w:rsidRPr="00CC6CA3">
              <w:rPr>
                <w:rFonts w:cs="Times New Roman" w:hint="eastAsia"/>
                <w:sz w:val="16"/>
                <w:szCs w:val="16"/>
              </w:rPr>
              <w:t>Overall</w:t>
            </w:r>
            <w:r w:rsidRPr="00CC6CA3">
              <w:rPr>
                <w:rFonts w:cs="Times New Roman"/>
                <w:sz w:val="16"/>
                <w:szCs w:val="16"/>
              </w:rPr>
              <w:t xml:space="preserve"> </w:t>
            </w:r>
            <w:r w:rsidRPr="00CC6CA3">
              <w:rPr>
                <w:rFonts w:cs="Times New Roman" w:hint="eastAsia"/>
                <w:sz w:val="16"/>
                <w:szCs w:val="16"/>
              </w:rPr>
              <w:t>X1</w:t>
            </w:r>
          </w:p>
        </w:tc>
      </w:tr>
      <w:tr w:rsidR="00CC6CA3" w:rsidRPr="00CC6CA3" w14:paraId="54470C3C" w14:textId="77777777" w:rsidTr="00F632C0">
        <w:tc>
          <w:tcPr>
            <w:tcW w:w="525" w:type="dxa"/>
          </w:tcPr>
          <w:p w14:paraId="04D701D3" w14:textId="77777777" w:rsidR="005803DC" w:rsidRPr="00CC6CA3" w:rsidRDefault="005803DC" w:rsidP="00F632C0">
            <w:pPr>
              <w:rPr>
                <w:rFonts w:cs="Times New Roman"/>
                <w:sz w:val="16"/>
                <w:szCs w:val="16"/>
              </w:rPr>
            </w:pPr>
            <w:r w:rsidRPr="00CC6CA3">
              <w:rPr>
                <w:rFonts w:cs="Times New Roman"/>
                <w:sz w:val="16"/>
                <w:szCs w:val="16"/>
              </w:rPr>
              <w:t>10</w:t>
            </w:r>
          </w:p>
        </w:tc>
        <w:tc>
          <w:tcPr>
            <w:tcW w:w="2336" w:type="dxa"/>
          </w:tcPr>
          <w:p w14:paraId="476DB9B1" w14:textId="77777777" w:rsidR="005803DC" w:rsidRPr="00CC6CA3" w:rsidRDefault="005803DC" w:rsidP="00F632C0">
            <w:pPr>
              <w:rPr>
                <w:rFonts w:cs="Times New Roman"/>
                <w:sz w:val="16"/>
                <w:szCs w:val="16"/>
              </w:rPr>
            </w:pPr>
            <w:r w:rsidRPr="00CC6CA3">
              <w:rPr>
                <w:rFonts w:cs="Times New Roman" w:hint="eastAsia"/>
                <w:sz w:val="16"/>
                <w:szCs w:val="16"/>
              </w:rPr>
              <w:t>Radial</w:t>
            </w:r>
            <w:r w:rsidRPr="00CC6CA3">
              <w:rPr>
                <w:rFonts w:cs="Times New Roman"/>
                <w:sz w:val="16"/>
                <w:szCs w:val="16"/>
              </w:rPr>
              <w:t xml:space="preserve"> </w:t>
            </w:r>
            <w:r w:rsidRPr="00CC6CA3">
              <w:rPr>
                <w:rFonts w:cs="Times New Roman" w:hint="eastAsia"/>
                <w:sz w:val="16"/>
                <w:szCs w:val="16"/>
              </w:rPr>
              <w:t>Vibration</w:t>
            </w:r>
            <w:r w:rsidRPr="00CC6CA3">
              <w:rPr>
                <w:rFonts w:cs="Times New Roman"/>
                <w:sz w:val="16"/>
                <w:szCs w:val="16"/>
              </w:rPr>
              <w:t xml:space="preserve"> </w:t>
            </w:r>
            <w:r w:rsidRPr="00CC6CA3">
              <w:rPr>
                <w:rFonts w:cs="Times New Roman" w:hint="eastAsia"/>
                <w:sz w:val="16"/>
                <w:szCs w:val="16"/>
              </w:rPr>
              <w:t>Overall</w:t>
            </w:r>
            <w:r w:rsidRPr="00CC6CA3">
              <w:rPr>
                <w:rFonts w:cs="Times New Roman"/>
                <w:sz w:val="16"/>
                <w:szCs w:val="16"/>
              </w:rPr>
              <w:t xml:space="preserve"> </w:t>
            </w:r>
            <w:r w:rsidRPr="00CC6CA3">
              <w:rPr>
                <w:rFonts w:cs="Times New Roman" w:hint="eastAsia"/>
                <w:sz w:val="16"/>
                <w:szCs w:val="16"/>
              </w:rPr>
              <w:t>Y1</w:t>
            </w:r>
          </w:p>
        </w:tc>
        <w:tc>
          <w:tcPr>
            <w:tcW w:w="433" w:type="dxa"/>
          </w:tcPr>
          <w:p w14:paraId="5779A46D" w14:textId="77777777" w:rsidR="005803DC" w:rsidRPr="00CC6CA3" w:rsidRDefault="005803DC" w:rsidP="00F632C0">
            <w:pPr>
              <w:rPr>
                <w:rFonts w:cs="Times New Roman"/>
                <w:sz w:val="16"/>
                <w:szCs w:val="16"/>
              </w:rPr>
            </w:pPr>
            <w:r w:rsidRPr="00CC6CA3">
              <w:rPr>
                <w:rFonts w:cs="Times New Roman"/>
                <w:sz w:val="16"/>
                <w:szCs w:val="16"/>
              </w:rPr>
              <w:t>11</w:t>
            </w:r>
          </w:p>
        </w:tc>
        <w:tc>
          <w:tcPr>
            <w:tcW w:w="2608" w:type="dxa"/>
          </w:tcPr>
          <w:p w14:paraId="70A5BD5D" w14:textId="77777777" w:rsidR="005803DC" w:rsidRPr="00CC6CA3" w:rsidRDefault="005803DC" w:rsidP="00F632C0">
            <w:pPr>
              <w:rPr>
                <w:rFonts w:cs="Times New Roman"/>
                <w:sz w:val="16"/>
                <w:szCs w:val="16"/>
              </w:rPr>
            </w:pPr>
            <w:r w:rsidRPr="00CC6CA3">
              <w:rPr>
                <w:rFonts w:cs="Times New Roman" w:hint="eastAsia"/>
                <w:sz w:val="16"/>
                <w:szCs w:val="16"/>
              </w:rPr>
              <w:t>Radial</w:t>
            </w:r>
            <w:r w:rsidRPr="00CC6CA3">
              <w:rPr>
                <w:rFonts w:cs="Times New Roman"/>
                <w:sz w:val="16"/>
                <w:szCs w:val="16"/>
              </w:rPr>
              <w:t xml:space="preserve"> </w:t>
            </w:r>
            <w:r w:rsidRPr="00CC6CA3">
              <w:rPr>
                <w:rFonts w:cs="Times New Roman" w:hint="eastAsia"/>
                <w:sz w:val="16"/>
                <w:szCs w:val="16"/>
              </w:rPr>
              <w:t>Bearing</w:t>
            </w:r>
            <w:r w:rsidRPr="00CC6CA3">
              <w:rPr>
                <w:rFonts w:cs="Times New Roman"/>
                <w:sz w:val="16"/>
                <w:szCs w:val="16"/>
              </w:rPr>
              <w:t xml:space="preserve"> </w:t>
            </w:r>
            <w:r w:rsidRPr="00CC6CA3">
              <w:rPr>
                <w:rFonts w:cs="Times New Roman" w:hint="eastAsia"/>
                <w:sz w:val="16"/>
                <w:szCs w:val="16"/>
              </w:rPr>
              <w:t>Temperature</w:t>
            </w:r>
            <w:r w:rsidRPr="00CC6CA3">
              <w:rPr>
                <w:rFonts w:cs="Times New Roman"/>
                <w:sz w:val="16"/>
                <w:szCs w:val="16"/>
              </w:rPr>
              <w:t xml:space="preserve"> </w:t>
            </w:r>
            <w:r w:rsidRPr="00CC6CA3">
              <w:rPr>
                <w:rFonts w:cs="Times New Roman" w:hint="eastAsia"/>
                <w:sz w:val="16"/>
                <w:szCs w:val="16"/>
              </w:rPr>
              <w:t>2</w:t>
            </w:r>
          </w:p>
        </w:tc>
        <w:tc>
          <w:tcPr>
            <w:tcW w:w="434" w:type="dxa"/>
          </w:tcPr>
          <w:p w14:paraId="215E9BD6" w14:textId="77777777" w:rsidR="005803DC" w:rsidRPr="00CC6CA3" w:rsidRDefault="005803DC" w:rsidP="00F632C0">
            <w:pPr>
              <w:rPr>
                <w:rFonts w:cs="Times New Roman"/>
                <w:sz w:val="16"/>
                <w:szCs w:val="16"/>
              </w:rPr>
            </w:pPr>
            <w:r w:rsidRPr="00CC6CA3">
              <w:rPr>
                <w:rFonts w:cs="Times New Roman"/>
                <w:sz w:val="16"/>
                <w:szCs w:val="16"/>
              </w:rPr>
              <w:t>12</w:t>
            </w:r>
          </w:p>
        </w:tc>
        <w:tc>
          <w:tcPr>
            <w:tcW w:w="2429" w:type="dxa"/>
          </w:tcPr>
          <w:p w14:paraId="458D2EBE" w14:textId="77777777" w:rsidR="005803DC" w:rsidRPr="00CC6CA3" w:rsidRDefault="005803DC" w:rsidP="00F632C0">
            <w:pPr>
              <w:rPr>
                <w:rFonts w:cs="Times New Roman"/>
                <w:sz w:val="16"/>
                <w:szCs w:val="16"/>
              </w:rPr>
            </w:pPr>
            <w:r w:rsidRPr="00CC6CA3">
              <w:rPr>
                <w:rFonts w:cs="Times New Roman" w:hint="eastAsia"/>
                <w:sz w:val="16"/>
                <w:szCs w:val="16"/>
              </w:rPr>
              <w:t>Thrust</w:t>
            </w:r>
            <w:r w:rsidRPr="00CC6CA3">
              <w:rPr>
                <w:rFonts w:cs="Times New Roman"/>
                <w:sz w:val="16"/>
                <w:szCs w:val="16"/>
              </w:rPr>
              <w:t xml:space="preserve"> </w:t>
            </w:r>
            <w:r w:rsidRPr="00CC6CA3">
              <w:rPr>
                <w:rFonts w:cs="Times New Roman" w:hint="eastAsia"/>
                <w:sz w:val="16"/>
                <w:szCs w:val="16"/>
              </w:rPr>
              <w:t>Position</w:t>
            </w:r>
            <w:r w:rsidRPr="00CC6CA3">
              <w:rPr>
                <w:rFonts w:cs="Times New Roman"/>
                <w:sz w:val="16"/>
                <w:szCs w:val="16"/>
              </w:rPr>
              <w:t xml:space="preserve"> </w:t>
            </w:r>
            <w:r w:rsidRPr="00CC6CA3">
              <w:rPr>
                <w:rFonts w:cs="Times New Roman" w:hint="eastAsia"/>
                <w:sz w:val="16"/>
                <w:szCs w:val="16"/>
              </w:rPr>
              <w:t>Axial</w:t>
            </w:r>
            <w:r w:rsidRPr="00CC6CA3">
              <w:rPr>
                <w:rFonts w:cs="Times New Roman"/>
                <w:sz w:val="16"/>
                <w:szCs w:val="16"/>
              </w:rPr>
              <w:t xml:space="preserve"> </w:t>
            </w:r>
            <w:r w:rsidRPr="00CC6CA3">
              <w:rPr>
                <w:rFonts w:cs="Times New Roman" w:hint="eastAsia"/>
                <w:sz w:val="16"/>
                <w:szCs w:val="16"/>
              </w:rPr>
              <w:t>Probe1</w:t>
            </w:r>
          </w:p>
        </w:tc>
      </w:tr>
      <w:tr w:rsidR="00CC6CA3" w:rsidRPr="00CC6CA3" w14:paraId="34C46005" w14:textId="77777777" w:rsidTr="00F632C0">
        <w:tc>
          <w:tcPr>
            <w:tcW w:w="525" w:type="dxa"/>
          </w:tcPr>
          <w:p w14:paraId="44AD3223" w14:textId="77777777" w:rsidR="005803DC" w:rsidRPr="00CC6CA3" w:rsidRDefault="005803DC" w:rsidP="00F632C0">
            <w:pPr>
              <w:rPr>
                <w:rFonts w:cs="Times New Roman"/>
                <w:sz w:val="16"/>
                <w:szCs w:val="16"/>
              </w:rPr>
            </w:pPr>
            <w:r w:rsidRPr="00CC6CA3">
              <w:rPr>
                <w:rFonts w:cs="Times New Roman"/>
                <w:sz w:val="16"/>
                <w:szCs w:val="16"/>
              </w:rPr>
              <w:t>13</w:t>
            </w:r>
          </w:p>
        </w:tc>
        <w:tc>
          <w:tcPr>
            <w:tcW w:w="2336" w:type="dxa"/>
          </w:tcPr>
          <w:p w14:paraId="43694879" w14:textId="77777777" w:rsidR="005803DC" w:rsidRPr="00CC6CA3" w:rsidRDefault="005803DC" w:rsidP="00F632C0">
            <w:pPr>
              <w:rPr>
                <w:rFonts w:cs="Times New Roman"/>
                <w:sz w:val="16"/>
                <w:szCs w:val="16"/>
              </w:rPr>
            </w:pPr>
            <w:r w:rsidRPr="00CC6CA3">
              <w:rPr>
                <w:rFonts w:cs="Times New Roman" w:hint="eastAsia"/>
                <w:sz w:val="16"/>
                <w:szCs w:val="16"/>
              </w:rPr>
              <w:t>Thrust</w:t>
            </w:r>
            <w:r w:rsidRPr="00CC6CA3">
              <w:rPr>
                <w:rFonts w:cs="Times New Roman"/>
                <w:sz w:val="16"/>
                <w:szCs w:val="16"/>
              </w:rPr>
              <w:t xml:space="preserve"> </w:t>
            </w:r>
            <w:r w:rsidRPr="00CC6CA3">
              <w:rPr>
                <w:rFonts w:cs="Times New Roman" w:hint="eastAsia"/>
                <w:sz w:val="16"/>
                <w:szCs w:val="16"/>
              </w:rPr>
              <w:t>Position</w:t>
            </w:r>
            <w:r w:rsidRPr="00CC6CA3">
              <w:rPr>
                <w:rFonts w:cs="Times New Roman"/>
                <w:sz w:val="16"/>
                <w:szCs w:val="16"/>
              </w:rPr>
              <w:t xml:space="preserve"> </w:t>
            </w:r>
            <w:r w:rsidRPr="00CC6CA3">
              <w:rPr>
                <w:rFonts w:cs="Times New Roman" w:hint="eastAsia"/>
                <w:sz w:val="16"/>
                <w:szCs w:val="16"/>
              </w:rPr>
              <w:t>Axial</w:t>
            </w:r>
            <w:r w:rsidRPr="00CC6CA3">
              <w:rPr>
                <w:rFonts w:cs="Times New Roman"/>
                <w:sz w:val="16"/>
                <w:szCs w:val="16"/>
              </w:rPr>
              <w:t xml:space="preserve"> </w:t>
            </w:r>
            <w:r w:rsidRPr="00CC6CA3">
              <w:rPr>
                <w:rFonts w:cs="Times New Roman" w:hint="eastAsia"/>
                <w:sz w:val="16"/>
                <w:szCs w:val="16"/>
              </w:rPr>
              <w:t>Probe</w:t>
            </w:r>
            <w:r w:rsidRPr="00CC6CA3">
              <w:rPr>
                <w:rFonts w:cs="Times New Roman"/>
                <w:sz w:val="16"/>
                <w:szCs w:val="16"/>
              </w:rPr>
              <w:t xml:space="preserve"> </w:t>
            </w:r>
            <w:r w:rsidRPr="00CC6CA3">
              <w:rPr>
                <w:rFonts w:cs="Times New Roman" w:hint="eastAsia"/>
                <w:sz w:val="16"/>
                <w:szCs w:val="16"/>
              </w:rPr>
              <w:t>2</w:t>
            </w:r>
          </w:p>
        </w:tc>
        <w:tc>
          <w:tcPr>
            <w:tcW w:w="433" w:type="dxa"/>
          </w:tcPr>
          <w:p w14:paraId="390E290B" w14:textId="77777777" w:rsidR="005803DC" w:rsidRPr="00CC6CA3" w:rsidRDefault="005803DC" w:rsidP="00F632C0">
            <w:pPr>
              <w:rPr>
                <w:rFonts w:cs="Times New Roman"/>
                <w:sz w:val="16"/>
                <w:szCs w:val="16"/>
              </w:rPr>
            </w:pPr>
            <w:r w:rsidRPr="00CC6CA3">
              <w:rPr>
                <w:rFonts w:cs="Times New Roman"/>
                <w:sz w:val="16"/>
                <w:szCs w:val="16"/>
              </w:rPr>
              <w:t>14</w:t>
            </w:r>
          </w:p>
        </w:tc>
        <w:tc>
          <w:tcPr>
            <w:tcW w:w="2608" w:type="dxa"/>
          </w:tcPr>
          <w:p w14:paraId="6F4951BA" w14:textId="77777777" w:rsidR="005803DC" w:rsidRPr="00CC6CA3" w:rsidRDefault="005803DC" w:rsidP="00F632C0">
            <w:pPr>
              <w:rPr>
                <w:rFonts w:cs="Times New Roman"/>
                <w:sz w:val="16"/>
                <w:szCs w:val="16"/>
              </w:rPr>
            </w:pPr>
            <w:r w:rsidRPr="00CC6CA3">
              <w:rPr>
                <w:rFonts w:cs="Times New Roman" w:hint="eastAsia"/>
                <w:sz w:val="16"/>
                <w:szCs w:val="16"/>
              </w:rPr>
              <w:t>Active</w:t>
            </w:r>
            <w:r w:rsidRPr="00CC6CA3">
              <w:rPr>
                <w:rFonts w:cs="Times New Roman"/>
                <w:sz w:val="16"/>
                <w:szCs w:val="16"/>
              </w:rPr>
              <w:t xml:space="preserve"> </w:t>
            </w:r>
            <w:r w:rsidRPr="00CC6CA3">
              <w:rPr>
                <w:rFonts w:cs="Times New Roman" w:hint="eastAsia"/>
                <w:sz w:val="16"/>
                <w:szCs w:val="16"/>
              </w:rPr>
              <w:t>Thrust</w:t>
            </w:r>
            <w:r w:rsidRPr="00CC6CA3">
              <w:rPr>
                <w:rFonts w:cs="Times New Roman"/>
                <w:sz w:val="16"/>
                <w:szCs w:val="16"/>
              </w:rPr>
              <w:t xml:space="preserve"> </w:t>
            </w:r>
            <w:r w:rsidRPr="00CC6CA3">
              <w:rPr>
                <w:rFonts w:cs="Times New Roman" w:hint="eastAsia"/>
                <w:sz w:val="16"/>
                <w:szCs w:val="16"/>
              </w:rPr>
              <w:t>Bearing</w:t>
            </w:r>
            <w:r w:rsidRPr="00CC6CA3">
              <w:rPr>
                <w:rFonts w:cs="Times New Roman"/>
                <w:sz w:val="16"/>
                <w:szCs w:val="16"/>
              </w:rPr>
              <w:t xml:space="preserve"> </w:t>
            </w:r>
            <w:r w:rsidRPr="00CC6CA3">
              <w:rPr>
                <w:rFonts w:cs="Times New Roman" w:hint="eastAsia"/>
                <w:sz w:val="16"/>
                <w:szCs w:val="16"/>
              </w:rPr>
              <w:t>Temperature</w:t>
            </w:r>
            <w:r w:rsidRPr="00CC6CA3">
              <w:rPr>
                <w:rFonts w:cs="Times New Roman"/>
                <w:sz w:val="16"/>
                <w:szCs w:val="16"/>
              </w:rPr>
              <w:t xml:space="preserve"> </w:t>
            </w:r>
            <w:r w:rsidRPr="00CC6CA3">
              <w:rPr>
                <w:rFonts w:cs="Times New Roman" w:hint="eastAsia"/>
                <w:sz w:val="16"/>
                <w:szCs w:val="16"/>
              </w:rPr>
              <w:t>1</w:t>
            </w:r>
          </w:p>
        </w:tc>
        <w:tc>
          <w:tcPr>
            <w:tcW w:w="434" w:type="dxa"/>
          </w:tcPr>
          <w:p w14:paraId="6AD13864" w14:textId="77777777" w:rsidR="005803DC" w:rsidRPr="00CC6CA3" w:rsidRDefault="005803DC" w:rsidP="00F632C0">
            <w:pPr>
              <w:rPr>
                <w:rFonts w:cs="Times New Roman"/>
                <w:sz w:val="16"/>
                <w:szCs w:val="16"/>
              </w:rPr>
            </w:pPr>
            <w:r w:rsidRPr="00CC6CA3">
              <w:rPr>
                <w:rFonts w:cs="Times New Roman"/>
                <w:sz w:val="16"/>
                <w:szCs w:val="16"/>
              </w:rPr>
              <w:t>15</w:t>
            </w:r>
          </w:p>
        </w:tc>
        <w:tc>
          <w:tcPr>
            <w:tcW w:w="2429" w:type="dxa"/>
          </w:tcPr>
          <w:p w14:paraId="776D3CDA" w14:textId="77777777" w:rsidR="005803DC" w:rsidRPr="00CC6CA3" w:rsidRDefault="005803DC" w:rsidP="00F632C0">
            <w:pPr>
              <w:jc w:val="left"/>
              <w:rPr>
                <w:rFonts w:cs="Times New Roman"/>
                <w:sz w:val="16"/>
                <w:szCs w:val="16"/>
              </w:rPr>
            </w:pPr>
            <w:r w:rsidRPr="00CC6CA3">
              <w:rPr>
                <w:rFonts w:cs="Times New Roman" w:hint="eastAsia"/>
                <w:sz w:val="16"/>
                <w:szCs w:val="16"/>
              </w:rPr>
              <w:t>Inactive</w:t>
            </w:r>
            <w:r w:rsidRPr="00CC6CA3">
              <w:rPr>
                <w:rFonts w:cs="Times New Roman"/>
                <w:sz w:val="16"/>
                <w:szCs w:val="16"/>
              </w:rPr>
              <w:t xml:space="preserve"> </w:t>
            </w:r>
            <w:r w:rsidRPr="00CC6CA3">
              <w:rPr>
                <w:rFonts w:cs="Times New Roman" w:hint="eastAsia"/>
                <w:sz w:val="16"/>
                <w:szCs w:val="16"/>
              </w:rPr>
              <w:t>Thrust</w:t>
            </w:r>
            <w:r w:rsidRPr="00CC6CA3">
              <w:rPr>
                <w:rFonts w:cs="Times New Roman"/>
                <w:sz w:val="16"/>
                <w:szCs w:val="16"/>
              </w:rPr>
              <w:t xml:space="preserve"> </w:t>
            </w:r>
            <w:r w:rsidRPr="00CC6CA3">
              <w:rPr>
                <w:rFonts w:cs="Times New Roman" w:hint="eastAsia"/>
                <w:sz w:val="16"/>
                <w:szCs w:val="16"/>
              </w:rPr>
              <w:t>Bearing</w:t>
            </w:r>
            <w:r w:rsidRPr="00CC6CA3">
              <w:rPr>
                <w:rFonts w:cs="Times New Roman"/>
                <w:sz w:val="16"/>
                <w:szCs w:val="16"/>
              </w:rPr>
              <w:t xml:space="preserve"> </w:t>
            </w:r>
            <w:r w:rsidRPr="00CC6CA3">
              <w:rPr>
                <w:rFonts w:cs="Times New Roman" w:hint="eastAsia"/>
                <w:sz w:val="16"/>
                <w:szCs w:val="16"/>
              </w:rPr>
              <w:t>Temperature</w:t>
            </w:r>
            <w:r w:rsidRPr="00CC6CA3">
              <w:rPr>
                <w:rFonts w:cs="Times New Roman"/>
                <w:sz w:val="16"/>
                <w:szCs w:val="16"/>
              </w:rPr>
              <w:t xml:space="preserve"> </w:t>
            </w:r>
            <w:r w:rsidRPr="00CC6CA3">
              <w:rPr>
                <w:rFonts w:cs="Times New Roman" w:hint="eastAsia"/>
                <w:sz w:val="16"/>
                <w:szCs w:val="16"/>
              </w:rPr>
              <w:t>1</w:t>
            </w:r>
          </w:p>
        </w:tc>
      </w:tr>
    </w:tbl>
    <w:p w14:paraId="6CA47E26" w14:textId="01F2952E" w:rsidR="005803DC" w:rsidRPr="00CC6CA3" w:rsidRDefault="005803DC" w:rsidP="005803DC">
      <w:pPr>
        <w:spacing w:before="120"/>
        <w:rPr>
          <w:rFonts w:cs="Times New Roman"/>
          <w:szCs w:val="24"/>
        </w:rPr>
      </w:pPr>
      <w:r w:rsidRPr="00CC6CA3">
        <w:rPr>
          <w:rFonts w:cs="Times New Roman"/>
          <w:szCs w:val="24"/>
        </w:rPr>
        <w:t xml:space="preserve">This </w:t>
      </w:r>
      <w:r w:rsidRPr="00CC6CA3">
        <w:t>multivariate process</w:t>
      </w:r>
      <w:r w:rsidRPr="00CC6CA3">
        <w:rPr>
          <w:rFonts w:cs="Times New Roman"/>
          <w:szCs w:val="24"/>
        </w:rPr>
        <w:t xml:space="preserve"> data was recorded </w:t>
      </w:r>
      <w:r w:rsidRPr="00CC6CA3">
        <w:rPr>
          <w:rFonts w:cs="Times New Roman" w:hint="eastAsia"/>
          <w:szCs w:val="24"/>
        </w:rPr>
        <w:t>f</w:t>
      </w:r>
      <w:r w:rsidRPr="00CC6CA3">
        <w:rPr>
          <w:rFonts w:cs="Times New Roman"/>
          <w:szCs w:val="24"/>
        </w:rPr>
        <w:t xml:space="preserve">rom </w:t>
      </w:r>
      <w:r w:rsidRPr="00CC6CA3">
        <w:rPr>
          <w:rFonts w:cs="Times New Roman" w:hint="eastAsia"/>
          <w:szCs w:val="24"/>
        </w:rPr>
        <w:t>18</w:t>
      </w:r>
      <w:r w:rsidRPr="00CC6CA3">
        <w:rPr>
          <w:rFonts w:cs="Times New Roman"/>
          <w:szCs w:val="24"/>
          <w:vertAlign w:val="superscript"/>
        </w:rPr>
        <w:t>th</w:t>
      </w:r>
      <w:r w:rsidRPr="00CC6CA3">
        <w:rPr>
          <w:rFonts w:cs="Times New Roman"/>
          <w:szCs w:val="24"/>
        </w:rPr>
        <w:t xml:space="preserve"> Sep </w:t>
      </w:r>
      <w:r w:rsidRPr="00CC6CA3">
        <w:rPr>
          <w:rFonts w:cs="Times New Roman" w:hint="eastAsia"/>
          <w:szCs w:val="24"/>
        </w:rPr>
        <w:t>2012</w:t>
      </w:r>
      <w:r w:rsidRPr="00CC6CA3">
        <w:rPr>
          <w:rFonts w:cs="Times New Roman"/>
          <w:szCs w:val="24"/>
        </w:rPr>
        <w:t xml:space="preserve"> </w:t>
      </w:r>
      <w:r w:rsidRPr="00CC6CA3">
        <w:rPr>
          <w:rFonts w:cs="Times New Roman" w:hint="eastAsia"/>
          <w:szCs w:val="24"/>
        </w:rPr>
        <w:t>t</w:t>
      </w:r>
      <w:r w:rsidRPr="00CC6CA3">
        <w:rPr>
          <w:rFonts w:cs="Times New Roman"/>
          <w:szCs w:val="24"/>
        </w:rPr>
        <w:t>o 8</w:t>
      </w:r>
      <w:r w:rsidRPr="00CC6CA3">
        <w:rPr>
          <w:rFonts w:cs="Times New Roman"/>
          <w:szCs w:val="24"/>
          <w:vertAlign w:val="superscript"/>
        </w:rPr>
        <w:t>th</w:t>
      </w:r>
      <w:r w:rsidRPr="00CC6CA3">
        <w:rPr>
          <w:rFonts w:cs="Times New Roman"/>
          <w:szCs w:val="24"/>
        </w:rPr>
        <w:t xml:space="preserve"> Sep </w:t>
      </w:r>
      <w:r w:rsidRPr="00CC6CA3">
        <w:rPr>
          <w:rFonts w:cs="Times New Roman" w:hint="eastAsia"/>
          <w:szCs w:val="24"/>
        </w:rPr>
        <w:t>201</w:t>
      </w:r>
      <w:r w:rsidRPr="00CC6CA3">
        <w:rPr>
          <w:rFonts w:cs="Times New Roman"/>
          <w:szCs w:val="24"/>
        </w:rPr>
        <w:t>7</w:t>
      </w:r>
      <w:r w:rsidRPr="00CC6CA3">
        <w:rPr>
          <w:rFonts w:cs="Times New Roman" w:hint="eastAsia"/>
          <w:szCs w:val="24"/>
        </w:rPr>
        <w:t xml:space="preserve">. </w:t>
      </w:r>
      <w:r w:rsidRPr="00CC6CA3">
        <w:rPr>
          <w:rFonts w:cs="Times New Roman"/>
          <w:szCs w:val="24"/>
        </w:rPr>
        <w:t xml:space="preserve">Some of the measurements before data pre-processing are shown in </w:t>
      </w:r>
      <w:r w:rsidRPr="00CC6CA3">
        <w:rPr>
          <w:rFonts w:cs="Times New Roman"/>
          <w:szCs w:val="24"/>
        </w:rPr>
        <w:fldChar w:fldCharType="begin"/>
      </w:r>
      <w:r w:rsidRPr="00CC6CA3">
        <w:rPr>
          <w:rFonts w:cs="Times New Roman"/>
          <w:szCs w:val="24"/>
        </w:rPr>
        <w:instrText xml:space="preserve"> REF _Ref15747742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3</w:t>
      </w:r>
      <w:r w:rsidRPr="00CC6CA3">
        <w:rPr>
          <w:rFonts w:cs="Times New Roman"/>
          <w:szCs w:val="24"/>
        </w:rPr>
        <w:fldChar w:fldCharType="end"/>
      </w:r>
      <w:r w:rsidRPr="00CC6CA3">
        <w:rPr>
          <w:rFonts w:cs="Times New Roman"/>
          <w:szCs w:val="24"/>
        </w:rPr>
        <w:t xml:space="preserve"> to </w:t>
      </w:r>
      <w:r w:rsidRPr="00CC6CA3">
        <w:rPr>
          <w:rFonts w:cs="Times New Roman"/>
          <w:szCs w:val="24"/>
        </w:rPr>
        <w:fldChar w:fldCharType="begin"/>
      </w:r>
      <w:r w:rsidRPr="00CC6CA3">
        <w:rPr>
          <w:rFonts w:cs="Times New Roman"/>
          <w:szCs w:val="24"/>
        </w:rPr>
        <w:instrText xml:space="preserve"> REF _Ref62550926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5</w:t>
      </w:r>
      <w:r w:rsidRPr="00CC6CA3">
        <w:rPr>
          <w:rFonts w:cs="Times New Roman"/>
          <w:szCs w:val="24"/>
        </w:rPr>
        <w:fldChar w:fldCharType="end"/>
      </w:r>
      <w:r w:rsidRPr="00CC6CA3">
        <w:rPr>
          <w:rFonts w:cs="Times New Roman"/>
          <w:szCs w:val="24"/>
        </w:rPr>
        <w:t>.</w:t>
      </w:r>
    </w:p>
    <w:p w14:paraId="7D886BF1" w14:textId="77777777" w:rsidR="005803DC" w:rsidRPr="00CC6CA3" w:rsidRDefault="005803DC" w:rsidP="005803DC">
      <w:pPr>
        <w:keepNext/>
        <w:jc w:val="center"/>
      </w:pPr>
      <w:r w:rsidRPr="00CC6CA3">
        <w:object w:dxaOrig="9145" w:dyaOrig="4560" w14:anchorId="04BA2EAF">
          <v:shape id="_x0000_i1033" type="#_x0000_t75" style="width:366pt;height:186pt" o:ole="">
            <v:imagedata r:id="rId46" o:title=""/>
          </v:shape>
          <o:OLEObject Type="Embed" ProgID="Visio.Drawing.15" ShapeID="_x0000_i1033" DrawAspect="Content" ObjectID="_1692500312" r:id="rId47"/>
        </w:object>
      </w:r>
    </w:p>
    <w:p w14:paraId="75A1EB5E" w14:textId="19B2965C" w:rsidR="005803DC" w:rsidRPr="00CC6CA3" w:rsidRDefault="005803DC" w:rsidP="005803DC">
      <w:pPr>
        <w:pStyle w:val="Caption"/>
        <w:jc w:val="center"/>
      </w:pPr>
      <w:bookmarkStart w:id="186" w:name="_Ref15747742"/>
      <w:bookmarkStart w:id="187" w:name="_Toc8155334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w:t>
      </w:r>
      <w:r w:rsidR="00D62691" w:rsidRPr="00CC6CA3">
        <w:rPr>
          <w:noProof/>
        </w:rPr>
        <w:fldChar w:fldCharType="end"/>
      </w:r>
      <w:bookmarkEnd w:id="186"/>
      <w:r w:rsidRPr="00CC6CA3">
        <w:t xml:space="preserve"> Shaft speed of a pump before pre-processing, (a) raw data, (b) histogram of the raw data.</w:t>
      </w:r>
      <w:bookmarkEnd w:id="187"/>
    </w:p>
    <w:p w14:paraId="5FCF67DD" w14:textId="77777777" w:rsidR="005803DC" w:rsidRPr="00CC6CA3" w:rsidRDefault="005803DC" w:rsidP="005803DC">
      <w:pPr>
        <w:keepNext/>
        <w:jc w:val="center"/>
      </w:pPr>
      <w:r w:rsidRPr="00CC6CA3">
        <w:object w:dxaOrig="9156" w:dyaOrig="4560" w14:anchorId="759DACA3">
          <v:shape id="_x0000_i1034" type="#_x0000_t75" style="width:365pt;height:186pt" o:ole="">
            <v:imagedata r:id="rId48" o:title=""/>
          </v:shape>
          <o:OLEObject Type="Embed" ProgID="Visio.Drawing.15" ShapeID="_x0000_i1034" DrawAspect="Content" ObjectID="_1692500313" r:id="rId49"/>
        </w:object>
      </w:r>
    </w:p>
    <w:p w14:paraId="32D066B9" w14:textId="7EAB3551" w:rsidR="005803DC" w:rsidRPr="00CC6CA3" w:rsidRDefault="005803DC" w:rsidP="005803DC">
      <w:pPr>
        <w:pStyle w:val="Caption"/>
        <w:jc w:val="center"/>
      </w:pPr>
      <w:bookmarkStart w:id="188" w:name="_Ref15747752"/>
      <w:bookmarkStart w:id="189" w:name="_Toc8155334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w:t>
      </w:r>
      <w:r w:rsidR="00D62691" w:rsidRPr="00CC6CA3">
        <w:rPr>
          <w:noProof/>
        </w:rPr>
        <w:fldChar w:fldCharType="end"/>
      </w:r>
      <w:bookmarkEnd w:id="188"/>
      <w:r w:rsidRPr="00CC6CA3">
        <w:t xml:space="preserve"> Discharge pressure of a pump before pre-processing, (a) raw data, (b) histogram of the raw data.</w:t>
      </w:r>
      <w:bookmarkEnd w:id="189"/>
    </w:p>
    <w:p w14:paraId="00018E18" w14:textId="77777777" w:rsidR="005803DC" w:rsidRPr="00CC6CA3" w:rsidRDefault="005803DC" w:rsidP="005803DC">
      <w:pPr>
        <w:keepNext/>
        <w:jc w:val="center"/>
      </w:pPr>
      <w:r w:rsidRPr="00CC6CA3">
        <w:object w:dxaOrig="9205" w:dyaOrig="4560" w14:anchorId="3CF4EAD7">
          <v:shape id="_x0000_i1035" type="#_x0000_t75" style="width:366pt;height:180pt" o:ole="">
            <v:imagedata r:id="rId50" o:title=""/>
          </v:shape>
          <o:OLEObject Type="Embed" ProgID="Visio.Drawing.15" ShapeID="_x0000_i1035" DrawAspect="Content" ObjectID="_1692500314" r:id="rId51"/>
        </w:object>
      </w:r>
    </w:p>
    <w:p w14:paraId="56B4DBC0" w14:textId="2274E54F" w:rsidR="005803DC" w:rsidRPr="00CC6CA3" w:rsidRDefault="005803DC" w:rsidP="005803DC">
      <w:pPr>
        <w:pStyle w:val="Caption"/>
        <w:jc w:val="center"/>
      </w:pPr>
      <w:bookmarkStart w:id="190" w:name="_Ref62550926"/>
      <w:bookmarkStart w:id="191" w:name="_Toc8155334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w:t>
      </w:r>
      <w:r w:rsidR="00D62691" w:rsidRPr="00CC6CA3">
        <w:rPr>
          <w:noProof/>
        </w:rPr>
        <w:fldChar w:fldCharType="end"/>
      </w:r>
      <w:bookmarkEnd w:id="190"/>
      <w:r w:rsidRPr="00CC6CA3">
        <w:t xml:space="preserve"> Discharge temperature of a pump before pre-processing, (a) raw data, (b) histogram of the raw data.</w:t>
      </w:r>
      <w:bookmarkEnd w:id="191"/>
    </w:p>
    <w:p w14:paraId="735F34F5" w14:textId="6822314A" w:rsidR="005803DC" w:rsidRPr="00CC6CA3" w:rsidRDefault="005803DC" w:rsidP="005803DC">
      <w:pPr>
        <w:rPr>
          <w:rFonts w:cs="Times New Roman"/>
          <w:szCs w:val="24"/>
        </w:rPr>
      </w:pPr>
      <w:r w:rsidRPr="00CC6CA3">
        <w:lastRenderedPageBreak/>
        <w:t xml:space="preserve">It can be seen from </w:t>
      </w:r>
      <w:r w:rsidRPr="00CC6CA3">
        <w:rPr>
          <w:rFonts w:cs="Times New Roman"/>
          <w:szCs w:val="24"/>
        </w:rPr>
        <w:fldChar w:fldCharType="begin"/>
      </w:r>
      <w:r w:rsidRPr="00CC6CA3">
        <w:rPr>
          <w:rFonts w:cs="Times New Roman"/>
          <w:szCs w:val="24"/>
        </w:rPr>
        <w:instrText xml:space="preserve"> REF _Ref15747742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3</w:t>
      </w:r>
      <w:r w:rsidRPr="00CC6CA3">
        <w:rPr>
          <w:rFonts w:cs="Times New Roman"/>
          <w:szCs w:val="24"/>
        </w:rPr>
        <w:fldChar w:fldCharType="end"/>
      </w:r>
      <w:r w:rsidRPr="00CC6CA3">
        <w:rPr>
          <w:rFonts w:cs="Times New Roman"/>
          <w:szCs w:val="24"/>
        </w:rPr>
        <w:t xml:space="preserve"> to </w:t>
      </w:r>
      <w:r w:rsidRPr="00CC6CA3">
        <w:rPr>
          <w:rFonts w:cs="Times New Roman"/>
          <w:szCs w:val="24"/>
        </w:rPr>
        <w:fldChar w:fldCharType="begin"/>
      </w:r>
      <w:r w:rsidRPr="00CC6CA3">
        <w:rPr>
          <w:rFonts w:cs="Times New Roman"/>
          <w:szCs w:val="24"/>
        </w:rPr>
        <w:instrText xml:space="preserve"> REF _Ref62550926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5</w:t>
      </w:r>
      <w:r w:rsidRPr="00CC6CA3">
        <w:rPr>
          <w:rFonts w:cs="Times New Roman"/>
          <w:szCs w:val="24"/>
        </w:rPr>
        <w:fldChar w:fldCharType="end"/>
      </w:r>
      <w:r w:rsidRPr="00CC6CA3">
        <w:rPr>
          <w:rFonts w:cs="Times New Roman"/>
          <w:szCs w:val="24"/>
        </w:rPr>
        <w:t xml:space="preserve"> that, the available datasets were discontinuous because of outliers and downtimes. In addition, </w:t>
      </w:r>
      <w:proofErr w:type="gramStart"/>
      <w:r w:rsidRPr="00CC6CA3">
        <w:rPr>
          <w:rFonts w:cs="Times New Roman"/>
          <w:szCs w:val="24"/>
        </w:rPr>
        <w:t>it is clear that the</w:t>
      </w:r>
      <w:proofErr w:type="gramEnd"/>
      <w:r w:rsidRPr="00CC6CA3">
        <w:rPr>
          <w:rFonts w:cs="Times New Roman"/>
          <w:szCs w:val="24"/>
        </w:rPr>
        <w:t xml:space="preserve"> discharge temperature sensor had a failure from Sep 2015 to Apr 2016, with discharge temperature stayed at 40 </w:t>
      </w:r>
      <w:r w:rsidR="005C4F54" w:rsidRPr="00CC6CA3">
        <w:rPr>
          <w:rFonts w:cs="Times New Roman"/>
          <w:szCs w:val="24"/>
        </w:rPr>
        <w:t>Centigrade, much higher than normal and with no change at all.</w:t>
      </w:r>
      <w:r w:rsidRPr="00CC6CA3">
        <w:rPr>
          <w:rFonts w:cs="Times New Roman"/>
          <w:szCs w:val="24"/>
        </w:rPr>
        <w:t xml:space="preserve"> </w:t>
      </w:r>
    </w:p>
    <w:p w14:paraId="267F8B66" w14:textId="573CBEC9" w:rsidR="005803DC" w:rsidRPr="00CC6CA3" w:rsidRDefault="00B9592E" w:rsidP="005803DC">
      <w:pPr>
        <w:keepNext/>
        <w:spacing w:before="120"/>
        <w:jc w:val="center"/>
      </w:pPr>
      <w:bookmarkStart w:id="192" w:name="_Hlk80163932"/>
      <w:r w:rsidRPr="00CC6CA3">
        <w:rPr>
          <w:noProof/>
        </w:rPr>
        <w:t xml:space="preserve"> </w:t>
      </w:r>
      <w:r w:rsidRPr="00CC6CA3">
        <w:rPr>
          <w:noProof/>
        </w:rPr>
        <w:drawing>
          <wp:inline distT="0" distB="0" distL="0" distR="0" wp14:anchorId="54B02172" wp14:editId="2E675202">
            <wp:extent cx="4859446" cy="1620000"/>
            <wp:effectExtent l="0" t="0" r="0" b="0"/>
            <wp:docPr id="32" name="Picture 8">
              <a:extLst xmlns:a="http://schemas.openxmlformats.org/drawingml/2006/main">
                <a:ext uri="{FF2B5EF4-FFF2-40B4-BE49-F238E27FC236}">
                  <a16:creationId xmlns:a16="http://schemas.microsoft.com/office/drawing/2014/main" id="{72DFAF02-EDD5-4691-90A0-4F24A4A0F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2DFAF02-EDD5-4691-90A0-4F24A4A0FBDF}"/>
                        </a:ext>
                      </a:extLst>
                    </pic:cNvPr>
                    <pic:cNvPicPr>
                      <a:picLocks noChangeAspect="1"/>
                    </pic:cNvPicPr>
                  </pic:nvPicPr>
                  <pic:blipFill>
                    <a:blip r:embed="rId52"/>
                    <a:stretch>
                      <a:fillRect/>
                    </a:stretch>
                  </pic:blipFill>
                  <pic:spPr>
                    <a:xfrm>
                      <a:off x="0" y="0"/>
                      <a:ext cx="4859446" cy="1620000"/>
                    </a:xfrm>
                    <a:prstGeom prst="rect">
                      <a:avLst/>
                    </a:prstGeom>
                  </pic:spPr>
                </pic:pic>
              </a:graphicData>
            </a:graphic>
          </wp:inline>
        </w:drawing>
      </w:r>
    </w:p>
    <w:p w14:paraId="06138D38" w14:textId="61501400" w:rsidR="005803DC" w:rsidRPr="00CC6CA3" w:rsidRDefault="005803DC" w:rsidP="005803DC">
      <w:pPr>
        <w:pStyle w:val="Caption"/>
        <w:jc w:val="center"/>
      </w:pPr>
      <w:bookmarkStart w:id="193" w:name="_Ref80156512"/>
      <w:bookmarkStart w:id="194" w:name="_Ref15748821"/>
      <w:bookmarkStart w:id="195" w:name="_Toc81553348"/>
      <w:r w:rsidRPr="00CC6CA3">
        <w:t xml:space="preserve">Figure </w:t>
      </w:r>
      <w:fldSimple w:instr=" STYLEREF 1 \s ">
        <w:r w:rsidR="001906D9" w:rsidRPr="00CC6CA3">
          <w:rPr>
            <w:noProof/>
          </w:rPr>
          <w:t>3</w:t>
        </w:r>
      </w:fldSimple>
      <w:r w:rsidR="00FB19C9" w:rsidRPr="00CC6CA3">
        <w:t>.</w:t>
      </w:r>
      <w:fldSimple w:instr=" SEQ Figure \* ARABIC \s 1 ">
        <w:r w:rsidR="001906D9" w:rsidRPr="00CC6CA3">
          <w:rPr>
            <w:noProof/>
          </w:rPr>
          <w:t>6</w:t>
        </w:r>
      </w:fldSimple>
      <w:bookmarkEnd w:id="193"/>
      <w:bookmarkEnd w:id="194"/>
      <w:r w:rsidRPr="00CC6CA3">
        <w:t xml:space="preserve"> </w:t>
      </w:r>
      <w:r w:rsidR="00B9592E" w:rsidRPr="00CC6CA3">
        <w:t>Correlation between actual flow and shaft speed</w:t>
      </w:r>
      <w:r w:rsidR="00B9592E" w:rsidRPr="00CC6CA3" w:rsidDel="00B9592E">
        <w:t xml:space="preserve"> </w:t>
      </w:r>
      <w:r w:rsidRPr="00CC6CA3">
        <w:t>before data pre-processing</w:t>
      </w:r>
      <w:bookmarkEnd w:id="195"/>
    </w:p>
    <w:p w14:paraId="1AA99655" w14:textId="7AF81D50" w:rsidR="00B9592E" w:rsidRPr="00CC6CA3" w:rsidRDefault="00FB19C9">
      <w:pPr>
        <w:keepNext/>
        <w:jc w:val="center"/>
      </w:pPr>
      <w:r w:rsidRPr="00CC6CA3">
        <w:rPr>
          <w:noProof/>
        </w:rPr>
        <w:drawing>
          <wp:inline distT="0" distB="0" distL="0" distR="0" wp14:anchorId="42962D01" wp14:editId="44E991C5">
            <wp:extent cx="4871115" cy="16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71115" cy="1620000"/>
                    </a:xfrm>
                    <a:prstGeom prst="rect">
                      <a:avLst/>
                    </a:prstGeom>
                    <a:noFill/>
                    <a:ln>
                      <a:noFill/>
                    </a:ln>
                  </pic:spPr>
                </pic:pic>
              </a:graphicData>
            </a:graphic>
          </wp:inline>
        </w:drawing>
      </w:r>
    </w:p>
    <w:p w14:paraId="2182DB40" w14:textId="3793F5E9" w:rsidR="00B9592E" w:rsidRPr="00CC6CA3" w:rsidRDefault="00B9592E">
      <w:pPr>
        <w:pStyle w:val="Caption"/>
        <w:jc w:val="center"/>
      </w:pPr>
      <w:bookmarkStart w:id="196" w:name="_Ref80156519"/>
      <w:bookmarkStart w:id="197" w:name="_Toc81553349"/>
      <w:r w:rsidRPr="00CC6CA3">
        <w:t xml:space="preserve">Figure </w:t>
      </w:r>
      <w:fldSimple w:instr=" STYLEREF 1 \s ">
        <w:r w:rsidR="001906D9" w:rsidRPr="00CC6CA3">
          <w:rPr>
            <w:noProof/>
          </w:rPr>
          <w:t>3</w:t>
        </w:r>
      </w:fldSimple>
      <w:r w:rsidR="00FB19C9" w:rsidRPr="00CC6CA3">
        <w:t>.</w:t>
      </w:r>
      <w:fldSimple w:instr=" SEQ Figure \* ARABIC \s 1 ">
        <w:r w:rsidR="001906D9" w:rsidRPr="00CC6CA3">
          <w:rPr>
            <w:noProof/>
          </w:rPr>
          <w:t>7</w:t>
        </w:r>
      </w:fldSimple>
      <w:bookmarkEnd w:id="196"/>
      <w:r w:rsidRPr="00CC6CA3">
        <w:t xml:space="preserve"> Correlation between overall vibration X1 and Y1 of bearing 1 before data pre-processing</w:t>
      </w:r>
      <w:bookmarkEnd w:id="197"/>
    </w:p>
    <w:bookmarkEnd w:id="192"/>
    <w:p w14:paraId="371D438F" w14:textId="120FEF05" w:rsidR="005803DC" w:rsidRPr="00CC6CA3" w:rsidRDefault="00C759AD" w:rsidP="005803DC">
      <w:pPr>
        <w:spacing w:before="120"/>
        <w:rPr>
          <w:rFonts w:cs="Times New Roman"/>
          <w:szCs w:val="24"/>
        </w:rPr>
      </w:pPr>
      <w:r w:rsidRPr="00CC6CA3">
        <w:t xml:space="preserve">The </w:t>
      </w:r>
      <w:r w:rsidRPr="00CC6CA3">
        <w:rPr>
          <w:rFonts w:cs="Times New Roman"/>
          <w:szCs w:val="24"/>
        </w:rPr>
        <w:t xml:space="preserve">presence of outliers in the original data set can lead to inflated error rates and substantial distortions of parameter and statistic estimates when using either parametric or nonparametric tests </w:t>
      </w:r>
      <w:r w:rsidR="005803DC" w:rsidRPr="00CC6CA3">
        <w:rPr>
          <w:rFonts w:cs="Times New Roman"/>
          <w:szCs w:val="24"/>
        </w:rPr>
        <w:fldChar w:fldCharType="begin"/>
      </w:r>
      <w:r w:rsidR="007D1BCC" w:rsidRPr="00CC6CA3">
        <w:rPr>
          <w:rFonts w:cs="Times New Roman"/>
          <w:szCs w:val="24"/>
        </w:rPr>
        <w:instrText xml:space="preserve"> ADDIN ZOTERO_ITEM CSL_CITATION {"citationID":"JxKuLIi1","properties":{"formattedCitation":"[135]","plainCitation":"[135]","noteIndex":0},"citationItems":[{"id":786,"uris":["http://zotero.org/users/3051968/items/Z59GHY5K"],"uri":["http://zotero.org/users/3051968/items/Z59GHY5K"],"itemData":{"id":786,"type":"article-journal","container-title":"Practical Assessment, Research, and Evaluation","issue":"1","page":"6","source":"Google Scholar","title":"The power of outliers (and why researchers should always check for them)","volume":"9","author":[{"family":"Osborne","given":"Jason W."},{"family":"Overbay","given":"Amy"}],"issued":{"date-parts":[["2004"]]}}}],"schema":"https://github.com/citation-style-language/schema/raw/master/csl-citation.json"} </w:instrText>
      </w:r>
      <w:r w:rsidR="005803DC" w:rsidRPr="00CC6CA3">
        <w:rPr>
          <w:rFonts w:cs="Times New Roman"/>
          <w:szCs w:val="24"/>
        </w:rPr>
        <w:fldChar w:fldCharType="separate"/>
      </w:r>
      <w:r w:rsidR="007D1BCC" w:rsidRPr="00CC6CA3">
        <w:rPr>
          <w:rFonts w:cs="Times New Roman"/>
        </w:rPr>
        <w:t>[135]</w:t>
      </w:r>
      <w:r w:rsidR="005803DC" w:rsidRPr="00CC6CA3">
        <w:rPr>
          <w:rFonts w:cs="Times New Roman"/>
          <w:szCs w:val="24"/>
        </w:rPr>
        <w:fldChar w:fldCharType="end"/>
      </w:r>
      <w:r w:rsidR="005803DC" w:rsidRPr="00CC6CA3">
        <w:rPr>
          <w:rFonts w:cs="Times New Roman"/>
          <w:szCs w:val="24"/>
        </w:rPr>
        <w:t xml:space="preserve">. </w:t>
      </w:r>
      <w:r w:rsidRPr="00CC6CA3">
        <w:rPr>
          <w:rFonts w:cs="Times New Roman"/>
          <w:szCs w:val="24"/>
        </w:rPr>
        <w:t>As an example, the</w:t>
      </w:r>
      <w:r w:rsidRPr="00CC6CA3">
        <w:t xml:space="preserve"> correlation between actual flow and shaft speed and </w:t>
      </w:r>
      <w:r w:rsidRPr="00CC6CA3">
        <w:rPr>
          <w:rFonts w:cs="Times New Roman"/>
          <w:szCs w:val="24"/>
        </w:rPr>
        <w:t>the</w:t>
      </w:r>
      <w:r w:rsidRPr="00CC6CA3">
        <w:t xml:space="preserve"> correlation between some of the bearing measurements before data pre-processing were calculated using Matlab software</w:t>
      </w:r>
      <w:r w:rsidR="005803DC" w:rsidRPr="00CC6CA3">
        <w:t xml:space="preserve">, shown in </w:t>
      </w:r>
      <w:r w:rsidR="00B9592E" w:rsidRPr="00CC6CA3">
        <w:fldChar w:fldCharType="begin"/>
      </w:r>
      <w:r w:rsidR="00B9592E" w:rsidRPr="00CC6CA3">
        <w:instrText xml:space="preserve"> REF _Ref80156512 \h </w:instrText>
      </w:r>
      <w:r w:rsidR="00951E99" w:rsidRPr="00CC6CA3">
        <w:instrText xml:space="preserve"> \* MERGEFORMAT </w:instrText>
      </w:r>
      <w:r w:rsidR="00B9592E" w:rsidRPr="00CC6CA3">
        <w:fldChar w:fldCharType="separate"/>
      </w:r>
      <w:r w:rsidR="001906D9" w:rsidRPr="00CC6CA3">
        <w:t xml:space="preserve">Figure </w:t>
      </w:r>
      <w:r w:rsidR="001906D9" w:rsidRPr="00CC6CA3">
        <w:rPr>
          <w:noProof/>
        </w:rPr>
        <w:t>3.6</w:t>
      </w:r>
      <w:r w:rsidR="00B9592E" w:rsidRPr="00CC6CA3">
        <w:fldChar w:fldCharType="end"/>
      </w:r>
      <w:r w:rsidR="00B9592E" w:rsidRPr="00CC6CA3">
        <w:t xml:space="preserve"> </w:t>
      </w:r>
      <w:r w:rsidR="005803DC" w:rsidRPr="00CC6CA3">
        <w:t xml:space="preserve">and </w:t>
      </w:r>
      <w:r w:rsidR="00B9592E" w:rsidRPr="00CC6CA3">
        <w:fldChar w:fldCharType="begin"/>
      </w:r>
      <w:r w:rsidR="00B9592E" w:rsidRPr="00CC6CA3">
        <w:instrText xml:space="preserve"> REF _Ref80156519 \h </w:instrText>
      </w:r>
      <w:r w:rsidR="00951E99" w:rsidRPr="00CC6CA3">
        <w:instrText xml:space="preserve"> \* MERGEFORMAT </w:instrText>
      </w:r>
      <w:r w:rsidR="00B9592E" w:rsidRPr="00CC6CA3">
        <w:fldChar w:fldCharType="separate"/>
      </w:r>
      <w:r w:rsidR="001906D9" w:rsidRPr="00CC6CA3">
        <w:t xml:space="preserve">Figure </w:t>
      </w:r>
      <w:r w:rsidR="001906D9" w:rsidRPr="00CC6CA3">
        <w:rPr>
          <w:noProof/>
        </w:rPr>
        <w:t>3.7</w:t>
      </w:r>
      <w:r w:rsidR="00B9592E" w:rsidRPr="00CC6CA3">
        <w:fldChar w:fldCharType="end"/>
      </w:r>
      <w:r w:rsidR="005803DC" w:rsidRPr="00CC6CA3">
        <w:t xml:space="preserve">, respectively. </w:t>
      </w:r>
      <w:r w:rsidR="0090400E" w:rsidRPr="00CC6CA3">
        <w:t>As can be seen in the figure, t</w:t>
      </w:r>
      <w:r w:rsidR="005803DC" w:rsidRPr="00CC6CA3">
        <w:t xml:space="preserve">he correlation values were calculated as 'NaN' (shown as errors in the title), due to missing values in the original dataset. </w:t>
      </w:r>
    </w:p>
    <w:p w14:paraId="78B590D9" w14:textId="77777777" w:rsidR="005803DC" w:rsidRPr="00CC6CA3" w:rsidRDefault="005803DC" w:rsidP="005803DC">
      <w:pPr>
        <w:pStyle w:val="Heading4"/>
      </w:pPr>
      <w:bookmarkStart w:id="198" w:name="_Hlk32663316"/>
      <w:bookmarkEnd w:id="182"/>
      <w:r w:rsidRPr="00CC6CA3">
        <w:t xml:space="preserve">Missing data </w:t>
      </w:r>
    </w:p>
    <w:p w14:paraId="6882D51B" w14:textId="3698CF97" w:rsidR="005803DC" w:rsidRPr="00CC6CA3" w:rsidRDefault="005803DC" w:rsidP="005803DC">
      <w:pPr>
        <w:spacing w:before="120"/>
        <w:rPr>
          <w:rFonts w:cs="Times New Roman"/>
          <w:szCs w:val="24"/>
        </w:rPr>
      </w:pPr>
      <w:r w:rsidRPr="00CC6CA3">
        <w:rPr>
          <w:rFonts w:cs="Times New Roman"/>
          <w:szCs w:val="24"/>
        </w:rPr>
        <w:t xml:space="preserve">In the pump data set, from </w:t>
      </w:r>
      <w:r w:rsidRPr="00CC6CA3">
        <w:rPr>
          <w:rFonts w:cs="Times New Roman" w:hint="eastAsia"/>
          <w:szCs w:val="24"/>
        </w:rPr>
        <w:t>18</w:t>
      </w:r>
      <w:r w:rsidRPr="00CC6CA3">
        <w:rPr>
          <w:rFonts w:cs="Times New Roman"/>
          <w:szCs w:val="24"/>
          <w:vertAlign w:val="superscript"/>
        </w:rPr>
        <w:t>th</w:t>
      </w:r>
      <w:r w:rsidRPr="00CC6CA3">
        <w:rPr>
          <w:rFonts w:cs="Times New Roman"/>
          <w:szCs w:val="24"/>
        </w:rPr>
        <w:t xml:space="preserve"> Sep </w:t>
      </w:r>
      <w:r w:rsidRPr="00CC6CA3">
        <w:rPr>
          <w:rFonts w:cs="Times New Roman" w:hint="eastAsia"/>
          <w:szCs w:val="24"/>
        </w:rPr>
        <w:t>2012</w:t>
      </w:r>
      <w:r w:rsidRPr="00CC6CA3">
        <w:rPr>
          <w:rFonts w:cs="Times New Roman"/>
          <w:szCs w:val="24"/>
        </w:rPr>
        <w:t xml:space="preserve"> </w:t>
      </w:r>
      <w:r w:rsidRPr="00CC6CA3">
        <w:rPr>
          <w:rFonts w:cs="Times New Roman" w:hint="eastAsia"/>
          <w:szCs w:val="24"/>
        </w:rPr>
        <w:t>t</w:t>
      </w:r>
      <w:r w:rsidRPr="00CC6CA3">
        <w:rPr>
          <w:rFonts w:cs="Times New Roman"/>
          <w:szCs w:val="24"/>
        </w:rPr>
        <w:t>o 8</w:t>
      </w:r>
      <w:r w:rsidRPr="00CC6CA3">
        <w:rPr>
          <w:rFonts w:cs="Times New Roman"/>
          <w:szCs w:val="24"/>
          <w:vertAlign w:val="superscript"/>
        </w:rPr>
        <w:t>th</w:t>
      </w:r>
      <w:r w:rsidRPr="00CC6CA3">
        <w:rPr>
          <w:rFonts w:cs="Times New Roman"/>
          <w:szCs w:val="24"/>
        </w:rPr>
        <w:t xml:space="preserve"> Sep </w:t>
      </w:r>
      <w:r w:rsidRPr="00CC6CA3">
        <w:rPr>
          <w:rFonts w:cs="Times New Roman" w:hint="eastAsia"/>
          <w:szCs w:val="24"/>
        </w:rPr>
        <w:t>201</w:t>
      </w:r>
      <w:r w:rsidRPr="00CC6CA3">
        <w:rPr>
          <w:rFonts w:cs="Times New Roman"/>
          <w:szCs w:val="24"/>
        </w:rPr>
        <w:t>7, missing data existed in all measurements, and were recorded as 'Bad Input', 'Configure', 'I/O Timeout', 'No Data', and 'Scan Off' in the dataset.</w:t>
      </w:r>
      <w:r w:rsidRPr="00CC6CA3">
        <w:rPr>
          <w:rFonts w:cs="Times New Roman" w:hint="eastAsia"/>
          <w:szCs w:val="24"/>
        </w:rPr>
        <w:t xml:space="preserve"> </w:t>
      </w:r>
      <w:r w:rsidR="00693025" w:rsidRPr="00CC6CA3">
        <w:rPr>
          <w:rFonts w:cs="Times New Roman"/>
          <w:szCs w:val="24"/>
        </w:rPr>
        <w:t xml:space="preserve">A general overview of missing values in each measurement is </w:t>
      </w:r>
      <w:r w:rsidR="00693025" w:rsidRPr="00CC6CA3">
        <w:rPr>
          <w:rFonts w:cs="Times New Roman"/>
          <w:szCs w:val="24"/>
        </w:rPr>
        <w:lastRenderedPageBreak/>
        <w:t>presented in</w:t>
      </w:r>
      <w:r w:rsidRPr="00CC6CA3">
        <w:rPr>
          <w:rFonts w:cs="Times New Roman"/>
          <w:szCs w:val="24"/>
        </w:rPr>
        <w:t xml:space="preserve"> </w:t>
      </w:r>
      <w:r w:rsidRPr="00CC6CA3">
        <w:rPr>
          <w:rFonts w:cs="Times New Roman"/>
          <w:szCs w:val="24"/>
        </w:rPr>
        <w:fldChar w:fldCharType="begin"/>
      </w:r>
      <w:r w:rsidRPr="00CC6CA3">
        <w:rPr>
          <w:rFonts w:cs="Times New Roman"/>
          <w:szCs w:val="24"/>
        </w:rPr>
        <w:instrText xml:space="preserve"> REF _Ref531286213 \h  \* MERGEFORMAT </w:instrText>
      </w:r>
      <w:r w:rsidRPr="00CC6CA3">
        <w:rPr>
          <w:rFonts w:cs="Times New Roman"/>
          <w:szCs w:val="24"/>
        </w:rPr>
      </w:r>
      <w:r w:rsidRPr="00CC6CA3">
        <w:rPr>
          <w:rFonts w:cs="Times New Roman"/>
          <w:szCs w:val="24"/>
        </w:rPr>
        <w:fldChar w:fldCharType="separate"/>
      </w:r>
      <w:r w:rsidR="001906D9" w:rsidRPr="00CC6CA3">
        <w:rPr>
          <w:rFonts w:cs="Times New Roman"/>
          <w:szCs w:val="24"/>
        </w:rPr>
        <w:t>Figure 3.8</w:t>
      </w:r>
      <w:r w:rsidRPr="00CC6CA3">
        <w:rPr>
          <w:rFonts w:cs="Times New Roman"/>
          <w:szCs w:val="24"/>
        </w:rPr>
        <w:fldChar w:fldCharType="end"/>
      </w:r>
      <w:r w:rsidRPr="00CC6CA3">
        <w:rPr>
          <w:rFonts w:cs="Times New Roman"/>
          <w:szCs w:val="24"/>
        </w:rPr>
        <w:t xml:space="preserve">. </w:t>
      </w:r>
      <w:r w:rsidR="00693025" w:rsidRPr="00CC6CA3">
        <w:rPr>
          <w:rFonts w:cs="Times New Roman"/>
          <w:szCs w:val="24"/>
        </w:rPr>
        <w:t>As can be seen, sometimes all the variables were missing, which might be caused by a measurement system problem; sometimes, only a few variables were missing, which might be caused by communication problem with one sensor</w:t>
      </w:r>
      <w:r w:rsidR="00A714A5" w:rsidRPr="00CC6CA3">
        <w:rPr>
          <w:rFonts w:cs="Times New Roman"/>
          <w:szCs w:val="24"/>
        </w:rPr>
        <w:t xml:space="preserve"> or sensor problems</w:t>
      </w:r>
      <w:r w:rsidRPr="00CC6CA3">
        <w:rPr>
          <w:rFonts w:cs="Times New Roman"/>
          <w:szCs w:val="24"/>
        </w:rPr>
        <w:t>.</w:t>
      </w:r>
    </w:p>
    <w:p w14:paraId="7E366BCF" w14:textId="17973351" w:rsidR="005803DC" w:rsidRPr="00CC6CA3" w:rsidRDefault="00215C41" w:rsidP="005803DC">
      <w:pPr>
        <w:keepNext/>
        <w:jc w:val="center"/>
      </w:pPr>
      <w:bookmarkStart w:id="199" w:name="_Hlk80157683"/>
      <w:r w:rsidRPr="00CC6CA3">
        <w:rPr>
          <w:noProof/>
        </w:rPr>
        <w:drawing>
          <wp:inline distT="0" distB="0" distL="0" distR="0" wp14:anchorId="559350C7" wp14:editId="6B76D2E7">
            <wp:extent cx="5354413" cy="3600000"/>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54413" cy="3600000"/>
                    </a:xfrm>
                    <a:prstGeom prst="rect">
                      <a:avLst/>
                    </a:prstGeom>
                    <a:noFill/>
                  </pic:spPr>
                </pic:pic>
              </a:graphicData>
            </a:graphic>
          </wp:inline>
        </w:drawing>
      </w:r>
    </w:p>
    <w:p w14:paraId="21B49402" w14:textId="54099CD5" w:rsidR="00B9592E" w:rsidRPr="00CC6CA3" w:rsidRDefault="005803DC" w:rsidP="00240DAA">
      <w:pPr>
        <w:pStyle w:val="Caption"/>
        <w:jc w:val="center"/>
      </w:pPr>
      <w:bookmarkStart w:id="200" w:name="_Ref531286213"/>
      <w:bookmarkStart w:id="201" w:name="_Toc81553350"/>
      <w:bookmarkStart w:id="202" w:name="_Toc531538332"/>
      <w:r w:rsidRPr="00CC6CA3">
        <w:t xml:space="preserve">Figure </w:t>
      </w:r>
      <w:fldSimple w:instr=" STYLEREF 1 \s ">
        <w:r w:rsidR="001906D9" w:rsidRPr="00CC6CA3">
          <w:rPr>
            <w:noProof/>
          </w:rPr>
          <w:t>3</w:t>
        </w:r>
      </w:fldSimple>
      <w:r w:rsidR="00FB19C9" w:rsidRPr="00CC6CA3">
        <w:t>.</w:t>
      </w:r>
      <w:fldSimple w:instr=" SEQ Figure \* ARABIC \s 1 ">
        <w:r w:rsidR="001906D9" w:rsidRPr="00CC6CA3">
          <w:rPr>
            <w:noProof/>
          </w:rPr>
          <w:t>8</w:t>
        </w:r>
      </w:fldSimple>
      <w:bookmarkEnd w:id="200"/>
      <w:r w:rsidRPr="00CC6CA3">
        <w:t xml:space="preserve"> </w:t>
      </w:r>
      <w:r w:rsidR="00215C41" w:rsidRPr="00CC6CA3">
        <w:t xml:space="preserve">Missing </w:t>
      </w:r>
      <w:r w:rsidR="00215C41" w:rsidRPr="00CC6CA3">
        <w:rPr>
          <w:szCs w:val="20"/>
        </w:rPr>
        <w:t>data in each measurement of the pump (a) missing data in each measurement (b) number of missing data</w:t>
      </w:r>
      <w:bookmarkEnd w:id="201"/>
      <w:r w:rsidR="00215C41" w:rsidRPr="00CC6CA3" w:rsidDel="00215C41">
        <w:t xml:space="preserve"> </w:t>
      </w:r>
      <w:bookmarkStart w:id="203" w:name="_Hlk80157223"/>
      <w:bookmarkEnd w:id="199"/>
      <w:bookmarkEnd w:id="202"/>
    </w:p>
    <w:bookmarkEnd w:id="203"/>
    <w:p w14:paraId="1CE1BD22" w14:textId="77777777" w:rsidR="005803DC" w:rsidRPr="00CC6CA3" w:rsidRDefault="005803DC" w:rsidP="00FE17DF">
      <w:pPr>
        <w:rPr>
          <w:rFonts w:cs="Times New Roman"/>
          <w:szCs w:val="24"/>
        </w:rPr>
      </w:pPr>
      <w:r w:rsidRPr="00CC6CA3">
        <w:rPr>
          <w:rFonts w:cs="Times New Roman"/>
          <w:szCs w:val="24"/>
        </w:rPr>
        <w:t>The strategy for processing these data in the thesis is to remove the record that contains missing data. This simple strategy worked well for both data set</w:t>
      </w:r>
      <w:r w:rsidRPr="00CC6CA3">
        <w:rPr>
          <w:rFonts w:cs="Times New Roman" w:hint="eastAsia"/>
          <w:szCs w:val="24"/>
        </w:rPr>
        <w:t>s</w:t>
      </w:r>
      <w:r w:rsidRPr="00CC6CA3">
        <w:rPr>
          <w:rFonts w:cs="Times New Roman"/>
          <w:szCs w:val="24"/>
        </w:rPr>
        <w:t xml:space="preserve"> as the data set</w:t>
      </w:r>
      <w:r w:rsidRPr="00CC6CA3">
        <w:rPr>
          <w:rFonts w:cs="Times New Roman" w:hint="eastAsia"/>
          <w:szCs w:val="24"/>
        </w:rPr>
        <w:t>s</w:t>
      </w:r>
      <w:r w:rsidRPr="00CC6CA3">
        <w:rPr>
          <w:rFonts w:cs="Times New Roman"/>
          <w:szCs w:val="24"/>
        </w:rPr>
        <w:t xml:space="preserve"> applied in this thesis covered a sufficient </w:t>
      </w:r>
      <w:r w:rsidRPr="00CC6CA3">
        <w:t>length</w:t>
      </w:r>
      <w:r w:rsidRPr="00CC6CA3">
        <w:rPr>
          <w:rFonts w:cs="Times New Roman"/>
          <w:szCs w:val="24"/>
        </w:rPr>
        <w:t xml:space="preserve"> of the monitoring period and hence provided adequate training data to let us build the fault detection model.</w:t>
      </w:r>
    </w:p>
    <w:p w14:paraId="1B217129" w14:textId="77777777" w:rsidR="005803DC" w:rsidRPr="00CC6CA3" w:rsidRDefault="005803DC" w:rsidP="005803DC">
      <w:pPr>
        <w:pStyle w:val="Heading4"/>
      </w:pPr>
      <w:r w:rsidRPr="00CC6CA3">
        <w:t>Outliers</w:t>
      </w:r>
    </w:p>
    <w:p w14:paraId="6CFEE106" w14:textId="2117E8EE" w:rsidR="005803DC" w:rsidRPr="00CC6CA3" w:rsidRDefault="005959CD" w:rsidP="00FE17DF">
      <w:pPr>
        <w:rPr>
          <w:rFonts w:cs="Times New Roman"/>
          <w:szCs w:val="24"/>
        </w:rPr>
      </w:pPr>
      <w:r w:rsidRPr="00CC6CA3">
        <w:rPr>
          <w:rFonts w:cs="Times New Roman"/>
          <w:szCs w:val="24"/>
        </w:rPr>
        <w:t xml:space="preserve">Outliers can also cause </w:t>
      </w:r>
      <w:r w:rsidRPr="00CC6CA3">
        <w:t>various</w:t>
      </w:r>
      <w:r w:rsidRPr="00CC6CA3">
        <w:rPr>
          <w:rFonts w:cs="Times New Roman"/>
          <w:szCs w:val="24"/>
        </w:rPr>
        <w:t xml:space="preserve"> problems in statistical analyses. It is an observation that lies an abnormal distance from other values.</w:t>
      </w:r>
      <w:r w:rsidRPr="00CC6CA3">
        <w:t xml:space="preserve"> O</w:t>
      </w:r>
      <w:r w:rsidRPr="00CC6CA3">
        <w:rPr>
          <w:rFonts w:cs="Times New Roman"/>
          <w:szCs w:val="24"/>
        </w:rPr>
        <w:t xml:space="preserve">utliers can be caused by measurement error, a mixture of environmental noises, or it may indicate an incipient fault in a piece of equipment. The pattern of outliers in the shaft speed dataset can be seen in </w:t>
      </w:r>
      <w:r w:rsidR="005803DC" w:rsidRPr="00CC6CA3">
        <w:rPr>
          <w:rFonts w:cs="Times New Roman"/>
          <w:szCs w:val="24"/>
        </w:rPr>
        <w:fldChar w:fldCharType="begin"/>
      </w:r>
      <w:r w:rsidR="005803DC" w:rsidRPr="00CC6CA3">
        <w:rPr>
          <w:rFonts w:cs="Times New Roman"/>
          <w:szCs w:val="24"/>
        </w:rPr>
        <w:instrText xml:space="preserve"> REF _Ref529106187 \h </w:instrText>
      </w:r>
      <w:r w:rsidR="005803DC" w:rsidRPr="00CC6CA3">
        <w:rPr>
          <w:rFonts w:cs="Times New Roman"/>
          <w:szCs w:val="24"/>
        </w:rPr>
      </w:r>
      <w:r w:rsidR="005803DC"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9</w:t>
      </w:r>
      <w:r w:rsidR="005803DC" w:rsidRPr="00CC6CA3">
        <w:rPr>
          <w:rFonts w:cs="Times New Roman"/>
          <w:szCs w:val="24"/>
        </w:rPr>
        <w:fldChar w:fldCharType="end"/>
      </w:r>
      <w:r w:rsidR="005803DC" w:rsidRPr="00CC6CA3">
        <w:rPr>
          <w:rFonts w:cs="Times New Roman"/>
          <w:szCs w:val="24"/>
        </w:rPr>
        <w:t xml:space="preserve"> (a). </w:t>
      </w:r>
      <w:r w:rsidRPr="00CC6CA3">
        <w:rPr>
          <w:rFonts w:cs="Times New Roman"/>
          <w:szCs w:val="24"/>
        </w:rPr>
        <w:t>This type of outlier was common and existed though out the pump and compressor data sets</w:t>
      </w:r>
      <w:r w:rsidR="005803DC" w:rsidRPr="00CC6CA3">
        <w:rPr>
          <w:rFonts w:cs="Times New Roman"/>
          <w:szCs w:val="24"/>
        </w:rPr>
        <w:t>.</w:t>
      </w:r>
    </w:p>
    <w:p w14:paraId="090B86B0" w14:textId="77777777" w:rsidR="005803DC" w:rsidRPr="00CC6CA3" w:rsidRDefault="005803DC" w:rsidP="005803DC">
      <w:pPr>
        <w:keepNext/>
        <w:jc w:val="center"/>
      </w:pPr>
      <w:r w:rsidRPr="00CC6CA3">
        <w:object w:dxaOrig="14437" w:dyaOrig="5676" w14:anchorId="6F886C8C">
          <v:shape id="_x0000_i1036" type="#_x0000_t75" style="width:438pt;height:174pt" o:ole="">
            <v:imagedata r:id="rId55" o:title=""/>
          </v:shape>
          <o:OLEObject Type="Embed" ProgID="Visio.Drawing.15" ShapeID="_x0000_i1036" DrawAspect="Content" ObjectID="_1692500315" r:id="rId56"/>
        </w:object>
      </w:r>
    </w:p>
    <w:p w14:paraId="1A3AC9CF" w14:textId="7D6552D1" w:rsidR="005803DC" w:rsidRPr="00CC6CA3" w:rsidRDefault="005803DC" w:rsidP="005803DC">
      <w:pPr>
        <w:pStyle w:val="Caption"/>
        <w:jc w:val="center"/>
      </w:pPr>
      <w:bookmarkStart w:id="204" w:name="_Ref529106187"/>
      <w:bookmarkStart w:id="205" w:name="_Toc531538337"/>
      <w:bookmarkStart w:id="206" w:name="_Toc8155335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9</w:t>
      </w:r>
      <w:r w:rsidR="00D62691" w:rsidRPr="00CC6CA3">
        <w:rPr>
          <w:noProof/>
        </w:rPr>
        <w:fldChar w:fldCharType="end"/>
      </w:r>
      <w:bookmarkEnd w:id="204"/>
      <w:r w:rsidRPr="00CC6CA3">
        <w:t xml:space="preserve"> Patterns of outliers and downtime </w:t>
      </w:r>
      <w:r w:rsidRPr="00CC6CA3">
        <w:rPr>
          <w:rFonts w:hint="eastAsia"/>
        </w:rPr>
        <w:t>data</w:t>
      </w:r>
      <w:r w:rsidRPr="00CC6CA3">
        <w:t xml:space="preserve"> in original pump dataset</w:t>
      </w:r>
      <w:bookmarkEnd w:id="205"/>
      <w:r w:rsidRPr="00CC6CA3">
        <w:t xml:space="preserve"> (a) </w:t>
      </w:r>
      <w:r w:rsidR="00187C37" w:rsidRPr="00CC6CA3">
        <w:rPr>
          <w:szCs w:val="20"/>
        </w:rPr>
        <w:t>pa</w:t>
      </w:r>
      <w:r w:rsidR="00187C37" w:rsidRPr="00CC6CA3">
        <w:rPr>
          <w:rFonts w:cs="Times New Roman"/>
          <w:szCs w:val="28"/>
        </w:rPr>
        <w:t>ttern of outliers in shaft speed during Feb 2015 (b)</w:t>
      </w:r>
      <w:r w:rsidR="00187C37" w:rsidRPr="00CC6CA3">
        <w:rPr>
          <w:szCs w:val="20"/>
        </w:rPr>
        <w:t xml:space="preserve"> pa</w:t>
      </w:r>
      <w:r w:rsidR="00187C37" w:rsidRPr="00CC6CA3">
        <w:rPr>
          <w:rFonts w:cs="Times New Roman"/>
          <w:szCs w:val="28"/>
        </w:rPr>
        <w:t xml:space="preserve">ttern of </w:t>
      </w:r>
      <w:r w:rsidR="00187C37" w:rsidRPr="00CC6CA3">
        <w:rPr>
          <w:szCs w:val="20"/>
        </w:rPr>
        <w:t xml:space="preserve">downtimes </w:t>
      </w:r>
      <w:r w:rsidR="00187C37" w:rsidRPr="00CC6CA3">
        <w:rPr>
          <w:rFonts w:cs="Times New Roman"/>
          <w:szCs w:val="28"/>
        </w:rPr>
        <w:t>in the measured flow of the pump during Dec 2015</w:t>
      </w:r>
      <w:bookmarkEnd w:id="206"/>
    </w:p>
    <w:p w14:paraId="5C5CC2B2" w14:textId="69223762" w:rsidR="005803DC" w:rsidRPr="00CC6CA3" w:rsidRDefault="00187C37" w:rsidP="005803DC">
      <w:pPr>
        <w:spacing w:before="160"/>
        <w:rPr>
          <w:rFonts w:cs="Times New Roman"/>
          <w:szCs w:val="24"/>
        </w:rPr>
      </w:pPr>
      <w:r w:rsidRPr="00CC6CA3">
        <w:rPr>
          <w:rFonts w:cs="Times New Roman"/>
          <w:szCs w:val="24"/>
        </w:rPr>
        <w:t>In addition, there</w:t>
      </w:r>
      <w:r w:rsidRPr="00CC6CA3">
        <w:t xml:space="preserve"> were many sets of downtime data, which can have a negative impact on the training process of machine learning techniques. In the provided datasets, the downtimes were due to many reasons, i.e., measurements exceeded their thresholds, time-based maintenance, unplanned shutdowns, and equipment testing. An example of downtime and machine startup/shutdown data </w:t>
      </w:r>
      <w:r w:rsidRPr="00CC6CA3">
        <w:rPr>
          <w:rFonts w:cs="Times New Roman"/>
          <w:szCs w:val="24"/>
        </w:rPr>
        <w:t>pattern is shown in</w:t>
      </w:r>
      <w:r w:rsidR="005803DC" w:rsidRPr="00CC6CA3">
        <w:rPr>
          <w:rFonts w:cs="Times New Roman"/>
          <w:szCs w:val="24"/>
        </w:rPr>
        <w:t xml:space="preserve"> </w:t>
      </w:r>
      <w:r w:rsidR="005803DC" w:rsidRPr="00CC6CA3">
        <w:rPr>
          <w:rFonts w:cs="Times New Roman"/>
          <w:szCs w:val="24"/>
        </w:rPr>
        <w:fldChar w:fldCharType="begin"/>
      </w:r>
      <w:r w:rsidR="005803DC" w:rsidRPr="00CC6CA3">
        <w:rPr>
          <w:rFonts w:cs="Times New Roman"/>
          <w:szCs w:val="24"/>
        </w:rPr>
        <w:instrText xml:space="preserve"> REF _Ref529106187 \h </w:instrText>
      </w:r>
      <w:r w:rsidR="005803DC" w:rsidRPr="00CC6CA3">
        <w:rPr>
          <w:rFonts w:cs="Times New Roman"/>
          <w:szCs w:val="24"/>
        </w:rPr>
      </w:r>
      <w:r w:rsidR="005803DC"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9</w:t>
      </w:r>
      <w:r w:rsidR="005803DC" w:rsidRPr="00CC6CA3">
        <w:rPr>
          <w:rFonts w:cs="Times New Roman"/>
          <w:szCs w:val="24"/>
        </w:rPr>
        <w:fldChar w:fldCharType="end"/>
      </w:r>
      <w:r w:rsidR="005803DC" w:rsidRPr="00CC6CA3">
        <w:rPr>
          <w:rFonts w:cs="Times New Roman"/>
          <w:szCs w:val="24"/>
        </w:rPr>
        <w:t xml:space="preserve"> (b).</w:t>
      </w:r>
    </w:p>
    <w:p w14:paraId="6DA5FEDA" w14:textId="7F6F4EBE" w:rsidR="005803DC" w:rsidRPr="00CC6CA3" w:rsidRDefault="005803DC" w:rsidP="005803DC">
      <w:pPr>
        <w:spacing w:before="160"/>
        <w:rPr>
          <w:rFonts w:cs="Times New Roman"/>
          <w:szCs w:val="24"/>
        </w:rPr>
      </w:pPr>
      <w:r w:rsidRPr="00CC6CA3">
        <w:rPr>
          <w:rFonts w:cs="Times New Roman"/>
          <w:szCs w:val="24"/>
        </w:rPr>
        <w:t xml:space="preserve">By observation of </w:t>
      </w:r>
      <w:r w:rsidRPr="00CC6CA3">
        <w:rPr>
          <w:rFonts w:cs="Times New Roman"/>
          <w:szCs w:val="24"/>
        </w:rPr>
        <w:fldChar w:fldCharType="begin"/>
      </w:r>
      <w:r w:rsidRPr="00CC6CA3">
        <w:rPr>
          <w:rFonts w:cs="Times New Roman"/>
          <w:szCs w:val="24"/>
        </w:rPr>
        <w:instrText xml:space="preserve"> REF _Ref531286213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8</w:t>
      </w:r>
      <w:r w:rsidRPr="00CC6CA3">
        <w:rPr>
          <w:rFonts w:cs="Times New Roman"/>
          <w:szCs w:val="24"/>
        </w:rPr>
        <w:fldChar w:fldCharType="end"/>
      </w:r>
      <w:r w:rsidRPr="00CC6CA3">
        <w:rPr>
          <w:rFonts w:cs="Times New Roman"/>
          <w:szCs w:val="24"/>
        </w:rPr>
        <w:t xml:space="preserve">, </w:t>
      </w:r>
      <w:r w:rsidRPr="00CC6CA3">
        <w:rPr>
          <w:rFonts w:cs="Times New Roman"/>
          <w:szCs w:val="24"/>
        </w:rPr>
        <w:fldChar w:fldCharType="begin"/>
      </w:r>
      <w:r w:rsidRPr="00CC6CA3">
        <w:rPr>
          <w:rFonts w:cs="Times New Roman"/>
          <w:szCs w:val="24"/>
        </w:rPr>
        <w:instrText xml:space="preserve"> REF _Ref529106187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9</w:t>
      </w:r>
      <w:r w:rsidRPr="00CC6CA3">
        <w:rPr>
          <w:rFonts w:cs="Times New Roman"/>
          <w:szCs w:val="24"/>
        </w:rPr>
        <w:fldChar w:fldCharType="end"/>
      </w:r>
      <w:r w:rsidRPr="00CC6CA3">
        <w:rPr>
          <w:rFonts w:cs="Times New Roman"/>
          <w:szCs w:val="24"/>
        </w:rPr>
        <w:t xml:space="preserve"> (a) and (b), </w:t>
      </w:r>
      <w:r w:rsidR="00187C37" w:rsidRPr="00CC6CA3">
        <w:rPr>
          <w:rFonts w:cs="Times New Roman"/>
          <w:szCs w:val="24"/>
        </w:rPr>
        <w:t>the available dataset was mixed with missing data, outliers and downtime data, which resulted in discontinuous and inconsistent signals which can lead to inaccuracies in the machine learning models. Hence, data pre-processing is required to remove or replace bad or useless data. In the following sections, pre-processing rules to deal with missing data, outliers, and downtime data are introduced</w:t>
      </w:r>
      <w:r w:rsidRPr="00CC6CA3">
        <w:rPr>
          <w:rFonts w:cs="Times New Roman"/>
          <w:szCs w:val="24"/>
        </w:rPr>
        <w:t xml:space="preserve">. </w:t>
      </w:r>
    </w:p>
    <w:bookmarkEnd w:id="198"/>
    <w:p w14:paraId="142EE962" w14:textId="77777777" w:rsidR="005803DC" w:rsidRPr="00CC6CA3" w:rsidRDefault="005803DC" w:rsidP="005803DC">
      <w:pPr>
        <w:pStyle w:val="Heading4"/>
      </w:pPr>
      <w:r w:rsidRPr="00CC6CA3">
        <w:t>Data pre-processing strategy to obtain healthy training data</w:t>
      </w:r>
    </w:p>
    <w:p w14:paraId="66BC1590" w14:textId="77777777" w:rsidR="005803DC" w:rsidRPr="00CC6CA3" w:rsidRDefault="005803DC" w:rsidP="005803DC">
      <w:pPr>
        <w:spacing w:before="160"/>
      </w:pPr>
      <w:r w:rsidRPr="00CC6CA3">
        <w:t xml:space="preserve">The </w:t>
      </w:r>
      <w:r w:rsidRPr="00CC6CA3">
        <w:rPr>
          <w:rFonts w:cs="Times New Roman"/>
          <w:szCs w:val="24"/>
        </w:rPr>
        <w:t>extracted</w:t>
      </w:r>
      <w:r w:rsidRPr="00CC6CA3">
        <w:t xml:space="preserve"> raw data from the condition monitoring system cannot be used directly, as it often contains erroneous data or missing data due to communication system failure, sensors faults, </w:t>
      </w:r>
      <w:proofErr w:type="gramStart"/>
      <w:r w:rsidRPr="00CC6CA3">
        <w:t>maintenance</w:t>
      </w:r>
      <w:proofErr w:type="gramEnd"/>
      <w:r w:rsidRPr="00CC6CA3">
        <w:t xml:space="preserve"> and repair actions, etc. </w:t>
      </w:r>
      <w:proofErr w:type="gramStart"/>
      <w:r w:rsidRPr="00CC6CA3">
        <w:t>In order to</w:t>
      </w:r>
      <w:proofErr w:type="gramEnd"/>
      <w:r w:rsidRPr="00CC6CA3">
        <w:t xml:space="preserve"> obtain clean (error-free) data for further analysis and modelling, the following rules were utilized for data pre-processing: </w:t>
      </w:r>
    </w:p>
    <w:p w14:paraId="589421A8" w14:textId="2BB5967D" w:rsidR="005803DC" w:rsidRPr="00CC6CA3" w:rsidRDefault="005803DC" w:rsidP="005803DC">
      <w:pPr>
        <w:pStyle w:val="Body"/>
        <w:numPr>
          <w:ilvl w:val="0"/>
          <w:numId w:val="13"/>
        </w:numPr>
      </w:pPr>
      <w:bookmarkStart w:id="207" w:name="_Hlk47390291"/>
      <w:r w:rsidRPr="00CC6CA3">
        <w:t xml:space="preserve">Filter out all downtime data </w:t>
      </w:r>
      <w:bookmarkStart w:id="208" w:name="_Hlk47390307"/>
      <w:bookmarkEnd w:id="207"/>
      <w:r w:rsidRPr="00CC6CA3">
        <w:t xml:space="preserve">(shaft speed = 0 </w:t>
      </w:r>
      <m:oMath>
        <m:r>
          <w:rPr>
            <w:rFonts w:ascii="Cambria Math" w:hAnsi="Cambria Math" w:hint="eastAsia"/>
            <w:lang w:eastAsia="zh-CN"/>
          </w:rPr>
          <m:t>rpm</m:t>
        </m:r>
      </m:oMath>
      <w:r w:rsidRPr="00CC6CA3">
        <w:t xml:space="preserve">) </w:t>
      </w:r>
      <w:bookmarkEnd w:id="208"/>
      <w:r w:rsidRPr="00CC6CA3">
        <w:t>as shown in</w:t>
      </w:r>
      <w:r w:rsidRPr="00CC6CA3">
        <w:rPr>
          <w:rFonts w:cs="Times New Roman"/>
          <w:szCs w:val="24"/>
        </w:rPr>
        <w:t xml:space="preserve"> </w:t>
      </w:r>
      <w:r w:rsidRPr="00CC6CA3">
        <w:rPr>
          <w:rFonts w:cs="Times New Roman"/>
          <w:szCs w:val="24"/>
        </w:rPr>
        <w:fldChar w:fldCharType="begin"/>
      </w:r>
      <w:r w:rsidRPr="00CC6CA3">
        <w:rPr>
          <w:rFonts w:cs="Times New Roman"/>
          <w:szCs w:val="24"/>
        </w:rPr>
        <w:instrText xml:space="preserve"> REF _Ref529106187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9</w:t>
      </w:r>
      <w:r w:rsidRPr="00CC6CA3">
        <w:rPr>
          <w:rFonts w:cs="Times New Roman"/>
          <w:szCs w:val="24"/>
        </w:rPr>
        <w:fldChar w:fldCharType="end"/>
      </w:r>
      <w:r w:rsidRPr="00CC6CA3">
        <w:rPr>
          <w:rFonts w:cs="Times New Roman"/>
          <w:szCs w:val="24"/>
        </w:rPr>
        <w:t xml:space="preserve"> (b)</w:t>
      </w:r>
      <w:r w:rsidRPr="00CC6CA3">
        <w:t>.</w:t>
      </w:r>
    </w:p>
    <w:p w14:paraId="45DC1CE5" w14:textId="42101E8B" w:rsidR="005803DC" w:rsidRPr="00CC6CA3" w:rsidRDefault="005803DC" w:rsidP="005803DC">
      <w:pPr>
        <w:pStyle w:val="Body"/>
        <w:numPr>
          <w:ilvl w:val="0"/>
          <w:numId w:val="13"/>
        </w:numPr>
      </w:pPr>
      <w:bookmarkStart w:id="209" w:name="_Hlk47390322"/>
      <w:r w:rsidRPr="00CC6CA3">
        <w:t>Filter out all data vectors where one or more parameters have a value higher</w:t>
      </w:r>
      <w:r w:rsidR="00324404" w:rsidRPr="00CC6CA3">
        <w:t xml:space="preserve"> or lower</w:t>
      </w:r>
      <w:r w:rsidRPr="00CC6CA3">
        <w:t xml:space="preserve"> than a predefined threshold</w:t>
      </w:r>
      <w:bookmarkEnd w:id="209"/>
      <w:r w:rsidRPr="00CC6CA3">
        <w:t xml:space="preserve">. </w:t>
      </w:r>
    </w:p>
    <w:p w14:paraId="284D687E" w14:textId="31195972" w:rsidR="005803DC" w:rsidRPr="00CC6CA3" w:rsidRDefault="005E4298" w:rsidP="005803DC">
      <w:pPr>
        <w:pStyle w:val="Body"/>
        <w:ind w:left="720"/>
      </w:pPr>
      <w:r w:rsidRPr="00CC6CA3">
        <w:t>The aim of this step is to delete the start-up and shut-down data</w:t>
      </w:r>
      <w:r w:rsidR="005803DC" w:rsidRPr="00CC6CA3">
        <w:t xml:space="preserve"> (see</w:t>
      </w:r>
      <w:r w:rsidR="005803DC" w:rsidRPr="00CC6CA3">
        <w:rPr>
          <w:rFonts w:cs="Times New Roman"/>
          <w:szCs w:val="24"/>
        </w:rPr>
        <w:t xml:space="preserve"> </w:t>
      </w:r>
      <w:r w:rsidR="005803DC" w:rsidRPr="00CC6CA3">
        <w:rPr>
          <w:rFonts w:cs="Times New Roman"/>
          <w:szCs w:val="24"/>
        </w:rPr>
        <w:fldChar w:fldCharType="begin"/>
      </w:r>
      <w:r w:rsidR="005803DC" w:rsidRPr="00CC6CA3">
        <w:rPr>
          <w:rFonts w:cs="Times New Roman"/>
          <w:szCs w:val="24"/>
        </w:rPr>
        <w:instrText xml:space="preserve"> REF _Ref529106187 \h </w:instrText>
      </w:r>
      <w:r w:rsidR="005803DC" w:rsidRPr="00CC6CA3">
        <w:rPr>
          <w:rFonts w:cs="Times New Roman"/>
          <w:szCs w:val="24"/>
        </w:rPr>
      </w:r>
      <w:r w:rsidR="005803DC"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9</w:t>
      </w:r>
      <w:r w:rsidR="005803DC" w:rsidRPr="00CC6CA3">
        <w:rPr>
          <w:rFonts w:cs="Times New Roman"/>
          <w:szCs w:val="24"/>
        </w:rPr>
        <w:fldChar w:fldCharType="end"/>
      </w:r>
      <w:r w:rsidR="005803DC" w:rsidRPr="00CC6CA3">
        <w:rPr>
          <w:rFonts w:cs="Times New Roman"/>
          <w:szCs w:val="24"/>
        </w:rPr>
        <w:t xml:space="preserve"> (b)</w:t>
      </w:r>
      <w:r w:rsidR="005803DC" w:rsidRPr="00CC6CA3">
        <w:t xml:space="preserve">), </w:t>
      </w:r>
      <w:r w:rsidRPr="00CC6CA3">
        <w:t>and some errors in the recorded data</w:t>
      </w:r>
      <w:r w:rsidR="005803DC" w:rsidRPr="00CC6CA3">
        <w:t>.</w:t>
      </w:r>
    </w:p>
    <w:p w14:paraId="3CAE6172" w14:textId="5B97D209" w:rsidR="005803DC" w:rsidRPr="00CC6CA3" w:rsidRDefault="005803DC" w:rsidP="005803DC">
      <w:pPr>
        <w:pStyle w:val="Body"/>
        <w:ind w:left="720"/>
      </w:pPr>
      <w:r w:rsidRPr="00CC6CA3">
        <w:lastRenderedPageBreak/>
        <w:t xml:space="preserve">In this thesis, the threshold values were decided based on the manufacturer specifications. </w:t>
      </w:r>
      <w:r w:rsidR="005E4298" w:rsidRPr="00CC6CA3">
        <w:t xml:space="preserve">Taking the pump data </w:t>
      </w:r>
      <w:r w:rsidRPr="00CC6CA3">
        <w:t xml:space="preserve">as an example; the upper and lower thresholds for the input measurements can be found in </w:t>
      </w:r>
      <w:r w:rsidRPr="00CC6CA3">
        <w:fldChar w:fldCharType="begin"/>
      </w:r>
      <w:r w:rsidRPr="00CC6CA3">
        <w:instrText xml:space="preserve"> REF _Ref18648446 \h </w:instrText>
      </w:r>
      <w:r w:rsidRPr="00CC6CA3">
        <w:fldChar w:fldCharType="separate"/>
      </w:r>
      <w:r w:rsidR="001906D9" w:rsidRPr="00CC6CA3">
        <w:t xml:space="preserve">Table </w:t>
      </w:r>
      <w:r w:rsidR="001906D9" w:rsidRPr="00CC6CA3">
        <w:rPr>
          <w:noProof/>
        </w:rPr>
        <w:t>3</w:t>
      </w:r>
      <w:r w:rsidR="001906D9" w:rsidRPr="00CC6CA3">
        <w:t>.</w:t>
      </w:r>
      <w:r w:rsidR="001906D9" w:rsidRPr="00CC6CA3">
        <w:rPr>
          <w:noProof/>
        </w:rPr>
        <w:t>2</w:t>
      </w:r>
      <w:r w:rsidRPr="00CC6CA3">
        <w:fldChar w:fldCharType="end"/>
      </w:r>
      <w:r w:rsidRPr="00CC6CA3">
        <w:t>.</w:t>
      </w:r>
    </w:p>
    <w:p w14:paraId="08DD2AAF" w14:textId="5F1738B0" w:rsidR="005803DC" w:rsidRPr="00CC6CA3" w:rsidRDefault="005803DC" w:rsidP="005803DC">
      <w:pPr>
        <w:pStyle w:val="Body"/>
        <w:numPr>
          <w:ilvl w:val="0"/>
          <w:numId w:val="13"/>
        </w:numPr>
      </w:pPr>
      <w:bookmarkStart w:id="210" w:name="_Hlk47390348"/>
      <w:r w:rsidRPr="00CC6CA3">
        <w:t xml:space="preserve">Delete all data vectors, </w:t>
      </w:r>
      <w:r w:rsidR="00B53CB3" w:rsidRPr="00CC6CA3">
        <w:t xml:space="preserve">where one of the input or output parameters' values are continuously missing for more than a particular </w:t>
      </w:r>
      <w:proofErr w:type="gramStart"/>
      <w:r w:rsidR="00B53CB3" w:rsidRPr="00CC6CA3">
        <w:t>time period</w:t>
      </w:r>
      <w:proofErr w:type="gramEnd"/>
      <w:r w:rsidR="00B53CB3" w:rsidRPr="00CC6CA3">
        <w:rPr>
          <w:rFonts w:hint="eastAsia"/>
          <w:lang w:eastAsia="zh-CN"/>
        </w:rPr>
        <w:t>.</w:t>
      </w:r>
      <w:r w:rsidR="00B53CB3" w:rsidRPr="00CC6CA3">
        <w:rPr>
          <w:lang w:eastAsia="zh-CN"/>
        </w:rPr>
        <w:t xml:space="preserve"> </w:t>
      </w:r>
      <w:r w:rsidR="00B53CB3" w:rsidRPr="00CC6CA3">
        <w:t>The number of hours is required from the end-user</w:t>
      </w:r>
      <w:r w:rsidRPr="00CC6CA3">
        <w:t xml:space="preserve">. </w:t>
      </w:r>
    </w:p>
    <w:bookmarkEnd w:id="210"/>
    <w:p w14:paraId="27BB2E01" w14:textId="502FDCDD" w:rsidR="005803DC" w:rsidRPr="00CC6CA3" w:rsidRDefault="00015A38" w:rsidP="005803DC">
      <w:pPr>
        <w:pStyle w:val="Body"/>
        <w:ind w:left="720"/>
      </w:pPr>
      <w:r w:rsidRPr="00CC6CA3">
        <w:t>In this thesis, the strategy is to remove the record that contains missing data. This simple strategy worked well for the pump data set, as the period of monitoring covered a sufficient length of time</w:t>
      </w:r>
      <w:r w:rsidR="005803DC" w:rsidRPr="00CC6CA3">
        <w:t>.</w:t>
      </w:r>
    </w:p>
    <w:p w14:paraId="52E09934" w14:textId="750412FF" w:rsidR="005803DC" w:rsidRPr="00CC6CA3" w:rsidRDefault="005803DC" w:rsidP="005803DC">
      <w:pPr>
        <w:pStyle w:val="Caption"/>
        <w:keepNext/>
      </w:pPr>
      <w:bookmarkStart w:id="211" w:name="_Ref18648446"/>
      <w:bookmarkStart w:id="212" w:name="_Toc81553471"/>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2</w:t>
      </w:r>
      <w:r w:rsidR="00D62691" w:rsidRPr="00CC6CA3">
        <w:rPr>
          <w:noProof/>
        </w:rPr>
        <w:fldChar w:fldCharType="end"/>
      </w:r>
      <w:bookmarkEnd w:id="211"/>
      <w:r w:rsidRPr="00CC6CA3">
        <w:t xml:space="preserve"> Upper and lower thresholds of input parameters for a pump</w:t>
      </w:r>
      <w:bookmarkEnd w:id="212"/>
    </w:p>
    <w:tbl>
      <w:tblPr>
        <w:tblStyle w:val="PlainTable2"/>
        <w:tblW w:w="5000" w:type="pct"/>
        <w:jc w:val="center"/>
        <w:tblLayout w:type="fixed"/>
        <w:tblLook w:val="04A0" w:firstRow="1" w:lastRow="0" w:firstColumn="1" w:lastColumn="0" w:noHBand="0" w:noVBand="1"/>
      </w:tblPr>
      <w:tblGrid>
        <w:gridCol w:w="1465"/>
        <w:gridCol w:w="1109"/>
        <w:gridCol w:w="1483"/>
        <w:gridCol w:w="1658"/>
        <w:gridCol w:w="1940"/>
        <w:gridCol w:w="1110"/>
      </w:tblGrid>
      <w:tr w:rsidR="00CC6CA3" w:rsidRPr="00CC6CA3" w14:paraId="23DC78B0" w14:textId="77777777" w:rsidTr="00F632C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5" w:type="dxa"/>
            <w:noWrap/>
            <w:vAlign w:val="center"/>
            <w:hideMark/>
          </w:tcPr>
          <w:p w14:paraId="0D624C9D" w14:textId="77777777" w:rsidR="005803DC" w:rsidRPr="00CC6CA3" w:rsidRDefault="005803DC" w:rsidP="00F632C0">
            <w:pPr>
              <w:spacing w:line="240" w:lineRule="auto"/>
              <w:jc w:val="left"/>
              <w:rPr>
                <w:rFonts w:eastAsia="Times New Roman" w:cs="Times New Roman"/>
                <w:sz w:val="20"/>
                <w:szCs w:val="20"/>
              </w:rPr>
            </w:pPr>
          </w:p>
        </w:tc>
        <w:tc>
          <w:tcPr>
            <w:tcW w:w="1109" w:type="dxa"/>
            <w:noWrap/>
            <w:vAlign w:val="center"/>
            <w:hideMark/>
          </w:tcPr>
          <w:p w14:paraId="0F21EC05"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Shaft speed</w:t>
            </w:r>
          </w:p>
          <w:p w14:paraId="23682C26"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w:t>
            </w:r>
            <m:oMath>
              <m:r>
                <m:rPr>
                  <m:sty m:val="bi"/>
                </m:rPr>
                <w:rPr>
                  <w:rFonts w:ascii="Cambria Math" w:eastAsia="Times New Roman" w:hAnsi="Cambria Math" w:cs="Times New Roman"/>
                  <w:sz w:val="20"/>
                  <w:szCs w:val="20"/>
                </w:rPr>
                <m:t>rpm</m:t>
              </m:r>
            </m:oMath>
            <w:r w:rsidRPr="00CC6CA3">
              <w:rPr>
                <w:rFonts w:eastAsia="Times New Roman" w:cs="Times New Roman"/>
                <w:sz w:val="20"/>
                <w:szCs w:val="20"/>
              </w:rPr>
              <w:t>)</w:t>
            </w:r>
          </w:p>
        </w:tc>
        <w:tc>
          <w:tcPr>
            <w:tcW w:w="1483" w:type="dxa"/>
            <w:noWrap/>
            <w:vAlign w:val="center"/>
            <w:hideMark/>
          </w:tcPr>
          <w:p w14:paraId="6E726759"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Suction pressure</w:t>
            </w:r>
          </w:p>
          <w:p w14:paraId="35F3AE5B"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w:t>
            </w:r>
            <m:oMath>
              <m:r>
                <m:rPr>
                  <m:sty m:val="bi"/>
                </m:rPr>
                <w:rPr>
                  <w:rFonts w:ascii="Cambria Math" w:eastAsia="Times New Roman" w:hAnsi="Cambria Math" w:cs="Times New Roman"/>
                  <w:sz w:val="20"/>
                  <w:szCs w:val="20"/>
                </w:rPr>
                <m:t>bar</m:t>
              </m:r>
            </m:oMath>
            <w:r w:rsidRPr="00CC6CA3">
              <w:rPr>
                <w:rFonts w:eastAsia="Times New Roman" w:cs="Times New Roman"/>
                <w:sz w:val="20"/>
                <w:szCs w:val="20"/>
              </w:rPr>
              <w:t>)</w:t>
            </w:r>
          </w:p>
        </w:tc>
        <w:tc>
          <w:tcPr>
            <w:tcW w:w="1658" w:type="dxa"/>
            <w:noWrap/>
            <w:vAlign w:val="center"/>
            <w:hideMark/>
          </w:tcPr>
          <w:p w14:paraId="6074979F"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Discharge pressure</w:t>
            </w:r>
          </w:p>
          <w:p w14:paraId="73E9A24C"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w:t>
            </w:r>
            <m:oMath>
              <m:r>
                <m:rPr>
                  <m:sty m:val="bi"/>
                </m:rPr>
                <w:rPr>
                  <w:rFonts w:ascii="Cambria Math" w:eastAsia="Times New Roman" w:hAnsi="Cambria Math" w:cs="Times New Roman"/>
                  <w:sz w:val="20"/>
                  <w:szCs w:val="20"/>
                </w:rPr>
                <m:t>bar</m:t>
              </m:r>
            </m:oMath>
            <w:r w:rsidRPr="00CC6CA3">
              <w:rPr>
                <w:rFonts w:eastAsia="Times New Roman" w:cs="Times New Roman"/>
                <w:sz w:val="20"/>
                <w:szCs w:val="20"/>
              </w:rPr>
              <w:t>)</w:t>
            </w:r>
          </w:p>
        </w:tc>
        <w:tc>
          <w:tcPr>
            <w:tcW w:w="1940" w:type="dxa"/>
            <w:noWrap/>
            <w:vAlign w:val="center"/>
            <w:hideMark/>
          </w:tcPr>
          <w:p w14:paraId="65044142"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Discharge temperature</w:t>
            </w:r>
          </w:p>
          <w:p w14:paraId="6F48605C"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w:t>
            </w:r>
            <m:oMath>
              <m:r>
                <m:rPr>
                  <m:sty m:val="bi"/>
                </m:rPr>
                <w:rPr>
                  <w:rFonts w:ascii="Cambria Math" w:eastAsia="Times New Roman" w:hAnsi="Cambria Math" w:cs="Times New Roman"/>
                  <w:sz w:val="20"/>
                  <w:szCs w:val="20"/>
                </w:rPr>
                <m:t>°C</m:t>
              </m:r>
            </m:oMath>
            <w:r w:rsidRPr="00CC6CA3">
              <w:rPr>
                <w:rFonts w:eastAsia="Times New Roman" w:cs="Times New Roman"/>
                <w:sz w:val="20"/>
                <w:szCs w:val="20"/>
              </w:rPr>
              <w:t>)</w:t>
            </w:r>
          </w:p>
        </w:tc>
        <w:tc>
          <w:tcPr>
            <w:tcW w:w="1110" w:type="dxa"/>
            <w:noWrap/>
            <w:vAlign w:val="center"/>
            <w:hideMark/>
          </w:tcPr>
          <w:p w14:paraId="46A58C07"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Actual flow</w:t>
            </w:r>
          </w:p>
          <w:p w14:paraId="57F9C3E1" w14:textId="732BF80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w:t>
            </w:r>
            <m:oMath>
              <m:sSup>
                <m:sSupPr>
                  <m:ctrlPr>
                    <w:rPr>
                      <w:rFonts w:ascii="Cambria Math" w:eastAsia="Times New Roman" w:hAnsi="Cambria Math" w:cs="Times New Roman"/>
                      <w:i/>
                      <w:sz w:val="20"/>
                      <w:szCs w:val="20"/>
                    </w:rPr>
                  </m:ctrlPr>
                </m:sSupPr>
                <m:e>
                  <m:r>
                    <m:rPr>
                      <m:sty m:val="bi"/>
                    </m:rPr>
                    <w:rPr>
                      <w:rFonts w:ascii="Cambria Math" w:eastAsia="Times New Roman" w:hAnsi="Cambria Math" w:cs="Times New Roman"/>
                      <w:sz w:val="20"/>
                      <w:szCs w:val="20"/>
                    </w:rPr>
                    <m:t>m</m:t>
                  </m:r>
                </m:e>
                <m:sup>
                  <m:r>
                    <m:rPr>
                      <m:sty m:val="bi"/>
                    </m:rPr>
                    <w:rPr>
                      <w:rFonts w:ascii="Cambria Math" w:eastAsia="Times New Roman" w:hAnsi="Cambria Math" w:cs="Times New Roman"/>
                      <w:sz w:val="20"/>
                      <w:szCs w:val="20"/>
                    </w:rPr>
                    <m:t>3</m:t>
                  </m:r>
                </m:sup>
              </m:sSup>
              <m:r>
                <m:rPr>
                  <m:sty m:val="bi"/>
                </m:rPr>
                <w:rPr>
                  <w:rFonts w:ascii="Cambria Math" w:eastAsia="Times New Roman" w:hAnsi="Cambria Math" w:cs="Times New Roman"/>
                  <w:sz w:val="20"/>
                  <w:szCs w:val="20"/>
                </w:rPr>
                <m:t>/h</m:t>
              </m:r>
            </m:oMath>
            <w:r w:rsidRPr="00CC6CA3">
              <w:rPr>
                <w:rFonts w:eastAsia="Times New Roman" w:cs="Times New Roman"/>
                <w:sz w:val="20"/>
                <w:szCs w:val="20"/>
              </w:rPr>
              <w:t>)</w:t>
            </w:r>
          </w:p>
        </w:tc>
      </w:tr>
      <w:tr w:rsidR="00CC6CA3" w:rsidRPr="00CC6CA3" w14:paraId="5774A803" w14:textId="77777777" w:rsidTr="00F632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5" w:type="dxa"/>
            <w:noWrap/>
            <w:vAlign w:val="center"/>
            <w:hideMark/>
          </w:tcPr>
          <w:p w14:paraId="5C0ECBA2" w14:textId="77777777" w:rsidR="005803DC" w:rsidRPr="00CC6CA3" w:rsidRDefault="005803DC" w:rsidP="00F632C0">
            <w:pPr>
              <w:spacing w:line="240" w:lineRule="auto"/>
              <w:jc w:val="left"/>
              <w:rPr>
                <w:rFonts w:eastAsia="Times New Roman" w:cs="Times New Roman"/>
                <w:sz w:val="20"/>
                <w:szCs w:val="20"/>
              </w:rPr>
            </w:pPr>
            <w:r w:rsidRPr="00CC6CA3">
              <w:rPr>
                <w:rFonts w:eastAsia="Times New Roman" w:cs="Times New Roman"/>
                <w:sz w:val="20"/>
                <w:szCs w:val="20"/>
              </w:rPr>
              <w:t>Upper threshold</w:t>
            </w:r>
          </w:p>
        </w:tc>
        <w:tc>
          <w:tcPr>
            <w:tcW w:w="1109" w:type="dxa"/>
            <w:noWrap/>
            <w:vAlign w:val="center"/>
            <w:hideMark/>
          </w:tcPr>
          <w:p w14:paraId="3EA6DB92"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110</w:t>
            </w:r>
          </w:p>
        </w:tc>
        <w:tc>
          <w:tcPr>
            <w:tcW w:w="1483" w:type="dxa"/>
            <w:noWrap/>
            <w:vAlign w:val="center"/>
            <w:hideMark/>
          </w:tcPr>
          <w:p w14:paraId="22424216"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9</w:t>
            </w:r>
          </w:p>
        </w:tc>
        <w:tc>
          <w:tcPr>
            <w:tcW w:w="1658" w:type="dxa"/>
            <w:noWrap/>
            <w:vAlign w:val="center"/>
            <w:hideMark/>
          </w:tcPr>
          <w:p w14:paraId="62EE1BDC"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250</w:t>
            </w:r>
          </w:p>
        </w:tc>
        <w:tc>
          <w:tcPr>
            <w:tcW w:w="1940" w:type="dxa"/>
            <w:noWrap/>
            <w:vAlign w:val="center"/>
            <w:hideMark/>
          </w:tcPr>
          <w:p w14:paraId="63AFA6E7"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40</w:t>
            </w:r>
          </w:p>
        </w:tc>
        <w:tc>
          <w:tcPr>
            <w:tcW w:w="1110" w:type="dxa"/>
            <w:noWrap/>
            <w:vAlign w:val="center"/>
            <w:hideMark/>
          </w:tcPr>
          <w:p w14:paraId="64A2DFE8"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1500</w:t>
            </w:r>
          </w:p>
        </w:tc>
      </w:tr>
      <w:tr w:rsidR="00CC6CA3" w:rsidRPr="00CC6CA3" w14:paraId="0461DA9F" w14:textId="77777777" w:rsidTr="00F632C0">
        <w:trPr>
          <w:trHeight w:val="300"/>
          <w:jc w:val="center"/>
        </w:trPr>
        <w:tc>
          <w:tcPr>
            <w:cnfStyle w:val="001000000000" w:firstRow="0" w:lastRow="0" w:firstColumn="1" w:lastColumn="0" w:oddVBand="0" w:evenVBand="0" w:oddHBand="0" w:evenHBand="0" w:firstRowFirstColumn="0" w:firstRowLastColumn="0" w:lastRowFirstColumn="0" w:lastRowLastColumn="0"/>
            <w:tcW w:w="1465" w:type="dxa"/>
            <w:noWrap/>
            <w:vAlign w:val="center"/>
            <w:hideMark/>
          </w:tcPr>
          <w:p w14:paraId="315E6809" w14:textId="77777777" w:rsidR="005803DC" w:rsidRPr="00CC6CA3" w:rsidRDefault="005803DC" w:rsidP="00F632C0">
            <w:pPr>
              <w:spacing w:line="240" w:lineRule="auto"/>
              <w:jc w:val="left"/>
              <w:rPr>
                <w:rFonts w:eastAsia="Times New Roman" w:cs="Times New Roman"/>
                <w:sz w:val="20"/>
                <w:szCs w:val="20"/>
              </w:rPr>
            </w:pPr>
            <w:r w:rsidRPr="00CC6CA3">
              <w:rPr>
                <w:rFonts w:eastAsia="Times New Roman" w:cs="Times New Roman"/>
                <w:sz w:val="20"/>
                <w:szCs w:val="20"/>
              </w:rPr>
              <w:t>Lower threshold</w:t>
            </w:r>
          </w:p>
        </w:tc>
        <w:tc>
          <w:tcPr>
            <w:tcW w:w="1109" w:type="dxa"/>
            <w:noWrap/>
            <w:vAlign w:val="center"/>
            <w:hideMark/>
          </w:tcPr>
          <w:p w14:paraId="0DC9FF28"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90</w:t>
            </w:r>
          </w:p>
        </w:tc>
        <w:tc>
          <w:tcPr>
            <w:tcW w:w="1483" w:type="dxa"/>
            <w:noWrap/>
            <w:vAlign w:val="center"/>
            <w:hideMark/>
          </w:tcPr>
          <w:p w14:paraId="194E6BDD"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13</w:t>
            </w:r>
          </w:p>
        </w:tc>
        <w:tc>
          <w:tcPr>
            <w:tcW w:w="1658" w:type="dxa"/>
            <w:noWrap/>
            <w:vAlign w:val="center"/>
            <w:hideMark/>
          </w:tcPr>
          <w:p w14:paraId="708CB7F4"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130</w:t>
            </w:r>
          </w:p>
        </w:tc>
        <w:tc>
          <w:tcPr>
            <w:tcW w:w="1940" w:type="dxa"/>
            <w:noWrap/>
            <w:vAlign w:val="center"/>
            <w:hideMark/>
          </w:tcPr>
          <w:p w14:paraId="6179EE18"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15</w:t>
            </w:r>
          </w:p>
        </w:tc>
        <w:tc>
          <w:tcPr>
            <w:tcW w:w="1110" w:type="dxa"/>
            <w:noWrap/>
            <w:vAlign w:val="center"/>
            <w:hideMark/>
          </w:tcPr>
          <w:p w14:paraId="1DB002A3"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800</w:t>
            </w:r>
          </w:p>
        </w:tc>
      </w:tr>
    </w:tbl>
    <w:p w14:paraId="390CAA1A" w14:textId="77777777" w:rsidR="005803DC" w:rsidRPr="00CC6CA3" w:rsidRDefault="005803DC" w:rsidP="005803DC">
      <w:pPr>
        <w:pStyle w:val="Body"/>
      </w:pPr>
    </w:p>
    <w:p w14:paraId="35E684F5" w14:textId="77777777" w:rsidR="005803DC" w:rsidRPr="00CC6CA3" w:rsidRDefault="005803DC" w:rsidP="005803DC">
      <w:pPr>
        <w:pStyle w:val="Heading3"/>
      </w:pPr>
      <w:bookmarkStart w:id="213" w:name="_Toc81553267"/>
      <w:r w:rsidRPr="00CC6CA3">
        <w:t>Overview of the pump data after pre-processing</w:t>
      </w:r>
      <w:bookmarkEnd w:id="213"/>
    </w:p>
    <w:p w14:paraId="678778DA" w14:textId="3F98F021" w:rsidR="005803DC" w:rsidRPr="00CC6CA3" w:rsidRDefault="0092128E" w:rsidP="005803DC">
      <w:pPr>
        <w:rPr>
          <w:rFonts w:cs="Times New Roman"/>
          <w:szCs w:val="24"/>
        </w:rPr>
      </w:pPr>
      <w:r w:rsidRPr="00CC6CA3">
        <w:rPr>
          <w:rFonts w:cs="Times New Roman"/>
          <w:szCs w:val="24"/>
        </w:rPr>
        <w:t xml:space="preserve">The measurements processed after pre-processing using rules </w:t>
      </w:r>
      <w:r w:rsidR="005803DC" w:rsidRPr="00CC6CA3">
        <w:rPr>
          <w:rFonts w:cs="Times New Roman"/>
          <w:szCs w:val="24"/>
        </w:rPr>
        <w:t>described in Section 3.2.</w:t>
      </w:r>
      <w:r w:rsidR="00363321" w:rsidRPr="00CC6CA3">
        <w:rPr>
          <w:rFonts w:cs="Times New Roman"/>
          <w:szCs w:val="24"/>
        </w:rPr>
        <w:t>1.</w:t>
      </w:r>
      <w:r w:rsidR="005803DC" w:rsidRPr="00CC6CA3">
        <w:rPr>
          <w:rFonts w:cs="Times New Roman"/>
          <w:szCs w:val="24"/>
        </w:rPr>
        <w:t xml:space="preserve">3 are shown in </w:t>
      </w:r>
      <w:r w:rsidR="005803DC" w:rsidRPr="00CC6CA3">
        <w:rPr>
          <w:rFonts w:cs="Times New Roman"/>
          <w:szCs w:val="24"/>
        </w:rPr>
        <w:fldChar w:fldCharType="begin"/>
      </w:r>
      <w:r w:rsidR="005803DC" w:rsidRPr="00CC6CA3">
        <w:rPr>
          <w:rFonts w:cs="Times New Roman"/>
          <w:szCs w:val="24"/>
        </w:rPr>
        <w:instrText xml:space="preserve"> REF _Ref15666649 \h </w:instrText>
      </w:r>
      <w:r w:rsidR="005803DC" w:rsidRPr="00CC6CA3">
        <w:rPr>
          <w:rFonts w:cs="Times New Roman"/>
          <w:szCs w:val="24"/>
        </w:rPr>
      </w:r>
      <w:r w:rsidR="005803DC"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10</w:t>
      </w:r>
      <w:r w:rsidR="005803DC" w:rsidRPr="00CC6CA3">
        <w:rPr>
          <w:rFonts w:cs="Times New Roman"/>
          <w:szCs w:val="24"/>
        </w:rPr>
        <w:fldChar w:fldCharType="end"/>
      </w:r>
      <w:r w:rsidR="005803DC" w:rsidRPr="00CC6CA3">
        <w:rPr>
          <w:rFonts w:cs="Times New Roman"/>
          <w:szCs w:val="24"/>
        </w:rPr>
        <w:t xml:space="preserve"> and </w:t>
      </w:r>
      <w:r w:rsidR="005803DC" w:rsidRPr="00CC6CA3">
        <w:rPr>
          <w:rFonts w:cs="Times New Roman"/>
          <w:szCs w:val="24"/>
        </w:rPr>
        <w:fldChar w:fldCharType="begin"/>
      </w:r>
      <w:r w:rsidR="005803DC" w:rsidRPr="00CC6CA3">
        <w:rPr>
          <w:rFonts w:cs="Times New Roman"/>
          <w:szCs w:val="24"/>
        </w:rPr>
        <w:instrText xml:space="preserve"> REF _Ref62567181 \h </w:instrText>
      </w:r>
      <w:r w:rsidR="005803DC" w:rsidRPr="00CC6CA3">
        <w:rPr>
          <w:rFonts w:cs="Times New Roman"/>
          <w:szCs w:val="24"/>
        </w:rPr>
      </w:r>
      <w:r w:rsidR="005803DC"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11</w:t>
      </w:r>
      <w:r w:rsidR="005803DC" w:rsidRPr="00CC6CA3">
        <w:rPr>
          <w:rFonts w:cs="Times New Roman"/>
          <w:szCs w:val="24"/>
        </w:rPr>
        <w:fldChar w:fldCharType="end"/>
      </w:r>
      <w:r w:rsidR="005803DC" w:rsidRPr="00CC6CA3">
        <w:rPr>
          <w:rFonts w:cs="Times New Roman"/>
          <w:szCs w:val="24"/>
        </w:rPr>
        <w:t xml:space="preserve">. </w:t>
      </w:r>
      <w:r w:rsidRPr="00CC6CA3">
        <w:rPr>
          <w:rFonts w:cs="Times New Roman"/>
          <w:szCs w:val="24"/>
        </w:rPr>
        <w:t xml:space="preserve">When comparing these two figures </w:t>
      </w:r>
      <w:r w:rsidR="005803DC" w:rsidRPr="00CC6CA3">
        <w:rPr>
          <w:rFonts w:cs="Times New Roman"/>
          <w:szCs w:val="24"/>
        </w:rPr>
        <w:t xml:space="preserve">with </w:t>
      </w:r>
      <w:r w:rsidR="005803DC" w:rsidRPr="00CC6CA3">
        <w:rPr>
          <w:rFonts w:cs="Times New Roman"/>
          <w:szCs w:val="24"/>
        </w:rPr>
        <w:fldChar w:fldCharType="begin"/>
      </w:r>
      <w:r w:rsidR="005803DC" w:rsidRPr="00CC6CA3">
        <w:rPr>
          <w:rFonts w:cs="Times New Roman"/>
          <w:szCs w:val="24"/>
        </w:rPr>
        <w:instrText xml:space="preserve"> REF _Ref15747742 \h </w:instrText>
      </w:r>
      <w:r w:rsidR="005803DC" w:rsidRPr="00CC6CA3">
        <w:rPr>
          <w:rFonts w:cs="Times New Roman"/>
          <w:szCs w:val="24"/>
        </w:rPr>
      </w:r>
      <w:r w:rsidR="005803DC"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3</w:t>
      </w:r>
      <w:r w:rsidR="005803DC" w:rsidRPr="00CC6CA3">
        <w:rPr>
          <w:rFonts w:cs="Times New Roman"/>
          <w:szCs w:val="24"/>
        </w:rPr>
        <w:fldChar w:fldCharType="end"/>
      </w:r>
      <w:r w:rsidR="005803DC" w:rsidRPr="00CC6CA3">
        <w:rPr>
          <w:rFonts w:cs="Times New Roman"/>
          <w:szCs w:val="24"/>
        </w:rPr>
        <w:t xml:space="preserve"> and </w:t>
      </w:r>
      <w:r w:rsidR="005803DC" w:rsidRPr="00CC6CA3">
        <w:rPr>
          <w:rFonts w:cs="Times New Roman"/>
          <w:szCs w:val="24"/>
        </w:rPr>
        <w:fldChar w:fldCharType="begin"/>
      </w:r>
      <w:r w:rsidR="005803DC" w:rsidRPr="00CC6CA3">
        <w:rPr>
          <w:rFonts w:cs="Times New Roman"/>
          <w:szCs w:val="24"/>
        </w:rPr>
        <w:instrText xml:space="preserve"> REF _Ref15747752 \h </w:instrText>
      </w:r>
      <w:r w:rsidR="005803DC" w:rsidRPr="00CC6CA3">
        <w:rPr>
          <w:rFonts w:cs="Times New Roman"/>
          <w:szCs w:val="24"/>
        </w:rPr>
      </w:r>
      <w:r w:rsidR="005803DC"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4</w:t>
      </w:r>
      <w:r w:rsidR="005803DC" w:rsidRPr="00CC6CA3">
        <w:rPr>
          <w:rFonts w:cs="Times New Roman"/>
          <w:szCs w:val="24"/>
        </w:rPr>
        <w:fldChar w:fldCharType="end"/>
      </w:r>
      <w:r w:rsidR="005803DC" w:rsidRPr="00CC6CA3">
        <w:rPr>
          <w:rFonts w:cs="Times New Roman"/>
          <w:szCs w:val="24"/>
        </w:rPr>
        <w:t xml:space="preserve">, it can be observed that the outliers, sensor faults and downtime data were removed. </w:t>
      </w:r>
    </w:p>
    <w:p w14:paraId="157523F7" w14:textId="77777777" w:rsidR="005803DC" w:rsidRPr="00CC6CA3" w:rsidRDefault="005803DC" w:rsidP="005803DC">
      <w:pPr>
        <w:keepNext/>
        <w:jc w:val="center"/>
      </w:pPr>
      <w:r w:rsidRPr="00CC6CA3">
        <w:object w:dxaOrig="9073" w:dyaOrig="4560" w14:anchorId="5FB92A53">
          <v:shape id="_x0000_i1037" type="#_x0000_t75" style="width:372pt;height:186pt" o:ole="">
            <v:imagedata r:id="rId57" o:title=""/>
          </v:shape>
          <o:OLEObject Type="Embed" ProgID="Visio.Drawing.15" ShapeID="_x0000_i1037" DrawAspect="Content" ObjectID="_1692500316" r:id="rId58"/>
        </w:object>
      </w:r>
    </w:p>
    <w:p w14:paraId="49F17360" w14:textId="1976BA70" w:rsidR="005803DC" w:rsidRPr="00CC6CA3" w:rsidRDefault="005803DC" w:rsidP="005803DC">
      <w:pPr>
        <w:pStyle w:val="Caption"/>
        <w:jc w:val="center"/>
      </w:pPr>
      <w:bookmarkStart w:id="214" w:name="_Ref15666649"/>
      <w:bookmarkStart w:id="215" w:name="_Toc8155335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10</w:t>
      </w:r>
      <w:r w:rsidR="00D62691" w:rsidRPr="00CC6CA3">
        <w:rPr>
          <w:noProof/>
        </w:rPr>
        <w:fldChar w:fldCharType="end"/>
      </w:r>
      <w:bookmarkEnd w:id="214"/>
      <w:r w:rsidRPr="00CC6CA3">
        <w:t xml:space="preserve"> Shaft </w:t>
      </w:r>
      <w:r w:rsidR="000F117F" w:rsidRPr="00CC6CA3">
        <w:rPr>
          <w:szCs w:val="20"/>
        </w:rPr>
        <w:t>speed of a pump, (a) pre-processed raw data, (b) histogram of the pre-processed raw data</w:t>
      </w:r>
      <w:r w:rsidRPr="00CC6CA3">
        <w:t>.</w:t>
      </w:r>
      <w:bookmarkEnd w:id="215"/>
    </w:p>
    <w:p w14:paraId="4EE41000" w14:textId="77777777" w:rsidR="005803DC" w:rsidRPr="00CC6CA3" w:rsidRDefault="005803DC" w:rsidP="005803DC">
      <w:pPr>
        <w:keepNext/>
        <w:jc w:val="center"/>
      </w:pPr>
      <w:r w:rsidRPr="00CC6CA3">
        <w:object w:dxaOrig="9073" w:dyaOrig="4560" w14:anchorId="5D99888B">
          <v:shape id="_x0000_i1038" type="#_x0000_t75" style="width:372pt;height:186pt" o:ole="">
            <v:imagedata r:id="rId59" o:title=""/>
          </v:shape>
          <o:OLEObject Type="Embed" ProgID="Visio.Drawing.15" ShapeID="_x0000_i1038" DrawAspect="Content" ObjectID="_1692500317" r:id="rId60"/>
        </w:object>
      </w:r>
    </w:p>
    <w:p w14:paraId="1E46BFF2" w14:textId="371C7F94" w:rsidR="005803DC" w:rsidRPr="00CC6CA3" w:rsidRDefault="005803DC" w:rsidP="005803DC">
      <w:pPr>
        <w:pStyle w:val="Caption"/>
        <w:jc w:val="center"/>
      </w:pPr>
      <w:bookmarkStart w:id="216" w:name="_Ref62567181"/>
      <w:bookmarkStart w:id="217" w:name="_Toc8155335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11</w:t>
      </w:r>
      <w:r w:rsidR="00D62691" w:rsidRPr="00CC6CA3">
        <w:rPr>
          <w:noProof/>
        </w:rPr>
        <w:fldChar w:fldCharType="end"/>
      </w:r>
      <w:bookmarkEnd w:id="216"/>
      <w:r w:rsidRPr="00CC6CA3">
        <w:t xml:space="preserve"> Discharge </w:t>
      </w:r>
      <w:r w:rsidR="000F117F" w:rsidRPr="00CC6CA3">
        <w:rPr>
          <w:szCs w:val="20"/>
        </w:rPr>
        <w:t>pressure of a pump</w:t>
      </w:r>
      <w:r w:rsidR="008F17B0" w:rsidRPr="00CC6CA3">
        <w:rPr>
          <w:szCs w:val="20"/>
        </w:rPr>
        <w:t>,</w:t>
      </w:r>
      <w:r w:rsidR="000F117F" w:rsidRPr="00CC6CA3">
        <w:rPr>
          <w:szCs w:val="20"/>
        </w:rPr>
        <w:t xml:space="preserve"> (a) pre-processed raw data, (b) histogram of the pre-processed raw data</w:t>
      </w:r>
      <w:r w:rsidRPr="00CC6CA3">
        <w:t>.</w:t>
      </w:r>
      <w:bookmarkEnd w:id="217"/>
    </w:p>
    <w:p w14:paraId="5333D82B" w14:textId="56971AD0" w:rsidR="00CF3219" w:rsidRPr="00CC6CA3" w:rsidRDefault="00A714A5" w:rsidP="005803DC">
      <w:pPr>
        <w:rPr>
          <w:rFonts w:cs="Times New Roman"/>
          <w:szCs w:val="24"/>
        </w:rPr>
      </w:pPr>
      <w:r w:rsidRPr="00CC6CA3">
        <w:t xml:space="preserve">As a comparison of </w:t>
      </w:r>
      <w:r w:rsidRPr="00CC6CA3">
        <w:fldChar w:fldCharType="begin"/>
      </w:r>
      <w:r w:rsidRPr="00CC6CA3">
        <w:instrText xml:space="preserve"> REF _Ref15748821 \h </w:instrText>
      </w:r>
      <w:r w:rsidR="00951E99" w:rsidRPr="00CC6CA3">
        <w:instrText xml:space="preserve"> \* MERGEFORMAT </w:instrText>
      </w:r>
      <w:r w:rsidRPr="00CC6CA3">
        <w:fldChar w:fldCharType="separate"/>
      </w:r>
      <w:r w:rsidR="001906D9" w:rsidRPr="00CC6CA3">
        <w:t xml:space="preserve">Figure </w:t>
      </w:r>
      <w:r w:rsidR="001906D9" w:rsidRPr="00CC6CA3">
        <w:rPr>
          <w:noProof/>
        </w:rPr>
        <w:t>3.6</w:t>
      </w:r>
      <w:r w:rsidRPr="00CC6CA3">
        <w:fldChar w:fldCharType="end"/>
      </w:r>
      <w:r w:rsidRPr="00CC6CA3">
        <w:t xml:space="preserve">, the correlation between actual flow and shaft speed and the correlation between overall vibration X1 and Y1 of bearing 1 is shown in </w:t>
      </w:r>
      <w:r w:rsidRPr="00CC6CA3">
        <w:fldChar w:fldCharType="begin"/>
      </w:r>
      <w:r w:rsidRPr="00CC6CA3">
        <w:instrText xml:space="preserve"> REF _Ref62573161 \h  \* MERGEFORMAT </w:instrText>
      </w:r>
      <w:r w:rsidRPr="00CC6CA3">
        <w:fldChar w:fldCharType="separate"/>
      </w:r>
      <w:r w:rsidR="001906D9" w:rsidRPr="00CC6CA3">
        <w:t>Figure 3.12</w:t>
      </w:r>
      <w:r w:rsidRPr="00CC6CA3">
        <w:fldChar w:fldCharType="end"/>
      </w:r>
      <w:r w:rsidRPr="00CC6CA3">
        <w:t xml:space="preserve"> (a) and (b), respectively. </w:t>
      </w:r>
      <w:r w:rsidR="002C5546" w:rsidRPr="00CC6CA3">
        <w:t xml:space="preserve">The correlation results appeared on the top of </w:t>
      </w:r>
      <w:r w:rsidR="002C5546" w:rsidRPr="00CC6CA3">
        <w:fldChar w:fldCharType="begin"/>
      </w:r>
      <w:r w:rsidR="002C5546" w:rsidRPr="00CC6CA3">
        <w:instrText xml:space="preserve"> REF _Ref15748821 \h </w:instrText>
      </w:r>
      <w:r w:rsidR="00E60958" w:rsidRPr="00CC6CA3">
        <w:instrText xml:space="preserve"> \* MERGEFORMAT </w:instrText>
      </w:r>
      <w:r w:rsidR="002C5546" w:rsidRPr="00CC6CA3">
        <w:fldChar w:fldCharType="separate"/>
      </w:r>
      <w:r w:rsidR="001906D9" w:rsidRPr="00CC6CA3">
        <w:t xml:space="preserve">Figure </w:t>
      </w:r>
      <w:r w:rsidR="001906D9" w:rsidRPr="00CC6CA3">
        <w:rPr>
          <w:noProof/>
        </w:rPr>
        <w:t>3.6</w:t>
      </w:r>
      <w:r w:rsidR="002C5546" w:rsidRPr="00CC6CA3">
        <w:fldChar w:fldCharType="end"/>
      </w:r>
      <w:r w:rsidR="002C5546" w:rsidRPr="00CC6CA3">
        <w:t xml:space="preserve"> and </w:t>
      </w:r>
      <w:r w:rsidR="002C5546" w:rsidRPr="00CC6CA3">
        <w:fldChar w:fldCharType="begin"/>
      </w:r>
      <w:r w:rsidR="002C5546" w:rsidRPr="00CC6CA3">
        <w:instrText xml:space="preserve"> REF _Ref62573161 \h  \* MERGEFORMAT </w:instrText>
      </w:r>
      <w:r w:rsidR="002C5546" w:rsidRPr="00CC6CA3">
        <w:fldChar w:fldCharType="separate"/>
      </w:r>
      <w:r w:rsidR="001906D9" w:rsidRPr="00CC6CA3">
        <w:t>Figure 3.12</w:t>
      </w:r>
      <w:r w:rsidR="002C5546" w:rsidRPr="00CC6CA3">
        <w:fldChar w:fldCharType="end"/>
      </w:r>
      <w:r w:rsidR="002C5546" w:rsidRPr="00CC6CA3">
        <w:t xml:space="preserve"> are Pearson correlation coefficients. Th</w:t>
      </w:r>
      <w:r w:rsidR="00CF3219" w:rsidRPr="00CC6CA3">
        <w:t>e Pearson</w:t>
      </w:r>
      <w:r w:rsidR="002C5546" w:rsidRPr="00CC6CA3">
        <w:t xml:space="preserve"> correlation coefficient of two variables is a measure of their linear dependence </w:t>
      </w:r>
      <w:r w:rsidR="002C5546" w:rsidRPr="00CC6CA3">
        <w:fldChar w:fldCharType="begin"/>
      </w:r>
      <w:r w:rsidR="007D1BCC" w:rsidRPr="00CC6CA3">
        <w:instrText xml:space="preserve"> ADDIN ZOTERO_ITEM CSL_CITATION {"citationID":"ecPLhGHy","properties":{"formattedCitation":"[136]","plainCitation":"[136]","noteIndex":0},"citationItems":[{"id":1078,"uris":["http://zotero.org/users/3051968/items/MSMI7GIA"],"uri":["http://zotero.org/users/3051968/items/MSMI7GIA"],"itemData":{"id":1078,"type":"book","publisher":"Discovery Publishing House","source":"Google Scholar","title":"Text book of correlations and regression","author":[{"family":"Sharma","given":"Arun Kumar"}],"issued":{"date-parts":[["2005"]]}}}],"schema":"https://github.com/citation-style-language/schema/raw/master/csl-citation.json"} </w:instrText>
      </w:r>
      <w:r w:rsidR="002C5546" w:rsidRPr="00CC6CA3">
        <w:fldChar w:fldCharType="separate"/>
      </w:r>
      <w:r w:rsidR="007D1BCC" w:rsidRPr="00CC6CA3">
        <w:rPr>
          <w:rFonts w:cs="Times New Roman"/>
        </w:rPr>
        <w:t>[136]</w:t>
      </w:r>
      <w:r w:rsidR="002C5546" w:rsidRPr="00CC6CA3">
        <w:fldChar w:fldCharType="end"/>
      </w:r>
      <w:r w:rsidR="002C5546" w:rsidRPr="00CC6CA3">
        <w:t xml:space="preserve">. </w:t>
      </w:r>
      <w:r w:rsidRPr="00CC6CA3">
        <w:t>In addition, the correlation plot of all measurements in the pump from 10</w:t>
      </w:r>
      <w:r w:rsidRPr="00CC6CA3">
        <w:rPr>
          <w:vertAlign w:val="superscript"/>
        </w:rPr>
        <w:t>th</w:t>
      </w:r>
      <w:r w:rsidRPr="00CC6CA3">
        <w:t xml:space="preserve"> Mar 2013 to 21</w:t>
      </w:r>
      <w:r w:rsidRPr="00CC6CA3">
        <w:rPr>
          <w:vertAlign w:val="superscript"/>
        </w:rPr>
        <w:t>st</w:t>
      </w:r>
      <w:r w:rsidRPr="00CC6CA3">
        <w:t xml:space="preserve"> Jun 2013 is demonstrated in</w:t>
      </w:r>
      <w:r w:rsidR="00CF3219" w:rsidRPr="00CC6CA3">
        <w:t xml:space="preserve"> </w:t>
      </w:r>
      <w:r w:rsidR="00CF3219" w:rsidRPr="00CC6CA3">
        <w:fldChar w:fldCharType="begin"/>
      </w:r>
      <w:r w:rsidR="00CF3219" w:rsidRPr="00CC6CA3">
        <w:instrText xml:space="preserve"> REF _Ref69809801 \h </w:instrText>
      </w:r>
      <w:r w:rsidR="00B523F4" w:rsidRPr="00CC6CA3">
        <w:instrText xml:space="preserve"> \* MERGEFORMAT </w:instrText>
      </w:r>
      <w:r w:rsidR="00CF3219" w:rsidRPr="00CC6CA3">
        <w:fldChar w:fldCharType="separate"/>
      </w:r>
      <w:r w:rsidR="001906D9" w:rsidRPr="00CC6CA3">
        <w:t xml:space="preserve">Table </w:t>
      </w:r>
      <w:r w:rsidR="001906D9" w:rsidRPr="00CC6CA3">
        <w:rPr>
          <w:noProof/>
        </w:rPr>
        <w:t>3.3</w:t>
      </w:r>
      <w:r w:rsidR="00CF3219" w:rsidRPr="00CC6CA3">
        <w:fldChar w:fldCharType="end"/>
      </w:r>
      <w:r w:rsidRPr="00CC6CA3">
        <w:t xml:space="preserve">. As can be seen in </w:t>
      </w:r>
      <w:r w:rsidR="00CF3219" w:rsidRPr="00CC6CA3">
        <w:t>the table</w:t>
      </w:r>
      <w:r w:rsidRPr="00CC6CA3">
        <w:t xml:space="preserve"> that </w:t>
      </w:r>
      <w:r w:rsidR="00CF3219" w:rsidRPr="00CC6CA3">
        <w:t>correlation between many measurements (</w:t>
      </w:r>
      <w:proofErr w:type="gramStart"/>
      <w:r w:rsidR="00CF3219" w:rsidRPr="00CC6CA3">
        <w:t>i.e.</w:t>
      </w:r>
      <w:proofErr w:type="gramEnd"/>
      <w:r w:rsidR="00CF3219" w:rsidRPr="00CC6CA3">
        <w:t xml:space="preserve"> the discharge pressure and shaft speed (0.81), shaft speed and flow (0.83)) showed linear relationships</w:t>
      </w:r>
      <w:r w:rsidR="004950E7" w:rsidRPr="00CC6CA3">
        <w:t xml:space="preserve">, </w:t>
      </w:r>
      <w:r w:rsidR="00CF3219" w:rsidRPr="00CC6CA3">
        <w:t xml:space="preserve">while some of the measurements (i.e. flow and thrust bearing's position (0.66 or 0.67), discharge temperature and bearing temperature (-0.15), discharge temperature and suction pressure (0.35)) </w:t>
      </w:r>
      <w:r w:rsidR="004950E7" w:rsidRPr="00CC6CA3">
        <w:t xml:space="preserve">showed low correlation, which indicated that some of the variables had weak relationships or </w:t>
      </w:r>
      <w:r w:rsidR="00CF3219" w:rsidRPr="00CC6CA3">
        <w:t>non-linear relationships.</w:t>
      </w:r>
    </w:p>
    <w:p w14:paraId="4440A76E" w14:textId="6C4B4A7A" w:rsidR="005803DC" w:rsidRPr="00CC6CA3" w:rsidRDefault="00FB19C9">
      <w:pPr>
        <w:keepNext/>
        <w:jc w:val="center"/>
      </w:pPr>
      <w:bookmarkStart w:id="218" w:name="_Hlk80164393"/>
      <w:r w:rsidRPr="00CC6CA3">
        <w:rPr>
          <w:noProof/>
        </w:rPr>
        <w:drawing>
          <wp:inline distT="0" distB="0" distL="0" distR="0" wp14:anchorId="78C614B9" wp14:editId="286D7E28">
            <wp:extent cx="4859446" cy="1620000"/>
            <wp:effectExtent l="0" t="0" r="0" b="0"/>
            <wp:docPr id="67" name="Picture 21">
              <a:extLst xmlns:a="http://schemas.openxmlformats.org/drawingml/2006/main">
                <a:ext uri="{FF2B5EF4-FFF2-40B4-BE49-F238E27FC236}">
                  <a16:creationId xmlns:a16="http://schemas.microsoft.com/office/drawing/2014/main" id="{9ECEBB24-7483-4ED9-9CB7-C91C8E4FE9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9ECEBB24-7483-4ED9-9CB7-C91C8E4FE955}"/>
                        </a:ext>
                      </a:extLst>
                    </pic:cNvPr>
                    <pic:cNvPicPr>
                      <a:picLocks noChangeAspect="1"/>
                    </pic:cNvPicPr>
                  </pic:nvPicPr>
                  <pic:blipFill>
                    <a:blip r:embed="rId61"/>
                    <a:stretch>
                      <a:fillRect/>
                    </a:stretch>
                  </pic:blipFill>
                  <pic:spPr>
                    <a:xfrm>
                      <a:off x="0" y="0"/>
                      <a:ext cx="4859446" cy="1620000"/>
                    </a:xfrm>
                    <a:prstGeom prst="rect">
                      <a:avLst/>
                    </a:prstGeom>
                  </pic:spPr>
                </pic:pic>
              </a:graphicData>
            </a:graphic>
          </wp:inline>
        </w:drawing>
      </w:r>
    </w:p>
    <w:p w14:paraId="7F63F09D" w14:textId="55425F61" w:rsidR="005803DC" w:rsidRPr="00CC6CA3" w:rsidRDefault="005803DC">
      <w:pPr>
        <w:pStyle w:val="Caption"/>
        <w:jc w:val="center"/>
      </w:pPr>
      <w:bookmarkStart w:id="219" w:name="_Ref62573161"/>
      <w:bookmarkStart w:id="220" w:name="_Toc81553354"/>
      <w:r w:rsidRPr="00CC6CA3">
        <w:t xml:space="preserve">Figure </w:t>
      </w:r>
      <w:fldSimple w:instr=" STYLEREF 1 \s ">
        <w:r w:rsidR="001906D9" w:rsidRPr="00CC6CA3">
          <w:rPr>
            <w:noProof/>
          </w:rPr>
          <w:t>3</w:t>
        </w:r>
      </w:fldSimple>
      <w:r w:rsidR="00FB19C9" w:rsidRPr="00CC6CA3">
        <w:t>.</w:t>
      </w:r>
      <w:fldSimple w:instr=" SEQ Figure \* ARABIC \s 1 ">
        <w:r w:rsidR="001906D9" w:rsidRPr="00CC6CA3">
          <w:rPr>
            <w:noProof/>
          </w:rPr>
          <w:t>12</w:t>
        </w:r>
      </w:fldSimple>
      <w:bookmarkEnd w:id="219"/>
      <w:r w:rsidRPr="00CC6CA3">
        <w:t xml:space="preserve"> Correlation</w:t>
      </w:r>
      <w:r w:rsidR="00FB19C9" w:rsidRPr="00CC6CA3">
        <w:t xml:space="preserve"> </w:t>
      </w:r>
      <w:r w:rsidR="00FB19C9" w:rsidRPr="00CC6CA3">
        <w:rPr>
          <w:szCs w:val="20"/>
        </w:rPr>
        <w:t>between actual flow and shaft speed</w:t>
      </w:r>
      <w:r w:rsidRPr="00CC6CA3">
        <w:t xml:space="preserve"> </w:t>
      </w:r>
      <w:r w:rsidR="00DD10CD" w:rsidRPr="00CC6CA3">
        <w:rPr>
          <w:szCs w:val="20"/>
        </w:rPr>
        <w:t>after data pre-processing</w:t>
      </w:r>
      <w:bookmarkEnd w:id="220"/>
    </w:p>
    <w:p w14:paraId="243E6125" w14:textId="77777777" w:rsidR="00FB19C9" w:rsidRPr="00CC6CA3" w:rsidRDefault="00FB19C9" w:rsidP="00240DAA">
      <w:pPr>
        <w:keepNext/>
        <w:jc w:val="center"/>
      </w:pPr>
      <w:r w:rsidRPr="00CC6CA3">
        <w:rPr>
          <w:noProof/>
        </w:rPr>
        <w:lastRenderedPageBreak/>
        <w:drawing>
          <wp:inline distT="0" distB="0" distL="0" distR="0" wp14:anchorId="300E9F7D" wp14:editId="15A39E4E">
            <wp:extent cx="4871115" cy="16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1115" cy="1620000"/>
                    </a:xfrm>
                    <a:prstGeom prst="rect">
                      <a:avLst/>
                    </a:prstGeom>
                    <a:noFill/>
                    <a:ln>
                      <a:noFill/>
                    </a:ln>
                  </pic:spPr>
                </pic:pic>
              </a:graphicData>
            </a:graphic>
          </wp:inline>
        </w:drawing>
      </w:r>
    </w:p>
    <w:p w14:paraId="51832562" w14:textId="3CB5E734" w:rsidR="00FB19C9" w:rsidRPr="00CC6CA3" w:rsidRDefault="00FB19C9">
      <w:pPr>
        <w:pStyle w:val="Caption"/>
        <w:jc w:val="center"/>
      </w:pPr>
      <w:bookmarkStart w:id="221" w:name="_Toc81553355"/>
      <w:r w:rsidRPr="00CC6CA3">
        <w:t xml:space="preserve">Figure </w:t>
      </w:r>
      <w:fldSimple w:instr=" STYLEREF 1 \s ">
        <w:r w:rsidR="001906D9" w:rsidRPr="00CC6CA3">
          <w:rPr>
            <w:noProof/>
          </w:rPr>
          <w:t>3</w:t>
        </w:r>
      </w:fldSimple>
      <w:r w:rsidRPr="00CC6CA3">
        <w:t>.</w:t>
      </w:r>
      <w:fldSimple w:instr=" SEQ Figure \* ARABIC \s 1 ">
        <w:r w:rsidR="001906D9" w:rsidRPr="00CC6CA3">
          <w:rPr>
            <w:noProof/>
          </w:rPr>
          <w:t>13</w:t>
        </w:r>
      </w:fldSimple>
      <w:r w:rsidRPr="00CC6CA3">
        <w:t xml:space="preserve"> Correlation between overall vibration X1 and Y1 of bearing 1 after data pre-processing</w:t>
      </w:r>
      <w:bookmarkEnd w:id="221"/>
    </w:p>
    <w:bookmarkEnd w:id="218"/>
    <w:p w14:paraId="0C6571D2" w14:textId="77777777" w:rsidR="00CF3219" w:rsidRPr="00CC6CA3" w:rsidRDefault="00CF3219" w:rsidP="00CF3219"/>
    <w:p w14:paraId="11963624" w14:textId="666E3F69" w:rsidR="00CF3219" w:rsidRPr="00CC6CA3" w:rsidRDefault="00CF3219" w:rsidP="00CF3219">
      <w:pPr>
        <w:pStyle w:val="Caption"/>
        <w:keepNext/>
      </w:pPr>
      <w:bookmarkStart w:id="222" w:name="_Ref69809801"/>
      <w:bookmarkStart w:id="223" w:name="_Toc81553472"/>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8C1E80" w:rsidRPr="00CC6CA3">
        <w:t>.</w:t>
      </w:r>
      <w:r w:rsidR="00D62691" w:rsidRPr="00CC6CA3">
        <w:fldChar w:fldCharType="begin"/>
      </w:r>
      <w:r w:rsidR="00D62691" w:rsidRPr="00CC6CA3">
        <w:instrText xml:space="preserve"> SEQ Table \* ARABIC \s </w:instrText>
      </w:r>
      <w:r w:rsidR="00D62691" w:rsidRPr="00CC6CA3">
        <w:instrText xml:space="preserve">1 </w:instrText>
      </w:r>
      <w:r w:rsidR="00D62691" w:rsidRPr="00CC6CA3">
        <w:fldChar w:fldCharType="separate"/>
      </w:r>
      <w:r w:rsidR="001906D9" w:rsidRPr="00CC6CA3">
        <w:rPr>
          <w:noProof/>
        </w:rPr>
        <w:t>3</w:t>
      </w:r>
      <w:r w:rsidR="00D62691" w:rsidRPr="00CC6CA3">
        <w:rPr>
          <w:noProof/>
        </w:rPr>
        <w:fldChar w:fldCharType="end"/>
      </w:r>
      <w:bookmarkEnd w:id="222"/>
      <w:r w:rsidRPr="00CC6CA3">
        <w:t xml:space="preserve"> Correlation results of all measurements </w:t>
      </w:r>
      <w:r w:rsidRPr="00CC6CA3">
        <w:rPr>
          <w:rFonts w:hint="eastAsia"/>
        </w:rPr>
        <w:t>on</w:t>
      </w:r>
      <w:r w:rsidRPr="00CC6CA3">
        <w:t xml:space="preserve"> pump from </w:t>
      </w:r>
      <w:bookmarkStart w:id="224" w:name="_Hlk21292374"/>
      <w:r w:rsidRPr="00CC6CA3">
        <w:t>10</w:t>
      </w:r>
      <w:r w:rsidRPr="00CC6CA3">
        <w:rPr>
          <w:vertAlign w:val="superscript"/>
        </w:rPr>
        <w:t>th</w:t>
      </w:r>
      <w:r w:rsidRPr="00CC6CA3">
        <w:t xml:space="preserve"> Mar 2013 </w:t>
      </w:r>
      <w:bookmarkEnd w:id="224"/>
      <w:r w:rsidRPr="00CC6CA3">
        <w:t>to 21</w:t>
      </w:r>
      <w:r w:rsidRPr="00CC6CA3">
        <w:rPr>
          <w:vertAlign w:val="superscript"/>
        </w:rPr>
        <w:t>st</w:t>
      </w:r>
      <w:r w:rsidRPr="00CC6CA3">
        <w:t xml:space="preserve"> Jun 2013</w:t>
      </w:r>
      <w:bookmarkEnd w:id="223"/>
    </w:p>
    <w:p w14:paraId="3812A614" w14:textId="77777777" w:rsidR="005803DC" w:rsidRPr="00CC6CA3" w:rsidRDefault="005803DC" w:rsidP="005803DC">
      <w:pPr>
        <w:keepNext/>
      </w:pPr>
      <w:r w:rsidRPr="00CC6CA3">
        <w:rPr>
          <w:noProof/>
        </w:rPr>
        <w:drawing>
          <wp:inline distT="0" distB="0" distL="0" distR="0" wp14:anchorId="3CA5F234" wp14:editId="454996D2">
            <wp:extent cx="5565775" cy="25171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65775" cy="2517140"/>
                    </a:xfrm>
                    <a:prstGeom prst="rect">
                      <a:avLst/>
                    </a:prstGeom>
                  </pic:spPr>
                </pic:pic>
              </a:graphicData>
            </a:graphic>
          </wp:inline>
        </w:drawing>
      </w:r>
    </w:p>
    <w:p w14:paraId="705A7B8C" w14:textId="77777777" w:rsidR="005803DC" w:rsidRPr="00CC6CA3" w:rsidRDefault="005803DC" w:rsidP="005803DC">
      <w:pPr>
        <w:pStyle w:val="Heading3"/>
      </w:pPr>
      <w:bookmarkStart w:id="225" w:name="_Toc81553268"/>
      <w:r w:rsidRPr="00CC6CA3">
        <w:t>Working conditions</w:t>
      </w:r>
      <w:bookmarkEnd w:id="225"/>
    </w:p>
    <w:p w14:paraId="5A428D23" w14:textId="02EA21C5" w:rsidR="005803DC" w:rsidRPr="00CC6CA3" w:rsidRDefault="00DD10CD" w:rsidP="005803DC">
      <w:r w:rsidRPr="00CC6CA3">
        <w:t>The working condition of the pump is linked to its mechanical action and method of control. To meet the requirements of end-users, several ways are used to control the pump</w:t>
      </w:r>
      <w:r w:rsidR="005803DC" w:rsidRPr="00CC6CA3">
        <w:t xml:space="preserve">. The most common ones are throttling control, rotational speed control, and sequence circuit </w:t>
      </w:r>
      <w:r w:rsidR="005803DC" w:rsidRPr="00CC6CA3">
        <w:fldChar w:fldCharType="begin"/>
      </w:r>
      <w:r w:rsidR="007D1BCC" w:rsidRPr="00CC6CA3">
        <w:instrText xml:space="preserve"> ADDIN ZOTERO_ITEM CSL_CITATION {"citationID":"a9s8l2e1r","properties":{"formattedCitation":"[137]","plainCitation":"[137]","noteIndex":0},"citationItems":[{"id":250,"uris":["http://zotero.org/users/3051968/items/NC3ENGGV"],"uri":["http://zotero.org/users/3051968/items/NC3ENGGV"],"itemData":{"id":250,"type":"book","abstract":"An up-to-date and unparalleled in-depth treatment of all kinds of flow phenomena encountered in centrifugal pumps is given, including the complex interactions of fluid flow with vibrations and wear of materials. The scope includes all aspects of hydraulic design, 3D-flow phenomena and partload operation, cavitation, numerical flow calculations, hydraulic forces, pressure pulsations, noise, pump vibrations (notably bearing housing vibrations diagnostics and remedies), pipe vibrations, pump characteristics and pump operation, the effects of highly viscous flows, pumping of gas-liquid mixtures, hydraulic transport of solids, fatigue damage to impellers or diffusers, material selection under the aspects of fatigue, corrosion, erosion-corrosion or hydro-abrasive wear, pump selection, and hydraulic quality criteria. Information on the methods and procedures for the various calculations and failure diagnostics discussed in the text are presented in tables which may be considered almost unique in the open literature. This comprehensive handbook focuses on practical application in the industry and is free of mathematical or theoretical ballast. In order to find viable solutions in practice, the physical mechanisms involved must be thoroughly understood. The book is focused on fostering this understanding which will benefit the pump engineer in industry as well as academia and students.","ISBN":"978-3-540-73695-0","language":"en","note":"Google-Books-ID: eurAVC3_Pk4C","number-of-pages":"957","publisher":"Springer Science &amp; Business Media","source":"Google Books","title":"Centrifugal Pumps","author":[{"family":"Gülich","given":"Johann Friedrich"}],"issued":{"date-parts":[["2007",10,25]]}}}],"schema":"https://github.com/citation-style-language/schema/raw/master/csl-citation.json"} </w:instrText>
      </w:r>
      <w:r w:rsidR="005803DC" w:rsidRPr="00CC6CA3">
        <w:fldChar w:fldCharType="separate"/>
      </w:r>
      <w:r w:rsidR="007D1BCC" w:rsidRPr="00CC6CA3">
        <w:rPr>
          <w:rFonts w:cs="Times New Roman"/>
        </w:rPr>
        <w:t>[137]</w:t>
      </w:r>
      <w:r w:rsidR="005803DC" w:rsidRPr="00CC6CA3">
        <w:fldChar w:fldCharType="end"/>
      </w:r>
      <w:r w:rsidR="005803DC" w:rsidRPr="00CC6CA3">
        <w:t>.</w:t>
      </w:r>
      <w:r w:rsidR="00F0364E" w:rsidRPr="00CC6CA3">
        <w:t xml:space="preserve"> The</w:t>
      </w:r>
      <w:r w:rsidRPr="00CC6CA3">
        <w:t xml:space="preserve"> flow, pressure and speed can be used to distinguish the pump's working conditions</w:t>
      </w:r>
      <w:r w:rsidR="005803DC" w:rsidRPr="00CC6CA3">
        <w:t xml:space="preserve">. There were two working conditions for the pump from 2012 to 2018 (see </w:t>
      </w:r>
      <w:r w:rsidR="005803DC" w:rsidRPr="00CC6CA3">
        <w:fldChar w:fldCharType="begin"/>
      </w:r>
      <w:r w:rsidR="005803DC" w:rsidRPr="00CC6CA3">
        <w:instrText xml:space="preserve"> REF _Ref16185893 \h </w:instrText>
      </w:r>
      <w:r w:rsidR="005803DC" w:rsidRPr="00CC6CA3">
        <w:fldChar w:fldCharType="separate"/>
      </w:r>
      <w:r w:rsidR="001906D9" w:rsidRPr="00CC6CA3">
        <w:t xml:space="preserve">Table </w:t>
      </w:r>
      <w:r w:rsidR="001906D9" w:rsidRPr="00CC6CA3">
        <w:rPr>
          <w:noProof/>
        </w:rPr>
        <w:t>3</w:t>
      </w:r>
      <w:r w:rsidR="001906D9" w:rsidRPr="00CC6CA3">
        <w:t>.</w:t>
      </w:r>
      <w:r w:rsidR="001906D9" w:rsidRPr="00CC6CA3">
        <w:rPr>
          <w:noProof/>
        </w:rPr>
        <w:t>4</w:t>
      </w:r>
      <w:r w:rsidR="005803DC" w:rsidRPr="00CC6CA3">
        <w:fldChar w:fldCharType="end"/>
      </w:r>
      <w:r w:rsidR="005803DC" w:rsidRPr="00CC6CA3">
        <w:t>).</w:t>
      </w:r>
    </w:p>
    <w:p w14:paraId="462D6B7B" w14:textId="641B53B7" w:rsidR="005803DC" w:rsidRPr="00CC6CA3" w:rsidRDefault="005803DC" w:rsidP="005803DC">
      <w:pPr>
        <w:pStyle w:val="Caption"/>
        <w:keepNext/>
      </w:pPr>
      <w:bookmarkStart w:id="226" w:name="_Ref16185893"/>
      <w:bookmarkStart w:id="227" w:name="_Toc81553473"/>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8C1E80" w:rsidRPr="00CC6CA3">
        <w:t>.</w:t>
      </w:r>
      <w:r w:rsidR="00D62691" w:rsidRPr="00CC6CA3">
        <w:fldChar w:fldCharType="begin"/>
      </w:r>
      <w:r w:rsidR="00D62691" w:rsidRPr="00CC6CA3">
        <w:instrText xml:space="preserve"> SEQ Table</w:instrText>
      </w:r>
      <w:r w:rsidR="00D62691" w:rsidRPr="00CC6CA3">
        <w:instrText xml:space="preserve"> \* ARABIC \s 1 </w:instrText>
      </w:r>
      <w:r w:rsidR="00D62691" w:rsidRPr="00CC6CA3">
        <w:fldChar w:fldCharType="separate"/>
      </w:r>
      <w:r w:rsidR="001906D9" w:rsidRPr="00CC6CA3">
        <w:rPr>
          <w:noProof/>
        </w:rPr>
        <w:t>4</w:t>
      </w:r>
      <w:r w:rsidR="00D62691" w:rsidRPr="00CC6CA3">
        <w:rPr>
          <w:noProof/>
        </w:rPr>
        <w:fldChar w:fldCharType="end"/>
      </w:r>
      <w:bookmarkEnd w:id="226"/>
      <w:r w:rsidRPr="00CC6CA3">
        <w:t xml:space="preserve"> Working conditions for the pump from 2012 to 2018</w:t>
      </w:r>
      <w:bookmarkEnd w:id="227"/>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684"/>
        <w:gridCol w:w="4110"/>
      </w:tblGrid>
      <w:tr w:rsidR="00CC6CA3" w:rsidRPr="00CC6CA3" w14:paraId="73EF2B2B" w14:textId="77777777" w:rsidTr="00F632C0">
        <w:tc>
          <w:tcPr>
            <w:tcW w:w="2684" w:type="dxa"/>
            <w:tcBorders>
              <w:top w:val="single" w:sz="8" w:space="0" w:color="A3A3A3"/>
              <w:left w:val="single" w:sz="8" w:space="0" w:color="A3A3A3"/>
              <w:bottom w:val="single" w:sz="8" w:space="0" w:color="A3A3A3"/>
              <w:right w:val="single" w:sz="8" w:space="0" w:color="A3A3A3"/>
            </w:tcBorders>
            <w:vAlign w:val="center"/>
          </w:tcPr>
          <w:p w14:paraId="57811983" w14:textId="77777777" w:rsidR="005803DC" w:rsidRPr="00CC6CA3" w:rsidRDefault="005803DC" w:rsidP="00F632C0">
            <w:pPr>
              <w:spacing w:after="0" w:line="240" w:lineRule="auto"/>
              <w:jc w:val="left"/>
              <w:rPr>
                <w:rFonts w:eastAsia="Times New Roman" w:cs="Times New Roman"/>
                <w:b/>
                <w:bCs/>
                <w:sz w:val="20"/>
                <w:szCs w:val="20"/>
              </w:rPr>
            </w:pPr>
            <w:r w:rsidRPr="00CC6CA3">
              <w:rPr>
                <w:rFonts w:eastAsia="Times New Roman" w:cs="Times New Roman"/>
                <w:b/>
                <w:bCs/>
                <w:sz w:val="20"/>
                <w:szCs w:val="20"/>
              </w:rPr>
              <w:t xml:space="preserve">Working </w:t>
            </w:r>
            <w:proofErr w:type="gramStart"/>
            <w:r w:rsidRPr="00CC6CA3">
              <w:rPr>
                <w:rFonts w:eastAsia="Times New Roman" w:cs="Times New Roman"/>
                <w:b/>
                <w:bCs/>
                <w:sz w:val="20"/>
                <w:szCs w:val="20"/>
              </w:rPr>
              <w:t>condition</w:t>
            </w:r>
            <w:proofErr w:type="gramEnd"/>
            <w:r w:rsidRPr="00CC6CA3">
              <w:rPr>
                <w:rFonts w:eastAsia="Times New Roman" w:cs="Times New Roman"/>
                <w:b/>
                <w:bCs/>
                <w:sz w:val="20"/>
                <w:szCs w:val="20"/>
              </w:rPr>
              <w:t xml:space="preserve"> A</w:t>
            </w:r>
          </w:p>
        </w:tc>
        <w:tc>
          <w:tcPr>
            <w:tcW w:w="41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BC898A" w14:textId="77777777" w:rsidR="005803DC" w:rsidRPr="00CC6CA3" w:rsidRDefault="005803DC" w:rsidP="00F632C0">
            <w:pPr>
              <w:spacing w:after="0" w:line="240" w:lineRule="auto"/>
              <w:jc w:val="left"/>
              <w:rPr>
                <w:rFonts w:eastAsia="Times New Roman" w:cs="Times New Roman"/>
                <w:sz w:val="20"/>
                <w:szCs w:val="20"/>
              </w:rPr>
            </w:pPr>
            <w:r w:rsidRPr="00CC6CA3">
              <w:rPr>
                <w:rFonts w:eastAsia="Times New Roman" w:cs="Times New Roman"/>
                <w:sz w:val="20"/>
                <w:szCs w:val="20"/>
              </w:rPr>
              <w:t xml:space="preserve">Speed: </w:t>
            </w:r>
            <w:r w:rsidRPr="00CC6CA3">
              <w:rPr>
                <w:sz w:val="20"/>
                <w:szCs w:val="20"/>
              </w:rPr>
              <w:t>9</w:t>
            </w:r>
            <w:r w:rsidRPr="00CC6CA3">
              <w:rPr>
                <w:rFonts w:hint="eastAsia"/>
                <w:sz w:val="20"/>
                <w:szCs w:val="20"/>
              </w:rPr>
              <w:t>0</w:t>
            </w:r>
            <w:r w:rsidRPr="00CC6CA3">
              <w:rPr>
                <w:sz w:val="20"/>
                <w:szCs w:val="20"/>
              </w:rPr>
              <w:t>-</w:t>
            </w:r>
            <w:r w:rsidRPr="00CC6CA3">
              <w:rPr>
                <w:rFonts w:hint="eastAsia"/>
                <w:sz w:val="20"/>
                <w:szCs w:val="20"/>
              </w:rPr>
              <w:t>105</w:t>
            </w:r>
            <w:r w:rsidRPr="00CC6CA3">
              <w:rPr>
                <w:sz w:val="20"/>
                <w:szCs w:val="20"/>
              </w:rPr>
              <w:t xml:space="preserve"> rpm</w:t>
            </w:r>
          </w:p>
          <w:p w14:paraId="71F52987" w14:textId="77777777" w:rsidR="005803DC" w:rsidRPr="00CC6CA3" w:rsidRDefault="005803DC" w:rsidP="00F632C0">
            <w:pPr>
              <w:spacing w:after="0" w:line="240" w:lineRule="auto"/>
              <w:jc w:val="left"/>
              <w:rPr>
                <w:rFonts w:eastAsia="Times New Roman" w:cs="Times New Roman"/>
                <w:sz w:val="20"/>
                <w:szCs w:val="20"/>
              </w:rPr>
            </w:pPr>
            <w:r w:rsidRPr="00CC6CA3">
              <w:rPr>
                <w:rFonts w:eastAsia="Times New Roman" w:cs="Times New Roman"/>
                <w:sz w:val="20"/>
                <w:szCs w:val="20"/>
              </w:rPr>
              <w:t>Discharge pressure:</w:t>
            </w:r>
            <w:r w:rsidRPr="00CC6CA3">
              <w:rPr>
                <w:sz w:val="20"/>
                <w:szCs w:val="20"/>
              </w:rPr>
              <w:t xml:space="preserve"> 22</w:t>
            </w:r>
            <w:r w:rsidRPr="00CC6CA3">
              <w:rPr>
                <w:rFonts w:hint="eastAsia"/>
                <w:sz w:val="20"/>
                <w:szCs w:val="20"/>
              </w:rPr>
              <w:t>6</w:t>
            </w:r>
            <w:r w:rsidRPr="00CC6CA3">
              <w:rPr>
                <w:sz w:val="20"/>
                <w:szCs w:val="20"/>
              </w:rPr>
              <w:t>-230 bar</w:t>
            </w:r>
          </w:p>
          <w:p w14:paraId="65471B4C" w14:textId="77777777" w:rsidR="005803DC" w:rsidRPr="00CC6CA3" w:rsidRDefault="005803DC" w:rsidP="00F632C0">
            <w:pPr>
              <w:spacing w:after="0" w:line="240" w:lineRule="auto"/>
              <w:jc w:val="left"/>
              <w:rPr>
                <w:rFonts w:eastAsia="Times New Roman" w:cs="Times New Roman"/>
                <w:sz w:val="20"/>
                <w:szCs w:val="20"/>
              </w:rPr>
            </w:pPr>
            <w:r w:rsidRPr="00CC6CA3">
              <w:rPr>
                <w:rFonts w:eastAsia="Times New Roman" w:cs="Times New Roman"/>
                <w:sz w:val="20"/>
                <w:szCs w:val="20"/>
              </w:rPr>
              <w:t xml:space="preserve">Flow: </w:t>
            </w:r>
            <w:r w:rsidRPr="00CC6CA3">
              <w:rPr>
                <w:rFonts w:hint="eastAsia"/>
                <w:sz w:val="20"/>
                <w:szCs w:val="20"/>
              </w:rPr>
              <w:t>850</w:t>
            </w:r>
            <w:r w:rsidRPr="00CC6CA3">
              <w:rPr>
                <w:sz w:val="20"/>
                <w:szCs w:val="20"/>
              </w:rPr>
              <w:t>-1250 km</w:t>
            </w:r>
            <w:r w:rsidRPr="00CC6CA3">
              <w:rPr>
                <w:sz w:val="20"/>
                <w:szCs w:val="20"/>
                <w:vertAlign w:val="superscript"/>
              </w:rPr>
              <w:t>3</w:t>
            </w:r>
            <w:r w:rsidRPr="00CC6CA3">
              <w:rPr>
                <w:sz w:val="20"/>
                <w:szCs w:val="20"/>
              </w:rPr>
              <w:t>/d</w:t>
            </w:r>
          </w:p>
        </w:tc>
      </w:tr>
      <w:tr w:rsidR="00CC6CA3" w:rsidRPr="00CC6CA3" w14:paraId="5BC5D6DA" w14:textId="77777777" w:rsidTr="00F632C0">
        <w:tc>
          <w:tcPr>
            <w:tcW w:w="2684" w:type="dxa"/>
            <w:tcBorders>
              <w:top w:val="single" w:sz="8" w:space="0" w:color="A3A3A3"/>
              <w:left w:val="single" w:sz="8" w:space="0" w:color="A3A3A3"/>
              <w:bottom w:val="single" w:sz="8" w:space="0" w:color="A3A3A3"/>
              <w:right w:val="single" w:sz="8" w:space="0" w:color="A3A3A3"/>
            </w:tcBorders>
            <w:vAlign w:val="center"/>
          </w:tcPr>
          <w:p w14:paraId="3957F46D" w14:textId="77777777" w:rsidR="005803DC" w:rsidRPr="00CC6CA3" w:rsidRDefault="005803DC" w:rsidP="00F632C0">
            <w:pPr>
              <w:spacing w:after="0" w:line="240" w:lineRule="auto"/>
              <w:jc w:val="left"/>
              <w:rPr>
                <w:rFonts w:eastAsia="Times New Roman" w:cs="Times New Roman"/>
                <w:b/>
                <w:bCs/>
                <w:sz w:val="20"/>
                <w:szCs w:val="20"/>
              </w:rPr>
            </w:pPr>
            <w:r w:rsidRPr="00CC6CA3">
              <w:rPr>
                <w:rFonts w:eastAsia="Times New Roman" w:cs="Times New Roman"/>
                <w:b/>
                <w:bCs/>
                <w:sz w:val="20"/>
                <w:szCs w:val="20"/>
              </w:rPr>
              <w:t>Working condition B</w:t>
            </w:r>
          </w:p>
        </w:tc>
        <w:tc>
          <w:tcPr>
            <w:tcW w:w="41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48D156" w14:textId="77777777" w:rsidR="005803DC" w:rsidRPr="00CC6CA3" w:rsidRDefault="005803DC" w:rsidP="00F632C0">
            <w:pPr>
              <w:spacing w:after="0" w:line="240" w:lineRule="auto"/>
              <w:jc w:val="left"/>
              <w:rPr>
                <w:rFonts w:eastAsia="Times New Roman" w:cs="Times New Roman"/>
                <w:sz w:val="20"/>
                <w:szCs w:val="20"/>
              </w:rPr>
            </w:pPr>
            <w:r w:rsidRPr="00CC6CA3">
              <w:rPr>
                <w:rFonts w:eastAsia="Times New Roman" w:cs="Times New Roman"/>
                <w:sz w:val="20"/>
                <w:szCs w:val="20"/>
              </w:rPr>
              <w:t xml:space="preserve">Speed: </w:t>
            </w:r>
            <w:r w:rsidRPr="00CC6CA3">
              <w:rPr>
                <w:sz w:val="20"/>
                <w:szCs w:val="20"/>
              </w:rPr>
              <w:t>95-105 rpm</w:t>
            </w:r>
          </w:p>
          <w:p w14:paraId="4A93C4FB" w14:textId="77777777" w:rsidR="005803DC" w:rsidRPr="00CC6CA3" w:rsidRDefault="005803DC" w:rsidP="00F632C0">
            <w:pPr>
              <w:spacing w:after="0" w:line="240" w:lineRule="auto"/>
              <w:jc w:val="left"/>
              <w:rPr>
                <w:rFonts w:eastAsia="Times New Roman" w:cs="Times New Roman"/>
                <w:sz w:val="20"/>
                <w:szCs w:val="20"/>
              </w:rPr>
            </w:pPr>
            <w:r w:rsidRPr="00CC6CA3">
              <w:rPr>
                <w:rFonts w:eastAsia="Times New Roman" w:cs="Times New Roman"/>
                <w:sz w:val="20"/>
                <w:szCs w:val="20"/>
              </w:rPr>
              <w:t xml:space="preserve">Discharge pressure: </w:t>
            </w:r>
            <w:r w:rsidRPr="00CC6CA3">
              <w:rPr>
                <w:sz w:val="20"/>
                <w:szCs w:val="20"/>
              </w:rPr>
              <w:t>203-220 bar</w:t>
            </w:r>
          </w:p>
          <w:p w14:paraId="21F8AB06" w14:textId="77777777" w:rsidR="005803DC" w:rsidRPr="00CC6CA3" w:rsidRDefault="005803DC" w:rsidP="00F632C0">
            <w:pPr>
              <w:spacing w:after="0" w:line="240" w:lineRule="auto"/>
              <w:jc w:val="left"/>
              <w:rPr>
                <w:rFonts w:eastAsia="Times New Roman" w:cs="Times New Roman"/>
                <w:sz w:val="20"/>
                <w:szCs w:val="20"/>
              </w:rPr>
            </w:pPr>
            <w:r w:rsidRPr="00CC6CA3">
              <w:rPr>
                <w:rFonts w:eastAsia="Times New Roman" w:cs="Times New Roman"/>
                <w:sz w:val="20"/>
                <w:szCs w:val="20"/>
              </w:rPr>
              <w:t xml:space="preserve">Flow: </w:t>
            </w:r>
            <w:r w:rsidRPr="00CC6CA3">
              <w:rPr>
                <w:sz w:val="20"/>
                <w:szCs w:val="20"/>
              </w:rPr>
              <w:t>1250-1400 km</w:t>
            </w:r>
            <w:r w:rsidRPr="00CC6CA3">
              <w:rPr>
                <w:sz w:val="20"/>
                <w:szCs w:val="20"/>
                <w:vertAlign w:val="superscript"/>
              </w:rPr>
              <w:t>3</w:t>
            </w:r>
            <w:r w:rsidRPr="00CC6CA3">
              <w:rPr>
                <w:sz w:val="20"/>
                <w:szCs w:val="20"/>
              </w:rPr>
              <w:t>/d</w:t>
            </w:r>
          </w:p>
        </w:tc>
      </w:tr>
    </w:tbl>
    <w:p w14:paraId="039742B9" w14:textId="77777777" w:rsidR="005803DC" w:rsidRPr="00CC6CA3" w:rsidRDefault="005803DC" w:rsidP="005803DC">
      <w:pPr>
        <w:pStyle w:val="Heading3"/>
      </w:pPr>
      <w:bookmarkStart w:id="228" w:name="_Toc80396048"/>
      <w:bookmarkStart w:id="229" w:name="_Toc81542259"/>
      <w:bookmarkStart w:id="230" w:name="_Toc81553269"/>
      <w:bookmarkEnd w:id="228"/>
      <w:bookmarkEnd w:id="229"/>
      <w:r w:rsidRPr="00CC6CA3">
        <w:lastRenderedPageBreak/>
        <w:t>Representative faults</w:t>
      </w:r>
      <w:bookmarkEnd w:id="230"/>
    </w:p>
    <w:p w14:paraId="5CE75898" w14:textId="4B9E6B67" w:rsidR="005803DC" w:rsidRPr="00CC6CA3" w:rsidRDefault="0043016E" w:rsidP="005803DC">
      <w:r w:rsidRPr="00CC6CA3">
        <w:t>From 2012 to 2018, the pump experienced three faults</w:t>
      </w:r>
      <w:r w:rsidR="00F0364E" w:rsidRPr="00CC6CA3">
        <w:t xml:space="preserve"> according to logbook</w:t>
      </w:r>
      <w:r w:rsidRPr="00CC6CA3">
        <w:t>, sensor fault, bearing fault, and a misalignment fault. These types of faults are described in the following sections</w:t>
      </w:r>
      <w:r w:rsidR="005803DC" w:rsidRPr="00CC6CA3">
        <w:t>.</w:t>
      </w:r>
    </w:p>
    <w:p w14:paraId="323EB18F" w14:textId="77777777" w:rsidR="005803DC" w:rsidRPr="00CC6CA3" w:rsidRDefault="005803DC" w:rsidP="005803DC">
      <w:pPr>
        <w:pStyle w:val="Heading4"/>
      </w:pPr>
      <w:r w:rsidRPr="00CC6CA3">
        <w:t>Sensor fault</w:t>
      </w:r>
    </w:p>
    <w:p w14:paraId="2A2E9BD5" w14:textId="06911CE2" w:rsidR="005803DC" w:rsidRPr="00CC6CA3" w:rsidRDefault="0043016E" w:rsidP="005803DC">
      <w:r w:rsidRPr="00CC6CA3">
        <w:t xml:space="preserve">In the petrochemical industries, essential systems are usually equipped with sensors to monitor their health condition. The sensor readings are </w:t>
      </w:r>
      <w:r w:rsidRPr="00CC6CA3">
        <w:rPr>
          <w:rFonts w:hint="eastAsia"/>
        </w:rPr>
        <w:t>t</w:t>
      </w:r>
      <w:r w:rsidRPr="00CC6CA3">
        <w:t xml:space="preserve">he inputs of the condition monitoring and decision-making system, so that they can influence the fault detection results, remaining useful life prediction and maintenance decisions. Unfortunately, sensors are susceptible to hardware and software faults, incorrect hardware design, improper calibration, or low battery levels </w:t>
      </w:r>
      <w:r w:rsidR="005803DC" w:rsidRPr="00CC6CA3">
        <w:fldChar w:fldCharType="begin"/>
      </w:r>
      <w:r w:rsidR="007D1BCC" w:rsidRPr="00CC6CA3">
        <w:instrText xml:space="preserve"> ADDIN ZOTERO_ITEM CSL_CITATION {"citationID":"TtZAyqdr","properties":{"formattedCitation":"[138]","plainCitation":"[138]","noteIndex":0},"citationItems":[{"id":790,"uris":["http://zotero.org/users/3051968/items/MECL68DQ"],"uri":["http://zotero.org/users/3051968/items/MECL68DQ"],"itemData":{"id":790,"type":"article-journal","container-title":"ACM Transactions on Sensor Networks (TOSN)","issue":"3","page":"1–39","source":"Google Scholar","title":"Sensor faults: Detection methods and prevalence in real-world datasets","title-short":"Sensor faults","volume":"6","author":[{"family":"Sharma","given":"Abhishek B."},{"family":"Golubchik","given":"Leana"},{"family":"Govindan","given":"Ramesh"}],"issued":{"date-parts":[["2010"]]}}}],"schema":"https://github.com/citation-style-language/schema/raw/master/csl-citation.json"} </w:instrText>
      </w:r>
      <w:r w:rsidR="005803DC" w:rsidRPr="00CC6CA3">
        <w:fldChar w:fldCharType="separate"/>
      </w:r>
      <w:r w:rsidR="007D1BCC" w:rsidRPr="00CC6CA3">
        <w:rPr>
          <w:rFonts w:cs="Times New Roman"/>
        </w:rPr>
        <w:t>[138]</w:t>
      </w:r>
      <w:r w:rsidR="005803DC" w:rsidRPr="00CC6CA3">
        <w:fldChar w:fldCharType="end"/>
      </w:r>
      <w:r w:rsidR="005803DC" w:rsidRPr="00CC6CA3">
        <w:t xml:space="preserve">. Sharma et al. </w:t>
      </w:r>
      <w:r w:rsidR="005803DC" w:rsidRPr="00CC6CA3">
        <w:fldChar w:fldCharType="begin"/>
      </w:r>
      <w:r w:rsidR="007D1BCC" w:rsidRPr="00CC6CA3">
        <w:instrText xml:space="preserve"> ADDIN ZOTERO_ITEM CSL_CITATION {"citationID":"N0qHU6Yy","properties":{"formattedCitation":"[138]","plainCitation":"[138]","noteIndex":0},"citationItems":[{"id":790,"uris":["http://zotero.org/users/3051968/items/MECL68DQ"],"uri":["http://zotero.org/users/3051968/items/MECL68DQ"],"itemData":{"id":790,"type":"article-journal","container-title":"ACM Transactions on Sensor Networks (TOSN)","issue":"3","page":"1–39","source":"Google Scholar","title":"Sensor faults: Detection methods and prevalence in real-world datasets","title-short":"Sensor faults","volume":"6","author":[{"family":"Sharma","given":"Abhishek B."},{"family":"Golubchik","given":"Leana"},{"family":"Govindan","given":"Ramesh"}],"issued":{"date-parts":[["2010"]]}}}],"schema":"https://github.com/citation-style-language/schema/raw/master/csl-citation.json"} </w:instrText>
      </w:r>
      <w:r w:rsidR="005803DC" w:rsidRPr="00CC6CA3">
        <w:fldChar w:fldCharType="separate"/>
      </w:r>
      <w:r w:rsidR="007D1BCC" w:rsidRPr="00CC6CA3">
        <w:rPr>
          <w:rFonts w:cs="Times New Roman"/>
        </w:rPr>
        <w:t>[138]</w:t>
      </w:r>
      <w:r w:rsidR="005803DC" w:rsidRPr="00CC6CA3">
        <w:fldChar w:fldCharType="end"/>
      </w:r>
      <w:r w:rsidR="005803DC" w:rsidRPr="00CC6CA3">
        <w:t xml:space="preserve"> </w:t>
      </w:r>
      <w:r w:rsidRPr="00CC6CA3">
        <w:t>divided sensor detection methods into four classes</w:t>
      </w:r>
      <w:r w:rsidR="005803DC" w:rsidRPr="00CC6CA3">
        <w:t xml:space="preserve">, which are rule-based, estimation-based, time-series-analysis-based, and learning-based methods. Each method has its advantages and disadvantages. For example, the rule-based methods can be highly accurate, but their accuracy depends critically on the choice of parameters. Estimation-based methods are </w:t>
      </w:r>
      <w:proofErr w:type="gramStart"/>
      <w:r w:rsidR="005803DC" w:rsidRPr="00CC6CA3">
        <w:t>accurate, but</w:t>
      </w:r>
      <w:proofErr w:type="gramEnd"/>
      <w:r w:rsidR="005803DC" w:rsidRPr="00CC6CA3">
        <w:t xml:space="preserve"> cannot classify faults. Learning-based methods can be cumbersome to </w:t>
      </w:r>
      <w:proofErr w:type="gramStart"/>
      <w:r w:rsidR="005803DC" w:rsidRPr="00CC6CA3">
        <w:t>train, but</w:t>
      </w:r>
      <w:proofErr w:type="gramEnd"/>
      <w:r w:rsidR="005803DC" w:rsidRPr="00CC6CA3">
        <w:t xml:space="preserve"> can accurately detect and classify faults. Time-series-analysis-based methods are more effective for detecting short-duration faults than long-duration ones, but they incur more false positives than the other methods. An example of a sensor fault in the pump data set can be found in </w:t>
      </w:r>
      <w:r w:rsidR="005803DC" w:rsidRPr="00CC6CA3">
        <w:fldChar w:fldCharType="begin"/>
      </w:r>
      <w:r w:rsidR="005803DC" w:rsidRPr="00CC6CA3">
        <w:instrText xml:space="preserve"> REF _Ref32696313 \h </w:instrText>
      </w:r>
      <w:r w:rsidR="005803DC" w:rsidRPr="00CC6CA3">
        <w:fldChar w:fldCharType="separate"/>
      </w:r>
      <w:r w:rsidR="001906D9" w:rsidRPr="00CC6CA3">
        <w:t xml:space="preserve">Figure </w:t>
      </w:r>
      <w:r w:rsidR="001906D9" w:rsidRPr="00CC6CA3">
        <w:rPr>
          <w:noProof/>
        </w:rPr>
        <w:t>3</w:t>
      </w:r>
      <w:r w:rsidR="001906D9" w:rsidRPr="00CC6CA3">
        <w:t>.</w:t>
      </w:r>
      <w:r w:rsidR="001906D9" w:rsidRPr="00CC6CA3">
        <w:rPr>
          <w:noProof/>
        </w:rPr>
        <w:t>14</w:t>
      </w:r>
      <w:r w:rsidR="005803DC" w:rsidRPr="00CC6CA3">
        <w:fldChar w:fldCharType="end"/>
      </w:r>
      <w:r w:rsidR="005803DC" w:rsidRPr="00CC6CA3">
        <w:t>. The detection of sensor faults is out of the scope of this thesis.</w:t>
      </w:r>
    </w:p>
    <w:p w14:paraId="591D0EE6" w14:textId="77777777" w:rsidR="005803DC" w:rsidRPr="00CC6CA3" w:rsidRDefault="005803DC" w:rsidP="005803DC">
      <w:pPr>
        <w:keepNext/>
        <w:jc w:val="center"/>
      </w:pPr>
      <w:r w:rsidRPr="00CC6CA3">
        <w:object w:dxaOrig="9205" w:dyaOrig="4560" w14:anchorId="4798F655">
          <v:shape id="_x0000_i1039" type="#_x0000_t75" style="width:372pt;height:186pt" o:ole="">
            <v:imagedata r:id="rId64" o:title=""/>
          </v:shape>
          <o:OLEObject Type="Embed" ProgID="Visio.Drawing.15" ShapeID="_x0000_i1039" DrawAspect="Content" ObjectID="_1692500318" r:id="rId65"/>
        </w:object>
      </w:r>
    </w:p>
    <w:p w14:paraId="4AD16333" w14:textId="5F024D3F" w:rsidR="005803DC" w:rsidRPr="00CC6CA3" w:rsidRDefault="005803DC" w:rsidP="005803DC">
      <w:pPr>
        <w:pStyle w:val="Caption"/>
        <w:jc w:val="center"/>
      </w:pPr>
      <w:bookmarkStart w:id="231" w:name="_Ref32696313"/>
      <w:bookmarkStart w:id="232" w:name="_Toc81553356"/>
      <w:r w:rsidRPr="00CC6CA3">
        <w:t xml:space="preserve">Figure </w:t>
      </w:r>
      <w:r w:rsidR="00D62691" w:rsidRPr="00CC6CA3">
        <w:fldChar w:fldCharType="begin"/>
      </w:r>
      <w:r w:rsidR="00D62691" w:rsidRPr="00CC6CA3">
        <w:instrText xml:space="preserve"> STYLE</w:instrText>
      </w:r>
      <w:r w:rsidR="00D62691" w:rsidRPr="00CC6CA3">
        <w:instrText xml:space="preserv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14</w:t>
      </w:r>
      <w:r w:rsidR="00D62691" w:rsidRPr="00CC6CA3">
        <w:rPr>
          <w:noProof/>
        </w:rPr>
        <w:fldChar w:fldCharType="end"/>
      </w:r>
      <w:bookmarkEnd w:id="231"/>
      <w:r w:rsidRPr="00CC6CA3">
        <w:t xml:space="preserve"> Sensor fault in discharge temperature in the pump data set, (a) historical data, (b) histogram.</w:t>
      </w:r>
      <w:bookmarkEnd w:id="232"/>
    </w:p>
    <w:p w14:paraId="5DD7669B" w14:textId="77777777" w:rsidR="005803DC" w:rsidRPr="00CC6CA3" w:rsidRDefault="005803DC" w:rsidP="005803DC">
      <w:pPr>
        <w:pStyle w:val="Heading4"/>
      </w:pPr>
      <w:bookmarkStart w:id="233" w:name="_Hlk32703150"/>
      <w:r w:rsidRPr="00CC6CA3">
        <w:lastRenderedPageBreak/>
        <w:t>Misalignment fault</w:t>
      </w:r>
    </w:p>
    <w:p w14:paraId="2B88224D" w14:textId="52BAD354" w:rsidR="005803DC" w:rsidRPr="00CC6CA3" w:rsidRDefault="00CD5442" w:rsidP="005803DC">
      <w:r w:rsidRPr="00CC6CA3">
        <w:t xml:space="preserve">The shaft is the central part of a </w:t>
      </w:r>
      <w:r w:rsidRPr="00CC6CA3">
        <w:rPr>
          <w:rFonts w:hint="eastAsia"/>
        </w:rPr>
        <w:t>pump</w:t>
      </w:r>
      <w:r w:rsidRPr="00CC6CA3">
        <w:t xml:space="preserve">. It connects all the component parts </w:t>
      </w:r>
      <w:proofErr w:type="gramStart"/>
      <w:r w:rsidRPr="00CC6CA3">
        <w:t>together,</w:t>
      </w:r>
      <w:proofErr w:type="gramEnd"/>
      <w:r w:rsidRPr="00CC6CA3">
        <w:t xml:space="preserve"> it drives the pump and rotate</w:t>
      </w:r>
      <w:r w:rsidRPr="00CC6CA3">
        <w:rPr>
          <w:rFonts w:hint="eastAsia"/>
        </w:rPr>
        <w:t>s</w:t>
      </w:r>
      <w:r w:rsidRPr="00CC6CA3">
        <w:t xml:space="preserve"> at high speed. Hence, monitoring its condition is of great importance.</w:t>
      </w:r>
      <w:r w:rsidRPr="00CC6CA3">
        <w:rPr>
          <w:rFonts w:hint="eastAsia"/>
        </w:rPr>
        <w:t xml:space="preserve"> The</w:t>
      </w:r>
      <w:r w:rsidRPr="00CC6CA3">
        <w:t xml:space="preserve"> faults that might occur in a shaft include</w:t>
      </w:r>
      <w:r w:rsidRPr="00CC6CA3">
        <w:rPr>
          <w:rFonts w:hint="eastAsia"/>
        </w:rPr>
        <w:t xml:space="preserve"> </w:t>
      </w:r>
      <w:bookmarkStart w:id="234" w:name="OLE_LINK42"/>
      <w:r w:rsidRPr="00CC6CA3">
        <w:rPr>
          <w:rFonts w:hint="eastAsia"/>
        </w:rPr>
        <w:t xml:space="preserve">rotor </w:t>
      </w:r>
      <w:r w:rsidRPr="00CC6CA3">
        <w:t>unbalance, wear,</w:t>
      </w:r>
      <w:r w:rsidRPr="00CC6CA3">
        <w:rPr>
          <w:rFonts w:hint="eastAsia"/>
        </w:rPr>
        <w:t xml:space="preserve"> crack,</w:t>
      </w:r>
      <w:r w:rsidRPr="00CC6CA3">
        <w:t xml:space="preserve"> misalignment</w:t>
      </w:r>
      <w:r w:rsidRPr="00CC6CA3">
        <w:rPr>
          <w:rFonts w:hint="eastAsia"/>
        </w:rPr>
        <w:t xml:space="preserve"> and</w:t>
      </w:r>
      <w:r w:rsidRPr="00CC6CA3">
        <w:t xml:space="preserve"> bending</w:t>
      </w:r>
      <w:bookmarkEnd w:id="234"/>
      <w:r w:rsidRPr="00CC6CA3">
        <w:t>, which might result from corrosion, alternating stress, overload, and poor working conditions</w:t>
      </w:r>
      <w:r w:rsidRPr="00CC6CA3">
        <w:rPr>
          <w:rFonts w:hint="eastAsia"/>
        </w:rPr>
        <w:t xml:space="preserve">. </w:t>
      </w:r>
      <w:r w:rsidRPr="00CC6CA3">
        <w:t>A</w:t>
      </w:r>
      <w:r w:rsidRPr="00CC6CA3">
        <w:rPr>
          <w:rFonts w:hint="eastAsia"/>
        </w:rPr>
        <w:t xml:space="preserve">mong these, </w:t>
      </w:r>
      <w:r w:rsidRPr="00CC6CA3">
        <w:t>misalignment</w:t>
      </w:r>
      <w:r w:rsidRPr="00CC6CA3">
        <w:rPr>
          <w:rFonts w:hint="eastAsia"/>
        </w:rPr>
        <w:t xml:space="preserve"> </w:t>
      </w:r>
      <w:r w:rsidRPr="00CC6CA3">
        <w:t>is</w:t>
      </w:r>
      <w:r w:rsidRPr="00CC6CA3">
        <w:rPr>
          <w:rFonts w:hint="eastAsia"/>
        </w:rPr>
        <w:t xml:space="preserve"> o</w:t>
      </w:r>
      <w:r w:rsidRPr="00CC6CA3">
        <w:t xml:space="preserve">ne of the </w:t>
      </w:r>
      <w:r w:rsidRPr="00CC6CA3">
        <w:rPr>
          <w:rFonts w:hint="eastAsia"/>
        </w:rPr>
        <w:t>most common</w:t>
      </w:r>
      <w:r w:rsidRPr="00CC6CA3">
        <w:t xml:space="preserve"> faults</w:t>
      </w:r>
      <w:r w:rsidRPr="00CC6CA3">
        <w:rPr>
          <w:rFonts w:hint="eastAsia"/>
        </w:rPr>
        <w:t>.</w:t>
      </w:r>
      <w:r w:rsidRPr="00CC6CA3">
        <w:t xml:space="preserve"> Misalignment can be detected using vibration signals of the shaft or bearings </w:t>
      </w:r>
      <w:r w:rsidR="005803DC" w:rsidRPr="00CC6CA3">
        <w:fldChar w:fldCharType="begin"/>
      </w:r>
      <w:r w:rsidR="007D1BCC" w:rsidRPr="00CC6CA3">
        <w:instrText xml:space="preserve"> ADDIN ZOTERO_ITEM CSL_CITATION {"citationID":"sd3QLmeJ","properties":{"formattedCitation":"[139]","plainCitation":"[139]","noteIndex":0},"citationItems":[{"id":794,"uris":["http://zotero.org/users/3051968/items/RRHMSP89"],"uri":["http://zotero.org/users/3051968/items/RRHMSP89"],"itemData":{"id":794,"type":"article-journal","container-title":"Proceedings of the Institution of Mechanical Engineers, Part C: Journal of Mechanical Engineering Science","issue":"9","page":"971–985","source":"Google Scholar","title":"Vibration analysis of rotors for the identification of shaft misalignment Part 1: theoretical analysis","title-short":"Vibration analysis of rotors for the identification of shaft misalignment Part 1","volume":"218","author":[{"family":"Saavedra","given":"P. N."},{"family":"Ramirez","given":"D. E."}],"issued":{"date-parts":[["2004"]]}}}],"schema":"https://github.com/citation-style-language/schema/raw/master/csl-citation.json"} </w:instrText>
      </w:r>
      <w:r w:rsidR="005803DC" w:rsidRPr="00CC6CA3">
        <w:fldChar w:fldCharType="separate"/>
      </w:r>
      <w:r w:rsidR="007D1BCC" w:rsidRPr="00CC6CA3">
        <w:rPr>
          <w:rFonts w:cs="Times New Roman"/>
        </w:rPr>
        <w:t>[139]</w:t>
      </w:r>
      <w:r w:rsidR="005803DC" w:rsidRPr="00CC6CA3">
        <w:fldChar w:fldCharType="end"/>
      </w:r>
      <w:r w:rsidR="005803DC" w:rsidRPr="00CC6CA3">
        <w:t xml:space="preserve">, bearing temperature signals </w:t>
      </w:r>
      <w:r w:rsidR="005803DC" w:rsidRPr="00CC6CA3">
        <w:fldChar w:fldCharType="begin"/>
      </w:r>
      <w:r w:rsidR="007D1BCC" w:rsidRPr="00CC6CA3">
        <w:instrText xml:space="preserve"> ADDIN ZOTERO_ITEM CSL_CITATION {"citationID":"xUWx2cUJ","properties":{"formattedCitation":"[140]","plainCitation":"[140]","noteIndex":0},"citationItems":[{"id":792,"uris":["http://zotero.org/users/3051968/items/Z537Y5R8"],"uri":["http://zotero.org/users/3051968/items/Z537Y5R8"],"itemData":{"id":792,"type":"article-journal","container-title":"IFAC-PapersOnLine","issue":"21","page":"554–559","source":"Google Scholar","title":"Shaft misalignment detection by thermal imaging of support bearings","volume":"48","author":[{"family":"Mohanty","given":"A. R."},{"family":"Fatima","given":"S."}],"issued":{"date-parts":[["2015"]]}}}],"schema":"https://github.com/citation-style-language/schema/raw/master/csl-citation.json"} </w:instrText>
      </w:r>
      <w:r w:rsidR="005803DC" w:rsidRPr="00CC6CA3">
        <w:fldChar w:fldCharType="separate"/>
      </w:r>
      <w:r w:rsidR="007D1BCC" w:rsidRPr="00CC6CA3">
        <w:rPr>
          <w:rFonts w:cs="Times New Roman"/>
        </w:rPr>
        <w:t>[140]</w:t>
      </w:r>
      <w:r w:rsidR="005803DC" w:rsidRPr="00CC6CA3">
        <w:fldChar w:fldCharType="end"/>
      </w:r>
      <w:r w:rsidR="005803DC" w:rsidRPr="00CC6CA3">
        <w:t>, root mean square</w:t>
      </w:r>
      <w:r w:rsidR="005803DC" w:rsidRPr="00CC6CA3">
        <w:rPr>
          <w:rFonts w:hint="eastAsia"/>
        </w:rPr>
        <w:t xml:space="preserve"> </w:t>
      </w:r>
      <w:r w:rsidR="005803DC" w:rsidRPr="00CC6CA3">
        <w:t>(</w:t>
      </w:r>
      <w:r w:rsidR="005803DC" w:rsidRPr="00CC6CA3">
        <w:rPr>
          <w:rFonts w:hint="eastAsia"/>
        </w:rPr>
        <w:t>RMS</w:t>
      </w:r>
      <w:r w:rsidR="005803DC" w:rsidRPr="00CC6CA3">
        <w:t>)</w:t>
      </w:r>
      <w:r w:rsidR="005803DC" w:rsidRPr="00CC6CA3">
        <w:rPr>
          <w:rFonts w:hint="eastAsia"/>
        </w:rPr>
        <w:t xml:space="preserve"> </w:t>
      </w:r>
      <w:r w:rsidR="005803DC" w:rsidRPr="00CC6CA3">
        <w:t xml:space="preserve">and </w:t>
      </w:r>
      <w:r w:rsidRPr="00CC6CA3">
        <w:t xml:space="preserve">energy in the acoustic emission signals </w:t>
      </w:r>
      <w:r w:rsidR="005803DC" w:rsidRPr="00CC6CA3">
        <w:fldChar w:fldCharType="begin"/>
      </w:r>
      <w:r w:rsidR="007D1BCC" w:rsidRPr="00CC6CA3">
        <w:instrText xml:space="preserve"> ADDIN ZOTERO_ITEM CSL_CITATION {"citationID":"p9pk1qcmd","properties":{"formattedCitation":"[141]","plainCitation":"[141]","noteIndex":0},"citationItems":[{"id":"jMlmauCg/xcIhJA54","uris":["http://zotero.org/users/3051968/items/59TSNM4T"],"uri":["http://zotero.org/users/3051968/items/59TSNM4T"],"itemData":{"id":182,"type":"article-journal","title":"Observations of acoustic emission activity during gear defect diagnosis","container-title":"NDT &amp; E International","page":"471-477","volume":"36","issue":"7","source":"CrossRef","DOI":"10.1016/S0963-8695(03)00063-X","ISSN":"09638695","language":"en","author":[{"family":"Toutountzakis","given":"Tim"},{"family":"Mba","given":"David"}],"issued":{"date-parts":[["2003",10]]}}}],"schema":"https://github.com/citation-style-language/schema/raw/master/csl-citation.json"} </w:instrText>
      </w:r>
      <w:r w:rsidR="005803DC" w:rsidRPr="00CC6CA3">
        <w:fldChar w:fldCharType="separate"/>
      </w:r>
      <w:r w:rsidR="007D1BCC" w:rsidRPr="00CC6CA3">
        <w:rPr>
          <w:rFonts w:cs="Times New Roman"/>
        </w:rPr>
        <w:t>[141]</w:t>
      </w:r>
      <w:r w:rsidR="005803DC" w:rsidRPr="00CC6CA3">
        <w:fldChar w:fldCharType="end"/>
      </w:r>
      <w:r w:rsidR="005803DC" w:rsidRPr="00CC6CA3">
        <w:t xml:space="preserve"> etc. </w:t>
      </w:r>
      <w:r w:rsidRPr="00CC6CA3">
        <w:t>In the pump data set, the misalignment was reflected as an increase in bearing temperature</w:t>
      </w:r>
      <w:r w:rsidR="005803DC" w:rsidRPr="00CC6CA3">
        <w:t>.</w:t>
      </w:r>
    </w:p>
    <w:p w14:paraId="20989D38" w14:textId="32276E61" w:rsidR="005803DC" w:rsidRPr="00CC6CA3" w:rsidRDefault="005803DC" w:rsidP="005803DC">
      <w:r w:rsidRPr="00CC6CA3">
        <w:t xml:space="preserve">The bearing temperatures after data pre-processing in the pump is </w:t>
      </w:r>
      <w:r w:rsidR="00CD5442" w:rsidRPr="00CC6CA3">
        <w:t xml:space="preserve">as </w:t>
      </w:r>
      <w:r w:rsidRPr="00CC6CA3">
        <w:t xml:space="preserve">shown in </w:t>
      </w:r>
      <w:r w:rsidRPr="00CC6CA3">
        <w:fldChar w:fldCharType="begin"/>
      </w:r>
      <w:r w:rsidRPr="00CC6CA3">
        <w:instrText xml:space="preserve"> REF _Ref17873072 \h  \* MERGEFORMAT </w:instrText>
      </w:r>
      <w:r w:rsidRPr="00CC6CA3">
        <w:fldChar w:fldCharType="separate"/>
      </w:r>
      <w:r w:rsidR="001906D9" w:rsidRPr="00CC6CA3">
        <w:t>Figure 3.15</w:t>
      </w:r>
      <w:r w:rsidRPr="00CC6CA3">
        <w:fldChar w:fldCharType="end"/>
      </w:r>
      <w:r w:rsidRPr="00CC6CA3">
        <w:t xml:space="preserve">. </w:t>
      </w:r>
      <w:r w:rsidR="00CD5442" w:rsidRPr="00CC6CA3">
        <w:t xml:space="preserve">It was </w:t>
      </w:r>
      <w:r w:rsidR="00160608" w:rsidRPr="00CC6CA3">
        <w:t>detected</w:t>
      </w:r>
      <w:r w:rsidR="00CD5442" w:rsidRPr="00CC6CA3">
        <w:t xml:space="preserve"> as a misalignment in the pump system, with increase in temperature of four bearings (including two radial bearing and two thrust bearings). The pump was maintained and was back to normal on 7</w:t>
      </w:r>
      <w:r w:rsidR="00CD5442" w:rsidRPr="00CC6CA3">
        <w:rPr>
          <w:vertAlign w:val="superscript"/>
        </w:rPr>
        <w:t>th</w:t>
      </w:r>
      <w:r w:rsidR="00CD5442" w:rsidRPr="00CC6CA3">
        <w:t xml:space="preserve"> Jul 2013</w:t>
      </w:r>
      <w:r w:rsidRPr="00CC6CA3">
        <w:t xml:space="preserve">. </w:t>
      </w:r>
    </w:p>
    <w:p w14:paraId="19D43E7E" w14:textId="77777777" w:rsidR="005803DC" w:rsidRPr="00CC6CA3" w:rsidRDefault="005803DC" w:rsidP="005803DC">
      <w:pPr>
        <w:pStyle w:val="Body"/>
        <w:jc w:val="center"/>
      </w:pPr>
      <w:r w:rsidRPr="00CC6CA3">
        <w:rPr>
          <w:noProof/>
        </w:rPr>
        <w:drawing>
          <wp:inline distT="0" distB="0" distL="0" distR="0" wp14:anchorId="332BDFA4" wp14:editId="28E8F82C">
            <wp:extent cx="4500000" cy="29399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00000" cy="2939993"/>
                    </a:xfrm>
                    <a:prstGeom prst="rect">
                      <a:avLst/>
                    </a:prstGeom>
                    <a:noFill/>
                  </pic:spPr>
                </pic:pic>
              </a:graphicData>
            </a:graphic>
          </wp:inline>
        </w:drawing>
      </w:r>
    </w:p>
    <w:p w14:paraId="7E6E36BF" w14:textId="3401F703" w:rsidR="005803DC" w:rsidRPr="00CC6CA3" w:rsidRDefault="005803DC" w:rsidP="005803DC">
      <w:pPr>
        <w:pStyle w:val="Caption"/>
        <w:jc w:val="center"/>
      </w:pPr>
      <w:bookmarkStart w:id="235" w:name="_Ref17873072"/>
      <w:bookmarkStart w:id="236" w:name="_Toc8155335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15</w:t>
      </w:r>
      <w:r w:rsidR="00D62691" w:rsidRPr="00CC6CA3">
        <w:rPr>
          <w:noProof/>
        </w:rPr>
        <w:fldChar w:fldCharType="end"/>
      </w:r>
      <w:bookmarkEnd w:id="235"/>
      <w:r w:rsidRPr="00CC6CA3">
        <w:t xml:space="preserve"> The increase in the pump bearings' temperature due to misalignment</w:t>
      </w:r>
      <w:bookmarkEnd w:id="236"/>
    </w:p>
    <w:bookmarkEnd w:id="233"/>
    <w:p w14:paraId="65372875" w14:textId="77777777" w:rsidR="005803DC" w:rsidRPr="00CC6CA3" w:rsidRDefault="005803DC" w:rsidP="005803DC">
      <w:pPr>
        <w:pStyle w:val="Heading4"/>
      </w:pPr>
      <w:r w:rsidRPr="00CC6CA3">
        <w:t>Misalignment and a radial bearing failure</w:t>
      </w:r>
    </w:p>
    <w:p w14:paraId="10180013" w14:textId="71E34AC9" w:rsidR="005803DC" w:rsidRPr="00CC6CA3" w:rsidRDefault="00CD5442" w:rsidP="005803DC">
      <w:r w:rsidRPr="00CC6CA3">
        <w:t>The raw measurements of bearing temperature and vibration are shown in</w:t>
      </w:r>
      <w:r w:rsidR="005803DC" w:rsidRPr="00CC6CA3">
        <w:t xml:space="preserve"> </w:t>
      </w:r>
      <w:r w:rsidR="005803DC" w:rsidRPr="00CC6CA3">
        <w:fldChar w:fldCharType="begin"/>
      </w:r>
      <w:r w:rsidR="005803DC" w:rsidRPr="00CC6CA3">
        <w:instrText xml:space="preserve"> REF _Ref17873255 \h  \* MERGEFORMAT </w:instrText>
      </w:r>
      <w:r w:rsidR="005803DC" w:rsidRPr="00CC6CA3">
        <w:fldChar w:fldCharType="separate"/>
      </w:r>
      <w:r w:rsidR="001906D9" w:rsidRPr="00CC6CA3">
        <w:t>Figure 3.16</w:t>
      </w:r>
      <w:r w:rsidR="005803DC" w:rsidRPr="00CC6CA3">
        <w:fldChar w:fldCharType="end"/>
      </w:r>
      <w:r w:rsidR="005803DC" w:rsidRPr="00CC6CA3">
        <w:t xml:space="preserve">. It can be seen in </w:t>
      </w:r>
      <w:r w:rsidR="005803DC" w:rsidRPr="00CC6CA3">
        <w:fldChar w:fldCharType="begin"/>
      </w:r>
      <w:r w:rsidR="005803DC" w:rsidRPr="00CC6CA3">
        <w:instrText xml:space="preserve"> REF _Ref17873255 \h  \* MERGEFORMAT </w:instrText>
      </w:r>
      <w:r w:rsidR="005803DC" w:rsidRPr="00CC6CA3">
        <w:fldChar w:fldCharType="separate"/>
      </w:r>
      <w:r w:rsidR="001906D9" w:rsidRPr="00CC6CA3">
        <w:t>Figure 3.16</w:t>
      </w:r>
      <w:r w:rsidR="005803DC" w:rsidRPr="00CC6CA3">
        <w:fldChar w:fldCharType="end"/>
      </w:r>
      <w:r w:rsidR="005803DC" w:rsidRPr="00CC6CA3">
        <w:t xml:space="preserve"> (a) </w:t>
      </w:r>
      <w:r w:rsidRPr="00CC6CA3">
        <w:t>that the temperature of the four bearings (two radial bearings and two thrust bearings) increased because of misalignment in the pump. At 14</w:t>
      </w:r>
      <w:r w:rsidRPr="00CC6CA3">
        <w:rPr>
          <w:rFonts w:hint="eastAsia"/>
        </w:rPr>
        <w:t>:</w:t>
      </w:r>
      <w:r w:rsidRPr="00CC6CA3">
        <w:t>00 on 19</w:t>
      </w:r>
      <w:r w:rsidRPr="00CC6CA3">
        <w:rPr>
          <w:vertAlign w:val="superscript"/>
        </w:rPr>
        <w:t>th</w:t>
      </w:r>
      <w:r w:rsidRPr="00CC6CA3">
        <w:t xml:space="preserve"> Jul 2016, the pump was shut down, and maintenance was carried out to correct the </w:t>
      </w:r>
      <w:r w:rsidRPr="00CC6CA3">
        <w:lastRenderedPageBreak/>
        <w:t>misalignment. However, during the maintenance the engineers did not discover that bearing 2 had a fault. After the pump was reinstated on 7:00 20</w:t>
      </w:r>
      <w:r w:rsidRPr="00CC6CA3">
        <w:rPr>
          <w:vertAlign w:val="superscript"/>
        </w:rPr>
        <w:t>th</w:t>
      </w:r>
      <w:r w:rsidRPr="00CC6CA3">
        <w:t xml:space="preserve"> Jul 2016, the vibration of bearing 2 increased immediately</w:t>
      </w:r>
      <w:r w:rsidR="005803DC" w:rsidRPr="00CC6CA3">
        <w:t xml:space="preserve"> (see </w:t>
      </w:r>
      <w:r w:rsidR="005803DC" w:rsidRPr="00CC6CA3">
        <w:fldChar w:fldCharType="begin"/>
      </w:r>
      <w:r w:rsidR="005803DC" w:rsidRPr="00CC6CA3">
        <w:instrText xml:space="preserve"> REF _Ref17873255 \h  \* MERGEFORMAT </w:instrText>
      </w:r>
      <w:r w:rsidR="005803DC" w:rsidRPr="00CC6CA3">
        <w:fldChar w:fldCharType="separate"/>
      </w:r>
      <w:r w:rsidR="001906D9" w:rsidRPr="00CC6CA3">
        <w:t>Figure 3.16</w:t>
      </w:r>
      <w:r w:rsidR="005803DC" w:rsidRPr="00CC6CA3">
        <w:fldChar w:fldCharType="end"/>
      </w:r>
      <w:r w:rsidR="005803DC" w:rsidRPr="00CC6CA3">
        <w:t xml:space="preserve"> (b)). </w:t>
      </w:r>
      <w:r w:rsidRPr="00CC6CA3">
        <w:t>This fault was not corrected until bearing 2's vibration hit its threshold on 23</w:t>
      </w:r>
      <w:r w:rsidRPr="00CC6CA3">
        <w:rPr>
          <w:vertAlign w:val="superscript"/>
        </w:rPr>
        <w:t>rd</w:t>
      </w:r>
      <w:r w:rsidRPr="00CC6CA3">
        <w:t xml:space="preserve"> Aug 2016</w:t>
      </w:r>
      <w:r w:rsidR="005803DC" w:rsidRPr="00CC6CA3">
        <w:t>.</w:t>
      </w:r>
    </w:p>
    <w:p w14:paraId="03C79E24" w14:textId="77777777" w:rsidR="005803DC" w:rsidRPr="00CC6CA3" w:rsidRDefault="005803DC" w:rsidP="005803DC">
      <w:pPr>
        <w:pStyle w:val="Caption"/>
        <w:keepNext/>
        <w:jc w:val="center"/>
      </w:pPr>
      <w:r w:rsidRPr="00CC6CA3">
        <w:rPr>
          <w:noProof/>
        </w:rPr>
        <w:drawing>
          <wp:inline distT="0" distB="0" distL="0" distR="0" wp14:anchorId="7471F326" wp14:editId="214EDB7C">
            <wp:extent cx="4708298" cy="4083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11966" cy="4086231"/>
                    </a:xfrm>
                    <a:prstGeom prst="rect">
                      <a:avLst/>
                    </a:prstGeom>
                    <a:noFill/>
                  </pic:spPr>
                </pic:pic>
              </a:graphicData>
            </a:graphic>
          </wp:inline>
        </w:drawing>
      </w:r>
    </w:p>
    <w:p w14:paraId="1C0A7843" w14:textId="04D43856" w:rsidR="005803DC" w:rsidRPr="00CC6CA3" w:rsidRDefault="005803DC" w:rsidP="005803DC">
      <w:pPr>
        <w:pStyle w:val="Caption"/>
        <w:jc w:val="center"/>
      </w:pPr>
      <w:bookmarkStart w:id="237" w:name="_Ref17873255"/>
      <w:bookmarkStart w:id="238" w:name="_Toc8155335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16</w:t>
      </w:r>
      <w:r w:rsidR="00D62691" w:rsidRPr="00CC6CA3">
        <w:rPr>
          <w:noProof/>
        </w:rPr>
        <w:fldChar w:fldCharType="end"/>
      </w:r>
      <w:bookmarkEnd w:id="237"/>
      <w:r w:rsidRPr="00CC6CA3">
        <w:t xml:space="preserve"> </w:t>
      </w:r>
      <w:r w:rsidRPr="00CC6CA3">
        <w:rPr>
          <w:szCs w:val="20"/>
        </w:rPr>
        <w:t>The pump's measurements from 12th Jul to 23rd Aug 2016. (a) The increase in the pump bearings' temperature due to misalignment. (b) The increase in the pump bearings' vibration amplitude due to a bearing fault.</w:t>
      </w:r>
      <w:bookmarkEnd w:id="238"/>
    </w:p>
    <w:p w14:paraId="58B46A1F" w14:textId="77777777" w:rsidR="005803DC" w:rsidRPr="00CC6CA3" w:rsidRDefault="005803DC" w:rsidP="005803DC">
      <w:pPr>
        <w:pStyle w:val="Heading2"/>
      </w:pPr>
      <w:bookmarkStart w:id="239" w:name="_Toc81553270"/>
      <w:r w:rsidRPr="00CC6CA3">
        <w:t>Compressor data</w:t>
      </w:r>
      <w:bookmarkEnd w:id="239"/>
      <w:r w:rsidRPr="00CC6CA3">
        <w:t xml:space="preserve"> </w:t>
      </w:r>
    </w:p>
    <w:p w14:paraId="1C58018E" w14:textId="77777777" w:rsidR="005803DC" w:rsidRPr="00CC6CA3" w:rsidRDefault="005803DC" w:rsidP="005803DC">
      <w:pPr>
        <w:pStyle w:val="Heading3"/>
      </w:pPr>
      <w:bookmarkStart w:id="240" w:name="_Toc81553271"/>
      <w:r w:rsidRPr="00CC6CA3">
        <w:t>Overview of the compressor data before and after pre-processing</w:t>
      </w:r>
      <w:bookmarkEnd w:id="240"/>
    </w:p>
    <w:p w14:paraId="62A3A95A" w14:textId="1B502923" w:rsidR="000B5CE9" w:rsidRPr="00CC6CA3" w:rsidRDefault="005803DC" w:rsidP="005803DC">
      <w:r w:rsidRPr="00CC6CA3">
        <w:t>The compressor data used in this thesis was obtained from a multivariate condition monitoring system. The given compressor</w:t>
      </w:r>
      <w:r w:rsidRPr="00CC6CA3">
        <w:rPr>
          <w:rFonts w:cs="Times New Roman"/>
        </w:rPr>
        <w:t xml:space="preserve"> dataset provided by our sponsor</w:t>
      </w:r>
      <w:r w:rsidRPr="00CC6CA3">
        <w:t xml:space="preserve"> </w:t>
      </w:r>
      <w:r w:rsidRPr="00CC6CA3">
        <w:rPr>
          <w:rFonts w:cs="Times New Roman"/>
        </w:rPr>
        <w:t xml:space="preserve">includes 29 </w:t>
      </w:r>
      <w:r w:rsidR="00325BCB" w:rsidRPr="00CC6CA3">
        <w:rPr>
          <w:rFonts w:cs="Times New Roman"/>
        </w:rPr>
        <w:t xml:space="preserve">sets of continuous measurements </w:t>
      </w:r>
      <w:r w:rsidRPr="00CC6CA3">
        <w:rPr>
          <w:rFonts w:cs="Times New Roman"/>
        </w:rPr>
        <w:t xml:space="preserve">from a multi-stage centrifugal compressor. </w:t>
      </w:r>
      <w:r w:rsidRPr="00CC6CA3">
        <w:t xml:space="preserve">This compressor had three stages driven by a large gas turbine. </w:t>
      </w:r>
      <w:r w:rsidRPr="00CC6CA3">
        <w:rPr>
          <w:rFonts w:cs="Times New Roman"/>
          <w:szCs w:val="24"/>
        </w:rPr>
        <w:t xml:space="preserve">The </w:t>
      </w:r>
      <w:r w:rsidRPr="00CC6CA3">
        <w:t xml:space="preserve">measurements for the compressor are listed in </w:t>
      </w:r>
      <w:r w:rsidRPr="00CC6CA3">
        <w:fldChar w:fldCharType="begin"/>
      </w:r>
      <w:r w:rsidRPr="00CC6CA3">
        <w:instrText xml:space="preserve"> REF _Ref18648355 \h </w:instrText>
      </w:r>
      <w:r w:rsidRPr="00CC6CA3">
        <w:fldChar w:fldCharType="separate"/>
      </w:r>
      <w:r w:rsidR="001906D9" w:rsidRPr="00CC6CA3">
        <w:t xml:space="preserve">Table </w:t>
      </w:r>
      <w:r w:rsidR="001906D9" w:rsidRPr="00CC6CA3">
        <w:rPr>
          <w:noProof/>
        </w:rPr>
        <w:t>3</w:t>
      </w:r>
      <w:r w:rsidR="001906D9" w:rsidRPr="00CC6CA3">
        <w:t>.</w:t>
      </w:r>
      <w:r w:rsidR="001906D9" w:rsidRPr="00CC6CA3">
        <w:rPr>
          <w:noProof/>
        </w:rPr>
        <w:t>5</w:t>
      </w:r>
      <w:r w:rsidRPr="00CC6CA3">
        <w:fldChar w:fldCharType="end"/>
      </w:r>
      <w:r w:rsidRPr="00CC6CA3">
        <w:t>.</w:t>
      </w:r>
    </w:p>
    <w:p w14:paraId="3C75C904" w14:textId="77777777" w:rsidR="000B5CE9" w:rsidRPr="00CC6CA3" w:rsidRDefault="000B5CE9" w:rsidP="005803DC">
      <w:pPr>
        <w:rPr>
          <w:iCs/>
          <w:szCs w:val="24"/>
        </w:rPr>
      </w:pPr>
    </w:p>
    <w:p w14:paraId="79CA17A1" w14:textId="3E814619" w:rsidR="005803DC" w:rsidRPr="00CC6CA3" w:rsidRDefault="005803DC" w:rsidP="005803DC">
      <w:pPr>
        <w:pStyle w:val="Caption"/>
        <w:keepNext/>
      </w:pPr>
      <w:bookmarkStart w:id="241" w:name="_Ref18648355"/>
      <w:bookmarkStart w:id="242" w:name="_Toc81553474"/>
      <w:r w:rsidRPr="00CC6CA3">
        <w:lastRenderedPageBreak/>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5</w:t>
      </w:r>
      <w:r w:rsidR="00D62691" w:rsidRPr="00CC6CA3">
        <w:rPr>
          <w:noProof/>
        </w:rPr>
        <w:fldChar w:fldCharType="end"/>
      </w:r>
      <w:bookmarkEnd w:id="241"/>
      <w:r w:rsidRPr="00CC6CA3">
        <w:t xml:space="preserve"> Measured variables for a compressor</w:t>
      </w:r>
      <w:bookmarkEnd w:id="242"/>
    </w:p>
    <w:tbl>
      <w:tblPr>
        <w:tblStyle w:val="TableGrid"/>
        <w:tblW w:w="5243" w:type="pct"/>
        <w:tblInd w:w="-426"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791"/>
        <w:gridCol w:w="2473"/>
        <w:gridCol w:w="483"/>
        <w:gridCol w:w="2351"/>
        <w:gridCol w:w="507"/>
        <w:gridCol w:w="2586"/>
      </w:tblGrid>
      <w:tr w:rsidR="00CC6CA3" w:rsidRPr="00CC6CA3" w14:paraId="1096BCB1" w14:textId="77777777" w:rsidTr="00F632C0">
        <w:tc>
          <w:tcPr>
            <w:tcW w:w="430" w:type="pct"/>
            <w:vAlign w:val="center"/>
          </w:tcPr>
          <w:p w14:paraId="58F97266" w14:textId="77777777" w:rsidR="005803DC" w:rsidRPr="00CC6CA3" w:rsidRDefault="005803DC" w:rsidP="00F632C0">
            <w:pPr>
              <w:rPr>
                <w:rFonts w:cs="Times New Roman"/>
                <w:b/>
                <w:sz w:val="16"/>
                <w:szCs w:val="16"/>
              </w:rPr>
            </w:pPr>
            <w:r w:rsidRPr="00CC6CA3">
              <w:rPr>
                <w:rFonts w:cs="Times New Roman"/>
                <w:b/>
                <w:sz w:val="16"/>
                <w:szCs w:val="16"/>
              </w:rPr>
              <w:t>ID</w:t>
            </w:r>
          </w:p>
        </w:tc>
        <w:tc>
          <w:tcPr>
            <w:tcW w:w="1345" w:type="pct"/>
            <w:vAlign w:val="center"/>
          </w:tcPr>
          <w:p w14:paraId="74A69715" w14:textId="77777777" w:rsidR="005803DC" w:rsidRPr="00CC6CA3" w:rsidRDefault="005803DC" w:rsidP="00F632C0">
            <w:pPr>
              <w:rPr>
                <w:rFonts w:cs="Times New Roman"/>
                <w:b/>
                <w:sz w:val="16"/>
                <w:szCs w:val="16"/>
              </w:rPr>
            </w:pPr>
            <w:r w:rsidRPr="00CC6CA3">
              <w:rPr>
                <w:rFonts w:cs="Times New Roman"/>
                <w:b/>
                <w:sz w:val="16"/>
                <w:szCs w:val="16"/>
              </w:rPr>
              <w:t>Variable Name</w:t>
            </w:r>
          </w:p>
        </w:tc>
        <w:tc>
          <w:tcPr>
            <w:tcW w:w="263" w:type="pct"/>
            <w:vAlign w:val="center"/>
          </w:tcPr>
          <w:p w14:paraId="35FEED47" w14:textId="77777777" w:rsidR="005803DC" w:rsidRPr="00CC6CA3" w:rsidRDefault="005803DC" w:rsidP="00F632C0">
            <w:pPr>
              <w:rPr>
                <w:rFonts w:cs="Times New Roman"/>
                <w:b/>
                <w:sz w:val="16"/>
                <w:szCs w:val="16"/>
              </w:rPr>
            </w:pPr>
            <w:r w:rsidRPr="00CC6CA3">
              <w:rPr>
                <w:rFonts w:cs="Times New Roman"/>
                <w:b/>
                <w:sz w:val="16"/>
                <w:szCs w:val="16"/>
              </w:rPr>
              <w:t>ID</w:t>
            </w:r>
          </w:p>
        </w:tc>
        <w:tc>
          <w:tcPr>
            <w:tcW w:w="1279" w:type="pct"/>
            <w:vAlign w:val="center"/>
          </w:tcPr>
          <w:p w14:paraId="0FE17EF5" w14:textId="77777777" w:rsidR="005803DC" w:rsidRPr="00CC6CA3" w:rsidRDefault="005803DC" w:rsidP="00F632C0">
            <w:pPr>
              <w:rPr>
                <w:rFonts w:cs="Times New Roman"/>
                <w:b/>
                <w:sz w:val="16"/>
                <w:szCs w:val="16"/>
              </w:rPr>
            </w:pPr>
            <w:r w:rsidRPr="00CC6CA3">
              <w:rPr>
                <w:rFonts w:cs="Times New Roman"/>
                <w:b/>
                <w:sz w:val="16"/>
                <w:szCs w:val="16"/>
              </w:rPr>
              <w:t>Variable Name</w:t>
            </w:r>
          </w:p>
        </w:tc>
        <w:tc>
          <w:tcPr>
            <w:tcW w:w="276" w:type="pct"/>
            <w:vAlign w:val="center"/>
          </w:tcPr>
          <w:p w14:paraId="58D03F64" w14:textId="77777777" w:rsidR="005803DC" w:rsidRPr="00CC6CA3" w:rsidRDefault="005803DC" w:rsidP="00F632C0">
            <w:pPr>
              <w:rPr>
                <w:rFonts w:cs="Times New Roman"/>
                <w:b/>
                <w:sz w:val="16"/>
                <w:szCs w:val="16"/>
              </w:rPr>
            </w:pPr>
            <w:r w:rsidRPr="00CC6CA3">
              <w:rPr>
                <w:rFonts w:cs="Times New Roman"/>
                <w:b/>
                <w:sz w:val="16"/>
                <w:szCs w:val="16"/>
              </w:rPr>
              <w:t>ID</w:t>
            </w:r>
          </w:p>
        </w:tc>
        <w:tc>
          <w:tcPr>
            <w:tcW w:w="1407" w:type="pct"/>
            <w:vAlign w:val="center"/>
          </w:tcPr>
          <w:p w14:paraId="481CB69F" w14:textId="77777777" w:rsidR="005803DC" w:rsidRPr="00CC6CA3" w:rsidRDefault="005803DC" w:rsidP="00F632C0">
            <w:pPr>
              <w:rPr>
                <w:rFonts w:cs="Times New Roman"/>
                <w:b/>
                <w:sz w:val="16"/>
                <w:szCs w:val="16"/>
              </w:rPr>
            </w:pPr>
            <w:r w:rsidRPr="00CC6CA3">
              <w:rPr>
                <w:rFonts w:cs="Times New Roman"/>
                <w:b/>
                <w:sz w:val="16"/>
                <w:szCs w:val="16"/>
              </w:rPr>
              <w:t>Variable Name</w:t>
            </w:r>
          </w:p>
        </w:tc>
      </w:tr>
      <w:tr w:rsidR="00CC6CA3" w:rsidRPr="00CC6CA3" w14:paraId="3FBE937B" w14:textId="77777777" w:rsidTr="00F632C0">
        <w:tc>
          <w:tcPr>
            <w:tcW w:w="430" w:type="pct"/>
          </w:tcPr>
          <w:p w14:paraId="01D19E5B" w14:textId="77777777" w:rsidR="005803DC" w:rsidRPr="00CC6CA3" w:rsidRDefault="005803DC" w:rsidP="00F632C0">
            <w:pPr>
              <w:rPr>
                <w:rFonts w:cs="Times New Roman"/>
                <w:sz w:val="16"/>
                <w:szCs w:val="16"/>
              </w:rPr>
            </w:pPr>
            <w:r w:rsidRPr="00CC6CA3">
              <w:rPr>
                <w:rFonts w:cs="Times New Roman"/>
                <w:sz w:val="16"/>
                <w:szCs w:val="16"/>
              </w:rPr>
              <w:t>1</w:t>
            </w:r>
          </w:p>
        </w:tc>
        <w:tc>
          <w:tcPr>
            <w:tcW w:w="1345" w:type="pct"/>
          </w:tcPr>
          <w:p w14:paraId="61B4CA8B" w14:textId="77777777" w:rsidR="005803DC" w:rsidRPr="00CC6CA3" w:rsidRDefault="005803DC" w:rsidP="00F632C0">
            <w:pPr>
              <w:rPr>
                <w:rFonts w:cs="Times New Roman"/>
                <w:sz w:val="16"/>
                <w:szCs w:val="16"/>
              </w:rPr>
            </w:pPr>
            <w:r w:rsidRPr="00CC6CA3">
              <w:rPr>
                <w:rFonts w:cs="Times New Roman"/>
                <w:sz w:val="16"/>
                <w:szCs w:val="16"/>
              </w:rPr>
              <w:t>Stage 1 Suction Pressure</w:t>
            </w:r>
          </w:p>
        </w:tc>
        <w:tc>
          <w:tcPr>
            <w:tcW w:w="263" w:type="pct"/>
          </w:tcPr>
          <w:p w14:paraId="6FCB2D42" w14:textId="77777777" w:rsidR="005803DC" w:rsidRPr="00CC6CA3" w:rsidRDefault="005803DC" w:rsidP="00F632C0">
            <w:pPr>
              <w:rPr>
                <w:rFonts w:cs="Times New Roman"/>
                <w:sz w:val="16"/>
                <w:szCs w:val="16"/>
              </w:rPr>
            </w:pPr>
            <w:r w:rsidRPr="00CC6CA3">
              <w:rPr>
                <w:rFonts w:cs="Times New Roman"/>
                <w:sz w:val="16"/>
                <w:szCs w:val="16"/>
              </w:rPr>
              <w:t>2</w:t>
            </w:r>
          </w:p>
        </w:tc>
        <w:tc>
          <w:tcPr>
            <w:tcW w:w="1279" w:type="pct"/>
          </w:tcPr>
          <w:p w14:paraId="609429FF" w14:textId="77777777" w:rsidR="005803DC" w:rsidRPr="00CC6CA3" w:rsidRDefault="005803DC" w:rsidP="00F632C0">
            <w:pPr>
              <w:rPr>
                <w:rFonts w:cs="Times New Roman"/>
                <w:sz w:val="16"/>
                <w:szCs w:val="16"/>
              </w:rPr>
            </w:pPr>
            <w:r w:rsidRPr="00CC6CA3">
              <w:rPr>
                <w:rFonts w:cs="Times New Roman"/>
                <w:sz w:val="16"/>
                <w:szCs w:val="16"/>
              </w:rPr>
              <w:t>Stage 1 Discharge Pressure</w:t>
            </w:r>
          </w:p>
        </w:tc>
        <w:tc>
          <w:tcPr>
            <w:tcW w:w="276" w:type="pct"/>
          </w:tcPr>
          <w:p w14:paraId="2F1C0091" w14:textId="77777777" w:rsidR="005803DC" w:rsidRPr="00CC6CA3" w:rsidRDefault="005803DC" w:rsidP="00F632C0">
            <w:pPr>
              <w:rPr>
                <w:rFonts w:cs="Times New Roman"/>
                <w:sz w:val="16"/>
                <w:szCs w:val="16"/>
              </w:rPr>
            </w:pPr>
            <w:r w:rsidRPr="00CC6CA3">
              <w:rPr>
                <w:rFonts w:cs="Times New Roman"/>
                <w:sz w:val="16"/>
                <w:szCs w:val="16"/>
              </w:rPr>
              <w:t>3</w:t>
            </w:r>
          </w:p>
        </w:tc>
        <w:tc>
          <w:tcPr>
            <w:tcW w:w="1407" w:type="pct"/>
          </w:tcPr>
          <w:p w14:paraId="604E87DA" w14:textId="77777777" w:rsidR="005803DC" w:rsidRPr="00CC6CA3" w:rsidRDefault="005803DC" w:rsidP="00F632C0">
            <w:pPr>
              <w:rPr>
                <w:rFonts w:cs="Times New Roman"/>
                <w:sz w:val="16"/>
                <w:szCs w:val="16"/>
              </w:rPr>
            </w:pPr>
            <w:r w:rsidRPr="00CC6CA3">
              <w:rPr>
                <w:rFonts w:cs="Times New Roman"/>
                <w:sz w:val="16"/>
                <w:szCs w:val="16"/>
              </w:rPr>
              <w:t>Stage 1 Suction Temperature</w:t>
            </w:r>
          </w:p>
        </w:tc>
      </w:tr>
      <w:tr w:rsidR="00CC6CA3" w:rsidRPr="00CC6CA3" w14:paraId="5555D79B" w14:textId="77777777" w:rsidTr="00F632C0">
        <w:tc>
          <w:tcPr>
            <w:tcW w:w="430" w:type="pct"/>
          </w:tcPr>
          <w:p w14:paraId="0D2CB4FF" w14:textId="77777777" w:rsidR="005803DC" w:rsidRPr="00CC6CA3" w:rsidRDefault="005803DC" w:rsidP="00F632C0">
            <w:pPr>
              <w:rPr>
                <w:rFonts w:cs="Times New Roman"/>
                <w:sz w:val="16"/>
                <w:szCs w:val="16"/>
              </w:rPr>
            </w:pPr>
            <w:r w:rsidRPr="00CC6CA3">
              <w:rPr>
                <w:rFonts w:cs="Times New Roman"/>
                <w:sz w:val="16"/>
                <w:szCs w:val="16"/>
              </w:rPr>
              <w:t>4</w:t>
            </w:r>
          </w:p>
        </w:tc>
        <w:tc>
          <w:tcPr>
            <w:tcW w:w="1345" w:type="pct"/>
          </w:tcPr>
          <w:p w14:paraId="07284FEA" w14:textId="77777777" w:rsidR="005803DC" w:rsidRPr="00CC6CA3" w:rsidRDefault="005803DC" w:rsidP="00F632C0">
            <w:pPr>
              <w:rPr>
                <w:rFonts w:cs="Times New Roman"/>
                <w:sz w:val="16"/>
                <w:szCs w:val="16"/>
              </w:rPr>
            </w:pPr>
            <w:r w:rsidRPr="00CC6CA3">
              <w:rPr>
                <w:rFonts w:cs="Times New Roman"/>
                <w:sz w:val="16"/>
                <w:szCs w:val="16"/>
              </w:rPr>
              <w:t>Stage 1 Discharge Temperature</w:t>
            </w:r>
          </w:p>
        </w:tc>
        <w:tc>
          <w:tcPr>
            <w:tcW w:w="263" w:type="pct"/>
          </w:tcPr>
          <w:p w14:paraId="308E7D1B" w14:textId="77777777" w:rsidR="005803DC" w:rsidRPr="00CC6CA3" w:rsidRDefault="005803DC" w:rsidP="00F632C0">
            <w:pPr>
              <w:rPr>
                <w:rFonts w:cs="Times New Roman"/>
                <w:sz w:val="16"/>
                <w:szCs w:val="16"/>
              </w:rPr>
            </w:pPr>
            <w:r w:rsidRPr="00CC6CA3">
              <w:rPr>
                <w:rFonts w:cs="Times New Roman"/>
                <w:sz w:val="16"/>
                <w:szCs w:val="16"/>
              </w:rPr>
              <w:t>5</w:t>
            </w:r>
          </w:p>
        </w:tc>
        <w:tc>
          <w:tcPr>
            <w:tcW w:w="1279" w:type="pct"/>
          </w:tcPr>
          <w:p w14:paraId="65623804" w14:textId="77777777" w:rsidR="005803DC" w:rsidRPr="00CC6CA3" w:rsidRDefault="005803DC" w:rsidP="00F632C0">
            <w:pPr>
              <w:rPr>
                <w:rFonts w:cs="Times New Roman"/>
                <w:sz w:val="16"/>
                <w:szCs w:val="16"/>
              </w:rPr>
            </w:pPr>
            <w:r w:rsidRPr="00CC6CA3">
              <w:rPr>
                <w:rFonts w:cs="Times New Roman"/>
                <w:sz w:val="16"/>
                <w:szCs w:val="16"/>
              </w:rPr>
              <w:t>Stage 2 Suction Pressure</w:t>
            </w:r>
          </w:p>
        </w:tc>
        <w:tc>
          <w:tcPr>
            <w:tcW w:w="276" w:type="pct"/>
          </w:tcPr>
          <w:p w14:paraId="040BEF09" w14:textId="77777777" w:rsidR="005803DC" w:rsidRPr="00CC6CA3" w:rsidRDefault="005803DC" w:rsidP="00F632C0">
            <w:pPr>
              <w:rPr>
                <w:rFonts w:cs="Times New Roman"/>
                <w:sz w:val="16"/>
                <w:szCs w:val="16"/>
              </w:rPr>
            </w:pPr>
            <w:r w:rsidRPr="00CC6CA3">
              <w:rPr>
                <w:rFonts w:cs="Times New Roman"/>
                <w:sz w:val="16"/>
                <w:szCs w:val="16"/>
              </w:rPr>
              <w:t>6</w:t>
            </w:r>
          </w:p>
        </w:tc>
        <w:tc>
          <w:tcPr>
            <w:tcW w:w="1407" w:type="pct"/>
          </w:tcPr>
          <w:p w14:paraId="58DDF03A" w14:textId="77777777" w:rsidR="005803DC" w:rsidRPr="00CC6CA3" w:rsidRDefault="005803DC" w:rsidP="00F632C0">
            <w:pPr>
              <w:rPr>
                <w:rFonts w:cs="Times New Roman"/>
                <w:sz w:val="16"/>
                <w:szCs w:val="16"/>
              </w:rPr>
            </w:pPr>
            <w:r w:rsidRPr="00CC6CA3">
              <w:rPr>
                <w:rFonts w:cs="Times New Roman"/>
                <w:sz w:val="16"/>
                <w:szCs w:val="16"/>
              </w:rPr>
              <w:t>Stage 2 Discharge Pressure</w:t>
            </w:r>
          </w:p>
        </w:tc>
      </w:tr>
      <w:tr w:rsidR="00CC6CA3" w:rsidRPr="00CC6CA3" w14:paraId="609A1F11" w14:textId="77777777" w:rsidTr="00F632C0">
        <w:tc>
          <w:tcPr>
            <w:tcW w:w="430" w:type="pct"/>
          </w:tcPr>
          <w:p w14:paraId="593D3CC9" w14:textId="77777777" w:rsidR="005803DC" w:rsidRPr="00CC6CA3" w:rsidRDefault="005803DC" w:rsidP="00F632C0">
            <w:pPr>
              <w:rPr>
                <w:rFonts w:cs="Times New Roman"/>
                <w:sz w:val="16"/>
                <w:szCs w:val="16"/>
              </w:rPr>
            </w:pPr>
            <w:r w:rsidRPr="00CC6CA3">
              <w:rPr>
                <w:rFonts w:cs="Times New Roman"/>
                <w:sz w:val="16"/>
                <w:szCs w:val="16"/>
              </w:rPr>
              <w:t>7</w:t>
            </w:r>
          </w:p>
        </w:tc>
        <w:tc>
          <w:tcPr>
            <w:tcW w:w="1345" w:type="pct"/>
          </w:tcPr>
          <w:p w14:paraId="1D51BEF1" w14:textId="77777777" w:rsidR="005803DC" w:rsidRPr="00CC6CA3" w:rsidRDefault="005803DC" w:rsidP="00F632C0">
            <w:pPr>
              <w:rPr>
                <w:rFonts w:cs="Times New Roman"/>
                <w:sz w:val="16"/>
                <w:szCs w:val="16"/>
              </w:rPr>
            </w:pPr>
            <w:r w:rsidRPr="00CC6CA3">
              <w:rPr>
                <w:rFonts w:cs="Times New Roman"/>
                <w:sz w:val="16"/>
                <w:szCs w:val="16"/>
              </w:rPr>
              <w:t>Stage 2 Suction Temperature</w:t>
            </w:r>
          </w:p>
        </w:tc>
        <w:tc>
          <w:tcPr>
            <w:tcW w:w="263" w:type="pct"/>
          </w:tcPr>
          <w:p w14:paraId="6416E7CF" w14:textId="77777777" w:rsidR="005803DC" w:rsidRPr="00CC6CA3" w:rsidRDefault="005803DC" w:rsidP="00F632C0">
            <w:pPr>
              <w:rPr>
                <w:rFonts w:cs="Times New Roman"/>
                <w:sz w:val="16"/>
                <w:szCs w:val="16"/>
              </w:rPr>
            </w:pPr>
            <w:r w:rsidRPr="00CC6CA3">
              <w:rPr>
                <w:rFonts w:cs="Times New Roman"/>
                <w:sz w:val="16"/>
                <w:szCs w:val="16"/>
              </w:rPr>
              <w:t>8</w:t>
            </w:r>
          </w:p>
        </w:tc>
        <w:tc>
          <w:tcPr>
            <w:tcW w:w="1279" w:type="pct"/>
          </w:tcPr>
          <w:p w14:paraId="5DC7DC3F" w14:textId="77777777" w:rsidR="005803DC" w:rsidRPr="00CC6CA3" w:rsidRDefault="005803DC" w:rsidP="00F632C0">
            <w:pPr>
              <w:rPr>
                <w:rFonts w:cs="Times New Roman"/>
                <w:sz w:val="16"/>
                <w:szCs w:val="16"/>
              </w:rPr>
            </w:pPr>
            <w:r w:rsidRPr="00CC6CA3">
              <w:rPr>
                <w:rFonts w:cs="Times New Roman"/>
                <w:sz w:val="16"/>
                <w:szCs w:val="16"/>
              </w:rPr>
              <w:t>Stage 2 Discharge Temperature</w:t>
            </w:r>
          </w:p>
        </w:tc>
        <w:tc>
          <w:tcPr>
            <w:tcW w:w="276" w:type="pct"/>
          </w:tcPr>
          <w:p w14:paraId="575933E1" w14:textId="77777777" w:rsidR="005803DC" w:rsidRPr="00CC6CA3" w:rsidRDefault="005803DC" w:rsidP="00F632C0">
            <w:pPr>
              <w:rPr>
                <w:rFonts w:cs="Times New Roman"/>
                <w:sz w:val="16"/>
                <w:szCs w:val="16"/>
              </w:rPr>
            </w:pPr>
            <w:r w:rsidRPr="00CC6CA3">
              <w:rPr>
                <w:rFonts w:cs="Times New Roman"/>
                <w:sz w:val="16"/>
                <w:szCs w:val="16"/>
              </w:rPr>
              <w:t>9</w:t>
            </w:r>
          </w:p>
        </w:tc>
        <w:tc>
          <w:tcPr>
            <w:tcW w:w="1407" w:type="pct"/>
          </w:tcPr>
          <w:p w14:paraId="14281429" w14:textId="77777777" w:rsidR="005803DC" w:rsidRPr="00CC6CA3" w:rsidRDefault="005803DC" w:rsidP="00F632C0">
            <w:pPr>
              <w:rPr>
                <w:rFonts w:cs="Times New Roman"/>
                <w:sz w:val="16"/>
                <w:szCs w:val="16"/>
              </w:rPr>
            </w:pPr>
            <w:r w:rsidRPr="00CC6CA3">
              <w:rPr>
                <w:rFonts w:cs="Times New Roman"/>
                <w:sz w:val="16"/>
                <w:szCs w:val="16"/>
              </w:rPr>
              <w:t>Stage 3 Suction Pressure</w:t>
            </w:r>
          </w:p>
        </w:tc>
      </w:tr>
      <w:tr w:rsidR="00CC6CA3" w:rsidRPr="00CC6CA3" w14:paraId="38508D52" w14:textId="77777777" w:rsidTr="00F632C0">
        <w:tc>
          <w:tcPr>
            <w:tcW w:w="430" w:type="pct"/>
          </w:tcPr>
          <w:p w14:paraId="13A6B588" w14:textId="77777777" w:rsidR="005803DC" w:rsidRPr="00CC6CA3" w:rsidRDefault="005803DC" w:rsidP="00F632C0">
            <w:pPr>
              <w:rPr>
                <w:rFonts w:cs="Times New Roman"/>
                <w:sz w:val="16"/>
                <w:szCs w:val="16"/>
              </w:rPr>
            </w:pPr>
            <w:r w:rsidRPr="00CC6CA3">
              <w:rPr>
                <w:rFonts w:cs="Times New Roman"/>
                <w:sz w:val="16"/>
                <w:szCs w:val="16"/>
              </w:rPr>
              <w:t>10</w:t>
            </w:r>
          </w:p>
        </w:tc>
        <w:tc>
          <w:tcPr>
            <w:tcW w:w="1345" w:type="pct"/>
          </w:tcPr>
          <w:p w14:paraId="7D8EDA86" w14:textId="77777777" w:rsidR="005803DC" w:rsidRPr="00CC6CA3" w:rsidRDefault="005803DC" w:rsidP="00F632C0">
            <w:pPr>
              <w:rPr>
                <w:rFonts w:cs="Times New Roman"/>
                <w:sz w:val="16"/>
                <w:szCs w:val="16"/>
              </w:rPr>
            </w:pPr>
            <w:r w:rsidRPr="00CC6CA3">
              <w:rPr>
                <w:rFonts w:cs="Times New Roman"/>
                <w:sz w:val="16"/>
                <w:szCs w:val="16"/>
              </w:rPr>
              <w:t>Stage 3 Discharge Pressure</w:t>
            </w:r>
          </w:p>
        </w:tc>
        <w:tc>
          <w:tcPr>
            <w:tcW w:w="263" w:type="pct"/>
          </w:tcPr>
          <w:p w14:paraId="6C6248C1" w14:textId="77777777" w:rsidR="005803DC" w:rsidRPr="00CC6CA3" w:rsidRDefault="005803DC" w:rsidP="00F632C0">
            <w:pPr>
              <w:rPr>
                <w:rFonts w:cs="Times New Roman"/>
                <w:sz w:val="16"/>
                <w:szCs w:val="16"/>
              </w:rPr>
            </w:pPr>
            <w:r w:rsidRPr="00CC6CA3">
              <w:rPr>
                <w:rFonts w:cs="Times New Roman"/>
                <w:sz w:val="16"/>
                <w:szCs w:val="16"/>
              </w:rPr>
              <w:t>11</w:t>
            </w:r>
          </w:p>
        </w:tc>
        <w:tc>
          <w:tcPr>
            <w:tcW w:w="1279" w:type="pct"/>
          </w:tcPr>
          <w:p w14:paraId="118DFA8B" w14:textId="77777777" w:rsidR="005803DC" w:rsidRPr="00CC6CA3" w:rsidRDefault="005803DC" w:rsidP="00F632C0">
            <w:pPr>
              <w:rPr>
                <w:rFonts w:cs="Times New Roman"/>
                <w:sz w:val="16"/>
                <w:szCs w:val="16"/>
              </w:rPr>
            </w:pPr>
            <w:r w:rsidRPr="00CC6CA3">
              <w:rPr>
                <w:rFonts w:cs="Times New Roman"/>
                <w:sz w:val="16"/>
                <w:szCs w:val="16"/>
              </w:rPr>
              <w:t>Stage 3 Suction Temperature</w:t>
            </w:r>
          </w:p>
        </w:tc>
        <w:tc>
          <w:tcPr>
            <w:tcW w:w="276" w:type="pct"/>
          </w:tcPr>
          <w:p w14:paraId="0ED165AA" w14:textId="77777777" w:rsidR="005803DC" w:rsidRPr="00CC6CA3" w:rsidRDefault="005803DC" w:rsidP="00F632C0">
            <w:pPr>
              <w:rPr>
                <w:rFonts w:cs="Times New Roman"/>
                <w:sz w:val="16"/>
                <w:szCs w:val="16"/>
              </w:rPr>
            </w:pPr>
            <w:r w:rsidRPr="00CC6CA3">
              <w:rPr>
                <w:rFonts w:cs="Times New Roman"/>
                <w:sz w:val="16"/>
                <w:szCs w:val="16"/>
              </w:rPr>
              <w:t>12</w:t>
            </w:r>
          </w:p>
        </w:tc>
        <w:tc>
          <w:tcPr>
            <w:tcW w:w="1407" w:type="pct"/>
          </w:tcPr>
          <w:p w14:paraId="1235E2F5" w14:textId="77777777" w:rsidR="005803DC" w:rsidRPr="00CC6CA3" w:rsidRDefault="005803DC" w:rsidP="00F632C0">
            <w:pPr>
              <w:rPr>
                <w:rFonts w:cs="Times New Roman"/>
                <w:sz w:val="16"/>
                <w:szCs w:val="16"/>
              </w:rPr>
            </w:pPr>
            <w:r w:rsidRPr="00CC6CA3">
              <w:rPr>
                <w:rFonts w:cs="Times New Roman"/>
                <w:sz w:val="16"/>
                <w:szCs w:val="16"/>
              </w:rPr>
              <w:t>Stage 3 Discharge Temperature</w:t>
            </w:r>
          </w:p>
        </w:tc>
      </w:tr>
      <w:tr w:rsidR="00CC6CA3" w:rsidRPr="00CC6CA3" w14:paraId="5B26B56C" w14:textId="77777777" w:rsidTr="00F632C0">
        <w:tc>
          <w:tcPr>
            <w:tcW w:w="430" w:type="pct"/>
          </w:tcPr>
          <w:p w14:paraId="054A6519" w14:textId="77777777" w:rsidR="005803DC" w:rsidRPr="00CC6CA3" w:rsidRDefault="005803DC" w:rsidP="00F632C0">
            <w:pPr>
              <w:rPr>
                <w:rFonts w:cs="Times New Roman"/>
                <w:sz w:val="16"/>
                <w:szCs w:val="16"/>
              </w:rPr>
            </w:pPr>
            <w:r w:rsidRPr="00CC6CA3">
              <w:rPr>
                <w:rFonts w:cs="Times New Roman"/>
                <w:sz w:val="16"/>
                <w:szCs w:val="16"/>
              </w:rPr>
              <w:t>13</w:t>
            </w:r>
          </w:p>
        </w:tc>
        <w:tc>
          <w:tcPr>
            <w:tcW w:w="1345" w:type="pct"/>
          </w:tcPr>
          <w:p w14:paraId="12152F8D" w14:textId="77777777" w:rsidR="005803DC" w:rsidRPr="00CC6CA3" w:rsidRDefault="005803DC" w:rsidP="00F632C0">
            <w:pPr>
              <w:rPr>
                <w:rFonts w:cs="Times New Roman"/>
                <w:sz w:val="16"/>
                <w:szCs w:val="16"/>
              </w:rPr>
            </w:pPr>
            <w:r w:rsidRPr="00CC6CA3">
              <w:rPr>
                <w:rFonts w:cs="Times New Roman"/>
                <w:sz w:val="16"/>
                <w:szCs w:val="16"/>
              </w:rPr>
              <w:t>Stage 1 Standard flow</w:t>
            </w:r>
          </w:p>
        </w:tc>
        <w:tc>
          <w:tcPr>
            <w:tcW w:w="263" w:type="pct"/>
          </w:tcPr>
          <w:p w14:paraId="51CDE1EE" w14:textId="77777777" w:rsidR="005803DC" w:rsidRPr="00CC6CA3" w:rsidRDefault="005803DC" w:rsidP="00F632C0">
            <w:pPr>
              <w:rPr>
                <w:rFonts w:cs="Times New Roman"/>
                <w:sz w:val="16"/>
                <w:szCs w:val="16"/>
              </w:rPr>
            </w:pPr>
            <w:r w:rsidRPr="00CC6CA3">
              <w:rPr>
                <w:rFonts w:cs="Times New Roman"/>
                <w:sz w:val="16"/>
                <w:szCs w:val="16"/>
              </w:rPr>
              <w:t>14</w:t>
            </w:r>
          </w:p>
        </w:tc>
        <w:tc>
          <w:tcPr>
            <w:tcW w:w="1279" w:type="pct"/>
          </w:tcPr>
          <w:p w14:paraId="626139A8" w14:textId="77777777" w:rsidR="005803DC" w:rsidRPr="00CC6CA3" w:rsidRDefault="005803DC" w:rsidP="00F632C0">
            <w:pPr>
              <w:rPr>
                <w:rFonts w:cs="Times New Roman"/>
                <w:sz w:val="16"/>
                <w:szCs w:val="16"/>
              </w:rPr>
            </w:pPr>
            <w:r w:rsidRPr="00CC6CA3">
              <w:rPr>
                <w:rFonts w:cs="Times New Roman"/>
                <w:sz w:val="16"/>
                <w:szCs w:val="16"/>
              </w:rPr>
              <w:t>Stage 2 Standard flow</w:t>
            </w:r>
          </w:p>
        </w:tc>
        <w:tc>
          <w:tcPr>
            <w:tcW w:w="276" w:type="pct"/>
          </w:tcPr>
          <w:p w14:paraId="46EDC5D6" w14:textId="77777777" w:rsidR="005803DC" w:rsidRPr="00CC6CA3" w:rsidRDefault="005803DC" w:rsidP="00F632C0">
            <w:pPr>
              <w:rPr>
                <w:rFonts w:cs="Times New Roman"/>
                <w:sz w:val="16"/>
                <w:szCs w:val="16"/>
              </w:rPr>
            </w:pPr>
            <w:r w:rsidRPr="00CC6CA3">
              <w:rPr>
                <w:rFonts w:cs="Times New Roman"/>
                <w:sz w:val="16"/>
                <w:szCs w:val="16"/>
              </w:rPr>
              <w:t>15</w:t>
            </w:r>
          </w:p>
        </w:tc>
        <w:tc>
          <w:tcPr>
            <w:tcW w:w="1407" w:type="pct"/>
          </w:tcPr>
          <w:p w14:paraId="2ACB7A7C" w14:textId="77777777" w:rsidR="005803DC" w:rsidRPr="00CC6CA3" w:rsidRDefault="005803DC" w:rsidP="00F632C0">
            <w:pPr>
              <w:rPr>
                <w:rFonts w:cs="Times New Roman"/>
                <w:sz w:val="16"/>
                <w:szCs w:val="16"/>
              </w:rPr>
            </w:pPr>
            <w:r w:rsidRPr="00CC6CA3">
              <w:rPr>
                <w:rFonts w:cs="Times New Roman"/>
                <w:sz w:val="16"/>
                <w:szCs w:val="16"/>
              </w:rPr>
              <w:t>Stage 3 Standard flow</w:t>
            </w:r>
          </w:p>
        </w:tc>
      </w:tr>
      <w:tr w:rsidR="00CC6CA3" w:rsidRPr="00CC6CA3" w14:paraId="3D121B00" w14:textId="77777777" w:rsidTr="00F632C0">
        <w:trPr>
          <w:trHeight w:val="549"/>
        </w:trPr>
        <w:tc>
          <w:tcPr>
            <w:tcW w:w="430" w:type="pct"/>
          </w:tcPr>
          <w:p w14:paraId="770AC9EC" w14:textId="77777777" w:rsidR="005803DC" w:rsidRPr="00CC6CA3" w:rsidRDefault="005803DC" w:rsidP="00F632C0">
            <w:pPr>
              <w:rPr>
                <w:rFonts w:cs="Times New Roman"/>
                <w:sz w:val="16"/>
                <w:szCs w:val="16"/>
              </w:rPr>
            </w:pPr>
            <w:r w:rsidRPr="00CC6CA3">
              <w:rPr>
                <w:rFonts w:cs="Times New Roman"/>
                <w:sz w:val="16"/>
                <w:szCs w:val="16"/>
              </w:rPr>
              <w:t>16</w:t>
            </w:r>
          </w:p>
        </w:tc>
        <w:tc>
          <w:tcPr>
            <w:tcW w:w="1345" w:type="pct"/>
          </w:tcPr>
          <w:p w14:paraId="73F14CD4" w14:textId="77777777" w:rsidR="005803DC" w:rsidRPr="00CC6CA3" w:rsidRDefault="005803DC" w:rsidP="00F632C0">
            <w:pPr>
              <w:rPr>
                <w:rFonts w:cs="Times New Roman"/>
                <w:sz w:val="16"/>
                <w:szCs w:val="16"/>
              </w:rPr>
            </w:pPr>
            <w:r w:rsidRPr="00CC6CA3">
              <w:rPr>
                <w:rFonts w:cs="Times New Roman"/>
                <w:sz w:val="16"/>
                <w:szCs w:val="16"/>
              </w:rPr>
              <w:t>Stage 1-2 DE Radial Vibration Overall X</w:t>
            </w:r>
          </w:p>
        </w:tc>
        <w:tc>
          <w:tcPr>
            <w:tcW w:w="263" w:type="pct"/>
          </w:tcPr>
          <w:p w14:paraId="0B1D6904" w14:textId="77777777" w:rsidR="005803DC" w:rsidRPr="00CC6CA3" w:rsidRDefault="005803DC" w:rsidP="00F632C0">
            <w:pPr>
              <w:rPr>
                <w:rFonts w:cs="Times New Roman"/>
                <w:sz w:val="16"/>
                <w:szCs w:val="16"/>
              </w:rPr>
            </w:pPr>
            <w:r w:rsidRPr="00CC6CA3">
              <w:rPr>
                <w:rFonts w:cs="Times New Roman"/>
                <w:sz w:val="16"/>
                <w:szCs w:val="16"/>
              </w:rPr>
              <w:t>17</w:t>
            </w:r>
          </w:p>
        </w:tc>
        <w:tc>
          <w:tcPr>
            <w:tcW w:w="1279" w:type="pct"/>
          </w:tcPr>
          <w:p w14:paraId="025265A5" w14:textId="77777777" w:rsidR="005803DC" w:rsidRPr="00CC6CA3" w:rsidRDefault="005803DC" w:rsidP="00F632C0">
            <w:pPr>
              <w:rPr>
                <w:rFonts w:cs="Times New Roman"/>
                <w:sz w:val="16"/>
                <w:szCs w:val="16"/>
              </w:rPr>
            </w:pPr>
            <w:r w:rsidRPr="00CC6CA3">
              <w:rPr>
                <w:rFonts w:cs="Times New Roman"/>
                <w:sz w:val="16"/>
                <w:szCs w:val="16"/>
              </w:rPr>
              <w:t>Stage 1-2 DE Radial Vibration Overall Y</w:t>
            </w:r>
          </w:p>
        </w:tc>
        <w:tc>
          <w:tcPr>
            <w:tcW w:w="276" w:type="pct"/>
          </w:tcPr>
          <w:p w14:paraId="2E121E58" w14:textId="77777777" w:rsidR="005803DC" w:rsidRPr="00CC6CA3" w:rsidRDefault="005803DC" w:rsidP="00F632C0">
            <w:pPr>
              <w:rPr>
                <w:rFonts w:cs="Times New Roman"/>
                <w:sz w:val="16"/>
                <w:szCs w:val="16"/>
              </w:rPr>
            </w:pPr>
            <w:r w:rsidRPr="00CC6CA3">
              <w:rPr>
                <w:rFonts w:cs="Times New Roman"/>
                <w:sz w:val="16"/>
                <w:szCs w:val="16"/>
              </w:rPr>
              <w:t>18</w:t>
            </w:r>
          </w:p>
        </w:tc>
        <w:tc>
          <w:tcPr>
            <w:tcW w:w="1407" w:type="pct"/>
          </w:tcPr>
          <w:p w14:paraId="0822E0AE" w14:textId="77777777" w:rsidR="005803DC" w:rsidRPr="00CC6CA3" w:rsidRDefault="005803DC" w:rsidP="00F632C0">
            <w:pPr>
              <w:rPr>
                <w:rFonts w:cs="Times New Roman"/>
                <w:sz w:val="16"/>
                <w:szCs w:val="16"/>
              </w:rPr>
            </w:pPr>
            <w:r w:rsidRPr="00CC6CA3">
              <w:rPr>
                <w:rFonts w:cs="Times New Roman"/>
                <w:sz w:val="16"/>
                <w:szCs w:val="16"/>
              </w:rPr>
              <w:t>Stage 1-2 NDE Radial Vibration Overall X</w:t>
            </w:r>
          </w:p>
        </w:tc>
      </w:tr>
      <w:tr w:rsidR="00CC6CA3" w:rsidRPr="00CC6CA3" w14:paraId="47740114" w14:textId="77777777" w:rsidTr="00F632C0">
        <w:tc>
          <w:tcPr>
            <w:tcW w:w="430" w:type="pct"/>
          </w:tcPr>
          <w:p w14:paraId="7AA293C8" w14:textId="77777777" w:rsidR="005803DC" w:rsidRPr="00CC6CA3" w:rsidRDefault="005803DC" w:rsidP="00F632C0">
            <w:pPr>
              <w:rPr>
                <w:rFonts w:cs="Times New Roman"/>
                <w:sz w:val="16"/>
                <w:szCs w:val="16"/>
              </w:rPr>
            </w:pPr>
            <w:r w:rsidRPr="00CC6CA3">
              <w:rPr>
                <w:rFonts w:cs="Times New Roman"/>
                <w:sz w:val="16"/>
                <w:szCs w:val="16"/>
              </w:rPr>
              <w:t>19</w:t>
            </w:r>
          </w:p>
        </w:tc>
        <w:tc>
          <w:tcPr>
            <w:tcW w:w="1345" w:type="pct"/>
          </w:tcPr>
          <w:p w14:paraId="4A0C561E" w14:textId="77777777" w:rsidR="005803DC" w:rsidRPr="00CC6CA3" w:rsidRDefault="005803DC" w:rsidP="00F632C0">
            <w:pPr>
              <w:rPr>
                <w:rFonts w:cs="Times New Roman"/>
                <w:sz w:val="16"/>
                <w:szCs w:val="16"/>
              </w:rPr>
            </w:pPr>
            <w:r w:rsidRPr="00CC6CA3">
              <w:rPr>
                <w:rFonts w:cs="Times New Roman"/>
                <w:sz w:val="16"/>
                <w:szCs w:val="16"/>
              </w:rPr>
              <w:t>Stage 1-2 NDE Radial Vibration Overall Y</w:t>
            </w:r>
          </w:p>
        </w:tc>
        <w:tc>
          <w:tcPr>
            <w:tcW w:w="263" w:type="pct"/>
          </w:tcPr>
          <w:p w14:paraId="56509D7B" w14:textId="77777777" w:rsidR="005803DC" w:rsidRPr="00CC6CA3" w:rsidRDefault="005803DC" w:rsidP="00F632C0">
            <w:pPr>
              <w:rPr>
                <w:rFonts w:cs="Times New Roman"/>
                <w:sz w:val="16"/>
                <w:szCs w:val="16"/>
              </w:rPr>
            </w:pPr>
            <w:r w:rsidRPr="00CC6CA3">
              <w:rPr>
                <w:rFonts w:cs="Times New Roman"/>
                <w:sz w:val="16"/>
                <w:szCs w:val="16"/>
              </w:rPr>
              <w:t>20</w:t>
            </w:r>
          </w:p>
        </w:tc>
        <w:tc>
          <w:tcPr>
            <w:tcW w:w="1279" w:type="pct"/>
          </w:tcPr>
          <w:p w14:paraId="6DB656B1" w14:textId="77777777" w:rsidR="005803DC" w:rsidRPr="00CC6CA3" w:rsidRDefault="005803DC" w:rsidP="00F632C0">
            <w:pPr>
              <w:rPr>
                <w:rFonts w:cs="Times New Roman"/>
                <w:sz w:val="16"/>
                <w:szCs w:val="16"/>
              </w:rPr>
            </w:pPr>
            <w:r w:rsidRPr="00CC6CA3">
              <w:rPr>
                <w:rFonts w:cs="Times New Roman"/>
                <w:sz w:val="16"/>
                <w:szCs w:val="16"/>
              </w:rPr>
              <w:t>Stage 1-2 Thrust Position Axial Probe 1</w:t>
            </w:r>
          </w:p>
        </w:tc>
        <w:tc>
          <w:tcPr>
            <w:tcW w:w="276" w:type="pct"/>
          </w:tcPr>
          <w:p w14:paraId="0728AA6F" w14:textId="77777777" w:rsidR="005803DC" w:rsidRPr="00CC6CA3" w:rsidRDefault="005803DC" w:rsidP="00F632C0">
            <w:pPr>
              <w:rPr>
                <w:rFonts w:cs="Times New Roman"/>
                <w:sz w:val="16"/>
                <w:szCs w:val="16"/>
              </w:rPr>
            </w:pPr>
            <w:r w:rsidRPr="00CC6CA3">
              <w:rPr>
                <w:rFonts w:cs="Times New Roman"/>
                <w:sz w:val="16"/>
                <w:szCs w:val="16"/>
              </w:rPr>
              <w:t>21</w:t>
            </w:r>
          </w:p>
        </w:tc>
        <w:tc>
          <w:tcPr>
            <w:tcW w:w="1407" w:type="pct"/>
          </w:tcPr>
          <w:p w14:paraId="3E1F079E" w14:textId="77777777" w:rsidR="005803DC" w:rsidRPr="00CC6CA3" w:rsidRDefault="005803DC" w:rsidP="00F632C0">
            <w:pPr>
              <w:rPr>
                <w:rFonts w:cs="Times New Roman"/>
                <w:sz w:val="16"/>
                <w:szCs w:val="16"/>
              </w:rPr>
            </w:pPr>
            <w:r w:rsidRPr="00CC6CA3">
              <w:rPr>
                <w:rFonts w:cs="Times New Roman"/>
                <w:sz w:val="16"/>
                <w:szCs w:val="16"/>
              </w:rPr>
              <w:t>Stage 1-2 Thrust Position Axial Probe 2</w:t>
            </w:r>
          </w:p>
        </w:tc>
      </w:tr>
      <w:tr w:rsidR="00CC6CA3" w:rsidRPr="00CC6CA3" w14:paraId="4690D005" w14:textId="77777777" w:rsidTr="00F632C0">
        <w:tc>
          <w:tcPr>
            <w:tcW w:w="430" w:type="pct"/>
          </w:tcPr>
          <w:p w14:paraId="485A3D73" w14:textId="77777777" w:rsidR="005803DC" w:rsidRPr="00CC6CA3" w:rsidRDefault="005803DC" w:rsidP="00F632C0">
            <w:pPr>
              <w:rPr>
                <w:rFonts w:cs="Times New Roman"/>
                <w:sz w:val="16"/>
                <w:szCs w:val="16"/>
              </w:rPr>
            </w:pPr>
            <w:r w:rsidRPr="00CC6CA3">
              <w:rPr>
                <w:rFonts w:cs="Times New Roman"/>
                <w:sz w:val="16"/>
                <w:szCs w:val="16"/>
              </w:rPr>
              <w:t>22</w:t>
            </w:r>
          </w:p>
        </w:tc>
        <w:tc>
          <w:tcPr>
            <w:tcW w:w="1345" w:type="pct"/>
          </w:tcPr>
          <w:p w14:paraId="48F42ECE" w14:textId="77777777" w:rsidR="005803DC" w:rsidRPr="00CC6CA3" w:rsidRDefault="005803DC" w:rsidP="00F632C0">
            <w:pPr>
              <w:rPr>
                <w:rFonts w:cs="Times New Roman"/>
                <w:sz w:val="16"/>
                <w:szCs w:val="16"/>
              </w:rPr>
            </w:pPr>
            <w:r w:rsidRPr="00CC6CA3">
              <w:rPr>
                <w:rFonts w:cs="Times New Roman"/>
                <w:sz w:val="16"/>
                <w:szCs w:val="16"/>
              </w:rPr>
              <w:t>Stage 3 DE Radial Vibration Overall X</w:t>
            </w:r>
          </w:p>
        </w:tc>
        <w:tc>
          <w:tcPr>
            <w:tcW w:w="263" w:type="pct"/>
          </w:tcPr>
          <w:p w14:paraId="5AB4805B" w14:textId="77777777" w:rsidR="005803DC" w:rsidRPr="00CC6CA3" w:rsidRDefault="005803DC" w:rsidP="00F632C0">
            <w:pPr>
              <w:rPr>
                <w:rFonts w:cs="Times New Roman"/>
                <w:sz w:val="16"/>
                <w:szCs w:val="16"/>
              </w:rPr>
            </w:pPr>
            <w:r w:rsidRPr="00CC6CA3">
              <w:rPr>
                <w:rFonts w:cs="Times New Roman"/>
                <w:sz w:val="16"/>
                <w:szCs w:val="16"/>
              </w:rPr>
              <w:t>23</w:t>
            </w:r>
          </w:p>
        </w:tc>
        <w:tc>
          <w:tcPr>
            <w:tcW w:w="1279" w:type="pct"/>
          </w:tcPr>
          <w:p w14:paraId="59AD15FF" w14:textId="77777777" w:rsidR="005803DC" w:rsidRPr="00CC6CA3" w:rsidRDefault="005803DC" w:rsidP="00F632C0">
            <w:pPr>
              <w:rPr>
                <w:rFonts w:cs="Times New Roman"/>
                <w:sz w:val="16"/>
                <w:szCs w:val="16"/>
              </w:rPr>
            </w:pPr>
            <w:r w:rsidRPr="00CC6CA3">
              <w:rPr>
                <w:rFonts w:cs="Times New Roman"/>
                <w:sz w:val="16"/>
                <w:szCs w:val="16"/>
              </w:rPr>
              <w:t>Stage 3 DE Radial Vibration Overall Y</w:t>
            </w:r>
          </w:p>
        </w:tc>
        <w:tc>
          <w:tcPr>
            <w:tcW w:w="276" w:type="pct"/>
          </w:tcPr>
          <w:p w14:paraId="6031C9E7" w14:textId="77777777" w:rsidR="005803DC" w:rsidRPr="00CC6CA3" w:rsidRDefault="005803DC" w:rsidP="00F632C0">
            <w:pPr>
              <w:rPr>
                <w:rFonts w:cs="Times New Roman"/>
                <w:sz w:val="16"/>
                <w:szCs w:val="16"/>
              </w:rPr>
            </w:pPr>
            <w:r w:rsidRPr="00CC6CA3">
              <w:rPr>
                <w:rFonts w:cs="Times New Roman"/>
                <w:sz w:val="16"/>
                <w:szCs w:val="16"/>
              </w:rPr>
              <w:t>24</w:t>
            </w:r>
          </w:p>
        </w:tc>
        <w:tc>
          <w:tcPr>
            <w:tcW w:w="1407" w:type="pct"/>
          </w:tcPr>
          <w:p w14:paraId="711B7CD4" w14:textId="77777777" w:rsidR="005803DC" w:rsidRPr="00CC6CA3" w:rsidRDefault="005803DC" w:rsidP="00F632C0">
            <w:pPr>
              <w:rPr>
                <w:rFonts w:cs="Times New Roman"/>
                <w:sz w:val="16"/>
                <w:szCs w:val="16"/>
              </w:rPr>
            </w:pPr>
            <w:r w:rsidRPr="00CC6CA3">
              <w:rPr>
                <w:rFonts w:cs="Times New Roman"/>
                <w:sz w:val="16"/>
                <w:szCs w:val="16"/>
              </w:rPr>
              <w:t>Stage 3 NDE Radial Vibration Overall X</w:t>
            </w:r>
          </w:p>
        </w:tc>
      </w:tr>
      <w:tr w:rsidR="00CC6CA3" w:rsidRPr="00CC6CA3" w14:paraId="35C7E0AA" w14:textId="77777777" w:rsidTr="00F632C0">
        <w:tc>
          <w:tcPr>
            <w:tcW w:w="430" w:type="pct"/>
          </w:tcPr>
          <w:p w14:paraId="3C892529" w14:textId="77777777" w:rsidR="005803DC" w:rsidRPr="00CC6CA3" w:rsidRDefault="005803DC" w:rsidP="00F632C0">
            <w:pPr>
              <w:rPr>
                <w:rFonts w:cs="Times New Roman"/>
                <w:sz w:val="16"/>
                <w:szCs w:val="16"/>
              </w:rPr>
            </w:pPr>
            <w:r w:rsidRPr="00CC6CA3">
              <w:rPr>
                <w:rFonts w:cs="Times New Roman"/>
                <w:sz w:val="16"/>
                <w:szCs w:val="16"/>
              </w:rPr>
              <w:t>25</w:t>
            </w:r>
          </w:p>
        </w:tc>
        <w:tc>
          <w:tcPr>
            <w:tcW w:w="1345" w:type="pct"/>
          </w:tcPr>
          <w:p w14:paraId="74636B76" w14:textId="77777777" w:rsidR="005803DC" w:rsidRPr="00CC6CA3" w:rsidRDefault="005803DC" w:rsidP="00F632C0">
            <w:pPr>
              <w:rPr>
                <w:rFonts w:cs="Times New Roman"/>
                <w:sz w:val="16"/>
                <w:szCs w:val="16"/>
              </w:rPr>
            </w:pPr>
            <w:r w:rsidRPr="00CC6CA3">
              <w:rPr>
                <w:rFonts w:cs="Times New Roman"/>
                <w:sz w:val="16"/>
                <w:szCs w:val="16"/>
              </w:rPr>
              <w:t>Stage 3 NDE Radial Vibration Overall Y</w:t>
            </w:r>
          </w:p>
        </w:tc>
        <w:tc>
          <w:tcPr>
            <w:tcW w:w="263" w:type="pct"/>
          </w:tcPr>
          <w:p w14:paraId="251E7858" w14:textId="77777777" w:rsidR="005803DC" w:rsidRPr="00CC6CA3" w:rsidRDefault="005803DC" w:rsidP="00F632C0">
            <w:pPr>
              <w:rPr>
                <w:rFonts w:cs="Times New Roman"/>
                <w:sz w:val="16"/>
                <w:szCs w:val="16"/>
              </w:rPr>
            </w:pPr>
            <w:r w:rsidRPr="00CC6CA3">
              <w:rPr>
                <w:rFonts w:cs="Times New Roman"/>
                <w:sz w:val="16"/>
                <w:szCs w:val="16"/>
              </w:rPr>
              <w:t>26</w:t>
            </w:r>
          </w:p>
        </w:tc>
        <w:tc>
          <w:tcPr>
            <w:tcW w:w="1279" w:type="pct"/>
          </w:tcPr>
          <w:p w14:paraId="1CFB7FCB" w14:textId="77777777" w:rsidR="005803DC" w:rsidRPr="00CC6CA3" w:rsidRDefault="005803DC" w:rsidP="00F632C0">
            <w:pPr>
              <w:rPr>
                <w:rFonts w:cs="Times New Roman"/>
                <w:sz w:val="16"/>
                <w:szCs w:val="16"/>
              </w:rPr>
            </w:pPr>
            <w:r w:rsidRPr="00CC6CA3">
              <w:rPr>
                <w:rFonts w:cs="Times New Roman"/>
                <w:sz w:val="16"/>
                <w:szCs w:val="16"/>
              </w:rPr>
              <w:t>Stage 3 Thrust Position Axial Probe 1</w:t>
            </w:r>
          </w:p>
        </w:tc>
        <w:tc>
          <w:tcPr>
            <w:tcW w:w="276" w:type="pct"/>
          </w:tcPr>
          <w:p w14:paraId="77624E95" w14:textId="77777777" w:rsidR="005803DC" w:rsidRPr="00CC6CA3" w:rsidRDefault="005803DC" w:rsidP="00F632C0">
            <w:pPr>
              <w:rPr>
                <w:rFonts w:cs="Times New Roman"/>
                <w:sz w:val="16"/>
                <w:szCs w:val="16"/>
              </w:rPr>
            </w:pPr>
            <w:r w:rsidRPr="00CC6CA3">
              <w:rPr>
                <w:rFonts w:cs="Times New Roman"/>
                <w:sz w:val="16"/>
                <w:szCs w:val="16"/>
              </w:rPr>
              <w:t>27</w:t>
            </w:r>
          </w:p>
        </w:tc>
        <w:tc>
          <w:tcPr>
            <w:tcW w:w="1407" w:type="pct"/>
          </w:tcPr>
          <w:p w14:paraId="116DA10B" w14:textId="77777777" w:rsidR="005803DC" w:rsidRPr="00CC6CA3" w:rsidRDefault="005803DC" w:rsidP="00F632C0">
            <w:pPr>
              <w:rPr>
                <w:rFonts w:cs="Times New Roman"/>
                <w:sz w:val="16"/>
                <w:szCs w:val="16"/>
              </w:rPr>
            </w:pPr>
            <w:r w:rsidRPr="00CC6CA3">
              <w:rPr>
                <w:rFonts w:cs="Times New Roman"/>
                <w:sz w:val="16"/>
                <w:szCs w:val="16"/>
              </w:rPr>
              <w:t>Stage 3 Thrust Position Axial Probe 2</w:t>
            </w:r>
          </w:p>
        </w:tc>
      </w:tr>
      <w:tr w:rsidR="00CC6CA3" w:rsidRPr="00CC6CA3" w14:paraId="6C57F9DF" w14:textId="77777777" w:rsidTr="00F632C0">
        <w:tc>
          <w:tcPr>
            <w:tcW w:w="430" w:type="pct"/>
          </w:tcPr>
          <w:p w14:paraId="5002A00A" w14:textId="77777777" w:rsidR="005803DC" w:rsidRPr="00CC6CA3" w:rsidRDefault="005803DC" w:rsidP="00F632C0">
            <w:pPr>
              <w:rPr>
                <w:rFonts w:cs="Times New Roman"/>
                <w:sz w:val="16"/>
                <w:szCs w:val="16"/>
              </w:rPr>
            </w:pPr>
            <w:r w:rsidRPr="00CC6CA3">
              <w:rPr>
                <w:rFonts w:cs="Times New Roman"/>
                <w:sz w:val="16"/>
                <w:szCs w:val="16"/>
              </w:rPr>
              <w:t>28</w:t>
            </w:r>
          </w:p>
        </w:tc>
        <w:tc>
          <w:tcPr>
            <w:tcW w:w="1345" w:type="pct"/>
          </w:tcPr>
          <w:p w14:paraId="0FC28803" w14:textId="77777777" w:rsidR="005803DC" w:rsidRPr="00CC6CA3" w:rsidRDefault="005803DC" w:rsidP="00F632C0">
            <w:pPr>
              <w:rPr>
                <w:rFonts w:cs="Times New Roman"/>
                <w:sz w:val="16"/>
                <w:szCs w:val="16"/>
              </w:rPr>
            </w:pPr>
            <w:r w:rsidRPr="00CC6CA3">
              <w:rPr>
                <w:rFonts w:cs="Times New Roman"/>
                <w:sz w:val="16"/>
                <w:szCs w:val="16"/>
              </w:rPr>
              <w:t>Speed 1</w:t>
            </w:r>
          </w:p>
        </w:tc>
        <w:tc>
          <w:tcPr>
            <w:tcW w:w="263" w:type="pct"/>
          </w:tcPr>
          <w:p w14:paraId="34E88F8A" w14:textId="77777777" w:rsidR="005803DC" w:rsidRPr="00CC6CA3" w:rsidRDefault="005803DC" w:rsidP="00F632C0">
            <w:pPr>
              <w:rPr>
                <w:rFonts w:cs="Times New Roman"/>
                <w:sz w:val="16"/>
                <w:szCs w:val="16"/>
              </w:rPr>
            </w:pPr>
            <w:r w:rsidRPr="00CC6CA3">
              <w:rPr>
                <w:rFonts w:cs="Times New Roman"/>
                <w:sz w:val="16"/>
                <w:szCs w:val="16"/>
              </w:rPr>
              <w:t>29</w:t>
            </w:r>
          </w:p>
        </w:tc>
        <w:tc>
          <w:tcPr>
            <w:tcW w:w="1279" w:type="pct"/>
          </w:tcPr>
          <w:p w14:paraId="58D780AA" w14:textId="77777777" w:rsidR="005803DC" w:rsidRPr="00CC6CA3" w:rsidRDefault="005803DC" w:rsidP="00F632C0">
            <w:r w:rsidRPr="00CC6CA3">
              <w:rPr>
                <w:rFonts w:cs="Times New Roman"/>
                <w:sz w:val="16"/>
                <w:szCs w:val="16"/>
              </w:rPr>
              <w:t>Speed 2</w:t>
            </w:r>
          </w:p>
        </w:tc>
        <w:tc>
          <w:tcPr>
            <w:tcW w:w="276" w:type="pct"/>
          </w:tcPr>
          <w:p w14:paraId="5E6FEA4C" w14:textId="77777777" w:rsidR="005803DC" w:rsidRPr="00CC6CA3" w:rsidRDefault="005803DC" w:rsidP="00F632C0">
            <w:pPr>
              <w:rPr>
                <w:rFonts w:cs="Times New Roman"/>
                <w:sz w:val="16"/>
                <w:szCs w:val="16"/>
              </w:rPr>
            </w:pPr>
          </w:p>
        </w:tc>
        <w:tc>
          <w:tcPr>
            <w:tcW w:w="1407" w:type="pct"/>
          </w:tcPr>
          <w:p w14:paraId="067C5F12" w14:textId="77777777" w:rsidR="005803DC" w:rsidRPr="00CC6CA3" w:rsidRDefault="005803DC" w:rsidP="00F632C0">
            <w:pPr>
              <w:rPr>
                <w:rFonts w:cs="Times New Roman"/>
                <w:sz w:val="16"/>
                <w:szCs w:val="16"/>
              </w:rPr>
            </w:pPr>
          </w:p>
        </w:tc>
      </w:tr>
    </w:tbl>
    <w:p w14:paraId="0619D308" w14:textId="77777777" w:rsidR="005803DC" w:rsidRPr="00CC6CA3" w:rsidRDefault="005803DC" w:rsidP="005803DC">
      <w:pPr>
        <w:keepNext/>
        <w:jc w:val="center"/>
      </w:pPr>
      <w:r w:rsidRPr="00CC6CA3">
        <w:rPr>
          <w:noProof/>
        </w:rPr>
        <w:drawing>
          <wp:inline distT="0" distB="0" distL="0" distR="0" wp14:anchorId="1084A619" wp14:editId="4BE4D90F">
            <wp:extent cx="5040000" cy="4051328"/>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0000" cy="4051328"/>
                    </a:xfrm>
                    <a:prstGeom prst="rect">
                      <a:avLst/>
                    </a:prstGeom>
                    <a:noFill/>
                  </pic:spPr>
                </pic:pic>
              </a:graphicData>
            </a:graphic>
          </wp:inline>
        </w:drawing>
      </w:r>
    </w:p>
    <w:p w14:paraId="27C1867E" w14:textId="73019827" w:rsidR="005803DC" w:rsidRPr="00CC6CA3" w:rsidRDefault="005803DC" w:rsidP="005803DC">
      <w:pPr>
        <w:pStyle w:val="Caption"/>
        <w:jc w:val="center"/>
      </w:pPr>
      <w:bookmarkStart w:id="243" w:name="_Ref32742328"/>
      <w:bookmarkStart w:id="244" w:name="_Toc8155335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17</w:t>
      </w:r>
      <w:r w:rsidR="00D62691" w:rsidRPr="00CC6CA3">
        <w:rPr>
          <w:noProof/>
        </w:rPr>
        <w:fldChar w:fldCharType="end"/>
      </w:r>
      <w:bookmarkEnd w:id="243"/>
      <w:r w:rsidRPr="00CC6CA3">
        <w:t xml:space="preserve"> Outliers in the compressor data set before data pre-processing, (a) raw data of discharge pressure of stage 1, (b) histogram of discharge pressure, (c) raw data of discharge temperature of stage 1, (d) histogram of discharge temperature.</w:t>
      </w:r>
      <w:bookmarkEnd w:id="244"/>
    </w:p>
    <w:p w14:paraId="4651462C" w14:textId="74AE38EB" w:rsidR="005803DC" w:rsidRPr="00CC6CA3" w:rsidRDefault="005803DC" w:rsidP="005803DC">
      <w:r w:rsidRPr="00CC6CA3">
        <w:rPr>
          <w:rFonts w:hint="eastAsia"/>
        </w:rPr>
        <w:t>T</w:t>
      </w:r>
      <w:r w:rsidRPr="00CC6CA3">
        <w:t xml:space="preserve">his dataset of the three-stage </w:t>
      </w:r>
      <w:r w:rsidR="0049533B" w:rsidRPr="00CC6CA3">
        <w:t>compressor began on 1</w:t>
      </w:r>
      <w:r w:rsidR="0049533B" w:rsidRPr="00CC6CA3">
        <w:rPr>
          <w:vertAlign w:val="superscript"/>
        </w:rPr>
        <w:t>st</w:t>
      </w:r>
      <w:r w:rsidR="0049533B" w:rsidRPr="00CC6CA3">
        <w:t xml:space="preserve"> Jan 2014 and continued to 1</w:t>
      </w:r>
      <w:r w:rsidR="0049533B" w:rsidRPr="00CC6CA3">
        <w:rPr>
          <w:vertAlign w:val="superscript"/>
        </w:rPr>
        <w:t>st</w:t>
      </w:r>
      <w:r w:rsidR="0049533B" w:rsidRPr="00CC6CA3">
        <w:t xml:space="preserve"> Dec 2014, sampling once every hour</w:t>
      </w:r>
      <w:r w:rsidRPr="00CC6CA3">
        <w:rPr>
          <w:rFonts w:hint="eastAsia"/>
        </w:rPr>
        <w:t xml:space="preserve">. </w:t>
      </w:r>
      <w:r w:rsidRPr="00CC6CA3">
        <w:t xml:space="preserve">Some of the measurements before data pre-processing are shown in </w:t>
      </w:r>
      <w:r w:rsidRPr="00CC6CA3">
        <w:fldChar w:fldCharType="begin"/>
      </w:r>
      <w:r w:rsidRPr="00CC6CA3">
        <w:instrText xml:space="preserve"> REF _Ref32742328 \h  \* MERGEFORMAT </w:instrText>
      </w:r>
      <w:r w:rsidRPr="00CC6CA3">
        <w:fldChar w:fldCharType="separate"/>
      </w:r>
      <w:r w:rsidR="001906D9" w:rsidRPr="00CC6CA3">
        <w:t>Figure 3.17</w:t>
      </w:r>
      <w:r w:rsidRPr="00CC6CA3">
        <w:fldChar w:fldCharType="end"/>
      </w:r>
      <w:r w:rsidRPr="00CC6CA3">
        <w:t xml:space="preserve">.  It can be seen from </w:t>
      </w:r>
      <w:r w:rsidRPr="00CC6CA3">
        <w:fldChar w:fldCharType="begin"/>
      </w:r>
      <w:r w:rsidRPr="00CC6CA3">
        <w:instrText xml:space="preserve"> REF _Ref32742328 \h  \* MERGEFORMAT </w:instrText>
      </w:r>
      <w:r w:rsidRPr="00CC6CA3">
        <w:fldChar w:fldCharType="separate"/>
      </w:r>
      <w:r w:rsidR="001906D9" w:rsidRPr="00CC6CA3">
        <w:t>Figure 3.17</w:t>
      </w:r>
      <w:r w:rsidRPr="00CC6CA3">
        <w:fldChar w:fldCharType="end"/>
      </w:r>
      <w:r w:rsidRPr="00CC6CA3">
        <w:t xml:space="preserve"> </w:t>
      </w:r>
      <w:r w:rsidRPr="00CC6CA3">
        <w:rPr>
          <w:rFonts w:cs="Times New Roman"/>
          <w:szCs w:val="24"/>
        </w:rPr>
        <w:t>that</w:t>
      </w:r>
      <w:r w:rsidRPr="00CC6CA3">
        <w:t xml:space="preserve"> </w:t>
      </w:r>
      <w:r w:rsidR="0049533B" w:rsidRPr="00CC6CA3">
        <w:t xml:space="preserve">there were many outliers in the </w:t>
      </w:r>
      <w:r w:rsidR="0049533B" w:rsidRPr="00CC6CA3">
        <w:lastRenderedPageBreak/>
        <w:t>compressor dataset, which were caused by various factors, such as changing operation, machine test, maintenance, measurement equipment fault/failure</w:t>
      </w:r>
      <w:r w:rsidRPr="00CC6CA3">
        <w:t xml:space="preserve">. </w:t>
      </w:r>
    </w:p>
    <w:p w14:paraId="36FDDAE1" w14:textId="0E426C6E" w:rsidR="005803DC" w:rsidRPr="00CC6CA3" w:rsidRDefault="005803DC" w:rsidP="005803DC">
      <w:r w:rsidRPr="00CC6CA3">
        <w:t xml:space="preserve">The number of missing </w:t>
      </w:r>
      <w:r w:rsidRPr="00CC6CA3">
        <w:rPr>
          <w:rFonts w:cs="Times New Roman"/>
          <w:szCs w:val="24"/>
        </w:rPr>
        <w:t>data</w:t>
      </w:r>
      <w:r w:rsidRPr="00CC6CA3">
        <w:t xml:space="preserve"> is presented in </w:t>
      </w:r>
      <w:r w:rsidRPr="00CC6CA3">
        <w:fldChar w:fldCharType="begin"/>
      </w:r>
      <w:r w:rsidRPr="00CC6CA3">
        <w:instrText xml:space="preserve"> REF _Ref32769238 \h  \* MERGEFORMAT </w:instrText>
      </w:r>
      <w:r w:rsidRPr="00CC6CA3">
        <w:fldChar w:fldCharType="separate"/>
      </w:r>
      <w:r w:rsidR="001906D9" w:rsidRPr="00CC6CA3">
        <w:t>Figure 3.18</w:t>
      </w:r>
      <w:r w:rsidRPr="00CC6CA3">
        <w:fldChar w:fldCharType="end"/>
      </w:r>
      <w:r w:rsidR="00951E99" w:rsidRPr="00CC6CA3">
        <w:t xml:space="preserve"> (b)</w:t>
      </w:r>
      <w:r w:rsidRPr="00CC6CA3">
        <w:t xml:space="preserve">. </w:t>
      </w:r>
      <w:r w:rsidR="0049533B" w:rsidRPr="00CC6CA3">
        <w:t xml:space="preserve">As can be seen, for the year 2014, most of the missing data was for the suction and </w:t>
      </w:r>
      <w:r w:rsidRPr="00CC6CA3">
        <w:t>discharge temperature of compressor stage 3.</w:t>
      </w:r>
    </w:p>
    <w:p w14:paraId="43C2BBDC" w14:textId="77777777" w:rsidR="005803DC" w:rsidRPr="00CC6CA3" w:rsidRDefault="005803DC" w:rsidP="005803DC">
      <w:pPr>
        <w:keepNext/>
        <w:jc w:val="center"/>
      </w:pPr>
      <w:r w:rsidRPr="00CC6CA3">
        <w:object w:dxaOrig="11628" w:dyaOrig="10680" w14:anchorId="522EFE3C">
          <v:shape id="_x0000_i1040" type="#_x0000_t75" style="width:438pt;height:402pt" o:ole="">
            <v:imagedata r:id="rId69" o:title=""/>
          </v:shape>
          <o:OLEObject Type="Embed" ProgID="Visio.Drawing.15" ShapeID="_x0000_i1040" DrawAspect="Content" ObjectID="_1692500319" r:id="rId70"/>
        </w:object>
      </w:r>
    </w:p>
    <w:p w14:paraId="20ADC3C3" w14:textId="56FC57A5" w:rsidR="005803DC" w:rsidRPr="00CC6CA3" w:rsidRDefault="005803DC" w:rsidP="005803DC">
      <w:pPr>
        <w:pStyle w:val="Caption"/>
        <w:jc w:val="center"/>
      </w:pPr>
      <w:bookmarkStart w:id="245" w:name="_Ref32769238"/>
      <w:bookmarkStart w:id="246" w:name="_Toc8155336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18</w:t>
      </w:r>
      <w:r w:rsidR="00D62691" w:rsidRPr="00CC6CA3">
        <w:rPr>
          <w:noProof/>
        </w:rPr>
        <w:fldChar w:fldCharType="end"/>
      </w:r>
      <w:bookmarkEnd w:id="245"/>
      <w:r w:rsidRPr="00CC6CA3">
        <w:t xml:space="preserve"> </w:t>
      </w:r>
      <w:r w:rsidR="000B797E" w:rsidRPr="00CC6CA3">
        <w:t>M</w:t>
      </w:r>
      <w:r w:rsidRPr="00CC6CA3">
        <w:t xml:space="preserve">issing </w:t>
      </w:r>
      <w:r w:rsidR="000B797E" w:rsidRPr="00CC6CA3">
        <w:rPr>
          <w:szCs w:val="20"/>
        </w:rPr>
        <w:t>data in each measurement of the compressor (a) missing data in each measurement (b) number of missing data</w:t>
      </w:r>
      <w:bookmarkEnd w:id="246"/>
    </w:p>
    <w:p w14:paraId="453BC557" w14:textId="77777777" w:rsidR="005803DC" w:rsidRPr="00CC6CA3" w:rsidRDefault="005803DC" w:rsidP="005803DC">
      <w:pPr>
        <w:pStyle w:val="Body"/>
      </w:pPr>
      <w:r w:rsidRPr="00CC6CA3">
        <w:t xml:space="preserve">The following rules were utilized for compressor data pre-processing: </w:t>
      </w:r>
    </w:p>
    <w:p w14:paraId="210E689C" w14:textId="77777777" w:rsidR="005803DC" w:rsidRPr="00CC6CA3" w:rsidRDefault="005803DC" w:rsidP="005803DC">
      <w:pPr>
        <w:pStyle w:val="Body"/>
        <w:numPr>
          <w:ilvl w:val="0"/>
          <w:numId w:val="14"/>
        </w:numPr>
      </w:pPr>
      <w:r w:rsidRPr="00CC6CA3">
        <w:t xml:space="preserve">Filter out all downtime data (shaft speed = 0 </w:t>
      </w:r>
      <m:oMath>
        <m:r>
          <w:rPr>
            <w:rFonts w:ascii="Cambria Math" w:hAnsi="Cambria Math"/>
          </w:rPr>
          <m:t>rpm</m:t>
        </m:r>
      </m:oMath>
      <w:r w:rsidRPr="00CC6CA3">
        <w:t>)</w:t>
      </w:r>
      <w:r w:rsidRPr="00CC6CA3">
        <w:rPr>
          <w:rFonts w:hint="eastAsia"/>
          <w:lang w:eastAsia="zh-CN"/>
        </w:rPr>
        <w:t>.</w:t>
      </w:r>
    </w:p>
    <w:p w14:paraId="40CFDF85" w14:textId="092E3AC3" w:rsidR="005803DC" w:rsidRPr="00CC6CA3" w:rsidRDefault="005803DC" w:rsidP="005803DC">
      <w:pPr>
        <w:pStyle w:val="Body"/>
        <w:numPr>
          <w:ilvl w:val="0"/>
          <w:numId w:val="14"/>
        </w:numPr>
      </w:pPr>
      <w:r w:rsidRPr="00CC6CA3">
        <w:t>Filter out all data vectors where one or more parameters had a value higher</w:t>
      </w:r>
      <w:r w:rsidR="00160608" w:rsidRPr="00CC6CA3">
        <w:t xml:space="preserve"> or lower</w:t>
      </w:r>
      <w:r w:rsidRPr="00CC6CA3">
        <w:t xml:space="preserve"> than a predefined threshold. </w:t>
      </w:r>
      <w:r w:rsidR="0043016E" w:rsidRPr="00CC6CA3">
        <w:t xml:space="preserve">The threshold values were decided based on </w:t>
      </w:r>
      <w:r w:rsidR="0043016E" w:rsidRPr="00CC6CA3">
        <w:lastRenderedPageBreak/>
        <w:t>manufacturer’s specifications</w:t>
      </w:r>
      <w:r w:rsidRPr="00CC6CA3">
        <w:t xml:space="preserve">. Some of the upper and lower thresholds for the input measurements can be found in </w:t>
      </w:r>
      <w:r w:rsidRPr="00CC6CA3">
        <w:fldChar w:fldCharType="begin"/>
      </w:r>
      <w:r w:rsidRPr="00CC6CA3">
        <w:instrText xml:space="preserve"> REF _Ref62639238 \h </w:instrText>
      </w:r>
      <w:r w:rsidRPr="00CC6CA3">
        <w:fldChar w:fldCharType="separate"/>
      </w:r>
      <w:r w:rsidR="001906D9" w:rsidRPr="00CC6CA3">
        <w:t xml:space="preserve">Table </w:t>
      </w:r>
      <w:r w:rsidR="001906D9" w:rsidRPr="00CC6CA3">
        <w:rPr>
          <w:noProof/>
        </w:rPr>
        <w:t>3</w:t>
      </w:r>
      <w:r w:rsidR="001906D9" w:rsidRPr="00CC6CA3">
        <w:t>.</w:t>
      </w:r>
      <w:r w:rsidR="001906D9" w:rsidRPr="00CC6CA3">
        <w:rPr>
          <w:noProof/>
        </w:rPr>
        <w:t>6</w:t>
      </w:r>
      <w:r w:rsidRPr="00CC6CA3">
        <w:fldChar w:fldCharType="end"/>
      </w:r>
      <w:r w:rsidRPr="00CC6CA3">
        <w:t>.</w:t>
      </w:r>
    </w:p>
    <w:p w14:paraId="062AB5F2" w14:textId="4873DAB9" w:rsidR="00E60958" w:rsidRPr="00CC6CA3" w:rsidRDefault="005803DC" w:rsidP="00B646F5">
      <w:pPr>
        <w:pStyle w:val="Body"/>
        <w:numPr>
          <w:ilvl w:val="0"/>
          <w:numId w:val="14"/>
        </w:numPr>
      </w:pPr>
      <w:r w:rsidRPr="00CC6CA3">
        <w:t>Filter out all missing data in the compressor data set.</w:t>
      </w:r>
    </w:p>
    <w:p w14:paraId="0F4B11CB" w14:textId="3311A5AB" w:rsidR="005803DC" w:rsidRPr="00CC6CA3" w:rsidRDefault="005803DC" w:rsidP="005803DC">
      <w:pPr>
        <w:pStyle w:val="Caption"/>
        <w:keepNext/>
        <w:ind w:left="360"/>
      </w:pPr>
      <w:bookmarkStart w:id="247" w:name="_Ref62639238"/>
      <w:bookmarkStart w:id="248" w:name="_Toc81553475"/>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6</w:t>
      </w:r>
      <w:r w:rsidR="00D62691" w:rsidRPr="00CC6CA3">
        <w:rPr>
          <w:noProof/>
        </w:rPr>
        <w:fldChar w:fldCharType="end"/>
      </w:r>
      <w:bookmarkEnd w:id="247"/>
      <w:r w:rsidRPr="00CC6CA3">
        <w:t xml:space="preserve"> Some of the upper and lower thresholds of the compressor</w:t>
      </w:r>
      <w:bookmarkEnd w:id="248"/>
    </w:p>
    <w:tbl>
      <w:tblPr>
        <w:tblStyle w:val="PlainTable2"/>
        <w:tblW w:w="5000" w:type="pct"/>
        <w:jc w:val="center"/>
        <w:tblLayout w:type="fixed"/>
        <w:tblLook w:val="04A0" w:firstRow="1" w:lastRow="0" w:firstColumn="1" w:lastColumn="0" w:noHBand="0" w:noVBand="1"/>
      </w:tblPr>
      <w:tblGrid>
        <w:gridCol w:w="1465"/>
        <w:gridCol w:w="1109"/>
        <w:gridCol w:w="1483"/>
        <w:gridCol w:w="1658"/>
        <w:gridCol w:w="1656"/>
        <w:gridCol w:w="284"/>
        <w:gridCol w:w="1110"/>
      </w:tblGrid>
      <w:tr w:rsidR="00CC6CA3" w:rsidRPr="00CC6CA3" w14:paraId="6DF397CA" w14:textId="77777777" w:rsidTr="00F632C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5" w:type="dxa"/>
            <w:noWrap/>
            <w:vAlign w:val="center"/>
            <w:hideMark/>
          </w:tcPr>
          <w:p w14:paraId="4DF65178" w14:textId="77777777" w:rsidR="005803DC" w:rsidRPr="00CC6CA3" w:rsidRDefault="005803DC" w:rsidP="00F632C0">
            <w:pPr>
              <w:spacing w:line="240" w:lineRule="auto"/>
              <w:jc w:val="left"/>
              <w:rPr>
                <w:rFonts w:eastAsia="Times New Roman" w:cs="Times New Roman"/>
                <w:sz w:val="20"/>
                <w:szCs w:val="20"/>
              </w:rPr>
            </w:pPr>
          </w:p>
        </w:tc>
        <w:tc>
          <w:tcPr>
            <w:tcW w:w="1109" w:type="dxa"/>
            <w:noWrap/>
            <w:vAlign w:val="center"/>
            <w:hideMark/>
          </w:tcPr>
          <w:p w14:paraId="7DA04653"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Shaft speed</w:t>
            </w:r>
          </w:p>
          <w:p w14:paraId="08B6E746"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(RPM)</w:t>
            </w:r>
          </w:p>
        </w:tc>
        <w:tc>
          <w:tcPr>
            <w:tcW w:w="1483" w:type="dxa"/>
            <w:noWrap/>
            <w:vAlign w:val="center"/>
            <w:hideMark/>
          </w:tcPr>
          <w:p w14:paraId="6BD32B7D"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Stage 1 suction pressure</w:t>
            </w:r>
          </w:p>
          <w:p w14:paraId="1F384A0E"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(Bar)</w:t>
            </w:r>
          </w:p>
        </w:tc>
        <w:tc>
          <w:tcPr>
            <w:tcW w:w="1658" w:type="dxa"/>
            <w:noWrap/>
            <w:vAlign w:val="center"/>
            <w:hideMark/>
          </w:tcPr>
          <w:p w14:paraId="4D7DC770"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Stage 1 discharge pressure</w:t>
            </w:r>
          </w:p>
          <w:p w14:paraId="6D58F10C"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(Bar)</w:t>
            </w:r>
          </w:p>
        </w:tc>
        <w:tc>
          <w:tcPr>
            <w:tcW w:w="1656" w:type="dxa"/>
            <w:noWrap/>
            <w:vAlign w:val="center"/>
            <w:hideMark/>
          </w:tcPr>
          <w:p w14:paraId="08243FA4"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Stage 1 Discharge temperature</w:t>
            </w:r>
          </w:p>
          <w:p w14:paraId="71AA27CE"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(°C)</w:t>
            </w:r>
          </w:p>
        </w:tc>
        <w:tc>
          <w:tcPr>
            <w:tcW w:w="1394" w:type="dxa"/>
            <w:gridSpan w:val="2"/>
            <w:noWrap/>
            <w:vAlign w:val="center"/>
            <w:hideMark/>
          </w:tcPr>
          <w:p w14:paraId="27C5F0A4"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20"/>
                <w:szCs w:val="20"/>
              </w:rPr>
            </w:pPr>
            <w:r w:rsidRPr="00CC6CA3">
              <w:rPr>
                <w:rFonts w:eastAsia="Times New Roman" w:cs="Times New Roman"/>
                <w:sz w:val="20"/>
                <w:szCs w:val="20"/>
              </w:rPr>
              <w:t>Stage 1 Discharge temperature</w:t>
            </w:r>
          </w:p>
          <w:p w14:paraId="6FAD7F25" w14:textId="77777777" w:rsidR="005803DC" w:rsidRPr="00CC6CA3" w:rsidRDefault="005803DC" w:rsidP="00F632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(°C)</w:t>
            </w:r>
          </w:p>
        </w:tc>
      </w:tr>
      <w:tr w:rsidR="00CC6CA3" w:rsidRPr="00CC6CA3" w14:paraId="107B9381" w14:textId="77777777" w:rsidTr="00F632C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65" w:type="dxa"/>
            <w:noWrap/>
            <w:vAlign w:val="center"/>
            <w:hideMark/>
          </w:tcPr>
          <w:p w14:paraId="35130935" w14:textId="77777777" w:rsidR="005803DC" w:rsidRPr="00CC6CA3" w:rsidRDefault="005803DC" w:rsidP="00F632C0">
            <w:pPr>
              <w:spacing w:line="240" w:lineRule="auto"/>
              <w:jc w:val="left"/>
              <w:rPr>
                <w:rFonts w:eastAsia="Times New Roman" w:cs="Times New Roman"/>
                <w:sz w:val="20"/>
                <w:szCs w:val="20"/>
              </w:rPr>
            </w:pPr>
            <w:r w:rsidRPr="00CC6CA3">
              <w:rPr>
                <w:rFonts w:eastAsia="Times New Roman" w:cs="Times New Roman"/>
                <w:sz w:val="20"/>
                <w:szCs w:val="20"/>
              </w:rPr>
              <w:t>Upper threshold</w:t>
            </w:r>
          </w:p>
        </w:tc>
        <w:tc>
          <w:tcPr>
            <w:tcW w:w="1109" w:type="dxa"/>
            <w:noWrap/>
            <w:vAlign w:val="center"/>
            <w:hideMark/>
          </w:tcPr>
          <w:p w14:paraId="36551497" w14:textId="77777777" w:rsidR="005803DC" w:rsidRPr="00CC6CA3" w:rsidRDefault="00D62691"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m:oMathPara>
              <m:oMath>
                <m:sSup>
                  <m:sSupPr>
                    <m:ctrlPr>
                      <w:rPr>
                        <w:rFonts w:ascii="Cambria Math" w:eastAsia="Times New Roman" w:hAnsi="Cambria Math" w:cs="Times New Roman"/>
                        <w:i/>
                        <w:sz w:val="20"/>
                        <w:szCs w:val="20"/>
                      </w:rPr>
                    </m:ctrlPr>
                  </m:sSupPr>
                  <m:e>
                    <m:r>
                      <w:rPr>
                        <w:rFonts w:ascii="Cambria Math" w:hAnsi="Cambria Math" w:cs="Times New Roman"/>
                        <w:sz w:val="20"/>
                        <w:szCs w:val="20"/>
                      </w:rPr>
                      <m:t>1.4</m:t>
                    </m:r>
                    <m:r>
                      <w:rPr>
                        <w:rFonts w:ascii="Cambria Math" w:eastAsia="Times New Roman" w:hAnsi="Cambria Math" w:cs="Times New Roman"/>
                        <w:sz w:val="20"/>
                        <w:szCs w:val="20"/>
                      </w:rPr>
                      <m:t>×</m:t>
                    </m:r>
                    <m:r>
                      <w:rPr>
                        <w:rFonts w:ascii="Cambria Math" w:hAnsi="Cambria Math" w:cs="Times New Roman"/>
                        <w:sz w:val="20"/>
                        <w:szCs w:val="20"/>
                      </w:rPr>
                      <m:t>10</m:t>
                    </m:r>
                  </m:e>
                  <m:sup>
                    <m:r>
                      <w:rPr>
                        <w:rFonts w:ascii="Cambria Math" w:hAnsi="Cambria Math" w:cs="Times New Roman"/>
                        <w:sz w:val="20"/>
                        <w:szCs w:val="20"/>
                      </w:rPr>
                      <m:t>4</m:t>
                    </m:r>
                  </m:sup>
                </m:sSup>
              </m:oMath>
            </m:oMathPara>
          </w:p>
        </w:tc>
        <w:tc>
          <w:tcPr>
            <w:tcW w:w="1483" w:type="dxa"/>
            <w:noWrap/>
            <w:vAlign w:val="center"/>
            <w:hideMark/>
          </w:tcPr>
          <w:p w14:paraId="7903B2A1"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25</w:t>
            </w:r>
          </w:p>
        </w:tc>
        <w:tc>
          <w:tcPr>
            <w:tcW w:w="1658" w:type="dxa"/>
            <w:noWrap/>
            <w:vAlign w:val="center"/>
            <w:hideMark/>
          </w:tcPr>
          <w:p w14:paraId="1DE8B929"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55</w:t>
            </w:r>
          </w:p>
        </w:tc>
        <w:tc>
          <w:tcPr>
            <w:tcW w:w="1940" w:type="dxa"/>
            <w:gridSpan w:val="2"/>
            <w:noWrap/>
            <w:vAlign w:val="center"/>
            <w:hideMark/>
          </w:tcPr>
          <w:p w14:paraId="04141850"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65</w:t>
            </w:r>
          </w:p>
        </w:tc>
        <w:tc>
          <w:tcPr>
            <w:tcW w:w="1110" w:type="dxa"/>
            <w:noWrap/>
            <w:vAlign w:val="center"/>
            <w:hideMark/>
          </w:tcPr>
          <w:p w14:paraId="11F5744E" w14:textId="77777777" w:rsidR="005803DC" w:rsidRPr="00CC6CA3" w:rsidRDefault="005803DC" w:rsidP="00F632C0">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150</w:t>
            </w:r>
          </w:p>
        </w:tc>
      </w:tr>
      <w:tr w:rsidR="00CC6CA3" w:rsidRPr="00CC6CA3" w14:paraId="4F29B8D7" w14:textId="77777777" w:rsidTr="00F632C0">
        <w:trPr>
          <w:trHeight w:val="300"/>
          <w:jc w:val="center"/>
        </w:trPr>
        <w:tc>
          <w:tcPr>
            <w:cnfStyle w:val="001000000000" w:firstRow="0" w:lastRow="0" w:firstColumn="1" w:lastColumn="0" w:oddVBand="0" w:evenVBand="0" w:oddHBand="0" w:evenHBand="0" w:firstRowFirstColumn="0" w:firstRowLastColumn="0" w:lastRowFirstColumn="0" w:lastRowLastColumn="0"/>
            <w:tcW w:w="1465" w:type="dxa"/>
            <w:noWrap/>
            <w:vAlign w:val="center"/>
            <w:hideMark/>
          </w:tcPr>
          <w:p w14:paraId="6FD6740F" w14:textId="77777777" w:rsidR="005803DC" w:rsidRPr="00CC6CA3" w:rsidRDefault="005803DC" w:rsidP="00F632C0">
            <w:pPr>
              <w:spacing w:line="240" w:lineRule="auto"/>
              <w:jc w:val="left"/>
              <w:rPr>
                <w:rFonts w:eastAsia="Times New Roman" w:cs="Times New Roman"/>
                <w:sz w:val="20"/>
                <w:szCs w:val="20"/>
              </w:rPr>
            </w:pPr>
            <w:r w:rsidRPr="00CC6CA3">
              <w:rPr>
                <w:rFonts w:eastAsia="Times New Roman" w:cs="Times New Roman"/>
                <w:sz w:val="20"/>
                <w:szCs w:val="20"/>
              </w:rPr>
              <w:t>Lower threshold</w:t>
            </w:r>
          </w:p>
        </w:tc>
        <w:tc>
          <w:tcPr>
            <w:tcW w:w="1109" w:type="dxa"/>
            <w:noWrap/>
            <w:vAlign w:val="center"/>
            <w:hideMark/>
          </w:tcPr>
          <w:p w14:paraId="112F4622" w14:textId="77777777" w:rsidR="005803DC" w:rsidRPr="00CC6CA3" w:rsidRDefault="00D62691"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m:oMathPara>
              <m:oMath>
                <m:sSup>
                  <m:sSupPr>
                    <m:ctrlPr>
                      <w:rPr>
                        <w:rFonts w:ascii="Cambria Math" w:eastAsia="Times New Roman"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4</m:t>
                    </m:r>
                  </m:sup>
                </m:sSup>
              </m:oMath>
            </m:oMathPara>
          </w:p>
        </w:tc>
        <w:tc>
          <w:tcPr>
            <w:tcW w:w="1483" w:type="dxa"/>
            <w:noWrap/>
            <w:vAlign w:val="center"/>
            <w:hideMark/>
          </w:tcPr>
          <w:p w14:paraId="5DA2425E"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10</w:t>
            </w:r>
          </w:p>
        </w:tc>
        <w:tc>
          <w:tcPr>
            <w:tcW w:w="1658" w:type="dxa"/>
            <w:noWrap/>
            <w:vAlign w:val="center"/>
            <w:hideMark/>
          </w:tcPr>
          <w:p w14:paraId="34D8FCF2"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25</w:t>
            </w:r>
          </w:p>
        </w:tc>
        <w:tc>
          <w:tcPr>
            <w:tcW w:w="1940" w:type="dxa"/>
            <w:gridSpan w:val="2"/>
            <w:noWrap/>
            <w:vAlign w:val="center"/>
            <w:hideMark/>
          </w:tcPr>
          <w:p w14:paraId="036C9FDE"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30</w:t>
            </w:r>
          </w:p>
        </w:tc>
        <w:tc>
          <w:tcPr>
            <w:tcW w:w="1110" w:type="dxa"/>
            <w:noWrap/>
            <w:vAlign w:val="center"/>
            <w:hideMark/>
          </w:tcPr>
          <w:p w14:paraId="793DB3DA" w14:textId="77777777" w:rsidR="005803DC" w:rsidRPr="00CC6CA3" w:rsidRDefault="005803DC" w:rsidP="00F632C0">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CC6CA3">
              <w:rPr>
                <w:rFonts w:eastAsia="Times New Roman" w:cs="Times New Roman"/>
                <w:sz w:val="20"/>
                <w:szCs w:val="20"/>
              </w:rPr>
              <w:t>60</w:t>
            </w:r>
          </w:p>
        </w:tc>
      </w:tr>
    </w:tbl>
    <w:p w14:paraId="0EA4F9AF" w14:textId="77777777" w:rsidR="005803DC" w:rsidRPr="00CC6CA3" w:rsidRDefault="005803DC" w:rsidP="005803DC">
      <w:pPr>
        <w:pStyle w:val="Body"/>
      </w:pPr>
    </w:p>
    <w:p w14:paraId="6A0B5F6D" w14:textId="77777777" w:rsidR="005803DC" w:rsidRPr="00CC6CA3" w:rsidRDefault="005803DC" w:rsidP="005803DC">
      <w:pPr>
        <w:keepNext/>
        <w:jc w:val="center"/>
      </w:pPr>
      <w:r w:rsidRPr="00CC6CA3">
        <w:object w:dxaOrig="9073" w:dyaOrig="9024" w14:anchorId="6FDC1817">
          <v:shape id="_x0000_i1041" type="#_x0000_t75" style="width:372pt;height:372pt" o:ole="">
            <v:imagedata r:id="rId71" o:title=""/>
          </v:shape>
          <o:OLEObject Type="Embed" ProgID="Visio.Drawing.15" ShapeID="_x0000_i1041" DrawAspect="Content" ObjectID="_1692500320" r:id="rId72"/>
        </w:object>
      </w:r>
    </w:p>
    <w:p w14:paraId="5158C2EC" w14:textId="1E329008" w:rsidR="005803DC" w:rsidRPr="00CC6CA3" w:rsidRDefault="005803DC" w:rsidP="005803DC">
      <w:pPr>
        <w:pStyle w:val="Caption"/>
        <w:jc w:val="center"/>
      </w:pPr>
      <w:bookmarkStart w:id="249" w:name="_Ref32772185"/>
      <w:bookmarkStart w:id="250" w:name="_Toc8155336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19</w:t>
      </w:r>
      <w:r w:rsidR="00D62691" w:rsidRPr="00CC6CA3">
        <w:rPr>
          <w:noProof/>
        </w:rPr>
        <w:fldChar w:fldCharType="end"/>
      </w:r>
      <w:bookmarkEnd w:id="249"/>
      <w:r w:rsidRPr="00CC6CA3">
        <w:t xml:space="preserve"> Compressor </w:t>
      </w:r>
      <w:r w:rsidR="0043016E" w:rsidRPr="00CC6CA3">
        <w:rPr>
          <w:szCs w:val="20"/>
        </w:rPr>
        <w:t>data (a) pre-processed raw data of discharge pressure of stage 1, (b) histogram of discharge pressure, (c) pre-processed raw data of discharge temperature of stage 1, (d) histogram of discharge temperature</w:t>
      </w:r>
      <w:r w:rsidRPr="00CC6CA3">
        <w:t>.</w:t>
      </w:r>
      <w:bookmarkEnd w:id="250"/>
    </w:p>
    <w:p w14:paraId="553AA7E8" w14:textId="24E4A27F" w:rsidR="005803DC" w:rsidRPr="00CC6CA3" w:rsidRDefault="005803DC" w:rsidP="005803DC">
      <w:pPr>
        <w:rPr>
          <w:rFonts w:cs="Times New Roman"/>
          <w:szCs w:val="24"/>
        </w:rPr>
      </w:pPr>
      <w:r w:rsidRPr="00CC6CA3">
        <w:rPr>
          <w:rFonts w:cs="Times New Roman"/>
          <w:szCs w:val="24"/>
        </w:rPr>
        <w:t xml:space="preserve">Some of the measurements after pre-processing are shown in </w:t>
      </w:r>
      <w:r w:rsidRPr="00CC6CA3">
        <w:rPr>
          <w:rFonts w:cs="Times New Roman"/>
          <w:szCs w:val="24"/>
        </w:rPr>
        <w:fldChar w:fldCharType="begin"/>
      </w:r>
      <w:r w:rsidRPr="00CC6CA3">
        <w:rPr>
          <w:rFonts w:cs="Times New Roman"/>
          <w:szCs w:val="24"/>
        </w:rPr>
        <w:instrText xml:space="preserve"> REF _Ref32772185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19</w:t>
      </w:r>
      <w:r w:rsidRPr="00CC6CA3">
        <w:rPr>
          <w:rFonts w:cs="Times New Roman"/>
          <w:szCs w:val="24"/>
        </w:rPr>
        <w:fldChar w:fldCharType="end"/>
      </w:r>
      <w:r w:rsidRPr="00CC6CA3">
        <w:rPr>
          <w:rFonts w:cs="Times New Roman"/>
          <w:szCs w:val="24"/>
        </w:rPr>
        <w:t xml:space="preserve">. When compared with </w:t>
      </w:r>
      <w:r w:rsidRPr="00CC6CA3">
        <w:rPr>
          <w:rFonts w:cs="Times New Roman"/>
          <w:szCs w:val="24"/>
        </w:rPr>
        <w:fldChar w:fldCharType="begin"/>
      </w:r>
      <w:r w:rsidRPr="00CC6CA3">
        <w:rPr>
          <w:rFonts w:cs="Times New Roman"/>
          <w:szCs w:val="24"/>
        </w:rPr>
        <w:instrText xml:space="preserve"> REF _Ref32742328 \h </w:instrText>
      </w:r>
      <w:r w:rsidRPr="00CC6CA3">
        <w:rPr>
          <w:rFonts w:cs="Times New Roman"/>
          <w:szCs w:val="24"/>
        </w:rPr>
      </w:r>
      <w:r w:rsidRPr="00CC6CA3">
        <w:rPr>
          <w:rFonts w:cs="Times New Roman"/>
          <w:szCs w:val="24"/>
        </w:rPr>
        <w:fldChar w:fldCharType="separate"/>
      </w:r>
      <w:r w:rsidR="001906D9" w:rsidRPr="00CC6CA3">
        <w:t xml:space="preserve">Figure </w:t>
      </w:r>
      <w:r w:rsidR="001906D9" w:rsidRPr="00CC6CA3">
        <w:rPr>
          <w:noProof/>
        </w:rPr>
        <w:t>3</w:t>
      </w:r>
      <w:r w:rsidR="001906D9" w:rsidRPr="00CC6CA3">
        <w:t>.</w:t>
      </w:r>
      <w:r w:rsidR="001906D9" w:rsidRPr="00CC6CA3">
        <w:rPr>
          <w:noProof/>
        </w:rPr>
        <w:t>17</w:t>
      </w:r>
      <w:r w:rsidRPr="00CC6CA3">
        <w:rPr>
          <w:rFonts w:cs="Times New Roman"/>
          <w:szCs w:val="24"/>
        </w:rPr>
        <w:fldChar w:fldCharType="end"/>
      </w:r>
      <w:r w:rsidRPr="00CC6CA3">
        <w:rPr>
          <w:rFonts w:cs="Times New Roman"/>
          <w:szCs w:val="24"/>
        </w:rPr>
        <w:t xml:space="preserve">, it can be observed that the outliers and downtime data were removed. </w:t>
      </w:r>
    </w:p>
    <w:p w14:paraId="464856C2" w14:textId="77777777" w:rsidR="005803DC" w:rsidRPr="00CC6CA3" w:rsidRDefault="005803DC" w:rsidP="005803DC">
      <w:pPr>
        <w:pStyle w:val="Heading3"/>
      </w:pPr>
      <w:bookmarkStart w:id="251" w:name="_Toc81553272"/>
      <w:r w:rsidRPr="00CC6CA3">
        <w:lastRenderedPageBreak/>
        <w:t>Working condition</w:t>
      </w:r>
      <w:bookmarkEnd w:id="251"/>
    </w:p>
    <w:p w14:paraId="60352465" w14:textId="297F81A0" w:rsidR="005803DC" w:rsidRPr="00CC6CA3" w:rsidRDefault="005803DC" w:rsidP="005803DC">
      <w:r w:rsidRPr="00CC6CA3">
        <w:t xml:space="preserve">The compressor described in this thesis was controlled using a variable-speed drive (VSD).  This type of </w:t>
      </w:r>
      <w:r w:rsidRPr="00CC6CA3">
        <w:rPr>
          <w:rFonts w:cs="Times New Roman"/>
          <w:szCs w:val="24"/>
        </w:rPr>
        <w:t>compressor</w:t>
      </w:r>
      <w:r w:rsidRPr="00CC6CA3">
        <w:t xml:space="preserve"> is also called </w:t>
      </w:r>
      <w:r w:rsidR="00A03559" w:rsidRPr="00CC6CA3">
        <w:t xml:space="preserve">the </w:t>
      </w:r>
      <w:r w:rsidRPr="00CC6CA3">
        <w:t xml:space="preserve">'VSD compressor'. The VSD compressor is designed to </w:t>
      </w:r>
      <w:r w:rsidR="00325BCB" w:rsidRPr="00CC6CA3">
        <w:t xml:space="preserve">maintain </w:t>
      </w:r>
      <w:r w:rsidRPr="00CC6CA3">
        <w:t xml:space="preserve">the discharge pressure within a very accurate range by controlling the shaft speed, which in turn saves energy compared to a fixed speed compressor </w:t>
      </w:r>
      <w:r w:rsidRPr="00CC6CA3">
        <w:fldChar w:fldCharType="begin"/>
      </w:r>
      <w:r w:rsidR="007D1BCC" w:rsidRPr="00CC6CA3">
        <w:instrText xml:space="preserve"> ADDIN ZOTERO_ITEM CSL_CITATION {"citationID":"jpCvRhxv","properties":{"formattedCitation":"[142]","plainCitation":"[142]","noteIndex":0},"citationItems":[{"id":797,"uris":["http://zotero.org/users/3051968/items/K9XR3YYK"],"uri":["http://zotero.org/users/3051968/items/K9XR3YYK"],"itemData":{"id":797,"type":"entry-encyclopedia","abstract":"A variable-speed drive (VSD) air compressor  is an air compressor that takes advantage of variable-speed drive technology.  This type of compressor uses a special drive to control the speed (RPM) of the unit, which in turn saves energy compared to a fixed speed equivalent.  This is done to improve the efficiency of the compressor as varying the displacement or compression ratio of a compressor generally introduces significant inefficiency, or is impractical to implement.\nThe most common form of VSD technology in the air compressor industry is a variable-frequency drive, which converts the incoming AC power to DC and then back to a quasi-sinusoidal AC power using an inverter switching circuit.  The variable-frequency drive article provides additional information on electronic speed controls used with various types of AC motors.","container-title":"Wikipedia","language":"en","note":"Page Version ID: 938890377","source":"Wikipedia","title":"Variable-speed air compressor","URL":"https://en.wikipedia.org/w/index.php?title=Variable-speed_air_compressor&amp;oldid=938890377","accessed":{"date-parts":[["2020",2,17]]},"issued":{"date-parts":[["2020",2,3]]}}}],"schema":"https://github.com/citation-style-language/schema/raw/master/csl-citation.json"} </w:instrText>
      </w:r>
      <w:r w:rsidRPr="00CC6CA3">
        <w:fldChar w:fldCharType="separate"/>
      </w:r>
      <w:r w:rsidR="007D1BCC" w:rsidRPr="00CC6CA3">
        <w:rPr>
          <w:rFonts w:cs="Times New Roman"/>
        </w:rPr>
        <w:t>[142]</w:t>
      </w:r>
      <w:r w:rsidRPr="00CC6CA3">
        <w:fldChar w:fldCharType="end"/>
      </w:r>
      <w:r w:rsidRPr="00CC6CA3">
        <w:t xml:space="preserve">. Therefore, the working condition of the </w:t>
      </w:r>
      <w:r w:rsidRPr="00CC6CA3">
        <w:rPr>
          <w:rFonts w:cs="Times New Roman"/>
          <w:szCs w:val="24"/>
        </w:rPr>
        <w:t>compressor</w:t>
      </w:r>
      <w:r w:rsidRPr="00CC6CA3">
        <w:t xml:space="preserve"> can be determined by the shaft speed and discharge pressure. There was only one working condition for the compressor in the year 2014, with speed: 80 - 95 </w:t>
      </w:r>
      <m:oMath>
        <m:r>
          <w:rPr>
            <w:rFonts w:ascii="Cambria Math" w:hAnsi="Cambria Math"/>
          </w:rPr>
          <m:t>rpm</m:t>
        </m:r>
      </m:oMath>
      <w:r w:rsidRPr="00CC6CA3">
        <w:t xml:space="preserve">, and stage 3 discharge pressure: 125 - 150 </w:t>
      </w:r>
      <m:oMath>
        <m:r>
          <w:rPr>
            <w:rFonts w:ascii="Cambria Math" w:hAnsi="Cambria Math"/>
          </w:rPr>
          <m:t>bar</m:t>
        </m:r>
      </m:oMath>
      <w:r w:rsidRPr="00CC6CA3">
        <w:t>.</w:t>
      </w:r>
    </w:p>
    <w:p w14:paraId="71C22150" w14:textId="77777777" w:rsidR="005803DC" w:rsidRPr="00CC6CA3" w:rsidRDefault="005803DC" w:rsidP="005803DC">
      <w:pPr>
        <w:pStyle w:val="Heading3"/>
      </w:pPr>
      <w:bookmarkStart w:id="252" w:name="_Toc81553273"/>
      <w:r w:rsidRPr="00CC6CA3">
        <w:t>Representative Faults</w:t>
      </w:r>
      <w:bookmarkEnd w:id="252"/>
    </w:p>
    <w:p w14:paraId="3F84E61C" w14:textId="17449E32" w:rsidR="005803DC" w:rsidRPr="00CC6CA3" w:rsidRDefault="005803DC" w:rsidP="005803DC">
      <w:bookmarkStart w:id="253" w:name="_Hlk32706931"/>
      <w:r w:rsidRPr="00CC6CA3">
        <w:t>From 1</w:t>
      </w:r>
      <w:r w:rsidRPr="00CC6CA3">
        <w:rPr>
          <w:vertAlign w:val="superscript"/>
        </w:rPr>
        <w:t>st</w:t>
      </w:r>
      <w:r w:rsidRPr="00CC6CA3">
        <w:t xml:space="preserve"> Jan 2014 to 1</w:t>
      </w:r>
      <w:r w:rsidRPr="00CC6CA3">
        <w:rPr>
          <w:vertAlign w:val="superscript"/>
        </w:rPr>
        <w:t>st</w:t>
      </w:r>
      <w:r w:rsidRPr="00CC6CA3">
        <w:t xml:space="preserve"> Dec 2014, </w:t>
      </w:r>
      <w:r w:rsidR="00325BCB" w:rsidRPr="00CC6CA3">
        <w:t xml:space="preserve">three </w:t>
      </w:r>
      <w:r w:rsidR="00325BCB" w:rsidRPr="00CC6CA3">
        <w:rPr>
          <w:rFonts w:cs="Times New Roman"/>
          <w:szCs w:val="24"/>
        </w:rPr>
        <w:t>faults</w:t>
      </w:r>
      <w:r w:rsidR="00325BCB" w:rsidRPr="00CC6CA3">
        <w:t xml:space="preserve"> occurred in the three-stage compressor system: A flow measurement sensor fault, </w:t>
      </w:r>
      <w:bookmarkStart w:id="254" w:name="OLE_LINK92"/>
      <w:bookmarkStart w:id="255" w:name="OLE_LINK93"/>
      <w:r w:rsidR="00325BCB" w:rsidRPr="00CC6CA3">
        <w:t>a temperature measurement sensor fault</w:t>
      </w:r>
      <w:bookmarkEnd w:id="254"/>
      <w:bookmarkEnd w:id="255"/>
      <w:r w:rsidR="00325BCB" w:rsidRPr="00CC6CA3">
        <w:t>, and a radial bearing fault. The details of these faults are described in the following sections.</w:t>
      </w:r>
    </w:p>
    <w:p w14:paraId="687C9750" w14:textId="14E15E7E" w:rsidR="005803DC" w:rsidRPr="00CC6CA3" w:rsidRDefault="005803DC" w:rsidP="005803DC">
      <w:pPr>
        <w:pStyle w:val="Heading4"/>
      </w:pPr>
      <w:r w:rsidRPr="00CC6CA3">
        <w:t xml:space="preserve">Measurement </w:t>
      </w:r>
      <w:r w:rsidR="00325BCB" w:rsidRPr="00CC6CA3">
        <w:t xml:space="preserve">sensor </w:t>
      </w:r>
      <w:r w:rsidRPr="00CC6CA3">
        <w:t>fault</w:t>
      </w:r>
    </w:p>
    <w:p w14:paraId="0EC5BB6C" w14:textId="77993570" w:rsidR="005803DC" w:rsidRPr="00CC6CA3" w:rsidRDefault="005803DC" w:rsidP="005803DC">
      <w:r w:rsidRPr="00CC6CA3">
        <w:t xml:space="preserve">Comparing the discharge </w:t>
      </w:r>
      <w:r w:rsidRPr="00CC6CA3">
        <w:rPr>
          <w:rFonts w:cs="Times New Roman"/>
          <w:szCs w:val="24"/>
        </w:rPr>
        <w:t>pressure</w:t>
      </w:r>
      <w:r w:rsidRPr="00CC6CA3">
        <w:t xml:space="preserve"> in </w:t>
      </w:r>
      <w:r w:rsidRPr="00CC6CA3">
        <w:fldChar w:fldCharType="begin"/>
      </w:r>
      <w:r w:rsidRPr="00CC6CA3">
        <w:instrText xml:space="preserve"> REF _Ref62659698 \h  \* MERGEFORMAT </w:instrText>
      </w:r>
      <w:r w:rsidRPr="00CC6CA3">
        <w:fldChar w:fldCharType="separate"/>
      </w:r>
      <w:r w:rsidR="001906D9" w:rsidRPr="00CC6CA3">
        <w:t>Figure 3.20</w:t>
      </w:r>
      <w:r w:rsidRPr="00CC6CA3">
        <w:fldChar w:fldCharType="end"/>
      </w:r>
      <w:r w:rsidRPr="00CC6CA3">
        <w:t xml:space="preserve"> (a) with the flow measurement in </w:t>
      </w:r>
      <w:r w:rsidRPr="00CC6CA3">
        <w:fldChar w:fldCharType="begin"/>
      </w:r>
      <w:r w:rsidRPr="00CC6CA3">
        <w:instrText xml:space="preserve"> REF _Ref62659698 \h  \* MERGEFORMAT </w:instrText>
      </w:r>
      <w:r w:rsidRPr="00CC6CA3">
        <w:fldChar w:fldCharType="separate"/>
      </w:r>
      <w:r w:rsidR="001906D9" w:rsidRPr="00CC6CA3">
        <w:t>Figure 3.20</w:t>
      </w:r>
      <w:r w:rsidRPr="00CC6CA3">
        <w:fldChar w:fldCharType="end"/>
      </w:r>
      <w:r w:rsidRPr="00CC6CA3">
        <w:t xml:space="preserve"> (b), it </w:t>
      </w:r>
      <w:r w:rsidR="00325BCB" w:rsidRPr="00CC6CA3">
        <w:t>can be seen that from 17</w:t>
      </w:r>
      <w:r w:rsidR="00325BCB" w:rsidRPr="00CC6CA3">
        <w:rPr>
          <w:vertAlign w:val="superscript"/>
        </w:rPr>
        <w:t>th</w:t>
      </w:r>
      <w:r w:rsidR="00325BCB" w:rsidRPr="00CC6CA3">
        <w:t xml:space="preserve"> Jul 2014 to </w:t>
      </w:r>
      <w:bookmarkStart w:id="256" w:name="OLE_LINK82"/>
      <w:bookmarkStart w:id="257" w:name="OLE_LINK83"/>
      <w:r w:rsidR="00325BCB" w:rsidRPr="00CC6CA3">
        <w:t>14</w:t>
      </w:r>
      <w:r w:rsidR="00325BCB" w:rsidRPr="00CC6CA3">
        <w:rPr>
          <w:vertAlign w:val="superscript"/>
        </w:rPr>
        <w:t>th</w:t>
      </w:r>
      <w:r w:rsidR="00325BCB" w:rsidRPr="00CC6CA3">
        <w:t xml:space="preserve"> Oct 2014</w:t>
      </w:r>
      <w:bookmarkEnd w:id="256"/>
      <w:bookmarkEnd w:id="257"/>
      <w:r w:rsidR="00325BCB" w:rsidRPr="00CC6CA3">
        <w:t>, the flow value of the three stages was 0, but the discharge pressure parameters were normal. This indicates that there was a flow measuring sensor fault during that period</w:t>
      </w:r>
      <w:r w:rsidRPr="00CC6CA3">
        <w:t xml:space="preserve">. </w:t>
      </w:r>
    </w:p>
    <w:bookmarkStart w:id="258" w:name="_Ref501466666"/>
    <w:p w14:paraId="52B3CC2A" w14:textId="77777777" w:rsidR="005803DC" w:rsidRPr="00CC6CA3" w:rsidRDefault="005803DC" w:rsidP="005803DC">
      <w:pPr>
        <w:pStyle w:val="Body"/>
        <w:keepNext/>
        <w:jc w:val="center"/>
      </w:pPr>
      <w:r w:rsidRPr="00CC6CA3">
        <w:object w:dxaOrig="9217" w:dyaOrig="6049" w14:anchorId="69951174">
          <v:shape id="_x0000_i1042" type="#_x0000_t75" style="width:372pt;height:246pt" o:ole="">
            <v:imagedata r:id="rId73" o:title=""/>
          </v:shape>
          <o:OLEObject Type="Embed" ProgID="Visio.Drawing.15" ShapeID="_x0000_i1042" DrawAspect="Content" ObjectID="_1692500321" r:id="rId74"/>
        </w:object>
      </w:r>
    </w:p>
    <w:p w14:paraId="56AC4E5C" w14:textId="54B6BE65" w:rsidR="005803DC" w:rsidRPr="00CC6CA3" w:rsidRDefault="005803DC" w:rsidP="005803DC">
      <w:pPr>
        <w:pStyle w:val="Caption"/>
        <w:jc w:val="center"/>
        <w:rPr>
          <w:szCs w:val="20"/>
        </w:rPr>
      </w:pPr>
      <w:bookmarkStart w:id="259" w:name="_Ref62659698"/>
      <w:bookmarkStart w:id="260" w:name="_Toc8155336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20</w:t>
      </w:r>
      <w:r w:rsidR="00D62691" w:rsidRPr="00CC6CA3">
        <w:rPr>
          <w:noProof/>
        </w:rPr>
        <w:fldChar w:fldCharType="end"/>
      </w:r>
      <w:bookmarkEnd w:id="259"/>
      <w:r w:rsidRPr="00CC6CA3">
        <w:t xml:space="preserve"> Flow measurement equipment fault, </w:t>
      </w:r>
      <w:r w:rsidRPr="00CC6CA3">
        <w:rPr>
          <w:szCs w:val="20"/>
        </w:rPr>
        <w:t>(a) the discharge pressure of the compressor; and (b) flow measurement of the compressor system.</w:t>
      </w:r>
      <w:bookmarkEnd w:id="260"/>
    </w:p>
    <w:bookmarkEnd w:id="258"/>
    <w:p w14:paraId="2B46F6DD" w14:textId="05C99C71" w:rsidR="005803DC" w:rsidRPr="00CC6CA3" w:rsidRDefault="005803DC" w:rsidP="005803DC">
      <w:r w:rsidRPr="00CC6CA3">
        <w:lastRenderedPageBreak/>
        <w:t>Comparing the suction and discharge temperature</w:t>
      </w:r>
      <w:r w:rsidR="00325BCB" w:rsidRPr="00CC6CA3">
        <w:t>s</w:t>
      </w:r>
      <w:r w:rsidRPr="00CC6CA3">
        <w:t xml:space="preserve"> in </w:t>
      </w:r>
      <w:r w:rsidRPr="00CC6CA3">
        <w:fldChar w:fldCharType="begin"/>
      </w:r>
      <w:r w:rsidRPr="00CC6CA3">
        <w:instrText xml:space="preserve"> REF _Ref62660203 \h </w:instrText>
      </w:r>
      <w:r w:rsidRPr="00CC6CA3">
        <w:fldChar w:fldCharType="separate"/>
      </w:r>
      <w:r w:rsidR="001906D9" w:rsidRPr="00CC6CA3">
        <w:t xml:space="preserve">Figure </w:t>
      </w:r>
      <w:r w:rsidR="001906D9" w:rsidRPr="00CC6CA3">
        <w:rPr>
          <w:noProof/>
        </w:rPr>
        <w:t>3</w:t>
      </w:r>
      <w:r w:rsidR="001906D9" w:rsidRPr="00CC6CA3">
        <w:t>.</w:t>
      </w:r>
      <w:r w:rsidR="001906D9" w:rsidRPr="00CC6CA3">
        <w:rPr>
          <w:noProof/>
        </w:rPr>
        <w:t>21</w:t>
      </w:r>
      <w:r w:rsidRPr="00CC6CA3">
        <w:fldChar w:fldCharType="end"/>
      </w:r>
      <w:r w:rsidRPr="00CC6CA3">
        <w:t xml:space="preserve"> (b) with the suction pressure and discharge pressure in </w:t>
      </w:r>
      <w:r w:rsidRPr="00CC6CA3">
        <w:fldChar w:fldCharType="begin"/>
      </w:r>
      <w:r w:rsidRPr="00CC6CA3">
        <w:instrText xml:space="preserve"> REF _Ref62660203 \h </w:instrText>
      </w:r>
      <w:r w:rsidRPr="00CC6CA3">
        <w:fldChar w:fldCharType="separate"/>
      </w:r>
      <w:r w:rsidR="001906D9" w:rsidRPr="00CC6CA3">
        <w:t xml:space="preserve">Figure </w:t>
      </w:r>
      <w:r w:rsidR="001906D9" w:rsidRPr="00CC6CA3">
        <w:rPr>
          <w:noProof/>
        </w:rPr>
        <w:t>3</w:t>
      </w:r>
      <w:r w:rsidR="001906D9" w:rsidRPr="00CC6CA3">
        <w:t>.</w:t>
      </w:r>
      <w:r w:rsidR="001906D9" w:rsidRPr="00CC6CA3">
        <w:rPr>
          <w:noProof/>
        </w:rPr>
        <w:t>21</w:t>
      </w:r>
      <w:r w:rsidRPr="00CC6CA3">
        <w:fldChar w:fldCharType="end"/>
      </w:r>
      <w:r w:rsidRPr="00CC6CA3">
        <w:t xml:space="preserve"> (a) and </w:t>
      </w:r>
      <w:r w:rsidRPr="00CC6CA3">
        <w:fldChar w:fldCharType="begin"/>
      </w:r>
      <w:r w:rsidRPr="00CC6CA3">
        <w:instrText xml:space="preserve"> REF _Ref62659698 \h </w:instrText>
      </w:r>
      <w:r w:rsidRPr="00CC6CA3">
        <w:fldChar w:fldCharType="separate"/>
      </w:r>
      <w:r w:rsidR="001906D9" w:rsidRPr="00CC6CA3">
        <w:t xml:space="preserve">Figure </w:t>
      </w:r>
      <w:r w:rsidR="001906D9" w:rsidRPr="00CC6CA3">
        <w:rPr>
          <w:noProof/>
        </w:rPr>
        <w:t>3</w:t>
      </w:r>
      <w:r w:rsidR="001906D9" w:rsidRPr="00CC6CA3">
        <w:t>.</w:t>
      </w:r>
      <w:r w:rsidR="001906D9" w:rsidRPr="00CC6CA3">
        <w:rPr>
          <w:noProof/>
        </w:rPr>
        <w:t>20</w:t>
      </w:r>
      <w:r w:rsidRPr="00CC6CA3">
        <w:fldChar w:fldCharType="end"/>
      </w:r>
      <w:r w:rsidRPr="00CC6CA3">
        <w:t xml:space="preserve"> (a), </w:t>
      </w:r>
      <w:r w:rsidR="00325BCB" w:rsidRPr="00CC6CA3">
        <w:t>it can be seen that from 14</w:t>
      </w:r>
      <w:r w:rsidR="00325BCB" w:rsidRPr="00CC6CA3">
        <w:rPr>
          <w:vertAlign w:val="superscript"/>
        </w:rPr>
        <w:t>th</w:t>
      </w:r>
      <w:r w:rsidR="00325BCB" w:rsidRPr="00CC6CA3">
        <w:t xml:space="preserve"> Jul 2014 to 14</w:t>
      </w:r>
      <w:r w:rsidR="00325BCB" w:rsidRPr="00CC6CA3">
        <w:rPr>
          <w:vertAlign w:val="superscript"/>
        </w:rPr>
        <w:t>th</w:t>
      </w:r>
      <w:r w:rsidR="00325BCB" w:rsidRPr="00CC6CA3">
        <w:t xml:space="preserve"> Oct 2014, suction and discharge temperatures were missing while the suction and </w:t>
      </w:r>
      <w:r w:rsidR="00325BCB" w:rsidRPr="00CC6CA3">
        <w:rPr>
          <w:rFonts w:cs="Times New Roman"/>
          <w:szCs w:val="24"/>
        </w:rPr>
        <w:t>discharge</w:t>
      </w:r>
      <w:r w:rsidR="00325BCB" w:rsidRPr="00CC6CA3">
        <w:t xml:space="preserve"> pressure parameters were normal. This was recognized as a temperature measuring sensor fault. The detection of measuring equipment faults is out of the scope of this thesis</w:t>
      </w:r>
      <w:r w:rsidRPr="00CC6CA3">
        <w:t>.</w:t>
      </w:r>
    </w:p>
    <w:p w14:paraId="5C795526" w14:textId="77777777" w:rsidR="005803DC" w:rsidRPr="00CC6CA3" w:rsidRDefault="005803DC" w:rsidP="005803DC">
      <w:pPr>
        <w:pStyle w:val="Body"/>
        <w:keepNext/>
        <w:jc w:val="center"/>
      </w:pPr>
      <w:r w:rsidRPr="00CC6CA3">
        <w:object w:dxaOrig="9217" w:dyaOrig="6157" w14:anchorId="16CB8CF3">
          <v:shape id="_x0000_i1043" type="#_x0000_t75" style="width:372pt;height:252pt" o:ole="">
            <v:imagedata r:id="rId75" o:title=""/>
          </v:shape>
          <o:OLEObject Type="Embed" ProgID="Visio.Drawing.15" ShapeID="_x0000_i1043" DrawAspect="Content" ObjectID="_1692500322" r:id="rId76"/>
        </w:object>
      </w:r>
    </w:p>
    <w:p w14:paraId="35C47CFB" w14:textId="158BB040" w:rsidR="005803DC" w:rsidRPr="00CC6CA3" w:rsidRDefault="005803DC" w:rsidP="005803DC">
      <w:pPr>
        <w:pStyle w:val="Caption"/>
        <w:jc w:val="center"/>
      </w:pPr>
      <w:bookmarkStart w:id="261" w:name="_Ref62660203"/>
      <w:bookmarkStart w:id="262" w:name="_Toc8155336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3</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21</w:t>
      </w:r>
      <w:r w:rsidR="00D62691" w:rsidRPr="00CC6CA3">
        <w:rPr>
          <w:noProof/>
        </w:rPr>
        <w:fldChar w:fldCharType="end"/>
      </w:r>
      <w:bookmarkEnd w:id="261"/>
      <w:r w:rsidRPr="00CC6CA3">
        <w:rPr>
          <w:noProof/>
        </w:rPr>
        <w:t xml:space="preserve"> Temperature measurement </w:t>
      </w:r>
      <w:proofErr w:type="gramStart"/>
      <w:r w:rsidRPr="00CC6CA3">
        <w:t xml:space="preserve">equipment </w:t>
      </w:r>
      <w:r w:rsidRPr="00CC6CA3">
        <w:rPr>
          <w:noProof/>
        </w:rPr>
        <w:t xml:space="preserve"> fault</w:t>
      </w:r>
      <w:proofErr w:type="gramEnd"/>
      <w:r w:rsidRPr="00CC6CA3">
        <w:rPr>
          <w:noProof/>
        </w:rPr>
        <w:t>,</w:t>
      </w:r>
      <w:r w:rsidRPr="00CC6CA3">
        <w:t xml:space="preserve"> </w:t>
      </w:r>
      <w:r w:rsidRPr="00CC6CA3">
        <w:rPr>
          <w:rFonts w:eastAsia="Times New Roman"/>
          <w:bCs/>
          <w:kern w:val="2"/>
        </w:rPr>
        <w:t>(a) suction pressure of the compressor system; and (b) suction and discharge temperature of the compressor system</w:t>
      </w:r>
      <w:bookmarkEnd w:id="262"/>
    </w:p>
    <w:bookmarkEnd w:id="253"/>
    <w:p w14:paraId="4DFB6B6B" w14:textId="77777777" w:rsidR="005803DC" w:rsidRPr="00CC6CA3" w:rsidRDefault="005803DC" w:rsidP="005803DC">
      <w:pPr>
        <w:pStyle w:val="Heading4"/>
      </w:pPr>
      <w:r w:rsidRPr="00CC6CA3">
        <w:t>Bearing faults</w:t>
      </w:r>
    </w:p>
    <w:p w14:paraId="4154D797" w14:textId="586B6FBE" w:rsidR="005803DC" w:rsidRPr="00CC6CA3" w:rsidRDefault="005803DC" w:rsidP="005803DC">
      <w:r w:rsidRPr="00CC6CA3">
        <w:t xml:space="preserve">Apart from the flow and temperature measuring </w:t>
      </w:r>
      <w:r w:rsidR="00325BCB" w:rsidRPr="00CC6CA3">
        <w:t xml:space="preserve">sensor </w:t>
      </w:r>
      <w:r w:rsidRPr="00CC6CA3">
        <w:t xml:space="preserve">faults, the compressor system experienced a radial bearing fault with its vibrations showing abnormal trends. The </w:t>
      </w:r>
      <w:r w:rsidRPr="00CC6CA3">
        <w:rPr>
          <w:szCs w:val="20"/>
        </w:rPr>
        <w:t xml:space="preserve">bearings </w:t>
      </w:r>
      <w:r w:rsidRPr="00CC6CA3">
        <w:rPr>
          <w:rFonts w:cs="Times New Roman"/>
          <w:szCs w:val="24"/>
        </w:rPr>
        <w:t>measurements</w:t>
      </w:r>
      <w:r w:rsidRPr="00CC6CA3">
        <w:rPr>
          <w:szCs w:val="20"/>
        </w:rPr>
        <w:t xml:space="preserve"> of the compressor</w:t>
      </w:r>
      <w:r w:rsidRPr="00CC6CA3">
        <w:t xml:space="preserve"> are shown in </w:t>
      </w:r>
      <w:r w:rsidRPr="00CC6CA3">
        <w:fldChar w:fldCharType="begin"/>
      </w:r>
      <w:r w:rsidRPr="00CC6CA3">
        <w:instrText xml:space="preserve"> REF _Ref502914629 \h  \* MERGEFORMAT </w:instrText>
      </w:r>
      <w:r w:rsidRPr="00CC6CA3">
        <w:fldChar w:fldCharType="separate"/>
      </w:r>
      <w:r w:rsidR="001906D9" w:rsidRPr="00CC6CA3">
        <w:t>Figure 3.22</w:t>
      </w:r>
      <w:r w:rsidRPr="00CC6CA3">
        <w:fldChar w:fldCharType="end"/>
      </w:r>
      <w:r w:rsidRPr="00CC6CA3">
        <w:t xml:space="preserve">. It can be seen from </w:t>
      </w:r>
      <w:r w:rsidRPr="00CC6CA3">
        <w:fldChar w:fldCharType="begin"/>
      </w:r>
      <w:r w:rsidRPr="00CC6CA3">
        <w:instrText xml:space="preserve"> REF _Ref502914629 \h  \* MERGEFORMAT </w:instrText>
      </w:r>
      <w:r w:rsidRPr="00CC6CA3">
        <w:fldChar w:fldCharType="separate"/>
      </w:r>
      <w:r w:rsidR="001906D9" w:rsidRPr="00CC6CA3">
        <w:t>Figure 3.22</w:t>
      </w:r>
      <w:r w:rsidRPr="00CC6CA3">
        <w:fldChar w:fldCharType="end"/>
      </w:r>
      <w:r w:rsidRPr="00CC6CA3">
        <w:t xml:space="preserve"> (a) that the overall vibration X and Y of the DE radial bearing at stage 3 were increased from around 22</w:t>
      </w:r>
      <w:r w:rsidRPr="00CC6CA3">
        <w:rPr>
          <w:vertAlign w:val="superscript"/>
        </w:rPr>
        <w:t>nd</w:t>
      </w:r>
      <w:r w:rsidRPr="00CC6CA3">
        <w:t xml:space="preserve"> Sep 2014. It </w:t>
      </w:r>
      <w:r w:rsidR="00325BCB" w:rsidRPr="00CC6CA3">
        <w:t xml:space="preserve">also </w:t>
      </w:r>
      <w:r w:rsidRPr="00CC6CA3">
        <w:t>indicated that the stage 3 DE radial bearing had a fault. Influenced by this bearing fault, the stage 3 NDE radial bearing showed abnormal values in its overall vibration Y from 12</w:t>
      </w:r>
      <w:r w:rsidRPr="00CC6CA3">
        <w:rPr>
          <w:vertAlign w:val="superscript"/>
        </w:rPr>
        <w:t>th</w:t>
      </w:r>
      <w:r w:rsidRPr="00CC6CA3">
        <w:t xml:space="preserve"> Oct (see </w:t>
      </w:r>
      <w:r w:rsidRPr="00CC6CA3">
        <w:fldChar w:fldCharType="begin"/>
      </w:r>
      <w:r w:rsidRPr="00CC6CA3">
        <w:instrText xml:space="preserve"> REF _Ref502914629 \h  \* MERGEFORMAT </w:instrText>
      </w:r>
      <w:r w:rsidRPr="00CC6CA3">
        <w:fldChar w:fldCharType="separate"/>
      </w:r>
      <w:r w:rsidR="001906D9" w:rsidRPr="00CC6CA3">
        <w:t>Figure 3.22</w:t>
      </w:r>
      <w:r w:rsidRPr="00CC6CA3">
        <w:fldChar w:fldCharType="end"/>
      </w:r>
      <w:r w:rsidRPr="00CC6CA3">
        <w:t xml:space="preserve"> (b)). Even worse, from 16</w:t>
      </w:r>
      <w:r w:rsidRPr="00CC6CA3">
        <w:rPr>
          <w:vertAlign w:val="superscript"/>
        </w:rPr>
        <w:t>th</w:t>
      </w:r>
      <w:r w:rsidRPr="00CC6CA3">
        <w:t xml:space="preserve"> Oct, the overall vibration X and Y of DE radial bearing at stage 1-2 started to increase. The compressor was in a hazardous condition as three bearings performed abnormally. </w:t>
      </w:r>
      <w:r w:rsidR="00325BCB" w:rsidRPr="00CC6CA3">
        <w:t xml:space="preserve">The compressor was finally maintained </w:t>
      </w:r>
      <w:r w:rsidRPr="00CC6CA3">
        <w:t>on 23</w:t>
      </w:r>
      <w:r w:rsidRPr="00CC6CA3">
        <w:rPr>
          <w:vertAlign w:val="superscript"/>
        </w:rPr>
        <w:t>rd</w:t>
      </w:r>
      <w:r w:rsidRPr="00CC6CA3">
        <w:t xml:space="preserve"> Oct 2014.</w:t>
      </w:r>
    </w:p>
    <w:p w14:paraId="6EDF8F06" w14:textId="77777777" w:rsidR="005803DC" w:rsidRPr="00CC6CA3" w:rsidRDefault="005803DC" w:rsidP="005803DC">
      <w:pPr>
        <w:jc w:val="center"/>
      </w:pPr>
      <w:r w:rsidRPr="00CC6CA3">
        <w:rPr>
          <w:noProof/>
        </w:rPr>
        <w:lastRenderedPageBreak/>
        <w:drawing>
          <wp:inline distT="0" distB="0" distL="0" distR="0" wp14:anchorId="2567F555" wp14:editId="203B9266">
            <wp:extent cx="5040000" cy="3652885"/>
            <wp:effectExtent l="0" t="0" r="825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40000" cy="3652885"/>
                    </a:xfrm>
                    <a:prstGeom prst="rect">
                      <a:avLst/>
                    </a:prstGeom>
                    <a:noFill/>
                  </pic:spPr>
                </pic:pic>
              </a:graphicData>
            </a:graphic>
          </wp:inline>
        </w:drawing>
      </w:r>
    </w:p>
    <w:p w14:paraId="117ECAD9" w14:textId="55FCDC3D" w:rsidR="005803DC" w:rsidRPr="00CC6CA3" w:rsidRDefault="005803DC" w:rsidP="005803DC">
      <w:pPr>
        <w:pStyle w:val="Caption"/>
        <w:jc w:val="center"/>
        <w:rPr>
          <w:noProof/>
        </w:rPr>
      </w:pPr>
      <w:bookmarkStart w:id="263" w:name="_Ref502914629"/>
      <w:bookmarkStart w:id="264" w:name="_Ref501578838"/>
      <w:bookmarkStart w:id="265" w:name="_Toc81553364"/>
      <w:r w:rsidRPr="00CC6CA3">
        <w:rPr>
          <w:noProof/>
        </w:rPr>
        <w:t xml:space="preserve">Figure </w:t>
      </w:r>
      <w:r w:rsidR="00FB19C9" w:rsidRPr="00CC6CA3">
        <w:rPr>
          <w:noProof/>
        </w:rPr>
        <w:fldChar w:fldCharType="begin"/>
      </w:r>
      <w:r w:rsidR="00FB19C9" w:rsidRPr="00CC6CA3">
        <w:rPr>
          <w:noProof/>
        </w:rPr>
        <w:instrText xml:space="preserve"> STYLEREF 1 \s </w:instrText>
      </w:r>
      <w:r w:rsidR="00FB19C9" w:rsidRPr="00CC6CA3">
        <w:rPr>
          <w:noProof/>
        </w:rPr>
        <w:fldChar w:fldCharType="separate"/>
      </w:r>
      <w:r w:rsidR="001906D9" w:rsidRPr="00CC6CA3">
        <w:rPr>
          <w:noProof/>
        </w:rPr>
        <w:t>3</w:t>
      </w:r>
      <w:r w:rsidR="00FB19C9" w:rsidRPr="00CC6CA3">
        <w:rPr>
          <w:noProof/>
        </w:rPr>
        <w:fldChar w:fldCharType="end"/>
      </w:r>
      <w:r w:rsidR="00FB19C9" w:rsidRPr="00CC6CA3">
        <w:rPr>
          <w:noProof/>
        </w:rPr>
        <w:t>.</w:t>
      </w:r>
      <w:r w:rsidR="00FB19C9" w:rsidRPr="00CC6CA3">
        <w:rPr>
          <w:noProof/>
        </w:rPr>
        <w:fldChar w:fldCharType="begin"/>
      </w:r>
      <w:r w:rsidR="00FB19C9" w:rsidRPr="00CC6CA3">
        <w:rPr>
          <w:noProof/>
        </w:rPr>
        <w:instrText xml:space="preserve"> SEQ Figure \* ARABIC \s 1 </w:instrText>
      </w:r>
      <w:r w:rsidR="00FB19C9" w:rsidRPr="00CC6CA3">
        <w:rPr>
          <w:noProof/>
        </w:rPr>
        <w:fldChar w:fldCharType="separate"/>
      </w:r>
      <w:r w:rsidR="001906D9" w:rsidRPr="00CC6CA3">
        <w:rPr>
          <w:noProof/>
        </w:rPr>
        <w:t>22</w:t>
      </w:r>
      <w:r w:rsidR="00FB19C9" w:rsidRPr="00CC6CA3">
        <w:rPr>
          <w:noProof/>
        </w:rPr>
        <w:fldChar w:fldCharType="end"/>
      </w:r>
      <w:bookmarkEnd w:id="263"/>
      <w:bookmarkEnd w:id="264"/>
      <w:r w:rsidRPr="00CC6CA3">
        <w:rPr>
          <w:noProof/>
        </w:rPr>
        <w:t xml:space="preserve"> Bearings faults in a compressor shown in bearings measurements, (a) Overall vibration X and Y of the DE radial bearings at stage 1-2 and stage 3 of the compressor, (b) Overall vibration Y of the NDE radial bearings at stage 3 of the compressor.</w:t>
      </w:r>
      <w:bookmarkEnd w:id="265"/>
    </w:p>
    <w:p w14:paraId="4838AF70" w14:textId="77777777" w:rsidR="005803DC" w:rsidRPr="00CC6CA3" w:rsidRDefault="005803DC" w:rsidP="005803DC">
      <w:pPr>
        <w:pStyle w:val="Heading2"/>
      </w:pPr>
      <w:bookmarkStart w:id="266" w:name="_Toc2681941"/>
      <w:bookmarkStart w:id="267" w:name="_Toc81553274"/>
      <w:r w:rsidRPr="00CC6CA3">
        <w:t>Summary</w:t>
      </w:r>
      <w:bookmarkEnd w:id="266"/>
      <w:bookmarkEnd w:id="267"/>
    </w:p>
    <w:p w14:paraId="593E418B" w14:textId="2AA8D903" w:rsidR="00E63A77" w:rsidRPr="00CC6CA3" w:rsidRDefault="00325BCB" w:rsidP="005803DC">
      <w:r w:rsidRPr="00CC6CA3">
        <w:rPr>
          <w:rFonts w:cs="Times New Roman"/>
          <w:szCs w:val="24"/>
        </w:rPr>
        <w:t xml:space="preserve">This chapter has provided a brief introduction of the pump and multi-stage compressor from which the experimental data were obtained. </w:t>
      </w:r>
      <w:bookmarkStart w:id="268" w:name="_Hlk47389385"/>
      <w:r w:rsidRPr="00CC6CA3">
        <w:rPr>
          <w:rFonts w:cs="Times New Roman"/>
          <w:szCs w:val="24"/>
        </w:rPr>
        <w:t xml:space="preserve">The overviews of data before and after pre-processing are presented. </w:t>
      </w:r>
      <w:bookmarkStart w:id="269" w:name="_Hlk47389455"/>
      <w:bookmarkEnd w:id="268"/>
      <w:r w:rsidRPr="00CC6CA3">
        <w:rPr>
          <w:rFonts w:cs="Times New Roman"/>
          <w:szCs w:val="24"/>
        </w:rPr>
        <w:t xml:space="preserve">Missing values, outliers, and downtime data in the raw industrial pump and compressor data, which can lead to inaccuracies in the machine learning models have been described, examples in the data presented and filtered out. </w:t>
      </w:r>
      <w:bookmarkEnd w:id="269"/>
      <w:r w:rsidRPr="00CC6CA3">
        <w:rPr>
          <w:rFonts w:cs="Times New Roman"/>
          <w:szCs w:val="24"/>
        </w:rPr>
        <w:t xml:space="preserve">The </w:t>
      </w:r>
      <w:r w:rsidRPr="00CC6CA3">
        <w:t xml:space="preserve">rules utilized for data pre-processing are described, and relatively clean data obtained after </w:t>
      </w:r>
      <w:r w:rsidRPr="00CC6CA3">
        <w:rPr>
          <w:rFonts w:cs="Times New Roman"/>
          <w:szCs w:val="24"/>
        </w:rPr>
        <w:t>pre-processing. In addition, the working conditions and fault types that occurred and were described and mapped in the given data sets</w:t>
      </w:r>
      <w:r w:rsidR="00E63A77" w:rsidRPr="00CC6CA3">
        <w:t>.</w:t>
      </w:r>
    </w:p>
    <w:p w14:paraId="110E7FB8" w14:textId="74468304" w:rsidR="00E63A77" w:rsidRPr="00CC6CA3" w:rsidRDefault="00E63A77">
      <w:pPr>
        <w:spacing w:line="259" w:lineRule="auto"/>
        <w:jc w:val="left"/>
      </w:pPr>
      <w:r w:rsidRPr="00CC6CA3">
        <w:br w:type="page"/>
      </w:r>
    </w:p>
    <w:p w14:paraId="411A2473" w14:textId="77777777" w:rsidR="00922D09" w:rsidRPr="00CC6CA3" w:rsidRDefault="00922D09" w:rsidP="00922D09">
      <w:pPr>
        <w:pStyle w:val="Title"/>
        <w:spacing w:line="360" w:lineRule="auto"/>
        <w:rPr>
          <w:sz w:val="44"/>
          <w:szCs w:val="44"/>
          <w:u w:val="thick"/>
        </w:rPr>
      </w:pPr>
    </w:p>
    <w:p w14:paraId="22F5353B" w14:textId="77777777" w:rsidR="00922D09" w:rsidRPr="00CC6CA3" w:rsidRDefault="00922D09" w:rsidP="00922D09">
      <w:pPr>
        <w:pStyle w:val="Title"/>
        <w:spacing w:line="360" w:lineRule="auto"/>
        <w:rPr>
          <w:sz w:val="44"/>
          <w:szCs w:val="44"/>
          <w:u w:val="thick"/>
        </w:rPr>
      </w:pPr>
      <w:r w:rsidRPr="00CC6CA3">
        <w:rPr>
          <w:sz w:val="44"/>
          <w:szCs w:val="44"/>
          <w:u w:val="thick"/>
        </w:rPr>
        <w:t xml:space="preserve">                             </w:t>
      </w:r>
    </w:p>
    <w:p w14:paraId="0019AEFB"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745A9651" w14:textId="562BA492" w:rsidR="005710C8" w:rsidRPr="00CC6CA3" w:rsidRDefault="005710C8" w:rsidP="00F632C0">
      <w:pPr>
        <w:pStyle w:val="Heading1"/>
      </w:pPr>
      <w:r w:rsidRPr="00CC6CA3">
        <w:br/>
      </w:r>
      <w:bookmarkStart w:id="270" w:name="_Toc81553275"/>
      <w:r w:rsidR="00524E21" w:rsidRPr="00CC6CA3">
        <w:rPr>
          <w:sz w:val="32"/>
          <w:szCs w:val="36"/>
        </w:rPr>
        <w:t xml:space="preserve">Fault Detection in Petrochemical plant </w:t>
      </w:r>
      <w:r w:rsidR="009E5DEC" w:rsidRPr="00CC6CA3">
        <w:rPr>
          <w:sz w:val="32"/>
          <w:szCs w:val="36"/>
        </w:rPr>
        <w:t>and</w:t>
      </w:r>
      <w:r w:rsidR="00524E21" w:rsidRPr="00CC6CA3">
        <w:rPr>
          <w:sz w:val="32"/>
          <w:szCs w:val="36"/>
        </w:rPr>
        <w:t xml:space="preserve"> M</w:t>
      </w:r>
      <w:r w:rsidR="009E5DEC" w:rsidRPr="00CC6CA3">
        <w:rPr>
          <w:sz w:val="32"/>
          <w:szCs w:val="36"/>
        </w:rPr>
        <w:t>achinery</w:t>
      </w:r>
      <w:r w:rsidR="00524E21" w:rsidRPr="00CC6CA3">
        <w:rPr>
          <w:sz w:val="32"/>
          <w:szCs w:val="36"/>
        </w:rPr>
        <w:t xml:space="preserve"> </w:t>
      </w:r>
      <w:r w:rsidR="009E5DEC" w:rsidRPr="00CC6CA3">
        <w:rPr>
          <w:sz w:val="32"/>
          <w:szCs w:val="36"/>
        </w:rPr>
        <w:t>u</w:t>
      </w:r>
      <w:r w:rsidR="00524E21" w:rsidRPr="00CC6CA3">
        <w:rPr>
          <w:sz w:val="32"/>
          <w:szCs w:val="36"/>
        </w:rPr>
        <w:t xml:space="preserve">sing Multivariate </w:t>
      </w:r>
      <w:r w:rsidR="00C07F6E" w:rsidRPr="00CC6CA3">
        <w:rPr>
          <w:sz w:val="32"/>
          <w:szCs w:val="36"/>
        </w:rPr>
        <w:t>D</w:t>
      </w:r>
      <w:r w:rsidR="00EF0A36" w:rsidRPr="00CC6CA3">
        <w:rPr>
          <w:sz w:val="32"/>
          <w:szCs w:val="36"/>
        </w:rPr>
        <w:t>ata</w:t>
      </w:r>
      <w:bookmarkEnd w:id="270"/>
    </w:p>
    <w:p w14:paraId="5245980A"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52E68D6D" w14:textId="77777777" w:rsidR="005710C8" w:rsidRPr="00CC6CA3" w:rsidRDefault="005710C8" w:rsidP="005710C8"/>
    <w:p w14:paraId="71CC679C" w14:textId="03B379D9" w:rsidR="005710C8" w:rsidRPr="00CC6CA3" w:rsidRDefault="00543FE1" w:rsidP="00055EE2">
      <w:pPr>
        <w:rPr>
          <w:i/>
        </w:rPr>
      </w:pPr>
      <w:r w:rsidRPr="00CC6CA3">
        <w:t xml:space="preserve">Compressors and pumps are important machines in petrochemical processes, and condition monitoring of these crucial components is essential for early failure detection, reducing production line downtime, and improving plant safety, efficiency, and reliability. Fault detection (anomaly detection) using multivariate </w:t>
      </w:r>
      <w:r w:rsidRPr="00CC6CA3">
        <w:rPr>
          <w:rFonts w:hint="eastAsia"/>
        </w:rPr>
        <w:t>process</w:t>
      </w:r>
      <w:r w:rsidRPr="00CC6CA3">
        <w:t xml:space="preserve"> data has been widely applied by industry as a supplementary to vibration-based methods. In this chapter, three data-driven methods</w:t>
      </w:r>
      <w:r w:rsidR="00671CF7" w:rsidRPr="00CC6CA3">
        <w:t xml:space="preserve"> (NARX, PCA, and SAE)</w:t>
      </w:r>
      <w:r w:rsidRPr="00CC6CA3">
        <w:t xml:space="preserve"> are applied</w:t>
      </w:r>
      <w:r w:rsidR="00671CF7" w:rsidRPr="00CC6CA3">
        <w:t xml:space="preserve"> and compared</w:t>
      </w:r>
      <w:r w:rsidRPr="00CC6CA3">
        <w:t xml:space="preserve"> for early fault detection using </w:t>
      </w:r>
      <w:r w:rsidR="00671CF7" w:rsidRPr="00CC6CA3">
        <w:t xml:space="preserve">same </w:t>
      </w:r>
      <w:r w:rsidRPr="00CC6CA3">
        <w:t xml:space="preserve">process data from a pump and a compressor. </w:t>
      </w:r>
      <w:r w:rsidRPr="00CC6CA3">
        <w:rPr>
          <w:snapToGrid w:val="0"/>
        </w:rPr>
        <w:t>The receiver operating characteristics (ROC) curve and the resulting area under the ROC curve (AUC) are employed to evaluate the performance of the data-driven fault detection models</w:t>
      </w:r>
      <w:r w:rsidR="005710C8" w:rsidRPr="00CC6CA3">
        <w:rPr>
          <w:i/>
        </w:rPr>
        <w:t>.</w:t>
      </w:r>
    </w:p>
    <w:p w14:paraId="49AFC3C8" w14:textId="77777777" w:rsidR="005710C8" w:rsidRPr="00CC6CA3" w:rsidRDefault="005710C8" w:rsidP="005710C8"/>
    <w:p w14:paraId="540F7869" w14:textId="77777777" w:rsidR="002122FA" w:rsidRPr="00CC6CA3" w:rsidRDefault="005710C8" w:rsidP="002122FA">
      <w:pPr>
        <w:pStyle w:val="Heading2"/>
      </w:pPr>
      <w:r w:rsidRPr="00CC6CA3">
        <w:br w:type="page"/>
      </w:r>
      <w:bookmarkStart w:id="271" w:name="_Ref32955976"/>
      <w:bookmarkStart w:id="272" w:name="_Toc81553276"/>
      <w:r w:rsidR="002122FA" w:rsidRPr="00CC6CA3">
        <w:lastRenderedPageBreak/>
        <w:t>Theoretical background</w:t>
      </w:r>
      <w:bookmarkEnd w:id="271"/>
      <w:bookmarkEnd w:id="272"/>
    </w:p>
    <w:p w14:paraId="708B3014" w14:textId="0B838B03" w:rsidR="002122FA" w:rsidRPr="00CC6CA3" w:rsidRDefault="002E3032" w:rsidP="00055EE2">
      <w:r w:rsidRPr="00CC6CA3">
        <w:t xml:space="preserve">In this thesis, fault detection methodologies are developed </w:t>
      </w:r>
      <w:r w:rsidRPr="00CC6CA3">
        <w:rPr>
          <w:rFonts w:hint="eastAsia"/>
        </w:rPr>
        <w:t>based</w:t>
      </w:r>
      <w:r w:rsidRPr="00CC6CA3">
        <w:t xml:space="preserve"> on assessment of the reconstruction error. The theory of three data-driven methods (PCA, NARX, and SAE), which have proved effective for multivariate data anomaly detection, are described in this section. The Mahalanobis distance (MD) is applied to measure the reconstruction error between the reconstructed data and input data. </w:t>
      </w:r>
      <w:r w:rsidRPr="00CC6CA3">
        <w:rPr>
          <w:snapToGrid w:val="0"/>
        </w:rPr>
        <w:t xml:space="preserve">The receiver operating characteristics (ROC) curve and the resulting area under the ROC curve (AUC), are used as performance metrics to evaluate the performance of the </w:t>
      </w:r>
      <w:r w:rsidRPr="00CC6CA3">
        <w:t>fault detection models</w:t>
      </w:r>
      <w:r w:rsidR="002122FA" w:rsidRPr="00CC6CA3">
        <w:t>.</w:t>
      </w:r>
    </w:p>
    <w:p w14:paraId="26C06A99" w14:textId="77777777" w:rsidR="002122FA" w:rsidRPr="00CC6CA3" w:rsidRDefault="002122FA" w:rsidP="002122FA">
      <w:pPr>
        <w:pStyle w:val="Heading3"/>
      </w:pPr>
      <w:bookmarkStart w:id="273" w:name="_Toc81553277"/>
      <w:r w:rsidRPr="00CC6CA3">
        <w:t>Data standardisation</w:t>
      </w:r>
      <w:bookmarkEnd w:id="273"/>
    </w:p>
    <w:p w14:paraId="3EC648D2" w14:textId="7D066FE6" w:rsidR="002122FA" w:rsidRPr="00CC6CA3" w:rsidRDefault="00671CF7" w:rsidP="00055EE2">
      <w:r w:rsidRPr="00CC6CA3">
        <w:t>After applying data pre-processing methods descripted in</w:t>
      </w:r>
      <w:r w:rsidR="00996974" w:rsidRPr="00CC6CA3">
        <w:t xml:space="preserve"> Chapter 3, a data standardisation process is applied to the</w:t>
      </w:r>
      <w:r w:rsidR="00F17CE6" w:rsidRPr="00CC6CA3">
        <w:t xml:space="preserve"> condition</w:t>
      </w:r>
      <w:r w:rsidR="00996974" w:rsidRPr="00CC6CA3">
        <w:t xml:space="preserve"> monitoring data to scale the data sets to an equal range. Assume </w:t>
      </w:r>
      <m:oMath>
        <m:acc>
          <m:accPr>
            <m:ctrlPr>
              <w:rPr>
                <w:rFonts w:ascii="Cambria Math" w:hAnsi="Cambria Math"/>
                <w:i/>
                <w:iCs/>
              </w:rPr>
            </m:ctrlPr>
          </m:accPr>
          <m:e>
            <m:r>
              <w:rPr>
                <w:rFonts w:ascii="Cambria Math" w:hAnsi="Cambria Math"/>
              </w:rPr>
              <m:t>X</m:t>
            </m:r>
          </m:e>
        </m:acc>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i</m:t>
            </m:r>
          </m:sub>
        </m:sSub>
        <m:r>
          <m:rPr>
            <m:sty m:val="p"/>
          </m:rPr>
          <w:rPr>
            <w:rFonts w:ascii="Cambria Math" w:hAnsi="Cambria Math"/>
          </w:rPr>
          <m:t xml:space="preserve">; </m:t>
        </m:r>
        <m:r>
          <w:rPr>
            <w:rFonts w:ascii="Cambria Math" w:hAnsi="Cambria Math"/>
          </w:rPr>
          <m:t>i</m:t>
        </m:r>
        <m:r>
          <m:rPr>
            <m:sty m:val="p"/>
          </m:rPr>
          <w:rPr>
            <w:rFonts w:ascii="Cambria Math" w:hAnsi="Cambria Math"/>
          </w:rPr>
          <m:t>=1,…,</m:t>
        </m:r>
        <m:r>
          <w:rPr>
            <w:rFonts w:ascii="Cambria Math" w:hAnsi="Cambria Math"/>
          </w:rPr>
          <m:t>D</m:t>
        </m:r>
        <m:r>
          <m:rPr>
            <m:sty m:val="p"/>
          </m:rPr>
          <w:rPr>
            <w:rFonts w:ascii="Cambria Math" w:hAnsi="Cambria Math"/>
          </w:rPr>
          <m:t>}</m:t>
        </m:r>
      </m:oMath>
      <w:r w:rsidR="00996974" w:rsidRPr="00CC6CA3">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i</m:t>
            </m:r>
          </m:sub>
        </m:sSub>
        <m:r>
          <m:rPr>
            <m:sty m:val="p"/>
          </m:rPr>
          <w:rPr>
            <w:rFonts w:ascii="Cambria Math" w:hAnsi="Cambria Math"/>
          </w:rPr>
          <m:t>∈</m:t>
        </m:r>
        <m:sSup>
          <m:sSupPr>
            <m:ctrlPr>
              <w:rPr>
                <w:rFonts w:ascii="Cambria Math" w:hAnsi="Cambria Math"/>
              </w:rPr>
            </m:ctrlPr>
          </m:sSupPr>
          <m:e>
            <m:r>
              <m:rPr>
                <m:scr m:val="double-struck"/>
                <m:sty m:val="p"/>
              </m:rPr>
              <w:rPr>
                <w:rFonts w:ascii="Cambria Math" w:hAnsi="Cambria Math"/>
              </w:rPr>
              <m:t>R</m:t>
            </m:r>
          </m:e>
          <m:sup>
            <m:r>
              <w:rPr>
                <w:rFonts w:ascii="Cambria Math" w:hAnsi="Cambria Math"/>
              </w:rPr>
              <m:t>n</m:t>
            </m:r>
          </m:sup>
        </m:sSup>
      </m:oMath>
      <w:r w:rsidR="00996974" w:rsidRPr="00CC6CA3">
        <w:t xml:space="preserve">for each variable </w:t>
      </w:r>
      <m:oMath>
        <m:r>
          <w:rPr>
            <w:rFonts w:ascii="Cambria Math" w:hAnsi="Cambria Math"/>
          </w:rPr>
          <m:t>i</m:t>
        </m:r>
      </m:oMath>
      <w:r w:rsidR="00996974" w:rsidRPr="00CC6CA3">
        <w:t xml:space="preserve">) is the historical data set, which contains </w:t>
      </w:r>
      <m:oMath>
        <m:r>
          <w:rPr>
            <w:rFonts w:ascii="Cambria Math" w:hAnsi="Cambria Math"/>
          </w:rPr>
          <m:t>D</m:t>
        </m:r>
      </m:oMath>
      <w:r w:rsidR="00996974" w:rsidRPr="00CC6CA3">
        <w:t xml:space="preserve"> variables. </w:t>
      </w:r>
      <m:oMath>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r>
          <w:rPr>
            <w:rFonts w:ascii="Cambria Math" w:hAnsi="Cambria Math"/>
          </w:rPr>
          <m:t>i</m:t>
        </m:r>
        <m:r>
          <m:rPr>
            <m:sty m:val="p"/>
          </m:rPr>
          <w:rPr>
            <w:rFonts w:ascii="Cambria Math" w:hAnsi="Cambria Math"/>
          </w:rPr>
          <m:t>=1,…,</m:t>
        </m:r>
        <m:r>
          <w:rPr>
            <w:rFonts w:ascii="Cambria Math" w:hAnsi="Cambria Math"/>
          </w:rPr>
          <m:t>D</m:t>
        </m:r>
        <m:r>
          <m:rPr>
            <m:sty m:val="p"/>
          </m:rPr>
          <w:rPr>
            <w:rFonts w:ascii="Cambria Math" w:hAnsi="Cambria Math"/>
          </w:rPr>
          <m:t>}</m:t>
        </m:r>
      </m:oMath>
      <w:r w:rsidR="00996974" w:rsidRPr="00CC6CA3">
        <w:t xml:space="preserve"> (</w:t>
      </w:r>
      <m:oMath>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p>
          <m:sSupPr>
            <m:ctrlPr>
              <w:rPr>
                <w:rFonts w:ascii="Cambria Math" w:hAnsi="Cambria Math"/>
              </w:rPr>
            </m:ctrlPr>
          </m:sSupPr>
          <m:e>
            <m:r>
              <m:rPr>
                <m:scr m:val="double-struck"/>
                <m:sty m:val="p"/>
              </m:rPr>
              <w:rPr>
                <w:rFonts w:ascii="Cambria Math" w:hAnsi="Cambria Math"/>
              </w:rPr>
              <m:t>R</m:t>
            </m:r>
          </m:e>
          <m:sup>
            <m:r>
              <w:rPr>
                <w:rFonts w:ascii="Cambria Math" w:hAnsi="Cambria Math"/>
              </w:rPr>
              <m:t>n</m:t>
            </m:r>
          </m:sup>
        </m:sSup>
      </m:oMath>
      <w:r w:rsidR="00996974" w:rsidRPr="00CC6CA3">
        <w:t xml:space="preserve">for each variable </w:t>
      </w:r>
      <m:oMath>
        <m:r>
          <w:rPr>
            <w:rFonts w:ascii="Cambria Math" w:hAnsi="Cambria Math"/>
          </w:rPr>
          <m:t>i</m:t>
        </m:r>
      </m:oMath>
      <w:r w:rsidR="00996974" w:rsidRPr="00CC6CA3">
        <w:t xml:space="preserve">) is the standardised data set and can be obtained from </w:t>
      </w:r>
      <m:oMath>
        <m:acc>
          <m:accPr>
            <m:ctrlPr>
              <w:rPr>
                <w:rFonts w:ascii="Cambria Math" w:hAnsi="Cambria Math"/>
                <w:i/>
                <w:iCs/>
              </w:rPr>
            </m:ctrlPr>
          </m:accPr>
          <m:e>
            <m:r>
              <w:rPr>
                <w:rFonts w:ascii="Cambria Math" w:hAnsi="Cambria Math"/>
              </w:rPr>
              <m:t>X</m:t>
            </m:r>
          </m:e>
        </m:acc>
      </m:oMath>
      <w:r w:rsidR="00996974" w:rsidRPr="00CC6CA3">
        <w:t xml:space="preserve"> using</w:t>
      </w:r>
      <w:r w:rsidR="002122FA" w:rsidRPr="00CC6CA3">
        <w:t xml:space="preserve"> Equation </w:t>
      </w:r>
      <w:r w:rsidR="002122FA" w:rsidRPr="00CC6CA3">
        <w:fldChar w:fldCharType="begin"/>
      </w:r>
      <w:r w:rsidR="002122FA" w:rsidRPr="00CC6CA3">
        <w:instrText xml:space="preserve"> REF _Ref63087156 \h </w:instrText>
      </w:r>
      <w:r w:rsidR="002122FA" w:rsidRPr="00CC6CA3">
        <w:fldChar w:fldCharType="separate"/>
      </w:r>
      <w:r w:rsidR="001906D9" w:rsidRPr="00CC6CA3">
        <w:t>(</w:t>
      </w:r>
      <w:r w:rsidR="001906D9" w:rsidRPr="00CC6CA3">
        <w:rPr>
          <w:noProof/>
        </w:rPr>
        <w:t>4</w:t>
      </w:r>
      <w:r w:rsidR="001906D9" w:rsidRPr="00CC6CA3">
        <w:noBreakHyphen/>
      </w:r>
      <w:r w:rsidR="001906D9" w:rsidRPr="00CC6CA3">
        <w:rPr>
          <w:noProof/>
        </w:rPr>
        <w:t>1</w:t>
      </w:r>
      <w:r w:rsidR="001906D9" w:rsidRPr="00CC6CA3">
        <w:t>)</w:t>
      </w:r>
      <w:r w:rsidR="002122FA" w:rsidRPr="00CC6CA3">
        <w:fldChar w:fldCharType="end"/>
      </w:r>
      <w:r w:rsidR="002122FA" w:rsidRPr="00CC6CA3">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9"/>
        <w:gridCol w:w="696"/>
      </w:tblGrid>
      <w:tr w:rsidR="00CC6CA3" w:rsidRPr="00CC6CA3" w14:paraId="730A8916" w14:textId="77777777" w:rsidTr="00F632C0">
        <w:trPr>
          <w:jc w:val="center"/>
        </w:trPr>
        <w:tc>
          <w:tcPr>
            <w:tcW w:w="4636" w:type="pct"/>
            <w:vAlign w:val="center"/>
          </w:tcPr>
          <w:p w14:paraId="57E486F1" w14:textId="77777777" w:rsidR="002122FA" w:rsidRPr="00CC6CA3" w:rsidRDefault="00D62691" w:rsidP="00F632C0">
            <w:pPr>
              <w:pStyle w:val="Body"/>
            </w:pPr>
            <m:oMathPara>
              <m:oMath>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i</m:t>
                        </m:r>
                      </m:sub>
                    </m:sSub>
                  </m:num>
                  <m:den>
                    <m:sSub>
                      <m:sSubPr>
                        <m:ctrlPr>
                          <w:rPr>
                            <w:rFonts w:ascii="Cambria Math" w:hAnsi="Cambria Math"/>
                          </w:rPr>
                        </m:ctrlPr>
                      </m:sSubPr>
                      <m:e>
                        <m:r>
                          <w:rPr>
                            <w:rFonts w:ascii="Cambria Math" w:hAnsi="Cambria Math"/>
                          </w:rPr>
                          <m:t>σ</m:t>
                        </m:r>
                      </m:e>
                      <m:sub>
                        <m:r>
                          <w:rPr>
                            <w:rFonts w:ascii="Cambria Math" w:hAnsi="Cambria Math"/>
                          </w:rPr>
                          <m:t>i</m:t>
                        </m:r>
                      </m:sub>
                    </m:sSub>
                  </m:den>
                </m:f>
                <m:r>
                  <m:rPr>
                    <m:sty m:val="p"/>
                  </m:rPr>
                  <w:rPr>
                    <w:rFonts w:ascii="Cambria Math" w:hAnsi="Cambria Math"/>
                  </w:rPr>
                  <m:t>,  (</m:t>
                </m:r>
                <m:r>
                  <w:rPr>
                    <w:rFonts w:ascii="Cambria Math" w:hAnsi="Cambria Math"/>
                  </w:rPr>
                  <m:t>i</m:t>
                </m:r>
                <m:r>
                  <m:rPr>
                    <m:sty m:val="p"/>
                  </m:rPr>
                  <w:rPr>
                    <w:rFonts w:ascii="Cambria Math" w:hAnsi="Cambria Math"/>
                  </w:rPr>
                  <m:t>=1,...,</m:t>
                </m:r>
                <m:r>
                  <w:rPr>
                    <w:rFonts w:ascii="Cambria Math" w:hAnsi="Cambria Math"/>
                  </w:rPr>
                  <m:t>D</m:t>
                </m:r>
                <m:r>
                  <m:rPr>
                    <m:sty m:val="p"/>
                  </m:rPr>
                  <w:rPr>
                    <w:rFonts w:ascii="Cambria Math" w:hAnsi="Cambria Math"/>
                  </w:rPr>
                  <m:t>)</m:t>
                </m:r>
              </m:oMath>
            </m:oMathPara>
          </w:p>
        </w:tc>
        <w:tc>
          <w:tcPr>
            <w:tcW w:w="364" w:type="pct"/>
            <w:vAlign w:val="center"/>
          </w:tcPr>
          <w:p w14:paraId="75199F8B" w14:textId="6CFC9E4F" w:rsidR="002122FA" w:rsidRPr="00CC6CA3" w:rsidRDefault="002122FA" w:rsidP="00F632C0">
            <w:pPr>
              <w:pStyle w:val="Body"/>
            </w:pPr>
            <w:bookmarkStart w:id="274" w:name="_Ref63087156"/>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w:t>
            </w:r>
            <w:r w:rsidR="00D62691" w:rsidRPr="00CC6CA3">
              <w:rPr>
                <w:noProof/>
              </w:rPr>
              <w:fldChar w:fldCharType="end"/>
            </w:r>
            <w:r w:rsidRPr="00CC6CA3">
              <w:t>)</w:t>
            </w:r>
            <w:bookmarkEnd w:id="274"/>
          </w:p>
        </w:tc>
      </w:tr>
    </w:tbl>
    <w:p w14:paraId="7639F8EA" w14:textId="6718814A" w:rsidR="002122FA" w:rsidRPr="00CC6CA3" w:rsidRDefault="002122FA" w:rsidP="00055EE2">
      <w:r w:rsidRPr="00CC6CA3">
        <w:t xml:space="preserve">where </w:t>
      </w:r>
      <m:oMath>
        <m:r>
          <w:rPr>
            <w:rFonts w:ascii="Cambria Math" w:hAnsi="Cambria Math"/>
          </w:rPr>
          <m:t>i</m:t>
        </m:r>
      </m:oMath>
      <w:r w:rsidRPr="00CC6CA3">
        <w:t xml:space="preserve"> represents each variable. </w:t>
      </w:r>
      <m:oMath>
        <m:sSub>
          <m:sSubPr>
            <m:ctrlPr>
              <w:rPr>
                <w:rFonts w:ascii="Cambria Math" w:hAnsi="Cambria Math"/>
              </w:rPr>
            </m:ctrlPr>
          </m:sSubPr>
          <m:e>
            <m:r>
              <w:rPr>
                <w:rFonts w:ascii="Cambria Math" w:hAnsi="Cambria Math"/>
              </w:rPr>
              <m:t>μ</m:t>
            </m:r>
          </m:e>
          <m:sub>
            <m:r>
              <w:rPr>
                <w:rFonts w:ascii="Cambria Math" w:hAnsi="Cambria Math"/>
              </w:rPr>
              <m:t>i</m:t>
            </m:r>
          </m:sub>
        </m:sSub>
      </m:oMath>
      <w:r w:rsidRPr="00CC6CA3">
        <w:t xml:space="preserve"> denotes the mean, </w:t>
      </w:r>
      <w:r w:rsidR="0060717A" w:rsidRPr="00CC6CA3">
        <w:t xml:space="preserve">and </w:t>
      </w:r>
      <m:oMath>
        <m:sSub>
          <m:sSubPr>
            <m:ctrlPr>
              <w:rPr>
                <w:rFonts w:ascii="Cambria Math" w:hAnsi="Cambria Math"/>
              </w:rPr>
            </m:ctrlPr>
          </m:sSubPr>
          <m:e>
            <m:r>
              <w:rPr>
                <w:rFonts w:ascii="Cambria Math" w:hAnsi="Cambria Math"/>
              </w:rPr>
              <m:t>σ</m:t>
            </m:r>
          </m:e>
          <m:sub>
            <m:r>
              <w:rPr>
                <w:rFonts w:ascii="Cambria Math" w:hAnsi="Cambria Math"/>
              </w:rPr>
              <m:t>i</m:t>
            </m:r>
          </m:sub>
        </m:sSub>
      </m:oMath>
      <w:r w:rsidR="0060717A" w:rsidRPr="00CC6CA3">
        <w:t xml:space="preserve"> is the standard deviation of the training data, </w:t>
      </w:r>
      <m:oMath>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i</m:t>
            </m:r>
          </m:sub>
        </m:sSub>
      </m:oMath>
      <w:r w:rsidR="0060717A" w:rsidRPr="00CC6CA3">
        <w:t>. Both values are applied to training data as well as the condition monitoring data. In this chapter, the input data to the three fault detection models are standardised data</w:t>
      </w:r>
      <w:r w:rsidRPr="00CC6CA3">
        <w:t xml:space="preserve">. </w:t>
      </w:r>
    </w:p>
    <w:p w14:paraId="4550D281" w14:textId="77777777" w:rsidR="002122FA" w:rsidRPr="00CC6CA3" w:rsidRDefault="002122FA" w:rsidP="002122FA">
      <w:pPr>
        <w:pStyle w:val="Heading3"/>
      </w:pPr>
      <w:bookmarkStart w:id="275" w:name="_Ref17061224"/>
      <w:bookmarkStart w:id="276" w:name="_Toc81553278"/>
      <w:bookmarkStart w:id="277" w:name="_Ref17058041"/>
      <w:r w:rsidRPr="00CC6CA3">
        <w:t>Nonlinear autoregressive neural network</w:t>
      </w:r>
      <w:bookmarkEnd w:id="275"/>
      <w:bookmarkEnd w:id="276"/>
    </w:p>
    <w:p w14:paraId="48A869A4" w14:textId="5B1D096F" w:rsidR="002122FA" w:rsidRPr="00CC6CA3" w:rsidRDefault="002122FA" w:rsidP="00055EE2">
      <w:r w:rsidRPr="00CC6CA3">
        <w:t xml:space="preserve">The nonlinear autoregressive network with exogenous inputs (NARX) is a nonlinear and supervised data-driven model. </w:t>
      </w:r>
      <w:r w:rsidR="00D42E15" w:rsidRPr="00CC6CA3">
        <w:t>It features a feedback architecture that is connected to the architecture of the feed-forward networks and so can deal with time-series problems.</w:t>
      </w:r>
      <w:r w:rsidRPr="00CC6CA3">
        <w:t xml:space="preserve"> Therefore, it can deal with time-series problems. The structure of the NARX neural network is presented in </w:t>
      </w:r>
      <w:r w:rsidRPr="00CC6CA3">
        <w:fldChar w:fldCharType="begin"/>
      </w:r>
      <w:r w:rsidRPr="00CC6CA3">
        <w:instrText xml:space="preserve"> REF _Ref12542134 \h  \* MERGEFORMAT </w:instrText>
      </w:r>
      <w:r w:rsidRPr="00CC6CA3">
        <w:fldChar w:fldCharType="separate"/>
      </w:r>
      <w:r w:rsidR="001906D9" w:rsidRPr="00CC6CA3">
        <w:t xml:space="preserve">Figure </w:t>
      </w:r>
      <w:r w:rsidR="001906D9" w:rsidRPr="00CC6CA3">
        <w:rPr>
          <w:noProof/>
        </w:rPr>
        <w:t>4.1</w:t>
      </w:r>
      <w:r w:rsidRPr="00CC6CA3">
        <w:fldChar w:fldCharType="end"/>
      </w:r>
      <w:r w:rsidRPr="00CC6CA3">
        <w:t>.</w:t>
      </w:r>
    </w:p>
    <w:p w14:paraId="7FE99D0E" w14:textId="77777777" w:rsidR="002122FA" w:rsidRPr="00CC6CA3" w:rsidRDefault="002122FA" w:rsidP="002122FA">
      <w:pPr>
        <w:pStyle w:val="Body"/>
        <w:keepNext/>
        <w:jc w:val="center"/>
      </w:pPr>
      <w:r w:rsidRPr="00CC6CA3">
        <w:object w:dxaOrig="11844" w:dyaOrig="3445" w14:anchorId="7E9974A1">
          <v:shape id="_x0000_i1044" type="#_x0000_t75" style="width:438pt;height:126pt" o:ole="">
            <v:imagedata r:id="rId78" o:title=""/>
          </v:shape>
          <o:OLEObject Type="Embed" ProgID="Visio.Drawing.15" ShapeID="_x0000_i1044" DrawAspect="Content" ObjectID="_1692500323" r:id="rId79"/>
        </w:object>
      </w:r>
    </w:p>
    <w:p w14:paraId="403B122E" w14:textId="0A9A4441" w:rsidR="002122FA" w:rsidRPr="00CC6CA3" w:rsidRDefault="002122FA" w:rsidP="002122FA">
      <w:pPr>
        <w:pStyle w:val="Caption"/>
        <w:jc w:val="center"/>
      </w:pPr>
      <w:bookmarkStart w:id="278" w:name="_Ref12542134"/>
      <w:bookmarkStart w:id="279" w:name="_Toc8155336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w:t>
      </w:r>
      <w:r w:rsidR="00D62691" w:rsidRPr="00CC6CA3">
        <w:rPr>
          <w:noProof/>
        </w:rPr>
        <w:fldChar w:fldCharType="end"/>
      </w:r>
      <w:bookmarkEnd w:id="278"/>
      <w:r w:rsidRPr="00CC6CA3">
        <w:t xml:space="preserve"> </w:t>
      </w:r>
      <w:bookmarkStart w:id="280" w:name="OLE_LINK1"/>
      <w:r w:rsidRPr="00CC6CA3">
        <w:t>Structure of NARX</w:t>
      </w:r>
      <w:bookmarkEnd w:id="280"/>
      <w:r w:rsidRPr="00CC6CA3">
        <w:t xml:space="preserve"> neural network</w:t>
      </w:r>
      <w:bookmarkEnd w:id="279"/>
    </w:p>
    <w:p w14:paraId="35353E5C" w14:textId="6EB74B42" w:rsidR="002122FA" w:rsidRPr="00CC6CA3" w:rsidRDefault="002122FA" w:rsidP="00055EE2">
      <w:r w:rsidRPr="00CC6CA3">
        <w:t xml:space="preserve">In </w:t>
      </w:r>
      <w:r w:rsidRPr="00CC6CA3">
        <w:fldChar w:fldCharType="begin"/>
      </w:r>
      <w:r w:rsidRPr="00CC6CA3">
        <w:instrText xml:space="preserve"> REF _Ref12542134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w:t>
      </w:r>
      <w:r w:rsidRPr="00CC6CA3">
        <w:fldChar w:fldCharType="end"/>
      </w:r>
      <w:r w:rsidRPr="00CC6CA3">
        <w:t xml:space="preserve">, </w:t>
      </w:r>
      <m:oMath>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oMath>
      <w:r w:rsidR="00D42E15" w:rsidRPr="00CC6CA3">
        <w:t xml:space="preserve"> denotes time-series multi-variate input variables after standardisation.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t</m:t>
            </m:r>
          </m:sub>
        </m:sSub>
        <m:r>
          <w:rPr>
            <w:rFonts w:ascii="Cambria Math" w:hAnsi="Cambria Math"/>
          </w:rPr>
          <m:t>= (</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q</m:t>
            </m:r>
          </m:sub>
        </m:sSub>
        <m:r>
          <w:rPr>
            <w:rFonts w:ascii="Cambria Math" w:hAnsi="Cambria Math"/>
          </w:rPr>
          <m:t>)</m:t>
        </m:r>
      </m:oMath>
      <w:r w:rsidR="00D42E15" w:rsidRPr="00CC6CA3">
        <w:t xml:space="preserve"> is the corresponding output. </w:t>
      </w:r>
      <m:oMath>
        <m:sSubSup>
          <m:sSubSupPr>
            <m:ctrlPr>
              <w:rPr>
                <w:rFonts w:ascii="Cambria Math" w:hAnsi="Cambria Math"/>
                <w:i/>
                <w:iCs/>
              </w:rPr>
            </m:ctrlPr>
          </m:sSubSupPr>
          <m:e>
            <m:r>
              <w:rPr>
                <w:rFonts w:ascii="Cambria Math" w:hAnsi="Cambria Math"/>
              </w:rPr>
              <m:t>(w</m:t>
            </m:r>
          </m:e>
          <m:sub>
            <m:r>
              <w:rPr>
                <w:rFonts w:ascii="Cambria Math" w:hAnsi="Cambria Math"/>
              </w:rPr>
              <m:t>1</m:t>
            </m:r>
          </m:sub>
          <m:sup>
            <m:r>
              <w:rPr>
                <w:rFonts w:ascii="Cambria Math" w:hAnsi="Cambria Math"/>
              </w:rPr>
              <m:t>(1)</m:t>
            </m:r>
          </m:sup>
        </m:sSubSup>
        <m:r>
          <w:rPr>
            <w:rFonts w:ascii="Cambria Math" w:hAnsi="Cambria Math"/>
          </w:rPr>
          <m:t>,</m:t>
        </m:r>
        <m:sSubSup>
          <m:sSubSupPr>
            <m:ctrlPr>
              <w:rPr>
                <w:rFonts w:ascii="Cambria Math" w:hAnsi="Cambria Math"/>
                <w:i/>
                <w:iCs/>
              </w:rPr>
            </m:ctrlPr>
          </m:sSubSupPr>
          <m:e>
            <m:r>
              <w:rPr>
                <w:rFonts w:ascii="Cambria Math" w:hAnsi="Cambria Math"/>
              </w:rPr>
              <m:t>w</m:t>
            </m:r>
          </m:e>
          <m:sub>
            <m:r>
              <w:rPr>
                <w:rFonts w:ascii="Cambria Math" w:hAnsi="Cambria Math"/>
              </w:rPr>
              <m:t>2</m:t>
            </m:r>
          </m:sub>
          <m:sup>
            <m:r>
              <w:rPr>
                <w:rFonts w:ascii="Cambria Math" w:hAnsi="Cambria Math"/>
              </w:rPr>
              <m:t>(1)</m:t>
            </m:r>
          </m:sup>
        </m:sSubSup>
        <m:r>
          <w:rPr>
            <w:rFonts w:ascii="Cambria Math" w:hAnsi="Cambria Math"/>
          </w:rPr>
          <m:t>)</m:t>
        </m:r>
      </m:oMath>
      <w:r w:rsidR="00D42E15" w:rsidRPr="00CC6CA3">
        <w:rPr>
          <w:iCs/>
        </w:rPr>
        <w:t xml:space="preserve"> and </w:t>
      </w:r>
      <m:oMath>
        <m:sSup>
          <m:sSupPr>
            <m:ctrlPr>
              <w:rPr>
                <w:rFonts w:ascii="Cambria Math" w:hAnsi="Cambria Math"/>
                <w:i/>
                <w:iCs/>
              </w:rPr>
            </m:ctrlPr>
          </m:sSupPr>
          <m:e>
            <m:r>
              <w:rPr>
                <w:rFonts w:ascii="Cambria Math" w:hAnsi="Cambria Math"/>
              </w:rPr>
              <m:t>b</m:t>
            </m:r>
          </m:e>
          <m:sup>
            <m:r>
              <w:rPr>
                <w:rFonts w:ascii="Cambria Math" w:hAnsi="Cambria Math"/>
              </w:rPr>
              <m:t>(1)</m:t>
            </m:r>
          </m:sup>
        </m:sSup>
      </m:oMath>
      <w:r w:rsidR="00D42E15" w:rsidRPr="00CC6CA3">
        <w:rPr>
          <w:iCs/>
        </w:rPr>
        <w:t xml:space="preserve"> are,</w:t>
      </w:r>
      <w:r w:rsidR="00D42E15" w:rsidRPr="00CC6CA3">
        <w:t xml:space="preserve"> respectively,</w:t>
      </w:r>
      <w:r w:rsidR="00D42E15" w:rsidRPr="00CC6CA3">
        <w:rPr>
          <w:iCs/>
        </w:rPr>
        <w:t xml:space="preserve"> the </w:t>
      </w:r>
      <w:r w:rsidR="00D42E15" w:rsidRPr="00CC6CA3">
        <w:t xml:space="preserve">weight vectors and bias in the hidden layer; </w:t>
      </w:r>
      <m:oMath>
        <m:sSubSup>
          <m:sSubSupPr>
            <m:ctrlPr>
              <w:rPr>
                <w:rFonts w:ascii="Cambria Math" w:hAnsi="Cambria Math"/>
                <w:i/>
                <w:iCs/>
              </w:rPr>
            </m:ctrlPr>
          </m:sSubSupPr>
          <m:e>
            <m:r>
              <w:rPr>
                <w:rFonts w:ascii="Cambria Math" w:hAnsi="Cambria Math"/>
              </w:rPr>
              <m:t>w</m:t>
            </m:r>
          </m:e>
          <m:sub>
            <m:r>
              <w:rPr>
                <w:rFonts w:ascii="Cambria Math" w:hAnsi="Cambria Math"/>
              </w:rPr>
              <m:t>2</m:t>
            </m:r>
          </m:sub>
          <m:sup>
            <m:r>
              <w:rPr>
                <w:rFonts w:ascii="Cambria Math" w:hAnsi="Cambria Math"/>
              </w:rPr>
              <m:t>(2)</m:t>
            </m:r>
          </m:sup>
        </m:sSubSup>
      </m:oMath>
      <w:r w:rsidR="00D42E15" w:rsidRPr="00CC6CA3">
        <w:rPr>
          <w:iCs/>
        </w:rPr>
        <w:t xml:space="preserve"> and </w:t>
      </w:r>
      <m:oMath>
        <m:sSup>
          <m:sSupPr>
            <m:ctrlPr>
              <w:rPr>
                <w:rFonts w:ascii="Cambria Math" w:hAnsi="Cambria Math"/>
                <w:i/>
                <w:iCs/>
              </w:rPr>
            </m:ctrlPr>
          </m:sSupPr>
          <m:e>
            <m:r>
              <w:rPr>
                <w:rFonts w:ascii="Cambria Math" w:hAnsi="Cambria Math"/>
              </w:rPr>
              <m:t>b</m:t>
            </m:r>
          </m:e>
          <m:sup>
            <m:r>
              <w:rPr>
                <w:rFonts w:ascii="Cambria Math" w:hAnsi="Cambria Math"/>
              </w:rPr>
              <m:t>(2)</m:t>
            </m:r>
          </m:sup>
        </m:sSup>
      </m:oMath>
      <w:r w:rsidR="00D42E15" w:rsidRPr="00CC6CA3">
        <w:rPr>
          <w:iCs/>
        </w:rPr>
        <w:t xml:space="preserve"> respectively </w:t>
      </w:r>
      <w:r w:rsidR="00D42E15" w:rsidRPr="00CC6CA3">
        <w:t xml:space="preserve">represent the weight vectors and bias in the output layer. </w:t>
      </w:r>
      <w:r w:rsidRPr="00CC6CA3">
        <w:t xml:space="preserve">The NARX model can be given by Equation </w:t>
      </w:r>
      <w:r w:rsidRPr="00CC6CA3">
        <w:fldChar w:fldCharType="begin"/>
      </w:r>
      <w:r w:rsidRPr="00CC6CA3">
        <w:instrText xml:space="preserve"> REF _Ref63070904 \h  \* MERGEFORMAT </w:instrText>
      </w:r>
      <w:r w:rsidRPr="00CC6CA3">
        <w:fldChar w:fldCharType="separate"/>
      </w:r>
      <w:r w:rsidR="001906D9" w:rsidRPr="00CC6CA3">
        <w:t>(4</w:t>
      </w:r>
      <w:r w:rsidR="001906D9" w:rsidRPr="00CC6CA3">
        <w:noBreakHyphen/>
        <w:t>2)</w:t>
      </w:r>
      <w:r w:rsidRPr="00CC6CA3">
        <w:fldChar w:fldCharType="end"/>
      </w:r>
      <w:r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9"/>
        <w:gridCol w:w="1536"/>
      </w:tblGrid>
      <w:tr w:rsidR="00CC6CA3" w:rsidRPr="00CC6CA3" w14:paraId="289232C8" w14:textId="77777777" w:rsidTr="00F632C0">
        <w:tc>
          <w:tcPr>
            <w:tcW w:w="4124" w:type="pct"/>
            <w:vAlign w:val="center"/>
          </w:tcPr>
          <w:p w14:paraId="56A62C7B" w14:textId="77777777" w:rsidR="002122FA" w:rsidRPr="00CC6CA3" w:rsidRDefault="00D62691" w:rsidP="00F632C0">
            <w:pPr>
              <w:pStyle w:val="Body"/>
            </w:pPr>
            <m:oMathPara>
              <m:oMathParaPr>
                <m:jc m:val="center"/>
              </m:oMathParaPr>
              <m:oMath>
                <m:sSub>
                  <m:sSubPr>
                    <m:ctrlPr>
                      <w:rPr>
                        <w:rFonts w:ascii="Cambria Math" w:hAnsi="Cambria Math"/>
                      </w:rPr>
                    </m:ctrlPr>
                  </m:sSubPr>
                  <m:e>
                    <m:r>
                      <w:rPr>
                        <w:rFonts w:ascii="Cambria Math" w:hAnsi="Cambria Math"/>
                      </w:rPr>
                      <m:t>y</m:t>
                    </m:r>
                  </m:e>
                  <m:sub>
                    <m:r>
                      <w:rPr>
                        <w:rFonts w:ascii="Cambria Math" w:hAnsi="Cambria Math"/>
                      </w:rPr>
                      <m:t>t</m:t>
                    </m:r>
                    <m:r>
                      <m:rPr>
                        <m:sty m:val="p"/>
                      </m:rPr>
                      <w:rPr>
                        <w:rFonts w:ascii="Cambria Math" w:hAnsi="Cambria Math"/>
                      </w:rPr>
                      <m:t>(1,…</m:t>
                    </m:r>
                    <m:r>
                      <w:rPr>
                        <w:rFonts w:ascii="Cambria Math" w:hAnsi="Cambria Math"/>
                      </w:rPr>
                      <m:t>q</m:t>
                    </m:r>
                    <m:r>
                      <m:rPr>
                        <m:sty m:val="p"/>
                      </m:rPr>
                      <w:rPr>
                        <w:rFonts w:ascii="Cambria Math" w:hAnsi="Cambria Math"/>
                      </w:rPr>
                      <m:t>)</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t</m:t>
                    </m:r>
                    <m:r>
                      <m:rPr>
                        <m:sty m:val="p"/>
                      </m:rPr>
                      <w:rPr>
                        <w:rFonts w:ascii="Cambria Math" w:hAnsi="Cambria Math"/>
                      </w:rPr>
                      <m:t>-1(1,…</m:t>
                    </m:r>
                    <m:r>
                      <w:rPr>
                        <w:rFonts w:ascii="Cambria Math" w:hAnsi="Cambria Math"/>
                      </w:rPr>
                      <m:t>q</m:t>
                    </m:r>
                    <m:r>
                      <m:rPr>
                        <m:sty m:val="p"/>
                      </m:rPr>
                      <w:rPr>
                        <w:rFonts w:ascii="Cambria Math" w:hAnsi="Cambria Math"/>
                      </w:rPr>
                      <m:t>)</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t</m:t>
                    </m:r>
                    <m:r>
                      <m:rPr>
                        <m:sty m:val="p"/>
                      </m:rPr>
                      <w:rPr>
                        <w:rFonts w:ascii="Cambria Math" w:hAnsi="Cambria Math"/>
                      </w:rPr>
                      <m:t>-</m:t>
                    </m:r>
                    <m:r>
                      <w:rPr>
                        <w:rFonts w:ascii="Cambria Math" w:hAnsi="Cambria Math"/>
                      </w:rPr>
                      <m:t>z</m:t>
                    </m:r>
                    <m:r>
                      <m:rPr>
                        <m:sty m:val="p"/>
                      </m:rPr>
                      <w:rPr>
                        <w:rFonts w:ascii="Cambria Math" w:hAnsi="Cambria Math"/>
                      </w:rPr>
                      <m:t>+1(1,…</m:t>
                    </m:r>
                    <m:r>
                      <w:rPr>
                        <w:rFonts w:ascii="Cambria Math" w:hAnsi="Cambria Math"/>
                      </w:rPr>
                      <m:t>q</m:t>
                    </m:r>
                    <m:r>
                      <m:rPr>
                        <m:sty m:val="p"/>
                      </m:rPr>
                      <w:rPr>
                        <w:rFonts w:ascii="Cambria Math" w:hAnsi="Cambria Math"/>
                      </w:rPr>
                      <m:t>)</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t</m:t>
                    </m:r>
                    <m:r>
                      <m:rPr>
                        <m:sty m:val="p"/>
                      </m:rPr>
                      <w:rPr>
                        <w:rFonts w:ascii="Cambria Math" w:hAnsi="Cambria Math"/>
                      </w:rPr>
                      <m:t>(1,…</m:t>
                    </m:r>
                    <m:r>
                      <w:rPr>
                        <w:rFonts w:ascii="Cambria Math" w:hAnsi="Cambria Math"/>
                      </w:rPr>
                      <m:t>N</m:t>
                    </m:r>
                    <m:r>
                      <m:rPr>
                        <m:sty m:val="p"/>
                      </m:rPr>
                      <w:rPr>
                        <w:rFonts w:ascii="Cambria Math" w:hAnsi="Cambria Math"/>
                      </w:rPr>
                      <m:t>)</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t</m:t>
                    </m:r>
                    <m:r>
                      <m:rPr>
                        <m:sty m:val="p"/>
                      </m:rPr>
                      <w:rPr>
                        <w:rFonts w:ascii="Cambria Math" w:hAnsi="Cambria Math"/>
                      </w:rPr>
                      <m:t>-</m:t>
                    </m:r>
                    <m:r>
                      <w:rPr>
                        <w:rFonts w:ascii="Cambria Math" w:hAnsi="Cambria Math"/>
                      </w:rPr>
                      <m:t>z</m:t>
                    </m:r>
                    <m:r>
                      <m:rPr>
                        <m:sty m:val="p"/>
                      </m:rPr>
                      <w:rPr>
                        <w:rFonts w:ascii="Cambria Math" w:hAnsi="Cambria Math"/>
                      </w:rPr>
                      <m:t>+1(1,…</m:t>
                    </m:r>
                    <m:r>
                      <w:rPr>
                        <w:rFonts w:ascii="Cambria Math" w:hAnsi="Cambria Math"/>
                      </w:rPr>
                      <m:t>N</m:t>
                    </m:r>
                    <m:r>
                      <m:rPr>
                        <m:sty m:val="p"/>
                      </m:rPr>
                      <w:rPr>
                        <w:rFonts w:ascii="Cambria Math" w:hAnsi="Cambria Math"/>
                      </w:rPr>
                      <m:t>)</m:t>
                    </m:r>
                  </m:sub>
                </m:sSub>
                <m:r>
                  <m:rPr>
                    <m:sty m:val="p"/>
                  </m:rPr>
                  <w:rPr>
                    <w:rFonts w:ascii="Cambria Math" w:hAnsi="Cambria Math"/>
                  </w:rPr>
                  <m:t>)</m:t>
                </m:r>
              </m:oMath>
            </m:oMathPara>
          </w:p>
        </w:tc>
        <w:tc>
          <w:tcPr>
            <w:tcW w:w="876" w:type="pct"/>
            <w:vAlign w:val="center"/>
          </w:tcPr>
          <w:p w14:paraId="40055B73" w14:textId="3D7D699E" w:rsidR="002122FA" w:rsidRPr="00CC6CA3" w:rsidRDefault="002122FA" w:rsidP="00F632C0">
            <w:pPr>
              <w:pStyle w:val="Body"/>
              <w:jc w:val="right"/>
            </w:pPr>
            <w:bookmarkStart w:id="281" w:name="_Ref32952035"/>
            <w:bookmarkStart w:id="282" w:name="_Ref63070904"/>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2</w:t>
            </w:r>
            <w:r w:rsidR="00D62691" w:rsidRPr="00CC6CA3">
              <w:rPr>
                <w:noProof/>
              </w:rPr>
              <w:fldChar w:fldCharType="end"/>
            </w:r>
            <w:bookmarkEnd w:id="281"/>
            <w:r w:rsidRPr="00CC6CA3">
              <w:t>)</w:t>
            </w:r>
            <w:bookmarkEnd w:id="282"/>
          </w:p>
        </w:tc>
      </w:tr>
    </w:tbl>
    <w:p w14:paraId="67715B41" w14:textId="77777777" w:rsidR="00182A56" w:rsidRPr="00CC6CA3" w:rsidRDefault="00182A56" w:rsidP="00182A56">
      <w:r w:rsidRPr="00CC6CA3">
        <w:t xml:space="preserve">where </w:t>
      </w:r>
      <m:oMath>
        <m:r>
          <w:rPr>
            <w:rFonts w:ascii="Cambria Math" w:hAnsi="Cambria Math"/>
          </w:rPr>
          <m:t>z</m:t>
        </m:r>
      </m:oMath>
      <w:r w:rsidRPr="00CC6CA3">
        <w:t xml:space="preserve"> is a time delay </w:t>
      </w:r>
      <w:proofErr w:type="gramStart"/>
      <w:r w:rsidRPr="00CC6CA3">
        <w:t>parameter.</w:t>
      </w:r>
      <w:proofErr w:type="gramEnd"/>
      <w:r w:rsidRPr="00CC6CA3">
        <w:t xml:space="preserve"> </w:t>
      </w:r>
      <m:oMath>
        <m:r>
          <w:rPr>
            <w:rFonts w:ascii="Cambria Math" w:hAnsi="Cambria Math"/>
          </w:rPr>
          <m:t>F</m:t>
        </m:r>
      </m:oMath>
      <w:r w:rsidRPr="00CC6CA3">
        <w:t xml:space="preserve"> is a nonlinear function, which predicts the behaviour of the machine at time </w:t>
      </w:r>
      <m:oMath>
        <m:r>
          <w:rPr>
            <w:rFonts w:ascii="Cambria Math" w:hAnsi="Cambria Math"/>
          </w:rPr>
          <m:t>t</m:t>
        </m:r>
      </m:oMath>
      <w:r w:rsidRPr="00CC6CA3">
        <w:t xml:space="preserve"> using inputs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oMath>
      <w:r w:rsidRPr="00CC6CA3">
        <w:t xml:space="preserve"> and multiple outputs at time (</w:t>
      </w:r>
      <m:oMath>
        <m:r>
          <w:rPr>
            <w:rFonts w:ascii="Cambria Math" w:hAnsi="Cambria Math"/>
          </w:rPr>
          <m:t>t</m:t>
        </m:r>
        <m:r>
          <m:rPr>
            <m:sty m:val="p"/>
          </m:rPr>
          <w:rPr>
            <w:rFonts w:ascii="Cambria Math" w:hAnsi="Cambria Math"/>
          </w:rPr>
          <m:t>-</m:t>
        </m:r>
        <m:r>
          <w:rPr>
            <w:rFonts w:ascii="Cambria Math" w:hAnsi="Cambria Math"/>
          </w:rPr>
          <m:t>z</m:t>
        </m:r>
        <m:r>
          <m:rPr>
            <m:sty m:val="p"/>
          </m:rPr>
          <w:rPr>
            <w:rFonts w:ascii="Cambria Math" w:hAnsi="Cambria Math"/>
          </w:rPr>
          <m:t>)</m:t>
        </m:r>
      </m:oMath>
      <w:r w:rsidRPr="00CC6CA3">
        <w:t>.</w:t>
      </w:r>
    </w:p>
    <w:p w14:paraId="677A2043" w14:textId="16F4E101" w:rsidR="002122FA" w:rsidRPr="00CC6CA3" w:rsidRDefault="00182A56" w:rsidP="00182A56">
      <w:pPr>
        <w:pStyle w:val="Body"/>
      </w:pPr>
      <w:r w:rsidRPr="00CC6CA3">
        <w:t>The model is trained by minimising the cost function,</w:t>
      </w:r>
      <w:r w:rsidRPr="00CC6CA3">
        <w:rPr>
          <w:i/>
          <w:iCs/>
        </w:rPr>
        <w:t xml:space="preserve"> c(w)</w:t>
      </w:r>
      <w:r w:rsidRPr="00CC6CA3">
        <w:t xml:space="preserve">, in </w:t>
      </w:r>
      <w:r w:rsidR="002122FA" w:rsidRPr="00CC6CA3">
        <w:t xml:space="preserve">Equation </w:t>
      </w:r>
      <w:r w:rsidR="002122FA" w:rsidRPr="00CC6CA3">
        <w:fldChar w:fldCharType="begin"/>
      </w:r>
      <w:r w:rsidR="002122FA" w:rsidRPr="00CC6CA3">
        <w:instrText xml:space="preserve"> REF _Ref21246058 \h </w:instrText>
      </w:r>
      <w:r w:rsidR="002122FA" w:rsidRPr="00CC6CA3">
        <w:fldChar w:fldCharType="separate"/>
      </w:r>
      <w:r w:rsidR="001906D9" w:rsidRPr="00CC6CA3">
        <w:t>(</w:t>
      </w:r>
      <w:r w:rsidR="001906D9" w:rsidRPr="00CC6CA3">
        <w:rPr>
          <w:noProof/>
        </w:rPr>
        <w:t>4</w:t>
      </w:r>
      <w:r w:rsidR="001906D9" w:rsidRPr="00CC6CA3">
        <w:noBreakHyphen/>
      </w:r>
      <w:r w:rsidR="001906D9" w:rsidRPr="00CC6CA3">
        <w:rPr>
          <w:noProof/>
        </w:rPr>
        <w:t>3</w:t>
      </w:r>
      <w:r w:rsidR="001906D9" w:rsidRPr="00CC6CA3">
        <w:t>)</w:t>
      </w:r>
      <w:r w:rsidR="002122FA" w:rsidRPr="00CC6CA3">
        <w:fldChar w:fldCharType="end"/>
      </w:r>
      <w:r w:rsidR="002122FA"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9"/>
        <w:gridCol w:w="696"/>
      </w:tblGrid>
      <w:tr w:rsidR="00CC6CA3" w:rsidRPr="00CC6CA3" w14:paraId="346F4899" w14:textId="77777777" w:rsidTr="00F632C0">
        <w:tc>
          <w:tcPr>
            <w:tcW w:w="4746" w:type="pct"/>
            <w:vAlign w:val="center"/>
          </w:tcPr>
          <w:p w14:paraId="53349902" w14:textId="77777777" w:rsidR="002122FA" w:rsidRPr="00CC6CA3" w:rsidRDefault="002122FA" w:rsidP="00F632C0">
            <w:pPr>
              <w:pStyle w:val="Body"/>
            </w:pPr>
            <m:oMathPara>
              <m:oMath>
                <m:r>
                  <w:rPr>
                    <w:rFonts w:ascii="Cambria Math" w:hAnsi="Cambria Math"/>
                  </w:rPr>
                  <m:t>c</m:t>
                </m:r>
                <m:d>
                  <m:dPr>
                    <m:ctrlPr>
                      <w:rPr>
                        <w:rFonts w:ascii="Cambria Math" w:hAnsi="Cambria Math"/>
                      </w:rPr>
                    </m:ctrlPr>
                  </m:dPr>
                  <m:e>
                    <m:r>
                      <w:rPr>
                        <w:rFonts w:ascii="Cambria Math" w:hAnsi="Cambria Math"/>
                      </w:rPr>
                      <m:t>w</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r>
                      <w:rPr>
                        <w:rFonts w:ascii="Cambria Math" w:hAnsi="Cambria Math"/>
                      </w:rPr>
                      <m:t>N</m:t>
                    </m:r>
                  </m:den>
                </m:f>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w</m:t>
                        </m:r>
                        <m:r>
                          <m:rPr>
                            <m:sty m:val="p"/>
                          </m:rPr>
                          <w:rPr>
                            <w:rFonts w:ascii="Cambria Math" w:hAnsi="Cambria Math"/>
                          </w:rPr>
                          <m:t>)]</m:t>
                        </m:r>
                      </m:e>
                      <m:sup>
                        <m:r>
                          <m:rPr>
                            <m:sty m:val="p"/>
                          </m:rPr>
                          <w:rPr>
                            <w:rFonts w:ascii="Cambria Math" w:hAnsi="Cambria Math"/>
                          </w:rPr>
                          <m:t>2</m:t>
                        </m:r>
                      </m:sup>
                    </m:sSup>
                  </m:e>
                </m:nary>
              </m:oMath>
            </m:oMathPara>
          </w:p>
        </w:tc>
        <w:tc>
          <w:tcPr>
            <w:tcW w:w="254" w:type="pct"/>
            <w:vAlign w:val="center"/>
          </w:tcPr>
          <w:p w14:paraId="23DEC66F" w14:textId="2F454ED8" w:rsidR="002122FA" w:rsidRPr="00CC6CA3" w:rsidRDefault="002122FA" w:rsidP="00F632C0">
            <w:pPr>
              <w:pStyle w:val="Body"/>
            </w:pPr>
            <w:bookmarkStart w:id="283" w:name="_Ref21246058"/>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3</w:t>
            </w:r>
            <w:r w:rsidR="00D62691" w:rsidRPr="00CC6CA3">
              <w:rPr>
                <w:noProof/>
              </w:rPr>
              <w:fldChar w:fldCharType="end"/>
            </w:r>
            <w:r w:rsidRPr="00CC6CA3">
              <w:t>)</w:t>
            </w:r>
            <w:bookmarkEnd w:id="283"/>
          </w:p>
        </w:tc>
      </w:tr>
    </w:tbl>
    <w:p w14:paraId="2C40D8DF" w14:textId="0617FD3D" w:rsidR="002122FA" w:rsidRPr="00CC6CA3" w:rsidRDefault="002122FA" w:rsidP="00055EE2">
      <w:r w:rsidRPr="00CC6CA3">
        <w:t xml:space="preserve">where </w:t>
      </w:r>
      <m:oMath>
        <m:r>
          <w:rPr>
            <w:rFonts w:ascii="Cambria Math" w:hAnsi="Cambria Math"/>
          </w:rPr>
          <m:t>N</m:t>
        </m:r>
      </m:oMath>
      <w:r w:rsidRPr="00CC6CA3">
        <w:t xml:space="preserve"> is the total number of sample </w:t>
      </w:r>
      <w:proofErr w:type="gramStart"/>
      <w:r w:rsidRPr="00CC6CA3">
        <w:t>points.</w:t>
      </w:r>
      <w:proofErr w:type="gramEnd"/>
      <w:r w:rsidRPr="00CC6CA3">
        <w:t xml:space="preserve"> </w:t>
      </w:r>
      <m:oMath>
        <m:r>
          <w:rPr>
            <w:rFonts w:ascii="Cambria Math" w:hAnsi="Cambria Math"/>
          </w:rPr>
          <m:t>Y</m:t>
        </m:r>
        <m:r>
          <m:rPr>
            <m:sty m:val="p"/>
          </m:rPr>
          <w:rPr>
            <w:rFonts w:ascii="Cambria Math" w:hAnsi="Cambria Math"/>
          </w:rPr>
          <m:t>(</m:t>
        </m:r>
        <m:r>
          <w:rPr>
            <w:rFonts w:ascii="Cambria Math" w:hAnsi="Cambria Math"/>
          </w:rPr>
          <m:t>i</m:t>
        </m:r>
        <m:r>
          <m:rPr>
            <m:sty m:val="p"/>
          </m:rPr>
          <w:rPr>
            <w:rFonts w:ascii="Cambria Math" w:hAnsi="Cambria Math"/>
          </w:rPr>
          <m:t>)</m:t>
        </m:r>
      </m:oMath>
      <w:r w:rsidRPr="00CC6CA3">
        <w:t xml:space="preserve"> is the response for the training samples, and </w:t>
      </w:r>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w</m:t>
        </m:r>
        <m:r>
          <m:rPr>
            <m:sty m:val="p"/>
          </m:rPr>
          <w:rPr>
            <w:rFonts w:ascii="Cambria Math" w:hAnsi="Cambria Math"/>
          </w:rPr>
          <m:t>)</m:t>
        </m:r>
      </m:oMath>
      <w:r w:rsidRPr="00CC6CA3">
        <w:t xml:space="preserve"> is the nonlinear function of the NARX ANN </w:t>
      </w:r>
      <w:proofErr w:type="gramStart"/>
      <w:r w:rsidRPr="00CC6CA3">
        <w:t>model.</w:t>
      </w:r>
      <w:proofErr w:type="gramEnd"/>
      <w:r w:rsidRPr="00CC6CA3">
        <w:t xml:space="preserve"> </w:t>
      </w:r>
      <m:oMath>
        <m:r>
          <w:rPr>
            <w:rFonts w:ascii="Cambria Math" w:hAnsi="Cambria Math"/>
          </w:rPr>
          <m:t>X</m:t>
        </m:r>
        <m:r>
          <m:rPr>
            <m:sty m:val="p"/>
          </m:rPr>
          <w:rPr>
            <w:rFonts w:ascii="Cambria Math" w:hAnsi="Cambria Math"/>
          </w:rPr>
          <m:t>(</m:t>
        </m:r>
        <m:r>
          <w:rPr>
            <w:rFonts w:ascii="Cambria Math" w:hAnsi="Cambria Math"/>
          </w:rPr>
          <m:t>i</m:t>
        </m:r>
        <m:r>
          <m:rPr>
            <m:sty m:val="p"/>
          </m:rPr>
          <w:rPr>
            <w:rFonts w:ascii="Cambria Math" w:hAnsi="Cambria Math"/>
          </w:rPr>
          <m:t>)</m:t>
        </m:r>
      </m:oMath>
      <w:r w:rsidRPr="00CC6CA3">
        <w:t xml:space="preserve"> represents input predictors in</w:t>
      </w:r>
      <w:r w:rsidR="000610B9" w:rsidRPr="00CC6CA3">
        <w:t xml:space="preserve"> the</w:t>
      </w:r>
      <w:r w:rsidRPr="00CC6CA3">
        <w:t xml:space="preserve"> time-series, and </w:t>
      </w:r>
      <m:oMath>
        <m:r>
          <w:rPr>
            <w:rFonts w:ascii="Cambria Math" w:hAnsi="Cambria Math"/>
          </w:rPr>
          <m:t>w</m:t>
        </m:r>
      </m:oMath>
      <w:r w:rsidRPr="00CC6CA3">
        <w:t xml:space="preserve"> is the weight vector.</w:t>
      </w:r>
    </w:p>
    <w:p w14:paraId="4ECC9AD5" w14:textId="3D75D465" w:rsidR="002122FA" w:rsidRPr="00CC6CA3" w:rsidRDefault="002122FA" w:rsidP="00055EE2">
      <w:r w:rsidRPr="00CC6CA3">
        <w:t xml:space="preserve">The Levenberg–Marquardt back-propagation method is applied to train the NARX model, due to its good efficiency and high precision </w:t>
      </w:r>
      <w:r w:rsidRPr="00CC6CA3">
        <w:fldChar w:fldCharType="begin"/>
      </w:r>
      <w:r w:rsidR="007D1BCC" w:rsidRPr="00CC6CA3">
        <w:instrText xml:space="preserve"> ADDIN ZOTERO_ITEM CSL_CITATION {"citationID":"aoi8t30jkh","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Pr="00CC6CA3">
        <w:fldChar w:fldCharType="separate"/>
      </w:r>
      <w:r w:rsidR="007D1BCC" w:rsidRPr="00CC6CA3">
        <w:rPr>
          <w:rFonts w:cs="Times New Roman"/>
        </w:rPr>
        <w:t>[105]</w:t>
      </w:r>
      <w:r w:rsidRPr="00CC6CA3">
        <w:fldChar w:fldCharType="end"/>
      </w:r>
      <w:r w:rsidRPr="00CC6CA3">
        <w:t xml:space="preserve">. </w:t>
      </w:r>
      <w:r w:rsidR="000610B9" w:rsidRPr="00CC6CA3">
        <w:t>According to this method, the weight vector is updated using</w:t>
      </w:r>
      <w:r w:rsidRPr="00CC6CA3">
        <w:t xml:space="preserve"> Equation </w:t>
      </w:r>
      <w:r w:rsidRPr="00CC6CA3">
        <w:fldChar w:fldCharType="begin"/>
      </w:r>
      <w:r w:rsidRPr="00CC6CA3">
        <w:instrText xml:space="preserve"> REF _Ref21249700 \h </w:instrText>
      </w:r>
      <w:r w:rsidRPr="00CC6CA3">
        <w:fldChar w:fldCharType="separate"/>
      </w:r>
      <w:r w:rsidR="001906D9" w:rsidRPr="00CC6CA3">
        <w:t>(</w:t>
      </w:r>
      <w:r w:rsidR="001906D9" w:rsidRPr="00CC6CA3">
        <w:rPr>
          <w:noProof/>
        </w:rPr>
        <w:t>4</w:t>
      </w:r>
      <w:r w:rsidR="001906D9" w:rsidRPr="00CC6CA3">
        <w:noBreakHyphen/>
      </w:r>
      <w:r w:rsidR="001906D9" w:rsidRPr="00CC6CA3">
        <w:rPr>
          <w:noProof/>
        </w:rPr>
        <w:t>4</w:t>
      </w:r>
      <w:r w:rsidR="001906D9" w:rsidRPr="00CC6CA3">
        <w:t>)</w:t>
      </w:r>
      <w:r w:rsidRPr="00CC6CA3">
        <w:fldChar w:fldCharType="end"/>
      </w:r>
      <w:r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9"/>
        <w:gridCol w:w="696"/>
      </w:tblGrid>
      <w:tr w:rsidR="00CC6CA3" w:rsidRPr="00CC6CA3" w14:paraId="5A0EFFCD" w14:textId="77777777" w:rsidTr="00F632C0">
        <w:tc>
          <w:tcPr>
            <w:tcW w:w="4746" w:type="pct"/>
            <w:vAlign w:val="center"/>
          </w:tcPr>
          <w:p w14:paraId="1A5CC395" w14:textId="77777777" w:rsidR="002122FA" w:rsidRPr="00CC6CA3" w:rsidRDefault="002122FA" w:rsidP="00F632C0">
            <w:pPr>
              <w:pStyle w:val="Body"/>
            </w:pPr>
            <m:oMathPara>
              <m:oMath>
                <m:r>
                  <m:rPr>
                    <m:sty m:val="p"/>
                  </m:rPr>
                  <w:rPr>
                    <w:rFonts w:ascii="Cambria Math" w:hAnsi="Cambria Math"/>
                  </w:rPr>
                  <m:t>∆</m:t>
                </m:r>
                <m:r>
                  <w:rPr>
                    <w:rFonts w:ascii="Cambria Math" w:hAnsi="Cambria Math"/>
                  </w:rPr>
                  <m:t>w</m:t>
                </m:r>
                <m:r>
                  <m:rPr>
                    <m:sty m:val="p"/>
                  </m:rPr>
                  <w:rPr>
                    <w:rFonts w:ascii="Cambria Math" w:hAnsi="Cambria Math"/>
                  </w:rPr>
                  <m:t>=</m:t>
                </m:r>
                <m:sSup>
                  <m:sSupPr>
                    <m:ctrlPr>
                      <w:rPr>
                        <w:rFonts w:ascii="Cambria Math" w:hAnsi="Cambria Math"/>
                      </w:rPr>
                    </m:ctrlPr>
                  </m:sSupPr>
                  <m:e>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N</m:t>
                        </m:r>
                      </m:den>
                    </m:f>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r>
                          <m:rPr>
                            <m:sty m:val="p"/>
                          </m:rPr>
                          <w:rPr>
                            <w:rFonts w:ascii="Cambria Math" w:hAnsi="Cambria Math"/>
                          </w:rPr>
                          <m:t>(</m:t>
                        </m:r>
                        <m:f>
                          <m:fPr>
                            <m:ctrlPr>
                              <w:rPr>
                                <w:rFonts w:ascii="Cambria Math" w:hAnsi="Cambria Math"/>
                              </w:rPr>
                            </m:ctrlPr>
                          </m:fPr>
                          <m:num>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w</m:t>
                            </m:r>
                            <m:r>
                              <m:rPr>
                                <m:sty m:val="p"/>
                              </m:rPr>
                              <w:rPr>
                                <w:rFonts w:ascii="Cambria Math" w:hAnsi="Cambria Math"/>
                              </w:rPr>
                              <m:t>)</m:t>
                            </m:r>
                          </m:num>
                          <m:den>
                            <m:r>
                              <w:rPr>
                                <w:rFonts w:ascii="Cambria Math" w:hAnsi="Cambria Math"/>
                              </w:rPr>
                              <m:t>∂w</m:t>
                            </m:r>
                          </m:den>
                        </m:f>
                        <m:r>
                          <m:rPr>
                            <m:sty m:val="p"/>
                          </m:rPr>
                          <w:rPr>
                            <w:rFonts w:ascii="Cambria Math" w:hAnsi="Cambria Math"/>
                          </w:rPr>
                          <m:t>)</m:t>
                        </m:r>
                        <m:sSup>
                          <m:sSupPr>
                            <m:ctrlPr>
                              <w:rPr>
                                <w:rFonts w:ascii="Cambria Math" w:hAnsi="Cambria Math"/>
                              </w:rPr>
                            </m:ctrlPr>
                          </m:sSupPr>
                          <m:e>
                            <m:r>
                              <m:rPr>
                                <m:sty m:val="p"/>
                              </m:rPr>
                              <w:rPr>
                                <w:rFonts w:ascii="Cambria Math" w:hAnsi="Cambria Math"/>
                              </w:rPr>
                              <m:t>(</m:t>
                            </m:r>
                            <m:f>
                              <m:fPr>
                                <m:ctrlPr>
                                  <w:rPr>
                                    <w:rFonts w:ascii="Cambria Math" w:hAnsi="Cambria Math"/>
                                  </w:rPr>
                                </m:ctrlPr>
                              </m:fPr>
                              <m:num>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w</m:t>
                                </m:r>
                                <m:r>
                                  <m:rPr>
                                    <m:sty m:val="p"/>
                                  </m:rPr>
                                  <w:rPr>
                                    <w:rFonts w:ascii="Cambria Math" w:hAnsi="Cambria Math"/>
                                  </w:rPr>
                                  <m:t>)</m:t>
                                </m:r>
                              </m:num>
                              <m:den>
                                <m:r>
                                  <w:rPr>
                                    <w:rFonts w:ascii="Cambria Math" w:hAnsi="Cambria Math"/>
                                  </w:rPr>
                                  <m:t>∂w</m:t>
                                </m:r>
                              </m:den>
                            </m:f>
                            <m:r>
                              <m:rPr>
                                <m:sty m:val="p"/>
                              </m:rPr>
                              <w:rPr>
                                <w:rFonts w:ascii="Cambria Math" w:hAnsi="Cambria Math"/>
                              </w:rPr>
                              <m:t>)</m:t>
                            </m:r>
                          </m:e>
                          <m:sup>
                            <m:r>
                              <w:rPr>
                                <w:rFonts w:ascii="Cambria Math" w:hAnsi="Cambria Math"/>
                              </w:rPr>
                              <m:t>T</m:t>
                            </m:r>
                          </m:sup>
                        </m:sSup>
                      </m:e>
                    </m:nary>
                    <m:r>
                      <m:rPr>
                        <m:sty m:val="p"/>
                      </m:rPr>
                      <w:rPr>
                        <w:rFonts w:ascii="Cambria Math" w:hAnsi="Cambria Math"/>
                      </w:rPr>
                      <m:t>+</m:t>
                    </m:r>
                    <m:r>
                      <w:rPr>
                        <w:rFonts w:ascii="Cambria Math" w:hAnsi="Cambria Math"/>
                      </w:rPr>
                      <m:t>λI</m:t>
                    </m:r>
                    <m:r>
                      <m:rPr>
                        <m:sty m:val="p"/>
                      </m:rPr>
                      <w:rPr>
                        <w:rFonts w:ascii="Cambria Math" w:hAnsi="Cambria Math"/>
                      </w:rPr>
                      <m:t>]</m:t>
                    </m:r>
                  </m:e>
                  <m:sup>
                    <m:r>
                      <m:rPr>
                        <m:sty m:val="p"/>
                      </m:rPr>
                      <w:rPr>
                        <w:rFonts w:ascii="Cambria Math" w:hAnsi="Cambria Math"/>
                      </w:rPr>
                      <m:t>-1</m:t>
                    </m:r>
                  </m:sup>
                </m:sSup>
                <m:f>
                  <m:fPr>
                    <m:ctrlPr>
                      <w:rPr>
                        <w:rFonts w:ascii="Cambria Math" w:hAnsi="Cambria Math"/>
                      </w:rPr>
                    </m:ctrlPr>
                  </m:fPr>
                  <m:num>
                    <m:r>
                      <w:rPr>
                        <w:rFonts w:ascii="Cambria Math" w:hAnsi="Cambria Math"/>
                      </w:rPr>
                      <m:t>∂c</m:t>
                    </m:r>
                    <m:d>
                      <m:dPr>
                        <m:ctrlPr>
                          <w:rPr>
                            <w:rFonts w:ascii="Cambria Math" w:hAnsi="Cambria Math"/>
                          </w:rPr>
                        </m:ctrlPr>
                      </m:dPr>
                      <m:e>
                        <m:r>
                          <w:rPr>
                            <w:rFonts w:ascii="Cambria Math" w:hAnsi="Cambria Math"/>
                          </w:rPr>
                          <m:t>w</m:t>
                        </m:r>
                      </m:e>
                    </m:d>
                  </m:num>
                  <m:den>
                    <m:r>
                      <w:rPr>
                        <w:rFonts w:ascii="Cambria Math" w:hAnsi="Cambria Math"/>
                      </w:rPr>
                      <m:t>∂w</m:t>
                    </m:r>
                  </m:den>
                </m:f>
              </m:oMath>
            </m:oMathPara>
          </w:p>
        </w:tc>
        <w:tc>
          <w:tcPr>
            <w:tcW w:w="254" w:type="pct"/>
            <w:vAlign w:val="center"/>
          </w:tcPr>
          <w:p w14:paraId="73C7FBAD" w14:textId="025722FC" w:rsidR="002122FA" w:rsidRPr="00CC6CA3" w:rsidRDefault="002122FA" w:rsidP="00F632C0">
            <w:pPr>
              <w:pStyle w:val="Body"/>
            </w:pPr>
            <w:bookmarkStart w:id="284" w:name="_Ref21249700"/>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4</w:t>
            </w:r>
            <w:r w:rsidR="00D62691" w:rsidRPr="00CC6CA3">
              <w:rPr>
                <w:noProof/>
              </w:rPr>
              <w:fldChar w:fldCharType="end"/>
            </w:r>
            <w:r w:rsidRPr="00CC6CA3">
              <w:t>)</w:t>
            </w:r>
            <w:bookmarkEnd w:id="284"/>
          </w:p>
        </w:tc>
      </w:tr>
    </w:tbl>
    <w:p w14:paraId="0C78414E" w14:textId="0A721CEE" w:rsidR="002122FA" w:rsidRPr="00CC6CA3" w:rsidRDefault="002122FA" w:rsidP="00055EE2">
      <w:r w:rsidRPr="00CC6CA3">
        <w:t xml:space="preserve">where </w:t>
      </w:r>
      <m:oMath>
        <m:r>
          <w:rPr>
            <w:rFonts w:ascii="Cambria Math" w:hAnsi="Cambria Math"/>
          </w:rPr>
          <m:t>c</m:t>
        </m:r>
        <m:d>
          <m:dPr>
            <m:ctrlPr>
              <w:rPr>
                <w:rFonts w:ascii="Cambria Math" w:hAnsi="Cambria Math"/>
              </w:rPr>
            </m:ctrlPr>
          </m:dPr>
          <m:e>
            <m:r>
              <w:rPr>
                <w:rFonts w:ascii="Cambria Math" w:hAnsi="Cambria Math"/>
              </w:rPr>
              <m:t>w</m:t>
            </m:r>
          </m:e>
        </m:d>
      </m:oMath>
      <w:r w:rsidRPr="00CC6CA3">
        <w:t xml:space="preserve"> is the cost </w:t>
      </w:r>
      <w:proofErr w:type="gramStart"/>
      <w:r w:rsidRPr="00CC6CA3">
        <w:t>function.</w:t>
      </w:r>
      <w:proofErr w:type="gramEnd"/>
      <w:r w:rsidRPr="00CC6CA3">
        <w:t xml:space="preserve"> </w:t>
      </w:r>
      <m:oMath>
        <m:r>
          <w:rPr>
            <w:rFonts w:ascii="Cambria Math" w:hAnsi="Cambria Math"/>
          </w:rPr>
          <m:t>I</m:t>
        </m:r>
      </m:oMath>
      <w:r w:rsidRPr="00CC6CA3">
        <w:t xml:space="preserve"> is an identity matrix. </w:t>
      </w:r>
      <m:oMath>
        <m:r>
          <w:rPr>
            <w:rFonts w:ascii="Cambria Math" w:hAnsi="Cambria Math"/>
          </w:rPr>
          <m:t>λ</m:t>
        </m:r>
      </m:oMath>
      <w:r w:rsidRPr="00CC6CA3">
        <w:t xml:space="preserve"> is related to optimisation methods, with its initial value set to 1. </w:t>
      </w:r>
      <w:r w:rsidRPr="00CC6CA3">
        <w:fldChar w:fldCharType="begin"/>
      </w:r>
      <w:r w:rsidR="007D1BCC" w:rsidRPr="00CC6CA3">
        <w:instrText xml:space="preserve"> ADDIN ZOTERO_ITEM CSL_CITATION {"citationID":"arim8h8j63","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Pr="00CC6CA3">
        <w:fldChar w:fldCharType="separate"/>
      </w:r>
      <w:r w:rsidR="007D1BCC" w:rsidRPr="00CC6CA3">
        <w:rPr>
          <w:rFonts w:cs="Times New Roman"/>
        </w:rPr>
        <w:t>[105]</w:t>
      </w:r>
      <w:r w:rsidRPr="00CC6CA3">
        <w:fldChar w:fldCharType="end"/>
      </w:r>
      <w:r w:rsidRPr="00CC6CA3">
        <w:t xml:space="preserve"> </w:t>
      </w:r>
    </w:p>
    <w:p w14:paraId="7C6DFB0A" w14:textId="09564D95" w:rsidR="002122FA" w:rsidRPr="00CC6CA3" w:rsidRDefault="002122FA" w:rsidP="002122FA">
      <w:pPr>
        <w:pStyle w:val="Heading3"/>
      </w:pPr>
      <w:bookmarkStart w:id="285" w:name="_Toc81553279"/>
      <w:r w:rsidRPr="00CC6CA3">
        <w:rPr>
          <w:shd w:val="clear" w:color="auto" w:fill="FFFFFF"/>
        </w:rPr>
        <w:lastRenderedPageBreak/>
        <w:t>Principle component analysis</w:t>
      </w:r>
      <w:bookmarkEnd w:id="277"/>
      <w:bookmarkEnd w:id="285"/>
    </w:p>
    <w:p w14:paraId="2244A732" w14:textId="22B704E3" w:rsidR="002122FA" w:rsidRPr="00CC6CA3" w:rsidRDefault="002122FA" w:rsidP="00055EE2">
      <w:r w:rsidRPr="00CC6CA3">
        <w:t xml:space="preserve">Principal component analysis (PCA) is a popular unsupervised machine learning method for dimensionality reduction and feature extraction </w:t>
      </w:r>
      <w:r w:rsidRPr="00CC6CA3">
        <w:fldChar w:fldCharType="begin"/>
      </w:r>
      <w:r w:rsidR="007D1BCC" w:rsidRPr="00CC6CA3">
        <w:instrText xml:space="preserve"> ADDIN ZOTERO_ITEM CSL_CITATION {"citationID":"Yq3CXOV6","properties":{"formattedCitation":"[91], [92]","plainCitation":"[91], [92]","noteIndex":0},"citationItems":[{"id":"jMlmauCg/JHiLSytc","uris":["http://zotero.org/users/local/gaB6tXH5/items/HVY8DASH"],"uri":["http://zotero.org/users/local/gaB6tXH5/items/HVY8DASH"],"itemData":{"id":5629,"type":"paper-conference","title":"Sensitivity of PCA for traffic anomaly detection","container-title":"ACM SIGMETRICS Performance Evaluation Review","publisher":"ACM","page":"109–120","volume":"35","source":"Google Scholar","author":[{"family":"Ringberg","given":"Haakon"},{"family":"Soule","given":"Augustin"},{"family":"Rexford","given":"Jennifer"},{"family":"Diot","given":"Christophe"}],"issued":{"date-parts":[["2007"]]}}},{"id":"jMlmauCg/fmG9jplC","uris":["http://zotero.org/users/local/gaB6tXH5/items/RL7K22X7"],"uri":["http://zotero.org/users/local/gaB6tXH5/items/RL7K22X7"],"itemData":{"id":"6F0fGG7J/xLGdo2zE","type":"article-journal","title":"Anomaly detection in IP networks","container-title":"IEEE Transactions on signal processing","page":"2191–2204","volume":"51","issue":"8","source":"Google Scholar","author":[{"family":"Thottan","given":"Marina"},{"family":"Ji","given":"Chuanyi"}],"issued":{"date-parts":[["2003"]]}}}],"schema":"https://github.com/citation-style-language/schema/raw/master/csl-citation.json"} </w:instrText>
      </w:r>
      <w:r w:rsidRPr="00CC6CA3">
        <w:fldChar w:fldCharType="separate"/>
      </w:r>
      <w:r w:rsidR="007D1BCC" w:rsidRPr="00CC6CA3">
        <w:rPr>
          <w:rFonts w:cs="Times New Roman"/>
        </w:rPr>
        <w:t>[91], [92]</w:t>
      </w:r>
      <w:r w:rsidRPr="00CC6CA3">
        <w:fldChar w:fldCharType="end"/>
      </w:r>
      <w:r w:rsidRPr="00CC6CA3">
        <w:t>.</w:t>
      </w:r>
      <w:bookmarkStart w:id="286" w:name="OLE_LINK15"/>
      <w:bookmarkStart w:id="287" w:name="OLE_LINK14"/>
      <w:r w:rsidRPr="00CC6CA3">
        <w:t xml:space="preserve"> </w:t>
      </w:r>
      <w:bookmarkEnd w:id="286"/>
      <w:bookmarkEnd w:id="287"/>
      <w:r w:rsidR="005D2F6F" w:rsidRPr="00CC6CA3">
        <w:t xml:space="preserve">It conducts linear transformations to find the directions of the maximum variances in the original data and projects these onto a new subspace with fewer dimensions than the original </w:t>
      </w:r>
      <w:r w:rsidRPr="00CC6CA3">
        <w:fldChar w:fldCharType="begin"/>
      </w:r>
      <w:r w:rsidR="007D1BCC" w:rsidRPr="00CC6CA3">
        <w:instrText xml:space="preserve"> ADDIN ZOTERO_ITEM CSL_CITATION {"citationID":"atjds330rj","properties":{"formattedCitation":"[143]","plainCitation":"[143]","noteIndex":0},"citationItems":[{"id":246,"uris":["http://zotero.org/users/3051968/items/BS8GNI4T"],"uri":["http://zotero.org/users/3051968/items/BS8GNI4T"],"itemData":{"id":246,"type":"book","publisher":"Springer","source":"Google Scholar","title":"Principal component analysis","author":[{"family":"Jolliffe","given":"Ian"}],"issued":{"date-parts":[["2011"]]}}}],"schema":"https://github.com/citation-style-language/schema/raw/master/csl-citation.json"} </w:instrText>
      </w:r>
      <w:r w:rsidRPr="00CC6CA3">
        <w:fldChar w:fldCharType="separate"/>
      </w:r>
      <w:r w:rsidR="007D1BCC" w:rsidRPr="00CC6CA3">
        <w:rPr>
          <w:rFonts w:cs="Times New Roman"/>
        </w:rPr>
        <w:t>[143]</w:t>
      </w:r>
      <w:r w:rsidRPr="00CC6CA3">
        <w:fldChar w:fldCharType="end"/>
      </w:r>
      <w:r w:rsidRPr="00CC6CA3">
        <w:t xml:space="preserve">. The algorithm </w:t>
      </w:r>
      <w:r w:rsidRPr="00CC6CA3">
        <w:rPr>
          <w:rFonts w:hint="eastAsia"/>
        </w:rPr>
        <w:t>c</w:t>
      </w:r>
      <w:r w:rsidRPr="00CC6CA3">
        <w:t xml:space="preserve">an be expressed via Equation </w:t>
      </w:r>
      <w:r w:rsidRPr="00CC6CA3">
        <w:fldChar w:fldCharType="begin"/>
      </w:r>
      <w:r w:rsidRPr="00CC6CA3">
        <w:instrText xml:space="preserve"> REF _Ref63070954 \h  \* MERGEFORMAT </w:instrText>
      </w:r>
      <w:r w:rsidRPr="00CC6CA3">
        <w:fldChar w:fldCharType="separate"/>
      </w:r>
      <w:r w:rsidR="001906D9" w:rsidRPr="00CC6CA3">
        <w:t>(4</w:t>
      </w:r>
      <w:r w:rsidR="001906D9" w:rsidRPr="00CC6CA3">
        <w:noBreakHyphen/>
        <w:t>5)</w:t>
      </w:r>
      <w:r w:rsidRPr="00CC6CA3">
        <w:fldChar w:fldCharType="end"/>
      </w:r>
      <w:r w:rsidRPr="00CC6CA3">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9"/>
        <w:gridCol w:w="1536"/>
      </w:tblGrid>
      <w:tr w:rsidR="00CC6CA3" w:rsidRPr="00CC6CA3" w14:paraId="6A5C4AFC" w14:textId="77777777" w:rsidTr="00F632C0">
        <w:trPr>
          <w:jc w:val="center"/>
        </w:trPr>
        <w:tc>
          <w:tcPr>
            <w:tcW w:w="4124" w:type="pct"/>
            <w:vAlign w:val="center"/>
          </w:tcPr>
          <w:p w14:paraId="3ECEE6AE" w14:textId="77777777" w:rsidR="002122FA" w:rsidRPr="00CC6CA3" w:rsidRDefault="002122FA" w:rsidP="00F632C0">
            <w:pPr>
              <w:pStyle w:val="Body"/>
            </w:pPr>
            <m:oMathPara>
              <m:oMath>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s</m:t>
                    </m:r>
                  </m:e>
                  <m:sub>
                    <m:r>
                      <m:rPr>
                        <m:sty m:val="p"/>
                      </m:rPr>
                      <w:rPr>
                        <w:rFonts w:ascii="Cambria Math" w:hAnsi="Cambria Math"/>
                      </w:rPr>
                      <m:t>1</m:t>
                    </m:r>
                  </m:sub>
                </m:sSub>
                <m:sSubSup>
                  <m:sSubSupPr>
                    <m:ctrlPr>
                      <w:rPr>
                        <w:rFonts w:ascii="Cambria Math" w:hAnsi="Cambria Math"/>
                      </w:rPr>
                    </m:ctrlPr>
                  </m:sSubSupPr>
                  <m:e>
                    <m:r>
                      <w:rPr>
                        <w:rFonts w:ascii="Cambria Math" w:hAnsi="Cambria Math"/>
                      </w:rPr>
                      <m:t>p</m:t>
                    </m:r>
                  </m:e>
                  <m:sub>
                    <m:r>
                      <m:rPr>
                        <m:sty m:val="p"/>
                      </m:rPr>
                      <w:rPr>
                        <w:rFonts w:ascii="Cambria Math" w:hAnsi="Cambria Math"/>
                      </w:rPr>
                      <m:t>1</m:t>
                    </m:r>
                  </m:sub>
                  <m:sup>
                    <m:r>
                      <w:rPr>
                        <w:rFonts w:ascii="Cambria Math" w:hAnsi="Cambria Math"/>
                      </w:rPr>
                      <m:t>T</m:t>
                    </m:r>
                  </m:sup>
                </m:sSubSup>
                <m:r>
                  <m:rPr>
                    <m:sty m:val="p"/>
                  </m:rPr>
                  <w:rPr>
                    <w:rFonts w:ascii="Cambria Math" w:hAnsi="Cambria Math"/>
                  </w:rPr>
                  <m:t>+</m:t>
                </m:r>
                <m:sSub>
                  <m:sSubPr>
                    <m:ctrlPr>
                      <w:rPr>
                        <w:rFonts w:ascii="Cambria Math" w:hAnsi="Cambria Math"/>
                      </w:rPr>
                    </m:ctrlPr>
                  </m:sSubPr>
                  <m:e>
                    <m:r>
                      <w:rPr>
                        <w:rFonts w:ascii="Cambria Math" w:hAnsi="Cambria Math"/>
                      </w:rPr>
                      <m:t>s</m:t>
                    </m:r>
                  </m:e>
                  <m:sub>
                    <m:r>
                      <m:rPr>
                        <m:sty m:val="p"/>
                      </m:rPr>
                      <w:rPr>
                        <w:rFonts w:ascii="Cambria Math" w:hAnsi="Cambria Math"/>
                      </w:rPr>
                      <m:t>2</m:t>
                    </m:r>
                  </m:sub>
                </m:sSub>
                <m:sSubSup>
                  <m:sSubSupPr>
                    <m:ctrlPr>
                      <w:rPr>
                        <w:rFonts w:ascii="Cambria Math" w:hAnsi="Cambria Math"/>
                      </w:rPr>
                    </m:ctrlPr>
                  </m:sSubSupPr>
                  <m:e>
                    <m:r>
                      <w:rPr>
                        <w:rFonts w:ascii="Cambria Math" w:hAnsi="Cambria Math"/>
                      </w:rPr>
                      <m:t>p</m:t>
                    </m:r>
                  </m:e>
                  <m:sub>
                    <m:r>
                      <m:rPr>
                        <m:sty m:val="p"/>
                      </m:rPr>
                      <w:rPr>
                        <w:rFonts w:ascii="Cambria Math" w:hAnsi="Cambria Math"/>
                      </w:rPr>
                      <m:t>2</m:t>
                    </m:r>
                  </m:sub>
                  <m:sup>
                    <m:r>
                      <w:rPr>
                        <w:rFonts w:ascii="Cambria Math" w:hAnsi="Cambria Math"/>
                      </w:rPr>
                      <m:t>T</m:t>
                    </m:r>
                  </m:sup>
                </m:sSubSup>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p</m:t>
                    </m:r>
                  </m:e>
                  <m:sub>
                    <m:r>
                      <w:rPr>
                        <w:rFonts w:ascii="Cambria Math" w:hAnsi="Cambria Math"/>
                      </w:rPr>
                      <m:t>D</m:t>
                    </m:r>
                  </m:sub>
                  <m:sup>
                    <m:r>
                      <w:rPr>
                        <w:rFonts w:ascii="Cambria Math" w:hAnsi="Cambria Math"/>
                      </w:rPr>
                      <m:t>T</m:t>
                    </m:r>
                  </m:sup>
                </m:sSubSup>
                <m:r>
                  <m:rPr>
                    <m:sty m:val="p"/>
                  </m:rPr>
                  <w:rPr>
                    <w:rFonts w:ascii="Cambria Math" w:hAnsi="Cambria Math"/>
                  </w:rPr>
                  <m:t>+</m:t>
                </m:r>
                <m:r>
                  <w:rPr>
                    <w:rFonts w:ascii="Cambria Math" w:hAnsi="Cambria Math"/>
                  </w:rPr>
                  <m:t>ε</m:t>
                </m:r>
                <m:r>
                  <m:rPr>
                    <m:sty m:val="p"/>
                  </m:rPr>
                  <w:rPr>
                    <w:rFonts w:ascii="Cambria Math" w:hAnsi="Cambria Math"/>
                  </w:rPr>
                  <m:t>≈</m:t>
                </m:r>
                <m:r>
                  <w:rPr>
                    <w:rFonts w:ascii="Cambria Math" w:hAnsi="Cambria Math"/>
                  </w:rPr>
                  <m:t>S</m:t>
                </m:r>
                <m:sSup>
                  <m:sSupPr>
                    <m:ctrlPr>
                      <w:rPr>
                        <w:rFonts w:ascii="Cambria Math" w:hAnsi="Cambria Math"/>
                      </w:rPr>
                    </m:ctrlPr>
                  </m:sSupPr>
                  <m:e>
                    <m:r>
                      <w:rPr>
                        <w:rFonts w:ascii="Cambria Math" w:hAnsi="Cambria Math"/>
                      </w:rPr>
                      <m:t>P</m:t>
                    </m:r>
                  </m:e>
                  <m:sup>
                    <m:r>
                      <w:rPr>
                        <w:rFonts w:ascii="Cambria Math" w:hAnsi="Cambria Math"/>
                      </w:rPr>
                      <m:t>T</m:t>
                    </m:r>
                  </m:sup>
                </m:sSup>
              </m:oMath>
            </m:oMathPara>
          </w:p>
        </w:tc>
        <w:tc>
          <w:tcPr>
            <w:tcW w:w="876" w:type="pct"/>
            <w:vAlign w:val="center"/>
          </w:tcPr>
          <w:p w14:paraId="22747FEC" w14:textId="5A68D098" w:rsidR="002122FA" w:rsidRPr="00CC6CA3" w:rsidRDefault="002122FA" w:rsidP="00F632C0">
            <w:pPr>
              <w:pStyle w:val="Body"/>
              <w:jc w:val="right"/>
            </w:pPr>
            <w:bookmarkStart w:id="288" w:name="_Ref32951724"/>
            <w:bookmarkStart w:id="289" w:name="_Ref63070954"/>
            <w:r w:rsidRPr="00CC6CA3">
              <w:rPr>
                <w:szCs w:val="24"/>
              </w:rPr>
              <w:t>(</w:t>
            </w:r>
            <w:r w:rsidRPr="00CC6CA3">
              <w:rPr>
                <w:noProof/>
                <w:szCs w:val="24"/>
              </w:rPr>
              <w:fldChar w:fldCharType="begin"/>
            </w:r>
            <w:r w:rsidRPr="00CC6CA3">
              <w:rPr>
                <w:noProof/>
                <w:szCs w:val="24"/>
              </w:rPr>
              <w:instrText xml:space="preserve"> STYLEREF 1 \s </w:instrText>
            </w:r>
            <w:r w:rsidRPr="00CC6CA3">
              <w:rPr>
                <w:noProof/>
                <w:szCs w:val="24"/>
              </w:rPr>
              <w:fldChar w:fldCharType="separate"/>
            </w:r>
            <w:r w:rsidR="001906D9" w:rsidRPr="00CC6CA3">
              <w:rPr>
                <w:noProof/>
                <w:szCs w:val="24"/>
              </w:rPr>
              <w:t>4</w:t>
            </w:r>
            <w:r w:rsidRPr="00CC6CA3">
              <w:rPr>
                <w:noProof/>
                <w:szCs w:val="24"/>
              </w:rPr>
              <w:fldChar w:fldCharType="end"/>
            </w:r>
            <w:r w:rsidRPr="00CC6CA3">
              <w:rPr>
                <w:szCs w:val="24"/>
              </w:rPr>
              <w:noBreakHyphen/>
            </w:r>
            <w:r w:rsidRPr="00CC6CA3">
              <w:rPr>
                <w:noProof/>
                <w:szCs w:val="24"/>
              </w:rPr>
              <w:fldChar w:fldCharType="begin"/>
            </w:r>
            <w:r w:rsidRPr="00CC6CA3">
              <w:rPr>
                <w:noProof/>
                <w:szCs w:val="24"/>
              </w:rPr>
              <w:instrText xml:space="preserve"> SEQ Equation \* ARABIC \s 1 </w:instrText>
            </w:r>
            <w:r w:rsidRPr="00CC6CA3">
              <w:rPr>
                <w:noProof/>
                <w:szCs w:val="24"/>
              </w:rPr>
              <w:fldChar w:fldCharType="separate"/>
            </w:r>
            <w:r w:rsidR="001906D9" w:rsidRPr="00CC6CA3">
              <w:rPr>
                <w:noProof/>
                <w:szCs w:val="24"/>
              </w:rPr>
              <w:t>5</w:t>
            </w:r>
            <w:r w:rsidRPr="00CC6CA3">
              <w:rPr>
                <w:noProof/>
                <w:szCs w:val="24"/>
              </w:rPr>
              <w:fldChar w:fldCharType="end"/>
            </w:r>
            <w:bookmarkEnd w:id="288"/>
            <w:r w:rsidRPr="00CC6CA3">
              <w:rPr>
                <w:noProof/>
                <w:szCs w:val="24"/>
              </w:rPr>
              <w:t>)</w:t>
            </w:r>
            <w:bookmarkEnd w:id="289"/>
          </w:p>
        </w:tc>
      </w:tr>
    </w:tbl>
    <w:p w14:paraId="71B5A5F9" w14:textId="562848F9" w:rsidR="002122FA" w:rsidRPr="00CC6CA3" w:rsidRDefault="002122FA" w:rsidP="00FE17DF">
      <w:r w:rsidRPr="00CC6CA3">
        <w:t xml:space="preserve">where </w:t>
      </w:r>
      <m:oMath>
        <m:r>
          <w:rPr>
            <w:rFonts w:ascii="Cambria Math" w:hAnsi="Cambria Math"/>
          </w:rPr>
          <m:t>P</m:t>
        </m:r>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D</m:t>
            </m:r>
          </m:sub>
        </m:sSub>
        <m:r>
          <m:rPr>
            <m:sty m:val="p"/>
          </m:rPr>
          <w:rPr>
            <w:rFonts w:ascii="Cambria Math" w:hAnsi="Cambria Math"/>
          </w:rPr>
          <m:t>]</m:t>
        </m:r>
      </m:oMath>
      <w:r w:rsidRPr="00CC6CA3">
        <w:t xml:space="preserve"> represents the principal vector matrix, </w:t>
      </w:r>
      <m:oMath>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s</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r>
          <m:rPr>
            <m:sty m:val="p"/>
          </m:rPr>
          <w:rPr>
            <w:rFonts w:ascii="Cambria Math" w:hAnsi="Cambria Math"/>
          </w:rPr>
          <m:t xml:space="preserve">] </m:t>
        </m:r>
      </m:oMath>
      <w:r w:rsidRPr="00CC6CA3">
        <w:t xml:space="preserve">is the score matrix of the principal components </w:t>
      </w:r>
      <m:oMath>
        <m:r>
          <w:rPr>
            <w:rFonts w:ascii="Cambria Math" w:hAnsi="Cambria Math"/>
          </w:rPr>
          <m:t>P</m:t>
        </m:r>
      </m:oMath>
      <w:r w:rsidRPr="00CC6CA3">
        <w:t xml:space="preserve">, and </w:t>
      </w:r>
      <m:oMath>
        <m:r>
          <w:rPr>
            <w:rFonts w:ascii="Cambria Math" w:hAnsi="Cambria Math"/>
          </w:rPr>
          <m:t>ε</m:t>
        </m:r>
      </m:oMath>
      <w:r w:rsidRPr="00CC6CA3">
        <w:t xml:space="preserve"> denotes </w:t>
      </w:r>
      <w:r w:rsidR="005D2F6F" w:rsidRPr="00CC6CA3">
        <w:t xml:space="preserve">the </w:t>
      </w:r>
      <w:r w:rsidRPr="00CC6CA3">
        <w:t>residual error.</w:t>
      </w:r>
    </w:p>
    <w:p w14:paraId="60AD2808" w14:textId="49F66C7A" w:rsidR="002122FA" w:rsidRPr="00CC6CA3" w:rsidRDefault="005D2F6F" w:rsidP="00055EE2">
      <w:r w:rsidRPr="00CC6CA3">
        <w:t xml:space="preserve">When implementing the PCA model, the number of selected principal components is linked via their contributions (variances) to the model. </w:t>
      </w:r>
      <w:r w:rsidRPr="00CC6CA3">
        <w:rPr>
          <w:rFonts w:hint="eastAsia"/>
        </w:rPr>
        <w:t>T</w:t>
      </w:r>
      <w:r w:rsidRPr="00CC6CA3">
        <w:t xml:space="preserve">he principal components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oMath>
      <w:r w:rsidRPr="00CC6CA3">
        <w:t xml:space="preserve"> to </w:t>
      </w:r>
      <m:oMath>
        <m:sSub>
          <m:sSubPr>
            <m:ctrlPr>
              <w:rPr>
                <w:rFonts w:ascii="Cambria Math" w:hAnsi="Cambria Math"/>
              </w:rPr>
            </m:ctrlPr>
          </m:sSubPr>
          <m:e>
            <m:r>
              <w:rPr>
                <w:rFonts w:ascii="Cambria Math" w:hAnsi="Cambria Math"/>
              </w:rPr>
              <m:t>p</m:t>
            </m:r>
          </m:e>
          <m:sub>
            <m:r>
              <w:rPr>
                <w:rFonts w:ascii="Cambria Math" w:hAnsi="Cambria Math"/>
              </w:rPr>
              <m:t>D</m:t>
            </m:r>
          </m:sub>
        </m:sSub>
      </m:oMath>
      <w:r w:rsidRPr="00CC6CA3">
        <w:t xml:space="preserve"> are in descending order according to their contributions. The first principal component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oMath>
      <w:r w:rsidRPr="00CC6CA3">
        <w:t xml:space="preserve"> makes the greatest contribution to representing the input data and corresponds to the projection having the largest variance. The second component </w:t>
      </w:r>
      <m:oMath>
        <m:sSub>
          <m:sSubPr>
            <m:ctrlPr>
              <w:rPr>
                <w:rFonts w:ascii="Cambria Math" w:hAnsi="Cambria Math"/>
              </w:rPr>
            </m:ctrlPr>
          </m:sSubPr>
          <m:e>
            <m:r>
              <w:rPr>
                <w:rFonts w:ascii="Cambria Math" w:hAnsi="Cambria Math"/>
              </w:rPr>
              <m:t>p</m:t>
            </m:r>
          </m:e>
          <m:sub>
            <m:r>
              <m:rPr>
                <m:sty m:val="p"/>
              </m:rPr>
              <w:rPr>
                <w:rFonts w:ascii="Cambria Math" w:hAnsi="Cambria Math"/>
              </w:rPr>
              <m:t>2</m:t>
            </m:r>
          </m:sub>
        </m:sSub>
      </m:oMath>
      <w:r w:rsidRPr="00CC6CA3">
        <w:t xml:space="preserve"> is </w:t>
      </w:r>
      <w:bookmarkStart w:id="290" w:name="OLE_LINK8"/>
      <w:r w:rsidRPr="00CC6CA3">
        <w:t xml:space="preserve">orthogonal </w:t>
      </w:r>
      <w:bookmarkEnd w:id="290"/>
      <w:r w:rsidRPr="00CC6CA3">
        <w:t xml:space="preserve">to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oMath>
      <w:r w:rsidRPr="00CC6CA3">
        <w:t xml:space="preserve"> and again maximises the variance of the data points projected on it. The last component </w:t>
      </w:r>
      <m:oMath>
        <m:sSub>
          <m:sSubPr>
            <m:ctrlPr>
              <w:rPr>
                <w:rFonts w:ascii="Cambria Math" w:hAnsi="Cambria Math"/>
              </w:rPr>
            </m:ctrlPr>
          </m:sSubPr>
          <m:e>
            <m:r>
              <w:rPr>
                <w:rFonts w:ascii="Cambria Math" w:hAnsi="Cambria Math"/>
              </w:rPr>
              <m:t>p</m:t>
            </m:r>
          </m:e>
          <m:sub>
            <m:r>
              <m:rPr>
                <m:sty m:val="p"/>
              </m:rPr>
              <w:rPr>
                <w:rFonts w:ascii="Cambria Math" w:hAnsi="Cambria Math"/>
              </w:rPr>
              <m:t>D</m:t>
            </m:r>
          </m:sub>
        </m:sSub>
      </m:oMath>
      <w:r w:rsidRPr="00CC6CA3">
        <w:t xml:space="preserve"> makes the least contribution. The contribution of the </w:t>
      </w:r>
      <m:oMath>
        <m:r>
          <w:rPr>
            <w:rFonts w:ascii="Cambria Math" w:hAnsi="Cambria Math"/>
          </w:rPr>
          <m:t>k</m:t>
        </m:r>
      </m:oMath>
      <w:r w:rsidRPr="00CC6CA3">
        <w:t>th principal component to the model can be found using</w:t>
      </w:r>
      <w:r w:rsidR="002122FA" w:rsidRPr="00CC6CA3">
        <w:t xml:space="preserve"> Equation </w:t>
      </w:r>
      <w:r w:rsidR="002122FA" w:rsidRPr="00CC6CA3">
        <w:fldChar w:fldCharType="begin"/>
      </w:r>
      <w:r w:rsidR="002122FA" w:rsidRPr="00CC6CA3">
        <w:instrText xml:space="preserve"> REF _Ref63070991 \h </w:instrText>
      </w:r>
      <w:r w:rsidR="002122FA" w:rsidRPr="00CC6CA3">
        <w:fldChar w:fldCharType="separate"/>
      </w:r>
      <w:r w:rsidR="001906D9" w:rsidRPr="00CC6CA3">
        <w:rPr>
          <w:noProof/>
          <w:szCs w:val="24"/>
        </w:rPr>
        <w:t>(4</w:t>
      </w:r>
      <w:r w:rsidR="001906D9" w:rsidRPr="00CC6CA3">
        <w:rPr>
          <w:szCs w:val="24"/>
        </w:rPr>
        <w:noBreakHyphen/>
      </w:r>
      <w:r w:rsidR="001906D9" w:rsidRPr="00CC6CA3">
        <w:rPr>
          <w:noProof/>
          <w:szCs w:val="24"/>
        </w:rPr>
        <w:t>6)</w:t>
      </w:r>
      <w:r w:rsidR="002122FA" w:rsidRPr="00CC6CA3">
        <w:fldChar w:fldCharType="end"/>
      </w:r>
      <w:r w:rsidR="002122FA"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3"/>
        <w:gridCol w:w="1532"/>
      </w:tblGrid>
      <w:tr w:rsidR="00CC6CA3" w:rsidRPr="00CC6CA3" w14:paraId="2579D073" w14:textId="77777777" w:rsidTr="00F632C0">
        <w:tc>
          <w:tcPr>
            <w:tcW w:w="4126" w:type="pct"/>
          </w:tcPr>
          <w:p w14:paraId="6DE5AE5E" w14:textId="77777777" w:rsidR="002122FA" w:rsidRPr="00CC6CA3" w:rsidRDefault="00D62691" w:rsidP="00F632C0">
            <w:pPr>
              <w:pStyle w:val="Body"/>
            </w:pPr>
            <m:oMathPara>
              <m:oMath>
                <m:sSub>
                  <m:sSubPr>
                    <m:ctrlPr>
                      <w:rPr>
                        <w:rFonts w:ascii="Cambria Math" w:hAnsi="Cambria Math"/>
                      </w:rPr>
                    </m:ctrlPr>
                  </m:sSubPr>
                  <m:e>
                    <m:r>
                      <w:rPr>
                        <w:rFonts w:ascii="Cambria Math" w:hAnsi="Cambria Math"/>
                      </w:rPr>
                      <m:t>C</m:t>
                    </m:r>
                  </m:e>
                  <m:sub>
                    <m:r>
                      <w:rPr>
                        <w:rFonts w:ascii="Cambria Math" w:hAnsi="Cambria Math"/>
                      </w:rPr>
                      <m:t>k</m:t>
                    </m:r>
                  </m:sub>
                </m:sSub>
                <m:r>
                  <w:rPr>
                    <w:rFonts w:ascii="Cambria Math" w:hAnsi="Cambria Math"/>
                  </w:rPr>
                  <m:t>=</m:t>
                </m:r>
                <m:f>
                  <m:fPr>
                    <m:ctrlPr>
                      <w:rPr>
                        <w:rFonts w:ascii="Cambria Math" w:hAnsi="Cambria Math"/>
                        <w:i/>
                      </w:rPr>
                    </m:ctrlPr>
                  </m:fPr>
                  <m:num>
                    <m:sSub>
                      <m:sSubPr>
                        <m:ctrlPr>
                          <w:rPr>
                            <w:rFonts w:ascii="Cambria Math" w:hAnsi="Cambria Math"/>
                          </w:rPr>
                        </m:ctrlPr>
                      </m:sSubPr>
                      <m:e>
                        <m:r>
                          <w:rPr>
                            <w:rFonts w:ascii="Cambria Math" w:hAnsi="Cambria Math"/>
                          </w:rPr>
                          <m:t>v</m:t>
                        </m:r>
                      </m:e>
                      <m:sub>
                        <m:r>
                          <w:rPr>
                            <w:rFonts w:ascii="Cambria Math" w:hAnsi="Cambria Math"/>
                          </w:rPr>
                          <m:t>k</m:t>
                        </m:r>
                      </m:sub>
                    </m:sSub>
                  </m:num>
                  <m:den>
                    <m:nary>
                      <m:naryPr>
                        <m:chr m:val="∑"/>
                        <m:limLoc m:val="undOvr"/>
                        <m:ctrlPr>
                          <w:rPr>
                            <w:rFonts w:ascii="Cambria Math" w:hAnsi="Cambria Math"/>
                            <w:i/>
                          </w:rPr>
                        </m:ctrlPr>
                      </m:naryPr>
                      <m:sub>
                        <m:r>
                          <w:rPr>
                            <w:rFonts w:ascii="Cambria Math" w:hAnsi="Cambria Math"/>
                          </w:rPr>
                          <m:t>i</m:t>
                        </m:r>
                      </m:sub>
                      <m:sup>
                        <m:r>
                          <w:rPr>
                            <w:rFonts w:ascii="Cambria Math" w:hAnsi="Cambria Math"/>
                          </w:rPr>
                          <m:t>N</m:t>
                        </m:r>
                      </m:sup>
                      <m:e>
                        <m:sSub>
                          <m:sSubPr>
                            <m:ctrlPr>
                              <w:rPr>
                                <w:rFonts w:ascii="Cambria Math" w:hAnsi="Cambria Math"/>
                                <w:i/>
                              </w:rPr>
                            </m:ctrlPr>
                          </m:sSubPr>
                          <m:e>
                            <m:r>
                              <w:rPr>
                                <w:rFonts w:ascii="Cambria Math" w:hAnsi="Cambria Math"/>
                              </w:rPr>
                              <m:t>v</m:t>
                            </m:r>
                          </m:e>
                          <m:sub>
                            <m:r>
                              <w:rPr>
                                <w:rFonts w:ascii="Cambria Math" w:hAnsi="Cambria Math"/>
                              </w:rPr>
                              <m:t>i</m:t>
                            </m:r>
                          </m:sub>
                        </m:sSub>
                      </m:e>
                    </m:nary>
                  </m:den>
                </m:f>
                <m:r>
                  <w:rPr>
                    <w:rFonts w:ascii="Cambria Math" w:hAnsi="Cambria Math"/>
                  </w:rPr>
                  <m:t>×100%</m:t>
                </m:r>
              </m:oMath>
            </m:oMathPara>
          </w:p>
        </w:tc>
        <w:tc>
          <w:tcPr>
            <w:tcW w:w="874" w:type="pct"/>
          </w:tcPr>
          <w:p w14:paraId="1F5F48D5" w14:textId="176D0B5C" w:rsidR="002122FA" w:rsidRPr="00CC6CA3" w:rsidRDefault="002122FA" w:rsidP="00F632C0">
            <w:pPr>
              <w:pStyle w:val="Body"/>
              <w:jc w:val="right"/>
            </w:pPr>
            <w:bookmarkStart w:id="291" w:name="_Ref32951810"/>
            <w:bookmarkStart w:id="292" w:name="_Ref63070991"/>
            <w:r w:rsidRPr="00CC6CA3">
              <w:rPr>
                <w:noProof/>
                <w:szCs w:val="24"/>
              </w:rPr>
              <w:t>(</w:t>
            </w:r>
            <w:r w:rsidRPr="00CC6CA3">
              <w:rPr>
                <w:noProof/>
                <w:szCs w:val="24"/>
              </w:rPr>
              <w:fldChar w:fldCharType="begin"/>
            </w:r>
            <w:r w:rsidRPr="00CC6CA3">
              <w:rPr>
                <w:noProof/>
                <w:szCs w:val="24"/>
              </w:rPr>
              <w:instrText xml:space="preserve"> STYLEREF 1 \s </w:instrText>
            </w:r>
            <w:r w:rsidRPr="00CC6CA3">
              <w:rPr>
                <w:noProof/>
                <w:szCs w:val="24"/>
              </w:rPr>
              <w:fldChar w:fldCharType="separate"/>
            </w:r>
            <w:r w:rsidR="001906D9" w:rsidRPr="00CC6CA3">
              <w:rPr>
                <w:noProof/>
                <w:szCs w:val="24"/>
              </w:rPr>
              <w:t>4</w:t>
            </w:r>
            <w:r w:rsidRPr="00CC6CA3">
              <w:rPr>
                <w:noProof/>
                <w:szCs w:val="24"/>
              </w:rPr>
              <w:fldChar w:fldCharType="end"/>
            </w:r>
            <w:r w:rsidRPr="00CC6CA3">
              <w:rPr>
                <w:szCs w:val="24"/>
              </w:rPr>
              <w:noBreakHyphen/>
            </w:r>
            <w:r w:rsidRPr="00CC6CA3">
              <w:rPr>
                <w:noProof/>
                <w:szCs w:val="24"/>
              </w:rPr>
              <w:fldChar w:fldCharType="begin"/>
            </w:r>
            <w:r w:rsidRPr="00CC6CA3">
              <w:rPr>
                <w:noProof/>
                <w:szCs w:val="24"/>
              </w:rPr>
              <w:instrText xml:space="preserve"> SEQ Equation \* ARABIC \s 1 </w:instrText>
            </w:r>
            <w:r w:rsidRPr="00CC6CA3">
              <w:rPr>
                <w:noProof/>
                <w:szCs w:val="24"/>
              </w:rPr>
              <w:fldChar w:fldCharType="separate"/>
            </w:r>
            <w:r w:rsidR="001906D9" w:rsidRPr="00CC6CA3">
              <w:rPr>
                <w:noProof/>
                <w:szCs w:val="24"/>
              </w:rPr>
              <w:t>6</w:t>
            </w:r>
            <w:r w:rsidRPr="00CC6CA3">
              <w:rPr>
                <w:noProof/>
                <w:szCs w:val="24"/>
              </w:rPr>
              <w:fldChar w:fldCharType="end"/>
            </w:r>
            <w:bookmarkEnd w:id="291"/>
            <w:r w:rsidRPr="00CC6CA3">
              <w:rPr>
                <w:noProof/>
                <w:szCs w:val="24"/>
              </w:rPr>
              <w:t>)</w:t>
            </w:r>
            <w:bookmarkEnd w:id="292"/>
          </w:p>
        </w:tc>
      </w:tr>
    </w:tbl>
    <w:p w14:paraId="2BEFEE89" w14:textId="77777777" w:rsidR="005D2F6F" w:rsidRPr="00CC6CA3" w:rsidRDefault="005D2F6F" w:rsidP="005D2F6F">
      <w:pPr>
        <w:pStyle w:val="Body"/>
      </w:pPr>
      <w:r w:rsidRPr="00CC6CA3">
        <w:t xml:space="preserve">where </w:t>
      </w:r>
      <m:oMath>
        <m:sSub>
          <m:sSubPr>
            <m:ctrlPr>
              <w:rPr>
                <w:rFonts w:ascii="Cambria Math" w:hAnsi="Cambria Math"/>
              </w:rPr>
            </m:ctrlPr>
          </m:sSubPr>
          <m:e>
            <m:r>
              <w:rPr>
                <w:rFonts w:ascii="Cambria Math" w:hAnsi="Cambria Math"/>
              </w:rPr>
              <m:t>v</m:t>
            </m:r>
          </m:e>
          <m:sub>
            <m:r>
              <w:rPr>
                <w:rFonts w:ascii="Cambria Math" w:hAnsi="Cambria Math"/>
              </w:rPr>
              <m:t>k</m:t>
            </m:r>
          </m:sub>
        </m:sSub>
        <m:r>
          <m:rPr>
            <m:sty m:val="p"/>
          </m:rPr>
          <w:rPr>
            <w:rFonts w:ascii="Cambria Math" w:hAnsi="Cambria Math"/>
          </w:rPr>
          <m:t xml:space="preserve"> </m:t>
        </m:r>
      </m:oMath>
      <w:r w:rsidRPr="00CC6CA3">
        <w:t xml:space="preserve">is the variance of </w:t>
      </w:r>
      <m:oMath>
        <m:sSup>
          <m:sSupPr>
            <m:ctrlPr>
              <w:rPr>
                <w:rFonts w:ascii="Cambria Math" w:hAnsi="Cambria Math"/>
              </w:rPr>
            </m:ctrlPr>
          </m:sSupPr>
          <m:e>
            <m:r>
              <w:rPr>
                <w:rFonts w:ascii="Cambria Math" w:hAnsi="Cambria Math" w:hint="eastAsia"/>
              </w:rPr>
              <m:t>k</m:t>
            </m:r>
            <m:ctrlPr>
              <w:rPr>
                <w:rFonts w:ascii="Cambria Math" w:hAnsi="Cambria Math" w:hint="eastAsia"/>
              </w:rPr>
            </m:ctrlPr>
          </m:e>
          <m:sup>
            <m:r>
              <w:rPr>
                <w:rFonts w:ascii="Cambria Math" w:hAnsi="Cambria Math"/>
              </w:rPr>
              <m:t>th</m:t>
            </m:r>
          </m:sup>
        </m:sSup>
      </m:oMath>
      <w:r w:rsidRPr="00CC6CA3">
        <w:t xml:space="preserve"> principal component, and </w:t>
      </w:r>
      <m:oMath>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v</m:t>
                </m:r>
              </m:e>
              <m:sub>
                <m:r>
                  <w:rPr>
                    <w:rFonts w:ascii="Cambria Math" w:hAnsi="Cambria Math"/>
                  </w:rPr>
                  <m:t>i</m:t>
                </m:r>
              </m:sub>
            </m:sSub>
          </m:e>
        </m:nary>
      </m:oMath>
      <w:r w:rsidRPr="00CC6CA3">
        <w:t xml:space="preserve"> is the total of the </w:t>
      </w:r>
      <w:proofErr w:type="gramStart"/>
      <w:r w:rsidRPr="00CC6CA3">
        <w:t>variances.</w:t>
      </w:r>
      <w:proofErr w:type="gramEnd"/>
    </w:p>
    <w:p w14:paraId="71DB4FD3" w14:textId="65543531" w:rsidR="002122FA" w:rsidRPr="00CC6CA3" w:rsidRDefault="005D2F6F" w:rsidP="005D2F6F">
      <w:pPr>
        <w:pStyle w:val="Body"/>
      </w:pPr>
      <w:r w:rsidRPr="00CC6CA3">
        <w:t xml:space="preserve">The principal vectors matrix </w:t>
      </w:r>
      <m:oMath>
        <m:r>
          <w:rPr>
            <w:rFonts w:ascii="Cambria Math" w:hAnsi="Cambria Math"/>
          </w:rPr>
          <m:t>P</m:t>
        </m:r>
      </m:oMath>
      <w:r w:rsidRPr="00CC6CA3">
        <w:t xml:space="preserve"> and score matrix </w:t>
      </w:r>
      <m:oMath>
        <m:r>
          <w:rPr>
            <w:rFonts w:ascii="Cambria Math" w:hAnsi="Cambria Math"/>
          </w:rPr>
          <m:t>S</m:t>
        </m:r>
      </m:oMath>
      <w:r w:rsidRPr="00CC6CA3">
        <w:t xml:space="preserve"> can also be written as in </w:t>
      </w:r>
      <w:r w:rsidR="002122FA" w:rsidRPr="00CC6CA3">
        <w:t xml:space="preserve">Equation </w:t>
      </w:r>
      <w:r w:rsidR="002122FA" w:rsidRPr="00CC6CA3">
        <w:fldChar w:fldCharType="begin"/>
      </w:r>
      <w:r w:rsidR="002122FA" w:rsidRPr="00CC6CA3">
        <w:instrText xml:space="preserve"> REF _Ref63071007 \h </w:instrText>
      </w:r>
      <w:r w:rsidR="002122FA" w:rsidRPr="00CC6CA3">
        <w:fldChar w:fldCharType="separate"/>
      </w:r>
      <w:r w:rsidR="001906D9" w:rsidRPr="00CC6CA3">
        <w:rPr>
          <w:noProof/>
          <w:szCs w:val="24"/>
        </w:rPr>
        <w:t>(4</w:t>
      </w:r>
      <w:r w:rsidR="001906D9" w:rsidRPr="00CC6CA3">
        <w:rPr>
          <w:szCs w:val="24"/>
        </w:rPr>
        <w:noBreakHyphen/>
      </w:r>
      <w:r w:rsidR="001906D9" w:rsidRPr="00CC6CA3">
        <w:rPr>
          <w:noProof/>
          <w:szCs w:val="24"/>
        </w:rPr>
        <w:t>7)</w:t>
      </w:r>
      <w:r w:rsidR="002122FA" w:rsidRPr="00CC6CA3">
        <w:fldChar w:fldCharType="end"/>
      </w:r>
      <w:r w:rsidR="002122FA" w:rsidRPr="00CC6CA3">
        <w:t xml:space="preserve"> </w:t>
      </w:r>
      <w:r w:rsidR="002122FA" w:rsidRPr="00CC6CA3">
        <w:rPr>
          <w:lang w:eastAsia="zh-CN"/>
        </w:rPr>
        <w:t xml:space="preserve">and </w:t>
      </w:r>
      <w:r w:rsidR="002122FA" w:rsidRPr="00CC6CA3">
        <w:rPr>
          <w:lang w:eastAsia="zh-CN"/>
        </w:rPr>
        <w:fldChar w:fldCharType="begin"/>
      </w:r>
      <w:r w:rsidR="002122FA" w:rsidRPr="00CC6CA3">
        <w:rPr>
          <w:lang w:eastAsia="zh-CN"/>
        </w:rPr>
        <w:instrText xml:space="preserve"> REF _Ref63071016 \h </w:instrText>
      </w:r>
      <w:r w:rsidR="002122FA" w:rsidRPr="00CC6CA3">
        <w:rPr>
          <w:lang w:eastAsia="zh-CN"/>
        </w:rPr>
      </w:r>
      <w:r w:rsidR="002122FA" w:rsidRPr="00CC6CA3">
        <w:rPr>
          <w:lang w:eastAsia="zh-CN"/>
        </w:rPr>
        <w:fldChar w:fldCharType="separate"/>
      </w:r>
      <w:r w:rsidR="001906D9" w:rsidRPr="00CC6CA3">
        <w:rPr>
          <w:noProof/>
          <w:szCs w:val="24"/>
        </w:rPr>
        <w:t>(4</w:t>
      </w:r>
      <w:r w:rsidR="001906D9" w:rsidRPr="00CC6CA3">
        <w:rPr>
          <w:szCs w:val="24"/>
        </w:rPr>
        <w:noBreakHyphen/>
      </w:r>
      <w:r w:rsidR="001906D9" w:rsidRPr="00CC6CA3">
        <w:rPr>
          <w:noProof/>
          <w:szCs w:val="24"/>
        </w:rPr>
        <w:t>8)</w:t>
      </w:r>
      <w:r w:rsidR="002122FA" w:rsidRPr="00CC6CA3">
        <w:rPr>
          <w:lang w:eastAsia="zh-CN"/>
        </w:rPr>
        <w:fldChar w:fldCharType="end"/>
      </w:r>
      <w:r w:rsidR="002122FA" w:rsidRPr="00CC6CA3">
        <w:t>:</w:t>
      </w: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9"/>
        <w:gridCol w:w="1536"/>
      </w:tblGrid>
      <w:tr w:rsidR="00CC6CA3" w:rsidRPr="00CC6CA3" w14:paraId="741D55C6" w14:textId="77777777" w:rsidTr="00F632C0">
        <w:tc>
          <w:tcPr>
            <w:tcW w:w="4124" w:type="pct"/>
          </w:tcPr>
          <w:p w14:paraId="05924FD6" w14:textId="77777777" w:rsidR="002122FA" w:rsidRPr="00CC6CA3" w:rsidRDefault="002122FA" w:rsidP="00F632C0">
            <w:pPr>
              <w:pStyle w:val="Body"/>
            </w:pPr>
            <m:oMathPara>
              <m:oMath>
                <m:r>
                  <w:rPr>
                    <w:rFonts w:ascii="Cambria Math" w:hAnsi="Cambria Math"/>
                  </w:rPr>
                  <m:t>P</m:t>
                </m:r>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m:t>
                        </m:r>
                        <m:r>
                          <m:rPr>
                            <m:sty m:val="p"/>
                          </m:rPr>
                          <w:rPr>
                            <w:rFonts w:ascii="Cambria Math" w:hAnsi="Cambria Math"/>
                          </w:rPr>
                          <m:t>×</m:t>
                        </m:r>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r>
                          <m:rPr>
                            <m:sty m:val="p"/>
                          </m:rPr>
                          <w:rPr>
                            <w:rFonts w:ascii="Cambria Math" w:hAnsi="Cambria Math"/>
                          </w:rPr>
                          <m:t>×</m:t>
                        </m:r>
                        <m:d>
                          <m:dPr>
                            <m:ctrlPr>
                              <w:rPr>
                                <w:rFonts w:ascii="Cambria Math" w:hAnsi="Cambria Math"/>
                              </w:rPr>
                            </m:ctrlPr>
                          </m:dPr>
                          <m:e>
                            <m:r>
                              <w:rPr>
                                <w:rFonts w:ascii="Cambria Math" w:hAnsi="Cambria Math"/>
                              </w:rPr>
                              <m:t>D</m:t>
                            </m:r>
                            <m:r>
                              <m:rPr>
                                <m:sty m:val="p"/>
                              </m:rPr>
                              <w:rPr>
                                <w:rFonts w:ascii="Cambria Math" w:hAnsi="Cambria Math"/>
                              </w:rPr>
                              <m:t>-</m:t>
                            </m:r>
                            <m:r>
                              <w:rPr>
                                <w:rFonts w:ascii="Cambria Math" w:hAnsi="Cambria Math"/>
                              </w:rPr>
                              <m:t>l</m:t>
                            </m:r>
                          </m:e>
                        </m:d>
                      </m:sub>
                    </m:sSub>
                  </m:e>
                </m:d>
              </m:oMath>
            </m:oMathPara>
          </w:p>
        </w:tc>
        <w:tc>
          <w:tcPr>
            <w:tcW w:w="876" w:type="pct"/>
          </w:tcPr>
          <w:p w14:paraId="590D73B9" w14:textId="5797000C" w:rsidR="002122FA" w:rsidRPr="00CC6CA3" w:rsidRDefault="002122FA" w:rsidP="00F632C0">
            <w:pPr>
              <w:pStyle w:val="Body"/>
              <w:jc w:val="right"/>
            </w:pPr>
            <w:bookmarkStart w:id="293" w:name="_Ref32951893"/>
            <w:bookmarkStart w:id="294" w:name="_Ref63071007"/>
            <w:r w:rsidRPr="00CC6CA3">
              <w:rPr>
                <w:noProof/>
                <w:szCs w:val="24"/>
              </w:rPr>
              <w:t>(</w:t>
            </w:r>
            <w:r w:rsidRPr="00CC6CA3">
              <w:rPr>
                <w:noProof/>
                <w:szCs w:val="24"/>
              </w:rPr>
              <w:fldChar w:fldCharType="begin"/>
            </w:r>
            <w:r w:rsidRPr="00CC6CA3">
              <w:rPr>
                <w:noProof/>
                <w:szCs w:val="24"/>
              </w:rPr>
              <w:instrText xml:space="preserve"> STYLEREF 1 \s </w:instrText>
            </w:r>
            <w:r w:rsidRPr="00CC6CA3">
              <w:rPr>
                <w:noProof/>
                <w:szCs w:val="24"/>
              </w:rPr>
              <w:fldChar w:fldCharType="separate"/>
            </w:r>
            <w:r w:rsidR="001906D9" w:rsidRPr="00CC6CA3">
              <w:rPr>
                <w:noProof/>
                <w:szCs w:val="24"/>
              </w:rPr>
              <w:t>4</w:t>
            </w:r>
            <w:r w:rsidRPr="00CC6CA3">
              <w:rPr>
                <w:noProof/>
                <w:szCs w:val="24"/>
              </w:rPr>
              <w:fldChar w:fldCharType="end"/>
            </w:r>
            <w:r w:rsidRPr="00CC6CA3">
              <w:rPr>
                <w:szCs w:val="24"/>
              </w:rPr>
              <w:noBreakHyphen/>
            </w:r>
            <w:r w:rsidRPr="00CC6CA3">
              <w:rPr>
                <w:noProof/>
                <w:szCs w:val="24"/>
              </w:rPr>
              <w:fldChar w:fldCharType="begin"/>
            </w:r>
            <w:r w:rsidRPr="00CC6CA3">
              <w:rPr>
                <w:noProof/>
                <w:szCs w:val="24"/>
              </w:rPr>
              <w:instrText xml:space="preserve"> SEQ Equation \* ARABIC \s 1 </w:instrText>
            </w:r>
            <w:r w:rsidRPr="00CC6CA3">
              <w:rPr>
                <w:noProof/>
                <w:szCs w:val="24"/>
              </w:rPr>
              <w:fldChar w:fldCharType="separate"/>
            </w:r>
            <w:r w:rsidR="001906D9" w:rsidRPr="00CC6CA3">
              <w:rPr>
                <w:noProof/>
                <w:szCs w:val="24"/>
              </w:rPr>
              <w:t>7</w:t>
            </w:r>
            <w:r w:rsidRPr="00CC6CA3">
              <w:rPr>
                <w:noProof/>
                <w:szCs w:val="24"/>
              </w:rPr>
              <w:fldChar w:fldCharType="end"/>
            </w:r>
            <w:bookmarkEnd w:id="293"/>
            <w:r w:rsidRPr="00CC6CA3">
              <w:rPr>
                <w:noProof/>
                <w:szCs w:val="24"/>
              </w:rPr>
              <w:t>)</w:t>
            </w:r>
            <w:bookmarkEnd w:id="294"/>
          </w:p>
        </w:tc>
      </w:tr>
      <w:tr w:rsidR="00CC6CA3" w:rsidRPr="00CC6CA3" w14:paraId="15026227" w14:textId="77777777" w:rsidTr="00F632C0">
        <w:tc>
          <w:tcPr>
            <w:tcW w:w="4124" w:type="pct"/>
          </w:tcPr>
          <w:p w14:paraId="24707768" w14:textId="77777777" w:rsidR="002122FA" w:rsidRPr="00CC6CA3" w:rsidRDefault="002122FA" w:rsidP="00F632C0">
            <w:pPr>
              <w:pStyle w:val="Body"/>
              <w:rPr>
                <w:rFonts w:eastAsia="等线"/>
              </w:rPr>
            </w:pPr>
            <m:oMathPara>
              <m:oMath>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i</m:t>
                    </m:r>
                    <m:r>
                      <m:rPr>
                        <m:sty m:val="p"/>
                      </m:rPr>
                      <w:rPr>
                        <w:rFonts w:ascii="Cambria Math" w:hAnsi="Cambria Math"/>
                      </w:rPr>
                      <m:t>×</m:t>
                    </m:r>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i</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l</m:t>
                    </m:r>
                    <m:r>
                      <m:rPr>
                        <m:sty m:val="p"/>
                      </m:rPr>
                      <w:rPr>
                        <w:rFonts w:ascii="Cambria Math" w:hAnsi="Cambria Math"/>
                      </w:rPr>
                      <m:t>)</m:t>
                    </m:r>
                  </m:sub>
                </m:sSub>
                <m:r>
                  <m:rPr>
                    <m:sty m:val="p"/>
                  </m:rPr>
                  <w:rPr>
                    <w:rFonts w:ascii="Cambria Math" w:hAnsi="Cambria Math"/>
                  </w:rPr>
                  <m:t>]</m:t>
                </m:r>
              </m:oMath>
            </m:oMathPara>
          </w:p>
        </w:tc>
        <w:tc>
          <w:tcPr>
            <w:tcW w:w="876" w:type="pct"/>
          </w:tcPr>
          <w:p w14:paraId="09A1889B" w14:textId="55C8992C" w:rsidR="002122FA" w:rsidRPr="00CC6CA3" w:rsidRDefault="002122FA" w:rsidP="00F632C0">
            <w:pPr>
              <w:pStyle w:val="Body"/>
              <w:jc w:val="right"/>
              <w:rPr>
                <w:szCs w:val="24"/>
              </w:rPr>
            </w:pPr>
            <w:bookmarkStart w:id="295" w:name="_Ref32951953"/>
            <w:bookmarkStart w:id="296" w:name="_Ref63071016"/>
            <w:r w:rsidRPr="00CC6CA3">
              <w:rPr>
                <w:noProof/>
                <w:szCs w:val="24"/>
              </w:rPr>
              <w:t>(</w:t>
            </w:r>
            <w:r w:rsidRPr="00CC6CA3">
              <w:rPr>
                <w:noProof/>
                <w:szCs w:val="24"/>
              </w:rPr>
              <w:fldChar w:fldCharType="begin"/>
            </w:r>
            <w:r w:rsidRPr="00CC6CA3">
              <w:rPr>
                <w:noProof/>
                <w:szCs w:val="24"/>
              </w:rPr>
              <w:instrText xml:space="preserve"> STYLEREF 1 \s </w:instrText>
            </w:r>
            <w:r w:rsidRPr="00CC6CA3">
              <w:rPr>
                <w:noProof/>
                <w:szCs w:val="24"/>
              </w:rPr>
              <w:fldChar w:fldCharType="separate"/>
            </w:r>
            <w:r w:rsidR="001906D9" w:rsidRPr="00CC6CA3">
              <w:rPr>
                <w:noProof/>
                <w:szCs w:val="24"/>
              </w:rPr>
              <w:t>4</w:t>
            </w:r>
            <w:r w:rsidRPr="00CC6CA3">
              <w:rPr>
                <w:noProof/>
                <w:szCs w:val="24"/>
              </w:rPr>
              <w:fldChar w:fldCharType="end"/>
            </w:r>
            <w:r w:rsidRPr="00CC6CA3">
              <w:rPr>
                <w:szCs w:val="24"/>
              </w:rPr>
              <w:noBreakHyphen/>
            </w:r>
            <w:r w:rsidRPr="00CC6CA3">
              <w:rPr>
                <w:noProof/>
                <w:szCs w:val="24"/>
              </w:rPr>
              <w:fldChar w:fldCharType="begin"/>
            </w:r>
            <w:r w:rsidRPr="00CC6CA3">
              <w:rPr>
                <w:noProof/>
                <w:szCs w:val="24"/>
              </w:rPr>
              <w:instrText xml:space="preserve"> SEQ Equation \* ARABIC \s 1 </w:instrText>
            </w:r>
            <w:r w:rsidRPr="00CC6CA3">
              <w:rPr>
                <w:noProof/>
                <w:szCs w:val="24"/>
              </w:rPr>
              <w:fldChar w:fldCharType="separate"/>
            </w:r>
            <w:r w:rsidR="001906D9" w:rsidRPr="00CC6CA3">
              <w:rPr>
                <w:noProof/>
                <w:szCs w:val="24"/>
              </w:rPr>
              <w:t>8</w:t>
            </w:r>
            <w:r w:rsidRPr="00CC6CA3">
              <w:rPr>
                <w:noProof/>
                <w:szCs w:val="24"/>
              </w:rPr>
              <w:fldChar w:fldCharType="end"/>
            </w:r>
            <w:bookmarkEnd w:id="295"/>
            <w:r w:rsidRPr="00CC6CA3">
              <w:rPr>
                <w:noProof/>
                <w:szCs w:val="24"/>
              </w:rPr>
              <w:t>)</w:t>
            </w:r>
            <w:bookmarkEnd w:id="296"/>
          </w:p>
        </w:tc>
      </w:tr>
    </w:tbl>
    <w:p w14:paraId="177C1C5B" w14:textId="6BFFE666" w:rsidR="002122FA" w:rsidRPr="00CC6CA3" w:rsidRDefault="002122FA" w:rsidP="00055EE2">
      <w:r w:rsidRPr="00CC6CA3">
        <w:t xml:space="preserve">where </w:t>
      </w:r>
      <m:oMath>
        <m:r>
          <w:rPr>
            <w:rFonts w:ascii="Cambria Math" w:hAnsi="Cambria Math"/>
          </w:rPr>
          <m:t>l</m:t>
        </m:r>
      </m:oMath>
      <w:r w:rsidRPr="00CC6CA3">
        <w:t xml:space="preserve"> represents the number of principal components, which enables </w:t>
      </w:r>
      <m:oMath>
        <m:sSub>
          <m:sSubPr>
            <m:ctrlPr>
              <w:rPr>
                <w:rFonts w:ascii="Cambria Math" w:hAnsi="Cambria Math"/>
              </w:rPr>
            </m:ctrlPr>
          </m:sSubPr>
          <m:e>
            <m:r>
              <w:rPr>
                <w:rFonts w:ascii="Cambria Math" w:hAnsi="Cambria Math"/>
              </w:rPr>
              <m:t>S</m:t>
            </m:r>
          </m:e>
          <m:sub>
            <m:r>
              <w:rPr>
                <w:rFonts w:ascii="Cambria Math" w:hAnsi="Cambria Math"/>
              </w:rPr>
              <m:t>i</m:t>
            </m:r>
            <m:r>
              <m:rPr>
                <m:sty m:val="p"/>
              </m:rPr>
              <w:rPr>
                <w:rFonts w:ascii="Cambria Math" w:hAnsi="Cambria Math"/>
              </w:rPr>
              <m:t>×</m:t>
            </m:r>
            <m:r>
              <w:rPr>
                <w:rFonts w:ascii="Cambria Math" w:hAnsi="Cambria Math"/>
              </w:rPr>
              <m:t>l</m:t>
            </m:r>
          </m:sub>
        </m:sSub>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P</m:t>
                </m:r>
              </m:e>
              <m:sub>
                <m:r>
                  <w:rPr>
                    <w:rFonts w:ascii="Cambria Math" w:hAnsi="Cambria Math"/>
                  </w:rPr>
                  <m:t>i</m:t>
                </m:r>
                <m:r>
                  <m:rPr>
                    <m:sty m:val="p"/>
                  </m:rPr>
                  <w:rPr>
                    <w:rFonts w:ascii="Cambria Math" w:hAnsi="Cambria Math"/>
                  </w:rPr>
                  <m:t>×</m:t>
                </m:r>
                <m:r>
                  <w:rPr>
                    <w:rFonts w:ascii="Cambria Math" w:hAnsi="Cambria Math"/>
                  </w:rPr>
                  <m:t>l</m:t>
                </m:r>
              </m:sub>
            </m:sSub>
          </m:e>
          <m:sup>
            <m:r>
              <w:rPr>
                <w:rFonts w:ascii="Cambria Math" w:hAnsi="Cambria Math"/>
              </w:rPr>
              <m:t>T</m:t>
            </m:r>
          </m:sup>
        </m:sSup>
      </m:oMath>
      <w:r w:rsidRPr="00CC6CA3">
        <w:t xml:space="preserve"> to </w:t>
      </w:r>
      <w:r w:rsidR="005D2F6F" w:rsidRPr="00CC6CA3">
        <w:t xml:space="preserve">adequately </w:t>
      </w:r>
      <w:r w:rsidRPr="00CC6CA3">
        <w:t xml:space="preserve">explain the </w:t>
      </w:r>
      <w:bookmarkStart w:id="297" w:name="OLE_LINK17"/>
      <w:r w:rsidRPr="00CC6CA3">
        <w:t xml:space="preserve">variability </w:t>
      </w:r>
      <w:bookmarkEnd w:id="297"/>
      <w:r w:rsidRPr="00CC6CA3">
        <w:t xml:space="preserve">of input data </w:t>
      </w:r>
      <m:oMath>
        <m:r>
          <w:rPr>
            <w:rFonts w:ascii="Cambria Math" w:hAnsi="Cambria Math"/>
          </w:rPr>
          <m:t>X</m:t>
        </m:r>
      </m:oMath>
      <w:r w:rsidRPr="00CC6CA3">
        <w:t>.</w:t>
      </w:r>
    </w:p>
    <w:p w14:paraId="0F588CA7" w14:textId="77777777" w:rsidR="002122FA" w:rsidRPr="00CC6CA3" w:rsidRDefault="002122FA" w:rsidP="002122FA">
      <w:pPr>
        <w:pStyle w:val="Heading3"/>
      </w:pPr>
      <w:bookmarkStart w:id="298" w:name="_Toc81553280"/>
      <w:r w:rsidRPr="00CC6CA3">
        <w:t>Sparse autoencoder</w:t>
      </w:r>
      <w:bookmarkEnd w:id="298"/>
    </w:p>
    <w:p w14:paraId="5318A1FB" w14:textId="516B6F30" w:rsidR="002122FA" w:rsidRPr="00CC6CA3" w:rsidRDefault="002122FA" w:rsidP="00055EE2">
      <w:r w:rsidRPr="00CC6CA3">
        <w:t xml:space="preserve">The </w:t>
      </w:r>
      <w:r w:rsidR="005D2F6F" w:rsidRPr="00CC6CA3">
        <w:t>sparse autoencoder (SAE) is an unsupervised feed-forward neural network. A representative structure of an SAE can be seen in</w:t>
      </w:r>
      <w:r w:rsidRPr="00CC6CA3">
        <w:t xml:space="preserve"> </w:t>
      </w:r>
      <w:r w:rsidRPr="00CC6CA3">
        <w:fldChar w:fldCharType="begin"/>
      </w:r>
      <w:r w:rsidRPr="00CC6CA3">
        <w:instrText xml:space="preserve"> REF _Ref52399271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w:t>
      </w:r>
      <w:r w:rsidRPr="00CC6CA3">
        <w:fldChar w:fldCharType="end"/>
      </w:r>
      <w:r w:rsidRPr="00CC6CA3">
        <w:t xml:space="preserve">. </w:t>
      </w:r>
      <w:r w:rsidR="00C26FE0" w:rsidRPr="00CC6CA3">
        <w:t>T</w:t>
      </w:r>
      <w:r w:rsidRPr="00CC6CA3">
        <w:t xml:space="preserve">he SAE network comprises </w:t>
      </w:r>
      <w:r w:rsidRPr="00CC6CA3">
        <w:lastRenderedPageBreak/>
        <w:t>an encoder and a decoder. The encoder connects the input layer to the hidden layer, extracting features from the input data, while the decoder connects the hidden layer to the output layer, reconstructing the input data.</w:t>
      </w:r>
    </w:p>
    <w:p w14:paraId="730B06AD" w14:textId="77777777" w:rsidR="002122FA" w:rsidRPr="00CC6CA3" w:rsidRDefault="002122FA" w:rsidP="002122FA">
      <w:pPr>
        <w:pStyle w:val="MDPI52figure"/>
        <w:rPr>
          <w:color w:val="auto"/>
        </w:rPr>
      </w:pPr>
      <w:r w:rsidRPr="00CC6CA3">
        <w:rPr>
          <w:noProof/>
          <w:color w:val="auto"/>
          <w:lang w:eastAsia="zh-CN" w:bidi="ar-SA"/>
        </w:rPr>
        <w:drawing>
          <wp:inline distT="0" distB="0" distL="0" distR="0" wp14:anchorId="48AEE87B" wp14:editId="79197F96">
            <wp:extent cx="3987800" cy="2853324"/>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97253" cy="2860088"/>
                    </a:xfrm>
                    <a:prstGeom prst="rect">
                      <a:avLst/>
                    </a:prstGeom>
                  </pic:spPr>
                </pic:pic>
              </a:graphicData>
            </a:graphic>
          </wp:inline>
        </w:drawing>
      </w:r>
    </w:p>
    <w:p w14:paraId="090C1BA7" w14:textId="3958DC2C" w:rsidR="002122FA" w:rsidRPr="00CC6CA3" w:rsidRDefault="002122FA" w:rsidP="002122FA">
      <w:pPr>
        <w:pStyle w:val="Caption"/>
        <w:jc w:val="center"/>
      </w:pPr>
      <w:bookmarkStart w:id="299" w:name="_Ref52399271"/>
      <w:bookmarkStart w:id="300" w:name="_Toc8155336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w:t>
      </w:r>
      <w:r w:rsidR="00D62691" w:rsidRPr="00CC6CA3">
        <w:rPr>
          <w:noProof/>
        </w:rPr>
        <w:fldChar w:fldCharType="end"/>
      </w:r>
      <w:bookmarkEnd w:id="299"/>
      <w:r w:rsidRPr="00CC6CA3">
        <w:t xml:space="preserve"> Sparse autoencoder structure.</w:t>
      </w:r>
      <w:bookmarkEnd w:id="300"/>
    </w:p>
    <w:p w14:paraId="308D9270" w14:textId="23274EC8" w:rsidR="002122FA" w:rsidRPr="00CC6CA3" w:rsidRDefault="00FF669F" w:rsidP="00055EE2">
      <w:r w:rsidRPr="00CC6CA3">
        <w:t xml:space="preserve">The functioning of the SAE can be expressed by </w:t>
      </w:r>
      <w:r w:rsidR="002122FA" w:rsidRPr="00CC6CA3">
        <w:t xml:space="preserve">Equation </w:t>
      </w:r>
      <w:r w:rsidR="002122FA" w:rsidRPr="00CC6CA3">
        <w:fldChar w:fldCharType="begin"/>
      </w:r>
      <w:r w:rsidR="002122FA" w:rsidRPr="00CC6CA3">
        <w:instrText xml:space="preserve"> REF _Ref63071600 \h </w:instrText>
      </w:r>
      <w:r w:rsidR="002122FA" w:rsidRPr="00CC6CA3">
        <w:fldChar w:fldCharType="separate"/>
      </w:r>
      <w:r w:rsidR="001906D9" w:rsidRPr="00CC6CA3">
        <w:rPr>
          <w:iCs/>
          <w:noProof/>
          <w:szCs w:val="24"/>
        </w:rPr>
        <w:t>(4</w:t>
      </w:r>
      <w:r w:rsidR="001906D9" w:rsidRPr="00CC6CA3">
        <w:rPr>
          <w:iCs/>
          <w:szCs w:val="24"/>
        </w:rPr>
        <w:noBreakHyphen/>
      </w:r>
      <w:r w:rsidR="001906D9" w:rsidRPr="00CC6CA3">
        <w:rPr>
          <w:iCs/>
          <w:noProof/>
          <w:szCs w:val="24"/>
        </w:rPr>
        <w:t>9)</w:t>
      </w:r>
      <w:r w:rsidR="002122FA" w:rsidRPr="00CC6CA3">
        <w:fldChar w:fldCharType="end"/>
      </w:r>
      <w:r w:rsidR="002122FA" w:rsidRPr="00CC6CA3">
        <w:t>:</w:t>
      </w:r>
    </w:p>
    <w:tbl>
      <w:tblPr>
        <w:tblW w:w="0" w:type="auto"/>
        <w:jc w:val="center"/>
        <w:tblLook w:val="04A0" w:firstRow="1" w:lastRow="0" w:firstColumn="1" w:lastColumn="0" w:noHBand="0" w:noVBand="1"/>
      </w:tblPr>
      <w:tblGrid>
        <w:gridCol w:w="7230"/>
        <w:gridCol w:w="1535"/>
      </w:tblGrid>
      <w:tr w:rsidR="00CC6CA3" w:rsidRPr="00CC6CA3" w14:paraId="3A8BAA77" w14:textId="77777777" w:rsidTr="00F632C0">
        <w:trPr>
          <w:jc w:val="center"/>
        </w:trPr>
        <w:tc>
          <w:tcPr>
            <w:tcW w:w="7230" w:type="dxa"/>
            <w:vAlign w:val="center"/>
          </w:tcPr>
          <w:p w14:paraId="42379214" w14:textId="77777777" w:rsidR="002122FA" w:rsidRPr="00CC6CA3" w:rsidRDefault="00D62691" w:rsidP="00F632C0">
            <w:pPr>
              <w:pStyle w:val="Body"/>
              <w:rPr>
                <w:i/>
              </w:rPr>
            </w:pPr>
            <m:oMathPara>
              <m:oMath>
                <m:acc>
                  <m:accPr>
                    <m:chr m:val="̃"/>
                    <m:ctrlPr>
                      <w:rPr>
                        <w:rFonts w:ascii="Cambria Math" w:hAnsi="Cambria Math"/>
                        <w:i/>
                      </w:rPr>
                    </m:ctrlPr>
                  </m:accPr>
                  <m:e>
                    <m:r>
                      <w:rPr>
                        <w:rFonts w:ascii="Cambria Math" w:hAnsi="Cambria Math"/>
                      </w:rPr>
                      <m:t>X</m:t>
                    </m:r>
                  </m:e>
                </m:acc>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W,b</m:t>
                    </m:r>
                  </m:sub>
                </m:sSub>
                <m:d>
                  <m:dPr>
                    <m:ctrlPr>
                      <w:rPr>
                        <w:rFonts w:ascii="Cambria Math" w:hAnsi="Cambria Math"/>
                        <w:i/>
                      </w:rPr>
                    </m:ctrlPr>
                  </m:dPr>
                  <m:e>
                    <m:r>
                      <w:rPr>
                        <w:rFonts w:ascii="Cambria Math" w:hAnsi="Cambria Math"/>
                      </w:rPr>
                      <m:t>X</m:t>
                    </m:r>
                  </m:e>
                </m:d>
                <m:r>
                  <w:rPr>
                    <w:rFonts w:ascii="Cambria Math" w:hAnsi="Cambria Math"/>
                  </w:rPr>
                  <m:t>≈X</m:t>
                </m:r>
              </m:oMath>
            </m:oMathPara>
          </w:p>
        </w:tc>
        <w:tc>
          <w:tcPr>
            <w:tcW w:w="1535" w:type="dxa"/>
            <w:vAlign w:val="center"/>
          </w:tcPr>
          <w:p w14:paraId="68EBD65D" w14:textId="680B91F7" w:rsidR="002122FA" w:rsidRPr="00CC6CA3" w:rsidRDefault="002122FA" w:rsidP="00F632C0">
            <w:pPr>
              <w:pStyle w:val="Body"/>
              <w:jc w:val="right"/>
            </w:pPr>
            <w:bookmarkStart w:id="301" w:name="_Ref52399350"/>
            <w:bookmarkStart w:id="302" w:name="_Ref63071600"/>
            <w:r w:rsidRPr="00CC6CA3">
              <w:rPr>
                <w:iCs/>
                <w:noProof/>
                <w:szCs w:val="24"/>
              </w:rPr>
              <w:t>(</w:t>
            </w:r>
            <w:r w:rsidRPr="00CC6CA3">
              <w:rPr>
                <w:iCs/>
                <w:noProof/>
                <w:szCs w:val="24"/>
              </w:rPr>
              <w:fldChar w:fldCharType="begin"/>
            </w:r>
            <w:r w:rsidRPr="00CC6CA3">
              <w:rPr>
                <w:iCs/>
                <w:noProof/>
                <w:szCs w:val="24"/>
              </w:rPr>
              <w:instrText xml:space="preserve"> STYLEREF 1 \s </w:instrText>
            </w:r>
            <w:r w:rsidRPr="00CC6CA3">
              <w:rPr>
                <w:iCs/>
                <w:noProof/>
                <w:szCs w:val="24"/>
              </w:rPr>
              <w:fldChar w:fldCharType="separate"/>
            </w:r>
            <w:r w:rsidR="001906D9" w:rsidRPr="00CC6CA3">
              <w:rPr>
                <w:iCs/>
                <w:noProof/>
                <w:szCs w:val="24"/>
              </w:rPr>
              <w:t>4</w:t>
            </w:r>
            <w:r w:rsidRPr="00CC6CA3">
              <w:rPr>
                <w:iCs/>
                <w:noProof/>
                <w:szCs w:val="24"/>
              </w:rPr>
              <w:fldChar w:fldCharType="end"/>
            </w:r>
            <w:r w:rsidRPr="00CC6CA3">
              <w:rPr>
                <w:iCs/>
                <w:szCs w:val="24"/>
              </w:rPr>
              <w:noBreakHyphen/>
            </w:r>
            <w:r w:rsidRPr="00CC6CA3">
              <w:rPr>
                <w:iCs/>
                <w:noProof/>
                <w:szCs w:val="24"/>
              </w:rPr>
              <w:fldChar w:fldCharType="begin"/>
            </w:r>
            <w:r w:rsidRPr="00CC6CA3">
              <w:rPr>
                <w:iCs/>
                <w:noProof/>
                <w:szCs w:val="24"/>
              </w:rPr>
              <w:instrText xml:space="preserve"> SEQ Equation \* ARABIC \s 1 </w:instrText>
            </w:r>
            <w:r w:rsidRPr="00CC6CA3">
              <w:rPr>
                <w:iCs/>
                <w:noProof/>
                <w:szCs w:val="24"/>
              </w:rPr>
              <w:fldChar w:fldCharType="separate"/>
            </w:r>
            <w:r w:rsidR="001906D9" w:rsidRPr="00CC6CA3">
              <w:rPr>
                <w:iCs/>
                <w:noProof/>
                <w:szCs w:val="24"/>
              </w:rPr>
              <w:t>9</w:t>
            </w:r>
            <w:r w:rsidRPr="00CC6CA3">
              <w:rPr>
                <w:iCs/>
                <w:noProof/>
                <w:szCs w:val="24"/>
              </w:rPr>
              <w:fldChar w:fldCharType="end"/>
            </w:r>
            <w:bookmarkEnd w:id="301"/>
            <w:r w:rsidRPr="00CC6CA3">
              <w:rPr>
                <w:iCs/>
                <w:noProof/>
                <w:szCs w:val="24"/>
              </w:rPr>
              <w:t>)</w:t>
            </w:r>
            <w:bookmarkEnd w:id="302"/>
          </w:p>
        </w:tc>
      </w:tr>
    </w:tbl>
    <w:p w14:paraId="1B177AAA" w14:textId="043E3E2D" w:rsidR="002122FA" w:rsidRPr="00CC6CA3" w:rsidRDefault="00530CCC" w:rsidP="00055EE2">
      <w:r w:rsidRPr="00CC6CA3">
        <w:t xml:space="preserve">where </w:t>
      </w:r>
      <m:oMath>
        <m:r>
          <w:rPr>
            <w:rFonts w:ascii="Cambria Math" w:hAnsi="Cambria Math"/>
          </w:rPr>
          <m:t>X</m:t>
        </m:r>
      </m:oMath>
      <w:r w:rsidRPr="00CC6CA3">
        <w:t xml:space="preserve"> is the input vector, </w:t>
      </w:r>
      <m:oMath>
        <m:r>
          <w:rPr>
            <w:rFonts w:ascii="Cambria Math" w:hAnsi="Cambria Math"/>
          </w:rPr>
          <m:t>X</m:t>
        </m:r>
        <m:r>
          <m:rPr>
            <m:sty m:val="p"/>
          </m:rPr>
          <w:rPr>
            <w:rFonts w:ascii="Cambria Math" w:hAnsi="Cambria Math"/>
          </w:rPr>
          <m:t xml:space="preserve"> ∈</m:t>
        </m:r>
        <m:sSup>
          <m:sSupPr>
            <m:ctrlPr>
              <w:rPr>
                <w:rFonts w:ascii="Cambria Math" w:hAnsi="Cambria Math"/>
              </w:rPr>
            </m:ctrlPr>
          </m:sSupPr>
          <m:e>
            <m:r>
              <w:rPr>
                <w:rFonts w:ascii="Cambria Math" w:hAnsi="Cambria Math"/>
              </w:rPr>
              <m:t>R</m:t>
            </m:r>
          </m:e>
          <m:sup>
            <m:r>
              <w:rPr>
                <w:rFonts w:ascii="Cambria Math" w:hAnsi="Cambria Math"/>
              </w:rPr>
              <m:t>D</m:t>
            </m:r>
            <m:r>
              <m:rPr>
                <m:sty m:val="p"/>
              </m:rPr>
              <w:rPr>
                <w:rFonts w:ascii="Cambria Math" w:hAnsi="Cambria Math"/>
              </w:rPr>
              <m:t>×1</m:t>
            </m:r>
          </m:sup>
        </m:sSup>
      </m:oMath>
      <w:r w:rsidRPr="00CC6CA3">
        <w:t xml:space="preserve">. </w:t>
      </w:r>
      <m:oMath>
        <m:acc>
          <m:accPr>
            <m:chr m:val="̃"/>
            <m:ctrlPr>
              <w:rPr>
                <w:rFonts w:ascii="Cambria Math" w:hAnsi="Cambria Math"/>
                <w:i/>
              </w:rPr>
            </m:ctrlPr>
          </m:accPr>
          <m:e>
            <m:r>
              <w:rPr>
                <w:rFonts w:ascii="Cambria Math" w:hAnsi="Cambria Math"/>
              </w:rPr>
              <m:t>X</m:t>
            </m:r>
          </m:e>
        </m:acc>
      </m:oMath>
      <w:r w:rsidRPr="00CC6CA3">
        <w:t xml:space="preserve"> represents the output vector, with the number of outputs equal to the number of inputs. </w:t>
      </w:r>
      <m:oMath>
        <m:sSub>
          <m:sSubPr>
            <m:ctrlPr>
              <w:rPr>
                <w:rFonts w:ascii="Cambria Math" w:hAnsi="Cambria Math"/>
              </w:rPr>
            </m:ctrlPr>
          </m:sSubPr>
          <m:e>
            <m:r>
              <w:rPr>
                <w:rFonts w:ascii="Cambria Math" w:hAnsi="Cambria Math"/>
              </w:rPr>
              <m:t>H</m:t>
            </m:r>
          </m:e>
          <m:sub>
            <m:r>
              <w:rPr>
                <w:rFonts w:ascii="Cambria Math" w:hAnsi="Cambria Math"/>
              </w:rPr>
              <m:t>W</m:t>
            </m:r>
            <m:r>
              <m:rPr>
                <m:sty m:val="p"/>
              </m:rPr>
              <w:rPr>
                <w:rFonts w:ascii="Cambria Math" w:hAnsi="Cambria Math"/>
              </w:rPr>
              <m:t>,</m:t>
            </m:r>
            <m:r>
              <w:rPr>
                <w:rFonts w:ascii="Cambria Math" w:hAnsi="Cambria Math"/>
              </w:rPr>
              <m:t>b</m:t>
            </m:r>
          </m:sub>
        </m:sSub>
        <m:d>
          <m:dPr>
            <m:ctrlPr>
              <w:rPr>
                <w:rFonts w:ascii="Cambria Math" w:hAnsi="Cambria Math"/>
              </w:rPr>
            </m:ctrlPr>
          </m:dPr>
          <m:e>
            <m:r>
              <w:rPr>
                <w:rFonts w:ascii="Cambria Math" w:hAnsi="Cambria Math"/>
              </w:rPr>
              <m:t>X</m:t>
            </m:r>
          </m:e>
        </m:d>
      </m:oMath>
      <w:r w:rsidRPr="00CC6CA3">
        <w:t xml:space="preserve"> is a nonlinear function of the SAE, which reconstructs output vector </w:t>
      </w:r>
      <m:oMath>
        <m:acc>
          <m:accPr>
            <m:chr m:val="̃"/>
            <m:ctrlPr>
              <w:rPr>
                <w:rFonts w:ascii="Cambria Math" w:hAnsi="Cambria Math"/>
              </w:rPr>
            </m:ctrlPr>
          </m:accPr>
          <m:e>
            <m:r>
              <w:rPr>
                <w:rFonts w:ascii="Cambria Math" w:hAnsi="Cambria Math"/>
              </w:rPr>
              <m:t>X</m:t>
            </m:r>
          </m:e>
        </m:acc>
      </m:oMath>
      <w:r w:rsidRPr="00CC6CA3">
        <w:t xml:space="preserve"> according to the input vector </w:t>
      </w:r>
      <m:oMath>
        <m:r>
          <w:rPr>
            <w:rFonts w:ascii="Cambria Math" w:hAnsi="Cambria Math"/>
          </w:rPr>
          <m:t>X</m:t>
        </m:r>
      </m:oMath>
      <w:r w:rsidRPr="00CC6CA3">
        <w:t xml:space="preserve">, using weight vectors </w:t>
      </w:r>
      <m:oMath>
        <m:r>
          <w:rPr>
            <w:rFonts w:ascii="Cambria Math" w:hAnsi="Cambria Math"/>
          </w:rPr>
          <m:t>W</m:t>
        </m:r>
      </m:oMath>
      <w:r w:rsidRPr="00CC6CA3">
        <w:t xml:space="preserve"> and bias </w:t>
      </w:r>
      <m:oMath>
        <m:r>
          <w:rPr>
            <w:rFonts w:ascii="Cambria Math" w:hAnsi="Cambria Math"/>
          </w:rPr>
          <m:t>b</m:t>
        </m:r>
      </m:oMath>
      <w:r w:rsidR="002122FA" w:rsidRPr="00CC6CA3">
        <w:t>.</w:t>
      </w:r>
    </w:p>
    <w:p w14:paraId="6EC980A8" w14:textId="7B4FE312" w:rsidR="002122FA" w:rsidRPr="00CC6CA3" w:rsidRDefault="002122FA" w:rsidP="00055EE2">
      <w:r w:rsidRPr="00CC6CA3">
        <w:t xml:space="preserve">The SAE is trained by minimising the cost function  in Equation </w:t>
      </w:r>
      <w:r w:rsidRPr="00CC6CA3">
        <w:fldChar w:fldCharType="begin"/>
      </w:r>
      <w:r w:rsidRPr="00CC6CA3">
        <w:instrText xml:space="preserve"> REF _Ref63071610 \h </w:instrText>
      </w:r>
      <w:r w:rsidRPr="00CC6CA3">
        <w:fldChar w:fldCharType="separate"/>
      </w:r>
      <w:r w:rsidR="001906D9" w:rsidRPr="00CC6CA3">
        <w:rPr>
          <w:iCs/>
          <w:noProof/>
          <w:szCs w:val="24"/>
        </w:rPr>
        <w:t>(4</w:t>
      </w:r>
      <w:r w:rsidR="001906D9" w:rsidRPr="00CC6CA3">
        <w:rPr>
          <w:iCs/>
          <w:szCs w:val="24"/>
        </w:rPr>
        <w:noBreakHyphen/>
      </w:r>
      <w:r w:rsidR="001906D9" w:rsidRPr="00CC6CA3">
        <w:rPr>
          <w:iCs/>
          <w:noProof/>
          <w:szCs w:val="24"/>
        </w:rPr>
        <w:t>10)</w:t>
      </w:r>
      <w:r w:rsidRPr="00CC6CA3">
        <w:fldChar w:fldCharType="end"/>
      </w:r>
      <w:r w:rsidR="00447B8E" w:rsidRPr="00CC6CA3">
        <w:t xml:space="preserve"> </w:t>
      </w:r>
      <w:r w:rsidR="00447B8E" w:rsidRPr="00CC6CA3">
        <w:fldChar w:fldCharType="begin"/>
      </w:r>
      <w:r w:rsidR="007D1BCC" w:rsidRPr="00CC6CA3">
        <w:instrText xml:space="preserve"> ADDIN ZOTERO_ITEM CSL_CITATION {"citationID":"a1gud9lemp","properties":{"formattedCitation":"[101]","plainCitation":"[101]","noteIndex":0},"citationItems":[{"id":262,"uris":["http://zotero.org/users/3051968/items/SUVABFV7"],"uri":["http://zotero.org/users/3051968/items/SUVABFV7"],"itemData":{"id":262,"type":"article-journal","container-title":"CS294A Lecture notes","issue":"2011","page":"1–19","source":"Google Scholar","title":"Sparse autoencoder","volume":"72","author":[{"family":"Ng","given":"Andrew"}],"issued":{"date-parts":[["2011"]]}}}],"schema":"https://github.com/citation-style-language/schema/raw/master/csl-citation.json"} </w:instrText>
      </w:r>
      <w:r w:rsidR="00447B8E" w:rsidRPr="00CC6CA3">
        <w:fldChar w:fldCharType="separate"/>
      </w:r>
      <w:r w:rsidR="007D1BCC" w:rsidRPr="00CC6CA3">
        <w:rPr>
          <w:rFonts w:cs="Times New Roman"/>
        </w:rPr>
        <w:t>[101]</w:t>
      </w:r>
      <w:r w:rsidR="00447B8E" w:rsidRPr="00CC6CA3">
        <w:fldChar w:fldCharType="end"/>
      </w:r>
      <w:r w:rsidRPr="00CC6CA3">
        <w:t xml:space="preserve">. In this thesis, the L-BFGS algorithm and back-propagation </w:t>
      </w:r>
      <w:r w:rsidRPr="00CC6CA3">
        <w:fldChar w:fldCharType="begin"/>
      </w:r>
      <w:r w:rsidR="007D1BCC" w:rsidRPr="00CC6CA3">
        <w:instrText xml:space="preserve"> ADDIN ZOTERO_ITEM CSL_CITATION {"citationID":"afpvggoo1m","properties":{"formattedCitation":"[101], [144]","plainCitation":"[101], [144]","noteIndex":0},"citationItems":[{"id":262,"uris":["http://zotero.org/users/3051968/items/SUVABFV7"],"uri":["http://zotero.org/users/3051968/items/SUVABFV7"],"itemData":{"id":262,"type":"article-journal","container-title":"CS294A Lecture notes","issue":"2011","page":"1–19","source":"Google Scholar","title":"Sparse autoencoder","volume":"72","author":[{"family":"Ng","given":"Andrew"}],"issued":{"date-parts":[["2011"]]}}},{"id":251,"uris":["http://zotero.org/users/3051968/items/JJKXIUCS"],"uri":["http://zotero.org/users/3051968/items/JJKXIUCS"],"itemData":{"id":251,"type":"paper-conference","container-title":"Journal of Physics: Conference Series","page":"012006","publisher":"IOP Publishing","source":"Google Scholar","title":"Automatic detection of welding defects using deep neural network","volume":"933","author":[{"family":"Hou","given":"Wenhui"},{"family":"Wei","given":"Ye"},{"family":"Guo","given":"Jie"},{"family":"Jin","given":"Yi"},{"family":"Zhu","given":"Chang’an"}],"issued":{"date-parts":[["2018"]]}}}],"schema":"https://github.com/citation-style-language/schema/raw/master/csl-citation.json"} </w:instrText>
      </w:r>
      <w:r w:rsidRPr="00CC6CA3">
        <w:fldChar w:fldCharType="separate"/>
      </w:r>
      <w:r w:rsidR="007D1BCC" w:rsidRPr="00CC6CA3">
        <w:rPr>
          <w:rFonts w:cs="Times New Roman"/>
        </w:rPr>
        <w:t>[101], [144]</w:t>
      </w:r>
      <w:r w:rsidRPr="00CC6CA3">
        <w:fldChar w:fldCharType="end"/>
      </w:r>
      <w:r w:rsidRPr="00CC6CA3">
        <w:t xml:space="preserve"> were employed to train the network </w:t>
      </w:r>
      <w:r w:rsidR="00447B8E" w:rsidRPr="00CC6CA3">
        <w:t>to</w:t>
      </w:r>
      <w:r w:rsidRPr="00CC6CA3">
        <w:t xml:space="preserve"> minimis</w:t>
      </w:r>
      <w:r w:rsidR="00447B8E" w:rsidRPr="00CC6CA3">
        <w:t>e</w:t>
      </w:r>
      <w:r w:rsidRPr="00CC6CA3">
        <w:t xml:space="preserve"> the cost function.</w:t>
      </w:r>
    </w:p>
    <w:tbl>
      <w:tblPr>
        <w:tblW w:w="0" w:type="auto"/>
        <w:jc w:val="center"/>
        <w:tblLook w:val="04A0" w:firstRow="1" w:lastRow="0" w:firstColumn="1" w:lastColumn="0" w:noHBand="0" w:noVBand="1"/>
      </w:tblPr>
      <w:tblGrid>
        <w:gridCol w:w="7949"/>
        <w:gridCol w:w="816"/>
      </w:tblGrid>
      <w:tr w:rsidR="00CC6CA3" w:rsidRPr="00CC6CA3" w14:paraId="58A46B7E" w14:textId="77777777" w:rsidTr="00F632C0">
        <w:trPr>
          <w:jc w:val="center"/>
        </w:trPr>
        <w:tc>
          <w:tcPr>
            <w:tcW w:w="8359" w:type="dxa"/>
            <w:vAlign w:val="center"/>
          </w:tcPr>
          <w:p w14:paraId="43599003" w14:textId="77777777" w:rsidR="002122FA" w:rsidRPr="00CC6CA3" w:rsidRDefault="002122FA" w:rsidP="00F632C0">
            <w:pPr>
              <w:pStyle w:val="Body"/>
            </w:pPr>
            <m:oMathPara>
              <m:oMath>
                <m:r>
                  <w:rPr>
                    <w:rFonts w:ascii="Cambria Math" w:hAnsi="Cambria Math"/>
                  </w:rPr>
                  <m:t>E</m:t>
                </m:r>
                <m:d>
                  <m:dPr>
                    <m:ctrlPr>
                      <w:rPr>
                        <w:rFonts w:ascii="Cambria Math" w:hAnsi="Cambria Math"/>
                      </w:rPr>
                    </m:ctrlPr>
                  </m:dPr>
                  <m:e>
                    <m:r>
                      <w:rPr>
                        <w:rFonts w:ascii="Cambria Math" w:hAnsi="Cambria Math"/>
                      </w:rPr>
                      <m:t>W</m:t>
                    </m:r>
                    <m:r>
                      <m:rPr>
                        <m:sty m:val="p"/>
                      </m:rPr>
                      <w:rPr>
                        <w:rFonts w:ascii="Cambria Math" w:hAnsi="Cambria Math"/>
                      </w:rPr>
                      <m:t>,</m:t>
                    </m:r>
                    <m:r>
                      <w:rPr>
                        <w:rFonts w:ascii="Cambria Math" w:hAnsi="Cambria Math"/>
                      </w:rPr>
                      <m:t>b</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D</m:t>
                    </m:r>
                  </m:den>
                </m:f>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D</m:t>
                    </m:r>
                  </m:sup>
                  <m:e>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W</m:t>
                                </m:r>
                                <m:r>
                                  <m:rPr>
                                    <m:sty m:val="p"/>
                                  </m:rPr>
                                  <w:rPr>
                                    <w:rFonts w:ascii="Cambria Math" w:hAnsi="Cambria Math"/>
                                  </w:rPr>
                                  <m:t>,</m:t>
                                </m:r>
                                <m:r>
                                  <w:rPr>
                                    <w:rFonts w:ascii="Cambria Math" w:hAnsi="Cambria Math"/>
                                  </w:rPr>
                                  <m:t>b</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j</m:t>
                                    </m:r>
                                  </m:sub>
                                </m:sSub>
                              </m:e>
                            </m:d>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j</m:t>
                                </m:r>
                              </m:sub>
                            </m:sSub>
                          </m:e>
                        </m:d>
                      </m:e>
                      <m:sup>
                        <m:r>
                          <m:rPr>
                            <m:sty m:val="p"/>
                          </m:rPr>
                          <w:rPr>
                            <w:rFonts w:ascii="Cambria Math" w:hAnsi="Cambria Math"/>
                          </w:rPr>
                          <m:t>2</m:t>
                        </m:r>
                      </m:sup>
                    </m:sSup>
                    <m:r>
                      <m:rPr>
                        <m:sty m:val="p"/>
                      </m:rPr>
                      <w:rPr>
                        <w:rFonts w:ascii="Cambria Math" w:hAnsi="Cambria Math"/>
                      </w:rPr>
                      <m:t>]</m:t>
                    </m:r>
                  </m:e>
                </m:nary>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λ</m:t>
                        </m:r>
                      </m:e>
                      <m:sub>
                        <m:r>
                          <m:rPr>
                            <m:sty m:val="p"/>
                          </m:rPr>
                          <w:rPr>
                            <w:rFonts w:ascii="Cambria Math" w:hAnsi="Cambria Math"/>
                          </w:rPr>
                          <m:t>1</m:t>
                        </m:r>
                      </m:sub>
                    </m:sSub>
                  </m:num>
                  <m:den>
                    <m:r>
                      <m:rPr>
                        <m:sty m:val="p"/>
                      </m:rPr>
                      <w:rPr>
                        <w:rFonts w:ascii="Cambria Math" w:hAnsi="Cambria Math"/>
                      </w:rPr>
                      <m:t>2</m:t>
                    </m:r>
                  </m:den>
                </m:f>
                <m:nary>
                  <m:naryPr>
                    <m:chr m:val="∑"/>
                    <m:limLoc m:val="undOvr"/>
                    <m:ctrlPr>
                      <w:rPr>
                        <w:rFonts w:ascii="Cambria Math" w:hAnsi="Cambria Math"/>
                      </w:rPr>
                    </m:ctrlPr>
                  </m:naryPr>
                  <m:sub>
                    <m:r>
                      <w:rPr>
                        <w:rFonts w:ascii="Cambria Math" w:hAnsi="Cambria Math"/>
                      </w:rPr>
                      <m:t>l</m:t>
                    </m:r>
                    <m:r>
                      <m:rPr>
                        <m:sty m:val="p"/>
                      </m:rPr>
                      <w:rPr>
                        <w:rFonts w:ascii="Cambria Math" w:hAnsi="Cambria Math"/>
                      </w:rPr>
                      <m:t>=1</m:t>
                    </m:r>
                  </m:sub>
                  <m:sup>
                    <m:r>
                      <w:rPr>
                        <w:rFonts w:ascii="Cambria Math" w:hAnsi="Cambria Math"/>
                      </w:rPr>
                      <m:t>L</m:t>
                    </m:r>
                    <m:r>
                      <m:rPr>
                        <m:sty m:val="p"/>
                      </m:rPr>
                      <w:rPr>
                        <w:rFonts w:ascii="Cambria Math" w:hAnsi="Cambria Math"/>
                      </w:rPr>
                      <m:t>-1</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l</m:t>
                            </m:r>
                          </m:sub>
                        </m:sSub>
                      </m:sup>
                      <m:e>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l</m:t>
                                </m:r>
                                <m:r>
                                  <m:rPr>
                                    <m:sty m:val="p"/>
                                  </m:rPr>
                                  <w:rPr>
                                    <w:rFonts w:ascii="Cambria Math" w:hAnsi="Cambria Math"/>
                                  </w:rPr>
                                  <m:t>+1</m:t>
                                </m:r>
                              </m:sub>
                            </m:sSub>
                          </m:sup>
                          <m:e>
                            <m:sSup>
                              <m:sSupPr>
                                <m:ctrlPr>
                                  <w:rPr>
                                    <w:rFonts w:ascii="Cambria Math" w:hAnsi="Cambria Math"/>
                                  </w:rPr>
                                </m:ctrlPr>
                              </m:sSupPr>
                              <m:e>
                                <m:r>
                                  <m:rPr>
                                    <m:sty m:val="p"/>
                                  </m:rPr>
                                  <w:rPr>
                                    <w:rFonts w:ascii="Cambria Math" w:hAnsi="Cambria Math"/>
                                  </w:rPr>
                                  <m:t>(</m:t>
                                </m:r>
                                <m:sSubSup>
                                  <m:sSubSupPr>
                                    <m:ctrlPr>
                                      <w:rPr>
                                        <w:rFonts w:ascii="Cambria Math" w:hAnsi="Cambria Math"/>
                                      </w:rPr>
                                    </m:ctrlPr>
                                  </m:sSubSupPr>
                                  <m:e>
                                    <m:r>
                                      <w:rPr>
                                        <w:rFonts w:ascii="Cambria Math" w:hAnsi="Cambria Math"/>
                                      </w:rPr>
                                      <m:t>W</m:t>
                                    </m:r>
                                  </m:e>
                                  <m:sub>
                                    <m:r>
                                      <w:rPr>
                                        <w:rFonts w:ascii="Cambria Math" w:hAnsi="Cambria Math"/>
                                      </w:rPr>
                                      <m:t>ji</m:t>
                                    </m:r>
                                  </m:sub>
                                  <m:sup>
                                    <m:r>
                                      <m:rPr>
                                        <m:sty m:val="p"/>
                                      </m:rPr>
                                      <w:rPr>
                                        <w:rFonts w:ascii="Cambria Math" w:hAnsi="Cambria Math"/>
                                      </w:rPr>
                                      <m:t>(</m:t>
                                    </m:r>
                                    <m:r>
                                      <w:rPr>
                                        <w:rFonts w:ascii="Cambria Math" w:hAnsi="Cambria Math"/>
                                      </w:rPr>
                                      <m:t>l</m:t>
                                    </m:r>
                                    <m:r>
                                      <m:rPr>
                                        <m:sty m:val="p"/>
                                      </m:rPr>
                                      <w:rPr>
                                        <w:rFonts w:ascii="Cambria Math" w:hAnsi="Cambria Math"/>
                                      </w:rPr>
                                      <m:t>)</m:t>
                                    </m:r>
                                  </m:sup>
                                </m:sSubSup>
                                <m:r>
                                  <m:rPr>
                                    <m:sty m:val="p"/>
                                  </m:rPr>
                                  <w:rPr>
                                    <w:rFonts w:ascii="Cambria Math" w:hAnsi="Cambria Math"/>
                                  </w:rPr>
                                  <m:t>)</m:t>
                                </m:r>
                              </m:e>
                              <m:sup>
                                <m:r>
                                  <m:rPr>
                                    <m:sty m:val="p"/>
                                  </m:rPr>
                                  <w:rPr>
                                    <w:rFonts w:ascii="Cambria Math" w:hAnsi="Cambria Math"/>
                                  </w:rPr>
                                  <m:t>2</m:t>
                                </m:r>
                              </m:sup>
                            </m:sSup>
                          </m:e>
                        </m:nary>
                        <m:r>
                          <m:rPr>
                            <m:sty m:val="p"/>
                          </m:rPr>
                          <w:rPr>
                            <w:rFonts w:ascii="Cambria Math" w:hAnsi="Cambria Math"/>
                          </w:rPr>
                          <m:t>+</m:t>
                        </m:r>
                        <m:r>
                          <w:rPr>
                            <w:rFonts w:ascii="Cambria Math" w:hAnsi="Cambria Math"/>
                          </w:rPr>
                          <m:t>β</m:t>
                        </m:r>
                        <m:nary>
                          <m:naryPr>
                            <m:chr m:val="∑"/>
                            <m:limLoc m:val="undOvr"/>
                            <m:ctrlPr>
                              <w:rPr>
                                <w:rFonts w:ascii="Cambria Math" w:hAnsi="Cambria Math"/>
                              </w:rPr>
                            </m:ctrlPr>
                          </m:naryPr>
                          <m:sub>
                            <m:r>
                              <w:rPr>
                                <w:rFonts w:ascii="Cambria Math" w:hAnsi="Cambria Math"/>
                              </w:rPr>
                              <m:t>H</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m:rPr>
                                    <m:sty m:val="p"/>
                                  </m:rPr>
                                  <w:rPr>
                                    <w:rFonts w:ascii="Cambria Math" w:hAnsi="Cambria Math"/>
                                  </w:rPr>
                                  <m:t>2</m:t>
                                </m:r>
                              </m:sub>
                            </m:sSub>
                          </m:sup>
                          <m:e>
                            <m:r>
                              <w:rPr>
                                <w:rFonts w:ascii="Cambria Math" w:hAnsi="Cambria Math"/>
                              </w:rPr>
                              <m:t>KL</m:t>
                            </m:r>
                            <m:r>
                              <m:rPr>
                                <m:sty m:val="p"/>
                              </m:rPr>
                              <w:rPr>
                                <w:rFonts w:ascii="Cambria Math" w:hAnsi="Cambria Math"/>
                              </w:rPr>
                              <m:t>(</m:t>
                            </m:r>
                            <m:r>
                              <w:rPr>
                                <w:rFonts w:ascii="Cambria Math" w:hAnsi="Cambria Math"/>
                              </w:rPr>
                              <m:t>ρ</m:t>
                            </m:r>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ρ</m:t>
                                    </m:r>
                                  </m:e>
                                </m:acc>
                              </m:e>
                              <m:sub>
                                <m:r>
                                  <w:rPr>
                                    <w:rFonts w:ascii="Cambria Math" w:hAnsi="Cambria Math"/>
                                  </w:rPr>
                                  <m:t>H</m:t>
                                </m:r>
                              </m:sub>
                            </m:sSub>
                            <m:r>
                              <m:rPr>
                                <m:sty m:val="p"/>
                              </m:rPr>
                              <w:rPr>
                                <w:rFonts w:ascii="Cambria Math" w:hAnsi="Cambria Math"/>
                              </w:rPr>
                              <m:t>)</m:t>
                            </m:r>
                          </m:e>
                        </m:nary>
                      </m:e>
                    </m:nary>
                  </m:e>
                </m:nary>
              </m:oMath>
            </m:oMathPara>
          </w:p>
        </w:tc>
        <w:tc>
          <w:tcPr>
            <w:tcW w:w="657" w:type="dxa"/>
            <w:vAlign w:val="center"/>
          </w:tcPr>
          <w:p w14:paraId="5DF69AFB" w14:textId="7A684E5F" w:rsidR="002122FA" w:rsidRPr="00CC6CA3" w:rsidRDefault="002122FA" w:rsidP="00F632C0">
            <w:pPr>
              <w:pStyle w:val="Body"/>
            </w:pPr>
            <w:bookmarkStart w:id="303" w:name="_Ref52399359"/>
            <w:bookmarkStart w:id="304" w:name="_Ref63071610"/>
            <w:r w:rsidRPr="00CC6CA3">
              <w:rPr>
                <w:iCs/>
                <w:noProof/>
                <w:szCs w:val="24"/>
              </w:rPr>
              <w:t>(</w:t>
            </w:r>
            <w:r w:rsidRPr="00CC6CA3">
              <w:rPr>
                <w:iCs/>
                <w:noProof/>
                <w:szCs w:val="24"/>
              </w:rPr>
              <w:fldChar w:fldCharType="begin"/>
            </w:r>
            <w:r w:rsidRPr="00CC6CA3">
              <w:rPr>
                <w:iCs/>
                <w:noProof/>
                <w:szCs w:val="24"/>
              </w:rPr>
              <w:instrText xml:space="preserve"> STYLEREF 1 \s </w:instrText>
            </w:r>
            <w:r w:rsidRPr="00CC6CA3">
              <w:rPr>
                <w:iCs/>
                <w:noProof/>
                <w:szCs w:val="24"/>
              </w:rPr>
              <w:fldChar w:fldCharType="separate"/>
            </w:r>
            <w:r w:rsidR="001906D9" w:rsidRPr="00CC6CA3">
              <w:rPr>
                <w:iCs/>
                <w:noProof/>
                <w:szCs w:val="24"/>
              </w:rPr>
              <w:t>4</w:t>
            </w:r>
            <w:r w:rsidRPr="00CC6CA3">
              <w:rPr>
                <w:iCs/>
                <w:noProof/>
                <w:szCs w:val="24"/>
              </w:rPr>
              <w:fldChar w:fldCharType="end"/>
            </w:r>
            <w:r w:rsidRPr="00CC6CA3">
              <w:rPr>
                <w:iCs/>
                <w:szCs w:val="24"/>
              </w:rPr>
              <w:noBreakHyphen/>
            </w:r>
            <w:r w:rsidRPr="00CC6CA3">
              <w:rPr>
                <w:iCs/>
                <w:noProof/>
                <w:szCs w:val="24"/>
              </w:rPr>
              <w:fldChar w:fldCharType="begin"/>
            </w:r>
            <w:r w:rsidRPr="00CC6CA3">
              <w:rPr>
                <w:iCs/>
                <w:noProof/>
                <w:szCs w:val="24"/>
              </w:rPr>
              <w:instrText xml:space="preserve"> SEQ Equation \* ARABIC \s 1 </w:instrText>
            </w:r>
            <w:r w:rsidRPr="00CC6CA3">
              <w:rPr>
                <w:iCs/>
                <w:noProof/>
                <w:szCs w:val="24"/>
              </w:rPr>
              <w:fldChar w:fldCharType="separate"/>
            </w:r>
            <w:r w:rsidR="001906D9" w:rsidRPr="00CC6CA3">
              <w:rPr>
                <w:iCs/>
                <w:noProof/>
                <w:szCs w:val="24"/>
              </w:rPr>
              <w:t>10</w:t>
            </w:r>
            <w:r w:rsidRPr="00CC6CA3">
              <w:rPr>
                <w:iCs/>
                <w:noProof/>
                <w:szCs w:val="24"/>
              </w:rPr>
              <w:fldChar w:fldCharType="end"/>
            </w:r>
            <w:bookmarkEnd w:id="303"/>
            <w:r w:rsidRPr="00CC6CA3">
              <w:rPr>
                <w:iCs/>
                <w:noProof/>
                <w:szCs w:val="24"/>
              </w:rPr>
              <w:t>)</w:t>
            </w:r>
            <w:bookmarkEnd w:id="304"/>
          </w:p>
        </w:tc>
      </w:tr>
    </w:tbl>
    <w:p w14:paraId="36BCB896" w14:textId="4F6A20C2" w:rsidR="002122FA" w:rsidRPr="00CC6CA3" w:rsidRDefault="002122FA" w:rsidP="00055EE2">
      <w:r w:rsidRPr="00CC6CA3">
        <w:lastRenderedPageBreak/>
        <w:t xml:space="preserve">The first part of Equation </w:t>
      </w:r>
      <w:r w:rsidRPr="00CC6CA3">
        <w:fldChar w:fldCharType="begin"/>
      </w:r>
      <w:r w:rsidRPr="00CC6CA3">
        <w:instrText xml:space="preserve"> REF _Ref63071610 \h </w:instrText>
      </w:r>
      <w:r w:rsidRPr="00CC6CA3">
        <w:fldChar w:fldCharType="separate"/>
      </w:r>
      <w:r w:rsidR="001906D9" w:rsidRPr="00CC6CA3">
        <w:rPr>
          <w:iCs/>
          <w:noProof/>
          <w:szCs w:val="24"/>
        </w:rPr>
        <w:t>(4</w:t>
      </w:r>
      <w:r w:rsidR="001906D9" w:rsidRPr="00CC6CA3">
        <w:rPr>
          <w:iCs/>
          <w:szCs w:val="24"/>
        </w:rPr>
        <w:noBreakHyphen/>
      </w:r>
      <w:r w:rsidR="001906D9" w:rsidRPr="00CC6CA3">
        <w:rPr>
          <w:iCs/>
          <w:noProof/>
          <w:szCs w:val="24"/>
        </w:rPr>
        <w:t>10)</w:t>
      </w:r>
      <w:r w:rsidRPr="00CC6CA3">
        <w:fldChar w:fldCharType="end"/>
      </w:r>
      <w:r w:rsidRPr="00CC6CA3">
        <w:t xml:space="preserve"> </w:t>
      </w:r>
      <w:r w:rsidR="004B4492" w:rsidRPr="00CC6CA3">
        <w:t xml:space="preserve">is a mean squared error term, which is used for minimising the error between the input data </w:t>
      </w:r>
      <m:oMath>
        <m:r>
          <w:rPr>
            <w:rFonts w:ascii="Cambria Math" w:hAnsi="Cambria Math"/>
          </w:rPr>
          <m:t>x</m:t>
        </m:r>
      </m:oMath>
      <w:r w:rsidR="004B4492" w:rsidRPr="00CC6CA3">
        <w:t xml:space="preserve"> and the output data </w:t>
      </w:r>
      <m:oMath>
        <m:acc>
          <m:accPr>
            <m:chr m:val="̃"/>
            <m:ctrlPr>
              <w:rPr>
                <w:rFonts w:ascii="Cambria Math" w:hAnsi="Cambria Math"/>
              </w:rPr>
            </m:ctrlPr>
          </m:accPr>
          <m:e>
            <m:r>
              <w:rPr>
                <w:rFonts w:ascii="Cambria Math" w:hAnsi="Cambria Math"/>
              </w:rPr>
              <m:t>x</m:t>
            </m:r>
          </m:e>
        </m:acc>
      </m:oMath>
      <w:r w:rsidR="004B4492" w:rsidRPr="00CC6CA3">
        <w:t xml:space="preserve">. </w:t>
      </w:r>
      <m:oMath>
        <m:sSub>
          <m:sSubPr>
            <m:ctrlPr>
              <w:rPr>
                <w:rFonts w:ascii="Cambria Math" w:hAnsi="Cambria Math"/>
              </w:rPr>
            </m:ctrlPr>
          </m:sSubPr>
          <m:e>
            <m:r>
              <w:rPr>
                <w:rFonts w:ascii="Cambria Math" w:hAnsi="Cambria Math"/>
              </w:rPr>
              <m:t>x</m:t>
            </m:r>
          </m:e>
          <m:sub>
            <m:r>
              <w:rPr>
                <w:rFonts w:ascii="Cambria Math" w:hAnsi="Cambria Math"/>
              </w:rPr>
              <m:t>j</m:t>
            </m:r>
          </m:sub>
        </m:sSub>
      </m:oMath>
      <w:r w:rsidR="004B4492" w:rsidRPr="00CC6CA3">
        <w:t xml:space="preserve"> represents the </w:t>
      </w:r>
      <m:oMath>
        <m:sSup>
          <m:sSupPr>
            <m:ctrlPr>
              <w:rPr>
                <w:rFonts w:ascii="Cambria Math" w:hAnsi="Cambria Math"/>
              </w:rPr>
            </m:ctrlPr>
          </m:sSupPr>
          <m:e>
            <m:r>
              <w:rPr>
                <w:rFonts w:ascii="Cambria Math" w:hAnsi="Cambria Math"/>
              </w:rPr>
              <m:t>j</m:t>
            </m:r>
          </m:e>
          <m:sup>
            <m:r>
              <w:rPr>
                <w:rFonts w:ascii="Cambria Math" w:hAnsi="Cambria Math"/>
              </w:rPr>
              <m:t>th</m:t>
            </m:r>
          </m:sup>
        </m:sSup>
      </m:oMath>
      <w:r w:rsidR="004B4492" w:rsidRPr="00CC6CA3">
        <w:t xml:space="preserve"> training input variable, </w:t>
      </w:r>
      <m:oMath>
        <m:r>
          <w:rPr>
            <w:rFonts w:ascii="Cambria Math" w:hAnsi="Cambria Math"/>
          </w:rPr>
          <m:t>D</m:t>
        </m:r>
      </m:oMath>
      <w:r w:rsidR="004B4492" w:rsidRPr="00CC6CA3">
        <w:t xml:space="preserve"> is the total of the input variables. The decoder function of the </w:t>
      </w:r>
      <m:oMath>
        <m:sSup>
          <m:sSupPr>
            <m:ctrlPr>
              <w:rPr>
                <w:rFonts w:ascii="Cambria Math" w:hAnsi="Cambria Math"/>
              </w:rPr>
            </m:ctrlPr>
          </m:sSupPr>
          <m:e>
            <m:r>
              <w:rPr>
                <w:rFonts w:ascii="Cambria Math" w:hAnsi="Cambria Math"/>
              </w:rPr>
              <m:t>j</m:t>
            </m:r>
          </m:e>
          <m:sup>
            <m:r>
              <w:rPr>
                <w:rFonts w:ascii="Cambria Math" w:hAnsi="Cambria Math"/>
              </w:rPr>
              <m:t>th</m:t>
            </m:r>
          </m:sup>
        </m:sSup>
      </m:oMath>
      <w:r w:rsidR="004B4492" w:rsidRPr="00CC6CA3">
        <w:t xml:space="preserve"> training variable is given by </w:t>
      </w:r>
      <m:oMath>
        <m:sSub>
          <m:sSubPr>
            <m:ctrlPr>
              <w:rPr>
                <w:rFonts w:ascii="Cambria Math" w:hAnsi="Cambria Math"/>
              </w:rPr>
            </m:ctrlPr>
          </m:sSubPr>
          <m:e>
            <m:r>
              <w:rPr>
                <w:rFonts w:ascii="Cambria Math" w:hAnsi="Cambria Math"/>
              </w:rPr>
              <m:t>H</m:t>
            </m:r>
          </m:e>
          <m:sub>
            <m:r>
              <w:rPr>
                <w:rFonts w:ascii="Cambria Math" w:hAnsi="Cambria Math"/>
              </w:rPr>
              <m:t>W</m:t>
            </m:r>
            <m:r>
              <m:rPr>
                <m:sty m:val="p"/>
              </m:rPr>
              <w:rPr>
                <w:rFonts w:ascii="Cambria Math" w:hAnsi="Cambria Math"/>
              </w:rPr>
              <m:t>,</m:t>
            </m:r>
            <m:r>
              <w:rPr>
                <w:rFonts w:ascii="Cambria Math" w:hAnsi="Cambria Math"/>
              </w:rPr>
              <m:t>b</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j</m:t>
                </m:r>
              </m:sub>
            </m:sSub>
          </m:e>
        </m:d>
        <m:r>
          <m:rPr>
            <m:sty m:val="p"/>
          </m:rPr>
          <w:rPr>
            <w:rFonts w:ascii="Cambria Math" w:hAnsi="Cambria Math"/>
          </w:rPr>
          <m:t>=</m:t>
        </m:r>
        <m:r>
          <w:rPr>
            <w:rFonts w:ascii="Cambria Math" w:hAnsi="Cambria Math"/>
          </w:rPr>
          <m:t>f</m:t>
        </m:r>
        <m:r>
          <m:rPr>
            <m:sty m:val="p"/>
          </m:rPr>
          <w:rPr>
            <w:rFonts w:ascii="Cambria Math" w:hAnsi="Cambria Math"/>
          </w:rPr>
          <m:t>(</m:t>
        </m:r>
        <m:sSup>
          <m:sSupPr>
            <m:ctrlPr>
              <w:rPr>
                <w:rFonts w:ascii="Cambria Math" w:hAnsi="Cambria Math"/>
              </w:rPr>
            </m:ctrlPr>
          </m:sSupPr>
          <m:e>
            <m:r>
              <w:rPr>
                <w:rFonts w:ascii="Cambria Math" w:hAnsi="Cambria Math"/>
              </w:rPr>
              <m:t>W</m:t>
            </m:r>
          </m:e>
          <m:sup>
            <m:d>
              <m:dPr>
                <m:ctrlPr>
                  <w:rPr>
                    <w:rFonts w:ascii="Cambria Math" w:hAnsi="Cambria Math"/>
                  </w:rPr>
                </m:ctrlPr>
              </m:dPr>
              <m:e>
                <m:r>
                  <m:rPr>
                    <m:sty m:val="p"/>
                  </m:rPr>
                  <w:rPr>
                    <w:rFonts w:ascii="Cambria Math" w:hAnsi="Cambria Math"/>
                  </w:rPr>
                  <m:t>2</m:t>
                </m:r>
              </m:e>
            </m:d>
          </m:sup>
        </m:sSup>
        <m:r>
          <w:rPr>
            <w:rFonts w:ascii="Cambria Math" w:hAnsi="Cambria Math"/>
          </w:rPr>
          <m:t>a</m:t>
        </m:r>
        <m:r>
          <m:rPr>
            <m:sty m:val="p"/>
          </m:rPr>
          <w:rPr>
            <w:rFonts w:ascii="Cambria Math" w:hAnsi="Cambria Math"/>
          </w:rPr>
          <m:t>+</m:t>
        </m:r>
        <m:sSup>
          <m:sSupPr>
            <m:ctrlPr>
              <w:rPr>
                <w:rFonts w:ascii="Cambria Math" w:hAnsi="Cambria Math"/>
              </w:rPr>
            </m:ctrlPr>
          </m:sSupPr>
          <m:e>
            <m:r>
              <w:rPr>
                <w:rFonts w:ascii="Cambria Math" w:hAnsi="Cambria Math"/>
              </w:rPr>
              <m:t>b</m:t>
            </m:r>
          </m:e>
          <m:sup>
            <m:d>
              <m:dPr>
                <m:ctrlPr>
                  <w:rPr>
                    <w:rFonts w:ascii="Cambria Math" w:hAnsi="Cambria Math"/>
                  </w:rPr>
                </m:ctrlPr>
              </m:dPr>
              <m:e>
                <m:r>
                  <m:rPr>
                    <m:sty m:val="p"/>
                  </m:rPr>
                  <w:rPr>
                    <w:rFonts w:ascii="Cambria Math" w:hAnsi="Cambria Math"/>
                  </w:rPr>
                  <m:t>2</m:t>
                </m:r>
              </m:e>
            </m:d>
          </m:sup>
        </m:sSup>
        <m:r>
          <m:rPr>
            <m:sty m:val="p"/>
          </m:rPr>
          <w:rPr>
            <w:rFonts w:ascii="Cambria Math" w:hAnsi="Cambria Math"/>
          </w:rPr>
          <m:t>)</m:t>
        </m:r>
      </m:oMath>
      <w:r w:rsidR="004B4492" w:rsidRPr="00CC6CA3">
        <w:t xml:space="preserve">, where </w:t>
      </w:r>
      <m:oMath>
        <m:r>
          <w:rPr>
            <w:rFonts w:ascii="Cambria Math" w:hAnsi="Cambria Math"/>
          </w:rPr>
          <m:t>a</m:t>
        </m:r>
      </m:oMath>
      <w:r w:rsidR="004B4492" w:rsidRPr="00CC6CA3">
        <w:t xml:space="preserve"> is the activation of the hidden layer, </w:t>
      </w:r>
      <m:oMath>
        <m:r>
          <w:rPr>
            <w:rFonts w:ascii="Cambria Math" w:hAnsi="Cambria Math"/>
          </w:rPr>
          <m:t>a</m:t>
        </m:r>
        <m:r>
          <m:rPr>
            <m:sty m:val="p"/>
          </m:rPr>
          <w:rPr>
            <w:rFonts w:ascii="Cambria Math" w:hAnsi="Cambria Math"/>
          </w:rPr>
          <m:t>=</m:t>
        </m:r>
        <m:sSup>
          <m:sSupPr>
            <m:ctrlPr>
              <w:rPr>
                <w:rFonts w:ascii="Cambria Math" w:hAnsi="Cambria Math"/>
              </w:rPr>
            </m:ctrlPr>
          </m:sSupPr>
          <m:e>
            <m:r>
              <w:rPr>
                <w:rFonts w:ascii="Cambria Math" w:hAnsi="Cambria Math"/>
              </w:rPr>
              <m:t>f</m:t>
            </m:r>
            <m:r>
              <m:rPr>
                <m:sty m:val="p"/>
              </m:rPr>
              <w:rPr>
                <w:rFonts w:ascii="Cambria Math" w:hAnsi="Cambria Math"/>
              </w:rPr>
              <m:t>(</m:t>
            </m:r>
            <m:r>
              <w:rPr>
                <w:rFonts w:ascii="Cambria Math" w:hAnsi="Cambria Math"/>
              </w:rPr>
              <m:t>W</m:t>
            </m:r>
          </m:e>
          <m:sup>
            <m:d>
              <m:dPr>
                <m:ctrlPr>
                  <w:rPr>
                    <w:rFonts w:ascii="Cambria Math" w:hAnsi="Cambria Math"/>
                  </w:rPr>
                </m:ctrlPr>
              </m:dPr>
              <m:e>
                <m:r>
                  <m:rPr>
                    <m:sty m:val="p"/>
                  </m:rPr>
                  <w:rPr>
                    <w:rFonts w:ascii="Cambria Math" w:hAnsi="Cambria Math"/>
                  </w:rPr>
                  <m:t>1</m:t>
                </m:r>
              </m:e>
            </m:d>
          </m:sup>
        </m:sSup>
        <m:sSub>
          <m:sSubPr>
            <m:ctrlPr>
              <w:rPr>
                <w:rFonts w:ascii="Cambria Math" w:hAnsi="Cambria Math"/>
              </w:rPr>
            </m:ctrlPr>
          </m:sSubPr>
          <m:e>
            <m:r>
              <w:rPr>
                <w:rFonts w:ascii="Cambria Math" w:hAnsi="Cambria Math"/>
              </w:rPr>
              <m:t>x</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w:rPr>
                <w:rFonts w:ascii="Cambria Math" w:hAnsi="Cambria Math"/>
              </w:rPr>
              <m:t>b</m:t>
            </m:r>
          </m:e>
          <m:sup>
            <m:d>
              <m:dPr>
                <m:ctrlPr>
                  <w:rPr>
                    <w:rFonts w:ascii="Cambria Math" w:hAnsi="Cambria Math"/>
                  </w:rPr>
                </m:ctrlPr>
              </m:dPr>
              <m:e>
                <m:r>
                  <m:rPr>
                    <m:sty m:val="p"/>
                  </m:rPr>
                  <w:rPr>
                    <w:rFonts w:ascii="Cambria Math" w:hAnsi="Cambria Math"/>
                  </w:rPr>
                  <m:t>1</m:t>
                </m:r>
              </m:e>
            </m:d>
          </m:sup>
        </m:sSup>
        <m:r>
          <m:rPr>
            <m:sty m:val="p"/>
          </m:rPr>
          <w:rPr>
            <w:rFonts w:ascii="Cambria Math" w:hAnsi="Cambria Math"/>
          </w:rPr>
          <m:t>)</m:t>
        </m:r>
      </m:oMath>
      <w:r w:rsidR="004B4492" w:rsidRPr="00CC6CA3">
        <w:t xml:space="preserve">, where </w:t>
      </w:r>
      <m:oMath>
        <m:sSup>
          <m:sSupPr>
            <m:ctrlPr>
              <w:rPr>
                <w:rFonts w:ascii="Cambria Math" w:hAnsi="Cambria Math"/>
              </w:rPr>
            </m:ctrlPr>
          </m:sSupPr>
          <m:e>
            <m:sSup>
              <m:sSupPr>
                <m:ctrlPr>
                  <w:rPr>
                    <w:rFonts w:ascii="Cambria Math" w:hAnsi="Cambria Math"/>
                  </w:rPr>
                </m:ctrlPr>
              </m:sSupPr>
              <m:e>
                <m:r>
                  <w:rPr>
                    <w:rFonts w:ascii="Cambria Math" w:hAnsi="Cambria Math"/>
                  </w:rPr>
                  <m:t>W</m:t>
                </m:r>
              </m:e>
              <m:sup>
                <m:d>
                  <m:dPr>
                    <m:ctrlPr>
                      <w:rPr>
                        <w:rFonts w:ascii="Cambria Math" w:hAnsi="Cambria Math"/>
                      </w:rPr>
                    </m:ctrlPr>
                  </m:dPr>
                  <m:e>
                    <m:r>
                      <m:rPr>
                        <m:sty m:val="p"/>
                      </m:rPr>
                      <w:rPr>
                        <w:rFonts w:ascii="Cambria Math" w:hAnsi="Cambria Math"/>
                      </w:rPr>
                      <m:t>1</m:t>
                    </m:r>
                  </m:e>
                </m:d>
              </m:sup>
            </m:sSup>
            <m:r>
              <m:rPr>
                <m:sty m:val="p"/>
              </m:rPr>
              <w:rPr>
                <w:rFonts w:ascii="Cambria Math" w:hAnsi="Cambria Math"/>
              </w:rPr>
              <m:t xml:space="preserve">, </m:t>
            </m:r>
            <m:r>
              <w:rPr>
                <w:rFonts w:ascii="Cambria Math" w:hAnsi="Cambria Math"/>
              </w:rPr>
              <m:t>W</m:t>
            </m:r>
          </m:e>
          <m:sup>
            <m:d>
              <m:dPr>
                <m:ctrlPr>
                  <w:rPr>
                    <w:rFonts w:ascii="Cambria Math" w:hAnsi="Cambria Math"/>
                  </w:rPr>
                </m:ctrlPr>
              </m:dPr>
              <m:e>
                <m:r>
                  <m:rPr>
                    <m:sty m:val="p"/>
                  </m:rPr>
                  <w:rPr>
                    <w:rFonts w:ascii="Cambria Math" w:hAnsi="Cambria Math"/>
                  </w:rPr>
                  <m:t>2</m:t>
                </m:r>
              </m:e>
            </m:d>
          </m:sup>
        </m:sSup>
      </m:oMath>
      <w:r w:rsidR="004B4492" w:rsidRPr="00CC6CA3">
        <w:t xml:space="preserve"> are weights, </w:t>
      </w:r>
      <m:oMath>
        <m:sSup>
          <m:sSupPr>
            <m:ctrlPr>
              <w:rPr>
                <w:rFonts w:ascii="Cambria Math" w:hAnsi="Cambria Math"/>
              </w:rPr>
            </m:ctrlPr>
          </m:sSupPr>
          <m:e>
            <m:r>
              <w:rPr>
                <w:rFonts w:ascii="Cambria Math" w:hAnsi="Cambria Math"/>
              </w:rPr>
              <m:t>b</m:t>
            </m:r>
          </m:e>
          <m:sup>
            <m:d>
              <m:dPr>
                <m:ctrlPr>
                  <w:rPr>
                    <w:rFonts w:ascii="Cambria Math" w:hAnsi="Cambria Math"/>
                  </w:rPr>
                </m:ctrlPr>
              </m:dPr>
              <m:e>
                <m:r>
                  <m:rPr>
                    <m:sty m:val="p"/>
                  </m:rPr>
                  <w:rPr>
                    <w:rFonts w:ascii="Cambria Math" w:hAnsi="Cambria Math"/>
                  </w:rPr>
                  <m:t>1</m:t>
                </m:r>
              </m:e>
            </m:d>
          </m:sup>
        </m:sSup>
        <m:r>
          <m:rPr>
            <m:sty m:val="p"/>
          </m:rPr>
          <w:rPr>
            <w:rFonts w:ascii="Cambria Math" w:hAnsi="Cambria Math"/>
          </w:rPr>
          <m:t xml:space="preserve">, </m:t>
        </m:r>
        <m:sSup>
          <m:sSupPr>
            <m:ctrlPr>
              <w:rPr>
                <w:rFonts w:ascii="Cambria Math" w:hAnsi="Cambria Math"/>
              </w:rPr>
            </m:ctrlPr>
          </m:sSupPr>
          <m:e>
            <m:r>
              <w:rPr>
                <w:rFonts w:ascii="Cambria Math" w:hAnsi="Cambria Math"/>
              </w:rPr>
              <m:t>b</m:t>
            </m:r>
          </m:e>
          <m:sup>
            <m:d>
              <m:dPr>
                <m:ctrlPr>
                  <w:rPr>
                    <w:rFonts w:ascii="Cambria Math" w:hAnsi="Cambria Math"/>
                  </w:rPr>
                </m:ctrlPr>
              </m:dPr>
              <m:e>
                <m:r>
                  <m:rPr>
                    <m:sty m:val="p"/>
                  </m:rPr>
                  <w:rPr>
                    <w:rFonts w:ascii="Cambria Math" w:hAnsi="Cambria Math"/>
                  </w:rPr>
                  <m:t>2</m:t>
                </m:r>
              </m:e>
            </m:d>
          </m:sup>
        </m:sSup>
      </m:oMath>
      <w:r w:rsidR="004B4492" w:rsidRPr="00CC6CA3">
        <w:t xml:space="preserve"> are bias units, and </w:t>
      </w:r>
      <m:oMath>
        <m:r>
          <w:rPr>
            <w:rFonts w:ascii="Cambria Math" w:hAnsi="Cambria Math"/>
          </w:rPr>
          <m:t>f</m:t>
        </m:r>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(1+exp⁡(-</m:t>
            </m:r>
            <m:r>
              <w:rPr>
                <w:rFonts w:ascii="Cambria Math" w:hAnsi="Cambria Math"/>
              </w:rPr>
              <m:t>x</m:t>
            </m:r>
            <m:r>
              <m:rPr>
                <m:sty m:val="p"/>
              </m:rPr>
              <w:rPr>
                <w:rFonts w:ascii="Cambria Math" w:hAnsi="Cambria Math"/>
              </w:rPr>
              <m:t>))</m:t>
            </m:r>
          </m:e>
          <m:sup>
            <m:r>
              <m:rPr>
                <m:sty m:val="p"/>
              </m:rPr>
              <w:rPr>
                <w:rFonts w:ascii="Cambria Math" w:hAnsi="Cambria Math"/>
              </w:rPr>
              <m:t>-1</m:t>
            </m:r>
          </m:sup>
        </m:sSup>
      </m:oMath>
      <w:r w:rsidR="004B4492" w:rsidRPr="00CC6CA3">
        <w:t xml:space="preserve"> is the logistic sigmoid function</w:t>
      </w:r>
      <w:r w:rsidRPr="00CC6CA3">
        <w:t>.</w:t>
      </w:r>
    </w:p>
    <w:p w14:paraId="010216FB" w14:textId="77777777" w:rsidR="002122FA" w:rsidRPr="00CC6CA3" w:rsidRDefault="002122FA" w:rsidP="00055EE2">
      <w:r w:rsidRPr="00CC6CA3">
        <w:t xml:space="preserve">The second part of the cost function is the regularisation term, which is used to avoid over-fitting. In this regularisation term, </w:t>
      </w:r>
      <m:oMath>
        <m:sSub>
          <m:sSubPr>
            <m:ctrlPr>
              <w:rPr>
                <w:rFonts w:ascii="Cambria Math" w:hAnsi="Cambria Math"/>
              </w:rPr>
            </m:ctrlPr>
          </m:sSubPr>
          <m:e>
            <m:r>
              <w:rPr>
                <w:rFonts w:ascii="Cambria Math" w:hAnsi="Cambria Math"/>
              </w:rPr>
              <m:t>λ</m:t>
            </m:r>
          </m:e>
          <m:sub>
            <m:r>
              <m:rPr>
                <m:sty m:val="p"/>
              </m:rPr>
              <w:rPr>
                <w:rFonts w:ascii="Cambria Math" w:hAnsi="Cambria Math"/>
              </w:rPr>
              <m:t>1</m:t>
            </m:r>
          </m:sub>
        </m:sSub>
      </m:oMath>
      <w:r w:rsidRPr="00CC6CA3">
        <w:t xml:space="preserve"> is a weight decay factor, </w:t>
      </w:r>
      <m:oMath>
        <m:r>
          <w:rPr>
            <w:rFonts w:ascii="Cambria Math" w:hAnsi="Cambria Math"/>
          </w:rPr>
          <m:t>L</m:t>
        </m:r>
      </m:oMath>
      <w:r w:rsidRPr="00CC6CA3">
        <w:t xml:space="preserve"> represents the number of layers (including the input and output layers) in the network. </w:t>
      </w:r>
      <m:oMath>
        <m:sSub>
          <m:sSubPr>
            <m:ctrlPr>
              <w:rPr>
                <w:rFonts w:ascii="Cambria Math" w:hAnsi="Cambria Math"/>
              </w:rPr>
            </m:ctrlPr>
          </m:sSubPr>
          <m:e>
            <m:r>
              <w:rPr>
                <w:rFonts w:ascii="Cambria Math" w:hAnsi="Cambria Math"/>
              </w:rPr>
              <m:t>s</m:t>
            </m:r>
          </m:e>
          <m:sub>
            <m:r>
              <w:rPr>
                <w:rFonts w:ascii="Cambria Math" w:hAnsi="Cambria Math"/>
              </w:rPr>
              <m:t>l</m:t>
            </m:r>
          </m:sub>
        </m:sSub>
      </m:oMath>
      <w:r w:rsidRPr="00CC6CA3">
        <w:t xml:space="preserve"> denotes the number of units in layer </w:t>
      </w:r>
      <m:oMath>
        <m:r>
          <w:rPr>
            <w:rFonts w:ascii="Cambria Math" w:hAnsi="Cambria Math"/>
          </w:rPr>
          <m:t>l</m:t>
        </m:r>
      </m:oMath>
      <w:r w:rsidRPr="00CC6CA3">
        <w:t xml:space="preserve">, excluding the bias unit. </w:t>
      </w:r>
      <m:oMath>
        <m:sSubSup>
          <m:sSubSupPr>
            <m:ctrlPr>
              <w:rPr>
                <w:rFonts w:ascii="Cambria Math" w:hAnsi="Cambria Math"/>
              </w:rPr>
            </m:ctrlPr>
          </m:sSubSupPr>
          <m:e>
            <m:r>
              <w:rPr>
                <w:rFonts w:ascii="Cambria Math" w:hAnsi="Cambria Math"/>
              </w:rPr>
              <m:t>W</m:t>
            </m:r>
          </m:e>
          <m:sub>
            <m:r>
              <w:rPr>
                <w:rFonts w:ascii="Cambria Math" w:hAnsi="Cambria Math"/>
              </w:rPr>
              <m:t>ji</m:t>
            </m:r>
          </m:sub>
          <m:sup>
            <m:r>
              <m:rPr>
                <m:sty m:val="p"/>
              </m:rPr>
              <w:rPr>
                <w:rFonts w:ascii="Cambria Math" w:hAnsi="Cambria Math"/>
              </w:rPr>
              <m:t>(</m:t>
            </m:r>
            <m:r>
              <w:rPr>
                <w:rFonts w:ascii="Cambria Math" w:hAnsi="Cambria Math"/>
              </w:rPr>
              <m:t>l</m:t>
            </m:r>
            <m:r>
              <m:rPr>
                <m:sty m:val="p"/>
              </m:rPr>
              <w:rPr>
                <w:rFonts w:ascii="Cambria Math" w:hAnsi="Cambria Math"/>
              </w:rPr>
              <m:t>)</m:t>
            </m:r>
          </m:sup>
        </m:sSubSup>
      </m:oMath>
      <w:r w:rsidRPr="00CC6CA3">
        <w:t xml:space="preserve"> is the weight vector between the </w:t>
      </w:r>
      <m:oMath>
        <m:sSup>
          <m:sSupPr>
            <m:ctrlPr>
              <w:rPr>
                <w:rFonts w:ascii="Cambria Math" w:hAnsi="Cambria Math"/>
              </w:rPr>
            </m:ctrlPr>
          </m:sSupPr>
          <m:e>
            <m:r>
              <w:rPr>
                <w:rFonts w:ascii="Cambria Math" w:hAnsi="Cambria Math"/>
              </w:rPr>
              <m:t>i</m:t>
            </m:r>
          </m:e>
          <m:sup>
            <m:r>
              <w:rPr>
                <w:rFonts w:ascii="Cambria Math" w:hAnsi="Cambria Math"/>
              </w:rPr>
              <m:t>th</m:t>
            </m:r>
          </m:sup>
        </m:sSup>
      </m:oMath>
      <w:r w:rsidRPr="00CC6CA3">
        <w:t xml:space="preserve"> unit in layer </w:t>
      </w:r>
      <m:oMath>
        <m:r>
          <w:rPr>
            <w:rFonts w:ascii="Cambria Math" w:hAnsi="Cambria Math"/>
          </w:rPr>
          <m:t>l</m:t>
        </m:r>
      </m:oMath>
      <w:r w:rsidRPr="00CC6CA3">
        <w:t xml:space="preserve"> and the </w:t>
      </w:r>
      <m:oMath>
        <m:sSup>
          <m:sSupPr>
            <m:ctrlPr>
              <w:rPr>
                <w:rFonts w:ascii="Cambria Math" w:hAnsi="Cambria Math"/>
              </w:rPr>
            </m:ctrlPr>
          </m:sSupPr>
          <m:e>
            <m:r>
              <w:rPr>
                <w:rFonts w:ascii="Cambria Math" w:hAnsi="Cambria Math"/>
              </w:rPr>
              <m:t>j</m:t>
            </m:r>
          </m:e>
          <m:sup>
            <m:r>
              <w:rPr>
                <w:rFonts w:ascii="Cambria Math" w:hAnsi="Cambria Math"/>
              </w:rPr>
              <m:t>th</m:t>
            </m:r>
          </m:sup>
        </m:sSup>
      </m:oMath>
      <w:r w:rsidRPr="00CC6CA3">
        <w:t xml:space="preserve"> unit in layer </w:t>
      </w:r>
      <m:oMath>
        <m:r>
          <w:rPr>
            <w:rFonts w:ascii="Cambria Math" w:hAnsi="Cambria Math"/>
          </w:rPr>
          <m:t>l</m:t>
        </m:r>
        <m:r>
          <m:rPr>
            <m:sty m:val="p"/>
          </m:rPr>
          <w:rPr>
            <w:rFonts w:ascii="Cambria Math" w:hAnsi="Cambria Math"/>
          </w:rPr>
          <m:t>+1</m:t>
        </m:r>
      </m:oMath>
      <w:r w:rsidRPr="00CC6CA3">
        <w:t>.</w:t>
      </w:r>
    </w:p>
    <w:p w14:paraId="48384F69" w14:textId="195FFCCE" w:rsidR="002122FA" w:rsidRPr="00CC6CA3" w:rsidRDefault="00DB164A" w:rsidP="00055EE2">
      <w:r w:rsidRPr="00CC6CA3">
        <w:t xml:space="preserve">The last part of the Equation is called the sparsity regularisation term, which imposes a sparsity constraint on the hidden units. </w:t>
      </w:r>
      <m:oMath>
        <m:r>
          <w:rPr>
            <w:rFonts w:ascii="Cambria Math" w:hAnsi="Cambria Math"/>
          </w:rPr>
          <m:t>β</m:t>
        </m:r>
      </m:oMath>
      <w:r w:rsidRPr="00CC6CA3">
        <w:t xml:space="preserve"> is the weight of this term. </w:t>
      </w:r>
      <m:oMath>
        <m:sSub>
          <m:sSubPr>
            <m:ctrlPr>
              <w:rPr>
                <w:rFonts w:ascii="Cambria Math" w:hAnsi="Cambria Math"/>
              </w:rPr>
            </m:ctrlPr>
          </m:sSubPr>
          <m:e>
            <m:r>
              <w:rPr>
                <w:rFonts w:ascii="Cambria Math" w:hAnsi="Cambria Math"/>
              </w:rPr>
              <m:t>s</m:t>
            </m:r>
          </m:e>
          <m:sub>
            <m:r>
              <m:rPr>
                <m:sty m:val="p"/>
              </m:rPr>
              <w:rPr>
                <w:rFonts w:ascii="Cambria Math" w:hAnsi="Cambria Math"/>
              </w:rPr>
              <m:t>2</m:t>
            </m:r>
          </m:sub>
        </m:sSub>
      </m:oMath>
      <w:r w:rsidRPr="00CC6CA3">
        <w:t xml:space="preserve"> is the number of neurons in the hidden layer. </w:t>
      </w:r>
      <m:oMath>
        <m:r>
          <w:rPr>
            <w:rFonts w:ascii="Cambria Math" w:hAnsi="Cambria Math"/>
          </w:rPr>
          <m:t>KL</m:t>
        </m:r>
        <m:r>
          <m:rPr>
            <m:sty m:val="p"/>
          </m:rPr>
          <w:rPr>
            <w:rFonts w:ascii="Cambria Math" w:hAnsi="Cambria Math"/>
          </w:rPr>
          <m:t>(</m:t>
        </m:r>
        <m:r>
          <w:rPr>
            <w:rFonts w:ascii="Cambria Math" w:hAnsi="Cambria Math"/>
          </w:rPr>
          <m:t>ρ</m:t>
        </m:r>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ρ</m:t>
                </m:r>
              </m:e>
            </m:acc>
          </m:e>
          <m:sub>
            <m:r>
              <w:rPr>
                <w:rFonts w:ascii="Cambria Math" w:hAnsi="Cambria Math"/>
              </w:rPr>
              <m:t>H</m:t>
            </m:r>
          </m:sub>
        </m:sSub>
        <m:r>
          <m:rPr>
            <m:sty m:val="p"/>
          </m:rPr>
          <w:rPr>
            <w:rFonts w:ascii="Cambria Math" w:hAnsi="Cambria Math"/>
          </w:rPr>
          <m:t>)</m:t>
        </m:r>
      </m:oMath>
      <w:r w:rsidRPr="00CC6CA3">
        <w:t xml:space="preserve"> measures how different two distributions are, and this term is given by the Kullback–Leibler divergence function in </w:t>
      </w:r>
      <w:r w:rsidR="002122FA" w:rsidRPr="00CC6CA3">
        <w:t xml:space="preserve">Equation </w:t>
      </w:r>
      <w:r w:rsidR="002122FA" w:rsidRPr="00CC6CA3">
        <w:fldChar w:fldCharType="begin"/>
      </w:r>
      <w:r w:rsidR="002122FA" w:rsidRPr="00CC6CA3">
        <w:instrText xml:space="preserve"> REF _Ref63071643 \h </w:instrText>
      </w:r>
      <w:r w:rsidR="002122FA" w:rsidRPr="00CC6CA3">
        <w:fldChar w:fldCharType="separate"/>
      </w:r>
      <w:r w:rsidR="001906D9" w:rsidRPr="00CC6CA3">
        <w:rPr>
          <w:iCs/>
          <w:szCs w:val="24"/>
        </w:rPr>
        <w:t>(</w:t>
      </w:r>
      <w:r w:rsidR="001906D9" w:rsidRPr="00CC6CA3">
        <w:rPr>
          <w:iCs/>
          <w:noProof/>
          <w:szCs w:val="24"/>
        </w:rPr>
        <w:t>4</w:t>
      </w:r>
      <w:r w:rsidR="001906D9" w:rsidRPr="00CC6CA3">
        <w:rPr>
          <w:iCs/>
          <w:szCs w:val="24"/>
        </w:rPr>
        <w:noBreakHyphen/>
      </w:r>
      <w:r w:rsidR="001906D9" w:rsidRPr="00CC6CA3">
        <w:rPr>
          <w:iCs/>
          <w:noProof/>
          <w:szCs w:val="24"/>
        </w:rPr>
        <w:t>11)</w:t>
      </w:r>
      <w:r w:rsidR="002122FA" w:rsidRPr="00CC6CA3">
        <w:fldChar w:fldCharType="end"/>
      </w:r>
      <w:r w:rsidR="002122FA" w:rsidRPr="00CC6CA3">
        <w:t>:</w:t>
      </w:r>
    </w:p>
    <w:tbl>
      <w:tblPr>
        <w:tblW w:w="5000" w:type="pct"/>
        <w:jc w:val="center"/>
        <w:tblLook w:val="04A0" w:firstRow="1" w:lastRow="0" w:firstColumn="1" w:lastColumn="0" w:noHBand="0" w:noVBand="1"/>
      </w:tblPr>
      <w:tblGrid>
        <w:gridCol w:w="7087"/>
        <w:gridCol w:w="1678"/>
      </w:tblGrid>
      <w:tr w:rsidR="00CC6CA3" w:rsidRPr="00CC6CA3" w14:paraId="20B8BB25" w14:textId="77777777" w:rsidTr="00F632C0">
        <w:trPr>
          <w:jc w:val="center"/>
        </w:trPr>
        <w:tc>
          <w:tcPr>
            <w:tcW w:w="4043" w:type="pct"/>
            <w:vAlign w:val="center"/>
          </w:tcPr>
          <w:p w14:paraId="334B39C6" w14:textId="77777777" w:rsidR="002122FA" w:rsidRPr="00CC6CA3" w:rsidRDefault="002122FA" w:rsidP="00F632C0">
            <w:pPr>
              <w:pStyle w:val="Body"/>
            </w:pPr>
            <m:oMathPara>
              <m:oMath>
                <m:r>
                  <w:rPr>
                    <w:rFonts w:ascii="Cambria Math" w:hAnsi="Cambria Math"/>
                  </w:rPr>
                  <m:t>KL</m:t>
                </m:r>
                <m:r>
                  <m:rPr>
                    <m:sty m:val="p"/>
                  </m:rPr>
                  <w:rPr>
                    <w:rFonts w:ascii="Cambria Math" w:hAnsi="Cambria Math"/>
                  </w:rPr>
                  <m:t>(</m:t>
                </m:r>
                <m:r>
                  <w:rPr>
                    <w:rFonts w:ascii="Cambria Math" w:hAnsi="Cambria Math"/>
                  </w:rPr>
                  <m:t>ρ</m:t>
                </m:r>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ρ</m:t>
                        </m:r>
                      </m:e>
                    </m:acc>
                  </m:e>
                  <m:sub>
                    <m:r>
                      <w:rPr>
                        <w:rFonts w:ascii="Cambria Math" w:hAnsi="Cambria Math"/>
                      </w:rPr>
                      <m:t>H</m:t>
                    </m:r>
                  </m:sub>
                </m:sSub>
                <m:r>
                  <m:rPr>
                    <m:sty m:val="p"/>
                  </m:rPr>
                  <w:rPr>
                    <w:rFonts w:ascii="Cambria Math" w:hAnsi="Cambria Math"/>
                  </w:rPr>
                  <m:t>)=</m:t>
                </m:r>
                <m:r>
                  <w:rPr>
                    <w:rFonts w:ascii="Cambria Math" w:hAnsi="Cambria Math"/>
                  </w:rPr>
                  <m:t>ρlog</m:t>
                </m:r>
                <m:f>
                  <m:fPr>
                    <m:ctrlPr>
                      <w:rPr>
                        <w:rFonts w:ascii="Cambria Math" w:hAnsi="Cambria Math"/>
                      </w:rPr>
                    </m:ctrlPr>
                  </m:fPr>
                  <m:num>
                    <m:r>
                      <w:rPr>
                        <w:rFonts w:ascii="Cambria Math" w:hAnsi="Cambria Math"/>
                      </w:rPr>
                      <m:t>ρ</m:t>
                    </m:r>
                  </m:num>
                  <m:den>
                    <m:sSub>
                      <m:sSubPr>
                        <m:ctrlPr>
                          <w:rPr>
                            <w:rFonts w:ascii="Cambria Math" w:hAnsi="Cambria Math"/>
                          </w:rPr>
                        </m:ctrlPr>
                      </m:sSubPr>
                      <m:e>
                        <m:acc>
                          <m:accPr>
                            <m:chr m:val="̃"/>
                            <m:ctrlPr>
                              <w:rPr>
                                <w:rFonts w:ascii="Cambria Math" w:hAnsi="Cambria Math"/>
                              </w:rPr>
                            </m:ctrlPr>
                          </m:accPr>
                          <m:e>
                            <m:r>
                              <w:rPr>
                                <w:rFonts w:ascii="Cambria Math" w:hAnsi="Cambria Math"/>
                              </w:rPr>
                              <m:t>ρ</m:t>
                            </m:r>
                          </m:e>
                        </m:acc>
                      </m:e>
                      <m:sub>
                        <m:r>
                          <w:rPr>
                            <w:rFonts w:ascii="Cambria Math" w:hAnsi="Cambria Math"/>
                          </w:rPr>
                          <m:t>H</m:t>
                        </m:r>
                      </m:sub>
                    </m:sSub>
                  </m:den>
                </m:f>
                <m:r>
                  <m:rPr>
                    <m:sty m:val="p"/>
                  </m:rPr>
                  <w:rPr>
                    <w:rFonts w:ascii="Cambria Math" w:hAnsi="Cambria Math"/>
                  </w:rPr>
                  <m:t>+(1-</m:t>
                </m:r>
                <m:r>
                  <w:rPr>
                    <w:rFonts w:ascii="Cambria Math" w:hAnsi="Cambria Math"/>
                  </w:rPr>
                  <m:t>ρ</m:t>
                </m:r>
                <m:r>
                  <m:rPr>
                    <m:sty m:val="p"/>
                  </m:rPr>
                  <w:rPr>
                    <w:rFonts w:ascii="Cambria Math" w:hAnsi="Cambria Math"/>
                  </w:rPr>
                  <m:t>)</m:t>
                </m:r>
                <m:r>
                  <w:rPr>
                    <w:rFonts w:ascii="Cambria Math" w:hAnsi="Cambria Math"/>
                  </w:rPr>
                  <m:t>log</m:t>
                </m:r>
                <m:f>
                  <m:fPr>
                    <m:ctrlPr>
                      <w:rPr>
                        <w:rFonts w:ascii="Cambria Math" w:hAnsi="Cambria Math"/>
                      </w:rPr>
                    </m:ctrlPr>
                  </m:fPr>
                  <m:num>
                    <m:r>
                      <m:rPr>
                        <m:sty m:val="p"/>
                      </m:rPr>
                      <w:rPr>
                        <w:rFonts w:ascii="Cambria Math" w:hAnsi="Cambria Math"/>
                      </w:rPr>
                      <m:t>1-</m:t>
                    </m:r>
                    <m:r>
                      <w:rPr>
                        <w:rFonts w:ascii="Cambria Math" w:hAnsi="Cambria Math"/>
                      </w:rPr>
                      <m:t>ρ</m:t>
                    </m:r>
                  </m:num>
                  <m:den>
                    <m:r>
                      <m:rPr>
                        <m:sty m:val="p"/>
                      </m:rPr>
                      <w:rPr>
                        <w:rFonts w:ascii="Cambria Math" w:hAnsi="Cambria Math"/>
                      </w:rPr>
                      <m:t>1-</m:t>
                    </m:r>
                    <m:sSub>
                      <m:sSubPr>
                        <m:ctrlPr>
                          <w:rPr>
                            <w:rFonts w:ascii="Cambria Math" w:hAnsi="Cambria Math"/>
                          </w:rPr>
                        </m:ctrlPr>
                      </m:sSubPr>
                      <m:e>
                        <m:acc>
                          <m:accPr>
                            <m:chr m:val="̃"/>
                            <m:ctrlPr>
                              <w:rPr>
                                <w:rFonts w:ascii="Cambria Math" w:hAnsi="Cambria Math"/>
                              </w:rPr>
                            </m:ctrlPr>
                          </m:accPr>
                          <m:e>
                            <m:r>
                              <w:rPr>
                                <w:rFonts w:ascii="Cambria Math" w:hAnsi="Cambria Math"/>
                              </w:rPr>
                              <m:t>ρ</m:t>
                            </m:r>
                          </m:e>
                        </m:acc>
                      </m:e>
                      <m:sub>
                        <m:r>
                          <w:rPr>
                            <w:rFonts w:ascii="Cambria Math" w:hAnsi="Cambria Math"/>
                          </w:rPr>
                          <m:t>H</m:t>
                        </m:r>
                      </m:sub>
                    </m:sSub>
                  </m:den>
                </m:f>
              </m:oMath>
            </m:oMathPara>
          </w:p>
        </w:tc>
        <w:tc>
          <w:tcPr>
            <w:tcW w:w="957" w:type="pct"/>
            <w:vAlign w:val="center"/>
          </w:tcPr>
          <w:p w14:paraId="67F442EF" w14:textId="2F530C63" w:rsidR="002122FA" w:rsidRPr="00CC6CA3" w:rsidRDefault="002122FA" w:rsidP="00F632C0">
            <w:pPr>
              <w:pStyle w:val="Body"/>
              <w:jc w:val="right"/>
            </w:pPr>
            <w:bookmarkStart w:id="305" w:name="_Ref52399412"/>
            <w:bookmarkStart w:id="306" w:name="_Ref63071643"/>
            <w:r w:rsidRPr="00CC6CA3">
              <w:rPr>
                <w:iCs/>
                <w:szCs w:val="24"/>
              </w:rPr>
              <w:t>(</w:t>
            </w:r>
            <w:r w:rsidRPr="00CC6CA3">
              <w:rPr>
                <w:iCs/>
                <w:noProof/>
                <w:szCs w:val="24"/>
              </w:rPr>
              <w:fldChar w:fldCharType="begin"/>
            </w:r>
            <w:r w:rsidRPr="00CC6CA3">
              <w:rPr>
                <w:iCs/>
                <w:noProof/>
                <w:szCs w:val="24"/>
              </w:rPr>
              <w:instrText xml:space="preserve"> STYLEREF 1 \s </w:instrText>
            </w:r>
            <w:r w:rsidRPr="00CC6CA3">
              <w:rPr>
                <w:iCs/>
                <w:noProof/>
                <w:szCs w:val="24"/>
              </w:rPr>
              <w:fldChar w:fldCharType="separate"/>
            </w:r>
            <w:r w:rsidR="001906D9" w:rsidRPr="00CC6CA3">
              <w:rPr>
                <w:iCs/>
                <w:noProof/>
                <w:szCs w:val="24"/>
              </w:rPr>
              <w:t>4</w:t>
            </w:r>
            <w:r w:rsidRPr="00CC6CA3">
              <w:rPr>
                <w:iCs/>
                <w:noProof/>
                <w:szCs w:val="24"/>
              </w:rPr>
              <w:fldChar w:fldCharType="end"/>
            </w:r>
            <w:r w:rsidRPr="00CC6CA3">
              <w:rPr>
                <w:iCs/>
                <w:szCs w:val="24"/>
              </w:rPr>
              <w:noBreakHyphen/>
            </w:r>
            <w:r w:rsidRPr="00CC6CA3">
              <w:rPr>
                <w:iCs/>
                <w:noProof/>
                <w:szCs w:val="24"/>
              </w:rPr>
              <w:fldChar w:fldCharType="begin"/>
            </w:r>
            <w:r w:rsidRPr="00CC6CA3">
              <w:rPr>
                <w:iCs/>
                <w:noProof/>
                <w:szCs w:val="24"/>
              </w:rPr>
              <w:instrText xml:space="preserve"> SEQ Equation \* ARABIC \s 1 </w:instrText>
            </w:r>
            <w:r w:rsidRPr="00CC6CA3">
              <w:rPr>
                <w:iCs/>
                <w:noProof/>
                <w:szCs w:val="24"/>
              </w:rPr>
              <w:fldChar w:fldCharType="separate"/>
            </w:r>
            <w:r w:rsidR="001906D9" w:rsidRPr="00CC6CA3">
              <w:rPr>
                <w:iCs/>
                <w:noProof/>
                <w:szCs w:val="24"/>
              </w:rPr>
              <w:t>11</w:t>
            </w:r>
            <w:r w:rsidRPr="00CC6CA3">
              <w:rPr>
                <w:iCs/>
                <w:noProof/>
                <w:szCs w:val="24"/>
              </w:rPr>
              <w:fldChar w:fldCharType="end"/>
            </w:r>
            <w:bookmarkEnd w:id="305"/>
            <w:r w:rsidRPr="00CC6CA3">
              <w:rPr>
                <w:iCs/>
                <w:noProof/>
                <w:szCs w:val="24"/>
              </w:rPr>
              <w:t>)</w:t>
            </w:r>
            <w:bookmarkEnd w:id="306"/>
          </w:p>
        </w:tc>
      </w:tr>
    </w:tbl>
    <w:p w14:paraId="69F038A1" w14:textId="59D90352" w:rsidR="002122FA" w:rsidRPr="00CC6CA3" w:rsidRDefault="00DB164A" w:rsidP="00055EE2">
      <w:r w:rsidRPr="00CC6CA3">
        <w:t xml:space="preserve">where </w:t>
      </w:r>
      <m:oMath>
        <m:r>
          <w:rPr>
            <w:rFonts w:ascii="Cambria Math" w:hAnsi="Cambria Math"/>
          </w:rPr>
          <m:t>ρ</m:t>
        </m:r>
      </m:oMath>
      <w:r w:rsidRPr="00CC6CA3">
        <w:t xml:space="preserve"> is the sparsity </w:t>
      </w:r>
      <w:proofErr w:type="gramStart"/>
      <w:r w:rsidRPr="00CC6CA3">
        <w:t>parameter</w:t>
      </w:r>
      <w:proofErr w:type="gramEnd"/>
      <w:r w:rsidRPr="00CC6CA3">
        <w:t xml:space="preserve"> which is usually small and close to zero, </w:t>
      </w:r>
      <m:oMath>
        <m:r>
          <w:rPr>
            <w:rFonts w:ascii="Cambria Math" w:hAnsi="Cambria Math"/>
          </w:rPr>
          <m:t>H</m:t>
        </m:r>
      </m:oMath>
      <w:r w:rsidRPr="00CC6CA3">
        <w:t xml:space="preserve"> is the number of hidden units in the SAE, </w:t>
      </w:r>
      <m:oMath>
        <m:sSub>
          <m:sSubPr>
            <m:ctrlPr>
              <w:rPr>
                <w:rFonts w:ascii="Cambria Math" w:hAnsi="Cambria Math"/>
              </w:rPr>
            </m:ctrlPr>
          </m:sSubPr>
          <m:e>
            <m:acc>
              <m:accPr>
                <m:chr m:val="̃"/>
                <m:ctrlPr>
                  <w:rPr>
                    <w:rFonts w:ascii="Cambria Math" w:hAnsi="Cambria Math"/>
                  </w:rPr>
                </m:ctrlPr>
              </m:accPr>
              <m:e>
                <m:r>
                  <w:rPr>
                    <w:rFonts w:ascii="Cambria Math" w:hAnsi="Cambria Math"/>
                  </w:rPr>
                  <m:t>ρ</m:t>
                </m:r>
              </m:e>
            </m:acc>
          </m:e>
          <m:sub>
            <m:r>
              <w:rPr>
                <w:rFonts w:ascii="Cambria Math" w:hAnsi="Cambria Math"/>
              </w:rPr>
              <m:t>H</m:t>
            </m:r>
          </m:sub>
        </m:sSub>
      </m:oMath>
      <w:r w:rsidRPr="00CC6CA3">
        <w:t xml:space="preserve"> is the average activation of hidden unit </w:t>
      </w:r>
      <m:oMath>
        <m:r>
          <w:rPr>
            <w:rFonts w:ascii="Cambria Math" w:hAnsi="Cambria Math"/>
          </w:rPr>
          <m:t>j</m:t>
        </m:r>
      </m:oMath>
      <w:r w:rsidRPr="00CC6CA3">
        <w:t xml:space="preserve"> given by </w:t>
      </w:r>
      <m:oMath>
        <m:sSub>
          <m:sSubPr>
            <m:ctrlPr>
              <w:rPr>
                <w:rFonts w:ascii="Cambria Math" w:hAnsi="Cambria Math"/>
              </w:rPr>
            </m:ctrlPr>
          </m:sSubPr>
          <m:e>
            <m:acc>
              <m:accPr>
                <m:chr m:val="̃"/>
                <m:ctrlPr>
                  <w:rPr>
                    <w:rFonts w:ascii="Cambria Math" w:hAnsi="Cambria Math"/>
                  </w:rPr>
                </m:ctrlPr>
              </m:accPr>
              <m:e>
                <m:r>
                  <w:rPr>
                    <w:rFonts w:ascii="Cambria Math" w:hAnsi="Cambria Math"/>
                  </w:rPr>
                  <m:t>ρ</m:t>
                </m:r>
              </m:e>
            </m:acc>
          </m:e>
          <m:sub>
            <m:r>
              <w:rPr>
                <w:rFonts w:ascii="Cambria Math" w:hAnsi="Cambria Math"/>
              </w:rPr>
              <m:t>H</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D</m:t>
            </m:r>
          </m:den>
        </m:f>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D</m:t>
            </m:r>
          </m:sup>
          <m:e>
            <m:r>
              <m:rPr>
                <m:sty m:val="p"/>
              </m:rPr>
              <w:rPr>
                <w:rFonts w:ascii="Cambria Math" w:hAnsi="Cambria Math"/>
              </w:rPr>
              <m:t>[</m:t>
            </m:r>
            <m:sSubSup>
              <m:sSubSupPr>
                <m:ctrlPr>
                  <w:rPr>
                    <w:rFonts w:ascii="Cambria Math" w:hAnsi="Cambria Math"/>
                  </w:rPr>
                </m:ctrlPr>
              </m:sSubSupPr>
              <m:e>
                <m:r>
                  <w:rPr>
                    <w:rFonts w:ascii="Cambria Math" w:hAnsi="Cambria Math"/>
                  </w:rPr>
                  <m:t>a</m:t>
                </m:r>
              </m:e>
              <m:sub>
                <m:r>
                  <w:rPr>
                    <w:rFonts w:ascii="Cambria Math" w:hAnsi="Cambria Math"/>
                  </w:rPr>
                  <m:t>H</m:t>
                </m:r>
              </m:sub>
              <m:sup>
                <m:r>
                  <m:rPr>
                    <m:sty m:val="p"/>
                  </m:rPr>
                  <w:rPr>
                    <w:rFonts w:ascii="Cambria Math" w:hAnsi="Cambria Math"/>
                  </w:rPr>
                  <m:t>(2)</m:t>
                </m:r>
              </m:sup>
            </m:sSubSup>
            <m:sSub>
              <m:sSubPr>
                <m:ctrlPr>
                  <w:rPr>
                    <w:rFonts w:ascii="Cambria Math" w:hAnsi="Cambria Math"/>
                  </w:rPr>
                </m:ctrlPr>
              </m:sSubPr>
              <m:e>
                <m:r>
                  <w:rPr>
                    <w:rFonts w:ascii="Cambria Math" w:hAnsi="Cambria Math"/>
                  </w:rPr>
                  <m:t>x</m:t>
                </m:r>
              </m:e>
              <m:sub>
                <m:r>
                  <w:rPr>
                    <w:rFonts w:ascii="Cambria Math" w:hAnsi="Cambria Math"/>
                  </w:rPr>
                  <m:t>j</m:t>
                </m:r>
              </m:sub>
            </m:sSub>
            <m:r>
              <m:rPr>
                <m:sty m:val="p"/>
              </m:rPr>
              <w:rPr>
                <w:rFonts w:ascii="Cambria Math" w:hAnsi="Cambria Math"/>
              </w:rPr>
              <m:t>]</m:t>
            </m:r>
          </m:e>
        </m:nary>
      </m:oMath>
      <w:r w:rsidRPr="00CC6CA3">
        <w:t xml:space="preserve">. </w:t>
      </w:r>
      <m:oMath>
        <m:sSubSup>
          <m:sSubSupPr>
            <m:ctrlPr>
              <w:rPr>
                <w:rFonts w:ascii="Cambria Math" w:hAnsi="Cambria Math"/>
              </w:rPr>
            </m:ctrlPr>
          </m:sSubSupPr>
          <m:e>
            <m:r>
              <w:rPr>
                <w:rFonts w:ascii="Cambria Math" w:hAnsi="Cambria Math"/>
              </w:rPr>
              <m:t>a</m:t>
            </m:r>
          </m:e>
          <m:sub>
            <m:r>
              <w:rPr>
                <w:rFonts w:ascii="Cambria Math" w:hAnsi="Cambria Math"/>
              </w:rPr>
              <m:t>H</m:t>
            </m:r>
          </m:sub>
          <m:sup>
            <m:r>
              <m:rPr>
                <m:sty m:val="p"/>
              </m:rPr>
              <w:rPr>
                <w:rFonts w:ascii="Cambria Math" w:hAnsi="Cambria Math"/>
              </w:rPr>
              <m:t>(2)</m:t>
            </m:r>
          </m:sup>
        </m:sSubSup>
      </m:oMath>
      <w:r w:rsidRPr="00CC6CA3">
        <w:t xml:space="preserve"> represents the activation of hidden unit </w:t>
      </w:r>
      <m:oMath>
        <m:r>
          <w:rPr>
            <w:rFonts w:ascii="Cambria Math" w:hAnsi="Cambria Math"/>
          </w:rPr>
          <m:t>H</m:t>
        </m:r>
      </m:oMath>
      <w:r w:rsidRPr="00CC6CA3">
        <w:t xml:space="preserve"> in the SAE</w:t>
      </w:r>
      <w:r w:rsidR="002122FA" w:rsidRPr="00CC6CA3">
        <w:t>.</w:t>
      </w:r>
    </w:p>
    <w:p w14:paraId="3FB96F8D" w14:textId="77777777" w:rsidR="002122FA" w:rsidRPr="00CC6CA3" w:rsidRDefault="002122FA" w:rsidP="002122FA">
      <w:pPr>
        <w:pStyle w:val="Heading3"/>
      </w:pPr>
      <w:bookmarkStart w:id="307" w:name="_Toc81553281"/>
      <w:r w:rsidRPr="00CC6CA3">
        <w:t>Residual evaluation and threshold calculation</w:t>
      </w:r>
      <w:bookmarkEnd w:id="307"/>
    </w:p>
    <w:p w14:paraId="47F93FC0" w14:textId="56258D4F" w:rsidR="002122FA" w:rsidRPr="00CC6CA3" w:rsidRDefault="00625258" w:rsidP="00055EE2">
      <w:r w:rsidRPr="00CC6CA3">
        <w:t>After the fault detection models are trained using data obtained under healthy condition, the models can then be applied to condition monitoring data</w:t>
      </w:r>
      <w:r w:rsidR="002122FA" w:rsidRPr="00CC6CA3">
        <w:t xml:space="preserve">. The multivariate residuals </w:t>
      </w:r>
      <m:oMath>
        <m:r>
          <w:rPr>
            <w:rFonts w:ascii="Cambria Math" w:hAnsi="Cambria Math"/>
          </w:rPr>
          <m:t>E</m:t>
        </m:r>
      </m:oMath>
      <w:r w:rsidR="002122FA" w:rsidRPr="00CC6CA3">
        <w:t xml:space="preserve"> between the input variables </w:t>
      </w:r>
      <m:oMath>
        <m:r>
          <w:rPr>
            <w:rFonts w:ascii="Cambria Math" w:hAnsi="Cambria Math"/>
          </w:rPr>
          <m:t>X</m:t>
        </m:r>
      </m:oMath>
      <w:r w:rsidR="002122FA" w:rsidRPr="00CC6CA3">
        <w:t xml:space="preserve"> and the reconstructed outputs </w:t>
      </w:r>
      <m:oMath>
        <m:acc>
          <m:accPr>
            <m:chr m:val="̃"/>
            <m:ctrlPr>
              <w:rPr>
                <w:rFonts w:ascii="Cambria Math" w:hAnsi="Cambria Math"/>
                <w:i/>
                <w:iCs/>
              </w:rPr>
            </m:ctrlPr>
          </m:accPr>
          <m:e>
            <m:r>
              <w:rPr>
                <w:rFonts w:ascii="Cambria Math" w:hAnsi="Cambria Math"/>
              </w:rPr>
              <m:t>X</m:t>
            </m:r>
          </m:e>
        </m:acc>
      </m:oMath>
      <w:r w:rsidR="002122FA" w:rsidRPr="00CC6CA3">
        <w:t xml:space="preserve"> can be calculated as:</w:t>
      </w:r>
    </w:p>
    <w:tbl>
      <w:tblPr>
        <w:tblStyle w:val="TableGrid"/>
        <w:tblW w:w="5006"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7"/>
        <w:gridCol w:w="869"/>
      </w:tblGrid>
      <w:tr w:rsidR="00CC6CA3" w:rsidRPr="00CC6CA3" w14:paraId="24486B30" w14:textId="77777777" w:rsidTr="00F632C0">
        <w:tc>
          <w:tcPr>
            <w:tcW w:w="4505" w:type="pct"/>
          </w:tcPr>
          <w:p w14:paraId="400F8630" w14:textId="77777777" w:rsidR="002122FA" w:rsidRPr="00CC6CA3" w:rsidRDefault="002122FA" w:rsidP="00F632C0">
            <w:pPr>
              <w:pStyle w:val="Body"/>
              <w:rPr>
                <w:i/>
                <w:iCs/>
              </w:rPr>
            </w:pPr>
            <m:oMathPara>
              <m:oMath>
                <m:r>
                  <w:rPr>
                    <w:rFonts w:ascii="Cambria Math" w:hAnsi="Cambria Math"/>
                  </w:rPr>
                  <m:t>E=</m:t>
                </m:r>
                <m:acc>
                  <m:accPr>
                    <m:chr m:val="̃"/>
                    <m:ctrlPr>
                      <w:rPr>
                        <w:rFonts w:ascii="Cambria Math" w:hAnsi="Cambria Math"/>
                        <w:i/>
                        <w:iCs/>
                      </w:rPr>
                    </m:ctrlPr>
                  </m:accPr>
                  <m:e>
                    <m:r>
                      <w:rPr>
                        <w:rFonts w:ascii="Cambria Math" w:hAnsi="Cambria Math"/>
                      </w:rPr>
                      <m:t>X</m:t>
                    </m:r>
                  </m:e>
                </m:acc>
                <m:r>
                  <w:rPr>
                    <w:rFonts w:ascii="Cambria Math" w:eastAsia="微软雅黑" w:hAnsi="Cambria Math" w:cs="微软雅黑" w:hint="eastAsia"/>
                  </w:rPr>
                  <m:t>-</m:t>
                </m:r>
                <m:r>
                  <w:rPr>
                    <w:rFonts w:ascii="Cambria Math" w:hAnsi="Cambria Math"/>
                  </w:rPr>
                  <m:t>X</m:t>
                </m:r>
              </m:oMath>
            </m:oMathPara>
          </w:p>
        </w:tc>
        <w:tc>
          <w:tcPr>
            <w:tcW w:w="495" w:type="pct"/>
          </w:tcPr>
          <w:p w14:paraId="2E9BA652" w14:textId="62C02DC3" w:rsidR="002122FA" w:rsidRPr="00CC6CA3" w:rsidRDefault="002122FA" w:rsidP="00F632C0">
            <w:pPr>
              <w:pStyle w:val="Body"/>
            </w:pPr>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12</w:t>
            </w:r>
            <w:r w:rsidR="00D62691" w:rsidRPr="00CC6CA3">
              <w:rPr>
                <w:noProof/>
              </w:rPr>
              <w:fldChar w:fldCharType="end"/>
            </w:r>
            <w:r w:rsidRPr="00CC6CA3">
              <w:t>)</w:t>
            </w:r>
          </w:p>
        </w:tc>
      </w:tr>
    </w:tbl>
    <w:p w14:paraId="2F110EB0" w14:textId="1066C8F9" w:rsidR="002122FA" w:rsidRPr="00CC6CA3" w:rsidRDefault="00625258" w:rsidP="00055EE2">
      <w:r w:rsidRPr="00CC6CA3">
        <w:t xml:space="preserve">In our methodology, a fault can be detected using a system feature that integrates multivariate residuals. The Euclidean distance or the Mahalanobis distance (MD) are commonly used for such purpose. Compared to Euclidean distance, the MD can account for correlations among variables, which the Euclidean distance does not. Here the variables </w:t>
      </w:r>
      <w:r w:rsidRPr="00CC6CA3">
        <w:lastRenderedPageBreak/>
        <w:t xml:space="preserve">correlate with each other (see Chapter 3), so the use of the MD in this thesis is the more robust approach </w:t>
      </w:r>
      <w:r w:rsidRPr="00CC6CA3">
        <w:fldChar w:fldCharType="begin"/>
      </w:r>
      <w:r w:rsidR="007D1BCC" w:rsidRPr="00CC6CA3">
        <w:instrText xml:space="preserve"> ADDIN ZOTERO_ITEM CSL_CITATION {"citationID":"q5g1MKFO","properties":{"formattedCitation":"[145], [146]","plainCitation":"[145], [146]","noteIndex":0},"citationItems":[{"id":934,"uris":["http://zotero.org/users/3051968/items/TLAKRMN2"],"uri":["http://zotero.org/users/3051968/items/TLAKRMN2"],"itemData":{"id":934,"type":"article-journal","container-title":"IEEE/Asme transactions on mechatronics","issue":"1","note":"publisher: IEEE","page":"89–100","source":"Google Scholar","title":"Wind turbine fault detection using a denoising autoencoder with temporal information","volume":"23","author":[{"family":"Jiang","given":"Guoqian"},{"family":"Xie","given":"Ping"},{"family":"He","given":"Haibo"},{"family":"Yan","given":"Jun"}],"issued":{"date-parts":[["2017"]]}}},{"id":936,"uris":["http://zotero.org/users/3051968/items/YEPV59EM"],"uri":["http://zotero.org/users/3051968/items/YEPV59EM"],"itemData":{"id":936,"type":"article-journal","container-title":"Journal of Experimental Social Psychology","note":"publisher: Elsevier","page":"150–156","source":"Google Scholar","title":"Detecting multivariate outliers: Use a robust variant of the Mahalanobis distance","title-short":"Detecting multivariate outliers","volume":"74","author":[{"family":"Leys","given":"Christophe"},{"family":"Klein","given":"Olivier"},{"family":"Dominicy","given":"Yves"},{"family":"Ley","given":"Christophe"}],"issued":{"date-parts":[["2018"]]}}}],"schema":"https://github.com/citation-style-language/schema/raw/master/csl-citation.json"} </w:instrText>
      </w:r>
      <w:r w:rsidRPr="00CC6CA3">
        <w:fldChar w:fldCharType="separate"/>
      </w:r>
      <w:r w:rsidR="007D1BCC" w:rsidRPr="00CC6CA3">
        <w:rPr>
          <w:rFonts w:cs="Times New Roman"/>
        </w:rPr>
        <w:t>[145], [146]</w:t>
      </w:r>
      <w:r w:rsidRPr="00CC6CA3">
        <w:fldChar w:fldCharType="end"/>
      </w:r>
      <w:r w:rsidRPr="00CC6CA3">
        <w:t xml:space="preserve">. In the past, the MD has been applied successfully to wind turbine anomaly detection </w:t>
      </w:r>
      <w:r w:rsidRPr="00CC6CA3">
        <w:fldChar w:fldCharType="begin"/>
      </w:r>
      <w:r w:rsidR="007D1BCC" w:rsidRPr="00CC6CA3">
        <w:instrText xml:space="preserve"> ADDIN ZOTERO_ITEM CSL_CITATION {"citationID":"zyKEpVIT","properties":{"formattedCitation":"[105], [106], [145]","plainCitation":"[105], [106], [145]","noteIndex":0},"citationItems":[{"id":934,"uris":["http://zotero.org/users/3051968/items/TLAKRMN2"],"uri":["http://zotero.org/users/3051968/items/TLAKRMN2"],"itemData":{"id":934,"type":"article-journal","container-title":"IEEE/Asme transactions on mechatronics","issue":"1","note":"publisher: IEEE","page":"89–100","source":"Google Scholar","title":"Wind turbine fault detection using a denoising autoencoder with temporal information","volume":"23","author":[{"family":"Jiang","given":"Guoqian"},{"family":"Xie","given":"Ping"},{"family":"He","given":"Haibo"},{"family":"Yan","given":"Jun"}],"issued":{"date-parts":[["2017"]]}}},{"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Bertling"}],"issued":{"date-parts":[["2015",3]]}}},{"id":289,"uris":["http://zotero.org/users/3051968/items/6I2JVAZ7"],"uri":["http://zotero.org/users/3051968/items/6I2JVAZ7"],"itemData":{"id":289,"type":"article-journal","container-title":"Wind Energy","issue":"8","page":"1421–1438","source":"Google Scholar","title":"An artificial neural network-based condition monitoring method for wind turbines, with application to the monitoring of the gearbox","volume":"20","author":[{"family":"Bangalore","given":"P."},{"family":"Letzgus","given":"S."},{"family":"Karlsson","given":"D."},{"family":"Patriksson","given":"M."}],"issued":{"date-parts":[["2017"]]}}}],"schema":"https://github.com/citation-style-language/schema/raw/master/csl-citation.json"} </w:instrText>
      </w:r>
      <w:r w:rsidRPr="00CC6CA3">
        <w:fldChar w:fldCharType="separate"/>
      </w:r>
      <w:r w:rsidR="007D1BCC" w:rsidRPr="00CC6CA3">
        <w:rPr>
          <w:rFonts w:cs="Times New Roman"/>
        </w:rPr>
        <w:t>[105], [106], [145]</w:t>
      </w:r>
      <w:r w:rsidRPr="00CC6CA3">
        <w:fldChar w:fldCharType="end"/>
      </w:r>
      <w:r w:rsidRPr="00CC6CA3">
        <w:t xml:space="preserve">, and can be calculated using </w:t>
      </w:r>
      <w:r w:rsidR="002122FA" w:rsidRPr="00CC6CA3">
        <w:t xml:space="preserve">Equation </w:t>
      </w:r>
      <w:r w:rsidR="002122FA" w:rsidRPr="00CC6CA3">
        <w:fldChar w:fldCharType="begin"/>
      </w:r>
      <w:r w:rsidR="002122FA" w:rsidRPr="00CC6CA3">
        <w:instrText xml:space="preserve"> REF _Ref63293653 \h </w:instrText>
      </w:r>
      <w:r w:rsidR="002122FA" w:rsidRPr="00CC6CA3">
        <w:fldChar w:fldCharType="separate"/>
      </w:r>
      <w:r w:rsidR="001906D9" w:rsidRPr="00CC6CA3">
        <w:t>(</w:t>
      </w:r>
      <w:r w:rsidR="001906D9" w:rsidRPr="00CC6CA3">
        <w:rPr>
          <w:noProof/>
        </w:rPr>
        <w:t>4</w:t>
      </w:r>
      <w:r w:rsidR="001906D9" w:rsidRPr="00CC6CA3">
        <w:noBreakHyphen/>
      </w:r>
      <w:r w:rsidR="001906D9" w:rsidRPr="00CC6CA3">
        <w:rPr>
          <w:noProof/>
        </w:rPr>
        <w:t>13</w:t>
      </w:r>
      <w:r w:rsidR="001906D9" w:rsidRPr="00CC6CA3">
        <w:t>)</w:t>
      </w:r>
      <w:r w:rsidR="002122FA" w:rsidRPr="00CC6CA3">
        <w:fldChar w:fldCharType="end"/>
      </w:r>
      <w:r w:rsidR="002122FA" w:rsidRPr="00CC6CA3">
        <w:t>.</w:t>
      </w:r>
    </w:p>
    <w:tbl>
      <w:tblPr>
        <w:tblStyle w:val="TableGrid"/>
        <w:tblW w:w="5006"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9"/>
        <w:gridCol w:w="967"/>
      </w:tblGrid>
      <w:tr w:rsidR="00CC6CA3" w:rsidRPr="00CC6CA3" w14:paraId="71F2E919" w14:textId="77777777" w:rsidTr="00F632C0">
        <w:tc>
          <w:tcPr>
            <w:tcW w:w="4449" w:type="pct"/>
            <w:vAlign w:val="center"/>
          </w:tcPr>
          <w:p w14:paraId="3C6D4A4F" w14:textId="77777777" w:rsidR="002122FA" w:rsidRPr="00CC6CA3" w:rsidRDefault="002122FA" w:rsidP="00F632C0">
            <w:pPr>
              <w:pStyle w:val="Body"/>
            </w:pPr>
            <m:oMathPara>
              <m:oMath>
                <m:r>
                  <w:rPr>
                    <w:rFonts w:ascii="Cambria Math" w:hAnsi="Cambria Math"/>
                  </w:rPr>
                  <m:t>h</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m:t>
                    </m:r>
                    <m:r>
                      <w:rPr>
                        <w:rFonts w:ascii="Cambria Math" w:hAnsi="Cambria Math"/>
                      </w:rPr>
                      <m:t>E</m:t>
                    </m:r>
                    <m:r>
                      <m:rPr>
                        <m:sty m:val="p"/>
                      </m:rPr>
                      <w:rPr>
                        <w:rFonts w:ascii="Cambria Math" w:hAnsi="Cambria Math"/>
                      </w:rPr>
                      <m:t>-</m:t>
                    </m:r>
                    <m:acc>
                      <m:accPr>
                        <m:ctrlPr>
                          <w:rPr>
                            <w:rFonts w:ascii="Cambria Math" w:hAnsi="Cambria Math"/>
                          </w:rPr>
                        </m:ctrlPr>
                      </m:accPr>
                      <m:e>
                        <m:r>
                          <w:rPr>
                            <w:rFonts w:ascii="Cambria Math" w:hAnsi="Cambria Math"/>
                          </w:rPr>
                          <m:t>μ</m:t>
                        </m:r>
                      </m:e>
                    </m:acc>
                    <m:r>
                      <m:rPr>
                        <m:sty m:val="p"/>
                      </m:rPr>
                      <w:rPr>
                        <w:rFonts w:ascii="Cambria Math" w:hAnsi="Cambria Math"/>
                      </w:rPr>
                      <m:t>)</m:t>
                    </m:r>
                    <m:sSup>
                      <m:sSupPr>
                        <m:ctrlPr>
                          <w:rPr>
                            <w:rFonts w:ascii="Cambria Math" w:hAnsi="Cambria Math"/>
                          </w:rPr>
                        </m:ctrlPr>
                      </m:sSupPr>
                      <m:e>
                        <m:r>
                          <w:rPr>
                            <w:rFonts w:ascii="Cambria Math" w:hAnsi="Cambria Math"/>
                          </w:rPr>
                          <m:t>MCD</m:t>
                        </m:r>
                      </m:e>
                      <m:sup>
                        <m:r>
                          <m:rPr>
                            <m:sty m:val="p"/>
                          </m:rPr>
                          <w:rPr>
                            <w:rFonts w:ascii="Cambria Math" w:hAnsi="Cambria Math"/>
                          </w:rPr>
                          <m:t>-1</m:t>
                        </m:r>
                      </m:sup>
                    </m:sSup>
                    <m:r>
                      <m:rPr>
                        <m:sty m:val="p"/>
                      </m:rPr>
                      <w:rPr>
                        <w:rFonts w:ascii="Cambria Math" w:hAnsi="Cambria Math"/>
                      </w:rPr>
                      <m:t>(</m:t>
                    </m:r>
                    <m:r>
                      <w:rPr>
                        <w:rFonts w:ascii="Cambria Math" w:hAnsi="Cambria Math"/>
                      </w:rPr>
                      <m:t>E</m:t>
                    </m:r>
                    <m:r>
                      <m:rPr>
                        <m:sty m:val="p"/>
                      </m:rPr>
                      <w:rPr>
                        <w:rFonts w:ascii="Cambria Math" w:hAnsi="Cambria Math"/>
                      </w:rPr>
                      <m:t>-</m:t>
                    </m:r>
                    <m:acc>
                      <m:accPr>
                        <m:ctrlPr>
                          <w:rPr>
                            <w:rFonts w:ascii="Cambria Math" w:hAnsi="Cambria Math"/>
                          </w:rPr>
                        </m:ctrlPr>
                      </m:accPr>
                      <m:e>
                        <m:r>
                          <w:rPr>
                            <w:rFonts w:ascii="Cambria Math" w:hAnsi="Cambria Math"/>
                          </w:rPr>
                          <m:t>μ</m:t>
                        </m:r>
                      </m:e>
                    </m:acc>
                    <m:sSup>
                      <m:sSupPr>
                        <m:ctrlPr>
                          <w:rPr>
                            <w:rFonts w:ascii="Cambria Math" w:hAnsi="Cambria Math"/>
                          </w:rPr>
                        </m:ctrlPr>
                      </m:sSupPr>
                      <m:e>
                        <m:r>
                          <m:rPr>
                            <m:sty m:val="p"/>
                          </m:rPr>
                          <w:rPr>
                            <w:rFonts w:ascii="Cambria Math" w:hAnsi="Cambria Math"/>
                          </w:rPr>
                          <m:t>)</m:t>
                        </m:r>
                      </m:e>
                      <m:sup>
                        <m:r>
                          <m:rPr>
                            <m:nor/>
                          </m:rPr>
                          <m:t>T</m:t>
                        </m:r>
                      </m:sup>
                    </m:sSup>
                  </m:e>
                </m:rad>
              </m:oMath>
            </m:oMathPara>
          </w:p>
        </w:tc>
        <w:tc>
          <w:tcPr>
            <w:tcW w:w="551" w:type="pct"/>
            <w:vAlign w:val="center"/>
          </w:tcPr>
          <w:p w14:paraId="47C88068" w14:textId="4CD415FC" w:rsidR="002122FA" w:rsidRPr="00CC6CA3" w:rsidRDefault="002122FA" w:rsidP="00F632C0">
            <w:pPr>
              <w:pStyle w:val="Body"/>
            </w:pPr>
            <w:bookmarkStart w:id="308" w:name="_Ref63293653"/>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13</w:t>
            </w:r>
            <w:r w:rsidR="00D62691" w:rsidRPr="00CC6CA3">
              <w:rPr>
                <w:noProof/>
              </w:rPr>
              <w:fldChar w:fldCharType="end"/>
            </w:r>
            <w:r w:rsidRPr="00CC6CA3">
              <w:t>)</w:t>
            </w:r>
            <w:bookmarkEnd w:id="308"/>
          </w:p>
        </w:tc>
      </w:tr>
    </w:tbl>
    <w:p w14:paraId="0EE563B0" w14:textId="7D705D41" w:rsidR="002122FA" w:rsidRPr="00CC6CA3" w:rsidRDefault="002122FA" w:rsidP="00055EE2">
      <w:r w:rsidRPr="00CC6CA3">
        <w:t xml:space="preserve">where </w:t>
      </w:r>
      <m:oMath>
        <m:r>
          <w:rPr>
            <w:rFonts w:ascii="Cambria Math" w:hAnsi="Cambria Math"/>
          </w:rPr>
          <m:t>h</m:t>
        </m:r>
      </m:oMath>
      <w:r w:rsidRPr="00CC6CA3">
        <w:t xml:space="preserve"> is the system feature represented by MD. </w:t>
      </w:r>
      <m:oMath>
        <m:acc>
          <m:accPr>
            <m:ctrlPr>
              <w:rPr>
                <w:rFonts w:ascii="Cambria Math" w:hAnsi="Cambria Math"/>
              </w:rPr>
            </m:ctrlPr>
          </m:accPr>
          <m:e>
            <m:r>
              <w:rPr>
                <w:rFonts w:ascii="Cambria Math" w:hAnsi="Cambria Math"/>
              </w:rPr>
              <m:t>μ</m:t>
            </m:r>
          </m:e>
        </m:acc>
      </m:oMath>
      <w:r w:rsidRPr="00CC6CA3">
        <w:t xml:space="preserve"> is the robust measure of central tendency (the median) and </w:t>
      </w:r>
      <m:oMath>
        <m:sSup>
          <m:sSupPr>
            <m:ctrlPr>
              <w:rPr>
                <w:rStyle w:val="mi"/>
                <w:rFonts w:ascii="Cambria Math" w:hAnsi="Cambria Math"/>
              </w:rPr>
            </m:ctrlPr>
          </m:sSupPr>
          <m:e>
            <m:r>
              <w:rPr>
                <w:rStyle w:val="mi"/>
                <w:rFonts w:ascii="Cambria Math" w:hAnsi="Cambria Math"/>
              </w:rPr>
              <m:t>MCD</m:t>
            </m:r>
          </m:e>
          <m:sup>
            <m:r>
              <m:rPr>
                <m:sty m:val="p"/>
              </m:rPr>
              <w:rPr>
                <w:rStyle w:val="mi"/>
                <w:rFonts w:ascii="Cambria Math" w:hAnsi="Cambria Math"/>
              </w:rPr>
              <m:t>-1</m:t>
            </m:r>
          </m:sup>
        </m:sSup>
      </m:oMath>
      <w:r w:rsidRPr="00CC6CA3">
        <w:t xml:space="preserve"> is the inverse covariance matrix </w:t>
      </w:r>
      <w:r w:rsidRPr="00CC6CA3">
        <w:fldChar w:fldCharType="begin"/>
      </w:r>
      <w:r w:rsidR="007D1BCC" w:rsidRPr="00CC6CA3">
        <w:instrText xml:space="preserve"> ADDIN ZOTERO_ITEM CSL_CITATION {"citationID":"1ssi3LgG","properties":{"formattedCitation":"[146]","plainCitation":"[146]","noteIndex":0},"citationItems":[{"id":936,"uris":["http://zotero.org/users/3051968/items/YEPV59EM"],"uri":["http://zotero.org/users/3051968/items/YEPV59EM"],"itemData":{"id":936,"type":"article-journal","container-title":"Journal of Experimental Social Psychology","note":"publisher: Elsevier","page":"150–156","source":"Google Scholar","title":"Detecting multivariate outliers: Use a robust variant of the Mahalanobis distance","title-short":"Detecting multivariate outliers","volume":"74","author":[{"family":"Leys","given":"Christophe"},{"family":"Klein","given":"Olivier"},{"family":"Dominicy","given":"Yves"},{"family":"Ley","given":"Christophe"}],"issued":{"date-parts":[["2018"]]}}}],"schema":"https://github.com/citation-style-language/schema/raw/master/csl-citation.json"} </w:instrText>
      </w:r>
      <w:r w:rsidRPr="00CC6CA3">
        <w:fldChar w:fldCharType="separate"/>
      </w:r>
      <w:r w:rsidR="007D1BCC" w:rsidRPr="00CC6CA3">
        <w:rPr>
          <w:rFonts w:cs="Times New Roman"/>
        </w:rPr>
        <w:t>[146]</w:t>
      </w:r>
      <w:r w:rsidRPr="00CC6CA3">
        <w:fldChar w:fldCharType="end"/>
      </w:r>
      <w:r w:rsidRPr="00CC6CA3">
        <w:t xml:space="preserve">. </w:t>
      </w:r>
    </w:p>
    <w:p w14:paraId="3040BFF0" w14:textId="0D60532C" w:rsidR="002122FA" w:rsidRPr="00CC6CA3" w:rsidRDefault="008A0075" w:rsidP="00055EE2">
      <w:r w:rsidRPr="00CC6CA3">
        <w:t xml:space="preserve">The fault detection threshold </w:t>
      </w:r>
      <m:oMath>
        <m:r>
          <w:rPr>
            <w:rFonts w:ascii="Cambria Math" w:hAnsi="Cambria Math"/>
          </w:rPr>
          <m:t>d</m:t>
        </m:r>
      </m:oMath>
      <w:r w:rsidRPr="00CC6CA3">
        <w:t xml:space="preserve"> of system feature </w:t>
      </w:r>
      <m:oMath>
        <m:r>
          <w:rPr>
            <w:rFonts w:ascii="Cambria Math" w:hAnsi="Cambria Math"/>
          </w:rPr>
          <m:t>h</m:t>
        </m:r>
      </m:oMath>
      <w:r w:rsidRPr="00CC6CA3">
        <w:t xml:space="preserve"> is calculated using the probability density function (PDF) of </w:t>
      </w:r>
      <m:oMath>
        <m:r>
          <w:rPr>
            <w:rFonts w:ascii="Cambria Math" w:hAnsi="Cambria Math"/>
          </w:rPr>
          <m:t>h</m:t>
        </m:r>
      </m:oMath>
      <w:r w:rsidRPr="00CC6CA3">
        <w:t xml:space="preserve"> at a given confidence level </w:t>
      </w:r>
      <m:oMath>
        <m:r>
          <w:rPr>
            <w:rFonts w:ascii="Cambria Math" w:hAnsi="Cambria Math"/>
          </w:rPr>
          <m:t>α</m:t>
        </m:r>
      </m:oMath>
      <w:r w:rsidRPr="00CC6CA3">
        <w:t xml:space="preserve">. </w:t>
      </w:r>
      <w:r w:rsidR="002122FA" w:rsidRPr="00CC6CA3">
        <w:t xml:space="preserve">This process can be described by Equation </w:t>
      </w:r>
      <w:r w:rsidR="002122FA" w:rsidRPr="00CC6CA3">
        <w:fldChar w:fldCharType="begin"/>
      </w:r>
      <w:r w:rsidR="002122FA" w:rsidRPr="00CC6CA3">
        <w:instrText xml:space="preserve"> REF _Ref48489010 \h </w:instrText>
      </w:r>
      <w:r w:rsidR="002122FA" w:rsidRPr="00CC6CA3">
        <w:fldChar w:fldCharType="separate"/>
      </w:r>
      <w:r w:rsidR="001906D9" w:rsidRPr="00CC6CA3">
        <w:t>(</w:t>
      </w:r>
      <w:r w:rsidR="001906D9" w:rsidRPr="00CC6CA3">
        <w:rPr>
          <w:noProof/>
        </w:rPr>
        <w:t>4</w:t>
      </w:r>
      <w:r w:rsidR="001906D9" w:rsidRPr="00CC6CA3">
        <w:noBreakHyphen/>
      </w:r>
      <w:r w:rsidR="001906D9" w:rsidRPr="00CC6CA3">
        <w:rPr>
          <w:noProof/>
        </w:rPr>
        <w:t>14</w:t>
      </w:r>
      <w:r w:rsidR="001906D9" w:rsidRPr="00CC6CA3">
        <w:t>)</w:t>
      </w:r>
      <w:r w:rsidR="002122FA" w:rsidRPr="00CC6CA3">
        <w:fldChar w:fldCharType="end"/>
      </w:r>
      <w:r w:rsidR="002122FA"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9"/>
        <w:gridCol w:w="816"/>
      </w:tblGrid>
      <w:tr w:rsidR="00CC6CA3" w:rsidRPr="00CC6CA3" w14:paraId="136C28B5" w14:textId="77777777" w:rsidTr="00F632C0">
        <w:tc>
          <w:tcPr>
            <w:tcW w:w="4684" w:type="pct"/>
            <w:vAlign w:val="center"/>
          </w:tcPr>
          <w:p w14:paraId="3F10214B" w14:textId="77777777" w:rsidR="002122FA" w:rsidRPr="00CC6CA3" w:rsidRDefault="002122FA" w:rsidP="00F632C0">
            <w:pPr>
              <w:pStyle w:val="Body"/>
            </w:pPr>
            <m:oMathPara>
              <m:oMath>
                <m:r>
                  <w:rPr>
                    <w:rFonts w:ascii="Cambria Math" w:hAnsi="Cambria Math"/>
                  </w:rPr>
                  <m:t>P</m:t>
                </m:r>
                <m:r>
                  <m:rPr>
                    <m:sty m:val="p"/>
                  </m:rPr>
                  <w:rPr>
                    <w:rFonts w:ascii="Cambria Math" w:hAnsi="Cambria Math"/>
                  </w:rPr>
                  <m:t>(</m:t>
                </m:r>
                <m:r>
                  <w:rPr>
                    <w:rFonts w:ascii="Cambria Math" w:hAnsi="Cambria Math"/>
                  </w:rPr>
                  <m:t>h</m:t>
                </m:r>
                <m:r>
                  <m:rPr>
                    <m:sty m:val="p"/>
                  </m:rPr>
                  <w:rPr>
                    <w:rFonts w:ascii="Cambria Math" w:hAnsi="Cambria Math"/>
                  </w:rPr>
                  <m:t>&lt;</m:t>
                </m:r>
                <m:r>
                  <w:rPr>
                    <w:rFonts w:ascii="Cambria Math" w:hAnsi="Cambria Math"/>
                  </w:rPr>
                  <m:t>d</m:t>
                </m:r>
                <m:r>
                  <m:rPr>
                    <m:sty m:val="p"/>
                  </m:rPr>
                  <w:rPr>
                    <w:rFonts w:ascii="Cambria Math" w:hAnsi="Cambria Math"/>
                  </w:rPr>
                  <m:t>)=</m:t>
                </m:r>
                <m:nary>
                  <m:naryPr>
                    <m:limLoc m:val="subSup"/>
                    <m:grow m:val="1"/>
                    <m:ctrlPr>
                      <w:rPr>
                        <w:rFonts w:ascii="Cambria Math" w:hAnsi="Cambria Math"/>
                      </w:rPr>
                    </m:ctrlPr>
                  </m:naryPr>
                  <m:sub>
                    <m:r>
                      <m:rPr>
                        <m:sty m:val="p"/>
                      </m:rPr>
                      <w:rPr>
                        <w:rFonts w:ascii="Cambria Math" w:hAnsi="Cambria Math"/>
                      </w:rPr>
                      <m:t>-</m:t>
                    </m:r>
                    <m:r>
                      <m:rPr>
                        <m:sty m:val="p"/>
                      </m:rPr>
                      <w:rPr>
                        <w:rFonts w:ascii="Cambria Math" w:hAnsi="Cambria Math" w:hint="eastAsia"/>
                      </w:rPr>
                      <m:t>∞</m:t>
                    </m:r>
                  </m:sub>
                  <m:sup>
                    <m:r>
                      <w:rPr>
                        <w:rFonts w:ascii="Cambria Math" w:hAnsi="Cambria Math"/>
                      </w:rPr>
                      <m:t>d</m:t>
                    </m:r>
                  </m:sup>
                  <m:e>
                    <m:r>
                      <w:rPr>
                        <w:rFonts w:ascii="Cambria Math" w:hAnsi="Cambria Math"/>
                      </w:rPr>
                      <m:t>p</m:t>
                    </m:r>
                    <m:r>
                      <m:rPr>
                        <m:sty m:val="p"/>
                      </m:rPr>
                      <w:rPr>
                        <w:rFonts w:ascii="Cambria Math" w:hAnsi="Cambria Math"/>
                      </w:rPr>
                      <m:t>(</m:t>
                    </m:r>
                    <m:r>
                      <w:rPr>
                        <w:rFonts w:ascii="Cambria Math" w:hAnsi="Cambria Math"/>
                      </w:rPr>
                      <m:t>h</m:t>
                    </m:r>
                    <m:r>
                      <m:rPr>
                        <m:sty m:val="p"/>
                      </m:rPr>
                      <w:rPr>
                        <w:rFonts w:ascii="Cambria Math" w:hAnsi="Cambria Math"/>
                      </w:rPr>
                      <m:t>)</m:t>
                    </m:r>
                    <m:r>
                      <w:rPr>
                        <w:rFonts w:ascii="Cambria Math" w:hAnsi="Cambria Math"/>
                      </w:rPr>
                      <m:t>dh</m:t>
                    </m:r>
                    <m:r>
                      <m:rPr>
                        <m:sty m:val="p"/>
                      </m:rPr>
                      <w:rPr>
                        <w:rFonts w:ascii="Cambria Math" w:hAnsi="Cambria Math"/>
                      </w:rPr>
                      <m:t>=</m:t>
                    </m:r>
                    <m:r>
                      <w:rPr>
                        <w:rFonts w:ascii="Cambria Math" w:hAnsi="Cambria Math"/>
                      </w:rPr>
                      <m:t>α</m:t>
                    </m:r>
                  </m:e>
                </m:nary>
              </m:oMath>
            </m:oMathPara>
          </w:p>
        </w:tc>
        <w:tc>
          <w:tcPr>
            <w:tcW w:w="316" w:type="pct"/>
            <w:vAlign w:val="center"/>
          </w:tcPr>
          <w:p w14:paraId="68DA228B" w14:textId="25EED802" w:rsidR="002122FA" w:rsidRPr="00CC6CA3" w:rsidRDefault="002122FA" w:rsidP="00F632C0">
            <w:pPr>
              <w:pStyle w:val="Body"/>
            </w:pPr>
            <w:bookmarkStart w:id="309" w:name="_Ref48489010"/>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14</w:t>
            </w:r>
            <w:r w:rsidR="00D62691" w:rsidRPr="00CC6CA3">
              <w:rPr>
                <w:noProof/>
              </w:rPr>
              <w:fldChar w:fldCharType="end"/>
            </w:r>
            <w:r w:rsidRPr="00CC6CA3">
              <w:t>)</w:t>
            </w:r>
            <w:bookmarkEnd w:id="309"/>
          </w:p>
        </w:tc>
      </w:tr>
    </w:tbl>
    <w:p w14:paraId="3762650C" w14:textId="450FF00B" w:rsidR="002122FA" w:rsidRPr="00CC6CA3" w:rsidRDefault="002122FA" w:rsidP="00055EE2">
      <w:r w:rsidRPr="00CC6CA3">
        <w:t xml:space="preserve">where </w:t>
      </w:r>
      <m:oMath>
        <m:r>
          <w:rPr>
            <w:rFonts w:ascii="Cambria Math" w:hAnsi="Cambria Math"/>
          </w:rPr>
          <m:t>p</m:t>
        </m:r>
        <m:r>
          <m:rPr>
            <m:sty m:val="p"/>
          </m:rPr>
          <w:rPr>
            <w:rFonts w:ascii="Cambria Math" w:hAnsi="Cambria Math"/>
          </w:rPr>
          <m:t>(</m:t>
        </m:r>
        <m:r>
          <w:rPr>
            <w:rFonts w:ascii="Cambria Math" w:hAnsi="Cambria Math"/>
          </w:rPr>
          <m:t>h</m:t>
        </m:r>
        <m:r>
          <m:rPr>
            <m:sty m:val="p"/>
          </m:rPr>
          <w:rPr>
            <w:rFonts w:ascii="Cambria Math" w:hAnsi="Cambria Math"/>
          </w:rPr>
          <m:t>)</m:t>
        </m:r>
      </m:oMath>
      <w:r w:rsidRPr="00CC6CA3">
        <w:t xml:space="preserve"> is the PDF function of </w:t>
      </w:r>
      <m:oMath>
        <m:r>
          <w:rPr>
            <w:rFonts w:ascii="Cambria Math" w:hAnsi="Cambria Math"/>
          </w:rPr>
          <m:t>h</m:t>
        </m:r>
      </m:oMath>
      <w:r w:rsidRPr="00CC6CA3">
        <w:t xml:space="preserve">. In this chapter, the kernel density estimation (KDE) method is adopted for distribution fitting. The KDE method is a well-established approach in statistical distribution fitting and has been successfully applied to the field of </w:t>
      </w:r>
      <w:r w:rsidR="008A0075" w:rsidRPr="00CC6CA3">
        <w:t xml:space="preserve">process </w:t>
      </w:r>
      <w:r w:rsidRPr="00CC6CA3">
        <w:t xml:space="preserve">monitoring and fault detection </w:t>
      </w:r>
      <w:r w:rsidRPr="00CC6CA3">
        <w:fldChar w:fldCharType="begin"/>
      </w:r>
      <w:r w:rsidR="007D1BCC" w:rsidRPr="00CC6CA3">
        <w:instrText xml:space="preserve"> ADDIN ZOTERO_ITEM CSL_CITATION {"citationID":"Lagma49C","properties":{"formattedCitation":"[145]","plainCitation":"[145]","noteIndex":0},"citationItems":[{"id":934,"uris":["http://zotero.org/users/3051968/items/TLAKRMN2"],"uri":["http://zotero.org/users/3051968/items/TLAKRMN2"],"itemData":{"id":934,"type":"article-journal","container-title":"IEEE/Asme transactions on mechatronics","issue":"1","note":"publisher: IEEE","page":"89–100","source":"Google Scholar","title":"Wind turbine fault detection using a denoising autoencoder with temporal information","volume":"23","author":[{"family":"Jiang","given":"Guoqian"},{"family":"Xie","given":"Ping"},{"family":"He","given":"Haibo"},{"family":"Yan","given":"Jun"}],"issued":{"date-parts":[["2017"]]}}}],"schema":"https://github.com/citation-style-language/schema/raw/master/csl-citation.json"} </w:instrText>
      </w:r>
      <w:r w:rsidRPr="00CC6CA3">
        <w:fldChar w:fldCharType="separate"/>
      </w:r>
      <w:r w:rsidR="007D1BCC" w:rsidRPr="00CC6CA3">
        <w:rPr>
          <w:rFonts w:cs="Times New Roman"/>
        </w:rPr>
        <w:t>[145]</w:t>
      </w:r>
      <w:r w:rsidRPr="00CC6CA3">
        <w:fldChar w:fldCharType="end"/>
      </w:r>
      <w:r w:rsidRPr="00CC6CA3">
        <w:t xml:space="preserve">. According to the KDE method, </w:t>
      </w:r>
      <m:oMath>
        <m:r>
          <w:rPr>
            <w:rFonts w:ascii="Cambria Math" w:hAnsi="Cambria Math"/>
          </w:rPr>
          <m:t>p</m:t>
        </m:r>
        <m:r>
          <m:rPr>
            <m:sty m:val="p"/>
          </m:rPr>
          <w:rPr>
            <w:rFonts w:ascii="Cambria Math" w:hAnsi="Cambria Math"/>
          </w:rPr>
          <m:t>(</m:t>
        </m:r>
        <m:r>
          <w:rPr>
            <w:rFonts w:ascii="Cambria Math" w:hAnsi="Cambria Math"/>
          </w:rPr>
          <m:t>h</m:t>
        </m:r>
        <m:r>
          <m:rPr>
            <m:sty m:val="p"/>
          </m:rPr>
          <w:rPr>
            <w:rFonts w:ascii="Cambria Math" w:hAnsi="Cambria Math"/>
          </w:rPr>
          <m:t>)</m:t>
        </m:r>
      </m:oMath>
      <w:r w:rsidRPr="00CC6CA3">
        <w:t xml:space="preserve">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9"/>
        <w:gridCol w:w="816"/>
      </w:tblGrid>
      <w:tr w:rsidR="00CC6CA3" w:rsidRPr="00CC6CA3" w14:paraId="680D2650" w14:textId="77777777" w:rsidTr="00F632C0">
        <w:tc>
          <w:tcPr>
            <w:tcW w:w="4684" w:type="pct"/>
            <w:vAlign w:val="center"/>
          </w:tcPr>
          <w:p w14:paraId="54CB472A" w14:textId="77777777" w:rsidR="002122FA" w:rsidRPr="00CC6CA3" w:rsidRDefault="00D62691" w:rsidP="00F632C0">
            <w:pPr>
              <w:pStyle w:val="Body"/>
            </w:pPr>
            <m:oMathPara>
              <m:oMath>
                <m:eqArr>
                  <m:eqArrPr>
                    <m:ctrlPr>
                      <w:rPr>
                        <w:rFonts w:ascii="Cambria Math" w:hAnsi="Cambria Math"/>
                      </w:rPr>
                    </m:ctrlPr>
                  </m:eqArrPr>
                  <m:e>
                    <m:r>
                      <w:rPr>
                        <w:rFonts w:ascii="Cambria Math" w:hAnsi="Cambria Math"/>
                      </w:rPr>
                      <m:t>p</m:t>
                    </m:r>
                    <m:r>
                      <m:rPr>
                        <m:sty m:val="p"/>
                      </m:rPr>
                      <w:rPr>
                        <w:rFonts w:ascii="Cambria Math" w:hAnsi="Cambria Math"/>
                      </w:rPr>
                      <m:t>(</m:t>
                    </m:r>
                    <m:r>
                      <w:rPr>
                        <w:rFonts w:ascii="Cambria Math" w:hAnsi="Cambria Math"/>
                      </w:rPr>
                      <m:t>h</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Nσ</m:t>
                        </m:r>
                      </m:den>
                    </m:f>
                    <m:nary>
                      <m:naryPr>
                        <m:chr m:val="∑"/>
                        <m:limLoc m:val="undOvr"/>
                        <m:grow m:val="1"/>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i</m:t>
                                </m:r>
                              </m:sub>
                            </m:sSub>
                          </m:num>
                          <m:den>
                            <m:r>
                              <w:rPr>
                                <w:rFonts w:ascii="Cambria Math" w:hAnsi="Cambria Math"/>
                              </w:rPr>
                              <m:t>σ</m:t>
                            </m:r>
                          </m:den>
                        </m:f>
                      </m:e>
                    </m:nary>
                    <m:r>
                      <m:rPr>
                        <m:sty m:val="p"/>
                      </m:rPr>
                      <w:rPr>
                        <w:rFonts w:ascii="Cambria Math" w:hAnsi="Cambria Math"/>
                      </w:rPr>
                      <m:t>)</m:t>
                    </m:r>
                  </m:e>
                </m:eqArr>
              </m:oMath>
            </m:oMathPara>
          </w:p>
        </w:tc>
        <w:tc>
          <w:tcPr>
            <w:tcW w:w="316" w:type="pct"/>
            <w:vAlign w:val="center"/>
          </w:tcPr>
          <w:p w14:paraId="1575ECE1" w14:textId="024E5895" w:rsidR="002122FA" w:rsidRPr="00CC6CA3" w:rsidRDefault="002122FA" w:rsidP="00F632C0">
            <w:pPr>
              <w:pStyle w:val="Body"/>
            </w:pPr>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15</w:t>
            </w:r>
            <w:r w:rsidR="00D62691" w:rsidRPr="00CC6CA3">
              <w:rPr>
                <w:noProof/>
              </w:rPr>
              <w:fldChar w:fldCharType="end"/>
            </w:r>
            <w:r w:rsidRPr="00CC6CA3">
              <w:t>)</w:t>
            </w:r>
          </w:p>
        </w:tc>
      </w:tr>
    </w:tbl>
    <w:p w14:paraId="5B83BC34" w14:textId="77777777" w:rsidR="002122FA" w:rsidRPr="00CC6CA3" w:rsidRDefault="002122FA" w:rsidP="00055EE2">
      <w:r w:rsidRPr="00CC6CA3">
        <w:t xml:space="preserve">where </w:t>
      </w:r>
      <m:oMath>
        <m:r>
          <w:rPr>
            <w:rFonts w:ascii="Cambria Math" w:hAnsi="Cambria Math"/>
          </w:rPr>
          <m:t>N</m:t>
        </m:r>
      </m:oMath>
      <w:r w:rsidRPr="00CC6CA3">
        <w:t xml:space="preserve"> is the total number of </w:t>
      </w:r>
      <m:oMath>
        <m:r>
          <w:rPr>
            <w:rFonts w:ascii="Cambria Math" w:hAnsi="Cambria Math"/>
          </w:rPr>
          <m:t>h</m:t>
        </m:r>
      </m:oMath>
      <w:r w:rsidRPr="00CC6CA3">
        <w:t xml:space="preserve">. </w:t>
      </w:r>
      <m:oMath>
        <m:r>
          <w:rPr>
            <w:rFonts w:ascii="Cambria Math" w:hAnsi="Cambria Math"/>
          </w:rPr>
          <m:t>K</m:t>
        </m:r>
        <m:r>
          <m:rPr>
            <m:sty m:val="p"/>
          </m:rPr>
          <w:rPr>
            <w:rFonts w:ascii="Cambria Math" w:hAnsi="Cambria Math"/>
          </w:rPr>
          <m:t>(⋅)</m:t>
        </m:r>
      </m:oMath>
      <w:r w:rsidRPr="00CC6CA3">
        <w:t xml:space="preserve"> is the kernel function, and </w:t>
      </w:r>
      <m:oMath>
        <m:r>
          <w:rPr>
            <w:rFonts w:ascii="Cambria Math" w:hAnsi="Cambria Math"/>
          </w:rPr>
          <m:t>σ</m:t>
        </m:r>
      </m:oMath>
      <w:r w:rsidRPr="00CC6CA3">
        <w:t xml:space="preserve"> is the </w:t>
      </w:r>
      <w:proofErr w:type="gramStart"/>
      <w:r w:rsidRPr="00CC6CA3">
        <w:t>bandwidth.</w:t>
      </w:r>
      <w:proofErr w:type="gramEnd"/>
    </w:p>
    <w:p w14:paraId="67D7FB5E" w14:textId="77777777" w:rsidR="002122FA" w:rsidRPr="00CC6CA3" w:rsidRDefault="002122FA" w:rsidP="002122FA">
      <w:pPr>
        <w:pStyle w:val="Heading3"/>
      </w:pPr>
      <w:bookmarkStart w:id="310" w:name="_Toc81553282"/>
      <w:r w:rsidRPr="00CC6CA3">
        <w:t xml:space="preserve">Fault analysis using </w:t>
      </w:r>
      <m:oMath>
        <m:r>
          <m:rPr>
            <m:sty m:val="bi"/>
          </m:rPr>
          <w:rPr>
            <w:rFonts w:ascii="Cambria Math" w:hAnsi="Cambria Math"/>
          </w:rPr>
          <m:t>Q</m:t>
        </m:r>
      </m:oMath>
      <w:r w:rsidRPr="00CC6CA3">
        <w:t xml:space="preserve"> statistic</w:t>
      </w:r>
      <w:bookmarkEnd w:id="310"/>
    </w:p>
    <w:p w14:paraId="63D3353D" w14:textId="054D5769" w:rsidR="002122FA" w:rsidRPr="00CC6CA3" w:rsidRDefault="007F233F" w:rsidP="00055EE2">
      <w:r w:rsidRPr="00CC6CA3">
        <w:t xml:space="preserve">In this thesis, a reconstruction-based </w:t>
      </w:r>
      <m:oMath>
        <m:r>
          <w:rPr>
            <w:rFonts w:ascii="Cambria Math" w:hAnsi="Cambria Math"/>
          </w:rPr>
          <m:t>Q</m:t>
        </m:r>
      </m:oMath>
      <w:r w:rsidRPr="00CC6CA3">
        <w:t xml:space="preserve"> statistic contribution map is employed to identify the abnormal variables indicating the presence of a fault. </w:t>
      </w:r>
      <w:r w:rsidR="002122FA" w:rsidRPr="00CC6CA3">
        <w:t xml:space="preserve">The conventional one-dimensional </w:t>
      </w:r>
      <m:oMath>
        <m:r>
          <w:rPr>
            <w:rFonts w:ascii="Cambria Math" w:hAnsi="Cambria Math"/>
          </w:rPr>
          <m:t>Q</m:t>
        </m:r>
      </m:oMath>
      <w:r w:rsidR="002122FA" w:rsidRPr="00CC6CA3">
        <w:t xml:space="preserve"> statistic contribution plot can be expressed by Equation </w:t>
      </w:r>
      <w:r w:rsidR="002122FA" w:rsidRPr="00CC6CA3">
        <w:fldChar w:fldCharType="begin"/>
      </w:r>
      <w:r w:rsidR="002122FA" w:rsidRPr="00CC6CA3">
        <w:instrText xml:space="preserve"> REF _Ref63332144 \h </w:instrText>
      </w:r>
      <w:r w:rsidR="002122FA" w:rsidRPr="00CC6CA3">
        <w:fldChar w:fldCharType="separate"/>
      </w:r>
      <w:r w:rsidR="001906D9" w:rsidRPr="00CC6CA3">
        <w:t>(</w:t>
      </w:r>
      <w:r w:rsidR="001906D9" w:rsidRPr="00CC6CA3">
        <w:rPr>
          <w:noProof/>
        </w:rPr>
        <w:t>4</w:t>
      </w:r>
      <w:r w:rsidR="001906D9" w:rsidRPr="00CC6CA3">
        <w:noBreakHyphen/>
      </w:r>
      <w:r w:rsidR="001906D9" w:rsidRPr="00CC6CA3">
        <w:rPr>
          <w:noProof/>
        </w:rPr>
        <w:t>16</w:t>
      </w:r>
      <w:r w:rsidR="001906D9" w:rsidRPr="00CC6CA3">
        <w:t>)</w:t>
      </w:r>
      <w:r w:rsidR="002122FA" w:rsidRPr="00CC6CA3">
        <w:fldChar w:fldCharType="end"/>
      </w:r>
      <w:r w:rsidR="002122FA" w:rsidRPr="00CC6CA3">
        <w:t xml:space="preserve"> </w:t>
      </w:r>
      <w:r w:rsidR="002122FA" w:rsidRPr="00CC6CA3">
        <w:fldChar w:fldCharType="begin"/>
      </w:r>
      <w:r w:rsidR="007D1BCC" w:rsidRPr="00CC6CA3">
        <w:instrText xml:space="preserve"> ADDIN ZOTERO_ITEM CSL_CITATION {"citationID":"MN4XF72l","properties":{"formattedCitation":"[147]","plainCitation":"[147]","noteIndex":0},"citationItems":[{"id":945,"uris":["http://zotero.org/users/3051968/items/M88TNAZE"],"uri":["http://zotero.org/users/3051968/items/M88TNAZE"],"itemData":{"id":945,"type":"book","publisher":"Elsevier","source":"Google Scholar","title":"Comprehensive chemometrics: chemical and biochemical data analysis","title-short":"Comprehensive chemometrics","author":[{"family":"Brown","given":"Steven"},{"family":"Tauler","given":"Romà"},{"family":"Walczak","given":"Beata"}],"issued":{"date-parts":[["2020"]]}}}],"schema":"https://github.com/citation-style-language/schema/raw/master/csl-citation.json"} </w:instrText>
      </w:r>
      <w:r w:rsidR="002122FA" w:rsidRPr="00CC6CA3">
        <w:fldChar w:fldCharType="separate"/>
      </w:r>
      <w:r w:rsidR="007D1BCC" w:rsidRPr="00CC6CA3">
        <w:rPr>
          <w:rFonts w:cs="Times New Roman"/>
        </w:rPr>
        <w:t>[147]</w:t>
      </w:r>
      <w:r w:rsidR="002122FA" w:rsidRPr="00CC6CA3">
        <w:fldChar w:fldCharType="end"/>
      </w:r>
      <w:r w:rsidR="002122FA" w:rsidRPr="00CC6CA3">
        <w:t xml:space="preserve">, and it is widely used in process control for condition monitoring data </w:t>
      </w:r>
      <w:r w:rsidR="002122FA" w:rsidRPr="00CC6CA3">
        <w:fldChar w:fldCharType="begin" w:fldLock="1"/>
      </w:r>
      <w:r w:rsidR="007D1BCC" w:rsidRPr="00CC6CA3">
        <w:instrText xml:space="preserve"> ADDIN ZOTERO_ITEM CSL_CITATION {"citationID":"YKpjYbCn","properties":{"formattedCitation":"[77]\\uc0\\u8211{}[79]","plainCitation":"[77]–[79]","noteIndex":0},"citationItems":[{"id":"jMlmauCg/nETTySkF","uris":["http://www.mendeley.com/documents/?uuid=1365040b-589c-4241-8c08-d1df66772b17"],"uri":["http://www.mendeley.com/documents/?uuid=1365040b-589c-4241-8c08-d1df66772b17"],"itemData":{"author":[{"dropping-particle":"","family":"Ketelaere","given":"Bart D E","non-dropping-particle":"","parse-names":false,"suffix":""},{"dropping-particle":"","family":"Hubert","given":"M I A","non-dropping-particle":"","parse-names":false,"suffix":""},{"dropping-particle":"","family":"Schmitt","given":"Eric","non-dropping-particle":"","parse-names":false,"suffix":""}],"container-title":"Journal of Quality Technology","id":"ITEM-3","issue":"4","issued":{"date-parts":[["2015"]]},"page":"318-335","title":"Overview of PCA-Based Statistical Process-Monitoring Methods for Time-Dependent , High-Dimensional Data","type":"article-journal","volume":"47"}},{"id":"jMlmauCg/mCCrBgBB","uris":["http://www.mendeley.com/documents/?uuid=42f1e7f9-d46c-4fff-9021-64403446df98"],"uri":["http://www.mendeley.com/documents/?uuid=42f1e7f9-d46c-4fff-9021-64403446df98"],"itemData":{"DOI":"10.1016/j.arcontrol.2012.09.004","ISBN":"1367-5788","ISSN":"13675788","abstract":"This paper provides a state-of-the-art review of the methods and applications of data-driven fault detection and diagnosis that have been developed over the last two decades. The scope of the problem is described with reference to the scale and complexity of industrial process operations, where multi-level hierarchical optimization and control are necessary for efficient operation, but are also prone to hard failure and soft operational faults that lead to economic losses. Commonly used multivariate statistical tools are introduced to characterize normal variations and detect abnormal changes. Further, diagnosis methods are surveyed and analyzed, with fault detectability and fault identifiability for rigorous analysis. Challenges, opportunities, and extensions are summarized with the intent to draw attention from the systems and control community and the process control community. ?? 2012 Elsevier Ltd. All rights reserved.","author":[{"dropping-particle":"","family":"Qin","given":"S. Joe","non-dropping-particle":"","parse-names":false,"suffix":""}],"container-title":"Annual Reviews in Control","id":"ITEM-4","issue":"2","issued":{"date-parts":[["2012"]]},"page":"220-234","publisher":"Elsevier Ltd","title":"Survey on data-driven industrial process monitoring and diagnosis","type":"article-journal","volume":"36"}},{"id":"jMlmauCg/peLFblNK","uris":["http://www.mendeley.com/documents/?uuid=0440bb65-4592-4114-9c72-d1abcb52afa1"],"uri":["http://www.mendeley.com/documents/?uuid=0440bb65-4592-4114-9c72-d1abcb52afa1"],"itemData":{"DOI":"10.1002/9780470517253","ISBN":"9780470517253","author":[{"dropping-particle":"","family":"Kruger","given":"Uwe","non-dropping-particle":"","parse-names":false,"suffix":""},{"dropping-particle":"","family":"Xie","given":"Lei","non-dropping-particle":"","parse-names":false,"suffix":""}],"id":"ITEM-5","issued":{"date-parts":[["2012","9","21"]]},"publisher":"John Wiley &amp; Sons, Ltd","publisher-place":"Chichester, UK","title":"Statistical Monitoring of Complex Multivariate Processes","type":"book"}}],"schema":"https://github.com/citation-style-language/schema/raw/master/csl-citation.json"} </w:instrText>
      </w:r>
      <w:r w:rsidR="002122FA" w:rsidRPr="00CC6CA3">
        <w:fldChar w:fldCharType="separate"/>
      </w:r>
      <w:r w:rsidR="00782FF1" w:rsidRPr="00CC6CA3">
        <w:rPr>
          <w:rFonts w:cs="Times New Roman"/>
          <w:szCs w:val="24"/>
        </w:rPr>
        <w:t>[77]–[79]</w:t>
      </w:r>
      <w:r w:rsidR="002122FA" w:rsidRPr="00CC6CA3">
        <w:fldChar w:fldCharType="end"/>
      </w:r>
      <w:r w:rsidR="002122FA" w:rsidRPr="00CC6CA3">
        <w:t>.</w:t>
      </w:r>
    </w:p>
    <w:tbl>
      <w:tblPr>
        <w:tblW w:w="5000" w:type="pct"/>
        <w:tblLook w:val="00A0" w:firstRow="1" w:lastRow="0" w:firstColumn="1" w:lastColumn="0" w:noHBand="0" w:noVBand="0"/>
      </w:tblPr>
      <w:tblGrid>
        <w:gridCol w:w="7946"/>
        <w:gridCol w:w="819"/>
      </w:tblGrid>
      <w:tr w:rsidR="00CC6CA3" w:rsidRPr="00CC6CA3" w14:paraId="73928AC3" w14:textId="77777777" w:rsidTr="00F632C0">
        <w:tc>
          <w:tcPr>
            <w:tcW w:w="4533" w:type="pct"/>
          </w:tcPr>
          <w:p w14:paraId="38AE5B2C" w14:textId="77777777" w:rsidR="002122FA" w:rsidRPr="00CC6CA3" w:rsidRDefault="00D62691" w:rsidP="00F632C0">
            <w:pPr>
              <w:pStyle w:val="Body"/>
            </w:pPr>
            <m:oMathPara>
              <m:oMath>
                <m:sSub>
                  <m:sSubPr>
                    <m:ctrlPr>
                      <w:rPr>
                        <w:rFonts w:ascii="Cambria Math" w:hAnsi="Cambria Math"/>
                      </w:rPr>
                    </m:ctrlPr>
                  </m:sSubPr>
                  <m:e>
                    <m:r>
                      <w:rPr>
                        <w:rFonts w:ascii="Cambria Math" w:hAnsi="Cambria Math"/>
                      </w:rPr>
                      <m:t>Q</m:t>
                    </m:r>
                  </m:e>
                  <m:sub>
                    <m:r>
                      <w:rPr>
                        <w:rFonts w:ascii="Cambria Math" w:hAnsi="Cambria Math"/>
                      </w:rPr>
                      <m:t>i</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i</m:t>
                        </m:r>
                      </m:sub>
                    </m:sSub>
                    <m:r>
                      <m:rPr>
                        <m:sty m:val="p"/>
                      </m:rPr>
                      <w:rPr>
                        <w:rFonts w:ascii="Cambria Math" w:hAnsi="Cambria Math"/>
                      </w:rPr>
                      <m:t>)</m:t>
                    </m:r>
                  </m:e>
                  <m:sup>
                    <m:r>
                      <m:rPr>
                        <m:sty m:val="p"/>
                      </m:rPr>
                      <w:rPr>
                        <w:rFonts w:ascii="Cambria Math" w:hAnsi="Cambria Math"/>
                      </w:rPr>
                      <m:t>2</m:t>
                    </m:r>
                  </m:sup>
                </m:sSup>
              </m:oMath>
            </m:oMathPara>
          </w:p>
        </w:tc>
        <w:tc>
          <w:tcPr>
            <w:tcW w:w="467" w:type="pct"/>
          </w:tcPr>
          <w:p w14:paraId="13EC840C" w14:textId="5EBC5856" w:rsidR="002122FA" w:rsidRPr="00CC6CA3" w:rsidRDefault="002122FA" w:rsidP="00F632C0">
            <w:pPr>
              <w:pStyle w:val="Body"/>
            </w:pPr>
            <w:bookmarkStart w:id="311" w:name="_Ref63332144"/>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16</w:t>
            </w:r>
            <w:r w:rsidR="00D62691" w:rsidRPr="00CC6CA3">
              <w:rPr>
                <w:noProof/>
              </w:rPr>
              <w:fldChar w:fldCharType="end"/>
            </w:r>
            <w:r w:rsidRPr="00CC6CA3">
              <w:t>)</w:t>
            </w:r>
            <w:bookmarkEnd w:id="311"/>
          </w:p>
        </w:tc>
      </w:tr>
    </w:tbl>
    <w:p w14:paraId="4943792E" w14:textId="77777777" w:rsidR="0014619F" w:rsidRPr="00CC6CA3" w:rsidRDefault="0014619F" w:rsidP="0014619F">
      <w:r w:rsidRPr="00CC6CA3">
        <w:t xml:space="preserve">where </w:t>
      </w:r>
      <m:oMath>
        <m:sSub>
          <m:sSubPr>
            <m:ctrlPr>
              <w:rPr>
                <w:rFonts w:ascii="Cambria Math" w:hAnsi="Cambria Math"/>
              </w:rPr>
            </m:ctrlPr>
          </m:sSubPr>
          <m:e>
            <m:acc>
              <m:accPr>
                <m:ctrlPr>
                  <w:rPr>
                    <w:rFonts w:ascii="Cambria Math" w:hAnsi="Cambria Math"/>
                  </w:rPr>
                </m:ctrlPr>
              </m:accPr>
              <m:e>
                <m:r>
                  <w:rPr>
                    <w:rFonts w:ascii="Cambria Math" w:hAnsi="Cambria Math"/>
                  </w:rPr>
                  <m:t>x</m:t>
                </m:r>
              </m:e>
            </m:acc>
          </m:e>
          <m:sub>
            <m:r>
              <w:rPr>
                <w:rFonts w:ascii="Cambria Math" w:hAnsi="Cambria Math"/>
              </w:rPr>
              <m:t>i</m:t>
            </m:r>
          </m:sub>
        </m:sSub>
      </m:oMath>
      <w:r w:rsidRPr="00CC6CA3">
        <w:t xml:space="preserve"> is the reconstructed value of </w:t>
      </w:r>
      <m:oMath>
        <m:sSub>
          <m:sSubPr>
            <m:ctrlPr>
              <w:rPr>
                <w:rFonts w:ascii="Cambria Math" w:hAnsi="Cambria Math"/>
              </w:rPr>
            </m:ctrlPr>
          </m:sSubPr>
          <m:e>
            <m:r>
              <w:rPr>
                <w:rFonts w:ascii="Cambria Math" w:hAnsi="Cambria Math"/>
              </w:rPr>
              <m:t>x</m:t>
            </m:r>
          </m:e>
          <m:sub>
            <m:r>
              <w:rPr>
                <w:rFonts w:ascii="Cambria Math" w:hAnsi="Cambria Math"/>
              </w:rPr>
              <m:t>i</m:t>
            </m:r>
          </m:sub>
        </m:sSub>
      </m:oMath>
      <w:r w:rsidRPr="00CC6CA3">
        <w:t xml:space="preserve"> using the SAE </w:t>
      </w:r>
      <w:proofErr w:type="gramStart"/>
      <w:r w:rsidRPr="00CC6CA3">
        <w:t>model.</w:t>
      </w:r>
      <w:proofErr w:type="gramEnd"/>
      <w:r w:rsidRPr="00CC6CA3">
        <w:t xml:space="preserve"> The higher the </w:t>
      </w:r>
      <m:oMath>
        <m:r>
          <w:rPr>
            <w:rFonts w:ascii="Cambria Math" w:hAnsi="Cambria Math"/>
          </w:rPr>
          <m:t>Q</m:t>
        </m:r>
      </m:oMath>
      <w:r w:rsidRPr="00CC6CA3">
        <w:t xml:space="preserve"> value, the greater the contribution to detecting the fault.</w:t>
      </w:r>
    </w:p>
    <w:p w14:paraId="1E2B1071" w14:textId="4DE7302D" w:rsidR="002122FA" w:rsidRPr="00CC6CA3" w:rsidRDefault="0014619F" w:rsidP="0014619F">
      <w:r w:rsidRPr="00CC6CA3">
        <w:t xml:space="preserve">The conventional one-dimensional contribution plot can only examine the contributions at a given time step. To obtain multiple observations for the entire times series of the data </w:t>
      </w:r>
      <w:r w:rsidRPr="00CC6CA3">
        <w:lastRenderedPageBreak/>
        <w:t xml:space="preserve">containing the fault, </w:t>
      </w:r>
      <w:r w:rsidR="002122FA" w:rsidRPr="00CC6CA3">
        <w:t xml:space="preserve">a two-dimensional contribution map </w:t>
      </w:r>
      <w:r w:rsidR="002122FA" w:rsidRPr="00CC6CA3">
        <w:fldChar w:fldCharType="begin"/>
      </w:r>
      <w:r w:rsidR="007D1BCC" w:rsidRPr="00CC6CA3">
        <w:instrText xml:space="preserve"> ADDIN ZOTERO_ITEM CSL_CITATION {"citationID":"4najzCMi","properties":{"formattedCitation":"[148]","plainCitation":"[148]","noteIndex":0},"citationItems":[{"id":942,"uris":["http://zotero.org/users/3051968/items/A45GIEZB"],"uri":["http://zotero.org/users/3051968/items/A45GIEZB"],"itemData":{"id":942,"type":"article-journal","container-title":"IEEE Control systems magazine","issue":"5","note":"publisher: IEEE","page":"72–77","source":"Google Scholar","title":"Two-dimensional contribution map for fault identification [focus on education]","volume":"34","author":[{"family":"Zhu","given":"Xiaoxiang"},{"family":"Braatz","given":"Richard D."}],"issued":{"date-parts":[["2014"]]}}}],"schema":"https://github.com/citation-style-language/schema/raw/master/csl-citation.json"} </w:instrText>
      </w:r>
      <w:r w:rsidR="002122FA" w:rsidRPr="00CC6CA3">
        <w:fldChar w:fldCharType="separate"/>
      </w:r>
      <w:r w:rsidR="007D1BCC" w:rsidRPr="00CC6CA3">
        <w:rPr>
          <w:rFonts w:cs="Times New Roman"/>
        </w:rPr>
        <w:t>[148]</w:t>
      </w:r>
      <w:r w:rsidR="002122FA" w:rsidRPr="00CC6CA3">
        <w:fldChar w:fldCharType="end"/>
      </w:r>
      <w:r w:rsidR="002122FA" w:rsidRPr="00CC6CA3">
        <w:t xml:space="preserve"> is required. </w:t>
      </w:r>
      <w:r w:rsidRPr="00CC6CA3">
        <w:t xml:space="preserve">It is obtained by stacking the one-dimensional contribution plots </w:t>
      </w:r>
      <w:r w:rsidRPr="00CC6CA3">
        <w:rPr>
          <w:rFonts w:hint="eastAsia"/>
        </w:rPr>
        <w:t>over</w:t>
      </w:r>
      <w:r w:rsidRPr="00CC6CA3">
        <w:t xml:space="preserve"> time into a single figure.</w:t>
      </w:r>
    </w:p>
    <w:p w14:paraId="75228CD3" w14:textId="77777777" w:rsidR="002122FA" w:rsidRPr="00CC6CA3" w:rsidRDefault="002122FA" w:rsidP="002122FA">
      <w:pPr>
        <w:pStyle w:val="Heading3"/>
      </w:pPr>
      <w:bookmarkStart w:id="312" w:name="_Toc81553283"/>
      <w:bookmarkStart w:id="313" w:name="_Ref17961532"/>
      <w:r w:rsidRPr="00CC6CA3">
        <w:t>Performance metrics</w:t>
      </w:r>
      <w:bookmarkEnd w:id="312"/>
    </w:p>
    <w:p w14:paraId="49816952" w14:textId="636F5122" w:rsidR="002122FA" w:rsidRPr="00CC6CA3" w:rsidRDefault="002122FA" w:rsidP="00055EE2">
      <w:r w:rsidRPr="00CC6CA3">
        <w:t xml:space="preserve">A good fault detection model should yield a high fault detection rate (FDR) and a low false alarm rate (FAR). FDR is defined as the percentage of detected fault samples over the </w:t>
      </w:r>
      <w:r w:rsidR="00433F2A" w:rsidRPr="00CC6CA3">
        <w:t xml:space="preserve">total </w:t>
      </w:r>
      <w:r w:rsidRPr="00CC6CA3">
        <w:t>number of fault samples</w:t>
      </w:r>
      <w:r w:rsidR="00062251" w:rsidRPr="00CC6CA3">
        <w:t>,</w:t>
      </w:r>
      <w:r w:rsidRPr="00CC6CA3">
        <w:t xml:space="preserve"> and FAR is regarded as the percentage of </w:t>
      </w:r>
      <w:r w:rsidR="00B55A3C" w:rsidRPr="00CC6CA3">
        <w:t>the number of healthy samples detected as faulty over the total number of healthy samples</w:t>
      </w:r>
      <w:r w:rsidRPr="00CC6CA3">
        <w:t xml:space="preserve"> </w:t>
      </w:r>
      <w:r w:rsidRPr="00CC6CA3">
        <w:fldChar w:fldCharType="begin"/>
      </w:r>
      <w:r w:rsidR="007D1BCC" w:rsidRPr="00CC6CA3">
        <w:instrText xml:space="preserve"> ADDIN ZOTERO_ITEM CSL_CITATION {"citationID":"ylo3dwR2","properties":{"formattedCitation":"[149]","plainCitation":"[149]","noteIndex":0},"citationItems":[{"id":783,"uris":["http://zotero.org/users/3051968/items/LMRF7VFL"],"uri":["http://zotero.org/users/3051968/items/LMRF7VFL"],"itemData":{"id":783,"type":"article-journal","title":"Chen, Zhiwen, et al. \"Comparison of two basic statistics for fault detection and process monitoring.\" IFAC-PapersOnLine 50.1 (2017): 14776-14781."}}],"schema":"https://github.com/citation-style-language/schema/raw/master/csl-citation.json"} </w:instrText>
      </w:r>
      <w:r w:rsidRPr="00CC6CA3">
        <w:fldChar w:fldCharType="separate"/>
      </w:r>
      <w:r w:rsidR="007D1BCC" w:rsidRPr="00CC6CA3">
        <w:rPr>
          <w:rFonts w:cs="Times New Roman"/>
        </w:rPr>
        <w:t>[149]</w:t>
      </w:r>
      <w:r w:rsidRPr="00CC6CA3">
        <w:fldChar w:fldCharType="end"/>
      </w:r>
      <w:r w:rsidRPr="00CC6CA3">
        <w:t xml:space="preserve">. </w:t>
      </w:r>
    </w:p>
    <w:p w14:paraId="04B25392" w14:textId="1078AB4C" w:rsidR="002122FA" w:rsidRPr="00CC6CA3" w:rsidRDefault="002122FA" w:rsidP="00055EE2">
      <w:r w:rsidRPr="00CC6CA3">
        <w:t>Two metrics that integrate the FDR and FAR values are utilised in this thesis to assess the performance of the fault detection model</w:t>
      </w:r>
      <w:r w:rsidRPr="00CC6CA3">
        <w:rPr>
          <w:rFonts w:hint="eastAsia"/>
        </w:rPr>
        <w:t>.</w:t>
      </w:r>
      <w:r w:rsidRPr="00CC6CA3">
        <w:t xml:space="preserve"> These two metrics are the ROC curve and the AUC</w:t>
      </w:r>
      <w:r w:rsidR="00294D22" w:rsidRPr="00CC6CA3">
        <w:t xml:space="preserve"> </w:t>
      </w:r>
      <w:r w:rsidR="001D7FCA" w:rsidRPr="00CC6CA3">
        <w:rPr>
          <w:rFonts w:hint="eastAsia"/>
        </w:rPr>
        <w:t>value</w:t>
      </w:r>
      <w:r w:rsidR="00294D22" w:rsidRPr="00CC6CA3">
        <w:t xml:space="preserve"> </w:t>
      </w:r>
      <w:r w:rsidR="00294D22" w:rsidRPr="00CC6CA3">
        <w:fldChar w:fldCharType="begin"/>
      </w:r>
      <w:r w:rsidR="007D1BCC" w:rsidRPr="00CC6CA3">
        <w:instrText xml:space="preserve"> ADDIN ZOTERO_ITEM CSL_CITATION {"citationID":"IVLLJj3a","properties":{"formattedCitation":"[145]","plainCitation":"[145]","noteIndex":0},"citationItems":[{"id":934,"uris":["http://zotero.org/users/3051968/items/TLAKRMN2"],"uri":["http://zotero.org/users/3051968/items/TLAKRMN2"],"itemData":{"id":934,"type":"article-journal","container-title":"IEEE/Asme transactions on mechatronics","issue":"1","note":"publisher: IEEE","page":"89–100","source":"Google Scholar","title":"Wind turbine fault detection using a denoising autoencoder with temporal information","volume":"23","author":[{"family":"Jiang","given":"Guoqian"},{"family":"Xie","given":"Ping"},{"family":"He","given":"Haibo"},{"family":"Yan","given":"Jun"}],"issued":{"date-parts":[["2017"]]}}}],"schema":"https://github.com/citation-style-language/schema/raw/master/csl-citation.json"} </w:instrText>
      </w:r>
      <w:r w:rsidR="00294D22" w:rsidRPr="00CC6CA3">
        <w:fldChar w:fldCharType="separate"/>
      </w:r>
      <w:r w:rsidR="007D1BCC" w:rsidRPr="00CC6CA3">
        <w:rPr>
          <w:rFonts w:cs="Times New Roman"/>
        </w:rPr>
        <w:t>[145]</w:t>
      </w:r>
      <w:r w:rsidR="00294D22" w:rsidRPr="00CC6CA3">
        <w:fldChar w:fldCharType="end"/>
      </w:r>
      <w:r w:rsidRPr="00CC6CA3">
        <w:t xml:space="preserve">. An illustration of the ROC curve and the </w:t>
      </w:r>
      <w:r w:rsidR="001558E6" w:rsidRPr="00CC6CA3">
        <w:t xml:space="preserve">corresponding </w:t>
      </w:r>
      <w:r w:rsidRPr="00CC6CA3">
        <w:t xml:space="preserve">AUC value is presented in </w:t>
      </w:r>
      <w:r w:rsidRPr="00CC6CA3">
        <w:fldChar w:fldCharType="begin"/>
      </w:r>
      <w:r w:rsidRPr="00CC6CA3">
        <w:instrText xml:space="preserve"> REF _Ref64655264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w:t>
      </w:r>
      <w:r w:rsidRPr="00CC6CA3">
        <w:fldChar w:fldCharType="end"/>
      </w:r>
      <w:r w:rsidRPr="00CC6CA3">
        <w:t xml:space="preserve">. As can be seen, ROC curve is obtained by plotting the FDR on the Y-axis against FAR on the X-axis. When calculating the ROC curve, the parameter </w:t>
      </w:r>
      <m:oMath>
        <m:r>
          <w:rPr>
            <w:rFonts w:ascii="Cambria Math" w:hAnsi="Cambria Math"/>
          </w:rPr>
          <m:t>α</m:t>
        </m:r>
      </m:oMath>
      <w:r w:rsidRPr="00CC6CA3">
        <w:t xml:space="preserve"> in Equation </w:t>
      </w:r>
      <w:r w:rsidRPr="00CC6CA3">
        <w:fldChar w:fldCharType="begin"/>
      </w:r>
      <w:r w:rsidRPr="00CC6CA3">
        <w:instrText xml:space="preserve"> REF _Ref48489010 \h </w:instrText>
      </w:r>
      <w:r w:rsidRPr="00CC6CA3">
        <w:fldChar w:fldCharType="separate"/>
      </w:r>
      <w:r w:rsidR="001906D9" w:rsidRPr="00CC6CA3">
        <w:t>(</w:t>
      </w:r>
      <w:r w:rsidR="001906D9" w:rsidRPr="00CC6CA3">
        <w:rPr>
          <w:noProof/>
        </w:rPr>
        <w:t>4</w:t>
      </w:r>
      <w:r w:rsidR="001906D9" w:rsidRPr="00CC6CA3">
        <w:noBreakHyphen/>
      </w:r>
      <w:r w:rsidR="001906D9" w:rsidRPr="00CC6CA3">
        <w:rPr>
          <w:noProof/>
        </w:rPr>
        <w:t>14</w:t>
      </w:r>
      <w:r w:rsidR="001906D9" w:rsidRPr="00CC6CA3">
        <w:t>)</w:t>
      </w:r>
      <w:r w:rsidRPr="00CC6CA3">
        <w:fldChar w:fldCharType="end"/>
      </w:r>
      <w:r w:rsidRPr="00CC6CA3">
        <w:t xml:space="preserve"> </w:t>
      </w:r>
      <w:r w:rsidR="00A97400" w:rsidRPr="00CC6CA3">
        <w:t xml:space="preserve">changes and the values of </w:t>
      </w:r>
      <w:r w:rsidRPr="00CC6CA3">
        <w:t xml:space="preserve">FDR and FAR can vary </w:t>
      </w:r>
      <w:r w:rsidR="00A97400" w:rsidRPr="00CC6CA3">
        <w:t xml:space="preserve">between </w:t>
      </w:r>
      <w:r w:rsidRPr="00CC6CA3">
        <w:t xml:space="preserve">0 </w:t>
      </w:r>
      <w:r w:rsidR="00A97400" w:rsidRPr="00CC6CA3">
        <w:rPr>
          <w:rFonts w:hint="eastAsia"/>
        </w:rPr>
        <w:t>and</w:t>
      </w:r>
      <w:r w:rsidRPr="00CC6CA3">
        <w:t xml:space="preserve"> 1. </w:t>
      </w:r>
    </w:p>
    <w:p w14:paraId="483CC747" w14:textId="71015AFD" w:rsidR="002122FA" w:rsidRPr="00CC6CA3" w:rsidRDefault="002122FA" w:rsidP="00055EE2">
      <w:r w:rsidRPr="00CC6CA3">
        <w:t xml:space="preserve">In </w:t>
      </w:r>
      <w:r w:rsidRPr="00CC6CA3">
        <w:fldChar w:fldCharType="begin"/>
      </w:r>
      <w:r w:rsidRPr="00CC6CA3">
        <w:instrText xml:space="preserve"> REF _Ref64655264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w:t>
      </w:r>
      <w:r w:rsidRPr="00CC6CA3">
        <w:fldChar w:fldCharType="end"/>
      </w:r>
      <w:r w:rsidRPr="00CC6CA3">
        <w:t xml:space="preserve">, </w:t>
      </w:r>
      <w:r w:rsidR="00D21909" w:rsidRPr="00CC6CA3">
        <w:t xml:space="preserve">points indicated at the top left corner have better fault detection performance than others, because these points have a relatively high FDR values and low FAR values. The ROC curve and the AUC value allow a relative trade-off between FDR and FAR. A desirable fault detector would yield a high FDR and a low FAR on the ROC curve and, accordingly, a </w:t>
      </w:r>
      <w:r w:rsidR="00D21909" w:rsidRPr="00CC6CA3">
        <w:rPr>
          <w:rFonts w:hint="eastAsia"/>
        </w:rPr>
        <w:t>high</w:t>
      </w:r>
      <w:r w:rsidR="00D21909" w:rsidRPr="00CC6CA3">
        <w:t xml:space="preserve"> AUC value</w:t>
      </w:r>
      <w:r w:rsidRPr="00CC6CA3">
        <w:t>.</w:t>
      </w:r>
    </w:p>
    <w:p w14:paraId="5EB5D452" w14:textId="0DDCC22D" w:rsidR="002122FA" w:rsidRPr="00CC6CA3" w:rsidRDefault="000B5CE9" w:rsidP="002122FA">
      <w:pPr>
        <w:pStyle w:val="Body"/>
        <w:keepNext/>
        <w:jc w:val="center"/>
      </w:pPr>
      <w:r w:rsidRPr="00CC6CA3">
        <w:rPr>
          <w:noProof/>
        </w:rPr>
        <w:object w:dxaOrig="9391" w:dyaOrig="5131" w14:anchorId="601C31A8">
          <v:shape id="_x0000_i1045" type="#_x0000_t75" alt="" style="width:342pt;height:191pt;mso-width-percent:0;mso-height-percent:0;mso-width-percent:0;mso-height-percent:0" o:ole="">
            <v:imagedata r:id="rId81" o:title=""/>
          </v:shape>
          <o:OLEObject Type="Embed" ProgID="Visio.Drawing.15" ShapeID="_x0000_i1045" DrawAspect="Content" ObjectID="_1692500324" r:id="rId82"/>
        </w:object>
      </w:r>
    </w:p>
    <w:p w14:paraId="009F2C5A" w14:textId="36F36A8F" w:rsidR="002122FA" w:rsidRPr="00CC6CA3" w:rsidRDefault="002122FA" w:rsidP="002122FA">
      <w:pPr>
        <w:pStyle w:val="Caption"/>
        <w:jc w:val="center"/>
      </w:pPr>
      <w:bookmarkStart w:id="314" w:name="_Ref64655264"/>
      <w:bookmarkStart w:id="315" w:name="_Toc8155336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w:instrText>
      </w:r>
      <w:r w:rsidR="00D62691" w:rsidRPr="00CC6CA3">
        <w:instrText xml:space="preserve"> 1 </w:instrText>
      </w:r>
      <w:r w:rsidR="00D62691" w:rsidRPr="00CC6CA3">
        <w:fldChar w:fldCharType="separate"/>
      </w:r>
      <w:r w:rsidR="001906D9" w:rsidRPr="00CC6CA3">
        <w:rPr>
          <w:noProof/>
        </w:rPr>
        <w:t>3</w:t>
      </w:r>
      <w:r w:rsidR="00D62691" w:rsidRPr="00CC6CA3">
        <w:rPr>
          <w:noProof/>
        </w:rPr>
        <w:fldChar w:fldCharType="end"/>
      </w:r>
      <w:bookmarkEnd w:id="314"/>
      <w:r w:rsidRPr="00CC6CA3">
        <w:t xml:space="preserve"> </w:t>
      </w:r>
      <w:r w:rsidR="00CA3487" w:rsidRPr="00CC6CA3">
        <w:rPr>
          <w:szCs w:val="20"/>
        </w:rPr>
        <w:t xml:space="preserve">Fault Detection Rate as a function of False Alarm Rate showing </w:t>
      </w:r>
      <w:r w:rsidR="00CA3487" w:rsidRPr="00CC6CA3">
        <w:rPr>
          <w:snapToGrid w:val="0"/>
          <w:szCs w:val="20"/>
        </w:rPr>
        <w:t>Receiver Operating Characteristic</w:t>
      </w:r>
      <w:r w:rsidR="00CA3487" w:rsidRPr="00CC6CA3">
        <w:rPr>
          <w:szCs w:val="20"/>
        </w:rPr>
        <w:t xml:space="preserve"> curve and Area Under the ROC curve</w:t>
      </w:r>
      <w:bookmarkEnd w:id="315"/>
    </w:p>
    <w:p w14:paraId="75753502" w14:textId="77777777" w:rsidR="002122FA" w:rsidRPr="00CC6CA3" w:rsidRDefault="002122FA" w:rsidP="002122FA">
      <w:pPr>
        <w:pStyle w:val="Heading2"/>
      </w:pPr>
      <w:bookmarkStart w:id="316" w:name="_Toc81553284"/>
      <w:bookmarkEnd w:id="313"/>
      <w:r w:rsidRPr="00CC6CA3">
        <w:lastRenderedPageBreak/>
        <w:t>NARX based anomaly detection model</w:t>
      </w:r>
      <w:bookmarkEnd w:id="316"/>
    </w:p>
    <w:p w14:paraId="2C7F9666" w14:textId="77777777" w:rsidR="002122FA" w:rsidRPr="00CC6CA3" w:rsidRDefault="002122FA" w:rsidP="002122FA">
      <w:pPr>
        <w:pStyle w:val="Heading3"/>
      </w:pPr>
      <w:bookmarkStart w:id="317" w:name="_Toc81553285"/>
      <w:r w:rsidRPr="00CC6CA3">
        <w:t>Implementation of NARX based fault detection model</w:t>
      </w:r>
      <w:bookmarkEnd w:id="317"/>
    </w:p>
    <w:p w14:paraId="2B251C79" w14:textId="66375340" w:rsidR="002122FA" w:rsidRPr="00CC6CA3" w:rsidRDefault="002122FA" w:rsidP="00D21909">
      <w:pPr>
        <w:rPr>
          <w:rFonts w:ascii="Times-Roman" w:hAnsi="Times-Roman" w:cs="Times-Roman"/>
          <w:szCs w:val="20"/>
        </w:rPr>
      </w:pPr>
      <w:r w:rsidRPr="00CC6CA3">
        <w:rPr>
          <w:rFonts w:ascii="Times-Roman" w:hAnsi="Times-Roman" w:cs="Times-Roman"/>
          <w:szCs w:val="20"/>
        </w:rPr>
        <w:t xml:space="preserve">The </w:t>
      </w:r>
      <w:r w:rsidRPr="00CC6CA3">
        <w:t>NARX</w:t>
      </w:r>
      <w:r w:rsidRPr="00CC6CA3">
        <w:rPr>
          <w:rFonts w:ascii="Times-Roman" w:hAnsi="Times-Roman" w:cs="Times-Roman"/>
          <w:szCs w:val="20"/>
        </w:rPr>
        <w:t xml:space="preserve"> fault detection model is presented in </w:t>
      </w:r>
      <w:r w:rsidRPr="00CC6CA3">
        <w:rPr>
          <w:rFonts w:ascii="Times-Roman" w:hAnsi="Times-Roman" w:cs="Times-Roman"/>
          <w:szCs w:val="20"/>
        </w:rPr>
        <w:fldChar w:fldCharType="begin"/>
      </w:r>
      <w:r w:rsidRPr="00CC6CA3">
        <w:rPr>
          <w:rFonts w:ascii="Times-Roman" w:hAnsi="Times-Roman" w:cs="Times-Roman"/>
          <w:szCs w:val="20"/>
        </w:rPr>
        <w:instrText xml:space="preserve"> REF _Ref12632723 \h </w:instrText>
      </w:r>
      <w:r w:rsidRPr="00CC6CA3">
        <w:rPr>
          <w:rFonts w:ascii="Times-Roman" w:hAnsi="Times-Roman" w:cs="Times-Roman"/>
          <w:szCs w:val="20"/>
        </w:rPr>
      </w:r>
      <w:r w:rsidRPr="00CC6CA3">
        <w:rPr>
          <w:rFonts w:ascii="Times-Roman" w:hAnsi="Times-Roman" w:cs="Times-Roman"/>
          <w:szCs w:val="20"/>
        </w:rPr>
        <w:fldChar w:fldCharType="separate"/>
      </w:r>
      <w:r w:rsidR="001906D9" w:rsidRPr="00CC6CA3">
        <w:t xml:space="preserve">Figure </w:t>
      </w:r>
      <w:r w:rsidR="001906D9" w:rsidRPr="00CC6CA3">
        <w:rPr>
          <w:noProof/>
        </w:rPr>
        <w:t>4</w:t>
      </w:r>
      <w:r w:rsidR="001906D9" w:rsidRPr="00CC6CA3">
        <w:t>.</w:t>
      </w:r>
      <w:r w:rsidR="001906D9" w:rsidRPr="00CC6CA3">
        <w:rPr>
          <w:noProof/>
        </w:rPr>
        <w:t>4</w:t>
      </w:r>
      <w:r w:rsidRPr="00CC6CA3">
        <w:rPr>
          <w:rFonts w:ascii="Times-Roman" w:hAnsi="Times-Roman" w:cs="Times-Roman"/>
          <w:szCs w:val="20"/>
        </w:rPr>
        <w:fldChar w:fldCharType="end"/>
      </w:r>
      <w:r w:rsidRPr="00CC6CA3">
        <w:rPr>
          <w:rFonts w:ascii="Times-Roman" w:hAnsi="Times-Roman" w:cs="Times-Roman"/>
          <w:szCs w:val="20"/>
        </w:rPr>
        <w:t xml:space="preserve">. </w:t>
      </w:r>
      <w:r w:rsidR="00D21909" w:rsidRPr="00CC6CA3">
        <w:rPr>
          <w:rFonts w:ascii="Times-Roman" w:hAnsi="Times-Roman" w:cs="Times-Roman"/>
          <w:szCs w:val="20"/>
        </w:rPr>
        <w:t>The</w:t>
      </w:r>
      <w:r w:rsidR="00D21909" w:rsidRPr="00CC6CA3">
        <w:t xml:space="preserve"> fault detection is based on the assessment of the errors between the estimated output and the actual monitored data. </w:t>
      </w:r>
      <w:r w:rsidR="00D21909" w:rsidRPr="00CC6CA3">
        <w:rPr>
          <w:rFonts w:ascii="Times-Roman" w:hAnsi="Times-Roman" w:cs="Times-Roman"/>
          <w:szCs w:val="20"/>
        </w:rPr>
        <w:t xml:space="preserve">As shown in the figure, the NARX model has an </w:t>
      </w:r>
      <w:r w:rsidR="00D21909" w:rsidRPr="00CC6CA3">
        <w:t>offline</w:t>
      </w:r>
      <w:r w:rsidR="00D21909" w:rsidRPr="00CC6CA3">
        <w:rPr>
          <w:rFonts w:ascii="Times-Roman" w:hAnsi="Times-Roman" w:cs="Times-Roman"/>
          <w:szCs w:val="20"/>
        </w:rPr>
        <w:t xml:space="preserve"> training phase and an online monitoring phase. </w:t>
      </w:r>
      <w:r w:rsidR="00D21909" w:rsidRPr="00CC6CA3">
        <w:t xml:space="preserve">In the offline phase, the input data is the data after pre-processing and standardisation. The data analyst should define the input and output variables because the NARX is a supervised machine learning </w:t>
      </w:r>
      <w:r w:rsidR="00D21909" w:rsidRPr="00CC6CA3">
        <w:rPr>
          <w:rFonts w:hint="eastAsia"/>
        </w:rPr>
        <w:t>method</w:t>
      </w:r>
      <w:r w:rsidR="00D21909" w:rsidRPr="00CC6CA3">
        <w:t>. The fault detection threshold (</w:t>
      </w:r>
      <m:oMath>
        <m:sSubSup>
          <m:sSubSupPr>
            <m:ctrlPr>
              <w:rPr>
                <w:rFonts w:ascii="Cambria Math" w:hAnsi="Cambria Math" w:cs="Times-Roman"/>
                <w:i/>
                <w:iCs/>
                <w:szCs w:val="20"/>
              </w:rPr>
            </m:ctrlPr>
          </m:sSubSupPr>
          <m:e>
            <m:r>
              <w:rPr>
                <w:rFonts w:ascii="Cambria Math" w:hAnsi="Cambria Math" w:cs="Times-Roman"/>
                <w:szCs w:val="20"/>
              </w:rPr>
              <m:t>MD</m:t>
            </m:r>
          </m:e>
          <m:sub>
            <m:r>
              <w:rPr>
                <w:rFonts w:ascii="Cambria Math" w:hAnsi="Cambria Math" w:cs="Times-Roman"/>
                <w:szCs w:val="20"/>
              </w:rPr>
              <m:t>NARX</m:t>
            </m:r>
          </m:sub>
          <m:sup>
            <m:r>
              <w:rPr>
                <w:rFonts w:ascii="Cambria Math" w:hAnsi="Cambria Math" w:cs="Times-Roman"/>
                <w:szCs w:val="20"/>
              </w:rPr>
              <m:t>ref</m:t>
            </m:r>
          </m:sup>
        </m:sSubSup>
      </m:oMath>
      <w:r w:rsidR="00D21909" w:rsidRPr="00CC6CA3">
        <w:t xml:space="preserve">) is calculated in the training phase by solving </w:t>
      </w:r>
      <w:r w:rsidRPr="00CC6CA3">
        <w:t xml:space="preserve">Equation </w:t>
      </w:r>
      <w:r w:rsidRPr="00CC6CA3">
        <w:fldChar w:fldCharType="begin"/>
      </w:r>
      <w:r w:rsidRPr="00CC6CA3">
        <w:instrText xml:space="preserve"> REF _Ref48489010 \h </w:instrText>
      </w:r>
      <w:r w:rsidRPr="00CC6CA3">
        <w:fldChar w:fldCharType="separate"/>
      </w:r>
      <w:r w:rsidR="001906D9" w:rsidRPr="00CC6CA3">
        <w:t>(</w:t>
      </w:r>
      <w:r w:rsidR="001906D9" w:rsidRPr="00CC6CA3">
        <w:rPr>
          <w:noProof/>
        </w:rPr>
        <w:t>4</w:t>
      </w:r>
      <w:r w:rsidR="001906D9" w:rsidRPr="00CC6CA3">
        <w:noBreakHyphen/>
      </w:r>
      <w:r w:rsidR="001906D9" w:rsidRPr="00CC6CA3">
        <w:rPr>
          <w:noProof/>
        </w:rPr>
        <w:t>14</w:t>
      </w:r>
      <w:r w:rsidR="001906D9" w:rsidRPr="00CC6CA3">
        <w:t>)</w:t>
      </w:r>
      <w:r w:rsidRPr="00CC6CA3">
        <w:fldChar w:fldCharType="end"/>
      </w:r>
      <w:r w:rsidRPr="00CC6CA3">
        <w:t xml:space="preserve">. </w:t>
      </w:r>
    </w:p>
    <w:p w14:paraId="49C20B53" w14:textId="05325F24" w:rsidR="002122FA" w:rsidRPr="00CC6CA3" w:rsidRDefault="002122FA" w:rsidP="00055EE2">
      <w:pPr>
        <w:rPr>
          <w:rFonts w:ascii="Times-Roman" w:hAnsi="Times-Roman" w:cs="Times-Roman"/>
          <w:szCs w:val="20"/>
        </w:rPr>
      </w:pPr>
      <w:r w:rsidRPr="00CC6CA3">
        <w:rPr>
          <w:rFonts w:ascii="Times-Roman" w:hAnsi="Times-Roman" w:cs="Times-Roman"/>
          <w:szCs w:val="20"/>
        </w:rPr>
        <w:t xml:space="preserve">In the online </w:t>
      </w:r>
      <w:r w:rsidRPr="00CC6CA3">
        <w:t>phase</w:t>
      </w:r>
      <w:r w:rsidRPr="00CC6CA3">
        <w:rPr>
          <w:rFonts w:ascii="Times-Roman" w:hAnsi="Times-Roman" w:cs="Times-Roman"/>
          <w:szCs w:val="20"/>
        </w:rPr>
        <w:t xml:space="preserve">, the input </w:t>
      </w:r>
      <w:r w:rsidRPr="00CC6CA3">
        <w:t>data</w:t>
      </w:r>
      <w:r w:rsidRPr="00CC6CA3">
        <w:rPr>
          <w:rFonts w:ascii="Times-Roman" w:hAnsi="Times-Roman" w:cs="Times-Roman"/>
          <w:szCs w:val="20"/>
        </w:rPr>
        <w:t xml:space="preserve"> is the condition monitoring data after standardisation. </w:t>
      </w:r>
      <m:oMath>
        <m:sSub>
          <m:sSubPr>
            <m:ctrlPr>
              <w:rPr>
                <w:rFonts w:ascii="Cambria Math" w:hAnsi="Cambria Math" w:cs="Times-Roman"/>
                <w:i/>
                <w:iCs/>
                <w:szCs w:val="20"/>
              </w:rPr>
            </m:ctrlPr>
          </m:sSubPr>
          <m:e>
            <m:r>
              <w:rPr>
                <w:rFonts w:ascii="Cambria Math" w:hAnsi="Cambria Math" w:cs="Times-Roman"/>
                <w:szCs w:val="20"/>
              </w:rPr>
              <m:t>MD</m:t>
            </m:r>
          </m:e>
          <m:sub>
            <m:r>
              <w:rPr>
                <w:rFonts w:ascii="Cambria Math" w:hAnsi="Cambria Math" w:cs="Times-Roman"/>
                <w:szCs w:val="20"/>
              </w:rPr>
              <m:t>i(NARX)</m:t>
            </m:r>
          </m:sub>
        </m:sSub>
      </m:oMath>
      <w:r w:rsidR="00D21909" w:rsidRPr="00CC6CA3">
        <w:rPr>
          <w:rFonts w:ascii="Times-Roman" w:hAnsi="Times-Roman" w:cs="Times-Roman"/>
          <w:iCs/>
          <w:szCs w:val="20"/>
        </w:rPr>
        <w:t xml:space="preserve"> is the </w:t>
      </w:r>
      <w:r w:rsidRPr="00CC6CA3">
        <w:rPr>
          <w:rFonts w:ascii="Times-Roman" w:hAnsi="Times-Roman" w:cs="Times-Roman"/>
          <w:szCs w:val="20"/>
        </w:rPr>
        <w:t xml:space="preserve">MD calculated using Equation </w:t>
      </w:r>
      <w:r w:rsidRPr="00CC6CA3">
        <w:rPr>
          <w:rFonts w:ascii="Times-Roman" w:hAnsi="Times-Roman" w:cs="Times-Roman"/>
          <w:szCs w:val="20"/>
        </w:rPr>
        <w:fldChar w:fldCharType="begin"/>
      </w:r>
      <w:r w:rsidRPr="00CC6CA3">
        <w:rPr>
          <w:rFonts w:ascii="Times-Roman" w:hAnsi="Times-Roman" w:cs="Times-Roman"/>
          <w:szCs w:val="20"/>
        </w:rPr>
        <w:instrText xml:space="preserve"> REF _Ref63293653 \h </w:instrText>
      </w:r>
      <w:r w:rsidRPr="00CC6CA3">
        <w:rPr>
          <w:rFonts w:ascii="Times-Roman" w:hAnsi="Times-Roman" w:cs="Times-Roman"/>
          <w:szCs w:val="20"/>
        </w:rPr>
      </w:r>
      <w:r w:rsidRPr="00CC6CA3">
        <w:rPr>
          <w:rFonts w:ascii="Times-Roman" w:hAnsi="Times-Roman" w:cs="Times-Roman"/>
          <w:szCs w:val="20"/>
        </w:rPr>
        <w:fldChar w:fldCharType="separate"/>
      </w:r>
      <w:r w:rsidR="001906D9" w:rsidRPr="00CC6CA3">
        <w:t>(</w:t>
      </w:r>
      <w:r w:rsidR="001906D9" w:rsidRPr="00CC6CA3">
        <w:rPr>
          <w:noProof/>
        </w:rPr>
        <w:t>4</w:t>
      </w:r>
      <w:r w:rsidR="001906D9" w:rsidRPr="00CC6CA3">
        <w:noBreakHyphen/>
      </w:r>
      <w:r w:rsidR="001906D9" w:rsidRPr="00CC6CA3">
        <w:rPr>
          <w:noProof/>
        </w:rPr>
        <w:t>13</w:t>
      </w:r>
      <w:r w:rsidR="001906D9" w:rsidRPr="00CC6CA3">
        <w:t>)</w:t>
      </w:r>
      <w:r w:rsidRPr="00CC6CA3">
        <w:rPr>
          <w:rFonts w:ascii="Times-Roman" w:hAnsi="Times-Roman" w:cs="Times-Roman"/>
          <w:szCs w:val="20"/>
        </w:rPr>
        <w:fldChar w:fldCharType="end"/>
      </w:r>
      <w:r w:rsidRPr="00CC6CA3">
        <w:rPr>
          <w:rFonts w:ascii="Times-Roman" w:hAnsi="Times-Roman" w:cs="Times-Roman"/>
          <w:szCs w:val="20"/>
        </w:rPr>
        <w:t xml:space="preserve"> </w:t>
      </w:r>
      <w:r w:rsidR="00D21909" w:rsidRPr="00CC6CA3">
        <w:rPr>
          <w:rFonts w:ascii="Times-Roman" w:hAnsi="Times-Roman" w:cs="Times-Roman"/>
          <w:szCs w:val="20"/>
        </w:rPr>
        <w:t xml:space="preserve">for the monitored </w:t>
      </w:r>
      <w:proofErr w:type="gramStart"/>
      <w:r w:rsidR="00D21909" w:rsidRPr="00CC6CA3">
        <w:rPr>
          <w:rFonts w:ascii="Times-Roman" w:hAnsi="Times-Roman" w:cs="Times-Roman"/>
          <w:szCs w:val="20"/>
        </w:rPr>
        <w:t>data.</w:t>
      </w:r>
      <w:proofErr w:type="gramEnd"/>
      <w:r w:rsidR="00D21909" w:rsidRPr="00CC6CA3">
        <w:rPr>
          <w:rFonts w:ascii="Times-Roman" w:hAnsi="Times-Roman" w:cs="Times-Roman"/>
          <w:szCs w:val="20"/>
        </w:rPr>
        <w:t xml:space="preserve"> The machine/ equipment is considered normal if </w:t>
      </w:r>
      <m:oMath>
        <m:sSub>
          <m:sSubPr>
            <m:ctrlPr>
              <w:rPr>
                <w:rFonts w:ascii="Cambria Math" w:hAnsi="Cambria Math" w:cs="Times-Roman"/>
                <w:i/>
                <w:iCs/>
                <w:szCs w:val="20"/>
              </w:rPr>
            </m:ctrlPr>
          </m:sSubPr>
          <m:e>
            <m:r>
              <w:rPr>
                <w:rFonts w:ascii="Cambria Math" w:hAnsi="Cambria Math" w:cs="Times-Roman"/>
                <w:szCs w:val="20"/>
              </w:rPr>
              <m:t>MD</m:t>
            </m:r>
          </m:e>
          <m:sub>
            <m:r>
              <w:rPr>
                <w:rFonts w:ascii="Cambria Math" w:hAnsi="Cambria Math" w:cs="Times-Roman"/>
                <w:szCs w:val="20"/>
              </w:rPr>
              <m:t>i(NARX)</m:t>
            </m:r>
          </m:sub>
        </m:sSub>
        <m:r>
          <w:rPr>
            <w:rFonts w:ascii="Cambria Math" w:hAnsi="Cambria Math" w:cs="Times-Roman"/>
            <w:szCs w:val="20"/>
          </w:rPr>
          <m:t>&lt;</m:t>
        </m:r>
        <m:sSubSup>
          <m:sSubSupPr>
            <m:ctrlPr>
              <w:rPr>
                <w:rFonts w:ascii="Cambria Math" w:hAnsi="Cambria Math" w:cs="Times-Roman"/>
                <w:i/>
                <w:iCs/>
                <w:szCs w:val="20"/>
              </w:rPr>
            </m:ctrlPr>
          </m:sSubSupPr>
          <m:e>
            <m:r>
              <w:rPr>
                <w:rFonts w:ascii="Cambria Math" w:hAnsi="Cambria Math" w:cs="Times-Roman"/>
                <w:szCs w:val="20"/>
              </w:rPr>
              <m:t>MD</m:t>
            </m:r>
          </m:e>
          <m:sub>
            <m:r>
              <w:rPr>
                <w:rFonts w:ascii="Cambria Math" w:hAnsi="Cambria Math" w:cs="Times-Roman"/>
                <w:szCs w:val="20"/>
              </w:rPr>
              <m:t>NARX</m:t>
            </m:r>
          </m:sub>
          <m:sup>
            <m:r>
              <w:rPr>
                <w:rFonts w:ascii="Cambria Math" w:hAnsi="Cambria Math" w:cs="Times-Roman"/>
                <w:szCs w:val="20"/>
              </w:rPr>
              <m:t>ref</m:t>
            </m:r>
          </m:sup>
        </m:sSubSup>
      </m:oMath>
      <w:r w:rsidR="00D21909" w:rsidRPr="00CC6CA3">
        <w:rPr>
          <w:rFonts w:ascii="Times-Roman" w:hAnsi="Times-Roman" w:cs="Times-Roman"/>
          <w:iCs/>
          <w:szCs w:val="20"/>
        </w:rPr>
        <w:t xml:space="preserve">; and anomalies are detected if </w:t>
      </w:r>
      <m:oMath>
        <m:sSub>
          <m:sSubPr>
            <m:ctrlPr>
              <w:rPr>
                <w:rFonts w:ascii="Cambria Math" w:hAnsi="Cambria Math" w:cs="Times-Roman"/>
                <w:i/>
                <w:iCs/>
                <w:szCs w:val="20"/>
              </w:rPr>
            </m:ctrlPr>
          </m:sSubPr>
          <m:e>
            <m:r>
              <w:rPr>
                <w:rFonts w:ascii="Cambria Math" w:hAnsi="Cambria Math" w:cs="Times-Roman"/>
                <w:szCs w:val="20"/>
              </w:rPr>
              <m:t>MD</m:t>
            </m:r>
          </m:e>
          <m:sub>
            <m:r>
              <w:rPr>
                <w:rFonts w:ascii="Cambria Math" w:hAnsi="Cambria Math" w:cs="Times-Roman"/>
                <w:szCs w:val="20"/>
              </w:rPr>
              <m:t>i(NARX)</m:t>
            </m:r>
          </m:sub>
        </m:sSub>
        <m:r>
          <w:rPr>
            <w:rFonts w:ascii="Cambria Math" w:hAnsi="Cambria Math" w:cs="Times-Roman"/>
            <w:szCs w:val="20"/>
          </w:rPr>
          <m:t>&gt;</m:t>
        </m:r>
        <m:sSubSup>
          <m:sSubSupPr>
            <m:ctrlPr>
              <w:rPr>
                <w:rFonts w:ascii="Cambria Math" w:hAnsi="Cambria Math" w:cs="Times-Roman"/>
                <w:i/>
                <w:iCs/>
                <w:szCs w:val="20"/>
              </w:rPr>
            </m:ctrlPr>
          </m:sSubSupPr>
          <m:e>
            <m:r>
              <w:rPr>
                <w:rFonts w:ascii="Cambria Math" w:hAnsi="Cambria Math" w:cs="Times-Roman"/>
                <w:szCs w:val="20"/>
              </w:rPr>
              <m:t>MD</m:t>
            </m:r>
          </m:e>
          <m:sub>
            <m:r>
              <w:rPr>
                <w:rFonts w:ascii="Cambria Math" w:hAnsi="Cambria Math" w:cs="Times-Roman"/>
                <w:szCs w:val="20"/>
              </w:rPr>
              <m:t>NARX</m:t>
            </m:r>
          </m:sub>
          <m:sup>
            <m:r>
              <w:rPr>
                <w:rFonts w:ascii="Cambria Math" w:hAnsi="Cambria Math" w:cs="Times-Roman"/>
                <w:szCs w:val="20"/>
              </w:rPr>
              <m:t>ref</m:t>
            </m:r>
          </m:sup>
        </m:sSubSup>
      </m:oMath>
      <w:r w:rsidR="00D21909" w:rsidRPr="00CC6CA3">
        <w:rPr>
          <w:rFonts w:ascii="Times-Roman" w:hAnsi="Times-Roman" w:cs="Times-Roman"/>
          <w:iCs/>
          <w:szCs w:val="20"/>
        </w:rPr>
        <w:t xml:space="preserve">. Considering that false alarms can be present, it is assumed that the machine/equipment is faulty when the </w:t>
      </w:r>
      <m:oMath>
        <m:sSub>
          <m:sSubPr>
            <m:ctrlPr>
              <w:rPr>
                <w:rFonts w:ascii="Cambria Math" w:hAnsi="Cambria Math" w:cs="Times-Roman"/>
                <w:i/>
                <w:iCs/>
                <w:szCs w:val="20"/>
              </w:rPr>
            </m:ctrlPr>
          </m:sSubPr>
          <m:e>
            <m:r>
              <w:rPr>
                <w:rFonts w:ascii="Cambria Math" w:hAnsi="Cambria Math" w:cs="Times-Roman"/>
                <w:szCs w:val="20"/>
              </w:rPr>
              <m:t>MD</m:t>
            </m:r>
          </m:e>
          <m:sub>
            <m:r>
              <w:rPr>
                <w:rFonts w:ascii="Cambria Math" w:hAnsi="Cambria Math" w:cs="Times-Roman"/>
                <w:szCs w:val="20"/>
              </w:rPr>
              <m:t>i(NARX)</m:t>
            </m:r>
          </m:sub>
        </m:sSub>
      </m:oMath>
      <w:r w:rsidR="00D21909" w:rsidRPr="00CC6CA3">
        <w:rPr>
          <w:rFonts w:ascii="Times-Roman" w:hAnsi="Times-Roman" w:cs="Times-Roman"/>
          <w:iCs/>
          <w:szCs w:val="20"/>
        </w:rPr>
        <w:t xml:space="preserve"> continuously exceeds the fault detection threshold</w:t>
      </w:r>
      <w:r w:rsidRPr="00CC6CA3">
        <w:rPr>
          <w:rFonts w:ascii="Times-Roman" w:hAnsi="Times-Roman" w:cs="Times-Roman"/>
          <w:iCs/>
          <w:szCs w:val="20"/>
        </w:rPr>
        <w:t>.</w:t>
      </w:r>
    </w:p>
    <w:p w14:paraId="34393FED" w14:textId="77777777" w:rsidR="002122FA" w:rsidRPr="00CC6CA3" w:rsidRDefault="002122FA" w:rsidP="002122FA">
      <w:pPr>
        <w:pStyle w:val="Body"/>
        <w:keepNext/>
        <w:jc w:val="center"/>
      </w:pPr>
      <w:r w:rsidRPr="00CC6CA3">
        <w:rPr>
          <w:noProof/>
        </w:rPr>
        <w:drawing>
          <wp:inline distT="0" distB="0" distL="0" distR="0" wp14:anchorId="62409394" wp14:editId="626A78CB">
            <wp:extent cx="5400000" cy="3096694"/>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00" cy="3096694"/>
                    </a:xfrm>
                    <a:prstGeom prst="rect">
                      <a:avLst/>
                    </a:prstGeom>
                    <a:noFill/>
                  </pic:spPr>
                </pic:pic>
              </a:graphicData>
            </a:graphic>
          </wp:inline>
        </w:drawing>
      </w:r>
    </w:p>
    <w:p w14:paraId="13563999" w14:textId="2B94A76B" w:rsidR="002122FA" w:rsidRPr="00CC6CA3" w:rsidRDefault="002122FA" w:rsidP="002122FA">
      <w:pPr>
        <w:pStyle w:val="Caption"/>
        <w:jc w:val="center"/>
      </w:pPr>
      <w:bookmarkStart w:id="318" w:name="_Ref12632723"/>
      <w:bookmarkStart w:id="319" w:name="_Toc8155336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w:t>
      </w:r>
      <w:r w:rsidR="00D62691" w:rsidRPr="00CC6CA3">
        <w:rPr>
          <w:noProof/>
        </w:rPr>
        <w:fldChar w:fldCharType="end"/>
      </w:r>
      <w:bookmarkEnd w:id="318"/>
      <w:r w:rsidRPr="00CC6CA3">
        <w:t xml:space="preserve"> Model 1: NARX based fault detection model</w:t>
      </w:r>
      <w:bookmarkEnd w:id="319"/>
    </w:p>
    <w:p w14:paraId="6D806F06" w14:textId="24B9CE1E" w:rsidR="00A60CB2" w:rsidRPr="00CC6CA3" w:rsidRDefault="00A60CB2" w:rsidP="002122FA">
      <w:pPr>
        <w:pStyle w:val="Heading3"/>
      </w:pPr>
      <w:bookmarkStart w:id="320" w:name="_Toc81553286"/>
      <w:r w:rsidRPr="00CC6CA3">
        <w:lastRenderedPageBreak/>
        <w:t>Case studies</w:t>
      </w:r>
      <w:r w:rsidR="00290837" w:rsidRPr="00CC6CA3">
        <w:t>: fault detection using the NARX model</w:t>
      </w:r>
      <w:bookmarkEnd w:id="320"/>
    </w:p>
    <w:p w14:paraId="6DEC5588" w14:textId="29ECF645" w:rsidR="002122FA" w:rsidRPr="00CC6CA3" w:rsidRDefault="002122FA" w:rsidP="00A60CB2">
      <w:pPr>
        <w:pStyle w:val="Heading4"/>
      </w:pPr>
      <w:r w:rsidRPr="00CC6CA3">
        <w:t>Case 1</w:t>
      </w:r>
      <w:r w:rsidR="0039476D" w:rsidRPr="00CC6CA3">
        <w:t>: misalignment fault in a pump</w:t>
      </w:r>
    </w:p>
    <w:p w14:paraId="1E9A3007" w14:textId="1FC6A99B" w:rsidR="002122FA" w:rsidRPr="00CC6CA3" w:rsidRDefault="0039476D" w:rsidP="002122FA">
      <w:r w:rsidRPr="00CC6CA3">
        <w:t>In this case study, the NARX fault detection model was trained on the data for the period from 10</w:t>
      </w:r>
      <w:r w:rsidRPr="00CC6CA3">
        <w:rPr>
          <w:vertAlign w:val="superscript"/>
        </w:rPr>
        <w:t>th</w:t>
      </w:r>
      <w:r w:rsidRPr="00CC6CA3">
        <w:t xml:space="preserve"> Mar 2013 to 21</w:t>
      </w:r>
      <w:r w:rsidRPr="00CC6CA3">
        <w:rPr>
          <w:vertAlign w:val="superscript"/>
        </w:rPr>
        <w:t>st</w:t>
      </w:r>
      <w:r w:rsidRPr="00CC6CA3">
        <w:t xml:space="preserve"> Jun 2013, during which there was no recorded damage to the pump. The model was then tested using data from 22</w:t>
      </w:r>
      <w:r w:rsidRPr="00CC6CA3">
        <w:rPr>
          <w:vertAlign w:val="superscript"/>
        </w:rPr>
        <w:t>nd</w:t>
      </w:r>
      <w:r w:rsidRPr="00CC6CA3">
        <w:t xml:space="preserve"> Jun to 6</w:t>
      </w:r>
      <w:r w:rsidRPr="00CC6CA3">
        <w:rPr>
          <w:vertAlign w:val="superscript"/>
        </w:rPr>
        <w:t>th</w:t>
      </w:r>
      <w:r w:rsidRPr="00CC6CA3">
        <w:t xml:space="preserve"> Jul 2013, during which time a misalignment fault occurred </w:t>
      </w:r>
      <w:r w:rsidR="002122FA" w:rsidRPr="00CC6CA3">
        <w:t xml:space="preserve">(see Figure 3-14). </w:t>
      </w:r>
      <w:r w:rsidRPr="00CC6CA3">
        <w:t xml:space="preserve">The inputs and outputs of the NARX models for pump bearings are listed in </w:t>
      </w:r>
      <w:r w:rsidR="002122FA" w:rsidRPr="00CC6CA3">
        <w:fldChar w:fldCharType="begin"/>
      </w:r>
      <w:r w:rsidR="002122FA" w:rsidRPr="00CC6CA3">
        <w:instrText xml:space="preserve"> REF _Ref33213293 \h </w:instrText>
      </w:r>
      <w:r w:rsidR="002122FA" w:rsidRPr="00CC6CA3">
        <w:fldChar w:fldCharType="separate"/>
      </w:r>
      <w:r w:rsidR="001906D9" w:rsidRPr="00CC6CA3">
        <w:t xml:space="preserve">Table </w:t>
      </w:r>
      <w:r w:rsidR="001906D9" w:rsidRPr="00CC6CA3">
        <w:rPr>
          <w:noProof/>
        </w:rPr>
        <w:t>4</w:t>
      </w:r>
      <w:r w:rsidR="001906D9" w:rsidRPr="00CC6CA3">
        <w:t>.</w:t>
      </w:r>
      <w:r w:rsidR="001906D9" w:rsidRPr="00CC6CA3">
        <w:rPr>
          <w:noProof/>
        </w:rPr>
        <w:t>1</w:t>
      </w:r>
      <w:r w:rsidR="002122FA" w:rsidRPr="00CC6CA3">
        <w:fldChar w:fldCharType="end"/>
      </w:r>
      <w:r w:rsidR="002122FA" w:rsidRPr="00CC6CA3">
        <w:t>.</w:t>
      </w:r>
    </w:p>
    <w:p w14:paraId="1C314C7E" w14:textId="0699C61E" w:rsidR="002122FA" w:rsidRPr="00CC6CA3" w:rsidRDefault="002122FA" w:rsidP="002122FA">
      <w:pPr>
        <w:pStyle w:val="Caption"/>
        <w:keepNext/>
      </w:pPr>
      <w:bookmarkStart w:id="321" w:name="_Ref33213293"/>
      <w:bookmarkStart w:id="322" w:name="_Toc81553476"/>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1</w:t>
      </w:r>
      <w:r w:rsidR="00D62691" w:rsidRPr="00CC6CA3">
        <w:rPr>
          <w:noProof/>
        </w:rPr>
        <w:fldChar w:fldCharType="end"/>
      </w:r>
      <w:bookmarkEnd w:id="321"/>
      <w:r w:rsidRPr="00CC6CA3">
        <w:t xml:space="preserve"> Inputs and output of NARX models for pump bearings</w:t>
      </w:r>
      <w:bookmarkEnd w:id="322"/>
    </w:p>
    <w:tbl>
      <w:tblPr>
        <w:tblStyle w:val="PlainTable2"/>
        <w:tblW w:w="0" w:type="auto"/>
        <w:tblLayout w:type="fixed"/>
        <w:tblLook w:val="04A0" w:firstRow="1" w:lastRow="0" w:firstColumn="1" w:lastColumn="0" w:noHBand="0" w:noVBand="1"/>
      </w:tblPr>
      <w:tblGrid>
        <w:gridCol w:w="3119"/>
        <w:gridCol w:w="1417"/>
        <w:gridCol w:w="1276"/>
        <w:gridCol w:w="1559"/>
        <w:gridCol w:w="1384"/>
      </w:tblGrid>
      <w:tr w:rsidR="00CC6CA3" w:rsidRPr="00CC6CA3" w14:paraId="050B036E" w14:textId="77777777" w:rsidTr="000B5CE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2A505059" w14:textId="2EA5E966" w:rsidR="002122FA" w:rsidRPr="00CC6CA3" w:rsidRDefault="00FE5F69" w:rsidP="00F632C0">
            <w:pPr>
              <w:jc w:val="left"/>
              <w:rPr>
                <w:rFonts w:cs="Times New Roman"/>
                <w:sz w:val="20"/>
                <w:szCs w:val="20"/>
              </w:rPr>
            </w:pPr>
            <w:r w:rsidRPr="00CC6CA3">
              <w:rPr>
                <w:rFonts w:cs="Times New Roman"/>
                <w:sz w:val="20"/>
                <w:szCs w:val="20"/>
              </w:rPr>
              <w:t>Variables</w:t>
            </w:r>
          </w:p>
        </w:tc>
        <w:tc>
          <w:tcPr>
            <w:tcW w:w="1417" w:type="dxa"/>
            <w:noWrap/>
            <w:hideMark/>
          </w:tcPr>
          <w:p w14:paraId="66272040" w14:textId="77777777" w:rsidR="002122FA" w:rsidRPr="00CC6CA3" w:rsidRDefault="002122FA" w:rsidP="00F632C0">
            <w:pPr>
              <w:jc w:val="left"/>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Radial bearing model 1</w:t>
            </w:r>
          </w:p>
        </w:tc>
        <w:tc>
          <w:tcPr>
            <w:tcW w:w="1276" w:type="dxa"/>
          </w:tcPr>
          <w:p w14:paraId="060D20C1" w14:textId="77777777" w:rsidR="002122FA" w:rsidRPr="00CC6CA3" w:rsidRDefault="002122FA" w:rsidP="00F632C0">
            <w:pPr>
              <w:jc w:val="left"/>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Radial bearing model 2</w:t>
            </w:r>
          </w:p>
        </w:tc>
        <w:tc>
          <w:tcPr>
            <w:tcW w:w="1559" w:type="dxa"/>
            <w:noWrap/>
            <w:hideMark/>
          </w:tcPr>
          <w:p w14:paraId="40AE3600" w14:textId="77777777" w:rsidR="002122FA" w:rsidRPr="00CC6CA3" w:rsidRDefault="002122FA" w:rsidP="00F632C0">
            <w:pPr>
              <w:jc w:val="left"/>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Thrust bearing model 1</w:t>
            </w:r>
          </w:p>
        </w:tc>
        <w:tc>
          <w:tcPr>
            <w:tcW w:w="1384" w:type="dxa"/>
          </w:tcPr>
          <w:p w14:paraId="765A6614" w14:textId="77777777" w:rsidR="002122FA" w:rsidRPr="00CC6CA3" w:rsidRDefault="002122FA" w:rsidP="00F632C0">
            <w:pPr>
              <w:jc w:val="left"/>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Thrust bearing model 2</w:t>
            </w:r>
          </w:p>
        </w:tc>
      </w:tr>
      <w:tr w:rsidR="00CC6CA3" w:rsidRPr="00CC6CA3" w14:paraId="1FBA9590" w14:textId="77777777" w:rsidTr="000B5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28F57AC" w14:textId="77777777" w:rsidR="002122FA" w:rsidRPr="00CC6CA3" w:rsidRDefault="002122FA" w:rsidP="00F632C0">
            <w:pPr>
              <w:jc w:val="left"/>
              <w:rPr>
                <w:rFonts w:cs="Times New Roman"/>
                <w:sz w:val="20"/>
                <w:szCs w:val="20"/>
              </w:rPr>
            </w:pPr>
            <w:r w:rsidRPr="00CC6CA3">
              <w:rPr>
                <w:rFonts w:cs="Times New Roman"/>
                <w:sz w:val="20"/>
                <w:szCs w:val="20"/>
              </w:rPr>
              <w:t>Speed</w:t>
            </w:r>
          </w:p>
        </w:tc>
        <w:tc>
          <w:tcPr>
            <w:tcW w:w="1417" w:type="dxa"/>
            <w:noWrap/>
            <w:hideMark/>
          </w:tcPr>
          <w:p w14:paraId="20232A9E"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276" w:type="dxa"/>
          </w:tcPr>
          <w:p w14:paraId="0026ADAB"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r w:rsidRPr="00CC6CA3">
              <w:rPr>
                <w:rFonts w:ascii="Segoe UI Symbol" w:hAnsi="Segoe UI Symbol" w:cs="Segoe UI Symbol"/>
                <w:sz w:val="20"/>
                <w:szCs w:val="20"/>
              </w:rPr>
              <w:t>✓</w:t>
            </w:r>
          </w:p>
        </w:tc>
        <w:tc>
          <w:tcPr>
            <w:tcW w:w="1559" w:type="dxa"/>
            <w:noWrap/>
            <w:hideMark/>
          </w:tcPr>
          <w:p w14:paraId="66E12A6C"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384" w:type="dxa"/>
          </w:tcPr>
          <w:p w14:paraId="67255F01"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r w:rsidRPr="00CC6CA3">
              <w:rPr>
                <w:rFonts w:ascii="Segoe UI Symbol" w:hAnsi="Segoe UI Symbol" w:cs="Segoe UI Symbol"/>
                <w:sz w:val="20"/>
                <w:szCs w:val="20"/>
              </w:rPr>
              <w:t>✓</w:t>
            </w:r>
          </w:p>
        </w:tc>
      </w:tr>
      <w:tr w:rsidR="00CC6CA3" w:rsidRPr="00CC6CA3" w14:paraId="3483FE2B" w14:textId="77777777" w:rsidTr="000B5CE9">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540873E0" w14:textId="77777777" w:rsidR="002122FA" w:rsidRPr="00CC6CA3" w:rsidRDefault="002122FA" w:rsidP="00F632C0">
            <w:pPr>
              <w:jc w:val="left"/>
              <w:rPr>
                <w:rFonts w:cs="Times New Roman"/>
                <w:sz w:val="20"/>
                <w:szCs w:val="20"/>
              </w:rPr>
            </w:pPr>
            <w:r w:rsidRPr="00CC6CA3">
              <w:rPr>
                <w:rFonts w:cs="Times New Roman"/>
                <w:sz w:val="20"/>
                <w:szCs w:val="20"/>
              </w:rPr>
              <w:t>Suction pressure</w:t>
            </w:r>
          </w:p>
        </w:tc>
        <w:tc>
          <w:tcPr>
            <w:tcW w:w="1417" w:type="dxa"/>
            <w:noWrap/>
            <w:hideMark/>
          </w:tcPr>
          <w:p w14:paraId="63524BEA"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276" w:type="dxa"/>
          </w:tcPr>
          <w:p w14:paraId="67372D4B"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r w:rsidRPr="00CC6CA3">
              <w:rPr>
                <w:rFonts w:ascii="Segoe UI Symbol" w:hAnsi="Segoe UI Symbol" w:cs="Segoe UI Symbol"/>
                <w:sz w:val="20"/>
                <w:szCs w:val="20"/>
              </w:rPr>
              <w:t>✓</w:t>
            </w:r>
          </w:p>
        </w:tc>
        <w:tc>
          <w:tcPr>
            <w:tcW w:w="1559" w:type="dxa"/>
            <w:noWrap/>
            <w:hideMark/>
          </w:tcPr>
          <w:p w14:paraId="4AD1758E"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384" w:type="dxa"/>
          </w:tcPr>
          <w:p w14:paraId="6097A439"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r w:rsidRPr="00CC6CA3">
              <w:rPr>
                <w:rFonts w:ascii="Segoe UI Symbol" w:hAnsi="Segoe UI Symbol" w:cs="Segoe UI Symbol"/>
                <w:sz w:val="20"/>
                <w:szCs w:val="20"/>
              </w:rPr>
              <w:t>✓</w:t>
            </w:r>
          </w:p>
        </w:tc>
      </w:tr>
      <w:tr w:rsidR="00CC6CA3" w:rsidRPr="00CC6CA3" w14:paraId="34BEC365" w14:textId="77777777" w:rsidTr="000B5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6BA7AD5" w14:textId="77777777" w:rsidR="002122FA" w:rsidRPr="00CC6CA3" w:rsidRDefault="002122FA" w:rsidP="00F632C0">
            <w:pPr>
              <w:jc w:val="left"/>
              <w:rPr>
                <w:rFonts w:cs="Times New Roman"/>
                <w:sz w:val="20"/>
                <w:szCs w:val="20"/>
              </w:rPr>
            </w:pPr>
            <w:r w:rsidRPr="00CC6CA3">
              <w:rPr>
                <w:rFonts w:cs="Times New Roman"/>
                <w:sz w:val="20"/>
                <w:szCs w:val="20"/>
              </w:rPr>
              <w:t>Discharge pressure</w:t>
            </w:r>
          </w:p>
        </w:tc>
        <w:tc>
          <w:tcPr>
            <w:tcW w:w="1417" w:type="dxa"/>
            <w:noWrap/>
            <w:hideMark/>
          </w:tcPr>
          <w:p w14:paraId="7B071498"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276" w:type="dxa"/>
          </w:tcPr>
          <w:p w14:paraId="59ADF58A"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r w:rsidRPr="00CC6CA3">
              <w:rPr>
                <w:rFonts w:ascii="Segoe UI Symbol" w:hAnsi="Segoe UI Symbol" w:cs="Segoe UI Symbol"/>
                <w:sz w:val="20"/>
                <w:szCs w:val="20"/>
              </w:rPr>
              <w:t>✓</w:t>
            </w:r>
          </w:p>
        </w:tc>
        <w:tc>
          <w:tcPr>
            <w:tcW w:w="1559" w:type="dxa"/>
            <w:noWrap/>
            <w:hideMark/>
          </w:tcPr>
          <w:p w14:paraId="01B1A5C0"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384" w:type="dxa"/>
          </w:tcPr>
          <w:p w14:paraId="17305878"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r w:rsidRPr="00CC6CA3">
              <w:rPr>
                <w:rFonts w:ascii="Segoe UI Symbol" w:hAnsi="Segoe UI Symbol" w:cs="Segoe UI Symbol"/>
                <w:sz w:val="20"/>
                <w:szCs w:val="20"/>
              </w:rPr>
              <w:t>✓</w:t>
            </w:r>
          </w:p>
        </w:tc>
      </w:tr>
      <w:tr w:rsidR="00CC6CA3" w:rsidRPr="00CC6CA3" w14:paraId="6DCFEFAA" w14:textId="77777777" w:rsidTr="000B5CE9">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55AD555" w14:textId="77777777" w:rsidR="002122FA" w:rsidRPr="00CC6CA3" w:rsidRDefault="002122FA" w:rsidP="00F632C0">
            <w:pPr>
              <w:jc w:val="left"/>
              <w:rPr>
                <w:rFonts w:cs="Times New Roman"/>
                <w:sz w:val="20"/>
                <w:szCs w:val="20"/>
              </w:rPr>
            </w:pPr>
            <w:r w:rsidRPr="00CC6CA3">
              <w:rPr>
                <w:rFonts w:cs="Times New Roman"/>
                <w:sz w:val="20"/>
                <w:szCs w:val="20"/>
              </w:rPr>
              <w:t>Actual Flow</w:t>
            </w:r>
          </w:p>
        </w:tc>
        <w:tc>
          <w:tcPr>
            <w:tcW w:w="1417" w:type="dxa"/>
            <w:noWrap/>
            <w:hideMark/>
          </w:tcPr>
          <w:p w14:paraId="58B6D6F9"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276" w:type="dxa"/>
          </w:tcPr>
          <w:p w14:paraId="7961F807"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559" w:type="dxa"/>
            <w:noWrap/>
            <w:hideMark/>
          </w:tcPr>
          <w:p w14:paraId="3E752220"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c>
          <w:tcPr>
            <w:tcW w:w="1384" w:type="dxa"/>
          </w:tcPr>
          <w:p w14:paraId="2EAAE996"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ascii="Segoe UI Symbol" w:hAnsi="Segoe UI Symbol" w:cs="Segoe UI Symbol"/>
                <w:sz w:val="20"/>
                <w:szCs w:val="20"/>
              </w:rPr>
              <w:t>✓</w:t>
            </w:r>
          </w:p>
        </w:tc>
      </w:tr>
      <w:tr w:rsidR="00CC6CA3" w:rsidRPr="00CC6CA3" w14:paraId="260C74FE" w14:textId="77777777" w:rsidTr="000B5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5D2A343B" w14:textId="77777777" w:rsidR="002122FA" w:rsidRPr="00CC6CA3" w:rsidRDefault="002122FA" w:rsidP="00F632C0">
            <w:pPr>
              <w:jc w:val="left"/>
              <w:rPr>
                <w:rFonts w:cs="Times New Roman"/>
                <w:sz w:val="20"/>
                <w:szCs w:val="20"/>
              </w:rPr>
            </w:pPr>
            <w:r w:rsidRPr="00CC6CA3">
              <w:rPr>
                <w:rFonts w:cs="Times New Roman"/>
                <w:sz w:val="20"/>
                <w:szCs w:val="20"/>
              </w:rPr>
              <w:t>Radial Vibration Overall Y1</w:t>
            </w:r>
          </w:p>
        </w:tc>
        <w:tc>
          <w:tcPr>
            <w:tcW w:w="1417" w:type="dxa"/>
            <w:noWrap/>
            <w:hideMark/>
          </w:tcPr>
          <w:p w14:paraId="3722B5CB"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O</w:t>
            </w:r>
          </w:p>
        </w:tc>
        <w:tc>
          <w:tcPr>
            <w:tcW w:w="1276" w:type="dxa"/>
          </w:tcPr>
          <w:p w14:paraId="49A4F7F9"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559" w:type="dxa"/>
            <w:noWrap/>
            <w:hideMark/>
          </w:tcPr>
          <w:p w14:paraId="58C9F362"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384" w:type="dxa"/>
          </w:tcPr>
          <w:p w14:paraId="568ACDF8"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p>
        </w:tc>
      </w:tr>
      <w:tr w:rsidR="00CC6CA3" w:rsidRPr="00CC6CA3" w14:paraId="6E20DB36" w14:textId="77777777" w:rsidTr="000B5CE9">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6F0FC34" w14:textId="77777777" w:rsidR="002122FA" w:rsidRPr="00CC6CA3" w:rsidRDefault="002122FA" w:rsidP="00F632C0">
            <w:pPr>
              <w:jc w:val="left"/>
              <w:rPr>
                <w:rFonts w:cs="Times New Roman"/>
                <w:sz w:val="20"/>
                <w:szCs w:val="20"/>
              </w:rPr>
            </w:pPr>
            <w:r w:rsidRPr="00CC6CA3">
              <w:rPr>
                <w:rFonts w:cs="Times New Roman"/>
                <w:sz w:val="20"/>
                <w:szCs w:val="20"/>
              </w:rPr>
              <w:t>Radial Vibration Overall Y2</w:t>
            </w:r>
          </w:p>
        </w:tc>
        <w:tc>
          <w:tcPr>
            <w:tcW w:w="1417" w:type="dxa"/>
            <w:noWrap/>
            <w:hideMark/>
          </w:tcPr>
          <w:p w14:paraId="26083F1E"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276" w:type="dxa"/>
          </w:tcPr>
          <w:p w14:paraId="256A2EC7"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O</w:t>
            </w:r>
          </w:p>
        </w:tc>
        <w:tc>
          <w:tcPr>
            <w:tcW w:w="1559" w:type="dxa"/>
            <w:noWrap/>
            <w:hideMark/>
          </w:tcPr>
          <w:p w14:paraId="759149B4"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84" w:type="dxa"/>
          </w:tcPr>
          <w:p w14:paraId="61C56E2F"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p>
        </w:tc>
      </w:tr>
      <w:tr w:rsidR="00CC6CA3" w:rsidRPr="00CC6CA3" w14:paraId="4F5988BB" w14:textId="77777777" w:rsidTr="000B5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D869429" w14:textId="77777777" w:rsidR="002122FA" w:rsidRPr="00CC6CA3" w:rsidRDefault="002122FA" w:rsidP="00F632C0">
            <w:pPr>
              <w:jc w:val="left"/>
              <w:rPr>
                <w:rFonts w:cs="Times New Roman"/>
                <w:sz w:val="20"/>
                <w:szCs w:val="20"/>
              </w:rPr>
            </w:pPr>
            <w:r w:rsidRPr="00CC6CA3">
              <w:rPr>
                <w:rFonts w:cs="Times New Roman"/>
                <w:sz w:val="20"/>
                <w:szCs w:val="20"/>
              </w:rPr>
              <w:t>Radial Bearing Temperature 1</w:t>
            </w:r>
          </w:p>
        </w:tc>
        <w:tc>
          <w:tcPr>
            <w:tcW w:w="1417" w:type="dxa"/>
            <w:noWrap/>
            <w:hideMark/>
          </w:tcPr>
          <w:p w14:paraId="2EEED850"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O</w:t>
            </w:r>
          </w:p>
        </w:tc>
        <w:tc>
          <w:tcPr>
            <w:tcW w:w="1276" w:type="dxa"/>
          </w:tcPr>
          <w:p w14:paraId="1BED52CD"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559" w:type="dxa"/>
            <w:noWrap/>
            <w:hideMark/>
          </w:tcPr>
          <w:p w14:paraId="7A8E3EDD"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384" w:type="dxa"/>
          </w:tcPr>
          <w:p w14:paraId="3E0E8D8F"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p>
        </w:tc>
      </w:tr>
      <w:tr w:rsidR="00CC6CA3" w:rsidRPr="00CC6CA3" w14:paraId="7BBE4C57" w14:textId="77777777" w:rsidTr="000B5CE9">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8DF4959" w14:textId="77777777" w:rsidR="002122FA" w:rsidRPr="00CC6CA3" w:rsidRDefault="002122FA" w:rsidP="00F632C0">
            <w:pPr>
              <w:jc w:val="left"/>
              <w:rPr>
                <w:rFonts w:cs="Times New Roman"/>
                <w:sz w:val="20"/>
                <w:szCs w:val="20"/>
              </w:rPr>
            </w:pPr>
            <w:r w:rsidRPr="00CC6CA3">
              <w:rPr>
                <w:rFonts w:cs="Times New Roman"/>
                <w:sz w:val="20"/>
                <w:szCs w:val="20"/>
              </w:rPr>
              <w:t>Radial Bearing Temperature 2</w:t>
            </w:r>
          </w:p>
        </w:tc>
        <w:tc>
          <w:tcPr>
            <w:tcW w:w="1417" w:type="dxa"/>
            <w:noWrap/>
            <w:hideMark/>
          </w:tcPr>
          <w:p w14:paraId="690DA5E2"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276" w:type="dxa"/>
          </w:tcPr>
          <w:p w14:paraId="4BA1C50A"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O</w:t>
            </w:r>
          </w:p>
        </w:tc>
        <w:tc>
          <w:tcPr>
            <w:tcW w:w="1559" w:type="dxa"/>
            <w:noWrap/>
            <w:hideMark/>
          </w:tcPr>
          <w:p w14:paraId="1810E6BA"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84" w:type="dxa"/>
          </w:tcPr>
          <w:p w14:paraId="5B703C18"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p>
        </w:tc>
      </w:tr>
      <w:tr w:rsidR="00CC6CA3" w:rsidRPr="00CC6CA3" w14:paraId="4CB21F5E" w14:textId="77777777" w:rsidTr="000B5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E83ADD3" w14:textId="77777777" w:rsidR="002122FA" w:rsidRPr="00CC6CA3" w:rsidRDefault="002122FA" w:rsidP="00F632C0">
            <w:pPr>
              <w:jc w:val="left"/>
              <w:rPr>
                <w:rFonts w:cs="Times New Roman"/>
                <w:sz w:val="20"/>
                <w:szCs w:val="20"/>
              </w:rPr>
            </w:pPr>
            <w:r w:rsidRPr="00CC6CA3">
              <w:rPr>
                <w:rFonts w:cs="Times New Roman"/>
                <w:sz w:val="20"/>
                <w:szCs w:val="20"/>
              </w:rPr>
              <w:t>Radial Vibration Overall X1</w:t>
            </w:r>
          </w:p>
        </w:tc>
        <w:tc>
          <w:tcPr>
            <w:tcW w:w="1417" w:type="dxa"/>
            <w:noWrap/>
            <w:hideMark/>
          </w:tcPr>
          <w:p w14:paraId="2CB05A2F"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O</w:t>
            </w:r>
          </w:p>
        </w:tc>
        <w:tc>
          <w:tcPr>
            <w:tcW w:w="1276" w:type="dxa"/>
          </w:tcPr>
          <w:p w14:paraId="04809173"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559" w:type="dxa"/>
            <w:noWrap/>
            <w:hideMark/>
          </w:tcPr>
          <w:p w14:paraId="53588A1F"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384" w:type="dxa"/>
          </w:tcPr>
          <w:p w14:paraId="06B79A96"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p>
        </w:tc>
      </w:tr>
      <w:tr w:rsidR="00CC6CA3" w:rsidRPr="00CC6CA3" w14:paraId="4663A661" w14:textId="77777777" w:rsidTr="000B5CE9">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686A3FCC" w14:textId="77777777" w:rsidR="002122FA" w:rsidRPr="00CC6CA3" w:rsidRDefault="002122FA" w:rsidP="00F632C0">
            <w:pPr>
              <w:jc w:val="left"/>
              <w:rPr>
                <w:rFonts w:cs="Times New Roman"/>
                <w:sz w:val="20"/>
                <w:szCs w:val="20"/>
              </w:rPr>
            </w:pPr>
            <w:r w:rsidRPr="00CC6CA3">
              <w:rPr>
                <w:rFonts w:cs="Times New Roman"/>
                <w:sz w:val="20"/>
                <w:szCs w:val="20"/>
              </w:rPr>
              <w:t>Radial Vibration Overall X2</w:t>
            </w:r>
          </w:p>
        </w:tc>
        <w:tc>
          <w:tcPr>
            <w:tcW w:w="1417" w:type="dxa"/>
            <w:noWrap/>
            <w:hideMark/>
          </w:tcPr>
          <w:p w14:paraId="4F1E6F77"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276" w:type="dxa"/>
          </w:tcPr>
          <w:p w14:paraId="5DA719D2"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O</w:t>
            </w:r>
          </w:p>
        </w:tc>
        <w:tc>
          <w:tcPr>
            <w:tcW w:w="1559" w:type="dxa"/>
            <w:noWrap/>
            <w:hideMark/>
          </w:tcPr>
          <w:p w14:paraId="6E967536"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84" w:type="dxa"/>
          </w:tcPr>
          <w:p w14:paraId="1D1B9659"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p>
        </w:tc>
      </w:tr>
      <w:tr w:rsidR="00CC6CA3" w:rsidRPr="00CC6CA3" w14:paraId="18CD0AC2" w14:textId="77777777" w:rsidTr="000B5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7F2AD1A" w14:textId="77777777" w:rsidR="002122FA" w:rsidRPr="00CC6CA3" w:rsidRDefault="002122FA" w:rsidP="00F632C0">
            <w:pPr>
              <w:jc w:val="left"/>
              <w:rPr>
                <w:rFonts w:cs="Times New Roman"/>
                <w:sz w:val="20"/>
                <w:szCs w:val="20"/>
              </w:rPr>
            </w:pPr>
            <w:r w:rsidRPr="00CC6CA3">
              <w:rPr>
                <w:rFonts w:cs="Times New Roman"/>
                <w:sz w:val="20"/>
                <w:szCs w:val="20"/>
              </w:rPr>
              <w:t>Thrust Position Axial Probe 1</w:t>
            </w:r>
          </w:p>
        </w:tc>
        <w:tc>
          <w:tcPr>
            <w:tcW w:w="1417" w:type="dxa"/>
            <w:noWrap/>
            <w:hideMark/>
          </w:tcPr>
          <w:p w14:paraId="33E7C4CB"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276" w:type="dxa"/>
          </w:tcPr>
          <w:p w14:paraId="5D756D72"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p>
        </w:tc>
        <w:tc>
          <w:tcPr>
            <w:tcW w:w="1559" w:type="dxa"/>
            <w:noWrap/>
            <w:hideMark/>
          </w:tcPr>
          <w:p w14:paraId="7CF4961D"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O</w:t>
            </w:r>
          </w:p>
        </w:tc>
        <w:tc>
          <w:tcPr>
            <w:tcW w:w="1384" w:type="dxa"/>
          </w:tcPr>
          <w:p w14:paraId="4E2FBF5C"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p>
        </w:tc>
      </w:tr>
      <w:tr w:rsidR="00CC6CA3" w:rsidRPr="00CC6CA3" w14:paraId="2A9B1E0F" w14:textId="77777777" w:rsidTr="000B5CE9">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D228241" w14:textId="77777777" w:rsidR="002122FA" w:rsidRPr="00CC6CA3" w:rsidRDefault="002122FA" w:rsidP="00F632C0">
            <w:pPr>
              <w:jc w:val="left"/>
              <w:rPr>
                <w:rFonts w:cs="Times New Roman"/>
                <w:sz w:val="20"/>
                <w:szCs w:val="20"/>
              </w:rPr>
            </w:pPr>
            <w:r w:rsidRPr="00CC6CA3">
              <w:rPr>
                <w:rFonts w:cs="Times New Roman"/>
                <w:sz w:val="20"/>
                <w:szCs w:val="20"/>
              </w:rPr>
              <w:t>Thrust Position Axial Probe 2</w:t>
            </w:r>
          </w:p>
        </w:tc>
        <w:tc>
          <w:tcPr>
            <w:tcW w:w="1417" w:type="dxa"/>
            <w:noWrap/>
            <w:hideMark/>
          </w:tcPr>
          <w:p w14:paraId="7FEBBFEA"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276" w:type="dxa"/>
          </w:tcPr>
          <w:p w14:paraId="122E7F14"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p>
        </w:tc>
        <w:tc>
          <w:tcPr>
            <w:tcW w:w="1559" w:type="dxa"/>
            <w:noWrap/>
            <w:hideMark/>
          </w:tcPr>
          <w:p w14:paraId="1CCDDA8A"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84" w:type="dxa"/>
          </w:tcPr>
          <w:p w14:paraId="2045A36C"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r w:rsidRPr="00CC6CA3">
              <w:rPr>
                <w:rFonts w:cs="Times New Roman"/>
                <w:sz w:val="20"/>
                <w:szCs w:val="20"/>
              </w:rPr>
              <w:t>O</w:t>
            </w:r>
          </w:p>
        </w:tc>
      </w:tr>
      <w:tr w:rsidR="00CC6CA3" w:rsidRPr="00CC6CA3" w14:paraId="201DF3FB" w14:textId="77777777" w:rsidTr="000B5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BDCE54A" w14:textId="2A7FBFE3" w:rsidR="002122FA" w:rsidRPr="00CC6CA3" w:rsidRDefault="002122FA" w:rsidP="00F632C0">
            <w:pPr>
              <w:jc w:val="left"/>
              <w:rPr>
                <w:rFonts w:cs="Times New Roman"/>
                <w:sz w:val="20"/>
                <w:szCs w:val="20"/>
              </w:rPr>
            </w:pPr>
            <w:r w:rsidRPr="00CC6CA3">
              <w:rPr>
                <w:rFonts w:cs="Times New Roman"/>
                <w:sz w:val="20"/>
                <w:szCs w:val="20"/>
              </w:rPr>
              <w:t>Thrust Bearing Temperature 1</w:t>
            </w:r>
          </w:p>
        </w:tc>
        <w:tc>
          <w:tcPr>
            <w:tcW w:w="1417" w:type="dxa"/>
            <w:noWrap/>
            <w:hideMark/>
          </w:tcPr>
          <w:p w14:paraId="0455186F"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1276" w:type="dxa"/>
          </w:tcPr>
          <w:p w14:paraId="4F9717EA"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p>
        </w:tc>
        <w:tc>
          <w:tcPr>
            <w:tcW w:w="1559" w:type="dxa"/>
            <w:noWrap/>
            <w:hideMark/>
          </w:tcPr>
          <w:p w14:paraId="727D51AF"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O</w:t>
            </w:r>
          </w:p>
        </w:tc>
        <w:tc>
          <w:tcPr>
            <w:tcW w:w="1384" w:type="dxa"/>
          </w:tcPr>
          <w:p w14:paraId="4CB39312" w14:textId="77777777" w:rsidR="002122FA" w:rsidRPr="00CC6CA3" w:rsidRDefault="002122FA" w:rsidP="00F632C0">
            <w:pPr>
              <w:jc w:val="left"/>
              <w:cnfStyle w:val="000000100000" w:firstRow="0" w:lastRow="0" w:firstColumn="0" w:lastColumn="0" w:oddVBand="0" w:evenVBand="0" w:oddHBand="1" w:evenHBand="0" w:firstRowFirstColumn="0" w:firstRowLastColumn="0" w:lastRowFirstColumn="0" w:lastRowLastColumn="0"/>
              <w:rPr>
                <w:rFonts w:ascii="Segoe UI Symbol" w:hAnsi="Segoe UI Symbol" w:cs="Segoe UI Symbol"/>
                <w:sz w:val="20"/>
                <w:szCs w:val="20"/>
              </w:rPr>
            </w:pPr>
          </w:p>
        </w:tc>
      </w:tr>
      <w:tr w:rsidR="00CC6CA3" w:rsidRPr="00CC6CA3" w14:paraId="3A899DF4" w14:textId="77777777" w:rsidTr="000B5CE9">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825A0E0" w14:textId="01F12C7A" w:rsidR="002122FA" w:rsidRPr="00CC6CA3" w:rsidRDefault="002122FA" w:rsidP="00F632C0">
            <w:pPr>
              <w:jc w:val="left"/>
              <w:rPr>
                <w:rFonts w:cs="Times New Roman"/>
                <w:sz w:val="20"/>
                <w:szCs w:val="20"/>
              </w:rPr>
            </w:pPr>
            <w:r w:rsidRPr="00CC6CA3">
              <w:rPr>
                <w:rFonts w:cs="Times New Roman"/>
                <w:sz w:val="20"/>
                <w:szCs w:val="20"/>
              </w:rPr>
              <w:t>Thrust Bearing Temperature 2</w:t>
            </w:r>
          </w:p>
        </w:tc>
        <w:tc>
          <w:tcPr>
            <w:tcW w:w="1417" w:type="dxa"/>
            <w:noWrap/>
            <w:hideMark/>
          </w:tcPr>
          <w:p w14:paraId="1699902A"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276" w:type="dxa"/>
          </w:tcPr>
          <w:p w14:paraId="1C3C461F"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p>
        </w:tc>
        <w:tc>
          <w:tcPr>
            <w:tcW w:w="1559" w:type="dxa"/>
            <w:noWrap/>
            <w:hideMark/>
          </w:tcPr>
          <w:p w14:paraId="4F5AC2D7"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384" w:type="dxa"/>
          </w:tcPr>
          <w:p w14:paraId="67F1990E" w14:textId="77777777" w:rsidR="002122FA" w:rsidRPr="00CC6CA3" w:rsidRDefault="002122FA" w:rsidP="00F632C0">
            <w:pPr>
              <w:jc w:val="left"/>
              <w:cnfStyle w:val="000000000000" w:firstRow="0" w:lastRow="0" w:firstColumn="0" w:lastColumn="0" w:oddVBand="0" w:evenVBand="0" w:oddHBand="0" w:evenHBand="0" w:firstRowFirstColumn="0" w:firstRowLastColumn="0" w:lastRowFirstColumn="0" w:lastRowLastColumn="0"/>
              <w:rPr>
                <w:rFonts w:ascii="Segoe UI Symbol" w:hAnsi="Segoe UI Symbol" w:cs="Segoe UI Symbol"/>
                <w:sz w:val="20"/>
                <w:szCs w:val="20"/>
              </w:rPr>
            </w:pPr>
            <w:r w:rsidRPr="00CC6CA3">
              <w:rPr>
                <w:rFonts w:cs="Times New Roman"/>
                <w:sz w:val="20"/>
                <w:szCs w:val="20"/>
              </w:rPr>
              <w:t>O</w:t>
            </w:r>
          </w:p>
        </w:tc>
      </w:tr>
    </w:tbl>
    <w:p w14:paraId="4C7D7ABF" w14:textId="4A6F6E2F" w:rsidR="002122FA" w:rsidRPr="00CC6CA3" w:rsidRDefault="00FE5F69" w:rsidP="002122FA">
      <w:pPr>
        <w:pStyle w:val="Body"/>
        <w:rPr>
          <w:rFonts w:cs="Times New Roman"/>
          <w:sz w:val="20"/>
          <w:szCs w:val="20"/>
        </w:rPr>
      </w:pPr>
      <w:r w:rsidRPr="00CC6CA3">
        <w:rPr>
          <w:rFonts w:cs="Times New Roman"/>
          <w:sz w:val="20"/>
          <w:szCs w:val="20"/>
        </w:rPr>
        <w:t>Notes: Inputs (</w:t>
      </w:r>
      <w:r w:rsidRPr="00CC6CA3">
        <w:rPr>
          <w:rFonts w:ascii="Segoe UI Symbol" w:hAnsi="Segoe UI Symbol" w:cs="Segoe UI Symbol"/>
          <w:sz w:val="20"/>
          <w:szCs w:val="20"/>
        </w:rPr>
        <w:t>✓</w:t>
      </w:r>
      <w:r w:rsidRPr="00CC6CA3">
        <w:rPr>
          <w:rFonts w:cs="Times New Roman"/>
          <w:sz w:val="20"/>
          <w:szCs w:val="20"/>
        </w:rPr>
        <w:t>) &amp; Outputs (O)</w:t>
      </w:r>
    </w:p>
    <w:p w14:paraId="04DADAD1" w14:textId="7495262F" w:rsidR="002122FA" w:rsidRPr="00CC6CA3" w:rsidRDefault="006A5769" w:rsidP="002122FA">
      <w:r w:rsidRPr="00CC6CA3">
        <w:t xml:space="preserve">The offline training phase can be seen in </w:t>
      </w:r>
      <w:r w:rsidR="002122FA" w:rsidRPr="00CC6CA3">
        <w:fldChar w:fldCharType="begin"/>
      </w:r>
      <w:r w:rsidR="002122FA" w:rsidRPr="00CC6CA3">
        <w:instrText xml:space="preserve"> REF _Ref63179856 \h  \* MERGEFORMAT </w:instrText>
      </w:r>
      <w:r w:rsidR="002122FA" w:rsidRPr="00CC6CA3">
        <w:fldChar w:fldCharType="separate"/>
      </w:r>
      <w:r w:rsidR="001906D9" w:rsidRPr="00CC6CA3">
        <w:t>Figure 4.5</w:t>
      </w:r>
      <w:r w:rsidR="002122FA" w:rsidRPr="00CC6CA3">
        <w:fldChar w:fldCharType="end"/>
      </w:r>
      <w:r w:rsidR="002122FA" w:rsidRPr="00CC6CA3">
        <w:t xml:space="preserve"> (a), </w:t>
      </w:r>
      <w:r w:rsidRPr="00CC6CA3">
        <w:t>where the blue points are healthy data, the magenta line is the reference MD threshold, and the red points are anomalies. The reference threshold (</w:t>
      </w:r>
      <m:oMath>
        <m:sSubSup>
          <m:sSubSupPr>
            <m:ctrlPr>
              <w:rPr>
                <w:rFonts w:ascii="Cambria Math" w:hAnsi="Cambria Math"/>
                <w:i/>
                <w:iCs/>
              </w:rPr>
            </m:ctrlPr>
          </m:sSubSupPr>
          <m:e>
            <m:r>
              <w:rPr>
                <w:rFonts w:ascii="Cambria Math" w:hAnsi="Cambria Math"/>
              </w:rPr>
              <m:t>MD</m:t>
            </m:r>
          </m:e>
          <m:sub>
            <m:r>
              <w:rPr>
                <w:rFonts w:ascii="Cambria Math" w:hAnsi="Cambria Math"/>
              </w:rPr>
              <m:t>NARX</m:t>
            </m:r>
          </m:sub>
          <m:sup>
            <m:r>
              <w:rPr>
                <w:rFonts w:ascii="Cambria Math" w:hAnsi="Cambria Math"/>
              </w:rPr>
              <m:t>ref</m:t>
            </m:r>
          </m:sup>
        </m:sSubSup>
      </m:oMath>
      <w:r w:rsidRPr="00CC6CA3">
        <w:t xml:space="preserve">) was calculated during the training stage, with confidence level </w:t>
      </w:r>
      <m:oMath>
        <m:r>
          <w:rPr>
            <w:rFonts w:ascii="Cambria Math" w:hAnsi="Cambria Math"/>
          </w:rPr>
          <m:t>α</m:t>
        </m:r>
        <m:r>
          <m:rPr>
            <m:sty m:val="p"/>
          </m:rPr>
          <w:rPr>
            <w:rFonts w:ascii="Cambria Math" w:hAnsi="Cambria Math"/>
          </w:rPr>
          <m:t>=0.975</m:t>
        </m:r>
      </m:oMath>
      <w:r w:rsidRPr="00CC6CA3">
        <w:t>, the number of nodes in the hidden layer was set to 10, and the delay time was set to 1 hour</w:t>
      </w:r>
      <w:r w:rsidR="002122FA" w:rsidRPr="00CC6CA3">
        <w:t xml:space="preserve"> </w:t>
      </w:r>
      <w:r w:rsidR="002122FA" w:rsidRPr="00CC6CA3">
        <w:fldChar w:fldCharType="begin"/>
      </w:r>
      <w:r w:rsidR="007D1BCC" w:rsidRPr="00CC6CA3">
        <w:instrText xml:space="preserve"> ADDIN ZOTERO_ITEM CSL_CITATION {"citationID":"a21882fts2u","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002122FA" w:rsidRPr="00CC6CA3">
        <w:fldChar w:fldCharType="separate"/>
      </w:r>
      <w:r w:rsidR="007D1BCC" w:rsidRPr="00CC6CA3">
        <w:rPr>
          <w:rFonts w:cs="Times New Roman"/>
        </w:rPr>
        <w:t>[105]</w:t>
      </w:r>
      <w:r w:rsidR="002122FA" w:rsidRPr="00CC6CA3">
        <w:fldChar w:fldCharType="end"/>
      </w:r>
      <w:r w:rsidR="002122FA" w:rsidRPr="00CC6CA3">
        <w:t>.</w:t>
      </w:r>
    </w:p>
    <w:p w14:paraId="5B0926D7" w14:textId="67A62B75" w:rsidR="002122FA" w:rsidRPr="00CC6CA3" w:rsidRDefault="002122FA" w:rsidP="002122FA">
      <w:r w:rsidRPr="00CC6CA3">
        <w:lastRenderedPageBreak/>
        <w:t xml:space="preserve">The online monitoring phase is presented in </w:t>
      </w:r>
      <w:r w:rsidRPr="00CC6CA3">
        <w:fldChar w:fldCharType="begin"/>
      </w:r>
      <w:r w:rsidRPr="00CC6CA3">
        <w:instrText xml:space="preserve"> REF _Ref63179856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w:t>
      </w:r>
      <w:r w:rsidRPr="00CC6CA3">
        <w:fldChar w:fldCharType="end"/>
      </w:r>
      <w:r w:rsidRPr="00CC6CA3">
        <w:t xml:space="preserve"> (b). </w:t>
      </w:r>
      <w:r w:rsidR="00B64594" w:rsidRPr="00CC6CA3">
        <w:t>In the figure, the pump was healthy before 06:00 4</w:t>
      </w:r>
      <w:r w:rsidR="00B64594" w:rsidRPr="00CC6CA3">
        <w:rPr>
          <w:vertAlign w:val="superscript"/>
        </w:rPr>
        <w:t>th</w:t>
      </w:r>
      <w:r w:rsidR="00B64594" w:rsidRPr="00CC6CA3">
        <w:t xml:space="preserve"> Jul 2013, as no continuous anomalies exceeded the threshold. After that time, continuous anomalies were detected, which indicated that the pump was suffering a fault. It was worth noting that, parameters such as confidence level </w:t>
      </w:r>
      <m:oMath>
        <m:r>
          <w:rPr>
            <w:rFonts w:ascii="Cambria Math" w:hAnsi="Cambria Math"/>
          </w:rPr>
          <m:t>α</m:t>
        </m:r>
      </m:oMath>
      <w:r w:rsidR="00B64594" w:rsidRPr="00CC6CA3">
        <w:t xml:space="preserve">, the number of nodes in the hidden layer, and the delay time, will influence the performance of the NARX </w:t>
      </w:r>
      <w:r w:rsidR="00B64594" w:rsidRPr="00CC6CA3">
        <w:rPr>
          <w:rFonts w:hint="eastAsia"/>
        </w:rPr>
        <w:t>fault</w:t>
      </w:r>
      <w:r w:rsidR="00B64594" w:rsidRPr="00CC6CA3">
        <w:t xml:space="preserve"> detection model. These parameters are considered and explored in the following paragraphs</w:t>
      </w:r>
      <w:r w:rsidRPr="00CC6CA3">
        <w:t>.</w:t>
      </w:r>
    </w:p>
    <w:p w14:paraId="0923F8AD" w14:textId="77777777" w:rsidR="002122FA" w:rsidRPr="00CC6CA3" w:rsidRDefault="002122FA" w:rsidP="002122FA">
      <w:pPr>
        <w:keepNext/>
        <w:jc w:val="center"/>
      </w:pPr>
      <w:r w:rsidRPr="00CC6CA3">
        <w:object w:dxaOrig="9049" w:dyaOrig="6049" w14:anchorId="34A9ECE6">
          <v:shape id="_x0000_i1046" type="#_x0000_t75" style="width:372pt;height:252pt" o:ole="">
            <v:imagedata r:id="rId84" o:title=""/>
          </v:shape>
          <o:OLEObject Type="Embed" ProgID="Visio.Drawing.15" ShapeID="_x0000_i1046" DrawAspect="Content" ObjectID="_1692500325" r:id="rId85"/>
        </w:object>
      </w:r>
    </w:p>
    <w:p w14:paraId="4407ADE9" w14:textId="43DCCA72" w:rsidR="002122FA" w:rsidRPr="00CC6CA3" w:rsidRDefault="002122FA" w:rsidP="002122FA">
      <w:pPr>
        <w:pStyle w:val="Caption"/>
        <w:jc w:val="center"/>
      </w:pPr>
      <w:bookmarkStart w:id="323" w:name="_Ref63179856"/>
      <w:bookmarkStart w:id="324" w:name="_Toc8155336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w:t>
      </w:r>
      <w:r w:rsidR="00D62691" w:rsidRPr="00CC6CA3">
        <w:rPr>
          <w:noProof/>
        </w:rPr>
        <w:fldChar w:fldCharType="end"/>
      </w:r>
      <w:bookmarkEnd w:id="323"/>
      <w:r w:rsidR="002053C2" w:rsidRPr="00CC6CA3">
        <w:rPr>
          <w:noProof/>
        </w:rPr>
        <w:t xml:space="preserve"> The MD calculated in t</w:t>
      </w:r>
      <w:r w:rsidRPr="00CC6CA3">
        <w:t xml:space="preserve">he training and monitoring phases </w:t>
      </w:r>
      <w:r w:rsidR="002053C2" w:rsidRPr="00CC6CA3">
        <w:t>by</w:t>
      </w:r>
      <w:r w:rsidRPr="00CC6CA3">
        <w:t xml:space="preserve"> the NARX model for </w:t>
      </w:r>
      <w:r w:rsidR="002053C2" w:rsidRPr="00CC6CA3">
        <w:t>C</w:t>
      </w:r>
      <w:r w:rsidRPr="00CC6CA3">
        <w:t xml:space="preserve">ase 1, (a) </w:t>
      </w:r>
      <w:r w:rsidR="002053C2" w:rsidRPr="00CC6CA3">
        <w:rPr>
          <w:noProof/>
        </w:rPr>
        <w:t xml:space="preserve">MD calculated in the </w:t>
      </w:r>
      <w:r w:rsidRPr="00CC6CA3">
        <w:t xml:space="preserve">offline training phase, (b) </w:t>
      </w:r>
      <w:r w:rsidR="002053C2" w:rsidRPr="00CC6CA3">
        <w:rPr>
          <w:noProof/>
        </w:rPr>
        <w:t xml:space="preserve">MD calculated in the </w:t>
      </w:r>
      <w:r w:rsidRPr="00CC6CA3">
        <w:t>online monitoring phase.</w:t>
      </w:r>
      <w:bookmarkEnd w:id="324"/>
    </w:p>
    <w:p w14:paraId="75A78BCC" w14:textId="30CE7A7B" w:rsidR="002122FA" w:rsidRPr="00CC6CA3" w:rsidRDefault="002053C2" w:rsidP="002122FA">
      <w:r w:rsidRPr="00CC6CA3">
        <w:t xml:space="preserve">A 2D contribution map of the NARX model for Case 1 was calculated and is shown in </w:t>
      </w:r>
      <w:r w:rsidR="002122FA" w:rsidRPr="00CC6CA3">
        <w:fldChar w:fldCharType="begin"/>
      </w:r>
      <w:r w:rsidR="002122FA" w:rsidRPr="00CC6CA3">
        <w:instrText xml:space="preserve"> REF _Ref63197111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w:t>
      </w:r>
      <w:r w:rsidR="002122FA" w:rsidRPr="00CC6CA3">
        <w:fldChar w:fldCharType="end"/>
      </w:r>
      <w:r w:rsidR="002122FA" w:rsidRPr="00CC6CA3">
        <w:t xml:space="preserve">. </w:t>
      </w:r>
      <w:r w:rsidRPr="00CC6CA3">
        <w:t>As can be seen, measurements for the four bearings, such as temperature and overall vibration, contributed to the increase of the system feature. Such results gave maintenance staff a clear indication of a bearing related fault, such as misalignment, or rotor unbalance</w:t>
      </w:r>
      <w:r w:rsidR="002122FA" w:rsidRPr="00CC6CA3">
        <w:t>.</w:t>
      </w:r>
    </w:p>
    <w:p w14:paraId="37AB0E3E" w14:textId="509C655A" w:rsidR="002122FA" w:rsidRPr="00CC6CA3" w:rsidRDefault="000131FD" w:rsidP="002122FA">
      <w:pPr>
        <w:keepNext/>
        <w:jc w:val="center"/>
      </w:pPr>
      <w:r w:rsidRPr="00CC6CA3">
        <w:rPr>
          <w:noProof/>
        </w:rPr>
        <w:lastRenderedPageBreak/>
        <w:drawing>
          <wp:inline distT="0" distB="0" distL="0" distR="0" wp14:anchorId="4C6D1394" wp14:editId="3A13CF73">
            <wp:extent cx="5441315" cy="27902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66068" cy="2802948"/>
                    </a:xfrm>
                    <a:prstGeom prst="rect">
                      <a:avLst/>
                    </a:prstGeom>
                    <a:noFill/>
                  </pic:spPr>
                </pic:pic>
              </a:graphicData>
            </a:graphic>
          </wp:inline>
        </w:drawing>
      </w:r>
    </w:p>
    <w:p w14:paraId="384E2130" w14:textId="7758F043" w:rsidR="002122FA" w:rsidRPr="00CC6CA3" w:rsidRDefault="002122FA" w:rsidP="002122FA">
      <w:pPr>
        <w:pStyle w:val="Caption"/>
        <w:jc w:val="center"/>
      </w:pPr>
      <w:bookmarkStart w:id="325" w:name="_Ref63197111"/>
      <w:bookmarkStart w:id="326" w:name="_Toc8155337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w:t>
      </w:r>
      <w:r w:rsidR="00D62691" w:rsidRPr="00CC6CA3">
        <w:rPr>
          <w:noProof/>
        </w:rPr>
        <w:fldChar w:fldCharType="end"/>
      </w:r>
      <w:bookmarkEnd w:id="325"/>
      <w:r w:rsidRPr="00CC6CA3">
        <w:t xml:space="preserve"> 2D contribution map of NARX model for </w:t>
      </w:r>
      <w:r w:rsidR="00BD10D4" w:rsidRPr="00CC6CA3">
        <w:t>C</w:t>
      </w:r>
      <w:r w:rsidRPr="00CC6CA3">
        <w:t>ase 1</w:t>
      </w:r>
      <w:bookmarkEnd w:id="326"/>
    </w:p>
    <w:p w14:paraId="285BFEEA" w14:textId="2E4C5C30" w:rsidR="002122FA" w:rsidRPr="00CC6CA3" w:rsidRDefault="00900596" w:rsidP="002122FA">
      <w:pPr>
        <w:rPr>
          <w:snapToGrid w:val="0"/>
        </w:rPr>
      </w:pPr>
      <w:r w:rsidRPr="00CC6CA3">
        <w:t>The ROC curves and AUC values of the NARX model for Case 1 were calculated and the results presented in</w:t>
      </w:r>
      <w:r w:rsidR="002122FA" w:rsidRPr="00CC6CA3">
        <w:t xml:space="preserve"> </w:t>
      </w:r>
      <w:r w:rsidR="002122FA" w:rsidRPr="00CC6CA3">
        <w:fldChar w:fldCharType="begin"/>
      </w:r>
      <w:r w:rsidR="002122FA" w:rsidRPr="00CC6CA3">
        <w:instrText xml:space="preserve"> REF _Ref63199553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7</w:t>
      </w:r>
      <w:r w:rsidR="002122FA" w:rsidRPr="00CC6CA3">
        <w:fldChar w:fldCharType="end"/>
      </w:r>
      <w:r w:rsidR="002122FA" w:rsidRPr="00CC6CA3">
        <w:t xml:space="preserve"> and </w:t>
      </w:r>
      <w:r w:rsidR="002122FA" w:rsidRPr="00CC6CA3">
        <w:fldChar w:fldCharType="begin"/>
      </w:r>
      <w:r w:rsidR="002122FA" w:rsidRPr="00CC6CA3">
        <w:instrText xml:space="preserve"> REF _Ref63199785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8</w:t>
      </w:r>
      <w:r w:rsidR="002122FA" w:rsidRPr="00CC6CA3">
        <w:fldChar w:fldCharType="end"/>
      </w:r>
      <w:r w:rsidR="002122FA" w:rsidRPr="00CC6CA3">
        <w:t xml:space="preserve">. </w:t>
      </w:r>
      <w:r w:rsidR="0088109E" w:rsidRPr="00CC6CA3">
        <w:rPr>
          <w:rFonts w:hint="eastAsia"/>
        </w:rPr>
        <w:t>The</w:t>
      </w:r>
      <w:r w:rsidR="0088109E" w:rsidRPr="00CC6CA3">
        <w:t xml:space="preserve"> confidence level </w:t>
      </w:r>
      <m:oMath>
        <m:r>
          <w:rPr>
            <w:rFonts w:ascii="Cambria Math" w:hAnsi="Cambria Math"/>
          </w:rPr>
          <m:t>α</m:t>
        </m:r>
      </m:oMath>
      <w:r w:rsidR="0088109E" w:rsidRPr="00CC6CA3">
        <w:t xml:space="preserve"> influenced the value of the fault detection threshold, and accordingly, influence the</w:t>
      </w:r>
      <w:r w:rsidR="0088109E" w:rsidRPr="00CC6CA3">
        <w:rPr>
          <w:snapToGrid w:val="0"/>
        </w:rPr>
        <w:t xml:space="preserve"> FDR and FAR</w:t>
      </w:r>
      <w:r w:rsidR="0088109E" w:rsidRPr="00CC6CA3">
        <w:t xml:space="preserve">. </w:t>
      </w:r>
      <w:r w:rsidRPr="00CC6CA3">
        <w:t xml:space="preserve">The ROC curves were obtained with change in confidence level </w:t>
      </w:r>
      <m:oMath>
        <m:r>
          <w:rPr>
            <w:rFonts w:ascii="Cambria Math" w:hAnsi="Cambria Math"/>
          </w:rPr>
          <m:t>α</m:t>
        </m:r>
      </m:oMath>
      <w:r w:rsidRPr="00CC6CA3">
        <w:t xml:space="preserve">, which changed the values of both the </w:t>
      </w:r>
      <w:r w:rsidRPr="00CC6CA3">
        <w:rPr>
          <w:snapToGrid w:val="0"/>
        </w:rPr>
        <w:t>FDR and FAR from 0 to 1. Considering the results can be slightly different for each training and test phase, we tested the programs three times, so that the ROC and AUC values presented in</w:t>
      </w:r>
      <w:r w:rsidR="002122FA" w:rsidRPr="00CC6CA3">
        <w:rPr>
          <w:snapToGrid w:val="0"/>
        </w:rPr>
        <w:t xml:space="preserve"> </w:t>
      </w:r>
      <w:r w:rsidR="002122FA" w:rsidRPr="00CC6CA3">
        <w:fldChar w:fldCharType="begin"/>
      </w:r>
      <w:r w:rsidR="002122FA" w:rsidRPr="00CC6CA3">
        <w:instrText xml:space="preserve"> REF _Ref63199553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7</w:t>
      </w:r>
      <w:r w:rsidR="002122FA" w:rsidRPr="00CC6CA3">
        <w:fldChar w:fldCharType="end"/>
      </w:r>
      <w:r w:rsidR="002122FA" w:rsidRPr="00CC6CA3">
        <w:t xml:space="preserve">, </w:t>
      </w:r>
      <w:r w:rsidR="002122FA" w:rsidRPr="00CC6CA3">
        <w:fldChar w:fldCharType="begin"/>
      </w:r>
      <w:r w:rsidR="002122FA" w:rsidRPr="00CC6CA3">
        <w:instrText xml:space="preserve"> REF _Ref63199785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8</w:t>
      </w:r>
      <w:r w:rsidR="002122FA" w:rsidRPr="00CC6CA3">
        <w:fldChar w:fldCharType="end"/>
      </w:r>
      <w:r w:rsidR="002122FA" w:rsidRPr="00CC6CA3">
        <w:rPr>
          <w:snapToGrid w:val="0"/>
        </w:rPr>
        <w:t xml:space="preserve"> and </w:t>
      </w:r>
      <w:r w:rsidR="002122FA" w:rsidRPr="00CC6CA3">
        <w:fldChar w:fldCharType="begin"/>
      </w:r>
      <w:r w:rsidR="002122FA" w:rsidRPr="00CC6CA3">
        <w:instrText xml:space="preserve"> REF _Ref63202319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9</w:t>
      </w:r>
      <w:r w:rsidR="002122FA" w:rsidRPr="00CC6CA3">
        <w:fldChar w:fldCharType="end"/>
      </w:r>
      <w:r w:rsidR="002122FA" w:rsidRPr="00CC6CA3">
        <w:rPr>
          <w:snapToGrid w:val="0"/>
        </w:rPr>
        <w:t xml:space="preserve"> </w:t>
      </w:r>
      <w:r w:rsidRPr="00CC6CA3">
        <w:rPr>
          <w:snapToGrid w:val="0"/>
        </w:rPr>
        <w:t>were average values. Similarly, the results obtained for ROC and AUC in other test cases in this chapter are all average values.</w:t>
      </w:r>
    </w:p>
    <w:p w14:paraId="6C4F0DA1" w14:textId="38AE201B" w:rsidR="002122FA" w:rsidRPr="00CC6CA3" w:rsidRDefault="002122FA" w:rsidP="002122FA">
      <w:r w:rsidRPr="00CC6CA3">
        <w:fldChar w:fldCharType="begin"/>
      </w:r>
      <w:r w:rsidRPr="00CC6CA3">
        <w:instrText xml:space="preserve"> REF _Ref63199553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7</w:t>
      </w:r>
      <w:r w:rsidRPr="00CC6CA3">
        <w:fldChar w:fldCharType="end"/>
      </w:r>
      <w:r w:rsidRPr="00CC6CA3">
        <w:t xml:space="preserve"> </w:t>
      </w:r>
      <w:r w:rsidR="00D76403" w:rsidRPr="00CC6CA3">
        <w:t>shows the ROC curves and AUC values of the NARX model for Case 1, with different numbers of NARX nodes and delay time set to 1 hour</w:t>
      </w:r>
      <w:r w:rsidRPr="00CC6CA3">
        <w:t xml:space="preserve">, and </w:t>
      </w:r>
      <w:r w:rsidRPr="00CC6CA3">
        <w:fldChar w:fldCharType="begin"/>
      </w:r>
      <w:r w:rsidRPr="00CC6CA3">
        <w:instrText xml:space="preserve"> REF _Ref63199785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8</w:t>
      </w:r>
      <w:r w:rsidRPr="00CC6CA3">
        <w:fldChar w:fldCharType="end"/>
      </w:r>
      <w:r w:rsidRPr="00CC6CA3">
        <w:t xml:space="preserve"> </w:t>
      </w:r>
      <w:r w:rsidR="00D76403" w:rsidRPr="00CC6CA3">
        <w:t>presents the ROC curves and AUC values with three different delay times 2, 4 and 6 hours, with the number of nodes in the hidden layer set to 10. As explained in Section 4.1.7, a good fault detector should yield a high FDR and a low FAR in the ROC plot, and accordingly, a high AUC value. Both figures show that the NARX model performed well in Case 1</w:t>
      </w:r>
      <w:r w:rsidRPr="00CC6CA3">
        <w:t>.</w:t>
      </w:r>
    </w:p>
    <w:p w14:paraId="2FCAC34A" w14:textId="1C5B20B2" w:rsidR="002122FA" w:rsidRPr="00CC6CA3" w:rsidRDefault="009B10D2" w:rsidP="002122FA">
      <w:pPr>
        <w:keepNext/>
        <w:jc w:val="center"/>
      </w:pPr>
      <w:r w:rsidRPr="00CC6CA3">
        <w:rPr>
          <w:noProof/>
        </w:rPr>
        <w:lastRenderedPageBreak/>
        <w:drawing>
          <wp:inline distT="0" distB="0" distL="0" distR="0" wp14:anchorId="6D2E3AD0" wp14:editId="6FE78DC2">
            <wp:extent cx="4318264" cy="28638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30650" cy="2872064"/>
                    </a:xfrm>
                    <a:prstGeom prst="rect">
                      <a:avLst/>
                    </a:prstGeom>
                    <a:noFill/>
                  </pic:spPr>
                </pic:pic>
              </a:graphicData>
            </a:graphic>
          </wp:inline>
        </w:drawing>
      </w:r>
    </w:p>
    <w:p w14:paraId="10B2B3A5" w14:textId="15B69860" w:rsidR="002122FA" w:rsidRPr="00CC6CA3" w:rsidRDefault="002122FA" w:rsidP="002122FA">
      <w:pPr>
        <w:pStyle w:val="Caption"/>
        <w:jc w:val="center"/>
      </w:pPr>
      <w:bookmarkStart w:id="327" w:name="_Ref63199553"/>
      <w:bookmarkStart w:id="328" w:name="_Toc8155337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w:instrText>
      </w:r>
      <w:r w:rsidR="00D62691" w:rsidRPr="00CC6CA3">
        <w:instrText xml:space="preserve">SEQ Figure \* ARABIC \s 1 </w:instrText>
      </w:r>
      <w:r w:rsidR="00D62691" w:rsidRPr="00CC6CA3">
        <w:fldChar w:fldCharType="separate"/>
      </w:r>
      <w:r w:rsidR="001906D9" w:rsidRPr="00CC6CA3">
        <w:rPr>
          <w:noProof/>
        </w:rPr>
        <w:t>7</w:t>
      </w:r>
      <w:r w:rsidR="00D62691" w:rsidRPr="00CC6CA3">
        <w:rPr>
          <w:noProof/>
        </w:rPr>
        <w:fldChar w:fldCharType="end"/>
      </w:r>
      <w:bookmarkEnd w:id="327"/>
      <w:r w:rsidRPr="00CC6CA3">
        <w:t xml:space="preserve"> ROC curves and AUC values of NARX model for </w:t>
      </w:r>
      <w:r w:rsidR="0088109E" w:rsidRPr="00CC6CA3">
        <w:t>C</w:t>
      </w:r>
      <w:r w:rsidRPr="00CC6CA3">
        <w:t xml:space="preserve">ase 1, (a) ROC curves for NARX model with different numbers of NARX nodes, (b) AUC values for NARX model with different numbers of </w:t>
      </w:r>
      <w:r w:rsidR="00CC5AD9" w:rsidRPr="00CC6CA3">
        <w:t xml:space="preserve">NARX </w:t>
      </w:r>
      <w:r w:rsidRPr="00CC6CA3">
        <w:t>nodes.</w:t>
      </w:r>
      <w:bookmarkEnd w:id="328"/>
    </w:p>
    <w:p w14:paraId="32A2788A" w14:textId="14EB2426" w:rsidR="002122FA" w:rsidRPr="00CC6CA3" w:rsidRDefault="009B10D2" w:rsidP="002122FA">
      <w:pPr>
        <w:keepNext/>
        <w:jc w:val="center"/>
      </w:pPr>
      <w:r w:rsidRPr="00CC6CA3">
        <w:rPr>
          <w:noProof/>
        </w:rPr>
        <w:drawing>
          <wp:inline distT="0" distB="0" distL="0" distR="0" wp14:anchorId="2C6B4682" wp14:editId="7300FF8F">
            <wp:extent cx="4709227" cy="30353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16701" cy="3040117"/>
                    </a:xfrm>
                    <a:prstGeom prst="rect">
                      <a:avLst/>
                    </a:prstGeom>
                    <a:noFill/>
                  </pic:spPr>
                </pic:pic>
              </a:graphicData>
            </a:graphic>
          </wp:inline>
        </w:drawing>
      </w:r>
    </w:p>
    <w:p w14:paraId="1DF7176F" w14:textId="0E1010A0" w:rsidR="002122FA" w:rsidRPr="00CC6CA3" w:rsidRDefault="002122FA" w:rsidP="002122FA">
      <w:pPr>
        <w:pStyle w:val="Caption"/>
        <w:jc w:val="center"/>
      </w:pPr>
      <w:bookmarkStart w:id="329" w:name="_Ref63199785"/>
      <w:bookmarkStart w:id="330" w:name="_Toc8155337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w:instrText>
      </w:r>
      <w:r w:rsidR="00D62691" w:rsidRPr="00CC6CA3">
        <w:instrText xml:space="preserve">ure \* ARABIC \s 1 </w:instrText>
      </w:r>
      <w:r w:rsidR="00D62691" w:rsidRPr="00CC6CA3">
        <w:fldChar w:fldCharType="separate"/>
      </w:r>
      <w:r w:rsidR="001906D9" w:rsidRPr="00CC6CA3">
        <w:rPr>
          <w:noProof/>
        </w:rPr>
        <w:t>8</w:t>
      </w:r>
      <w:r w:rsidR="00D62691" w:rsidRPr="00CC6CA3">
        <w:rPr>
          <w:noProof/>
        </w:rPr>
        <w:fldChar w:fldCharType="end"/>
      </w:r>
      <w:bookmarkEnd w:id="329"/>
      <w:r w:rsidRPr="00CC6CA3">
        <w:t xml:space="preserve"> ROC curves and AUC values of NARX model for </w:t>
      </w:r>
      <w:r w:rsidR="0088109E" w:rsidRPr="00CC6CA3">
        <w:t>C</w:t>
      </w:r>
      <w:r w:rsidRPr="00CC6CA3">
        <w:t xml:space="preserve">ase 1, (a) ROC curves for NARX model with different delay time, (b) AUC values for </w:t>
      </w:r>
      <w:r w:rsidR="00CC5AD9" w:rsidRPr="00CC6CA3">
        <w:t>NARX</w:t>
      </w:r>
      <w:r w:rsidRPr="00CC6CA3">
        <w:t xml:space="preserve"> model with different delay time (unit: hour).</w:t>
      </w:r>
      <w:bookmarkEnd w:id="330"/>
    </w:p>
    <w:p w14:paraId="5879606D" w14:textId="25E5203F" w:rsidR="008A2618" w:rsidRPr="00CC6CA3" w:rsidRDefault="008A2618" w:rsidP="002122FA">
      <w:r w:rsidRPr="00CC6CA3">
        <w:fldChar w:fldCharType="begin"/>
      </w:r>
      <w:r w:rsidRPr="00CC6CA3">
        <w:instrText xml:space="preserve"> REF _Ref63202319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9</w:t>
      </w:r>
      <w:r w:rsidRPr="00CC6CA3">
        <w:fldChar w:fldCharType="end"/>
      </w:r>
      <w:r w:rsidRPr="00CC6CA3">
        <w:t xml:space="preserve"> shows the AUC values for Case 1, for the NARX model with a wider range of nodes and delay times compared to </w:t>
      </w:r>
      <w:r w:rsidRPr="00CC6CA3">
        <w:fldChar w:fldCharType="begin"/>
      </w:r>
      <w:r w:rsidRPr="00CC6CA3">
        <w:instrText xml:space="preserve"> REF _Ref63199553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7</w:t>
      </w:r>
      <w:r w:rsidRPr="00CC6CA3">
        <w:fldChar w:fldCharType="end"/>
      </w:r>
      <w:r w:rsidRPr="00CC6CA3">
        <w:t xml:space="preserve"> and </w:t>
      </w:r>
      <w:r w:rsidRPr="00CC6CA3">
        <w:fldChar w:fldCharType="begin"/>
      </w:r>
      <w:r w:rsidRPr="00CC6CA3">
        <w:instrText xml:space="preserve"> REF _Ref63199785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8</w:t>
      </w:r>
      <w:r w:rsidRPr="00CC6CA3">
        <w:fldChar w:fldCharType="end"/>
      </w:r>
      <w:r w:rsidRPr="00CC6CA3">
        <w:t>. As can be seen, the NARX model performed well, as the AUC values were all above 0.97, when the numbers of nodes ranged from 2 to 20, and delay time from 1 to 10 hours.</w:t>
      </w:r>
    </w:p>
    <w:p w14:paraId="6BE354D7" w14:textId="77777777" w:rsidR="002122FA" w:rsidRPr="00CC6CA3" w:rsidRDefault="002122FA" w:rsidP="002122FA">
      <w:pPr>
        <w:keepNext/>
        <w:jc w:val="center"/>
      </w:pPr>
      <w:r w:rsidRPr="00CC6CA3">
        <w:object w:dxaOrig="17065" w:dyaOrig="6469" w14:anchorId="6D623AC1">
          <v:shape id="_x0000_i1047" type="#_x0000_t75" style="width:438pt;height:168pt" o:ole="">
            <v:imagedata r:id="rId89" o:title=""/>
          </v:shape>
          <o:OLEObject Type="Embed" ProgID="Visio.Drawing.15" ShapeID="_x0000_i1047" DrawAspect="Content" ObjectID="_1692500326" r:id="rId90"/>
        </w:object>
      </w:r>
    </w:p>
    <w:p w14:paraId="0B3AAC5A" w14:textId="3835D1C5" w:rsidR="002122FA" w:rsidRPr="00CC6CA3" w:rsidRDefault="002122FA" w:rsidP="002122FA">
      <w:pPr>
        <w:pStyle w:val="Caption"/>
        <w:jc w:val="center"/>
      </w:pPr>
      <w:bookmarkStart w:id="331" w:name="_Ref63202319"/>
      <w:bookmarkStart w:id="332" w:name="_Toc8155337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9</w:t>
      </w:r>
      <w:r w:rsidR="00D62691" w:rsidRPr="00CC6CA3">
        <w:rPr>
          <w:noProof/>
        </w:rPr>
        <w:fldChar w:fldCharType="end"/>
      </w:r>
      <w:bookmarkEnd w:id="331"/>
      <w:r w:rsidRPr="00CC6CA3">
        <w:t xml:space="preserve"> AUC values for the NARX model with different numbers of nodes and delay time for case 1, (a) 3D figure, (b) 2D figure.</w:t>
      </w:r>
      <w:bookmarkEnd w:id="332"/>
    </w:p>
    <w:p w14:paraId="64F2B011" w14:textId="63E1BD04" w:rsidR="002122FA" w:rsidRPr="00CC6CA3" w:rsidRDefault="002122FA" w:rsidP="00A60CB2">
      <w:pPr>
        <w:pStyle w:val="Heading4"/>
      </w:pPr>
      <w:r w:rsidRPr="00CC6CA3">
        <w:t>Case 2</w:t>
      </w:r>
      <w:r w:rsidR="008A2618" w:rsidRPr="00CC6CA3">
        <w:t>: misalignment fault and pump bearing fault</w:t>
      </w:r>
    </w:p>
    <w:p w14:paraId="4D595EEE" w14:textId="08683A12" w:rsidR="002122FA" w:rsidRPr="00CC6CA3" w:rsidRDefault="008A2618" w:rsidP="002122FA">
      <w:r w:rsidRPr="00CC6CA3">
        <w:t xml:space="preserve">In this case study, the NARX fault detection model was trained on the data for the </w:t>
      </w:r>
      <w:proofErr w:type="gramStart"/>
      <w:r w:rsidRPr="00CC6CA3">
        <w:t>ten month</w:t>
      </w:r>
      <w:proofErr w:type="gramEnd"/>
      <w:r w:rsidRPr="00CC6CA3">
        <w:t xml:space="preserve"> period from 1</w:t>
      </w:r>
      <w:r w:rsidRPr="00CC6CA3">
        <w:rPr>
          <w:vertAlign w:val="superscript"/>
        </w:rPr>
        <w:t>st</w:t>
      </w:r>
      <w:r w:rsidRPr="00CC6CA3">
        <w:t xml:space="preserve"> Sep 2015 to 11</w:t>
      </w:r>
      <w:r w:rsidRPr="00CC6CA3">
        <w:rPr>
          <w:vertAlign w:val="superscript"/>
        </w:rPr>
        <w:t>th</w:t>
      </w:r>
      <w:r w:rsidRPr="00CC6CA3">
        <w:t xml:space="preserve"> Jul 2016, during which there was no recorded fault in the pump. The model was then tested using data from 12</w:t>
      </w:r>
      <w:r w:rsidRPr="00CC6CA3">
        <w:rPr>
          <w:vertAlign w:val="superscript"/>
        </w:rPr>
        <w:t>th</w:t>
      </w:r>
      <w:r w:rsidRPr="00CC6CA3">
        <w:t xml:space="preserve"> Jul to 23</w:t>
      </w:r>
      <w:r w:rsidRPr="00CC6CA3">
        <w:rPr>
          <w:vertAlign w:val="superscript"/>
        </w:rPr>
        <w:t>rd</w:t>
      </w:r>
      <w:r w:rsidRPr="00CC6CA3">
        <w:t xml:space="preserve"> Aug 2016, during which a misalignment fault and a bearing fault occurred </w:t>
      </w:r>
      <w:r w:rsidR="002122FA" w:rsidRPr="00CC6CA3">
        <w:t xml:space="preserve">(see Figure 3-15). The inputs and outputs of NARX models for pump bearings are listed in </w:t>
      </w:r>
      <w:r w:rsidR="002122FA" w:rsidRPr="00CC6CA3">
        <w:fldChar w:fldCharType="begin"/>
      </w:r>
      <w:r w:rsidR="002122FA" w:rsidRPr="00CC6CA3">
        <w:instrText xml:space="preserve"> REF _Ref33213293 \h </w:instrText>
      </w:r>
      <w:r w:rsidR="002122FA" w:rsidRPr="00CC6CA3">
        <w:fldChar w:fldCharType="separate"/>
      </w:r>
      <w:r w:rsidR="001906D9" w:rsidRPr="00CC6CA3">
        <w:t xml:space="preserve">Table </w:t>
      </w:r>
      <w:r w:rsidR="001906D9" w:rsidRPr="00CC6CA3">
        <w:rPr>
          <w:noProof/>
        </w:rPr>
        <w:t>4</w:t>
      </w:r>
      <w:r w:rsidR="001906D9" w:rsidRPr="00CC6CA3">
        <w:t>.</w:t>
      </w:r>
      <w:r w:rsidR="001906D9" w:rsidRPr="00CC6CA3">
        <w:rPr>
          <w:noProof/>
        </w:rPr>
        <w:t>1</w:t>
      </w:r>
      <w:r w:rsidR="002122FA" w:rsidRPr="00CC6CA3">
        <w:fldChar w:fldCharType="end"/>
      </w:r>
      <w:r w:rsidR="002122FA" w:rsidRPr="00CC6CA3">
        <w:t xml:space="preserve">.  </w:t>
      </w:r>
    </w:p>
    <w:p w14:paraId="789BB9BB" w14:textId="2BDF7292" w:rsidR="002122FA" w:rsidRPr="00CC6CA3" w:rsidRDefault="002122FA" w:rsidP="002122FA">
      <w:r w:rsidRPr="00CC6CA3">
        <w:t xml:space="preserve">The offline training phase can be found in </w:t>
      </w:r>
      <w:r w:rsidRPr="00CC6CA3">
        <w:fldChar w:fldCharType="begin"/>
      </w:r>
      <w:r w:rsidRPr="00CC6CA3">
        <w:instrText xml:space="preserve"> REF _Ref63204504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10</w:t>
      </w:r>
      <w:r w:rsidRPr="00CC6CA3">
        <w:fldChar w:fldCharType="end"/>
      </w:r>
      <w:r w:rsidRPr="00CC6CA3">
        <w:t xml:space="preserve"> (a), </w:t>
      </w:r>
      <w:r w:rsidR="008A2618" w:rsidRPr="00CC6CA3">
        <w:t xml:space="preserve">where the blue points are considered healthy data, the magenta line is the reference MD threshold, and the red points are anomalies. The threshold was calculated during the training stage, with confidence level </w:t>
      </w:r>
      <m:oMath>
        <m:r>
          <w:rPr>
            <w:rFonts w:ascii="Cambria Math" w:hAnsi="Cambria Math"/>
          </w:rPr>
          <m:t>α</m:t>
        </m:r>
        <m:r>
          <m:rPr>
            <m:sty m:val="p"/>
          </m:rPr>
          <w:rPr>
            <w:rFonts w:ascii="Cambria Math" w:hAnsi="Cambria Math"/>
          </w:rPr>
          <m:t>=0.975</m:t>
        </m:r>
      </m:oMath>
      <w:r w:rsidR="008A2618" w:rsidRPr="00CC6CA3">
        <w:t>, the number of nodes in the hidden layer was 10, and the delay time was set to 1 hour</w:t>
      </w:r>
      <w:r w:rsidRPr="00CC6CA3">
        <w:t xml:space="preserve"> </w:t>
      </w:r>
      <w:r w:rsidRPr="00CC6CA3">
        <w:fldChar w:fldCharType="begin"/>
      </w:r>
      <w:r w:rsidR="007D1BCC" w:rsidRPr="00CC6CA3">
        <w:instrText xml:space="preserve"> ADDIN ZOTERO_ITEM CSL_CITATION {"citationID":"gNL6J88n","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Pr="00CC6CA3">
        <w:fldChar w:fldCharType="separate"/>
      </w:r>
      <w:r w:rsidR="007D1BCC" w:rsidRPr="00CC6CA3">
        <w:rPr>
          <w:rFonts w:cs="Times New Roman"/>
        </w:rPr>
        <w:t>[105]</w:t>
      </w:r>
      <w:r w:rsidRPr="00CC6CA3">
        <w:fldChar w:fldCharType="end"/>
      </w:r>
      <w:r w:rsidRPr="00CC6CA3">
        <w:t>.</w:t>
      </w:r>
    </w:p>
    <w:p w14:paraId="09314302" w14:textId="19B0A1B5" w:rsidR="002122FA" w:rsidRPr="00CC6CA3" w:rsidRDefault="002122FA" w:rsidP="002122FA">
      <w:r w:rsidRPr="00CC6CA3">
        <w:t xml:space="preserve">The online monitoring phase is presented in </w:t>
      </w:r>
      <w:r w:rsidRPr="00CC6CA3">
        <w:fldChar w:fldCharType="begin"/>
      </w:r>
      <w:r w:rsidRPr="00CC6CA3">
        <w:instrText xml:space="preserve"> REF _Ref63204504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10</w:t>
      </w:r>
      <w:r w:rsidRPr="00CC6CA3">
        <w:fldChar w:fldCharType="end"/>
      </w:r>
      <w:r w:rsidRPr="00CC6CA3">
        <w:t xml:space="preserve"> (b). </w:t>
      </w:r>
      <w:r w:rsidR="00CB25FD" w:rsidRPr="00CC6CA3">
        <w:t xml:space="preserve">In the figure, the pump was considered healthy before </w:t>
      </w:r>
      <w:r w:rsidR="00CB25FD" w:rsidRPr="00CC6CA3">
        <w:rPr>
          <w:rFonts w:hint="eastAsia"/>
        </w:rPr>
        <w:t>1</w:t>
      </w:r>
      <w:r w:rsidR="00CB25FD" w:rsidRPr="00CC6CA3">
        <w:t>6</w:t>
      </w:r>
      <w:r w:rsidR="00CB25FD" w:rsidRPr="00CC6CA3">
        <w:rPr>
          <w:rFonts w:hint="eastAsia"/>
        </w:rPr>
        <w:t>:</w:t>
      </w:r>
      <w:r w:rsidR="00CB25FD" w:rsidRPr="00CC6CA3">
        <w:t>00 on 17</w:t>
      </w:r>
      <w:r w:rsidR="00CB25FD" w:rsidRPr="00CC6CA3">
        <w:rPr>
          <w:vertAlign w:val="superscript"/>
        </w:rPr>
        <w:t>th</w:t>
      </w:r>
      <w:r w:rsidR="00CB25FD" w:rsidRPr="00CC6CA3">
        <w:t xml:space="preserve"> Jul 2016, as no continuous anomalies exceeded the threshold. After that time, continuous anomalies were detected, which indicated that the pump suffered at least one fault. The parameters such as confidence level </w:t>
      </w:r>
      <m:oMath>
        <m:r>
          <w:rPr>
            <w:rFonts w:ascii="Cambria Math" w:hAnsi="Cambria Math"/>
          </w:rPr>
          <m:t>α</m:t>
        </m:r>
      </m:oMath>
      <w:r w:rsidR="00CB25FD" w:rsidRPr="00CC6CA3">
        <w:t xml:space="preserve">, the number of nodes in the hidden layer, and the delay time, can influence the time at which fault(s) were detected and the performance of the NARX </w:t>
      </w:r>
      <w:r w:rsidR="00CB25FD" w:rsidRPr="00CC6CA3">
        <w:rPr>
          <w:rFonts w:hint="eastAsia"/>
        </w:rPr>
        <w:t>fault</w:t>
      </w:r>
      <w:r w:rsidR="00CB25FD" w:rsidRPr="00CC6CA3">
        <w:t xml:space="preserve"> detection model. These parameters are discussed later in this section</w:t>
      </w:r>
      <w:r w:rsidRPr="00CC6CA3">
        <w:t>.</w:t>
      </w:r>
    </w:p>
    <w:p w14:paraId="41E451CF" w14:textId="18C0B9B5" w:rsidR="002122FA" w:rsidRPr="00CC6CA3" w:rsidRDefault="009123D8" w:rsidP="009123D8">
      <w:pPr>
        <w:keepNext/>
        <w:spacing w:line="240" w:lineRule="auto"/>
        <w:jc w:val="center"/>
      </w:pPr>
      <w:r w:rsidRPr="00CC6CA3">
        <w:object w:dxaOrig="9049" w:dyaOrig="6049" w14:anchorId="6C74DDDF">
          <v:shape id="_x0000_i1048" type="#_x0000_t75" style="width:378pt;height:256pt" o:ole="">
            <v:imagedata r:id="rId91" o:title=""/>
          </v:shape>
          <o:OLEObject Type="Embed" ProgID="Visio.Drawing.15" ShapeID="_x0000_i1048" DrawAspect="Content" ObjectID="_1692500327" r:id="rId92"/>
        </w:object>
      </w:r>
    </w:p>
    <w:p w14:paraId="6F2340DF" w14:textId="36D7DDDD" w:rsidR="002122FA" w:rsidRPr="00CC6CA3" w:rsidRDefault="002122FA" w:rsidP="002122FA">
      <w:pPr>
        <w:pStyle w:val="Caption"/>
        <w:jc w:val="center"/>
      </w:pPr>
      <w:bookmarkStart w:id="333" w:name="_Ref63204504"/>
      <w:bookmarkStart w:id="334" w:name="_Toc8155337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10</w:t>
      </w:r>
      <w:r w:rsidR="00D62691" w:rsidRPr="00CC6CA3">
        <w:rPr>
          <w:noProof/>
        </w:rPr>
        <w:fldChar w:fldCharType="end"/>
      </w:r>
      <w:bookmarkEnd w:id="333"/>
      <w:r w:rsidRPr="00CC6CA3">
        <w:t xml:space="preserve"> </w:t>
      </w:r>
      <w:r w:rsidR="004E549A" w:rsidRPr="00CC6CA3">
        <w:t xml:space="preserve">The MD calculated in the </w:t>
      </w:r>
      <w:r w:rsidRPr="00CC6CA3">
        <w:t xml:space="preserve">training and monitoring phases of the NARX model for </w:t>
      </w:r>
      <w:r w:rsidR="00752FE5" w:rsidRPr="00CC6CA3">
        <w:t>C</w:t>
      </w:r>
      <w:r w:rsidRPr="00CC6CA3">
        <w:t xml:space="preserve">ase 2, (a) </w:t>
      </w:r>
      <w:r w:rsidR="004E549A" w:rsidRPr="00CC6CA3">
        <w:t xml:space="preserve">The MD calculated in the </w:t>
      </w:r>
      <w:r w:rsidRPr="00CC6CA3">
        <w:t xml:space="preserve">offline training phase, (b) </w:t>
      </w:r>
      <w:r w:rsidR="004E549A" w:rsidRPr="00CC6CA3">
        <w:t xml:space="preserve">The MD calculated in the </w:t>
      </w:r>
      <w:r w:rsidRPr="00CC6CA3">
        <w:t>online monitoring phase.</w:t>
      </w:r>
      <w:bookmarkEnd w:id="334"/>
    </w:p>
    <w:p w14:paraId="367CA093" w14:textId="76BC4300" w:rsidR="002122FA" w:rsidRPr="00CC6CA3" w:rsidRDefault="002122FA" w:rsidP="002122FA">
      <w:r w:rsidRPr="00CC6CA3">
        <w:t xml:space="preserve">A </w:t>
      </w:r>
      <w:r w:rsidR="00B105F1" w:rsidRPr="00CC6CA3">
        <w:t xml:space="preserve">2D contribution map of the NARX model for Case 2 was established and is shown </w:t>
      </w:r>
      <w:r w:rsidRPr="00CC6CA3">
        <w:t xml:space="preserve">in </w:t>
      </w:r>
      <w:r w:rsidRPr="00CC6CA3">
        <w:fldChar w:fldCharType="begin"/>
      </w:r>
      <w:r w:rsidRPr="00CC6CA3">
        <w:instrText xml:space="preserve"> REF _Ref63245842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11</w:t>
      </w:r>
      <w:r w:rsidRPr="00CC6CA3">
        <w:fldChar w:fldCharType="end"/>
      </w:r>
      <w:r w:rsidRPr="00CC6CA3">
        <w:t xml:space="preserve">. </w:t>
      </w:r>
      <w:r w:rsidR="00B105F1" w:rsidRPr="00CC6CA3">
        <w:t xml:space="preserve">As can be seen, from </w:t>
      </w:r>
      <w:r w:rsidR="00B105F1" w:rsidRPr="00CC6CA3">
        <w:rPr>
          <w:rFonts w:hint="eastAsia"/>
        </w:rPr>
        <w:t>1</w:t>
      </w:r>
      <w:r w:rsidR="00B105F1" w:rsidRPr="00CC6CA3">
        <w:t>6</w:t>
      </w:r>
      <w:r w:rsidR="00B105F1" w:rsidRPr="00CC6CA3">
        <w:rPr>
          <w:rFonts w:hint="eastAsia"/>
        </w:rPr>
        <w:t>:</w:t>
      </w:r>
      <w:r w:rsidR="00B105F1" w:rsidRPr="00CC6CA3">
        <w:t>00 on 17</w:t>
      </w:r>
      <w:r w:rsidR="00B105F1" w:rsidRPr="00CC6CA3">
        <w:rPr>
          <w:vertAlign w:val="superscript"/>
        </w:rPr>
        <w:t>th</w:t>
      </w:r>
      <w:r w:rsidR="00B105F1" w:rsidRPr="00CC6CA3">
        <w:t xml:space="preserve"> to 14:00 on 19</w:t>
      </w:r>
      <w:r w:rsidR="00B105F1" w:rsidRPr="00CC6CA3">
        <w:rPr>
          <w:vertAlign w:val="superscript"/>
        </w:rPr>
        <w:t>th</w:t>
      </w:r>
      <w:r w:rsidR="00B105F1" w:rsidRPr="00CC6CA3">
        <w:t xml:space="preserve"> Jul 2016, there were increases in certain of the system features; in the overall vibration X and Y of the two radial bearings, and the temperature of the two radial bearings and the two thrust bearings. These results give maintenance staff a clear indication of the presence of bearing related faults, such as bearing faults and misalignment</w:t>
      </w:r>
      <w:r w:rsidRPr="00CC6CA3">
        <w:t>.</w:t>
      </w:r>
    </w:p>
    <w:p w14:paraId="4E1BB974" w14:textId="507C578D" w:rsidR="002122FA" w:rsidRPr="00CC6CA3" w:rsidRDefault="00C721CB" w:rsidP="000E3E00">
      <w:pPr>
        <w:keepNext/>
        <w:spacing w:after="0"/>
        <w:jc w:val="center"/>
      </w:pPr>
      <w:r w:rsidRPr="00CC6CA3">
        <w:rPr>
          <w:noProof/>
        </w:rPr>
        <w:drawing>
          <wp:inline distT="0" distB="0" distL="0" distR="0" wp14:anchorId="6282BC67" wp14:editId="44AB69E1">
            <wp:extent cx="5502275" cy="27820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8854" cy="2800580"/>
                    </a:xfrm>
                    <a:prstGeom prst="rect">
                      <a:avLst/>
                    </a:prstGeom>
                    <a:noFill/>
                  </pic:spPr>
                </pic:pic>
              </a:graphicData>
            </a:graphic>
          </wp:inline>
        </w:drawing>
      </w:r>
    </w:p>
    <w:p w14:paraId="18A678C6" w14:textId="588C0334" w:rsidR="002122FA" w:rsidRPr="00CC6CA3" w:rsidRDefault="002122FA" w:rsidP="002122FA">
      <w:pPr>
        <w:pStyle w:val="Caption"/>
        <w:jc w:val="center"/>
      </w:pPr>
      <w:bookmarkStart w:id="335" w:name="_Ref63245842"/>
      <w:bookmarkStart w:id="336" w:name="_Toc8155337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11</w:t>
      </w:r>
      <w:r w:rsidR="00D62691" w:rsidRPr="00CC6CA3">
        <w:rPr>
          <w:noProof/>
        </w:rPr>
        <w:fldChar w:fldCharType="end"/>
      </w:r>
      <w:bookmarkEnd w:id="335"/>
      <w:r w:rsidRPr="00CC6CA3">
        <w:t xml:space="preserve"> 2D Q statistic contribution map of NARX model for </w:t>
      </w:r>
      <w:r w:rsidR="00661B7A" w:rsidRPr="00CC6CA3">
        <w:rPr>
          <w:rFonts w:hint="eastAsia"/>
        </w:rPr>
        <w:t>C</w:t>
      </w:r>
      <w:r w:rsidRPr="00CC6CA3">
        <w:t>ase 2</w:t>
      </w:r>
      <w:bookmarkEnd w:id="336"/>
    </w:p>
    <w:p w14:paraId="03AB179F" w14:textId="0A10857D" w:rsidR="009123D8" w:rsidRPr="00CC6CA3" w:rsidRDefault="009123D8" w:rsidP="002122FA">
      <w:r w:rsidRPr="00CC6CA3">
        <w:lastRenderedPageBreak/>
        <w:t>After the misalignment fault was remedied by maintenance staff, then from 14:00 on 19</w:t>
      </w:r>
      <w:r w:rsidRPr="00CC6CA3">
        <w:rPr>
          <w:vertAlign w:val="superscript"/>
        </w:rPr>
        <w:t>th</w:t>
      </w:r>
      <w:r w:rsidRPr="00CC6CA3">
        <w:t xml:space="preserve"> Jul 2016 in </w:t>
      </w:r>
      <w:r w:rsidRPr="00CC6CA3">
        <w:fldChar w:fldCharType="begin"/>
      </w:r>
      <w:r w:rsidRPr="00CC6CA3">
        <w:instrText xml:space="preserve"> REF _Ref63245842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11</w:t>
      </w:r>
      <w:r w:rsidRPr="00CC6CA3">
        <w:fldChar w:fldCharType="end"/>
      </w:r>
      <w:r w:rsidRPr="00CC6CA3">
        <w:t xml:space="preserve">, we see that it was overall vibration X </w:t>
      </w:r>
      <w:r w:rsidRPr="00CC6CA3">
        <w:rPr>
          <w:rFonts w:hint="eastAsia"/>
        </w:rPr>
        <w:t>o</w:t>
      </w:r>
      <w:r w:rsidRPr="00CC6CA3">
        <w:t>f radial bearing 2 that contributed most to an increase in system fault features. The results gave the maintenance staff a clear indication of a fault in bearing 2.</w:t>
      </w:r>
    </w:p>
    <w:p w14:paraId="10CC9595" w14:textId="2FEC2D5C" w:rsidR="002122FA" w:rsidRPr="00CC6CA3" w:rsidRDefault="002122FA" w:rsidP="002122FA">
      <w:r w:rsidRPr="00CC6CA3">
        <w:t xml:space="preserve">The ROC curves and AUC values of the NARX model for detection of the misalignment in case 2 were calculated and was presented in </w:t>
      </w:r>
      <w:r w:rsidRPr="00CC6CA3">
        <w:fldChar w:fldCharType="begin"/>
      </w:r>
      <w:r w:rsidRPr="00CC6CA3">
        <w:instrText xml:space="preserve"> REF _Ref63257780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12</w:t>
      </w:r>
      <w:r w:rsidRPr="00CC6CA3">
        <w:fldChar w:fldCharType="end"/>
      </w:r>
      <w:r w:rsidRPr="00CC6CA3">
        <w:t xml:space="preserve"> and </w:t>
      </w:r>
      <w:r w:rsidRPr="00CC6CA3">
        <w:fldChar w:fldCharType="begin"/>
      </w:r>
      <w:r w:rsidRPr="00CC6CA3">
        <w:instrText xml:space="preserve"> REF _Ref63257788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13</w:t>
      </w:r>
      <w:r w:rsidRPr="00CC6CA3">
        <w:fldChar w:fldCharType="end"/>
      </w:r>
      <w:r w:rsidRPr="00CC6CA3">
        <w:t xml:space="preserve">. </w:t>
      </w:r>
      <w:r w:rsidRPr="00CC6CA3">
        <w:fldChar w:fldCharType="begin"/>
      </w:r>
      <w:r w:rsidRPr="00CC6CA3">
        <w:instrText xml:space="preserve"> REF _Ref63257780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12</w:t>
      </w:r>
      <w:r w:rsidRPr="00CC6CA3">
        <w:fldChar w:fldCharType="end"/>
      </w:r>
      <w:r w:rsidRPr="00CC6CA3">
        <w:t xml:space="preserve"> shows the ROC curves and AUC values of the NARX model for case 2, with </w:t>
      </w:r>
      <w:r w:rsidR="003D7DD7" w:rsidRPr="00CC6CA3">
        <w:rPr>
          <w:rFonts w:hint="eastAsia"/>
        </w:rPr>
        <w:t>three</w:t>
      </w:r>
      <w:r w:rsidR="003D7DD7" w:rsidRPr="00CC6CA3">
        <w:t xml:space="preserve"> </w:t>
      </w:r>
      <w:r w:rsidRPr="00CC6CA3">
        <w:t xml:space="preserve">different numbers of NARX nodes and delay time </w:t>
      </w:r>
      <w:r w:rsidR="003D7DD7" w:rsidRPr="00CC6CA3">
        <w:t xml:space="preserve">fixed at </w:t>
      </w:r>
      <w:r w:rsidRPr="00CC6CA3">
        <w:t xml:space="preserve">1 hour, and </w:t>
      </w:r>
      <w:r w:rsidRPr="00CC6CA3">
        <w:fldChar w:fldCharType="begin"/>
      </w:r>
      <w:r w:rsidRPr="00CC6CA3">
        <w:instrText xml:space="preserve"> REF _Ref63257788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13</w:t>
      </w:r>
      <w:r w:rsidRPr="00CC6CA3">
        <w:fldChar w:fldCharType="end"/>
      </w:r>
      <w:r w:rsidRPr="00CC6CA3">
        <w:t xml:space="preserve"> </w:t>
      </w:r>
      <w:r w:rsidR="003D7DD7" w:rsidRPr="00CC6CA3">
        <w:t>presents the ROC curves and AUC values for three different delay times 2, 4 and 6 hours. The number of nodes in the hidden layer was fixed at 10. In both figures the AUC values were above 0.8, but under 0.9. The NARX model performed well and detected the misalignment fault</w:t>
      </w:r>
      <w:r w:rsidRPr="00CC6CA3">
        <w:t>.</w:t>
      </w:r>
    </w:p>
    <w:p w14:paraId="13931D98" w14:textId="0DB0149A" w:rsidR="002122FA" w:rsidRPr="00CC6CA3" w:rsidRDefault="00C233B0" w:rsidP="00645D5D">
      <w:pPr>
        <w:keepNext/>
        <w:spacing w:after="0"/>
        <w:jc w:val="center"/>
      </w:pPr>
      <w:r w:rsidRPr="00CC6CA3">
        <w:object w:dxaOrig="9228" w:dyaOrig="6049" w14:anchorId="5A70933F">
          <v:shape id="_x0000_i1049" type="#_x0000_t75" style="width:355pt;height:230pt" o:ole="">
            <v:imagedata r:id="rId94" o:title=""/>
          </v:shape>
          <o:OLEObject Type="Embed" ProgID="Visio.Drawing.15" ShapeID="_x0000_i1049" DrawAspect="Content" ObjectID="_1692500328" r:id="rId95"/>
        </w:object>
      </w:r>
    </w:p>
    <w:p w14:paraId="0DE306FF" w14:textId="29FAC7C7" w:rsidR="002122FA" w:rsidRPr="00CC6CA3" w:rsidRDefault="002122FA" w:rsidP="002122FA">
      <w:pPr>
        <w:pStyle w:val="Caption"/>
        <w:jc w:val="center"/>
      </w:pPr>
      <w:bookmarkStart w:id="337" w:name="_Ref63257780"/>
      <w:bookmarkStart w:id="338" w:name="_Toc8155337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12</w:t>
      </w:r>
      <w:r w:rsidR="00D62691" w:rsidRPr="00CC6CA3">
        <w:rPr>
          <w:noProof/>
        </w:rPr>
        <w:fldChar w:fldCharType="end"/>
      </w:r>
      <w:bookmarkEnd w:id="337"/>
      <w:r w:rsidRPr="00CC6CA3">
        <w:t xml:space="preserve"> ROC curves and AUC values of NARX model for detection of misalignment in </w:t>
      </w:r>
      <w:r w:rsidR="003D7DD7" w:rsidRPr="00CC6CA3">
        <w:t>C</w:t>
      </w:r>
      <w:r w:rsidRPr="00CC6CA3">
        <w:t>ase 2, (a) ROC curves for NARX model with different numbers of NARX nodes, (b) AUC values for NARX model with different numbers of nodes.</w:t>
      </w:r>
      <w:bookmarkEnd w:id="338"/>
    </w:p>
    <w:p w14:paraId="59900FA5" w14:textId="77777777" w:rsidR="002122FA" w:rsidRPr="00CC6CA3" w:rsidRDefault="002122FA" w:rsidP="002122FA">
      <w:pPr>
        <w:keepNext/>
        <w:jc w:val="center"/>
      </w:pPr>
      <w:r w:rsidRPr="00CC6CA3">
        <w:object w:dxaOrig="9205" w:dyaOrig="6049" w14:anchorId="2BCDACA2">
          <v:shape id="_x0000_i1050" type="#_x0000_t75" style="width:372pt;height:246pt" o:ole="">
            <v:imagedata r:id="rId96" o:title=""/>
          </v:shape>
          <o:OLEObject Type="Embed" ProgID="Visio.Drawing.15" ShapeID="_x0000_i1050" DrawAspect="Content" ObjectID="_1692500329" r:id="rId97"/>
        </w:object>
      </w:r>
    </w:p>
    <w:p w14:paraId="06B510D3" w14:textId="319BF849" w:rsidR="002122FA" w:rsidRPr="00CC6CA3" w:rsidRDefault="002122FA" w:rsidP="002122FA">
      <w:pPr>
        <w:pStyle w:val="Caption"/>
        <w:jc w:val="center"/>
      </w:pPr>
      <w:bookmarkStart w:id="339" w:name="_Ref63257788"/>
      <w:bookmarkStart w:id="340" w:name="_Toc8155337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13</w:t>
      </w:r>
      <w:r w:rsidR="00D62691" w:rsidRPr="00CC6CA3">
        <w:rPr>
          <w:noProof/>
        </w:rPr>
        <w:fldChar w:fldCharType="end"/>
      </w:r>
      <w:bookmarkEnd w:id="339"/>
      <w:r w:rsidRPr="00CC6CA3">
        <w:t xml:space="preserve"> ROC </w:t>
      </w:r>
      <w:r w:rsidR="003D7DD7" w:rsidRPr="00CC6CA3">
        <w:rPr>
          <w:szCs w:val="20"/>
        </w:rPr>
        <w:t>curves and AUC values of NARX model for detection of misalignment in Case 2, (a) ROC curves for NARX model with different delay times, (b) AUC values for NARX model with three different delay times</w:t>
      </w:r>
      <w:r w:rsidRPr="00CC6CA3">
        <w:t>.</w:t>
      </w:r>
      <w:bookmarkEnd w:id="340"/>
    </w:p>
    <w:p w14:paraId="07326955" w14:textId="4A4480BF" w:rsidR="003D7DD7" w:rsidRPr="00CC6CA3" w:rsidRDefault="003D7DD7" w:rsidP="002122FA">
      <w:bookmarkStart w:id="341" w:name="_Hlk68685470"/>
      <w:r w:rsidRPr="00CC6CA3">
        <w:t xml:space="preserve">The AUC values for the NARX model with a wider range of the number of nodes and delay times for detection of the misalignment, compared to </w:t>
      </w:r>
      <w:r w:rsidRPr="00CC6CA3">
        <w:fldChar w:fldCharType="begin"/>
      </w:r>
      <w:r w:rsidRPr="00CC6CA3">
        <w:instrText xml:space="preserve"> REF _Ref63257780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12</w:t>
      </w:r>
      <w:r w:rsidRPr="00CC6CA3">
        <w:fldChar w:fldCharType="end"/>
      </w:r>
      <w:r w:rsidRPr="00CC6CA3">
        <w:t xml:space="preserve"> and </w:t>
      </w:r>
      <w:r w:rsidRPr="00CC6CA3">
        <w:fldChar w:fldCharType="begin"/>
      </w:r>
      <w:r w:rsidRPr="00CC6CA3">
        <w:instrText xml:space="preserve"> REF _Ref63257788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13</w:t>
      </w:r>
      <w:r w:rsidRPr="00CC6CA3">
        <w:fldChar w:fldCharType="end"/>
      </w:r>
      <w:r w:rsidRPr="00CC6CA3">
        <w:t xml:space="preserve">, for Case 2 is shown in </w:t>
      </w:r>
      <w:r w:rsidRPr="00CC6CA3">
        <w:fldChar w:fldCharType="begin"/>
      </w:r>
      <w:r w:rsidRPr="00CC6CA3">
        <w:instrText xml:space="preserve"> REF _Ref63260214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14</w:t>
      </w:r>
      <w:r w:rsidRPr="00CC6CA3">
        <w:fldChar w:fldCharType="end"/>
      </w:r>
      <w:r w:rsidRPr="00CC6CA3">
        <w:t xml:space="preserve">. </w:t>
      </w:r>
      <w:bookmarkEnd w:id="341"/>
      <w:r w:rsidRPr="00CC6CA3">
        <w:t xml:space="preserve">As can be seen, the NARX model performs well in this case, as the AUC values were above 0.82, with the number of nodes ranging from 2 to 20, and delay time ranging from 1 to 10 </w:t>
      </w:r>
      <w:r w:rsidRPr="00CC6CA3">
        <w:rPr>
          <w:rFonts w:hint="eastAsia"/>
        </w:rPr>
        <w:t>hours</w:t>
      </w:r>
      <w:r w:rsidRPr="00CC6CA3">
        <w:t xml:space="preserve">. As can be seen in </w:t>
      </w:r>
      <w:r w:rsidRPr="00CC6CA3">
        <w:fldChar w:fldCharType="begin"/>
      </w:r>
      <w:r w:rsidRPr="00CC6CA3">
        <w:instrText xml:space="preserve"> REF _Ref63260214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14</w:t>
      </w:r>
      <w:r w:rsidRPr="00CC6CA3">
        <w:fldChar w:fldCharType="end"/>
      </w:r>
      <w:r w:rsidRPr="00CC6CA3">
        <w:t xml:space="preserve"> (b), the model performed best when there were fewer than 14 nodes and the delay time was greater than 1 hour.</w:t>
      </w:r>
    </w:p>
    <w:p w14:paraId="700BF540" w14:textId="77777777" w:rsidR="002122FA" w:rsidRPr="00CC6CA3" w:rsidRDefault="002122FA" w:rsidP="002122FA">
      <w:pPr>
        <w:keepNext/>
      </w:pPr>
      <w:r w:rsidRPr="00CC6CA3">
        <w:object w:dxaOrig="17065" w:dyaOrig="6372" w14:anchorId="0C64870A">
          <v:shape id="_x0000_i1051" type="#_x0000_t75" style="width:438pt;height:162pt" o:ole="">
            <v:imagedata r:id="rId98" o:title=""/>
          </v:shape>
          <o:OLEObject Type="Embed" ProgID="Visio.Drawing.15" ShapeID="_x0000_i1051" DrawAspect="Content" ObjectID="_1692500330" r:id="rId99"/>
        </w:object>
      </w:r>
    </w:p>
    <w:p w14:paraId="15CC98C1" w14:textId="3F2AB9C3" w:rsidR="002122FA" w:rsidRPr="00CC6CA3" w:rsidRDefault="002122FA" w:rsidP="002122FA">
      <w:pPr>
        <w:pStyle w:val="Caption"/>
        <w:jc w:val="center"/>
      </w:pPr>
      <w:bookmarkStart w:id="342" w:name="_Ref63260214"/>
      <w:bookmarkStart w:id="343" w:name="_Toc8155337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w:instrText>
      </w:r>
      <w:r w:rsidR="00D62691" w:rsidRPr="00CC6CA3">
        <w:instrText xml:space="preserve"> 1 </w:instrText>
      </w:r>
      <w:r w:rsidR="00D62691" w:rsidRPr="00CC6CA3">
        <w:fldChar w:fldCharType="separate"/>
      </w:r>
      <w:r w:rsidR="001906D9" w:rsidRPr="00CC6CA3">
        <w:rPr>
          <w:noProof/>
        </w:rPr>
        <w:t>14</w:t>
      </w:r>
      <w:r w:rsidR="00D62691" w:rsidRPr="00CC6CA3">
        <w:rPr>
          <w:noProof/>
        </w:rPr>
        <w:fldChar w:fldCharType="end"/>
      </w:r>
      <w:bookmarkEnd w:id="342"/>
      <w:r w:rsidRPr="00CC6CA3">
        <w:t xml:space="preserve"> AUC values for the NARX model with different numbers of nodes and delay time</w:t>
      </w:r>
      <w:r w:rsidR="00605CC4" w:rsidRPr="00CC6CA3">
        <w:t>s</w:t>
      </w:r>
      <w:r w:rsidRPr="00CC6CA3">
        <w:t xml:space="preserve"> for detection of the misalignment in </w:t>
      </w:r>
      <w:r w:rsidR="00605CC4" w:rsidRPr="00CC6CA3">
        <w:t>C</w:t>
      </w:r>
      <w:r w:rsidRPr="00CC6CA3">
        <w:t>ase 2, (a) 3D figure, (b) 2D figure.</w:t>
      </w:r>
      <w:bookmarkEnd w:id="343"/>
    </w:p>
    <w:p w14:paraId="12C15758" w14:textId="613D2DBE" w:rsidR="002F09B4" w:rsidRPr="00CC6CA3" w:rsidRDefault="002F09B4" w:rsidP="002F09B4">
      <w:r w:rsidRPr="00CC6CA3">
        <w:lastRenderedPageBreak/>
        <w:t xml:space="preserve">The ROC curves and AUC values of the NARX model for detection of the bearing fault in Case 2 were calculated and are presented in </w:t>
      </w:r>
      <w:r w:rsidRPr="00CC6CA3">
        <w:fldChar w:fldCharType="begin"/>
      </w:r>
      <w:r w:rsidRPr="00CC6CA3">
        <w:instrText xml:space="preserve"> REF _Ref63262901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15</w:t>
      </w:r>
      <w:r w:rsidRPr="00CC6CA3">
        <w:fldChar w:fldCharType="end"/>
      </w:r>
      <w:r w:rsidRPr="00CC6CA3">
        <w:t xml:space="preserve"> and </w:t>
      </w:r>
      <w:r w:rsidRPr="00CC6CA3">
        <w:fldChar w:fldCharType="begin"/>
      </w:r>
      <w:r w:rsidRPr="00CC6CA3">
        <w:instrText xml:space="preserve"> REF _Ref63262912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16</w:t>
      </w:r>
      <w:r w:rsidRPr="00CC6CA3">
        <w:fldChar w:fldCharType="end"/>
      </w:r>
      <w:r w:rsidRPr="00CC6CA3">
        <w:t xml:space="preserve">. </w:t>
      </w:r>
      <w:r w:rsidRPr="00CC6CA3">
        <w:fldChar w:fldCharType="begin"/>
      </w:r>
      <w:r w:rsidRPr="00CC6CA3">
        <w:instrText xml:space="preserve"> REF _Ref63262901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15</w:t>
      </w:r>
      <w:r w:rsidRPr="00CC6CA3">
        <w:fldChar w:fldCharType="end"/>
      </w:r>
      <w:r w:rsidRPr="00CC6CA3">
        <w:t xml:space="preserve"> shows the ROC curves and AUC values of the NARX model, with 10, 14 and 18 NARX nodes and delay time set to 1 hour. </w:t>
      </w:r>
      <w:r w:rsidRPr="00CC6CA3">
        <w:fldChar w:fldCharType="begin"/>
      </w:r>
      <w:r w:rsidRPr="00CC6CA3">
        <w:instrText xml:space="preserve"> REF _Ref63262912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16</w:t>
      </w:r>
      <w:r w:rsidRPr="00CC6CA3">
        <w:fldChar w:fldCharType="end"/>
      </w:r>
      <w:r w:rsidRPr="00CC6CA3">
        <w:t xml:space="preserve"> presents the ROC curves and AUC values with three different delay times, 2, 4 and 6 hours, with the number of nodes in the hidden layer set to 10. In both figures, the AUC values were above 0.98, which indicated that the NARX model performed very well when detecting a bearing fault.</w:t>
      </w:r>
    </w:p>
    <w:p w14:paraId="3BAE6B63" w14:textId="3DA023BA" w:rsidR="002122FA" w:rsidRPr="00CC6CA3" w:rsidRDefault="00C233B0" w:rsidP="00645D5D">
      <w:pPr>
        <w:keepNext/>
        <w:spacing w:after="0" w:line="240" w:lineRule="auto"/>
        <w:jc w:val="center"/>
      </w:pPr>
      <w:r w:rsidRPr="00CC6CA3">
        <w:object w:dxaOrig="9337" w:dyaOrig="6049" w14:anchorId="079D495A">
          <v:shape id="_x0000_i1052" type="#_x0000_t75" style="width:335pt;height:217pt" o:ole="">
            <v:imagedata r:id="rId100" o:title=""/>
          </v:shape>
          <o:OLEObject Type="Embed" ProgID="Visio.Drawing.15" ShapeID="_x0000_i1052" DrawAspect="Content" ObjectID="_1692500331" r:id="rId101"/>
        </w:object>
      </w:r>
    </w:p>
    <w:p w14:paraId="2D5A8092" w14:textId="567E5FA0" w:rsidR="002122FA" w:rsidRPr="00CC6CA3" w:rsidRDefault="002122FA" w:rsidP="002122FA">
      <w:pPr>
        <w:pStyle w:val="Caption"/>
        <w:jc w:val="center"/>
      </w:pPr>
      <w:bookmarkStart w:id="344" w:name="_Ref63262901"/>
      <w:bookmarkStart w:id="345" w:name="_Toc8155337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15</w:t>
      </w:r>
      <w:r w:rsidR="00D62691" w:rsidRPr="00CC6CA3">
        <w:rPr>
          <w:noProof/>
        </w:rPr>
        <w:fldChar w:fldCharType="end"/>
      </w:r>
      <w:bookmarkEnd w:id="344"/>
      <w:r w:rsidRPr="00CC6CA3">
        <w:t xml:space="preserve"> ROC curves </w:t>
      </w:r>
      <w:r w:rsidR="00004F7C" w:rsidRPr="00CC6CA3">
        <w:rPr>
          <w:szCs w:val="20"/>
        </w:rPr>
        <w:t>and AUC values of NARX model for detection of bearing fault in Case 2, (a) ROC curves for NARX model with three different numbers of NARX nodes, (b) AUC values for NARX model with three different numbers of nodes</w:t>
      </w:r>
      <w:r w:rsidRPr="00CC6CA3">
        <w:t>.</w:t>
      </w:r>
      <w:bookmarkEnd w:id="345"/>
    </w:p>
    <w:p w14:paraId="04031F15" w14:textId="5F738E99" w:rsidR="002122FA" w:rsidRPr="00CC6CA3" w:rsidRDefault="00C233B0" w:rsidP="00645D5D">
      <w:pPr>
        <w:keepNext/>
        <w:spacing w:after="0" w:line="240" w:lineRule="auto"/>
        <w:jc w:val="center"/>
      </w:pPr>
      <w:r w:rsidRPr="00CC6CA3">
        <w:object w:dxaOrig="9312" w:dyaOrig="6168" w14:anchorId="3813B672">
          <v:shape id="_x0000_i1053" type="#_x0000_t75" style="width:333pt;height:221pt" o:ole="">
            <v:imagedata r:id="rId102" o:title=""/>
          </v:shape>
          <o:OLEObject Type="Embed" ProgID="Visio.Drawing.15" ShapeID="_x0000_i1053" DrawAspect="Content" ObjectID="_1692500332" r:id="rId103"/>
        </w:object>
      </w:r>
    </w:p>
    <w:p w14:paraId="06CC2B65" w14:textId="286DD9C1" w:rsidR="002122FA" w:rsidRPr="00CC6CA3" w:rsidRDefault="002122FA">
      <w:pPr>
        <w:pStyle w:val="Caption"/>
        <w:jc w:val="center"/>
      </w:pPr>
      <w:bookmarkStart w:id="346" w:name="_Ref63262912"/>
      <w:bookmarkStart w:id="347" w:name="_Toc8155338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16</w:t>
      </w:r>
      <w:r w:rsidR="00D62691" w:rsidRPr="00CC6CA3">
        <w:rPr>
          <w:noProof/>
        </w:rPr>
        <w:fldChar w:fldCharType="end"/>
      </w:r>
      <w:bookmarkEnd w:id="346"/>
      <w:r w:rsidRPr="00CC6CA3">
        <w:t xml:space="preserve"> ROC curves and AUC values of </w:t>
      </w:r>
      <w:r w:rsidR="00224DF0" w:rsidRPr="00CC6CA3">
        <w:rPr>
          <w:szCs w:val="20"/>
        </w:rPr>
        <w:t>NARX model for detection of bearing fault in Case 2, (a) ROC curves for NARX model with three different delay times, (b) AUC values curves for NARX model with three different delay times</w:t>
      </w:r>
      <w:bookmarkEnd w:id="347"/>
    </w:p>
    <w:p w14:paraId="695EF025" w14:textId="22C8BC60" w:rsidR="00AB5D54" w:rsidRPr="00CC6CA3" w:rsidRDefault="00AB5D54" w:rsidP="002122FA">
      <w:bookmarkStart w:id="348" w:name="_Hlk68685577"/>
      <w:r w:rsidRPr="00CC6CA3">
        <w:lastRenderedPageBreak/>
        <w:t xml:space="preserve">The AUC values for the NARX model with a wider range of the number of nodes and delay times compared to </w:t>
      </w:r>
      <w:r w:rsidRPr="00CC6CA3">
        <w:fldChar w:fldCharType="begin"/>
      </w:r>
      <w:r w:rsidRPr="00CC6CA3">
        <w:instrText xml:space="preserve"> REF _Ref63262901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15</w:t>
      </w:r>
      <w:r w:rsidRPr="00CC6CA3">
        <w:fldChar w:fldCharType="end"/>
      </w:r>
      <w:r w:rsidRPr="00CC6CA3">
        <w:t xml:space="preserve"> and </w:t>
      </w:r>
      <w:r w:rsidRPr="00CC6CA3">
        <w:fldChar w:fldCharType="begin"/>
      </w:r>
      <w:r w:rsidRPr="00CC6CA3">
        <w:instrText xml:space="preserve"> REF _Ref63262912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16</w:t>
      </w:r>
      <w:r w:rsidRPr="00CC6CA3">
        <w:fldChar w:fldCharType="end"/>
      </w:r>
      <w:r w:rsidRPr="00CC6CA3">
        <w:t xml:space="preserve">, for detection of the bearing faults in Case 2 is shown in </w:t>
      </w:r>
      <w:r w:rsidRPr="00CC6CA3">
        <w:fldChar w:fldCharType="begin"/>
      </w:r>
      <w:r w:rsidRPr="00CC6CA3">
        <w:instrText xml:space="preserve"> REF _Ref63263100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17</w:t>
      </w:r>
      <w:r w:rsidRPr="00CC6CA3">
        <w:fldChar w:fldCharType="end"/>
      </w:r>
      <w:r w:rsidRPr="00CC6CA3">
        <w:t xml:space="preserve">. </w:t>
      </w:r>
      <w:bookmarkEnd w:id="348"/>
      <w:r w:rsidRPr="00CC6CA3">
        <w:t xml:space="preserve">As can be seen, the NARX model performed very well, with AUC values above 0.97, with the number of nodes ranging from 2 to 20, and delay time from 1 to 10 hours. In this case, as can be seen in </w:t>
      </w:r>
      <w:r w:rsidRPr="00CC6CA3">
        <w:fldChar w:fldCharType="begin"/>
      </w:r>
      <w:r w:rsidRPr="00CC6CA3">
        <w:instrText xml:space="preserve"> REF _Ref63263100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17</w:t>
      </w:r>
      <w:r w:rsidRPr="00CC6CA3">
        <w:fldChar w:fldCharType="end"/>
      </w:r>
      <w:r w:rsidRPr="00CC6CA3">
        <w:t xml:space="preserve"> (b), the model gave a better performance when the number of nodes was less than 10 and the delay time greater than 1 hour.</w:t>
      </w:r>
    </w:p>
    <w:p w14:paraId="3C17EEC5" w14:textId="77777777" w:rsidR="002122FA" w:rsidRPr="00CC6CA3" w:rsidRDefault="002122FA" w:rsidP="002122FA">
      <w:pPr>
        <w:keepNext/>
        <w:jc w:val="center"/>
      </w:pPr>
      <w:r w:rsidRPr="00CC6CA3">
        <w:object w:dxaOrig="17557" w:dyaOrig="6528" w14:anchorId="674B0875">
          <v:shape id="_x0000_i1054" type="#_x0000_t75" style="width:438pt;height:162pt" o:ole="">
            <v:imagedata r:id="rId104" o:title=""/>
          </v:shape>
          <o:OLEObject Type="Embed" ProgID="Visio.Drawing.15" ShapeID="_x0000_i1054" DrawAspect="Content" ObjectID="_1692500333" r:id="rId105"/>
        </w:object>
      </w:r>
    </w:p>
    <w:p w14:paraId="7D2FC97D" w14:textId="1E2B6724" w:rsidR="002122FA" w:rsidRPr="00CC6CA3" w:rsidRDefault="002122FA" w:rsidP="002122FA">
      <w:pPr>
        <w:pStyle w:val="Caption"/>
        <w:jc w:val="center"/>
      </w:pPr>
      <w:bookmarkStart w:id="349" w:name="_Ref63263100"/>
      <w:bookmarkStart w:id="350" w:name="_Toc8155338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17</w:t>
      </w:r>
      <w:r w:rsidR="00D62691" w:rsidRPr="00CC6CA3">
        <w:rPr>
          <w:noProof/>
        </w:rPr>
        <w:fldChar w:fldCharType="end"/>
      </w:r>
      <w:bookmarkEnd w:id="349"/>
      <w:r w:rsidRPr="00CC6CA3">
        <w:t xml:space="preserve"> AUC values </w:t>
      </w:r>
      <w:r w:rsidR="00E82321" w:rsidRPr="00CC6CA3">
        <w:rPr>
          <w:szCs w:val="20"/>
        </w:rPr>
        <w:t>for the NARX model with different numbers of nodes and delay times for detection of bearing fault in Case 2, (a) 3D figure, (b) 2D figure</w:t>
      </w:r>
      <w:r w:rsidRPr="00CC6CA3">
        <w:t>.</w:t>
      </w:r>
      <w:bookmarkEnd w:id="350"/>
    </w:p>
    <w:p w14:paraId="2D51BD04" w14:textId="5C72C79E" w:rsidR="002122FA" w:rsidRPr="00CC6CA3" w:rsidRDefault="002122FA" w:rsidP="00A60CB2">
      <w:pPr>
        <w:pStyle w:val="Heading4"/>
      </w:pPr>
      <w:r w:rsidRPr="00CC6CA3">
        <w:t>Case 3</w:t>
      </w:r>
      <w:r w:rsidR="007016E3" w:rsidRPr="00CC6CA3">
        <w:t>: bearing faults in compressor</w:t>
      </w:r>
    </w:p>
    <w:p w14:paraId="33CD1EFE" w14:textId="61CFAB9D" w:rsidR="002122FA" w:rsidRPr="00CC6CA3" w:rsidRDefault="002122FA" w:rsidP="002122FA">
      <w:r w:rsidRPr="00CC6CA3">
        <w:t xml:space="preserve">In this case study, </w:t>
      </w:r>
      <w:r w:rsidR="00964D12" w:rsidRPr="00CC6CA3">
        <w:t>the NARX fault detection model was trained on the data for the half year from 1</w:t>
      </w:r>
      <w:r w:rsidR="00964D12" w:rsidRPr="00CC6CA3">
        <w:rPr>
          <w:vertAlign w:val="superscript"/>
        </w:rPr>
        <w:t>st</w:t>
      </w:r>
      <w:r w:rsidR="00964D12" w:rsidRPr="00CC6CA3">
        <w:t xml:space="preserve"> Feb to 22</w:t>
      </w:r>
      <w:r w:rsidR="00964D12" w:rsidRPr="00CC6CA3">
        <w:rPr>
          <w:vertAlign w:val="superscript"/>
        </w:rPr>
        <w:t>nd</w:t>
      </w:r>
      <w:r w:rsidR="00964D12" w:rsidRPr="00CC6CA3">
        <w:t xml:space="preserve"> Aug 2014, during which time were no recorded faults in the compressor. The models were then used to assess the health condition of the compressor from 23</w:t>
      </w:r>
      <w:r w:rsidR="00964D12" w:rsidRPr="00CC6CA3">
        <w:rPr>
          <w:vertAlign w:val="superscript"/>
        </w:rPr>
        <w:t>rd</w:t>
      </w:r>
      <w:r w:rsidR="00964D12" w:rsidRPr="00CC6CA3">
        <w:t xml:space="preserve"> Aug to 23</w:t>
      </w:r>
      <w:r w:rsidR="00964D12" w:rsidRPr="00CC6CA3">
        <w:rPr>
          <w:vertAlign w:val="superscript"/>
        </w:rPr>
        <w:t>rd</w:t>
      </w:r>
      <w:r w:rsidR="00964D12" w:rsidRPr="00CC6CA3">
        <w:t xml:space="preserve"> Oct 2014, during which time bearing faults occurred (see Figure 3-21). The inputs and outputs of the NARX models for the compressor are listed</w:t>
      </w:r>
      <w:r w:rsidRPr="00CC6CA3">
        <w:t xml:space="preserve"> in </w:t>
      </w:r>
      <w:r w:rsidRPr="00CC6CA3">
        <w:fldChar w:fldCharType="begin"/>
      </w:r>
      <w:r w:rsidRPr="00CC6CA3">
        <w:instrText xml:space="preserve"> REF _Ref63285435 \h </w:instrText>
      </w:r>
      <w:r w:rsidRPr="00CC6CA3">
        <w:fldChar w:fldCharType="separate"/>
      </w:r>
      <w:r w:rsidR="001906D9" w:rsidRPr="00CC6CA3">
        <w:t xml:space="preserve">Table </w:t>
      </w:r>
      <w:r w:rsidR="001906D9" w:rsidRPr="00CC6CA3">
        <w:rPr>
          <w:noProof/>
        </w:rPr>
        <w:t>4</w:t>
      </w:r>
      <w:r w:rsidR="001906D9" w:rsidRPr="00CC6CA3">
        <w:t>.</w:t>
      </w:r>
      <w:r w:rsidR="001906D9" w:rsidRPr="00CC6CA3">
        <w:rPr>
          <w:noProof/>
        </w:rPr>
        <w:t>2</w:t>
      </w:r>
      <w:r w:rsidRPr="00CC6CA3">
        <w:fldChar w:fldCharType="end"/>
      </w:r>
      <w:r w:rsidRPr="00CC6CA3">
        <w:t>.</w:t>
      </w:r>
    </w:p>
    <w:p w14:paraId="74BB9782" w14:textId="0B52B820" w:rsidR="000B5CE9" w:rsidRPr="00CC6CA3" w:rsidRDefault="000B5CE9" w:rsidP="000B5CE9">
      <w:pPr>
        <w:spacing w:before="80"/>
      </w:pPr>
      <w:r w:rsidRPr="00CC6CA3">
        <w:t xml:space="preserve">The offline training phase can be seen in </w:t>
      </w:r>
      <w:r w:rsidRPr="00CC6CA3">
        <w:fldChar w:fldCharType="begin"/>
      </w:r>
      <w:r w:rsidRPr="00CC6CA3">
        <w:instrText xml:space="preserve"> REF _Ref63285496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18</w:t>
      </w:r>
      <w:r w:rsidRPr="00CC6CA3">
        <w:fldChar w:fldCharType="end"/>
      </w:r>
      <w:r w:rsidRPr="00CC6CA3">
        <w:t xml:space="preserve"> (a), where the blue points are healthy data, the magenta line is the reference MD threshold, and the red points are anomalies. The reference threshold (</w:t>
      </w:r>
      <m:oMath>
        <m:sSup>
          <m:sSupPr>
            <m:ctrlPr>
              <w:rPr>
                <w:rFonts w:ascii="Cambria Math" w:hAnsi="Cambria Math"/>
              </w:rPr>
            </m:ctrlPr>
          </m:sSupPr>
          <m:e>
            <m:r>
              <w:rPr>
                <w:rFonts w:ascii="Cambria Math" w:hAnsi="Cambria Math"/>
              </w:rPr>
              <m:t>MD</m:t>
            </m:r>
          </m:e>
          <m:sup>
            <m:r>
              <w:rPr>
                <w:rFonts w:ascii="Cambria Math" w:hAnsi="Cambria Math"/>
              </w:rPr>
              <m:t>ref</m:t>
            </m:r>
          </m:sup>
        </m:sSup>
      </m:oMath>
      <w:r w:rsidRPr="00CC6CA3">
        <w:t xml:space="preserve">) was calculated during the training stage, with confidence level, </w:t>
      </w:r>
      <m:oMath>
        <m:r>
          <w:rPr>
            <w:rFonts w:ascii="Cambria Math" w:hAnsi="Cambria Math"/>
          </w:rPr>
          <m:t>α</m:t>
        </m:r>
        <m:r>
          <m:rPr>
            <m:sty m:val="p"/>
          </m:rPr>
          <w:rPr>
            <w:rFonts w:ascii="Cambria Math" w:hAnsi="Cambria Math"/>
          </w:rPr>
          <m:t>=0.975</m:t>
        </m:r>
      </m:oMath>
      <w:r w:rsidRPr="00CC6CA3">
        <w:t>, the number of nodes in the hidden layer was set to 10, and the delay time was set to 1 hour</w:t>
      </w:r>
      <w:r w:rsidRPr="00CC6CA3">
        <w:rPr>
          <w:b/>
          <w:bCs/>
          <w:sz w:val="20"/>
          <w:szCs w:val="18"/>
        </w:rPr>
        <w:t xml:space="preserve"> </w:t>
      </w:r>
      <w:r w:rsidRPr="00CC6CA3">
        <w:fldChar w:fldCharType="begin"/>
      </w:r>
      <w:r w:rsidRPr="00CC6CA3">
        <w:instrText xml:space="preserve"> ADDIN ZOTERO_ITEM CSL_CITATION {"citationID":"OnMLnS7r","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Pr="00CC6CA3">
        <w:fldChar w:fldCharType="separate"/>
      </w:r>
      <w:r w:rsidRPr="00CC6CA3">
        <w:rPr>
          <w:rFonts w:cs="Times New Roman"/>
        </w:rPr>
        <w:t>[105]</w:t>
      </w:r>
      <w:r w:rsidRPr="00CC6CA3">
        <w:fldChar w:fldCharType="end"/>
      </w:r>
      <w:r w:rsidRPr="00CC6CA3">
        <w:t>.</w:t>
      </w:r>
    </w:p>
    <w:p w14:paraId="1DD44DDB" w14:textId="46647374" w:rsidR="000B5CE9" w:rsidRPr="00CC6CA3" w:rsidRDefault="000B5CE9" w:rsidP="002122FA">
      <w:r w:rsidRPr="00CC6CA3">
        <w:t xml:space="preserve">The online monitoring phase is presented in </w:t>
      </w:r>
      <w:r w:rsidRPr="00CC6CA3">
        <w:fldChar w:fldCharType="begin"/>
      </w:r>
      <w:r w:rsidRPr="00CC6CA3">
        <w:instrText xml:space="preserve"> REF _Ref63285496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18</w:t>
      </w:r>
      <w:r w:rsidRPr="00CC6CA3">
        <w:fldChar w:fldCharType="end"/>
      </w:r>
      <w:r w:rsidRPr="00CC6CA3">
        <w:t xml:space="preserve"> (b). In the figure, some anomalies were found between 13</w:t>
      </w:r>
      <w:r w:rsidRPr="00CC6CA3">
        <w:rPr>
          <w:vertAlign w:val="superscript"/>
        </w:rPr>
        <w:t>th</w:t>
      </w:r>
      <w:r w:rsidRPr="00CC6CA3">
        <w:t xml:space="preserve"> Sep and 4</w:t>
      </w:r>
      <w:r w:rsidRPr="00CC6CA3">
        <w:rPr>
          <w:vertAlign w:val="superscript"/>
        </w:rPr>
        <w:t>th</w:t>
      </w:r>
      <w:r w:rsidRPr="00CC6CA3">
        <w:t xml:space="preserve"> Oct 2014. These points can be considered the detection of an incipient fault when compared with the original signals shown in Figure 3-21. Continuous anomalies were found after 4</w:t>
      </w:r>
      <w:r w:rsidRPr="00CC6CA3">
        <w:rPr>
          <w:vertAlign w:val="superscript"/>
        </w:rPr>
        <w:t>th</w:t>
      </w:r>
      <w:r w:rsidRPr="00CC6CA3">
        <w:t xml:space="preserve"> Oct 2014, indicating a developed fault. The </w:t>
      </w:r>
      <w:r w:rsidRPr="00CC6CA3">
        <w:lastRenderedPageBreak/>
        <w:t xml:space="preserve">parameters influencing the performance of the NARX </w:t>
      </w:r>
      <w:r w:rsidRPr="00CC6CA3">
        <w:rPr>
          <w:rFonts w:hint="eastAsia"/>
        </w:rPr>
        <w:t>fault</w:t>
      </w:r>
      <w:r w:rsidRPr="00CC6CA3">
        <w:t xml:space="preserve"> detection, are </w:t>
      </w:r>
      <w:proofErr w:type="gramStart"/>
      <w:r w:rsidRPr="00CC6CA3">
        <w:t>considered</w:t>
      </w:r>
      <w:proofErr w:type="gramEnd"/>
      <w:r w:rsidRPr="00CC6CA3">
        <w:t xml:space="preserve"> and explored in the following paragraphs.</w:t>
      </w:r>
    </w:p>
    <w:p w14:paraId="5F2AB643" w14:textId="5A8A710B" w:rsidR="002122FA" w:rsidRPr="00CC6CA3" w:rsidRDefault="002122FA" w:rsidP="002122FA">
      <w:pPr>
        <w:pStyle w:val="Caption"/>
        <w:keepNext/>
      </w:pPr>
      <w:bookmarkStart w:id="351" w:name="_Ref63285435"/>
      <w:bookmarkStart w:id="352" w:name="_Toc81553477"/>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w:instrText>
      </w:r>
      <w:r w:rsidR="00D62691" w:rsidRPr="00CC6CA3">
        <w:instrText xml:space="preserve"> </w:instrText>
      </w:r>
      <w:r w:rsidR="00D62691" w:rsidRPr="00CC6CA3">
        <w:fldChar w:fldCharType="separate"/>
      </w:r>
      <w:r w:rsidR="001906D9" w:rsidRPr="00CC6CA3">
        <w:rPr>
          <w:noProof/>
        </w:rPr>
        <w:t>2</w:t>
      </w:r>
      <w:r w:rsidR="00D62691" w:rsidRPr="00CC6CA3">
        <w:rPr>
          <w:noProof/>
        </w:rPr>
        <w:fldChar w:fldCharType="end"/>
      </w:r>
      <w:bookmarkEnd w:id="351"/>
      <w:r w:rsidRPr="00CC6CA3">
        <w:t xml:space="preserve"> Inputs and outputs of NARX models for </w:t>
      </w:r>
      <w:r w:rsidR="00964D12" w:rsidRPr="00CC6CA3">
        <w:t>C</w:t>
      </w:r>
      <w:r w:rsidRPr="00CC6CA3">
        <w:t>ase 3</w:t>
      </w:r>
      <w:bookmarkEnd w:id="352"/>
    </w:p>
    <w:tbl>
      <w:tblPr>
        <w:tblStyle w:val="TableGrid"/>
        <w:tblW w:w="0" w:type="auto"/>
        <w:tblLook w:val="04A0" w:firstRow="1" w:lastRow="0" w:firstColumn="1" w:lastColumn="0" w:noHBand="0" w:noVBand="1"/>
      </w:tblPr>
      <w:tblGrid>
        <w:gridCol w:w="3114"/>
        <w:gridCol w:w="5641"/>
      </w:tblGrid>
      <w:tr w:rsidR="00CC6CA3" w:rsidRPr="00CC6CA3" w14:paraId="16A8DE37" w14:textId="77777777" w:rsidTr="00F632C0">
        <w:tc>
          <w:tcPr>
            <w:tcW w:w="3114" w:type="dxa"/>
          </w:tcPr>
          <w:p w14:paraId="049F06D4" w14:textId="77777777" w:rsidR="002122FA" w:rsidRPr="00CC6CA3" w:rsidRDefault="002122FA" w:rsidP="00F632C0">
            <w:pPr>
              <w:rPr>
                <w:b/>
                <w:bCs/>
                <w:sz w:val="20"/>
                <w:szCs w:val="20"/>
              </w:rPr>
            </w:pPr>
            <w:r w:rsidRPr="00CC6CA3">
              <w:rPr>
                <w:b/>
                <w:bCs/>
                <w:sz w:val="20"/>
                <w:szCs w:val="20"/>
              </w:rPr>
              <w:t>Inputs</w:t>
            </w:r>
          </w:p>
        </w:tc>
        <w:tc>
          <w:tcPr>
            <w:tcW w:w="5641" w:type="dxa"/>
          </w:tcPr>
          <w:p w14:paraId="63D5A85D" w14:textId="77777777" w:rsidR="002122FA" w:rsidRPr="00CC6CA3" w:rsidRDefault="002122FA" w:rsidP="00F632C0">
            <w:pPr>
              <w:rPr>
                <w:b/>
                <w:bCs/>
                <w:sz w:val="20"/>
                <w:szCs w:val="20"/>
              </w:rPr>
            </w:pPr>
            <w:r w:rsidRPr="00CC6CA3">
              <w:rPr>
                <w:b/>
                <w:bCs/>
                <w:sz w:val="20"/>
                <w:szCs w:val="20"/>
              </w:rPr>
              <w:t>Outputs</w:t>
            </w:r>
          </w:p>
        </w:tc>
      </w:tr>
      <w:tr w:rsidR="00CC6CA3" w:rsidRPr="00CC6CA3" w14:paraId="0FED146C" w14:textId="77777777" w:rsidTr="00F632C0">
        <w:tc>
          <w:tcPr>
            <w:tcW w:w="3114" w:type="dxa"/>
          </w:tcPr>
          <w:p w14:paraId="6761A311" w14:textId="77777777" w:rsidR="002122FA" w:rsidRPr="00CC6CA3" w:rsidRDefault="002122FA" w:rsidP="00F632C0">
            <w:pPr>
              <w:rPr>
                <w:sz w:val="20"/>
                <w:szCs w:val="20"/>
              </w:rPr>
            </w:pPr>
            <w:r w:rsidRPr="00CC6CA3">
              <w:rPr>
                <w:sz w:val="20"/>
                <w:szCs w:val="20"/>
              </w:rPr>
              <w:t>Shaft speed</w:t>
            </w:r>
          </w:p>
          <w:p w14:paraId="27B9C122" w14:textId="77777777" w:rsidR="002122FA" w:rsidRPr="00CC6CA3" w:rsidRDefault="002122FA" w:rsidP="00F632C0">
            <w:pPr>
              <w:rPr>
                <w:sz w:val="20"/>
                <w:szCs w:val="20"/>
              </w:rPr>
            </w:pPr>
            <w:r w:rsidRPr="00CC6CA3">
              <w:rPr>
                <w:sz w:val="20"/>
                <w:szCs w:val="20"/>
              </w:rPr>
              <w:t>Stage 1 Suction Pressure</w:t>
            </w:r>
          </w:p>
          <w:p w14:paraId="1C32F5CB" w14:textId="77777777" w:rsidR="002122FA" w:rsidRPr="00CC6CA3" w:rsidRDefault="002122FA" w:rsidP="00F632C0">
            <w:pPr>
              <w:rPr>
                <w:sz w:val="20"/>
                <w:szCs w:val="20"/>
              </w:rPr>
            </w:pPr>
            <w:r w:rsidRPr="00CC6CA3">
              <w:rPr>
                <w:sz w:val="20"/>
                <w:szCs w:val="20"/>
              </w:rPr>
              <w:t>Stage 1 Suction Temperature</w:t>
            </w:r>
          </w:p>
        </w:tc>
        <w:tc>
          <w:tcPr>
            <w:tcW w:w="5641" w:type="dxa"/>
          </w:tcPr>
          <w:p w14:paraId="6A0C2850" w14:textId="77777777" w:rsidR="002122FA" w:rsidRPr="00CC6CA3" w:rsidRDefault="002122FA" w:rsidP="00F632C0">
            <w:pPr>
              <w:jc w:val="left"/>
              <w:rPr>
                <w:sz w:val="20"/>
                <w:szCs w:val="20"/>
              </w:rPr>
            </w:pPr>
            <w:r w:rsidRPr="00CC6CA3">
              <w:rPr>
                <w:sz w:val="20"/>
                <w:szCs w:val="20"/>
              </w:rPr>
              <w:t>Stage 1 Discharge Pressure</w:t>
            </w:r>
          </w:p>
          <w:p w14:paraId="6F736E69" w14:textId="77777777" w:rsidR="002122FA" w:rsidRPr="00CC6CA3" w:rsidRDefault="002122FA" w:rsidP="00F632C0">
            <w:pPr>
              <w:jc w:val="left"/>
              <w:rPr>
                <w:sz w:val="20"/>
                <w:szCs w:val="20"/>
              </w:rPr>
            </w:pPr>
            <w:r w:rsidRPr="00CC6CA3">
              <w:rPr>
                <w:sz w:val="20"/>
                <w:szCs w:val="20"/>
              </w:rPr>
              <w:t>Stage 1 Discharge Temperature</w:t>
            </w:r>
          </w:p>
          <w:p w14:paraId="3A5F9AD2" w14:textId="77777777" w:rsidR="002122FA" w:rsidRPr="00CC6CA3" w:rsidRDefault="002122FA" w:rsidP="00F632C0">
            <w:pPr>
              <w:jc w:val="left"/>
              <w:rPr>
                <w:sz w:val="20"/>
                <w:szCs w:val="20"/>
              </w:rPr>
            </w:pPr>
            <w:r w:rsidRPr="00CC6CA3">
              <w:rPr>
                <w:sz w:val="20"/>
                <w:szCs w:val="20"/>
              </w:rPr>
              <w:t>Stage 2 Suction Pressure</w:t>
            </w:r>
          </w:p>
          <w:p w14:paraId="00C33AB1" w14:textId="77777777" w:rsidR="002122FA" w:rsidRPr="00CC6CA3" w:rsidRDefault="002122FA" w:rsidP="00F632C0">
            <w:pPr>
              <w:jc w:val="left"/>
              <w:rPr>
                <w:sz w:val="20"/>
                <w:szCs w:val="20"/>
              </w:rPr>
            </w:pPr>
            <w:r w:rsidRPr="00CC6CA3">
              <w:rPr>
                <w:sz w:val="20"/>
                <w:szCs w:val="20"/>
              </w:rPr>
              <w:t>Stage 2 Discharge Pressure</w:t>
            </w:r>
          </w:p>
          <w:p w14:paraId="5CAF47F4" w14:textId="77777777" w:rsidR="002122FA" w:rsidRPr="00CC6CA3" w:rsidRDefault="002122FA" w:rsidP="00F632C0">
            <w:pPr>
              <w:jc w:val="left"/>
              <w:rPr>
                <w:sz w:val="20"/>
                <w:szCs w:val="20"/>
              </w:rPr>
            </w:pPr>
            <w:r w:rsidRPr="00CC6CA3">
              <w:rPr>
                <w:sz w:val="20"/>
                <w:szCs w:val="20"/>
              </w:rPr>
              <w:t>Stage 2 Suction Temperature</w:t>
            </w:r>
          </w:p>
          <w:p w14:paraId="4B684990" w14:textId="77777777" w:rsidR="002122FA" w:rsidRPr="00CC6CA3" w:rsidRDefault="002122FA" w:rsidP="00F632C0">
            <w:pPr>
              <w:jc w:val="left"/>
              <w:rPr>
                <w:sz w:val="20"/>
                <w:szCs w:val="20"/>
              </w:rPr>
            </w:pPr>
            <w:r w:rsidRPr="00CC6CA3">
              <w:rPr>
                <w:sz w:val="20"/>
                <w:szCs w:val="20"/>
              </w:rPr>
              <w:t>Stage 2 Discharge Temperature</w:t>
            </w:r>
          </w:p>
          <w:p w14:paraId="7ADAEA28" w14:textId="77777777" w:rsidR="002122FA" w:rsidRPr="00CC6CA3" w:rsidRDefault="002122FA" w:rsidP="00F632C0">
            <w:pPr>
              <w:jc w:val="left"/>
              <w:rPr>
                <w:sz w:val="20"/>
                <w:szCs w:val="20"/>
              </w:rPr>
            </w:pPr>
            <w:r w:rsidRPr="00CC6CA3">
              <w:rPr>
                <w:sz w:val="20"/>
                <w:szCs w:val="20"/>
              </w:rPr>
              <w:t xml:space="preserve">Stage 3 Suction Pressure                </w:t>
            </w:r>
          </w:p>
          <w:p w14:paraId="3B56005C" w14:textId="77777777" w:rsidR="002122FA" w:rsidRPr="00CC6CA3" w:rsidRDefault="002122FA" w:rsidP="00F632C0">
            <w:pPr>
              <w:jc w:val="left"/>
              <w:rPr>
                <w:sz w:val="20"/>
                <w:szCs w:val="20"/>
              </w:rPr>
            </w:pPr>
            <w:r w:rsidRPr="00CC6CA3">
              <w:rPr>
                <w:sz w:val="20"/>
                <w:szCs w:val="20"/>
              </w:rPr>
              <w:t>Stage 3 Discharge Pressure</w:t>
            </w:r>
          </w:p>
          <w:p w14:paraId="6D589EC3" w14:textId="77777777" w:rsidR="002122FA" w:rsidRPr="00CC6CA3" w:rsidRDefault="002122FA" w:rsidP="00F632C0">
            <w:pPr>
              <w:jc w:val="left"/>
              <w:rPr>
                <w:sz w:val="20"/>
                <w:szCs w:val="20"/>
              </w:rPr>
            </w:pPr>
            <w:r w:rsidRPr="00CC6CA3">
              <w:rPr>
                <w:sz w:val="20"/>
                <w:szCs w:val="20"/>
              </w:rPr>
              <w:t>Stage 1-2 DE Radial Vibration Overall X</w:t>
            </w:r>
          </w:p>
          <w:p w14:paraId="7BCF9AC5" w14:textId="77777777" w:rsidR="002122FA" w:rsidRPr="00CC6CA3" w:rsidRDefault="002122FA" w:rsidP="00F632C0">
            <w:pPr>
              <w:jc w:val="left"/>
              <w:rPr>
                <w:sz w:val="20"/>
                <w:szCs w:val="20"/>
              </w:rPr>
            </w:pPr>
            <w:r w:rsidRPr="00CC6CA3">
              <w:rPr>
                <w:sz w:val="20"/>
                <w:szCs w:val="20"/>
              </w:rPr>
              <w:t>Stage 1-2 DE Radial Vibration Overall Y</w:t>
            </w:r>
          </w:p>
          <w:p w14:paraId="66716230" w14:textId="77777777" w:rsidR="002122FA" w:rsidRPr="00CC6CA3" w:rsidRDefault="002122FA" w:rsidP="00F632C0">
            <w:pPr>
              <w:jc w:val="left"/>
              <w:rPr>
                <w:sz w:val="20"/>
                <w:szCs w:val="20"/>
              </w:rPr>
            </w:pPr>
            <w:r w:rsidRPr="00CC6CA3">
              <w:rPr>
                <w:sz w:val="20"/>
                <w:szCs w:val="20"/>
              </w:rPr>
              <w:t>Stage 1-2 NDE Radial Vibration Overall X</w:t>
            </w:r>
          </w:p>
          <w:p w14:paraId="26D0B790" w14:textId="77777777" w:rsidR="002122FA" w:rsidRPr="00CC6CA3" w:rsidRDefault="002122FA" w:rsidP="00F632C0">
            <w:pPr>
              <w:jc w:val="left"/>
              <w:rPr>
                <w:sz w:val="20"/>
                <w:szCs w:val="20"/>
              </w:rPr>
            </w:pPr>
            <w:r w:rsidRPr="00CC6CA3">
              <w:rPr>
                <w:sz w:val="20"/>
                <w:szCs w:val="20"/>
              </w:rPr>
              <w:t>Stage 1-2 NDE Radial Vibration Overall Y</w:t>
            </w:r>
          </w:p>
          <w:p w14:paraId="301EC6E9" w14:textId="77777777" w:rsidR="002122FA" w:rsidRPr="00CC6CA3" w:rsidRDefault="002122FA" w:rsidP="00F632C0">
            <w:pPr>
              <w:jc w:val="left"/>
              <w:rPr>
                <w:sz w:val="20"/>
                <w:szCs w:val="20"/>
              </w:rPr>
            </w:pPr>
            <w:r w:rsidRPr="00CC6CA3">
              <w:rPr>
                <w:sz w:val="20"/>
                <w:szCs w:val="20"/>
              </w:rPr>
              <w:t>Stage 1-2 Thrust Position Axial Probe-1</w:t>
            </w:r>
          </w:p>
          <w:p w14:paraId="27C1A9F2" w14:textId="77777777" w:rsidR="002122FA" w:rsidRPr="00CC6CA3" w:rsidRDefault="002122FA" w:rsidP="00F632C0">
            <w:pPr>
              <w:jc w:val="left"/>
              <w:rPr>
                <w:sz w:val="20"/>
                <w:szCs w:val="20"/>
              </w:rPr>
            </w:pPr>
            <w:r w:rsidRPr="00CC6CA3">
              <w:rPr>
                <w:sz w:val="20"/>
                <w:szCs w:val="20"/>
              </w:rPr>
              <w:t>Stage 1-2 Thrust Position Axial Probe-2</w:t>
            </w:r>
          </w:p>
          <w:p w14:paraId="4BA15F76" w14:textId="77777777" w:rsidR="002122FA" w:rsidRPr="00CC6CA3" w:rsidRDefault="002122FA" w:rsidP="00F632C0">
            <w:pPr>
              <w:jc w:val="left"/>
              <w:rPr>
                <w:sz w:val="20"/>
                <w:szCs w:val="20"/>
              </w:rPr>
            </w:pPr>
            <w:r w:rsidRPr="00CC6CA3">
              <w:rPr>
                <w:sz w:val="20"/>
                <w:szCs w:val="20"/>
              </w:rPr>
              <w:t>Stage 3 DE Radial Vibration Overall X</w:t>
            </w:r>
          </w:p>
          <w:p w14:paraId="08D814B4" w14:textId="77777777" w:rsidR="002122FA" w:rsidRPr="00CC6CA3" w:rsidRDefault="002122FA" w:rsidP="00F632C0">
            <w:pPr>
              <w:jc w:val="left"/>
              <w:rPr>
                <w:sz w:val="20"/>
                <w:szCs w:val="20"/>
              </w:rPr>
            </w:pPr>
            <w:r w:rsidRPr="00CC6CA3">
              <w:rPr>
                <w:sz w:val="20"/>
                <w:szCs w:val="20"/>
              </w:rPr>
              <w:t>Stage 3 DE Radial Vibration Overall Y</w:t>
            </w:r>
          </w:p>
          <w:p w14:paraId="649EE0E8" w14:textId="77777777" w:rsidR="002122FA" w:rsidRPr="00CC6CA3" w:rsidRDefault="002122FA" w:rsidP="00F632C0">
            <w:pPr>
              <w:jc w:val="left"/>
              <w:rPr>
                <w:sz w:val="20"/>
                <w:szCs w:val="20"/>
              </w:rPr>
            </w:pPr>
            <w:r w:rsidRPr="00CC6CA3">
              <w:rPr>
                <w:sz w:val="20"/>
                <w:szCs w:val="20"/>
              </w:rPr>
              <w:t>Stage 3 NDE Radial Vibration Overall X</w:t>
            </w:r>
          </w:p>
          <w:p w14:paraId="3E2701DE" w14:textId="77777777" w:rsidR="002122FA" w:rsidRPr="00CC6CA3" w:rsidRDefault="002122FA" w:rsidP="00F632C0">
            <w:pPr>
              <w:jc w:val="left"/>
              <w:rPr>
                <w:sz w:val="20"/>
                <w:szCs w:val="20"/>
              </w:rPr>
            </w:pPr>
            <w:r w:rsidRPr="00CC6CA3">
              <w:rPr>
                <w:sz w:val="20"/>
                <w:szCs w:val="20"/>
              </w:rPr>
              <w:t>Stage 3 NDE Radial Vibration Overall Y</w:t>
            </w:r>
          </w:p>
          <w:p w14:paraId="797F7677" w14:textId="77777777" w:rsidR="002122FA" w:rsidRPr="00CC6CA3" w:rsidRDefault="002122FA" w:rsidP="00F632C0">
            <w:pPr>
              <w:jc w:val="left"/>
              <w:rPr>
                <w:sz w:val="20"/>
                <w:szCs w:val="20"/>
              </w:rPr>
            </w:pPr>
            <w:r w:rsidRPr="00CC6CA3">
              <w:rPr>
                <w:sz w:val="20"/>
                <w:szCs w:val="20"/>
              </w:rPr>
              <w:t>Stage 3 Thrust Position Axial Probe-1</w:t>
            </w:r>
          </w:p>
          <w:p w14:paraId="29F0A4C0" w14:textId="77777777" w:rsidR="002122FA" w:rsidRPr="00CC6CA3" w:rsidRDefault="002122FA" w:rsidP="00F632C0">
            <w:pPr>
              <w:jc w:val="left"/>
              <w:rPr>
                <w:sz w:val="20"/>
                <w:szCs w:val="20"/>
              </w:rPr>
            </w:pPr>
            <w:r w:rsidRPr="00CC6CA3">
              <w:rPr>
                <w:sz w:val="20"/>
                <w:szCs w:val="20"/>
              </w:rPr>
              <w:t>Stage 3 Thrust Position Axial Probe-2</w:t>
            </w:r>
          </w:p>
        </w:tc>
      </w:tr>
    </w:tbl>
    <w:p w14:paraId="31BF3479" w14:textId="764B090B" w:rsidR="002122FA" w:rsidRPr="00CC6CA3" w:rsidRDefault="00C233B0" w:rsidP="00645D5D">
      <w:pPr>
        <w:pStyle w:val="Body"/>
        <w:keepNext/>
        <w:spacing w:after="0" w:line="240" w:lineRule="auto"/>
        <w:jc w:val="center"/>
      </w:pPr>
      <w:r w:rsidRPr="00CC6CA3">
        <w:object w:dxaOrig="9049" w:dyaOrig="6049" w14:anchorId="44905090">
          <v:shape id="_x0000_i1055" type="#_x0000_t75" style="width:312pt;height:211pt" o:ole="">
            <v:imagedata r:id="rId106" o:title=""/>
          </v:shape>
          <o:OLEObject Type="Embed" ProgID="Visio.Drawing.15" ShapeID="_x0000_i1055" DrawAspect="Content" ObjectID="_1692500334" r:id="rId107"/>
        </w:object>
      </w:r>
    </w:p>
    <w:p w14:paraId="0F4CE2B9" w14:textId="2E790A4F" w:rsidR="002122FA" w:rsidRPr="00CC6CA3" w:rsidRDefault="002122FA" w:rsidP="00645D5D">
      <w:pPr>
        <w:pStyle w:val="Caption"/>
        <w:spacing w:after="120"/>
        <w:jc w:val="center"/>
      </w:pPr>
      <w:bookmarkStart w:id="353" w:name="_Ref63285496"/>
      <w:bookmarkStart w:id="354" w:name="_Toc8155338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18</w:t>
      </w:r>
      <w:r w:rsidR="00D62691" w:rsidRPr="00CC6CA3">
        <w:rPr>
          <w:noProof/>
        </w:rPr>
        <w:fldChar w:fldCharType="end"/>
      </w:r>
      <w:bookmarkEnd w:id="353"/>
      <w:r w:rsidRPr="00CC6CA3">
        <w:t xml:space="preserve"> </w:t>
      </w:r>
      <w:r w:rsidR="000B7DAF" w:rsidRPr="00CC6CA3">
        <w:t xml:space="preserve">The MD calculated in the </w:t>
      </w:r>
      <w:r w:rsidRPr="00CC6CA3">
        <w:t xml:space="preserve">training and monitoring phases of the NARX model for </w:t>
      </w:r>
      <w:r w:rsidR="00632DF7" w:rsidRPr="00CC6CA3">
        <w:t>C</w:t>
      </w:r>
      <w:r w:rsidRPr="00CC6CA3">
        <w:t xml:space="preserve">ase 3, (a) </w:t>
      </w:r>
      <w:r w:rsidR="000B7DAF" w:rsidRPr="00CC6CA3">
        <w:t>MD calculated in the offline training phase, (b) MD calculated in the online monitoring phase</w:t>
      </w:r>
      <w:r w:rsidRPr="00CC6CA3">
        <w:t>.</w:t>
      </w:r>
      <w:bookmarkEnd w:id="354"/>
    </w:p>
    <w:p w14:paraId="13A281BE" w14:textId="3022A2B7" w:rsidR="002122FA" w:rsidRPr="00CC6CA3" w:rsidRDefault="000D4194" w:rsidP="002122FA">
      <w:r w:rsidRPr="00CC6CA3">
        <w:lastRenderedPageBreak/>
        <w:t xml:space="preserve">A 2D contribution map of the NARX model for Case 3 is presented </w:t>
      </w:r>
      <w:r w:rsidR="002122FA" w:rsidRPr="00CC6CA3">
        <w:t xml:space="preserve">in </w:t>
      </w:r>
      <w:r w:rsidR="002122FA" w:rsidRPr="00CC6CA3">
        <w:fldChar w:fldCharType="begin"/>
      </w:r>
      <w:r w:rsidR="002122FA" w:rsidRPr="00CC6CA3">
        <w:instrText xml:space="preserve"> REF _Ref63286639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19</w:t>
      </w:r>
      <w:r w:rsidR="002122FA" w:rsidRPr="00CC6CA3">
        <w:fldChar w:fldCharType="end"/>
      </w:r>
      <w:r w:rsidR="002122FA" w:rsidRPr="00CC6CA3">
        <w:t xml:space="preserve">. </w:t>
      </w:r>
      <w:bookmarkStart w:id="355" w:name="_Hlk63631453"/>
      <w:r w:rsidRPr="00CC6CA3">
        <w:t>It shows that it was the overall vibration, X and Y, of the radial DE bearing at the 3</w:t>
      </w:r>
      <w:r w:rsidRPr="00CC6CA3">
        <w:rPr>
          <w:vertAlign w:val="superscript"/>
        </w:rPr>
        <w:t>rd</w:t>
      </w:r>
      <w:r w:rsidRPr="00CC6CA3">
        <w:t xml:space="preserve"> stage of the compressor that contributed most to the increase of the system feature, indicating this bearing was suffering from a fault. After 16</w:t>
      </w:r>
      <w:r w:rsidRPr="00CC6CA3">
        <w:rPr>
          <w:vertAlign w:val="superscript"/>
        </w:rPr>
        <w:t>th</w:t>
      </w:r>
      <w:r w:rsidRPr="00CC6CA3">
        <w:t xml:space="preserve"> Oct, anomalies were found in many variables, for example, the stage 2 suction and discharge pressures, and the overall vibration X and Y of the stage 1-2 radial DE bearing and stage 3 NDE bearing. This indicated that the system was in a very dangerous condition. An inspection and maintenance needed to be carried out urgently to prevent the system having an unplanned shutdown</w:t>
      </w:r>
      <w:r w:rsidR="002122FA" w:rsidRPr="00CC6CA3">
        <w:t>.</w:t>
      </w:r>
      <w:bookmarkEnd w:id="355"/>
    </w:p>
    <w:p w14:paraId="5C5801C8" w14:textId="77777777" w:rsidR="002122FA" w:rsidRPr="00CC6CA3" w:rsidRDefault="002122FA" w:rsidP="002122FA">
      <w:pPr>
        <w:keepNext/>
        <w:jc w:val="center"/>
      </w:pPr>
      <w:r w:rsidRPr="00CC6CA3">
        <w:object w:dxaOrig="11328" w:dyaOrig="6528" w14:anchorId="6F6F78E7">
          <v:shape id="_x0000_i1056" type="#_x0000_t75" style="width:438pt;height:252pt" o:ole="">
            <v:imagedata r:id="rId108" o:title=""/>
          </v:shape>
          <o:OLEObject Type="Embed" ProgID="Visio.Drawing.15" ShapeID="_x0000_i1056" DrawAspect="Content" ObjectID="_1692500335" r:id="rId109"/>
        </w:object>
      </w:r>
    </w:p>
    <w:p w14:paraId="3749327E" w14:textId="7BFDF94D" w:rsidR="002122FA" w:rsidRPr="00CC6CA3" w:rsidRDefault="002122FA" w:rsidP="002122FA">
      <w:pPr>
        <w:pStyle w:val="Caption"/>
        <w:jc w:val="center"/>
      </w:pPr>
      <w:bookmarkStart w:id="356" w:name="_Ref63286639"/>
      <w:bookmarkStart w:id="357" w:name="_Toc8155338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19</w:t>
      </w:r>
      <w:r w:rsidR="00D62691" w:rsidRPr="00CC6CA3">
        <w:rPr>
          <w:noProof/>
        </w:rPr>
        <w:fldChar w:fldCharType="end"/>
      </w:r>
      <w:bookmarkEnd w:id="356"/>
      <w:r w:rsidRPr="00CC6CA3">
        <w:t xml:space="preserve"> 2D Q statistic contribution map of NARX model for </w:t>
      </w:r>
      <w:r w:rsidR="004C722A" w:rsidRPr="00CC6CA3">
        <w:t>C</w:t>
      </w:r>
      <w:r w:rsidRPr="00CC6CA3">
        <w:t>ase 3</w:t>
      </w:r>
      <w:bookmarkEnd w:id="357"/>
    </w:p>
    <w:p w14:paraId="0E22E7A4" w14:textId="28110BC0" w:rsidR="002122FA" w:rsidRPr="00CC6CA3" w:rsidRDefault="002122FA" w:rsidP="002122FA">
      <w:r w:rsidRPr="00CC6CA3">
        <w:t xml:space="preserve">To assess the performance of the NARX fault detection model </w:t>
      </w:r>
      <w:r w:rsidR="0015106B" w:rsidRPr="00CC6CA3">
        <w:t>for</w:t>
      </w:r>
      <w:r w:rsidRPr="00CC6CA3">
        <w:t xml:space="preserve"> the early detection of a fault, when calculated the ROC curves, the training data was from 1</w:t>
      </w:r>
      <w:r w:rsidRPr="00CC6CA3">
        <w:rPr>
          <w:vertAlign w:val="superscript"/>
        </w:rPr>
        <w:t>st</w:t>
      </w:r>
      <w:r w:rsidRPr="00CC6CA3">
        <w:t xml:space="preserve"> Feb 2014 to 22</w:t>
      </w:r>
      <w:r w:rsidRPr="00CC6CA3">
        <w:rPr>
          <w:vertAlign w:val="superscript"/>
        </w:rPr>
        <w:t>nd</w:t>
      </w:r>
      <w:r w:rsidRPr="00CC6CA3">
        <w:t xml:space="preserve"> Aug 2014, and the test data was from 23</w:t>
      </w:r>
      <w:r w:rsidRPr="00CC6CA3">
        <w:rPr>
          <w:vertAlign w:val="superscript"/>
        </w:rPr>
        <w:t>rd</w:t>
      </w:r>
      <w:r w:rsidRPr="00CC6CA3">
        <w:t xml:space="preserve"> Aug to 24</w:t>
      </w:r>
      <w:r w:rsidRPr="00CC6CA3">
        <w:rPr>
          <w:vertAlign w:val="superscript"/>
        </w:rPr>
        <w:t>th</w:t>
      </w:r>
      <w:r w:rsidRPr="00CC6CA3">
        <w:t xml:space="preserve"> Sep 2014. The results are presented in </w:t>
      </w:r>
      <w:r w:rsidRPr="00CC6CA3">
        <w:fldChar w:fldCharType="begin"/>
      </w:r>
      <w:r w:rsidRPr="00CC6CA3">
        <w:instrText xml:space="preserve"> REF _Ref63266370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20</w:t>
      </w:r>
      <w:r w:rsidRPr="00CC6CA3">
        <w:fldChar w:fldCharType="end"/>
      </w:r>
      <w:r w:rsidRPr="00CC6CA3">
        <w:t xml:space="preserve"> and </w:t>
      </w:r>
      <w:r w:rsidRPr="00CC6CA3">
        <w:fldChar w:fldCharType="begin"/>
      </w:r>
      <w:r w:rsidRPr="00CC6CA3">
        <w:instrText xml:space="preserve"> REF _Ref63266375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21</w:t>
      </w:r>
      <w:r w:rsidRPr="00CC6CA3">
        <w:fldChar w:fldCharType="end"/>
      </w:r>
      <w:r w:rsidRPr="00CC6CA3">
        <w:t xml:space="preserve">. </w:t>
      </w:r>
      <w:r w:rsidRPr="00CC6CA3">
        <w:fldChar w:fldCharType="begin"/>
      </w:r>
      <w:r w:rsidRPr="00CC6CA3">
        <w:instrText xml:space="preserve"> REF _Ref63266370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20</w:t>
      </w:r>
      <w:r w:rsidRPr="00CC6CA3">
        <w:fldChar w:fldCharType="end"/>
      </w:r>
      <w:r w:rsidRPr="00CC6CA3">
        <w:t xml:space="preserve"> shows the ROC curves and AUC values of the NARX model, with different numbers of NARX nodes and delay time set to 1 hour</w:t>
      </w:r>
      <w:r w:rsidR="0038718E" w:rsidRPr="00CC6CA3">
        <w:t xml:space="preserve">. </w:t>
      </w:r>
      <w:r w:rsidRPr="00CC6CA3">
        <w:fldChar w:fldCharType="begin"/>
      </w:r>
      <w:r w:rsidRPr="00CC6CA3">
        <w:instrText xml:space="preserve"> REF _Ref63266375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21</w:t>
      </w:r>
      <w:r w:rsidRPr="00CC6CA3">
        <w:fldChar w:fldCharType="end"/>
      </w:r>
      <w:r w:rsidRPr="00CC6CA3">
        <w:t xml:space="preserve"> </w:t>
      </w:r>
      <w:r w:rsidR="0038718E" w:rsidRPr="00CC6CA3">
        <w:t xml:space="preserve">presents the ROC curves and AUC values with three different delay times, 2, 4 and 6 hours, with the number of nodes in the hidden layer set to 10. Both figures show that the NARX model performed well in Case </w:t>
      </w:r>
      <w:r w:rsidR="0038718E" w:rsidRPr="00CC6CA3">
        <w:rPr>
          <w:rFonts w:hint="eastAsia"/>
        </w:rPr>
        <w:t>3</w:t>
      </w:r>
      <w:r w:rsidR="0038718E" w:rsidRPr="00CC6CA3">
        <w:t>, with AUC values above 0.799</w:t>
      </w:r>
      <w:r w:rsidRPr="00CC6CA3">
        <w:t>.</w:t>
      </w:r>
    </w:p>
    <w:p w14:paraId="6C1D2636" w14:textId="04C71ED7" w:rsidR="002122FA" w:rsidRPr="00CC6CA3" w:rsidRDefault="00C233B0" w:rsidP="002122FA">
      <w:pPr>
        <w:keepNext/>
        <w:jc w:val="center"/>
      </w:pPr>
      <w:r w:rsidRPr="00CC6CA3">
        <w:object w:dxaOrig="9264" w:dyaOrig="6037" w14:anchorId="227E38E5">
          <v:shape id="_x0000_i1057" type="#_x0000_t75" style="width:325pt;height:210pt" o:ole="">
            <v:imagedata r:id="rId110" o:title=""/>
          </v:shape>
          <o:OLEObject Type="Embed" ProgID="Visio.Drawing.15" ShapeID="_x0000_i1057" DrawAspect="Content" ObjectID="_1692500336" r:id="rId111"/>
        </w:object>
      </w:r>
    </w:p>
    <w:p w14:paraId="354FE931" w14:textId="3B4017B0" w:rsidR="002122FA" w:rsidRPr="00CC6CA3" w:rsidRDefault="002122FA" w:rsidP="002122FA">
      <w:pPr>
        <w:pStyle w:val="Caption"/>
        <w:jc w:val="center"/>
      </w:pPr>
      <w:bookmarkStart w:id="358" w:name="_Ref63266370"/>
      <w:bookmarkStart w:id="359" w:name="_Toc8155338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20</w:t>
      </w:r>
      <w:r w:rsidR="00D62691" w:rsidRPr="00CC6CA3">
        <w:rPr>
          <w:noProof/>
        </w:rPr>
        <w:fldChar w:fldCharType="end"/>
      </w:r>
      <w:bookmarkEnd w:id="358"/>
      <w:r w:rsidRPr="00CC6CA3">
        <w:t xml:space="preserve"> ROC curves and AUC value of NARX model for </w:t>
      </w:r>
      <w:r w:rsidR="0053498D" w:rsidRPr="00CC6CA3">
        <w:t>C</w:t>
      </w:r>
      <w:r w:rsidRPr="00CC6CA3">
        <w:t>ase 3, (a) ROC curves for NARX model with different numbers of NARX nodes, (b) AUC values for NARX model with different numbers of nodes.</w:t>
      </w:r>
      <w:bookmarkEnd w:id="359"/>
    </w:p>
    <w:p w14:paraId="55B1D524" w14:textId="53194E10" w:rsidR="002122FA" w:rsidRPr="00CC6CA3" w:rsidRDefault="00C233B0" w:rsidP="002122FA">
      <w:pPr>
        <w:keepNext/>
        <w:jc w:val="center"/>
      </w:pPr>
      <w:r w:rsidRPr="00CC6CA3">
        <w:object w:dxaOrig="9217" w:dyaOrig="6037" w14:anchorId="5F597026">
          <v:shape id="_x0000_i1058" type="#_x0000_t75" style="width:317pt;height:210pt" o:ole="">
            <v:imagedata r:id="rId112" o:title=""/>
          </v:shape>
          <o:OLEObject Type="Embed" ProgID="Visio.Drawing.15" ShapeID="_x0000_i1058" DrawAspect="Content" ObjectID="_1692500337" r:id="rId113"/>
        </w:object>
      </w:r>
    </w:p>
    <w:p w14:paraId="224AA5D7" w14:textId="33256DB2" w:rsidR="002122FA" w:rsidRPr="00CC6CA3" w:rsidRDefault="002122FA" w:rsidP="002122FA">
      <w:pPr>
        <w:pStyle w:val="Caption"/>
        <w:jc w:val="center"/>
      </w:pPr>
      <w:bookmarkStart w:id="360" w:name="_Ref63266375"/>
      <w:bookmarkStart w:id="361" w:name="_Toc8155338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21</w:t>
      </w:r>
      <w:r w:rsidR="00D62691" w:rsidRPr="00CC6CA3">
        <w:rPr>
          <w:noProof/>
        </w:rPr>
        <w:fldChar w:fldCharType="end"/>
      </w:r>
      <w:bookmarkEnd w:id="360"/>
      <w:r w:rsidRPr="00CC6CA3">
        <w:t xml:space="preserve"> ROC curves and AUC value of NARX model for </w:t>
      </w:r>
      <w:r w:rsidR="0053498D" w:rsidRPr="00CC6CA3">
        <w:t>C</w:t>
      </w:r>
      <w:r w:rsidRPr="00CC6CA3">
        <w:t xml:space="preserve">ase 3, (a) </w:t>
      </w:r>
      <w:r w:rsidR="0053498D" w:rsidRPr="00CC6CA3">
        <w:rPr>
          <w:szCs w:val="20"/>
        </w:rPr>
        <w:t>ROC curves for NARX model with different delay times, (b) AUC values for NARX model with three different delay times</w:t>
      </w:r>
      <w:r w:rsidRPr="00CC6CA3">
        <w:t>.</w:t>
      </w:r>
      <w:bookmarkEnd w:id="361"/>
    </w:p>
    <w:p w14:paraId="2227A6E7" w14:textId="6EFD42D9" w:rsidR="00373538" w:rsidRPr="00CC6CA3" w:rsidRDefault="00373538" w:rsidP="002122FA">
      <w:r w:rsidRPr="00CC6CA3">
        <w:t xml:space="preserve">The AUC values for the NARX model with a wider range of number of nodes and delay than shown in </w:t>
      </w:r>
      <w:r w:rsidRPr="00CC6CA3">
        <w:fldChar w:fldCharType="begin"/>
      </w:r>
      <w:r w:rsidRPr="00CC6CA3">
        <w:instrText xml:space="preserve"> REF _Ref63266370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20</w:t>
      </w:r>
      <w:r w:rsidRPr="00CC6CA3">
        <w:fldChar w:fldCharType="end"/>
      </w:r>
      <w:r w:rsidRPr="00CC6CA3">
        <w:t xml:space="preserve"> and </w:t>
      </w:r>
      <w:r w:rsidRPr="00CC6CA3">
        <w:fldChar w:fldCharType="begin"/>
      </w:r>
      <w:r w:rsidRPr="00CC6CA3">
        <w:instrText xml:space="preserve"> REF _Ref63266375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21</w:t>
      </w:r>
      <w:r w:rsidRPr="00CC6CA3">
        <w:fldChar w:fldCharType="end"/>
      </w:r>
      <w:r w:rsidRPr="00CC6CA3">
        <w:t xml:space="preserve">, for detection of the incipient compressor bearing fault in Case 3 are shown in </w:t>
      </w:r>
      <w:r w:rsidRPr="00CC6CA3">
        <w:fldChar w:fldCharType="begin"/>
      </w:r>
      <w:r w:rsidRPr="00CC6CA3">
        <w:instrText xml:space="preserve"> REF _Ref63266437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22</w:t>
      </w:r>
      <w:r w:rsidRPr="00CC6CA3">
        <w:fldChar w:fldCharType="end"/>
      </w:r>
      <w:r w:rsidRPr="00CC6CA3">
        <w:t>. As can be seen, the NARX model performed well with AUC values above 0.82 (but below 0.92), when the number of nodes was less than 10 and delay time greater than four hours.</w:t>
      </w:r>
    </w:p>
    <w:p w14:paraId="498C48BF" w14:textId="77777777" w:rsidR="002122FA" w:rsidRPr="00CC6CA3" w:rsidRDefault="002122FA" w:rsidP="002122FA">
      <w:pPr>
        <w:keepNext/>
        <w:jc w:val="center"/>
      </w:pPr>
      <w:r w:rsidRPr="00CC6CA3">
        <w:object w:dxaOrig="16884" w:dyaOrig="6672" w14:anchorId="05303C2C">
          <v:shape id="_x0000_i1059" type="#_x0000_t75" style="width:438pt;height:174pt" o:ole="">
            <v:imagedata r:id="rId114" o:title=""/>
          </v:shape>
          <o:OLEObject Type="Embed" ProgID="Visio.Drawing.15" ShapeID="_x0000_i1059" DrawAspect="Content" ObjectID="_1692500338" r:id="rId115"/>
        </w:object>
      </w:r>
    </w:p>
    <w:p w14:paraId="25CFB336" w14:textId="2E861292" w:rsidR="002122FA" w:rsidRPr="00CC6CA3" w:rsidRDefault="002122FA" w:rsidP="002122FA">
      <w:pPr>
        <w:pStyle w:val="Caption"/>
        <w:jc w:val="center"/>
      </w:pPr>
      <w:bookmarkStart w:id="362" w:name="_Ref63266437"/>
      <w:bookmarkStart w:id="363" w:name="_Toc8155338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22</w:t>
      </w:r>
      <w:r w:rsidR="00D62691" w:rsidRPr="00CC6CA3">
        <w:rPr>
          <w:noProof/>
        </w:rPr>
        <w:fldChar w:fldCharType="end"/>
      </w:r>
      <w:bookmarkEnd w:id="362"/>
      <w:r w:rsidRPr="00CC6CA3">
        <w:t xml:space="preserve"> AUC values </w:t>
      </w:r>
      <w:r w:rsidR="00373538" w:rsidRPr="00CC6CA3">
        <w:rPr>
          <w:szCs w:val="20"/>
        </w:rPr>
        <w:t>for the NARX model with different numbers of nodes and delay times for Case 3, (a) 3D figure, (b) 2D figure</w:t>
      </w:r>
      <w:r w:rsidRPr="00CC6CA3">
        <w:t>.</w:t>
      </w:r>
      <w:bookmarkEnd w:id="363"/>
    </w:p>
    <w:p w14:paraId="2C1AE0B5" w14:textId="77777777" w:rsidR="002122FA" w:rsidRPr="00CC6CA3" w:rsidRDefault="002122FA" w:rsidP="002122FA">
      <w:pPr>
        <w:pStyle w:val="Heading2"/>
      </w:pPr>
      <w:bookmarkStart w:id="364" w:name="_Toc81553287"/>
      <w:r w:rsidRPr="00CC6CA3">
        <w:t>PCA based anomaly detection model</w:t>
      </w:r>
      <w:bookmarkEnd w:id="364"/>
    </w:p>
    <w:p w14:paraId="1E2B3B2D" w14:textId="77777777" w:rsidR="002122FA" w:rsidRPr="00CC6CA3" w:rsidRDefault="002122FA" w:rsidP="002122FA">
      <w:pPr>
        <w:pStyle w:val="Heading3"/>
      </w:pPr>
      <w:bookmarkStart w:id="365" w:name="_Ref32992933"/>
      <w:bookmarkStart w:id="366" w:name="_Toc81553288"/>
      <w:r w:rsidRPr="00CC6CA3">
        <w:t xml:space="preserve">Implementation </w:t>
      </w:r>
      <w:bookmarkEnd w:id="365"/>
      <w:r w:rsidRPr="00CC6CA3">
        <w:t>of PCA based fault detection model</w:t>
      </w:r>
      <w:bookmarkEnd w:id="366"/>
    </w:p>
    <w:p w14:paraId="7B89E265" w14:textId="0A2953A3" w:rsidR="002122FA" w:rsidRPr="00CC6CA3" w:rsidRDefault="001B2446" w:rsidP="00055EE2">
      <w:r w:rsidRPr="00CC6CA3">
        <w:t>The second fault detection approach is to use the PCA model, see</w:t>
      </w:r>
      <w:r w:rsidR="002122FA" w:rsidRPr="00CC6CA3">
        <w:t xml:space="preserve"> </w:t>
      </w:r>
      <w:r w:rsidR="002122FA" w:rsidRPr="00CC6CA3">
        <w:fldChar w:fldCharType="begin"/>
      </w:r>
      <w:r w:rsidR="002122FA" w:rsidRPr="00CC6CA3">
        <w:instrText xml:space="preserve"> REF _Ref17060255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23</w:t>
      </w:r>
      <w:r w:rsidR="002122FA" w:rsidRPr="00CC6CA3">
        <w:fldChar w:fldCharType="end"/>
      </w:r>
      <w:r w:rsidR="002122FA" w:rsidRPr="00CC6CA3">
        <w:t xml:space="preserve">. </w:t>
      </w:r>
    </w:p>
    <w:p w14:paraId="73BF2D9B" w14:textId="5486ACC0" w:rsidR="002122FA" w:rsidRPr="00CC6CA3" w:rsidRDefault="002122FA" w:rsidP="00055EE2">
      <w:r w:rsidRPr="00CC6CA3">
        <w:t xml:space="preserve">In the offline phase, </w:t>
      </w:r>
      <w:r w:rsidR="0079173D" w:rsidRPr="00CC6CA3">
        <w:t>the model is trained using healthy historical data. The input variables of the PCA model (</w:t>
      </w:r>
      <m:oMath>
        <m:sSub>
          <m:sSubPr>
            <m:ctrlPr>
              <w:rPr>
                <w:rFonts w:ascii="Cambria Math" w:hAnsi="Cambria Math"/>
                <w:i/>
                <w:iCs/>
              </w:rPr>
            </m:ctrlPr>
          </m:sSubPr>
          <m:e>
            <m:r>
              <w:rPr>
                <w:rFonts w:ascii="Cambria Math" w:hAnsi="Cambria Math"/>
              </w:rPr>
              <m:t>x</m:t>
            </m:r>
          </m:e>
          <m:sub>
            <m:r>
              <w:rPr>
                <w:rFonts w:ascii="Cambria Math" w:hAnsi="Cambria Math"/>
              </w:rPr>
              <m:t>1</m:t>
            </m:r>
          </m:sub>
        </m:sSub>
        <m:r>
          <w:rPr>
            <w:rFonts w:ascii="Cambria Math"/>
          </w:rPr>
          <m:t>,</m:t>
        </m:r>
        <m:r>
          <w:rPr>
            <w:rFonts w:ascii="Cambria Math"/>
          </w:rPr>
          <m:t>…</m:t>
        </m:r>
        <m:r>
          <w:rPr>
            <w:rFonts w:ascii="Cambria Math"/>
          </w:rPr>
          <m:t>,</m:t>
        </m:r>
        <m:sSub>
          <m:sSubPr>
            <m:ctrlPr>
              <w:rPr>
                <w:rFonts w:ascii="Cambria Math" w:hAnsi="Cambria Math"/>
                <w:i/>
                <w:iCs/>
              </w:rPr>
            </m:ctrlPr>
          </m:sSubPr>
          <m:e>
            <m:r>
              <w:rPr>
                <w:rFonts w:ascii="Cambria Math"/>
              </w:rPr>
              <m:t>x</m:t>
            </m:r>
          </m:e>
          <m:sub>
            <m:r>
              <w:rPr>
                <w:rFonts w:ascii="Cambria Math"/>
              </w:rPr>
              <m:t>m</m:t>
            </m:r>
          </m:sub>
        </m:sSub>
      </m:oMath>
      <w:r w:rsidR="0079173D" w:rsidRPr="00CC6CA3">
        <w:t>) include all the measurements of the pump or compressor. PCA is an unsupervised learning method, which reduces the number of original features, with some data loss, but retains the most important variables. The number of remaining principal components needs to be selected. This can be by data analyst directly, or it can be calculated using</w:t>
      </w:r>
      <w:r w:rsidRPr="00CC6CA3">
        <w:t xml:space="preserve"> Equation </w:t>
      </w:r>
      <w:r w:rsidRPr="00CC6CA3">
        <w:fldChar w:fldCharType="begin"/>
      </w:r>
      <w:r w:rsidRPr="00CC6CA3">
        <w:instrText xml:space="preserve"> REF _Ref63070991 \h </w:instrText>
      </w:r>
      <w:r w:rsidR="00055EE2" w:rsidRPr="00CC6CA3">
        <w:instrText xml:space="preserve"> \* MERGEFORMAT </w:instrText>
      </w:r>
      <w:r w:rsidRPr="00CC6CA3">
        <w:fldChar w:fldCharType="separate"/>
      </w:r>
      <w:r w:rsidR="001906D9" w:rsidRPr="00CC6CA3">
        <w:rPr>
          <w:noProof/>
          <w:szCs w:val="24"/>
        </w:rPr>
        <w:t>(4</w:t>
      </w:r>
      <w:r w:rsidR="001906D9" w:rsidRPr="00CC6CA3">
        <w:rPr>
          <w:noProof/>
          <w:szCs w:val="24"/>
        </w:rPr>
        <w:noBreakHyphen/>
        <w:t>6)</w:t>
      </w:r>
      <w:r w:rsidRPr="00CC6CA3">
        <w:fldChar w:fldCharType="end"/>
      </w:r>
      <w:r w:rsidRPr="00CC6CA3">
        <w:t>. The reference fault detection threshold (</w:t>
      </w:r>
      <m:oMath>
        <m:sSubSup>
          <m:sSubSupPr>
            <m:ctrlPr>
              <w:rPr>
                <w:rFonts w:ascii="Cambria Math" w:hAnsi="Cambria Math"/>
                <w:i/>
                <w:iCs/>
              </w:rPr>
            </m:ctrlPr>
          </m:sSubSupPr>
          <m:e>
            <m:r>
              <w:rPr>
                <w:rFonts w:ascii="Cambria Math" w:hAnsi="Cambria Math"/>
              </w:rPr>
              <m:t>MD</m:t>
            </m:r>
          </m:e>
          <m:sub>
            <m:r>
              <w:rPr>
                <w:rFonts w:ascii="Cambria Math" w:hAnsi="Cambria Math"/>
              </w:rPr>
              <m:t>PCA</m:t>
            </m:r>
          </m:sub>
          <m:sup>
            <m:r>
              <w:rPr>
                <w:rFonts w:ascii="Cambria Math" w:hAnsi="Cambria Math"/>
              </w:rPr>
              <m:t>ref</m:t>
            </m:r>
          </m:sup>
        </m:sSubSup>
      </m:oMath>
      <w:r w:rsidRPr="00CC6CA3">
        <w:rPr>
          <w:iCs/>
        </w:rPr>
        <w:t>)</w:t>
      </w:r>
      <w:r w:rsidRPr="00CC6CA3">
        <w:t xml:space="preserve"> is calculated during the training stage by solving Equation </w:t>
      </w:r>
      <w:r w:rsidRPr="00CC6CA3">
        <w:fldChar w:fldCharType="begin"/>
      </w:r>
      <w:r w:rsidRPr="00CC6CA3">
        <w:instrText xml:space="preserve"> REF _Ref48489010 \h </w:instrText>
      </w:r>
      <w:r w:rsidRPr="00CC6CA3">
        <w:fldChar w:fldCharType="separate"/>
      </w:r>
      <w:r w:rsidR="001906D9" w:rsidRPr="00CC6CA3">
        <w:t>(</w:t>
      </w:r>
      <w:r w:rsidR="001906D9" w:rsidRPr="00CC6CA3">
        <w:rPr>
          <w:noProof/>
        </w:rPr>
        <w:t>4</w:t>
      </w:r>
      <w:r w:rsidR="001906D9" w:rsidRPr="00CC6CA3">
        <w:noBreakHyphen/>
      </w:r>
      <w:r w:rsidR="001906D9" w:rsidRPr="00CC6CA3">
        <w:rPr>
          <w:noProof/>
        </w:rPr>
        <w:t>14</w:t>
      </w:r>
      <w:r w:rsidR="001906D9" w:rsidRPr="00CC6CA3">
        <w:t>)</w:t>
      </w:r>
      <w:r w:rsidRPr="00CC6CA3">
        <w:fldChar w:fldCharType="end"/>
      </w:r>
      <w:r w:rsidRPr="00CC6CA3">
        <w:t>.</w:t>
      </w:r>
    </w:p>
    <w:p w14:paraId="08458953" w14:textId="4175FAA3" w:rsidR="002122FA" w:rsidRPr="00CC6CA3" w:rsidRDefault="002122FA" w:rsidP="00055EE2">
      <w:pPr>
        <w:rPr>
          <w:iCs/>
        </w:rPr>
      </w:pPr>
      <w:r w:rsidRPr="00CC6CA3">
        <w:t xml:space="preserve">In the online phase, the test outputs </w:t>
      </w:r>
      <m:oMath>
        <m:r>
          <m:rPr>
            <m:sty m:val="p"/>
          </m:rPr>
          <w:rPr>
            <w:rFonts w:ascii="Cambria Math" w:hAnsi="Cambria Math"/>
          </w:rPr>
          <m:t>(</m:t>
        </m:r>
        <m:acc>
          <m:accPr>
            <m:chr m:val="̃"/>
            <m:ctrlPr>
              <w:rPr>
                <w:rFonts w:ascii="Cambria Math" w:hAnsi="Cambria Math"/>
                <w:i/>
                <w:iCs/>
              </w:rPr>
            </m:ctrlPr>
          </m:accPr>
          <m:e>
            <m:sSub>
              <m:sSubPr>
                <m:ctrlPr>
                  <w:rPr>
                    <w:rFonts w:ascii="Cambria Math" w:hAnsi="Cambria Math"/>
                    <w:i/>
                    <w:iCs/>
                  </w:rPr>
                </m:ctrlPr>
              </m:sSubPr>
              <m:e>
                <m:r>
                  <w:rPr>
                    <w:rFonts w:ascii="Cambria Math" w:hAnsi="Cambria Math"/>
                  </w:rPr>
                  <m:t>P</m:t>
                </m:r>
              </m:e>
              <m:sub>
                <m:r>
                  <w:rPr>
                    <w:rFonts w:ascii="Cambria Math" w:hAnsi="Cambria Math"/>
                  </w:rPr>
                  <m:t>1</m:t>
                </m:r>
              </m:sub>
            </m:sSub>
          </m:e>
        </m:acc>
        <m:r>
          <w:rPr>
            <w:rFonts w:ascii="Cambria Math" w:hAnsi="Cambria Math"/>
          </w:rPr>
          <m:t>,…,</m:t>
        </m:r>
        <m:acc>
          <m:accPr>
            <m:chr m:val="̃"/>
            <m:ctrlPr>
              <w:rPr>
                <w:rFonts w:ascii="Cambria Math" w:hAnsi="Cambria Math"/>
                <w:i/>
                <w:iCs/>
              </w:rPr>
            </m:ctrlPr>
          </m:accPr>
          <m:e>
            <m:sSub>
              <m:sSubPr>
                <m:ctrlPr>
                  <w:rPr>
                    <w:rFonts w:ascii="Cambria Math" w:hAnsi="Cambria Math"/>
                    <w:i/>
                    <w:iCs/>
                  </w:rPr>
                </m:ctrlPr>
              </m:sSubPr>
              <m:e>
                <m:r>
                  <w:rPr>
                    <w:rFonts w:ascii="Cambria Math" w:hAnsi="Cambria Math"/>
                  </w:rPr>
                  <m:t>P</m:t>
                </m:r>
              </m:e>
              <m:sub>
                <m:r>
                  <w:rPr>
                    <w:rFonts w:ascii="Cambria Math" w:hAnsi="Cambria Math"/>
                  </w:rPr>
                  <m:t>l</m:t>
                </m:r>
              </m:sub>
            </m:sSub>
          </m:e>
        </m:acc>
        <m:r>
          <w:rPr>
            <w:rFonts w:ascii="Cambria Math" w:hAnsi="Cambria Math"/>
          </w:rPr>
          <m:t>)</m:t>
        </m:r>
      </m:oMath>
      <w:r w:rsidRPr="00CC6CA3">
        <w:rPr>
          <w:iCs/>
        </w:rPr>
        <w:t xml:space="preserve"> are calculated by multiply</w:t>
      </w:r>
      <w:r w:rsidR="00AE53F5" w:rsidRPr="00CC6CA3">
        <w:rPr>
          <w:iCs/>
        </w:rPr>
        <w:t>ing</w:t>
      </w:r>
      <w:r w:rsidRPr="00CC6CA3">
        <w:rPr>
          <w:iCs/>
        </w:rPr>
        <w:t xml:space="preserve"> the test inputs </w:t>
      </w:r>
      <w:r w:rsidRPr="00CC6CA3">
        <w:t>(</w:t>
      </w:r>
      <m:oMath>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rPr>
          <m:t>,</m:t>
        </m:r>
        <m:r>
          <w:rPr>
            <w:rFonts w:ascii="Cambria Math"/>
          </w:rPr>
          <m:t>…</m:t>
        </m:r>
        <m:r>
          <w:rPr>
            <w:rFonts w:ascii="Cambria Math"/>
          </w:rPr>
          <m:t>,</m:t>
        </m:r>
        <m:sSub>
          <m:sSubPr>
            <m:ctrlPr>
              <w:rPr>
                <w:rFonts w:ascii="Cambria Math" w:hAnsi="Cambria Math"/>
                <w:i/>
                <w:iCs/>
              </w:rPr>
            </m:ctrlPr>
          </m:sSubPr>
          <m:e>
            <m:r>
              <w:rPr>
                <w:rFonts w:ascii="Cambria Math"/>
              </w:rPr>
              <m:t>a</m:t>
            </m:r>
          </m:e>
          <m:sub>
            <m:r>
              <w:rPr>
                <w:rFonts w:ascii="Cambria Math"/>
              </w:rPr>
              <m:t>m</m:t>
            </m:r>
          </m:sub>
        </m:sSub>
      </m:oMath>
      <w:r w:rsidRPr="00CC6CA3">
        <w:t xml:space="preserve">) by the score for each input variable obtained in the training stage. The real-time </w:t>
      </w:r>
      <m:oMath>
        <m:sSub>
          <m:sSubPr>
            <m:ctrlPr>
              <w:rPr>
                <w:rFonts w:ascii="Cambria Math" w:hAnsi="Cambria Math"/>
              </w:rPr>
            </m:ctrlPr>
          </m:sSubPr>
          <m:e>
            <m:r>
              <w:rPr>
                <w:rFonts w:ascii="Cambria Math" w:hAnsi="Cambria Math"/>
              </w:rPr>
              <m:t>MD</m:t>
            </m:r>
          </m:e>
          <m:sub>
            <m:r>
              <w:rPr>
                <w:rFonts w:ascii="Cambria Math" w:hAnsi="Cambria Math"/>
              </w:rPr>
              <m:t>i(PCA)</m:t>
            </m:r>
          </m:sub>
        </m:sSub>
      </m:oMath>
      <w:r w:rsidRPr="00CC6CA3">
        <w:t xml:space="preserve"> is calculated for the test outputs. The machine is considered healthy if </w:t>
      </w:r>
      <m:oMath>
        <m:sSub>
          <m:sSubPr>
            <m:ctrlPr>
              <w:rPr>
                <w:rFonts w:ascii="Cambria Math" w:hAnsi="Cambria Math"/>
                <w:i/>
                <w:iCs/>
              </w:rPr>
            </m:ctrlPr>
          </m:sSubPr>
          <m:e>
            <m:r>
              <w:rPr>
                <w:rFonts w:ascii="Cambria Math" w:hAnsi="Cambria Math"/>
              </w:rPr>
              <m:t>MD</m:t>
            </m:r>
          </m:e>
          <m:sub>
            <m:r>
              <w:rPr>
                <w:rFonts w:ascii="Cambria Math" w:hAnsi="Cambria Math"/>
              </w:rPr>
              <m:t>i(PCA)</m:t>
            </m:r>
          </m:sub>
        </m:sSub>
        <m:r>
          <w:rPr>
            <w:rFonts w:ascii="Cambria Math" w:hAnsi="Cambria Math"/>
          </w:rPr>
          <m:t>&lt;</m:t>
        </m:r>
        <m:sSubSup>
          <m:sSubSupPr>
            <m:ctrlPr>
              <w:rPr>
                <w:rFonts w:ascii="Cambria Math" w:hAnsi="Cambria Math"/>
                <w:i/>
                <w:iCs/>
              </w:rPr>
            </m:ctrlPr>
          </m:sSubSupPr>
          <m:e>
            <m:r>
              <w:rPr>
                <w:rFonts w:ascii="Cambria Math" w:hAnsi="Cambria Math"/>
              </w:rPr>
              <m:t>MD</m:t>
            </m:r>
          </m:e>
          <m:sub>
            <m:r>
              <w:rPr>
                <w:rFonts w:ascii="Cambria Math" w:hAnsi="Cambria Math"/>
              </w:rPr>
              <m:t>PCA</m:t>
            </m:r>
          </m:sub>
          <m:sup>
            <m:r>
              <w:rPr>
                <w:rFonts w:ascii="Cambria Math" w:hAnsi="Cambria Math"/>
              </w:rPr>
              <m:t>ref</m:t>
            </m:r>
          </m:sup>
        </m:sSubSup>
      </m:oMath>
      <w:r w:rsidRPr="00CC6CA3">
        <w:rPr>
          <w:iCs/>
        </w:rPr>
        <w:t xml:space="preserve">, and </w:t>
      </w:r>
      <w:r w:rsidRPr="00CC6CA3">
        <w:t xml:space="preserve">is regarded as abnormal if </w:t>
      </w:r>
      <m:oMath>
        <m:sSub>
          <m:sSubPr>
            <m:ctrlPr>
              <w:rPr>
                <w:rFonts w:ascii="Cambria Math" w:hAnsi="Cambria Math"/>
                <w:i/>
                <w:iCs/>
              </w:rPr>
            </m:ctrlPr>
          </m:sSubPr>
          <m:e>
            <m:r>
              <w:rPr>
                <w:rFonts w:ascii="Cambria Math" w:hAnsi="Cambria Math"/>
              </w:rPr>
              <m:t>MD</m:t>
            </m:r>
          </m:e>
          <m:sub>
            <m:r>
              <w:rPr>
                <w:rFonts w:ascii="Cambria Math" w:hAnsi="Cambria Math"/>
              </w:rPr>
              <m:t>i(PCA)</m:t>
            </m:r>
          </m:sub>
        </m:sSub>
        <m:r>
          <w:rPr>
            <w:rFonts w:ascii="Cambria Math" w:hAnsi="Cambria Math"/>
          </w:rPr>
          <m:t>&gt;</m:t>
        </m:r>
        <m:sSubSup>
          <m:sSubSupPr>
            <m:ctrlPr>
              <w:rPr>
                <w:rFonts w:ascii="Cambria Math" w:hAnsi="Cambria Math"/>
                <w:i/>
                <w:iCs/>
              </w:rPr>
            </m:ctrlPr>
          </m:sSubSupPr>
          <m:e>
            <m:r>
              <w:rPr>
                <w:rFonts w:ascii="Cambria Math" w:hAnsi="Cambria Math"/>
              </w:rPr>
              <m:t>MD</m:t>
            </m:r>
          </m:e>
          <m:sub>
            <m:r>
              <w:rPr>
                <w:rFonts w:ascii="Cambria Math" w:hAnsi="Cambria Math"/>
              </w:rPr>
              <m:t>PCA</m:t>
            </m:r>
          </m:sub>
          <m:sup>
            <m:r>
              <w:rPr>
                <w:rFonts w:ascii="Cambria Math" w:hAnsi="Cambria Math"/>
              </w:rPr>
              <m:t>ref</m:t>
            </m:r>
          </m:sup>
        </m:sSubSup>
      </m:oMath>
      <w:r w:rsidRPr="00CC6CA3">
        <w:rPr>
          <w:iCs/>
        </w:rPr>
        <w:t>.</w:t>
      </w:r>
    </w:p>
    <w:p w14:paraId="6EB1EBEC" w14:textId="77777777" w:rsidR="002122FA" w:rsidRPr="00CC6CA3" w:rsidRDefault="002122FA" w:rsidP="002122FA">
      <w:pPr>
        <w:pStyle w:val="Body"/>
        <w:keepNext/>
        <w:jc w:val="center"/>
      </w:pPr>
      <w:r w:rsidRPr="00CC6CA3">
        <w:rPr>
          <w:noProof/>
        </w:rPr>
        <w:lastRenderedPageBreak/>
        <w:drawing>
          <wp:inline distT="0" distB="0" distL="0" distR="0" wp14:anchorId="21CBB9C7" wp14:editId="1FA2DA8A">
            <wp:extent cx="5400000" cy="3077047"/>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00" cy="3077047"/>
                    </a:xfrm>
                    <a:prstGeom prst="rect">
                      <a:avLst/>
                    </a:prstGeom>
                    <a:noFill/>
                  </pic:spPr>
                </pic:pic>
              </a:graphicData>
            </a:graphic>
          </wp:inline>
        </w:drawing>
      </w:r>
    </w:p>
    <w:p w14:paraId="3AB4B478" w14:textId="2E8A2ED7" w:rsidR="002122FA" w:rsidRPr="00CC6CA3" w:rsidRDefault="002122FA" w:rsidP="002122FA">
      <w:pPr>
        <w:pStyle w:val="Caption"/>
        <w:jc w:val="center"/>
      </w:pPr>
      <w:bookmarkStart w:id="367" w:name="_Ref17060255"/>
      <w:bookmarkStart w:id="368" w:name="_Toc8155338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23</w:t>
      </w:r>
      <w:r w:rsidR="00D62691" w:rsidRPr="00CC6CA3">
        <w:rPr>
          <w:noProof/>
        </w:rPr>
        <w:fldChar w:fldCharType="end"/>
      </w:r>
      <w:bookmarkEnd w:id="367"/>
      <w:r w:rsidRPr="00CC6CA3">
        <w:t xml:space="preserve"> Model 2: </w:t>
      </w:r>
      <w:r w:rsidR="001B2446" w:rsidRPr="00CC6CA3">
        <w:rPr>
          <w:szCs w:val="20"/>
        </w:rPr>
        <w:t>PCA-based fault detection model</w:t>
      </w:r>
      <w:bookmarkEnd w:id="368"/>
    </w:p>
    <w:p w14:paraId="417C43A0" w14:textId="74681CA4" w:rsidR="002122FA" w:rsidRPr="00CC6CA3" w:rsidRDefault="002122FA" w:rsidP="00055EE2">
      <w:r w:rsidRPr="00CC6CA3">
        <w:t>The difference between the NARX model and the PCA model is that the PCA is unsupervised, while the NARX is a supervised machine learning method, which means that the input and output of the NARX anomaly detection model should be selected, while there is no need to select the input and output of PCA model.</w:t>
      </w:r>
    </w:p>
    <w:p w14:paraId="4761E3ED" w14:textId="3CDB6A68" w:rsidR="00290837" w:rsidRPr="00CC6CA3" w:rsidRDefault="00290837" w:rsidP="00290837">
      <w:pPr>
        <w:pStyle w:val="Heading3"/>
      </w:pPr>
      <w:bookmarkStart w:id="369" w:name="_Toc81553289"/>
      <w:r w:rsidRPr="00CC6CA3">
        <w:t>Case studies: fault detection using the PCA model</w:t>
      </w:r>
      <w:bookmarkEnd w:id="369"/>
    </w:p>
    <w:p w14:paraId="573B1768" w14:textId="2C7738C3" w:rsidR="002122FA" w:rsidRPr="00CC6CA3" w:rsidRDefault="002122FA" w:rsidP="00290837">
      <w:pPr>
        <w:pStyle w:val="Heading4"/>
      </w:pPr>
      <w:r w:rsidRPr="00CC6CA3">
        <w:t>Case 1</w:t>
      </w:r>
      <w:r w:rsidR="00C532A8" w:rsidRPr="00CC6CA3">
        <w:t>: misalignment fault in a pump</w:t>
      </w:r>
    </w:p>
    <w:p w14:paraId="10FDD929" w14:textId="77777777" w:rsidR="002122FA" w:rsidRPr="00CC6CA3" w:rsidRDefault="002122FA" w:rsidP="002122FA">
      <w:r w:rsidRPr="00CC6CA3">
        <w:t>In this case study, the PCA fault detection model was trained on the data for a quarter of the year period from 10</w:t>
      </w:r>
      <w:r w:rsidRPr="00CC6CA3">
        <w:rPr>
          <w:vertAlign w:val="superscript"/>
        </w:rPr>
        <w:t>th</w:t>
      </w:r>
      <w:r w:rsidRPr="00CC6CA3">
        <w:t xml:space="preserve"> Mar to 21</w:t>
      </w:r>
      <w:r w:rsidRPr="00CC6CA3">
        <w:rPr>
          <w:vertAlign w:val="superscript"/>
        </w:rPr>
        <w:t>st</w:t>
      </w:r>
      <w:r w:rsidRPr="00CC6CA3">
        <w:t xml:space="preserve"> Jun 2013, the same as the training data applied in the NARX model. The model was then tested using data from 22</w:t>
      </w:r>
      <w:r w:rsidRPr="00CC6CA3">
        <w:rPr>
          <w:vertAlign w:val="superscript"/>
        </w:rPr>
        <w:t>nd</w:t>
      </w:r>
      <w:r w:rsidRPr="00CC6CA3">
        <w:t xml:space="preserve"> Jun to 6</w:t>
      </w:r>
      <w:r w:rsidRPr="00CC6CA3">
        <w:rPr>
          <w:vertAlign w:val="superscript"/>
        </w:rPr>
        <w:t>th</w:t>
      </w:r>
      <w:r w:rsidRPr="00CC6CA3">
        <w:t xml:space="preserve"> Jul 2013, where a misalignment fault occurred during this period (see Figure 3-14). The inputs and outputs of the PCA model for the pump were all the measurements listed in Table 3-1.</w:t>
      </w:r>
    </w:p>
    <w:p w14:paraId="7580AE57" w14:textId="549CA88D" w:rsidR="002122FA" w:rsidRPr="00CC6CA3" w:rsidRDefault="002122FA" w:rsidP="002122FA">
      <w:r w:rsidRPr="00CC6CA3">
        <w:t xml:space="preserve">The offline training phase of the PCA model can be </w:t>
      </w:r>
      <w:r w:rsidR="00D4514D" w:rsidRPr="00CC6CA3">
        <w:t>seen</w:t>
      </w:r>
      <w:r w:rsidRPr="00CC6CA3">
        <w:t xml:space="preserve"> in </w:t>
      </w:r>
      <w:r w:rsidRPr="00CC6CA3">
        <w:fldChar w:fldCharType="begin"/>
      </w:r>
      <w:r w:rsidRPr="00CC6CA3">
        <w:instrText xml:space="preserve"> REF _Ref63194227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24</w:t>
      </w:r>
      <w:r w:rsidRPr="00CC6CA3">
        <w:fldChar w:fldCharType="end"/>
      </w:r>
      <w:r w:rsidRPr="00CC6CA3">
        <w:t xml:space="preserve"> (a), </w:t>
      </w:r>
      <w:r w:rsidR="00D4514D" w:rsidRPr="00CC6CA3">
        <w:t>where the blue points are healthy data, the magenta line is the reference MD threshold, and red points are anomalies. The reference threshold (</w:t>
      </w:r>
      <m:oMath>
        <m:sSup>
          <m:sSupPr>
            <m:ctrlPr>
              <w:rPr>
                <w:rFonts w:ascii="Cambria Math" w:hAnsi="Cambria Math"/>
              </w:rPr>
            </m:ctrlPr>
          </m:sSupPr>
          <m:e>
            <m:r>
              <w:rPr>
                <w:rFonts w:ascii="Cambria Math" w:hAnsi="Cambria Math"/>
              </w:rPr>
              <m:t>MD</m:t>
            </m:r>
          </m:e>
          <m:sup>
            <m:r>
              <w:rPr>
                <w:rFonts w:ascii="Cambria Math" w:hAnsi="Cambria Math"/>
              </w:rPr>
              <m:t>ref</m:t>
            </m:r>
          </m:sup>
        </m:sSup>
      </m:oMath>
      <w:r w:rsidR="00D4514D" w:rsidRPr="00CC6CA3">
        <w:t xml:space="preserve">) was calculated during the training stage, with confidence level </w:t>
      </w:r>
      <m:oMath>
        <m:r>
          <w:rPr>
            <w:rFonts w:ascii="Cambria Math" w:hAnsi="Cambria Math"/>
          </w:rPr>
          <m:t>α</m:t>
        </m:r>
        <m:r>
          <m:rPr>
            <m:sty m:val="p"/>
          </m:rPr>
          <w:rPr>
            <w:rFonts w:ascii="Cambria Math" w:hAnsi="Cambria Math"/>
          </w:rPr>
          <m:t>=0.975</m:t>
        </m:r>
      </m:oMath>
      <w:r w:rsidR="00D4514D" w:rsidRPr="00CC6CA3">
        <w:t>. The number of principal components was 8 (contribution 90%)</w:t>
      </w:r>
      <w:r w:rsidRPr="00CC6CA3">
        <w:t>.</w:t>
      </w:r>
    </w:p>
    <w:p w14:paraId="64AD4580" w14:textId="64E648C8" w:rsidR="002122FA" w:rsidRPr="00CC6CA3" w:rsidRDefault="002122FA" w:rsidP="002122FA">
      <w:r w:rsidRPr="00CC6CA3">
        <w:t xml:space="preserve">The online monitoring phase is presented in </w:t>
      </w:r>
      <w:r w:rsidRPr="00CC6CA3">
        <w:fldChar w:fldCharType="begin"/>
      </w:r>
      <w:r w:rsidRPr="00CC6CA3">
        <w:instrText xml:space="preserve"> REF _Ref63194227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24</w:t>
      </w:r>
      <w:r w:rsidRPr="00CC6CA3">
        <w:fldChar w:fldCharType="end"/>
      </w:r>
      <w:r w:rsidRPr="00CC6CA3">
        <w:t xml:space="preserve"> (b). In the figure, </w:t>
      </w:r>
      <w:proofErr w:type="gramStart"/>
      <w:r w:rsidR="00D4514D" w:rsidRPr="00CC6CA3">
        <w:t>The</w:t>
      </w:r>
      <w:proofErr w:type="gramEnd"/>
      <w:r w:rsidR="00D4514D" w:rsidRPr="00CC6CA3">
        <w:t xml:space="preserve"> pump was considered healthy before </w:t>
      </w:r>
      <w:r w:rsidR="00D4514D" w:rsidRPr="00CC6CA3">
        <w:rPr>
          <w:rFonts w:hint="eastAsia"/>
        </w:rPr>
        <w:t>1</w:t>
      </w:r>
      <w:r w:rsidR="00D4514D" w:rsidRPr="00CC6CA3">
        <w:t>4</w:t>
      </w:r>
      <w:r w:rsidR="00D4514D" w:rsidRPr="00CC6CA3">
        <w:rPr>
          <w:rFonts w:hint="eastAsia"/>
        </w:rPr>
        <w:t>:</w:t>
      </w:r>
      <w:r w:rsidR="00D4514D" w:rsidRPr="00CC6CA3">
        <w:t>00 on 3</w:t>
      </w:r>
      <w:r w:rsidR="00D4514D" w:rsidRPr="00CC6CA3">
        <w:rPr>
          <w:vertAlign w:val="superscript"/>
        </w:rPr>
        <w:t>rd</w:t>
      </w:r>
      <w:r w:rsidR="00D4514D" w:rsidRPr="00CC6CA3">
        <w:t xml:space="preserve"> Jul 2013, as no continuous anomalies exceeded the </w:t>
      </w:r>
      <w:r w:rsidR="00D4514D" w:rsidRPr="00CC6CA3">
        <w:lastRenderedPageBreak/>
        <w:t xml:space="preserve">threshold. After that time, continuous anomalies were detected, which indicated that the pump was suffered from a fault. The parameters such as confidence level </w:t>
      </w:r>
      <m:oMath>
        <m:r>
          <w:rPr>
            <w:rFonts w:ascii="Cambria Math" w:hAnsi="Cambria Math"/>
          </w:rPr>
          <m:t>α</m:t>
        </m:r>
      </m:oMath>
      <w:r w:rsidR="00D4514D" w:rsidRPr="00CC6CA3">
        <w:t xml:space="preserve"> and the number of principal components can influence the time at which the fault is detected and the performance of the PCA </w:t>
      </w:r>
      <w:r w:rsidR="00D4514D" w:rsidRPr="00CC6CA3">
        <w:rPr>
          <w:rFonts w:hint="eastAsia"/>
        </w:rPr>
        <w:t>fault</w:t>
      </w:r>
      <w:r w:rsidR="00D4514D" w:rsidRPr="00CC6CA3">
        <w:t xml:space="preserve"> detection model</w:t>
      </w:r>
      <w:r w:rsidRPr="00CC6CA3">
        <w:t>.</w:t>
      </w:r>
    </w:p>
    <w:p w14:paraId="6650301D" w14:textId="3ECBC0A4" w:rsidR="002122FA" w:rsidRPr="00CC6CA3" w:rsidRDefault="00C233B0" w:rsidP="00645D5D">
      <w:pPr>
        <w:keepNext/>
        <w:spacing w:after="0" w:line="240" w:lineRule="auto"/>
        <w:jc w:val="center"/>
      </w:pPr>
      <w:r w:rsidRPr="00CC6CA3">
        <w:object w:dxaOrig="9049" w:dyaOrig="6049" w14:anchorId="268119B6">
          <v:shape id="_x0000_i1060" type="#_x0000_t75" style="width:362pt;height:244pt" o:ole="">
            <v:imagedata r:id="rId117" o:title=""/>
          </v:shape>
          <o:OLEObject Type="Embed" ProgID="Visio.Drawing.15" ShapeID="_x0000_i1060" DrawAspect="Content" ObjectID="_1692500339" r:id="rId118"/>
        </w:object>
      </w:r>
    </w:p>
    <w:p w14:paraId="4ADDEFF1" w14:textId="3F2F114B" w:rsidR="002122FA" w:rsidRPr="00CC6CA3" w:rsidRDefault="002122FA" w:rsidP="00645D5D">
      <w:pPr>
        <w:pStyle w:val="Caption"/>
        <w:jc w:val="center"/>
      </w:pPr>
      <w:bookmarkStart w:id="370" w:name="_Ref63194227"/>
      <w:bookmarkStart w:id="371" w:name="_Toc8155338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24</w:t>
      </w:r>
      <w:r w:rsidR="00D62691" w:rsidRPr="00CC6CA3">
        <w:rPr>
          <w:noProof/>
        </w:rPr>
        <w:fldChar w:fldCharType="end"/>
      </w:r>
      <w:bookmarkEnd w:id="370"/>
      <w:r w:rsidRPr="00CC6CA3">
        <w:t xml:space="preserve"> </w:t>
      </w:r>
      <w:r w:rsidR="00D4514D" w:rsidRPr="00CC6CA3">
        <w:t>The MD calculated in the</w:t>
      </w:r>
      <w:r w:rsidRPr="00CC6CA3">
        <w:t xml:space="preserve"> training and monitoring phases of the PCA model for </w:t>
      </w:r>
      <w:r w:rsidR="00D9197A" w:rsidRPr="00CC6CA3">
        <w:t>C</w:t>
      </w:r>
      <w:r w:rsidRPr="00CC6CA3">
        <w:t xml:space="preserve">ase 1, (a) </w:t>
      </w:r>
      <w:r w:rsidR="00D4514D" w:rsidRPr="00CC6CA3">
        <w:t>MD calculated in the offline training phase, (b) MD calculated in the online monitoring phase</w:t>
      </w:r>
      <w:r w:rsidRPr="00CC6CA3">
        <w:t>.</w:t>
      </w:r>
      <w:bookmarkEnd w:id="371"/>
    </w:p>
    <w:p w14:paraId="3F4ABFE6" w14:textId="7271F8F2" w:rsidR="002122FA" w:rsidRPr="00CC6CA3" w:rsidRDefault="00512D99" w:rsidP="00645D5D">
      <w:pPr>
        <w:keepNext/>
        <w:spacing w:after="0" w:line="240" w:lineRule="auto"/>
        <w:jc w:val="center"/>
      </w:pPr>
      <w:r w:rsidRPr="00CC6CA3">
        <w:rPr>
          <w:noProof/>
        </w:rPr>
        <w:drawing>
          <wp:inline distT="0" distB="0" distL="0" distR="0" wp14:anchorId="5F8CEEE8" wp14:editId="770AF088">
            <wp:extent cx="5006270" cy="309570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46748" cy="3120732"/>
                    </a:xfrm>
                    <a:prstGeom prst="rect">
                      <a:avLst/>
                    </a:prstGeom>
                    <a:noFill/>
                  </pic:spPr>
                </pic:pic>
              </a:graphicData>
            </a:graphic>
          </wp:inline>
        </w:drawing>
      </w:r>
    </w:p>
    <w:p w14:paraId="31B0C21B" w14:textId="3D93421C" w:rsidR="002122FA" w:rsidRPr="00CC6CA3" w:rsidRDefault="002122FA" w:rsidP="002122FA">
      <w:pPr>
        <w:pStyle w:val="Caption"/>
        <w:jc w:val="center"/>
      </w:pPr>
      <w:bookmarkStart w:id="372" w:name="_Ref63197348"/>
      <w:bookmarkStart w:id="373" w:name="_Toc8155338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w:instrText>
      </w:r>
      <w:r w:rsidR="00D62691" w:rsidRPr="00CC6CA3">
        <w:instrText xml:space="preserve">e \* ARABIC \s 1 </w:instrText>
      </w:r>
      <w:r w:rsidR="00D62691" w:rsidRPr="00CC6CA3">
        <w:fldChar w:fldCharType="separate"/>
      </w:r>
      <w:r w:rsidR="001906D9" w:rsidRPr="00CC6CA3">
        <w:rPr>
          <w:noProof/>
        </w:rPr>
        <w:t>25</w:t>
      </w:r>
      <w:r w:rsidR="00D62691" w:rsidRPr="00CC6CA3">
        <w:rPr>
          <w:noProof/>
        </w:rPr>
        <w:fldChar w:fldCharType="end"/>
      </w:r>
      <w:bookmarkEnd w:id="372"/>
      <w:r w:rsidRPr="00CC6CA3">
        <w:t xml:space="preserve"> 2D contribution map of PCA model for </w:t>
      </w:r>
      <w:r w:rsidR="001C21B1" w:rsidRPr="00CC6CA3">
        <w:t>C</w:t>
      </w:r>
      <w:r w:rsidRPr="00CC6CA3">
        <w:t>ase 1</w:t>
      </w:r>
      <w:bookmarkEnd w:id="373"/>
    </w:p>
    <w:p w14:paraId="32978968" w14:textId="52F967C0" w:rsidR="00C233B0" w:rsidRPr="00CC6CA3" w:rsidRDefault="00C233B0" w:rsidP="00C233B0">
      <w:r w:rsidRPr="00CC6CA3">
        <w:t xml:space="preserve">A 2D contribution map of the PCA model for Case 1 is shown in </w:t>
      </w:r>
      <w:r w:rsidRPr="00CC6CA3">
        <w:fldChar w:fldCharType="begin"/>
      </w:r>
      <w:r w:rsidRPr="00CC6CA3">
        <w:instrText xml:space="preserve"> REF _Ref63197348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25</w:t>
      </w:r>
      <w:r w:rsidRPr="00CC6CA3">
        <w:fldChar w:fldCharType="end"/>
      </w:r>
      <w:r w:rsidRPr="00CC6CA3">
        <w:t xml:space="preserve">. As can be seen, the PCA model indicated that it was abnormal of the two thrust bearings’ temperature </w:t>
      </w:r>
      <w:r w:rsidRPr="00CC6CA3">
        <w:lastRenderedPageBreak/>
        <w:t>that mainly contributed to the increase of the system feature. The results failed to show the abnormalities in the temperature of the radial bearings when compared with the original signals, see Figure 3-14.</w:t>
      </w:r>
    </w:p>
    <w:p w14:paraId="3371732B" w14:textId="2280FAFF" w:rsidR="002122FA" w:rsidRPr="00CC6CA3" w:rsidRDefault="0048605B" w:rsidP="00645D5D">
      <w:r w:rsidRPr="00CC6CA3">
        <w:t>The ROC curves and AUC values of the PCA model with different numbers of principal components for Case 1 were calculated and presented in</w:t>
      </w:r>
      <w:r w:rsidR="002122FA" w:rsidRPr="00CC6CA3">
        <w:t xml:space="preserve"> </w:t>
      </w:r>
      <w:r w:rsidR="002122FA" w:rsidRPr="00CC6CA3">
        <w:fldChar w:fldCharType="begin"/>
      </w:r>
      <w:r w:rsidR="002122FA" w:rsidRPr="00CC6CA3">
        <w:instrText xml:space="preserve"> REF _Ref63201593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26</w:t>
      </w:r>
      <w:r w:rsidR="002122FA" w:rsidRPr="00CC6CA3">
        <w:fldChar w:fldCharType="end"/>
      </w:r>
      <w:r w:rsidR="002122FA" w:rsidRPr="00CC6CA3">
        <w:t xml:space="preserve">. The ROC curves were obtained with the changing of confidence level </w:t>
      </w:r>
      <m:oMath>
        <m:r>
          <w:rPr>
            <w:rFonts w:ascii="Cambria Math" w:hAnsi="Cambria Math"/>
          </w:rPr>
          <m:t>α</m:t>
        </m:r>
      </m:oMath>
      <w:r w:rsidR="002122FA" w:rsidRPr="00CC6CA3">
        <w:t xml:space="preserve">, which influences both the </w:t>
      </w:r>
      <w:r w:rsidR="002122FA" w:rsidRPr="00CC6CA3">
        <w:rPr>
          <w:snapToGrid w:val="0"/>
        </w:rPr>
        <w:t xml:space="preserve">FDR (on the Y-axis) and FAR (on the X-axis) ranged from 0 to 1. </w:t>
      </w:r>
      <w:r w:rsidRPr="00CC6CA3">
        <w:t>The figure shows that the performance of the PCA model was very good for Case 1, with high FDRs and low FARs in ROC plots, and high values of AUC (above 0.97)</w:t>
      </w:r>
      <w:r w:rsidR="002122FA" w:rsidRPr="00CC6CA3">
        <w:t>.</w:t>
      </w:r>
    </w:p>
    <w:p w14:paraId="225BFEAE" w14:textId="00DA7DB5" w:rsidR="002122FA" w:rsidRPr="00CC6CA3" w:rsidRDefault="00C233B0" w:rsidP="00645D5D">
      <w:pPr>
        <w:keepNext/>
        <w:spacing w:after="0" w:line="240" w:lineRule="auto"/>
        <w:jc w:val="center"/>
      </w:pPr>
      <w:r w:rsidRPr="00CC6CA3">
        <w:object w:dxaOrig="9384" w:dyaOrig="6049" w14:anchorId="1ACC7F3F">
          <v:shape id="_x0000_i1061" type="#_x0000_t75" style="width:352pt;height:227pt" o:ole="">
            <v:imagedata r:id="rId120" o:title=""/>
          </v:shape>
          <o:OLEObject Type="Embed" ProgID="Visio.Drawing.15" ShapeID="_x0000_i1061" DrawAspect="Content" ObjectID="_1692500340" r:id="rId121"/>
        </w:object>
      </w:r>
    </w:p>
    <w:p w14:paraId="3E462CAE" w14:textId="71EAF518" w:rsidR="002122FA" w:rsidRPr="00CC6CA3" w:rsidRDefault="002122FA" w:rsidP="002122FA">
      <w:pPr>
        <w:pStyle w:val="Caption"/>
        <w:jc w:val="center"/>
      </w:pPr>
      <w:bookmarkStart w:id="374" w:name="_Ref63201593"/>
      <w:bookmarkStart w:id="375" w:name="_Toc8155339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26</w:t>
      </w:r>
      <w:r w:rsidR="00D62691" w:rsidRPr="00CC6CA3">
        <w:rPr>
          <w:noProof/>
        </w:rPr>
        <w:fldChar w:fldCharType="end"/>
      </w:r>
      <w:bookmarkEnd w:id="374"/>
      <w:r w:rsidRPr="00CC6CA3">
        <w:t xml:space="preserve"> ROC curves and AUC values of PCA model for </w:t>
      </w:r>
      <w:r w:rsidR="009E588C" w:rsidRPr="00CC6CA3">
        <w:t>C</w:t>
      </w:r>
      <w:r w:rsidRPr="00CC6CA3">
        <w:t>ase 1, (a) ROC curves for PCA model with different numbers of principal components, (b) AUC values for PCA model with different numbers of principal components.</w:t>
      </w:r>
      <w:bookmarkEnd w:id="375"/>
    </w:p>
    <w:p w14:paraId="252CF664" w14:textId="0A7B38CD" w:rsidR="002122FA" w:rsidRPr="00CC6CA3" w:rsidRDefault="009E588C" w:rsidP="002122FA">
      <w:r w:rsidRPr="00CC6CA3">
        <w:t xml:space="preserve">The AUC curve for the PCA model with a wider range of principal components, 1 to 14, is shown in </w:t>
      </w:r>
      <w:r w:rsidRPr="00CC6CA3">
        <w:fldChar w:fldCharType="begin"/>
      </w:r>
      <w:r w:rsidRPr="00CC6CA3">
        <w:instrText xml:space="preserve"> REF _Ref63377430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27</w:t>
      </w:r>
      <w:r w:rsidRPr="00CC6CA3">
        <w:fldChar w:fldCharType="end"/>
      </w:r>
      <w:r w:rsidRPr="00CC6CA3">
        <w:t>. As can be seen that, the PCA model performed very well in this case, with AUC values above 0.977.</w:t>
      </w:r>
    </w:p>
    <w:p w14:paraId="48F51260" w14:textId="77777777" w:rsidR="002122FA" w:rsidRPr="00CC6CA3" w:rsidRDefault="002122FA" w:rsidP="00645D5D">
      <w:pPr>
        <w:keepNext/>
        <w:spacing w:after="0" w:line="240" w:lineRule="auto"/>
        <w:jc w:val="center"/>
      </w:pPr>
      <w:r w:rsidRPr="00CC6CA3">
        <w:rPr>
          <w:noProof/>
        </w:rPr>
        <w:drawing>
          <wp:inline distT="0" distB="0" distL="0" distR="0" wp14:anchorId="45A6B267" wp14:editId="4D662365">
            <wp:extent cx="4457191" cy="1485900"/>
            <wp:effectExtent l="0" t="0" r="0" b="0"/>
            <wp:docPr id="18" name="Picture 17">
              <a:extLst xmlns:a="http://schemas.openxmlformats.org/drawingml/2006/main">
                <a:ext uri="{FF2B5EF4-FFF2-40B4-BE49-F238E27FC236}">
                  <a16:creationId xmlns:a16="http://schemas.microsoft.com/office/drawing/2014/main" id="{A76041BE-60A1-41B1-B1D0-3AE88CBD6B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A76041BE-60A1-41B1-B1D0-3AE88CBD6B47}"/>
                        </a:ext>
                      </a:extLst>
                    </pic:cNvPr>
                    <pic:cNvPicPr>
                      <a:picLocks noChangeAspect="1"/>
                    </pic:cNvPicPr>
                  </pic:nvPicPr>
                  <pic:blipFill>
                    <a:blip r:embed="rId122"/>
                    <a:stretch>
                      <a:fillRect/>
                    </a:stretch>
                  </pic:blipFill>
                  <pic:spPr>
                    <a:xfrm>
                      <a:off x="0" y="0"/>
                      <a:ext cx="4458876" cy="1486462"/>
                    </a:xfrm>
                    <a:prstGeom prst="rect">
                      <a:avLst/>
                    </a:prstGeom>
                  </pic:spPr>
                </pic:pic>
              </a:graphicData>
            </a:graphic>
          </wp:inline>
        </w:drawing>
      </w:r>
    </w:p>
    <w:p w14:paraId="7CCEC19E" w14:textId="57CDD1A9" w:rsidR="002122FA" w:rsidRPr="00CC6CA3" w:rsidRDefault="002122FA" w:rsidP="002122FA">
      <w:pPr>
        <w:pStyle w:val="Caption"/>
        <w:jc w:val="center"/>
      </w:pPr>
      <w:bookmarkStart w:id="376" w:name="_Ref63377430"/>
      <w:bookmarkStart w:id="377" w:name="_Toc8155339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27</w:t>
      </w:r>
      <w:r w:rsidR="00D62691" w:rsidRPr="00CC6CA3">
        <w:rPr>
          <w:noProof/>
        </w:rPr>
        <w:fldChar w:fldCharType="end"/>
      </w:r>
      <w:bookmarkEnd w:id="376"/>
      <w:r w:rsidRPr="00CC6CA3">
        <w:t xml:space="preserve"> AUC </w:t>
      </w:r>
      <w:r w:rsidR="009E588C" w:rsidRPr="00CC6CA3">
        <w:rPr>
          <w:szCs w:val="20"/>
        </w:rPr>
        <w:t>curve for the PCA model with different numbers of principal components for Case 1</w:t>
      </w:r>
      <w:bookmarkEnd w:id="377"/>
    </w:p>
    <w:p w14:paraId="22E6B4F3" w14:textId="2305A80D" w:rsidR="002122FA" w:rsidRPr="00CC6CA3" w:rsidRDefault="002122FA" w:rsidP="00290837">
      <w:pPr>
        <w:pStyle w:val="Heading4"/>
      </w:pPr>
      <w:r w:rsidRPr="00CC6CA3">
        <w:lastRenderedPageBreak/>
        <w:t>Case 2</w:t>
      </w:r>
      <w:r w:rsidR="00C532A8" w:rsidRPr="00CC6CA3">
        <w:t>: misalignment fault and pump bearing fault</w:t>
      </w:r>
    </w:p>
    <w:p w14:paraId="07B88D25" w14:textId="7CCB68F6" w:rsidR="002122FA" w:rsidRPr="00CC6CA3" w:rsidRDefault="002122FA" w:rsidP="002122FA">
      <w:r w:rsidRPr="00CC6CA3">
        <w:t xml:space="preserve">In this case, </w:t>
      </w:r>
      <w:r w:rsidR="00464864" w:rsidRPr="00CC6CA3">
        <w:t>the PCA fault detection model was trained on the data for the 10-month period from 1</w:t>
      </w:r>
      <w:r w:rsidR="00464864" w:rsidRPr="00CC6CA3">
        <w:rPr>
          <w:vertAlign w:val="superscript"/>
        </w:rPr>
        <w:t>st</w:t>
      </w:r>
      <w:r w:rsidR="00464864" w:rsidRPr="00CC6CA3">
        <w:t xml:space="preserve"> Sep 2015 to 11</w:t>
      </w:r>
      <w:r w:rsidR="00464864" w:rsidRPr="00CC6CA3">
        <w:rPr>
          <w:vertAlign w:val="superscript"/>
        </w:rPr>
        <w:t>th</w:t>
      </w:r>
      <w:r w:rsidR="00464864" w:rsidRPr="00CC6CA3">
        <w:t xml:space="preserve"> Jul 2016, during which there were no recorded faults in the pump, the same training data as used in the NARX model. The model was then tested using data from 12</w:t>
      </w:r>
      <w:r w:rsidR="00464864" w:rsidRPr="00CC6CA3">
        <w:rPr>
          <w:vertAlign w:val="superscript"/>
        </w:rPr>
        <w:t>th</w:t>
      </w:r>
      <w:r w:rsidR="00464864" w:rsidRPr="00CC6CA3">
        <w:t xml:space="preserve"> Jul to 23</w:t>
      </w:r>
      <w:r w:rsidR="00464864" w:rsidRPr="00CC6CA3">
        <w:rPr>
          <w:vertAlign w:val="superscript"/>
        </w:rPr>
        <w:t>rd</w:t>
      </w:r>
      <w:r w:rsidR="00464864" w:rsidRPr="00CC6CA3">
        <w:t xml:space="preserve"> Aug 2016, during which a misalignment fault and a bearing fault occurred (see Figure 3-15).  The inputs and outputs of the PCA model for the pump were the measurements listed in</w:t>
      </w:r>
      <w:r w:rsidRPr="00CC6CA3">
        <w:t xml:space="preserve"> Table 3-1.</w:t>
      </w:r>
    </w:p>
    <w:p w14:paraId="4E0B8721" w14:textId="7F133A60" w:rsidR="002122FA" w:rsidRPr="00CC6CA3" w:rsidRDefault="002122FA" w:rsidP="002122FA">
      <w:r w:rsidRPr="00CC6CA3">
        <w:t xml:space="preserve">The offline training phase can be found in </w:t>
      </w:r>
      <w:r w:rsidRPr="00CC6CA3">
        <w:fldChar w:fldCharType="begin"/>
      </w:r>
      <w:r w:rsidRPr="00CC6CA3">
        <w:instrText xml:space="preserve"> REF _Ref63240628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28</w:t>
      </w:r>
      <w:r w:rsidRPr="00CC6CA3">
        <w:fldChar w:fldCharType="end"/>
      </w:r>
      <w:r w:rsidRPr="00CC6CA3">
        <w:t xml:space="preserve"> (a), </w:t>
      </w:r>
      <w:r w:rsidR="00464864" w:rsidRPr="00CC6CA3">
        <w:t xml:space="preserve">in which the blue points are healthy data, the magenta line is the calculated reference MD threshold, and the red points are anomalies. The threshold was calculated during the training stage, with the confidence level </w:t>
      </w:r>
      <m:oMath>
        <m:r>
          <w:rPr>
            <w:rFonts w:ascii="Cambria Math" w:hAnsi="Cambria Math"/>
          </w:rPr>
          <m:t>α</m:t>
        </m:r>
        <m:r>
          <m:rPr>
            <m:sty m:val="p"/>
          </m:rPr>
          <w:rPr>
            <w:rFonts w:ascii="Cambria Math" w:hAnsi="Cambria Math"/>
          </w:rPr>
          <m:t>=0.975</m:t>
        </m:r>
      </m:oMath>
      <w:r w:rsidR="00464864" w:rsidRPr="00CC6CA3">
        <w:t>, and the number of principal components was 4 (contribution 90%)</w:t>
      </w:r>
      <w:r w:rsidRPr="00CC6CA3">
        <w:t>.</w:t>
      </w:r>
    </w:p>
    <w:p w14:paraId="2B4BC9CB" w14:textId="5747E951" w:rsidR="002122FA" w:rsidRPr="00CC6CA3" w:rsidRDefault="002122FA" w:rsidP="002122FA">
      <w:r w:rsidRPr="00CC6CA3">
        <w:t xml:space="preserve">The online monitoring phase is presented in </w:t>
      </w:r>
      <w:r w:rsidRPr="00CC6CA3">
        <w:fldChar w:fldCharType="begin"/>
      </w:r>
      <w:r w:rsidRPr="00CC6CA3">
        <w:instrText xml:space="preserve"> REF _Ref63240628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28</w:t>
      </w:r>
      <w:r w:rsidRPr="00CC6CA3">
        <w:fldChar w:fldCharType="end"/>
      </w:r>
      <w:r w:rsidRPr="00CC6CA3">
        <w:t xml:space="preserve"> (b). </w:t>
      </w:r>
      <w:r w:rsidR="00464864" w:rsidRPr="00CC6CA3">
        <w:t xml:space="preserve">In the figure, the pump was considered healthy before </w:t>
      </w:r>
      <w:r w:rsidR="00464864" w:rsidRPr="00CC6CA3">
        <w:rPr>
          <w:rFonts w:hint="eastAsia"/>
        </w:rPr>
        <w:t>1</w:t>
      </w:r>
      <w:r w:rsidR="00464864" w:rsidRPr="00CC6CA3">
        <w:t>6</w:t>
      </w:r>
      <w:r w:rsidR="00464864" w:rsidRPr="00CC6CA3">
        <w:rPr>
          <w:rFonts w:hint="eastAsia"/>
        </w:rPr>
        <w:t>:</w:t>
      </w:r>
      <w:r w:rsidR="00464864" w:rsidRPr="00CC6CA3">
        <w:t>00 on 17</w:t>
      </w:r>
      <w:r w:rsidR="00464864" w:rsidRPr="00CC6CA3">
        <w:rPr>
          <w:vertAlign w:val="superscript"/>
        </w:rPr>
        <w:t>th</w:t>
      </w:r>
      <w:r w:rsidR="00464864" w:rsidRPr="00CC6CA3">
        <w:t xml:space="preserve"> Jul 2016, as no continuous anomalies exceeded the threshold. After that time, continuous anomalies were detected, which indicated that the pump was suffering from a fault. As previously, choice of confidence level </w:t>
      </w:r>
      <m:oMath>
        <m:r>
          <w:rPr>
            <w:rFonts w:ascii="Cambria Math" w:hAnsi="Cambria Math"/>
          </w:rPr>
          <m:t>α</m:t>
        </m:r>
      </m:oMath>
      <w:r w:rsidR="00464864" w:rsidRPr="00CC6CA3">
        <w:t xml:space="preserve"> and number of principal components, can influence the performance of the PCA </w:t>
      </w:r>
      <w:r w:rsidR="00464864" w:rsidRPr="00CC6CA3">
        <w:rPr>
          <w:rFonts w:hint="eastAsia"/>
        </w:rPr>
        <w:t>fault</w:t>
      </w:r>
      <w:r w:rsidR="00464864" w:rsidRPr="00CC6CA3">
        <w:t xml:space="preserve"> detection model</w:t>
      </w:r>
      <w:r w:rsidRPr="00CC6CA3">
        <w:t>.</w:t>
      </w:r>
    </w:p>
    <w:p w14:paraId="15892B31" w14:textId="77777777" w:rsidR="002122FA" w:rsidRPr="00CC6CA3" w:rsidRDefault="002122FA" w:rsidP="002122FA">
      <w:pPr>
        <w:keepNext/>
        <w:jc w:val="center"/>
      </w:pPr>
      <w:r w:rsidRPr="00CC6CA3">
        <w:object w:dxaOrig="9049" w:dyaOrig="6049" w14:anchorId="323A46FD">
          <v:shape id="_x0000_i1062" type="#_x0000_t75" style="width:372pt;height:252pt" o:ole="">
            <v:imagedata r:id="rId123" o:title=""/>
          </v:shape>
          <o:OLEObject Type="Embed" ProgID="Visio.Drawing.15" ShapeID="_x0000_i1062" DrawAspect="Content" ObjectID="_1692500341" r:id="rId124"/>
        </w:object>
      </w:r>
    </w:p>
    <w:p w14:paraId="4A4AC45A" w14:textId="194AAEC7" w:rsidR="002122FA" w:rsidRPr="00CC6CA3" w:rsidRDefault="002122FA" w:rsidP="002122FA">
      <w:pPr>
        <w:pStyle w:val="Caption"/>
        <w:jc w:val="center"/>
      </w:pPr>
      <w:bookmarkStart w:id="378" w:name="_Ref63240628"/>
      <w:bookmarkStart w:id="379" w:name="_Toc8155339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28</w:t>
      </w:r>
      <w:r w:rsidR="00D62691" w:rsidRPr="00CC6CA3">
        <w:rPr>
          <w:noProof/>
        </w:rPr>
        <w:fldChar w:fldCharType="end"/>
      </w:r>
      <w:bookmarkEnd w:id="378"/>
      <w:r w:rsidRPr="00CC6CA3">
        <w:t xml:space="preserve"> </w:t>
      </w:r>
      <w:r w:rsidR="00464864" w:rsidRPr="00CC6CA3">
        <w:t>The MD calculated in the</w:t>
      </w:r>
      <w:r w:rsidRPr="00CC6CA3">
        <w:t xml:space="preserve"> training and monitoring phases of the PCA model for </w:t>
      </w:r>
      <w:r w:rsidR="00464864" w:rsidRPr="00CC6CA3">
        <w:t>C</w:t>
      </w:r>
      <w:r w:rsidRPr="00CC6CA3">
        <w:t xml:space="preserve">ase 2, (a) </w:t>
      </w:r>
      <w:r w:rsidR="00464864" w:rsidRPr="00CC6CA3">
        <w:t>MD calculated in the offline training phase, (b) MD calculated in the online monitoring phase</w:t>
      </w:r>
      <w:r w:rsidRPr="00CC6CA3">
        <w:t>.</w:t>
      </w:r>
      <w:bookmarkEnd w:id="379"/>
    </w:p>
    <w:p w14:paraId="11FBE2C3" w14:textId="1B6EE13D" w:rsidR="00913DAB" w:rsidRPr="00CC6CA3" w:rsidRDefault="00913DAB" w:rsidP="00913DAB">
      <w:r w:rsidRPr="00CC6CA3">
        <w:lastRenderedPageBreak/>
        <w:t>A 2D contribution map for the PCA model was calculated, see</w:t>
      </w:r>
      <w:r w:rsidR="002122FA" w:rsidRPr="00CC6CA3">
        <w:t xml:space="preserve"> </w:t>
      </w:r>
      <w:r w:rsidR="002122FA" w:rsidRPr="00CC6CA3">
        <w:fldChar w:fldCharType="begin"/>
      </w:r>
      <w:r w:rsidR="002122FA" w:rsidRPr="00CC6CA3">
        <w:instrText xml:space="preserve"> REF _Ref63256566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29</w:t>
      </w:r>
      <w:r w:rsidR="002122FA" w:rsidRPr="00CC6CA3">
        <w:fldChar w:fldCharType="end"/>
      </w:r>
      <w:r w:rsidR="002122FA" w:rsidRPr="00CC6CA3">
        <w:t xml:space="preserve">. </w:t>
      </w:r>
      <w:r w:rsidRPr="00CC6CA3">
        <w:t xml:space="preserve">As can be seen, from </w:t>
      </w:r>
      <w:r w:rsidRPr="00CC6CA3">
        <w:rPr>
          <w:rFonts w:hint="eastAsia"/>
        </w:rPr>
        <w:t>1</w:t>
      </w:r>
      <w:r w:rsidRPr="00CC6CA3">
        <w:t>6</w:t>
      </w:r>
      <w:r w:rsidRPr="00CC6CA3">
        <w:rPr>
          <w:rFonts w:hint="eastAsia"/>
        </w:rPr>
        <w:t>:</w:t>
      </w:r>
      <w:r w:rsidRPr="00CC6CA3">
        <w:t>00 on 17</w:t>
      </w:r>
      <w:r w:rsidRPr="00CC6CA3">
        <w:rPr>
          <w:vertAlign w:val="superscript"/>
        </w:rPr>
        <w:t>th</w:t>
      </w:r>
      <w:r w:rsidRPr="00CC6CA3">
        <w:t xml:space="preserve"> to 14:00 on 19</w:t>
      </w:r>
      <w:r w:rsidRPr="00CC6CA3">
        <w:rPr>
          <w:vertAlign w:val="superscript"/>
        </w:rPr>
        <w:t>th</w:t>
      </w:r>
      <w:r w:rsidRPr="00CC6CA3">
        <w:t xml:space="preserve"> Jul 2016, increases in the system feature were due to anomalies in the discharge temperature, overall vibration Y, temperature of the radial bearing 1, and overall vibration X and Y of radial bearing 2. The results of the PCA model failed to show the anomalies in the temperatures of the two thrust bearings.</w:t>
      </w:r>
    </w:p>
    <w:p w14:paraId="1FDB9B93" w14:textId="0A1510B2" w:rsidR="002122FA" w:rsidRPr="00CC6CA3" w:rsidRDefault="00913DAB" w:rsidP="00913DAB">
      <w:r w:rsidRPr="00CC6CA3">
        <w:t>After 14:00 on 19</w:t>
      </w:r>
      <w:r w:rsidRPr="00CC6CA3">
        <w:rPr>
          <w:vertAlign w:val="superscript"/>
        </w:rPr>
        <w:t>th</w:t>
      </w:r>
      <w:r w:rsidRPr="00CC6CA3">
        <w:t xml:space="preserve"> Jul 2016, see</w:t>
      </w:r>
      <w:r w:rsidR="002122FA" w:rsidRPr="00CC6CA3">
        <w:t xml:space="preserve"> </w:t>
      </w:r>
      <w:r w:rsidR="002122FA" w:rsidRPr="00CC6CA3">
        <w:fldChar w:fldCharType="begin"/>
      </w:r>
      <w:r w:rsidR="002122FA" w:rsidRPr="00CC6CA3">
        <w:instrText xml:space="preserve"> REF _Ref63256566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29</w:t>
      </w:r>
      <w:r w:rsidR="002122FA" w:rsidRPr="00CC6CA3">
        <w:fldChar w:fldCharType="end"/>
      </w:r>
      <w:r w:rsidR="002122FA" w:rsidRPr="00CC6CA3">
        <w:t xml:space="preserve">, </w:t>
      </w:r>
      <w:r w:rsidRPr="00CC6CA3">
        <w:t xml:space="preserve">the PCA model successfully showed that the overall vibration X </w:t>
      </w:r>
      <w:r w:rsidRPr="00CC6CA3">
        <w:rPr>
          <w:rFonts w:hint="eastAsia"/>
        </w:rPr>
        <w:t>o</w:t>
      </w:r>
      <w:r w:rsidRPr="00CC6CA3">
        <w:t>f the radial bearing 2 was the main contributor to the increase in the system’s features</w:t>
      </w:r>
      <w:r w:rsidR="002122FA" w:rsidRPr="00CC6CA3">
        <w:t xml:space="preserve">. </w:t>
      </w:r>
    </w:p>
    <w:p w14:paraId="46EC0D8D" w14:textId="77777777" w:rsidR="002122FA" w:rsidRPr="00CC6CA3" w:rsidRDefault="002122FA" w:rsidP="002122FA">
      <w:pPr>
        <w:keepNext/>
        <w:jc w:val="center"/>
      </w:pPr>
      <w:r w:rsidRPr="00CC6CA3">
        <w:object w:dxaOrig="12313" w:dyaOrig="7848" w14:anchorId="00C22D1C">
          <v:shape id="_x0000_i1063" type="#_x0000_t75" style="width:372pt;height:240pt" o:ole="">
            <v:imagedata r:id="rId125" o:title=""/>
          </v:shape>
          <o:OLEObject Type="Embed" ProgID="Visio.Drawing.15" ShapeID="_x0000_i1063" DrawAspect="Content" ObjectID="_1692500342" r:id="rId126"/>
        </w:object>
      </w:r>
    </w:p>
    <w:p w14:paraId="68D0A812" w14:textId="4F753A5B" w:rsidR="002122FA" w:rsidRPr="00CC6CA3" w:rsidRDefault="002122FA" w:rsidP="002122FA">
      <w:pPr>
        <w:pStyle w:val="Caption"/>
        <w:jc w:val="center"/>
        <w:rPr>
          <w:lang w:val="en-US"/>
        </w:rPr>
      </w:pPr>
      <w:bookmarkStart w:id="380" w:name="_Ref63256566"/>
      <w:bookmarkStart w:id="381" w:name="_Toc8155339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29</w:t>
      </w:r>
      <w:r w:rsidR="00D62691" w:rsidRPr="00CC6CA3">
        <w:rPr>
          <w:noProof/>
        </w:rPr>
        <w:fldChar w:fldCharType="end"/>
      </w:r>
      <w:bookmarkEnd w:id="380"/>
      <w:r w:rsidRPr="00CC6CA3">
        <w:t xml:space="preserve"> 2D contribution map of PCA model for </w:t>
      </w:r>
      <w:r w:rsidR="00913DAB" w:rsidRPr="00CC6CA3">
        <w:t>C</w:t>
      </w:r>
      <w:r w:rsidRPr="00CC6CA3">
        <w:t xml:space="preserve">ase </w:t>
      </w:r>
      <w:r w:rsidRPr="00CC6CA3">
        <w:rPr>
          <w:lang w:val="en-US"/>
        </w:rPr>
        <w:t>2</w:t>
      </w:r>
      <w:bookmarkEnd w:id="381"/>
    </w:p>
    <w:p w14:paraId="27CCB02E" w14:textId="160CEEA6" w:rsidR="002122FA" w:rsidRPr="00CC6CA3" w:rsidRDefault="0098693E" w:rsidP="002122FA">
      <w:r w:rsidRPr="00CC6CA3">
        <w:t>The ROC curves and AUC values of the PCA model for detection of the misalignment in Case 2 were determined and presented in</w:t>
      </w:r>
      <w:r w:rsidR="002122FA" w:rsidRPr="00CC6CA3">
        <w:t xml:space="preserve"> </w:t>
      </w:r>
      <w:r w:rsidR="002122FA" w:rsidRPr="00CC6CA3">
        <w:fldChar w:fldCharType="begin"/>
      </w:r>
      <w:r w:rsidR="002122FA" w:rsidRPr="00CC6CA3">
        <w:instrText xml:space="preserve"> REF _Ref63261392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30</w:t>
      </w:r>
      <w:r w:rsidR="002122FA" w:rsidRPr="00CC6CA3">
        <w:fldChar w:fldCharType="end"/>
      </w:r>
      <w:r w:rsidR="002122FA" w:rsidRPr="00CC6CA3">
        <w:t xml:space="preserve">. </w:t>
      </w:r>
      <w:r w:rsidRPr="00CC6CA3">
        <w:t xml:space="preserve">The figure shows that the AUC values were all above 0.8 and less than 0.9 when the number of principal components equalled 10, 12, and 14. The AUC value decreased with increase in the number of principal components. The </w:t>
      </w:r>
      <w:r w:rsidRPr="00CC6CA3">
        <w:rPr>
          <w:rFonts w:hint="eastAsia"/>
        </w:rPr>
        <w:t>PCA</w:t>
      </w:r>
      <w:r w:rsidRPr="00CC6CA3">
        <w:t xml:space="preserve"> model performed well when detecting the misalignment</w:t>
      </w:r>
      <w:r w:rsidR="002122FA" w:rsidRPr="00CC6CA3">
        <w:t>.</w:t>
      </w:r>
    </w:p>
    <w:p w14:paraId="728F8EED" w14:textId="77777777" w:rsidR="002122FA" w:rsidRPr="00CC6CA3" w:rsidRDefault="002122FA" w:rsidP="002122FA">
      <w:pPr>
        <w:keepNext/>
        <w:jc w:val="center"/>
      </w:pPr>
      <w:r w:rsidRPr="00CC6CA3">
        <w:object w:dxaOrig="9264" w:dyaOrig="6097" w14:anchorId="34492C71">
          <v:shape id="_x0000_i1064" type="#_x0000_t75" style="width:372pt;height:246pt" o:ole="">
            <v:imagedata r:id="rId127" o:title=""/>
          </v:shape>
          <o:OLEObject Type="Embed" ProgID="Visio.Drawing.15" ShapeID="_x0000_i1064" DrawAspect="Content" ObjectID="_1692500343" r:id="rId128"/>
        </w:object>
      </w:r>
    </w:p>
    <w:p w14:paraId="086B1F79" w14:textId="13DE66E6" w:rsidR="002122FA" w:rsidRPr="00CC6CA3" w:rsidRDefault="002122FA" w:rsidP="002122FA">
      <w:pPr>
        <w:pStyle w:val="Caption"/>
        <w:jc w:val="center"/>
      </w:pPr>
      <w:bookmarkStart w:id="382" w:name="_Ref63261392"/>
      <w:bookmarkStart w:id="383" w:name="_Toc8155339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30</w:t>
      </w:r>
      <w:r w:rsidR="00D62691" w:rsidRPr="00CC6CA3">
        <w:rPr>
          <w:noProof/>
        </w:rPr>
        <w:fldChar w:fldCharType="end"/>
      </w:r>
      <w:bookmarkEnd w:id="382"/>
      <w:r w:rsidRPr="00CC6CA3">
        <w:t xml:space="preserve"> ROC curves and AUC values </w:t>
      </w:r>
      <w:r w:rsidR="00AF063E" w:rsidRPr="00CC6CA3">
        <w:rPr>
          <w:szCs w:val="20"/>
        </w:rPr>
        <w:t>for the</w:t>
      </w:r>
      <w:r w:rsidRPr="00CC6CA3">
        <w:t xml:space="preserve"> PCA model for detection of the misalignment in </w:t>
      </w:r>
      <w:r w:rsidR="0098693E" w:rsidRPr="00CC6CA3">
        <w:t>C</w:t>
      </w:r>
      <w:r w:rsidRPr="00CC6CA3">
        <w:t>ase 2, (a) ROC curves for PCA model with different numbers of principal components, (b) AUC values for PCA model with different numbers of principal components.</w:t>
      </w:r>
      <w:bookmarkEnd w:id="383"/>
    </w:p>
    <w:p w14:paraId="556DA93C" w14:textId="2415D468" w:rsidR="0098693E" w:rsidRPr="00CC6CA3" w:rsidRDefault="0098693E" w:rsidP="002122FA">
      <w:r w:rsidRPr="00CC6CA3">
        <w:t xml:space="preserve">The AUC curve for the PCA model with a wider range of principal components, 1 to 14, compared to </w:t>
      </w:r>
      <w:r w:rsidRPr="00CC6CA3">
        <w:fldChar w:fldCharType="begin"/>
      </w:r>
      <w:r w:rsidRPr="00CC6CA3">
        <w:instrText xml:space="preserve"> REF _Ref63261392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30</w:t>
      </w:r>
      <w:r w:rsidRPr="00CC6CA3">
        <w:fldChar w:fldCharType="end"/>
      </w:r>
      <w:r w:rsidRPr="00CC6CA3">
        <w:t xml:space="preserve">, is shown in </w:t>
      </w:r>
      <w:r w:rsidRPr="00CC6CA3">
        <w:fldChar w:fldCharType="begin"/>
      </w:r>
      <w:r w:rsidRPr="00CC6CA3">
        <w:instrText xml:space="preserve"> REF _Ref63261898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31</w:t>
      </w:r>
      <w:r w:rsidRPr="00CC6CA3">
        <w:fldChar w:fldCharType="end"/>
      </w:r>
      <w:r w:rsidRPr="00CC6CA3">
        <w:t>. As can be seen, the PCA model performed well in this case, with AUC values above 0.84, however, the AUC values showed a decreasing trend with increase in the number of principal components. The model performed best when the number of principal components was less than 3.</w:t>
      </w:r>
    </w:p>
    <w:p w14:paraId="5DC496C9" w14:textId="77777777" w:rsidR="002122FA" w:rsidRPr="00CC6CA3" w:rsidRDefault="002122FA" w:rsidP="002122FA">
      <w:pPr>
        <w:keepNext/>
        <w:jc w:val="center"/>
      </w:pPr>
      <w:r w:rsidRPr="00CC6CA3">
        <w:rPr>
          <w:noProof/>
        </w:rPr>
        <w:drawing>
          <wp:inline distT="0" distB="0" distL="0" distR="0" wp14:anchorId="39089F6C" wp14:editId="1AD8C0FD">
            <wp:extent cx="4752000" cy="1584181"/>
            <wp:effectExtent l="0" t="0" r="0" b="0"/>
            <wp:docPr id="9" name="Picture 8">
              <a:extLst xmlns:a="http://schemas.openxmlformats.org/drawingml/2006/main">
                <a:ext uri="{FF2B5EF4-FFF2-40B4-BE49-F238E27FC236}">
                  <a16:creationId xmlns:a16="http://schemas.microsoft.com/office/drawing/2014/main" id="{55DD9414-487A-4626-9213-F044DAD44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5DD9414-487A-4626-9213-F044DAD443AC}"/>
                        </a:ext>
                      </a:extLst>
                    </pic:cNvPr>
                    <pic:cNvPicPr>
                      <a:picLocks noChangeAspect="1"/>
                    </pic:cNvPicPr>
                  </pic:nvPicPr>
                  <pic:blipFill>
                    <a:blip r:embed="rId129"/>
                    <a:stretch>
                      <a:fillRect/>
                    </a:stretch>
                  </pic:blipFill>
                  <pic:spPr>
                    <a:xfrm>
                      <a:off x="0" y="0"/>
                      <a:ext cx="4752000" cy="1584181"/>
                    </a:xfrm>
                    <a:prstGeom prst="rect">
                      <a:avLst/>
                    </a:prstGeom>
                  </pic:spPr>
                </pic:pic>
              </a:graphicData>
            </a:graphic>
          </wp:inline>
        </w:drawing>
      </w:r>
    </w:p>
    <w:p w14:paraId="59D98518" w14:textId="76220886" w:rsidR="002122FA" w:rsidRPr="00CC6CA3" w:rsidRDefault="002122FA" w:rsidP="002122FA">
      <w:pPr>
        <w:pStyle w:val="Caption"/>
        <w:jc w:val="center"/>
      </w:pPr>
      <w:bookmarkStart w:id="384" w:name="_Ref63261898"/>
      <w:bookmarkStart w:id="385" w:name="_Toc8155339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31</w:t>
      </w:r>
      <w:r w:rsidR="00D62691" w:rsidRPr="00CC6CA3">
        <w:rPr>
          <w:noProof/>
        </w:rPr>
        <w:fldChar w:fldCharType="end"/>
      </w:r>
      <w:bookmarkEnd w:id="384"/>
      <w:r w:rsidRPr="00CC6CA3">
        <w:t xml:space="preserve"> AUC curve for the PCA model with different numbers of principal components for detection of the misalignment in </w:t>
      </w:r>
      <w:r w:rsidR="003A4B6B" w:rsidRPr="00CC6CA3">
        <w:t>C</w:t>
      </w:r>
      <w:r w:rsidRPr="00CC6CA3">
        <w:t>ase 2.</w:t>
      </w:r>
      <w:bookmarkEnd w:id="385"/>
    </w:p>
    <w:p w14:paraId="08D3CF07" w14:textId="12DA13CD" w:rsidR="002122FA" w:rsidRPr="00CC6CA3" w:rsidRDefault="007F5993" w:rsidP="002122FA">
      <w:r w:rsidRPr="00CC6CA3">
        <w:t xml:space="preserve">The ROC curves and AUC values of the PCA model for detection of the bearing fault in Case 2 were determined and are presented in </w:t>
      </w:r>
      <w:r w:rsidR="002122FA" w:rsidRPr="00CC6CA3">
        <w:fldChar w:fldCharType="begin"/>
      </w:r>
      <w:r w:rsidR="002122FA" w:rsidRPr="00CC6CA3">
        <w:instrText xml:space="preserve"> REF _Ref63262046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32</w:t>
      </w:r>
      <w:r w:rsidR="002122FA" w:rsidRPr="00CC6CA3">
        <w:fldChar w:fldCharType="end"/>
      </w:r>
      <w:r w:rsidR="002122FA" w:rsidRPr="00CC6CA3">
        <w:t xml:space="preserve">. </w:t>
      </w:r>
      <w:r w:rsidRPr="00CC6CA3">
        <w:t xml:space="preserve">The figure shows that the AUC values were all above 0.9 when the number of principal components equalled 10, 12, and 14. This figure did not show a clear relationship between the AUC values and the number </w:t>
      </w:r>
      <w:r w:rsidRPr="00CC6CA3">
        <w:lastRenderedPageBreak/>
        <w:t xml:space="preserve">of principal components. The </w:t>
      </w:r>
      <w:r w:rsidRPr="00CC6CA3">
        <w:rPr>
          <w:rFonts w:hint="eastAsia"/>
        </w:rPr>
        <w:t>PCA</w:t>
      </w:r>
      <w:r w:rsidRPr="00CC6CA3">
        <w:t xml:space="preserve"> model performed very well when detecting the bearing fault, yielding high FDRs, low FARs, and high AUC values</w:t>
      </w:r>
      <w:r w:rsidR="002122FA" w:rsidRPr="00CC6CA3">
        <w:t>.</w:t>
      </w:r>
    </w:p>
    <w:p w14:paraId="40B9E2D6" w14:textId="77777777" w:rsidR="002122FA" w:rsidRPr="00CC6CA3" w:rsidRDefault="002122FA" w:rsidP="002122FA">
      <w:pPr>
        <w:keepNext/>
        <w:jc w:val="center"/>
      </w:pPr>
      <w:r w:rsidRPr="00CC6CA3">
        <w:object w:dxaOrig="9384" w:dyaOrig="6049" w14:anchorId="763AB767">
          <v:shape id="_x0000_i1065" type="#_x0000_t75" style="width:372pt;height:240pt" o:ole="">
            <v:imagedata r:id="rId130" o:title=""/>
          </v:shape>
          <o:OLEObject Type="Embed" ProgID="Visio.Drawing.15" ShapeID="_x0000_i1065" DrawAspect="Content" ObjectID="_1692500344" r:id="rId131"/>
        </w:object>
      </w:r>
    </w:p>
    <w:p w14:paraId="363FF46C" w14:textId="162F321E" w:rsidR="002122FA" w:rsidRPr="00CC6CA3" w:rsidRDefault="002122FA" w:rsidP="002122FA">
      <w:pPr>
        <w:pStyle w:val="Caption"/>
        <w:jc w:val="center"/>
      </w:pPr>
      <w:bookmarkStart w:id="386" w:name="_Ref63262046"/>
      <w:bookmarkStart w:id="387" w:name="_Toc8155339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32</w:t>
      </w:r>
      <w:r w:rsidR="00D62691" w:rsidRPr="00CC6CA3">
        <w:rPr>
          <w:noProof/>
        </w:rPr>
        <w:fldChar w:fldCharType="end"/>
      </w:r>
      <w:bookmarkEnd w:id="386"/>
      <w:r w:rsidRPr="00CC6CA3">
        <w:t xml:space="preserve"> ROC curves and AUC values </w:t>
      </w:r>
      <w:r w:rsidR="00AF063E" w:rsidRPr="00CC6CA3">
        <w:rPr>
          <w:szCs w:val="20"/>
        </w:rPr>
        <w:t xml:space="preserve">for the </w:t>
      </w:r>
      <w:r w:rsidRPr="00CC6CA3">
        <w:t xml:space="preserve">PCA model for detection of bearing fault in </w:t>
      </w:r>
      <w:r w:rsidR="00AF063E" w:rsidRPr="00CC6CA3">
        <w:t>C</w:t>
      </w:r>
      <w:r w:rsidRPr="00CC6CA3">
        <w:t>ase 2, (a) ROC curves for PCA model with different numbers of principal components, (b) AUC values for PCA model with different numbers of principal components.</w:t>
      </w:r>
      <w:bookmarkEnd w:id="387"/>
    </w:p>
    <w:p w14:paraId="5A687EF4" w14:textId="54FC623D" w:rsidR="00AF063E" w:rsidRPr="00CC6CA3" w:rsidRDefault="00AF063E" w:rsidP="002122FA">
      <w:r w:rsidRPr="00CC6CA3">
        <w:t xml:space="preserve">The AUC curve for the PCA model with a wider range of principal components, 1 to 14, compared to </w:t>
      </w:r>
      <w:r w:rsidRPr="00CC6CA3">
        <w:fldChar w:fldCharType="begin"/>
      </w:r>
      <w:r w:rsidRPr="00CC6CA3">
        <w:instrText xml:space="preserve"> REF _Ref63262046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32</w:t>
      </w:r>
      <w:r w:rsidRPr="00CC6CA3">
        <w:fldChar w:fldCharType="end"/>
      </w:r>
      <w:r w:rsidRPr="00CC6CA3">
        <w:t xml:space="preserve">, is shown in </w:t>
      </w:r>
      <w:r w:rsidRPr="00CC6CA3">
        <w:fldChar w:fldCharType="begin"/>
      </w:r>
      <w:r w:rsidRPr="00CC6CA3">
        <w:instrText xml:space="preserve"> REF _Ref63262072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33</w:t>
      </w:r>
      <w:r w:rsidRPr="00CC6CA3">
        <w:fldChar w:fldCharType="end"/>
      </w:r>
      <w:r w:rsidRPr="00CC6CA3">
        <w:t>. As can be seen that, the PCA model performed very well in this case, with AUC values above 0.92. The model performed best with AUC values above 0.98, when the number of principal components was less than 11.</w:t>
      </w:r>
    </w:p>
    <w:p w14:paraId="206636E7" w14:textId="77777777" w:rsidR="002122FA" w:rsidRPr="00CC6CA3" w:rsidRDefault="002122FA" w:rsidP="002122FA">
      <w:pPr>
        <w:keepNext/>
        <w:jc w:val="center"/>
      </w:pPr>
      <w:r w:rsidRPr="00CC6CA3">
        <w:rPr>
          <w:noProof/>
        </w:rPr>
        <w:drawing>
          <wp:inline distT="0" distB="0" distL="0" distR="0" wp14:anchorId="087059B8" wp14:editId="592E96F9">
            <wp:extent cx="4752000" cy="1584181"/>
            <wp:effectExtent l="0" t="0" r="0" b="0"/>
            <wp:docPr id="7" name="Picture 6">
              <a:extLst xmlns:a="http://schemas.openxmlformats.org/drawingml/2006/main">
                <a:ext uri="{FF2B5EF4-FFF2-40B4-BE49-F238E27FC236}">
                  <a16:creationId xmlns:a16="http://schemas.microsoft.com/office/drawing/2014/main" id="{3A475A11-70F3-4A1F-8A17-99B560A554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A475A11-70F3-4A1F-8A17-99B560A554E4}"/>
                        </a:ext>
                      </a:extLst>
                    </pic:cNvPr>
                    <pic:cNvPicPr>
                      <a:picLocks noChangeAspect="1"/>
                    </pic:cNvPicPr>
                  </pic:nvPicPr>
                  <pic:blipFill>
                    <a:blip r:embed="rId132"/>
                    <a:stretch>
                      <a:fillRect/>
                    </a:stretch>
                  </pic:blipFill>
                  <pic:spPr>
                    <a:xfrm>
                      <a:off x="0" y="0"/>
                      <a:ext cx="4752000" cy="1584181"/>
                    </a:xfrm>
                    <a:prstGeom prst="rect">
                      <a:avLst/>
                    </a:prstGeom>
                  </pic:spPr>
                </pic:pic>
              </a:graphicData>
            </a:graphic>
          </wp:inline>
        </w:drawing>
      </w:r>
    </w:p>
    <w:p w14:paraId="0C550115" w14:textId="71233F04" w:rsidR="002122FA" w:rsidRPr="00CC6CA3" w:rsidRDefault="002122FA" w:rsidP="002122FA">
      <w:pPr>
        <w:pStyle w:val="Caption"/>
        <w:jc w:val="center"/>
      </w:pPr>
      <w:bookmarkStart w:id="388" w:name="_Ref63262072"/>
      <w:bookmarkStart w:id="389" w:name="_Toc8155339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33</w:t>
      </w:r>
      <w:r w:rsidR="00D62691" w:rsidRPr="00CC6CA3">
        <w:rPr>
          <w:noProof/>
        </w:rPr>
        <w:fldChar w:fldCharType="end"/>
      </w:r>
      <w:bookmarkEnd w:id="388"/>
      <w:r w:rsidRPr="00CC6CA3">
        <w:t xml:space="preserve"> AUC curve for the PCA model with different numbers of principal components for detection of bearing fault in </w:t>
      </w:r>
      <w:r w:rsidR="00AF063E" w:rsidRPr="00CC6CA3">
        <w:t>C</w:t>
      </w:r>
      <w:r w:rsidRPr="00CC6CA3">
        <w:t>ase 2</w:t>
      </w:r>
      <w:bookmarkEnd w:id="389"/>
    </w:p>
    <w:p w14:paraId="341728D8" w14:textId="6496A9AF" w:rsidR="002122FA" w:rsidRPr="00CC6CA3" w:rsidRDefault="002122FA" w:rsidP="00290837">
      <w:pPr>
        <w:pStyle w:val="Heading4"/>
      </w:pPr>
      <w:r w:rsidRPr="00CC6CA3">
        <w:t>Case 3</w:t>
      </w:r>
      <w:r w:rsidR="00C532A8" w:rsidRPr="00CC6CA3">
        <w:t>: bearing faults in compressor</w:t>
      </w:r>
    </w:p>
    <w:p w14:paraId="00FC0767" w14:textId="77777777" w:rsidR="00A41BF9" w:rsidRPr="00CC6CA3" w:rsidRDefault="00A41BF9" w:rsidP="00A41BF9">
      <w:r w:rsidRPr="00CC6CA3">
        <w:t>In this case study, the SAE fault detection model was trained on the data for the period from 1</w:t>
      </w:r>
      <w:r w:rsidRPr="00CC6CA3">
        <w:rPr>
          <w:vertAlign w:val="superscript"/>
        </w:rPr>
        <w:t>st</w:t>
      </w:r>
      <w:r w:rsidRPr="00CC6CA3">
        <w:t xml:space="preserve"> Feb to 22</w:t>
      </w:r>
      <w:r w:rsidRPr="00CC6CA3">
        <w:rPr>
          <w:vertAlign w:val="superscript"/>
        </w:rPr>
        <w:t>nd</w:t>
      </w:r>
      <w:r w:rsidRPr="00CC6CA3">
        <w:t xml:space="preserve"> Aug 2014, during which there were no recorded faults with the compressor. </w:t>
      </w:r>
      <w:r w:rsidRPr="00CC6CA3">
        <w:lastRenderedPageBreak/>
        <w:t>This was the same training data as applied in the NARX model. The models were then used to assess the health condition of the compressor from 23</w:t>
      </w:r>
      <w:r w:rsidRPr="00CC6CA3">
        <w:rPr>
          <w:vertAlign w:val="superscript"/>
        </w:rPr>
        <w:t>rd</w:t>
      </w:r>
      <w:r w:rsidRPr="00CC6CA3">
        <w:t xml:space="preserve"> Aug to 23</w:t>
      </w:r>
      <w:r w:rsidRPr="00CC6CA3">
        <w:rPr>
          <w:vertAlign w:val="superscript"/>
        </w:rPr>
        <w:t>rd</w:t>
      </w:r>
      <w:r w:rsidRPr="00CC6CA3">
        <w:t xml:space="preserve"> Oct 2014, during which period there were bearing faults (see Figure 3-21). The inputs and outputs of the PCA model for the compressor were the measurements listed in Table 3-4.</w:t>
      </w:r>
    </w:p>
    <w:p w14:paraId="0575C06E" w14:textId="68697432" w:rsidR="002122FA" w:rsidRPr="00CC6CA3" w:rsidRDefault="00A41BF9" w:rsidP="00A41BF9">
      <w:r w:rsidRPr="00CC6CA3">
        <w:t>The offline training phase can be seen in</w:t>
      </w:r>
      <w:r w:rsidR="002122FA" w:rsidRPr="00CC6CA3">
        <w:t xml:space="preserve"> </w:t>
      </w:r>
      <w:r w:rsidR="002122FA" w:rsidRPr="00CC6CA3">
        <w:fldChar w:fldCharType="begin"/>
      </w:r>
      <w:r w:rsidR="002122FA" w:rsidRPr="00CC6CA3">
        <w:instrText xml:space="preserve"> REF _Ref63281374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34</w:t>
      </w:r>
      <w:r w:rsidR="002122FA" w:rsidRPr="00CC6CA3">
        <w:fldChar w:fldCharType="end"/>
      </w:r>
      <w:r w:rsidR="002122FA" w:rsidRPr="00CC6CA3">
        <w:t xml:space="preserve"> (a), </w:t>
      </w:r>
      <w:r w:rsidRPr="00CC6CA3">
        <w:t>where the blue points are healthy data, the magenta line is the reference MD threshold, and the red points are anomalies. The reference threshold (</w:t>
      </w:r>
      <m:oMath>
        <m:sSup>
          <m:sSupPr>
            <m:ctrlPr>
              <w:rPr>
                <w:rFonts w:ascii="Cambria Math" w:hAnsi="Cambria Math"/>
              </w:rPr>
            </m:ctrlPr>
          </m:sSupPr>
          <m:e>
            <m:r>
              <w:rPr>
                <w:rFonts w:ascii="Cambria Math" w:hAnsi="Cambria Math"/>
              </w:rPr>
              <m:t>MD</m:t>
            </m:r>
          </m:e>
          <m:sup>
            <m:r>
              <w:rPr>
                <w:rFonts w:ascii="Cambria Math" w:hAnsi="Cambria Math"/>
              </w:rPr>
              <m:t>ref</m:t>
            </m:r>
          </m:sup>
        </m:sSup>
      </m:oMath>
      <w:r w:rsidRPr="00CC6CA3">
        <w:t xml:space="preserve">) was calculated during the training stage, with confidence level </w:t>
      </w:r>
      <m:oMath>
        <m:r>
          <w:rPr>
            <w:rFonts w:ascii="Cambria Math" w:hAnsi="Cambria Math"/>
          </w:rPr>
          <m:t>α</m:t>
        </m:r>
        <m:r>
          <m:rPr>
            <m:sty m:val="p"/>
          </m:rPr>
          <w:rPr>
            <w:rFonts w:ascii="Cambria Math" w:hAnsi="Cambria Math"/>
          </w:rPr>
          <m:t>=0.975</m:t>
        </m:r>
      </m:oMath>
      <w:r w:rsidRPr="00CC6CA3">
        <w:t>, and the number of principal components was 8</w:t>
      </w:r>
      <w:r w:rsidR="002122FA" w:rsidRPr="00CC6CA3">
        <w:t xml:space="preserve"> (contribution 90%).</w:t>
      </w:r>
    </w:p>
    <w:p w14:paraId="1163EE3E" w14:textId="4F0DCFE1" w:rsidR="002122FA" w:rsidRPr="00CC6CA3" w:rsidRDefault="002122FA" w:rsidP="002122FA">
      <w:r w:rsidRPr="00CC6CA3">
        <w:t xml:space="preserve">The online monitoring phase is presented in </w:t>
      </w:r>
      <w:r w:rsidRPr="00CC6CA3">
        <w:fldChar w:fldCharType="begin"/>
      </w:r>
      <w:r w:rsidRPr="00CC6CA3">
        <w:instrText xml:space="preserve"> REF _Ref63281374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34</w:t>
      </w:r>
      <w:r w:rsidRPr="00CC6CA3">
        <w:fldChar w:fldCharType="end"/>
      </w:r>
      <w:r w:rsidRPr="00CC6CA3">
        <w:t xml:space="preserve"> (b). </w:t>
      </w:r>
      <w:r w:rsidR="00607DC2" w:rsidRPr="00CC6CA3">
        <w:t>The compressor was considered healthy before 29</w:t>
      </w:r>
      <w:r w:rsidR="00607DC2" w:rsidRPr="00CC6CA3">
        <w:rPr>
          <w:vertAlign w:val="superscript"/>
        </w:rPr>
        <w:t>th</w:t>
      </w:r>
      <w:r w:rsidR="00607DC2" w:rsidRPr="00CC6CA3">
        <w:t xml:space="preserve"> Sep 2014, as no continuous anomalies exceeded the threshold. After that time, continuous anomalies were detected, which indicated that the pump suffered a fault. The parameters, which influence the performance of the PCA fault detection model, such as confidence level </w:t>
      </w:r>
      <m:oMath>
        <m:r>
          <w:rPr>
            <w:rFonts w:ascii="Cambria Math" w:hAnsi="Cambria Math"/>
          </w:rPr>
          <m:t>α</m:t>
        </m:r>
      </m:oMath>
      <w:r w:rsidR="00607DC2" w:rsidRPr="00CC6CA3">
        <w:t>, and the number principal components, will be explored later in this section</w:t>
      </w:r>
      <w:r w:rsidRPr="00CC6CA3">
        <w:t>.</w:t>
      </w:r>
    </w:p>
    <w:p w14:paraId="41B76F6E" w14:textId="77777777" w:rsidR="002122FA" w:rsidRPr="00CC6CA3" w:rsidRDefault="002122FA" w:rsidP="002122FA">
      <w:pPr>
        <w:pStyle w:val="Body"/>
        <w:keepNext/>
        <w:jc w:val="center"/>
      </w:pPr>
      <w:r w:rsidRPr="00CC6CA3">
        <w:object w:dxaOrig="9049" w:dyaOrig="6049" w14:anchorId="459AD348">
          <v:shape id="_x0000_i1066" type="#_x0000_t75" style="width:372pt;height:252pt" o:ole="">
            <v:imagedata r:id="rId133" o:title=""/>
          </v:shape>
          <o:OLEObject Type="Embed" ProgID="Visio.Drawing.15" ShapeID="_x0000_i1066" DrawAspect="Content" ObjectID="_1692500345" r:id="rId134"/>
        </w:object>
      </w:r>
    </w:p>
    <w:p w14:paraId="353A9D90" w14:textId="65CCDB74" w:rsidR="002122FA" w:rsidRPr="00CC6CA3" w:rsidRDefault="002122FA" w:rsidP="002122FA">
      <w:pPr>
        <w:pStyle w:val="Caption"/>
        <w:jc w:val="center"/>
      </w:pPr>
      <w:bookmarkStart w:id="390" w:name="_Ref63281374"/>
      <w:bookmarkStart w:id="391" w:name="_Toc81553398"/>
      <w:r w:rsidRPr="00CC6CA3">
        <w:t xml:space="preserve">Figure </w:t>
      </w:r>
      <w:r w:rsidR="00D62691" w:rsidRPr="00CC6CA3">
        <w:fldChar w:fldCharType="begin"/>
      </w:r>
      <w:r w:rsidR="00D62691" w:rsidRPr="00CC6CA3">
        <w:instrText xml:space="preserve"> STYL</w:instrText>
      </w:r>
      <w:r w:rsidR="00D62691" w:rsidRPr="00CC6CA3">
        <w:instrText xml:space="preserve">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34</w:t>
      </w:r>
      <w:r w:rsidR="00D62691" w:rsidRPr="00CC6CA3">
        <w:rPr>
          <w:noProof/>
        </w:rPr>
        <w:fldChar w:fldCharType="end"/>
      </w:r>
      <w:bookmarkEnd w:id="390"/>
      <w:r w:rsidRPr="00CC6CA3">
        <w:t xml:space="preserve"> The </w:t>
      </w:r>
      <w:r w:rsidR="005967F3" w:rsidRPr="00CC6CA3">
        <w:t xml:space="preserve">MD calculated in the </w:t>
      </w:r>
      <w:r w:rsidRPr="00CC6CA3">
        <w:t xml:space="preserve">training and monitoring phases of the PCA model for case 3, (a) </w:t>
      </w:r>
      <w:r w:rsidR="005967F3" w:rsidRPr="00CC6CA3">
        <w:t>MD calculated in the offline training phase, (b) MD calculated in the online monitoring phase</w:t>
      </w:r>
      <w:r w:rsidRPr="00CC6CA3">
        <w:t>.</w:t>
      </w:r>
      <w:bookmarkEnd w:id="391"/>
    </w:p>
    <w:p w14:paraId="24BB658C" w14:textId="3B2024F5" w:rsidR="002122FA" w:rsidRPr="00CC6CA3" w:rsidRDefault="00D23910" w:rsidP="002122FA">
      <w:r w:rsidRPr="00CC6CA3">
        <w:t>A 2D contribution map of the PCA model for Case 3 is presented</w:t>
      </w:r>
      <w:r w:rsidR="002122FA" w:rsidRPr="00CC6CA3">
        <w:t xml:space="preserve"> in </w:t>
      </w:r>
      <w:r w:rsidR="002122FA" w:rsidRPr="00CC6CA3">
        <w:fldChar w:fldCharType="begin"/>
      </w:r>
      <w:r w:rsidR="002122FA" w:rsidRPr="00CC6CA3">
        <w:instrText xml:space="preserve"> REF _Ref63282618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35</w:t>
      </w:r>
      <w:r w:rsidR="002122FA" w:rsidRPr="00CC6CA3">
        <w:fldChar w:fldCharType="end"/>
      </w:r>
      <w:r w:rsidR="002122FA" w:rsidRPr="00CC6CA3">
        <w:t xml:space="preserve">. </w:t>
      </w:r>
      <w:r w:rsidRPr="00CC6CA3">
        <w:t>It shows that the overall vibration X and Y of the radial DE bearing at the 3</w:t>
      </w:r>
      <w:r w:rsidRPr="00CC6CA3">
        <w:rPr>
          <w:vertAlign w:val="superscript"/>
        </w:rPr>
        <w:t>rd</w:t>
      </w:r>
      <w:r w:rsidRPr="00CC6CA3">
        <w:t xml:space="preserve"> stage of the compressor is the main contributor to the increase of the system fault feature. Then, from 6</w:t>
      </w:r>
      <w:r w:rsidRPr="00CC6CA3">
        <w:rPr>
          <w:vertAlign w:val="superscript"/>
        </w:rPr>
        <w:t>th</w:t>
      </w:r>
      <w:r w:rsidRPr="00CC6CA3">
        <w:t xml:space="preserve"> Oct, the </w:t>
      </w:r>
      <w:r w:rsidRPr="00CC6CA3">
        <w:lastRenderedPageBreak/>
        <w:t>overall vibration X and Y of the radial NDE bearing at the 3</w:t>
      </w:r>
      <w:r w:rsidRPr="00CC6CA3">
        <w:rPr>
          <w:vertAlign w:val="superscript"/>
        </w:rPr>
        <w:t>rd</w:t>
      </w:r>
      <w:r w:rsidRPr="00CC6CA3">
        <w:t xml:space="preserve"> stage showed a fault. However, when compared with the original measurements presented in Figure 3-21, no abnormal trends in these two signals can be found from 6</w:t>
      </w:r>
      <w:r w:rsidRPr="00CC6CA3">
        <w:rPr>
          <w:vertAlign w:val="superscript"/>
        </w:rPr>
        <w:t>th</w:t>
      </w:r>
      <w:r w:rsidRPr="00CC6CA3">
        <w:t xml:space="preserve"> Oct to 11</w:t>
      </w:r>
      <w:r w:rsidRPr="00CC6CA3">
        <w:rPr>
          <w:vertAlign w:val="superscript"/>
        </w:rPr>
        <w:t>th</w:t>
      </w:r>
      <w:r w:rsidRPr="00CC6CA3">
        <w:t xml:space="preserve"> Oct. After 16</w:t>
      </w:r>
      <w:r w:rsidRPr="00CC6CA3">
        <w:rPr>
          <w:vertAlign w:val="superscript"/>
        </w:rPr>
        <w:t>th</w:t>
      </w:r>
      <w:r w:rsidRPr="00CC6CA3">
        <w:t xml:space="preserve"> Oct, anomalies were found in more signals, such as speed, stage 3 discharge pressure, overall vibration X and Y of stage 1-2 radial DE bearing and stage 3 NDE bearing. This indicated that the system was in a very dangerous condition and there was an urgent need to carry out a maintenance inspection</w:t>
      </w:r>
      <w:r w:rsidR="002122FA" w:rsidRPr="00CC6CA3">
        <w:t>.</w:t>
      </w:r>
    </w:p>
    <w:p w14:paraId="4433633B" w14:textId="77777777" w:rsidR="002122FA" w:rsidRPr="00CC6CA3" w:rsidRDefault="002122FA" w:rsidP="002122FA">
      <w:pPr>
        <w:pStyle w:val="Body"/>
        <w:keepNext/>
        <w:jc w:val="center"/>
      </w:pPr>
      <w:r w:rsidRPr="00CC6CA3">
        <w:object w:dxaOrig="10824" w:dyaOrig="6204" w14:anchorId="5FA83FC1">
          <v:shape id="_x0000_i1067" type="#_x0000_t75" style="width:438pt;height:252pt" o:ole="">
            <v:imagedata r:id="rId135" o:title=""/>
          </v:shape>
          <o:OLEObject Type="Embed" ProgID="Visio.Drawing.15" ShapeID="_x0000_i1067" DrawAspect="Content" ObjectID="_1692500346" r:id="rId136"/>
        </w:object>
      </w:r>
    </w:p>
    <w:p w14:paraId="0272B131" w14:textId="767FE19E" w:rsidR="002122FA" w:rsidRPr="00CC6CA3" w:rsidRDefault="002122FA" w:rsidP="002122FA">
      <w:pPr>
        <w:pStyle w:val="Caption"/>
        <w:jc w:val="center"/>
      </w:pPr>
      <w:bookmarkStart w:id="392" w:name="_Ref63282618"/>
      <w:bookmarkStart w:id="393" w:name="_Toc8155339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35</w:t>
      </w:r>
      <w:r w:rsidR="00D62691" w:rsidRPr="00CC6CA3">
        <w:rPr>
          <w:noProof/>
        </w:rPr>
        <w:fldChar w:fldCharType="end"/>
      </w:r>
      <w:bookmarkEnd w:id="392"/>
      <w:r w:rsidRPr="00CC6CA3">
        <w:t xml:space="preserve"> 2D contribution map of PCA model for </w:t>
      </w:r>
      <w:r w:rsidR="00D23910" w:rsidRPr="00CC6CA3">
        <w:t>C</w:t>
      </w:r>
      <w:r w:rsidRPr="00CC6CA3">
        <w:t xml:space="preserve">ase </w:t>
      </w:r>
      <w:r w:rsidRPr="00CC6CA3">
        <w:rPr>
          <w:lang w:val="en-US"/>
        </w:rPr>
        <w:t>3</w:t>
      </w:r>
      <w:bookmarkEnd w:id="393"/>
    </w:p>
    <w:p w14:paraId="6EABDA29" w14:textId="11A6B7C5" w:rsidR="00B5513C" w:rsidRPr="00CC6CA3" w:rsidRDefault="00B5513C" w:rsidP="002122FA">
      <w:r w:rsidRPr="00CC6CA3">
        <w:t xml:space="preserve">The ROC curves and AUC values for the PCA model with different numbers of principal components for Case 3 were determined and presented in </w:t>
      </w:r>
      <w:r w:rsidRPr="00CC6CA3">
        <w:fldChar w:fldCharType="begin"/>
      </w:r>
      <w:r w:rsidRPr="00CC6CA3">
        <w:instrText xml:space="preserve"> REF _Ref63265606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36</w:t>
      </w:r>
      <w:r w:rsidRPr="00CC6CA3">
        <w:fldChar w:fldCharType="end"/>
      </w:r>
      <w:r w:rsidRPr="00CC6CA3">
        <w:t>. When calculating the ROC curves, the training data was from 1</w:t>
      </w:r>
      <w:r w:rsidRPr="00CC6CA3">
        <w:rPr>
          <w:vertAlign w:val="superscript"/>
        </w:rPr>
        <w:t>st</w:t>
      </w:r>
      <w:r w:rsidRPr="00CC6CA3">
        <w:t xml:space="preserve"> Feb to 22</w:t>
      </w:r>
      <w:r w:rsidRPr="00CC6CA3">
        <w:rPr>
          <w:vertAlign w:val="superscript"/>
        </w:rPr>
        <w:t>nd</w:t>
      </w:r>
      <w:r w:rsidRPr="00CC6CA3">
        <w:t xml:space="preserve"> Aug 2014, and the test data was from 23</w:t>
      </w:r>
      <w:r w:rsidRPr="00CC6CA3">
        <w:rPr>
          <w:vertAlign w:val="superscript"/>
        </w:rPr>
        <w:t>rd</w:t>
      </w:r>
      <w:r w:rsidRPr="00CC6CA3">
        <w:t xml:space="preserve"> Aug to 24</w:t>
      </w:r>
      <w:r w:rsidRPr="00CC6CA3">
        <w:rPr>
          <w:vertAlign w:val="superscript"/>
        </w:rPr>
        <w:t>th</w:t>
      </w:r>
      <w:r w:rsidRPr="00CC6CA3">
        <w:t xml:space="preserve"> Sep 2014. As can be seen, the FAR has a value of more than 0.4 if the FDR is 0.8, for the range of principal components used. In the figure, the AUC values ranged from 0.698 to 0.783, which is not as high as the values in Cases 1 and 2 (see </w:t>
      </w:r>
      <w:r w:rsidRPr="00CC6CA3">
        <w:fldChar w:fldCharType="begin"/>
      </w:r>
      <w:r w:rsidRPr="00CC6CA3">
        <w:instrText xml:space="preserve"> REF _Ref63201593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26</w:t>
      </w:r>
      <w:r w:rsidRPr="00CC6CA3">
        <w:fldChar w:fldCharType="end"/>
      </w:r>
      <w:r w:rsidRPr="00CC6CA3">
        <w:t xml:space="preserve"> and </w:t>
      </w:r>
      <w:r w:rsidRPr="00CC6CA3">
        <w:fldChar w:fldCharType="begin"/>
      </w:r>
      <w:r w:rsidRPr="00CC6CA3">
        <w:instrText xml:space="preserve"> REF _Ref63262046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32</w:t>
      </w:r>
      <w:r w:rsidRPr="00CC6CA3">
        <w:fldChar w:fldCharType="end"/>
      </w:r>
      <w:r w:rsidRPr="00CC6CA3">
        <w:t>).</w:t>
      </w:r>
    </w:p>
    <w:p w14:paraId="150B92D4" w14:textId="77777777" w:rsidR="002122FA" w:rsidRPr="00CC6CA3" w:rsidRDefault="002122FA" w:rsidP="002122FA">
      <w:pPr>
        <w:keepNext/>
        <w:jc w:val="center"/>
      </w:pPr>
      <w:r w:rsidRPr="00CC6CA3">
        <w:object w:dxaOrig="9468" w:dyaOrig="6049" w14:anchorId="54A2BDB5">
          <v:shape id="_x0000_i1068" type="#_x0000_t75" style="width:372pt;height:240pt" o:ole="">
            <v:imagedata r:id="rId137" o:title=""/>
          </v:shape>
          <o:OLEObject Type="Embed" ProgID="Visio.Drawing.15" ShapeID="_x0000_i1068" DrawAspect="Content" ObjectID="_1692500347" r:id="rId138"/>
        </w:object>
      </w:r>
    </w:p>
    <w:p w14:paraId="780C9416" w14:textId="2590BFA2" w:rsidR="002122FA" w:rsidRPr="00CC6CA3" w:rsidRDefault="002122FA" w:rsidP="002122FA">
      <w:pPr>
        <w:pStyle w:val="Caption"/>
        <w:jc w:val="center"/>
      </w:pPr>
      <w:bookmarkStart w:id="394" w:name="_Ref63265606"/>
      <w:bookmarkStart w:id="395" w:name="_Toc8155340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36</w:t>
      </w:r>
      <w:r w:rsidR="00D62691" w:rsidRPr="00CC6CA3">
        <w:rPr>
          <w:noProof/>
        </w:rPr>
        <w:fldChar w:fldCharType="end"/>
      </w:r>
      <w:bookmarkEnd w:id="394"/>
      <w:r w:rsidRPr="00CC6CA3">
        <w:t xml:space="preserve"> ROC curves and AUC values of PCA model for </w:t>
      </w:r>
      <w:r w:rsidR="00E15E7F" w:rsidRPr="00CC6CA3">
        <w:t>C</w:t>
      </w:r>
      <w:r w:rsidRPr="00CC6CA3">
        <w:t xml:space="preserve">ase </w:t>
      </w:r>
      <w:r w:rsidRPr="00CC6CA3">
        <w:rPr>
          <w:lang w:val="en-US"/>
        </w:rPr>
        <w:t>3</w:t>
      </w:r>
      <w:r w:rsidRPr="00CC6CA3">
        <w:t>, (a) ROC curves for PCA model with different numbers of principal components, (b) AUC values for PCA model with different numbers of principal components.</w:t>
      </w:r>
      <w:bookmarkEnd w:id="395"/>
    </w:p>
    <w:p w14:paraId="250CF24C" w14:textId="5615A074" w:rsidR="00E15E7F" w:rsidRPr="00CC6CA3" w:rsidRDefault="00E15E7F" w:rsidP="002122FA">
      <w:r w:rsidRPr="00CC6CA3">
        <w:t xml:space="preserve">The AUC curve for the PCA model with a wider range of principal components, 1 to 23, compared to </w:t>
      </w:r>
      <w:r w:rsidRPr="00CC6CA3">
        <w:fldChar w:fldCharType="begin"/>
      </w:r>
      <w:r w:rsidRPr="00CC6CA3">
        <w:instrText xml:space="preserve"> REF _Ref63265606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36</w:t>
      </w:r>
      <w:r w:rsidRPr="00CC6CA3">
        <w:fldChar w:fldCharType="end"/>
      </w:r>
      <w:r w:rsidRPr="00CC6CA3">
        <w:t xml:space="preserve">, is shown in </w:t>
      </w:r>
      <w:r w:rsidRPr="00CC6CA3">
        <w:fldChar w:fldCharType="begin"/>
      </w:r>
      <w:r w:rsidRPr="00CC6CA3">
        <w:instrText xml:space="preserve"> REF _Ref63265615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37</w:t>
      </w:r>
      <w:r w:rsidRPr="00CC6CA3">
        <w:fldChar w:fldCharType="end"/>
      </w:r>
      <w:r w:rsidRPr="00CC6CA3">
        <w:t xml:space="preserve">. As can be seen, for detecting the incipient bearing fault in the compressor, the performance of the PCA model for Case 3 was not as good as its performance for detecting the misalignment in Case 1 or the bearing fault in Case 2. In </w:t>
      </w:r>
      <w:r w:rsidRPr="00CC6CA3">
        <w:fldChar w:fldCharType="begin"/>
      </w:r>
      <w:r w:rsidRPr="00CC6CA3">
        <w:instrText xml:space="preserve"> REF _Ref63265615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37</w:t>
      </w:r>
      <w:r w:rsidRPr="00CC6CA3">
        <w:fldChar w:fldCharType="end"/>
      </w:r>
      <w:r w:rsidRPr="00CC6CA3">
        <w:t>, the PCA model performed reasonably well with AUC values above 0.</w:t>
      </w:r>
      <w:r w:rsidRPr="00CC6CA3">
        <w:rPr>
          <w:rFonts w:hint="eastAsia"/>
        </w:rPr>
        <w:t>75</w:t>
      </w:r>
      <w:r w:rsidRPr="00CC6CA3">
        <w:t>, but below 0.82, but only when the number of principal components was between 12 and 23.</w:t>
      </w:r>
    </w:p>
    <w:p w14:paraId="52DACAE5" w14:textId="77777777" w:rsidR="002122FA" w:rsidRPr="00CC6CA3" w:rsidRDefault="002122FA" w:rsidP="002122FA">
      <w:pPr>
        <w:keepNext/>
        <w:jc w:val="center"/>
      </w:pPr>
      <w:r w:rsidRPr="00CC6CA3">
        <w:rPr>
          <w:noProof/>
        </w:rPr>
        <w:drawing>
          <wp:inline distT="0" distB="0" distL="0" distR="0" wp14:anchorId="6B62B1F6" wp14:editId="44520C99">
            <wp:extent cx="4752000" cy="1584000"/>
            <wp:effectExtent l="0" t="0" r="0" b="0"/>
            <wp:docPr id="19" name="Picture 4">
              <a:extLst xmlns:a="http://schemas.openxmlformats.org/drawingml/2006/main">
                <a:ext uri="{FF2B5EF4-FFF2-40B4-BE49-F238E27FC236}">
                  <a16:creationId xmlns:a16="http://schemas.microsoft.com/office/drawing/2014/main" id="{744611B6-8A8B-4C0E-9E18-5F8128CD5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44611B6-8A8B-4C0E-9E18-5F8128CD5E3E}"/>
                        </a:ext>
                      </a:extLst>
                    </pic:cNvPr>
                    <pic:cNvPicPr>
                      <a:picLocks noChangeAspect="1"/>
                    </pic:cNvPicPr>
                  </pic:nvPicPr>
                  <pic:blipFill>
                    <a:blip r:embed="rId139"/>
                    <a:stretch>
                      <a:fillRect/>
                    </a:stretch>
                  </pic:blipFill>
                  <pic:spPr>
                    <a:xfrm>
                      <a:off x="0" y="0"/>
                      <a:ext cx="4752000" cy="1584000"/>
                    </a:xfrm>
                    <a:prstGeom prst="rect">
                      <a:avLst/>
                    </a:prstGeom>
                  </pic:spPr>
                </pic:pic>
              </a:graphicData>
            </a:graphic>
          </wp:inline>
        </w:drawing>
      </w:r>
    </w:p>
    <w:p w14:paraId="2EA68ADC" w14:textId="20311D61" w:rsidR="002122FA" w:rsidRPr="00CC6CA3" w:rsidRDefault="002122FA" w:rsidP="002122FA">
      <w:pPr>
        <w:pStyle w:val="Caption"/>
        <w:jc w:val="center"/>
      </w:pPr>
      <w:bookmarkStart w:id="396" w:name="_Ref63265615"/>
      <w:bookmarkStart w:id="397" w:name="_Toc8155340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37</w:t>
      </w:r>
      <w:r w:rsidR="00D62691" w:rsidRPr="00CC6CA3">
        <w:rPr>
          <w:noProof/>
        </w:rPr>
        <w:fldChar w:fldCharType="end"/>
      </w:r>
      <w:bookmarkEnd w:id="396"/>
      <w:r w:rsidRPr="00CC6CA3">
        <w:t xml:space="preserve"> AUC curve for the PCA model with different number</w:t>
      </w:r>
      <w:r w:rsidR="00E15E7F" w:rsidRPr="00CC6CA3">
        <w:t>s</w:t>
      </w:r>
      <w:r w:rsidRPr="00CC6CA3">
        <w:t xml:space="preserve"> of principal components for </w:t>
      </w:r>
      <w:r w:rsidR="00E15E7F" w:rsidRPr="00CC6CA3">
        <w:t>C</w:t>
      </w:r>
      <w:r w:rsidRPr="00CC6CA3">
        <w:t xml:space="preserve">ase </w:t>
      </w:r>
      <w:r w:rsidRPr="00CC6CA3">
        <w:rPr>
          <w:lang w:val="en-US"/>
        </w:rPr>
        <w:t>3</w:t>
      </w:r>
      <w:bookmarkEnd w:id="397"/>
    </w:p>
    <w:p w14:paraId="4629E154" w14:textId="77777777" w:rsidR="002122FA" w:rsidRPr="00CC6CA3" w:rsidRDefault="002122FA" w:rsidP="002122FA">
      <w:pPr>
        <w:pStyle w:val="Heading2"/>
      </w:pPr>
      <w:bookmarkStart w:id="398" w:name="_Toc81553290"/>
      <w:r w:rsidRPr="00CC6CA3">
        <w:lastRenderedPageBreak/>
        <w:t>SAE based anomaly detection model</w:t>
      </w:r>
      <w:bookmarkEnd w:id="398"/>
    </w:p>
    <w:p w14:paraId="4FB63153" w14:textId="77777777" w:rsidR="002122FA" w:rsidRPr="00CC6CA3" w:rsidRDefault="002122FA" w:rsidP="002122FA">
      <w:pPr>
        <w:pStyle w:val="Heading3"/>
      </w:pPr>
      <w:bookmarkStart w:id="399" w:name="_Toc81553291"/>
      <w:r w:rsidRPr="00CC6CA3">
        <w:t>Implementation of SAE based fault detection model</w:t>
      </w:r>
      <w:bookmarkEnd w:id="399"/>
    </w:p>
    <w:p w14:paraId="71EA37CD" w14:textId="59AF93A8" w:rsidR="009B5EDF" w:rsidRPr="00CC6CA3" w:rsidRDefault="002122FA" w:rsidP="009B5EDF">
      <w:r w:rsidRPr="00CC6CA3">
        <w:t>The fault detection model using</w:t>
      </w:r>
      <w:r w:rsidR="009B5EDF" w:rsidRPr="00CC6CA3">
        <w:t xml:space="preserve"> the</w:t>
      </w:r>
      <w:r w:rsidRPr="00CC6CA3">
        <w:t xml:space="preserve"> SAE is presented in </w:t>
      </w:r>
      <w:r w:rsidRPr="00CC6CA3">
        <w:fldChar w:fldCharType="begin"/>
      </w:r>
      <w:r w:rsidRPr="00CC6CA3">
        <w:instrText xml:space="preserve"> REF _Ref32995262 \h  \* MERGEFORMAT </w:instrText>
      </w:r>
      <w:r w:rsidRPr="00CC6CA3">
        <w:fldChar w:fldCharType="separate"/>
      </w:r>
      <w:r w:rsidR="001906D9" w:rsidRPr="00CC6CA3">
        <w:t>Figure 4.38</w:t>
      </w:r>
      <w:r w:rsidRPr="00CC6CA3">
        <w:fldChar w:fldCharType="end"/>
      </w:r>
      <w:r w:rsidRPr="00CC6CA3">
        <w:t xml:space="preserve">. </w:t>
      </w:r>
      <w:r w:rsidR="009B5EDF" w:rsidRPr="00CC6CA3">
        <w:t xml:space="preserve">The SAE is a special unsupervised feed-forward neural network, with the number of inputs equalling the number of outputs. As with the PCA, the input variables of the SAE model include all the measurements made on the </w:t>
      </w:r>
      <w:r w:rsidR="009B5EDF" w:rsidRPr="00CC6CA3">
        <w:rPr>
          <w:rFonts w:hint="eastAsia"/>
        </w:rPr>
        <w:t>pump</w:t>
      </w:r>
      <w:r w:rsidR="009B5EDF" w:rsidRPr="00CC6CA3">
        <w:t xml:space="preserve"> and compressor. </w:t>
      </w:r>
    </w:p>
    <w:p w14:paraId="5DD34487" w14:textId="43BC68D6" w:rsidR="002122FA" w:rsidRPr="00CC6CA3" w:rsidRDefault="009B5EDF" w:rsidP="009B5EDF">
      <w:r w:rsidRPr="00CC6CA3">
        <w:t xml:space="preserve">In the offline training phase, the SAE model is trained using historical data after pre-processing and standardisation. In the SAE model, the outputs reconstructed the inputs. The reference </w:t>
      </w:r>
      <m:oMath>
        <m:sSubSup>
          <m:sSubSupPr>
            <m:ctrlPr>
              <w:rPr>
                <w:rFonts w:ascii="Cambria Math" w:hAnsi="Cambria Math"/>
                <w:i/>
                <w:iCs/>
              </w:rPr>
            </m:ctrlPr>
          </m:sSubSupPr>
          <m:e>
            <m:r>
              <w:rPr>
                <w:rFonts w:ascii="Cambria Math" w:hAnsi="Cambria Math"/>
              </w:rPr>
              <m:t>MD</m:t>
            </m:r>
          </m:e>
          <m:sub>
            <m:r>
              <w:rPr>
                <w:rFonts w:ascii="Cambria Math" w:hAnsi="Cambria Math"/>
              </w:rPr>
              <m:t>SAE</m:t>
            </m:r>
          </m:sub>
          <m:sup>
            <m:r>
              <w:rPr>
                <w:rFonts w:ascii="Cambria Math" w:hAnsi="Cambria Math"/>
              </w:rPr>
              <m:t>ref</m:t>
            </m:r>
          </m:sup>
        </m:sSubSup>
      </m:oMath>
      <w:r w:rsidRPr="00CC6CA3">
        <w:rPr>
          <w:iCs/>
        </w:rPr>
        <w:t xml:space="preserve"> is calculated during the training stage using</w:t>
      </w:r>
      <w:r w:rsidR="002122FA" w:rsidRPr="00CC6CA3">
        <w:t xml:space="preserve"> Equation </w:t>
      </w:r>
      <w:r w:rsidR="002122FA" w:rsidRPr="00CC6CA3">
        <w:fldChar w:fldCharType="begin"/>
      </w:r>
      <w:r w:rsidR="002122FA" w:rsidRPr="00CC6CA3">
        <w:instrText xml:space="preserve"> REF _Ref48489010 \h </w:instrText>
      </w:r>
      <w:r w:rsidR="002122FA" w:rsidRPr="00CC6CA3">
        <w:fldChar w:fldCharType="separate"/>
      </w:r>
      <w:r w:rsidR="001906D9" w:rsidRPr="00CC6CA3">
        <w:t>(</w:t>
      </w:r>
      <w:r w:rsidR="001906D9" w:rsidRPr="00CC6CA3">
        <w:rPr>
          <w:noProof/>
        </w:rPr>
        <w:t>4</w:t>
      </w:r>
      <w:r w:rsidR="001906D9" w:rsidRPr="00CC6CA3">
        <w:noBreakHyphen/>
      </w:r>
      <w:r w:rsidR="001906D9" w:rsidRPr="00CC6CA3">
        <w:rPr>
          <w:noProof/>
        </w:rPr>
        <w:t>14</w:t>
      </w:r>
      <w:r w:rsidR="001906D9" w:rsidRPr="00CC6CA3">
        <w:t>)</w:t>
      </w:r>
      <w:r w:rsidR="002122FA" w:rsidRPr="00CC6CA3">
        <w:fldChar w:fldCharType="end"/>
      </w:r>
      <w:r w:rsidR="002122FA" w:rsidRPr="00CC6CA3">
        <w:t>.</w:t>
      </w:r>
    </w:p>
    <w:p w14:paraId="0CF8D121" w14:textId="77777777" w:rsidR="002122FA" w:rsidRPr="00CC6CA3" w:rsidRDefault="002122FA" w:rsidP="00FE17DF">
      <w:pPr>
        <w:rPr>
          <w:iCs/>
        </w:rPr>
      </w:pPr>
      <w:r w:rsidRPr="00CC6CA3">
        <w:t xml:space="preserve">In the online monitoring phase, the real-time </w:t>
      </w:r>
      <m:oMath>
        <m:sSub>
          <m:sSubPr>
            <m:ctrlPr>
              <w:rPr>
                <w:rFonts w:ascii="Cambria Math" w:hAnsi="Cambria Math"/>
              </w:rPr>
            </m:ctrlPr>
          </m:sSubPr>
          <m:e>
            <m:r>
              <w:rPr>
                <w:rFonts w:ascii="Cambria Math" w:hAnsi="Cambria Math"/>
              </w:rPr>
              <m:t>MD</m:t>
            </m:r>
          </m:e>
          <m:sub>
            <m:r>
              <w:rPr>
                <w:rFonts w:ascii="Cambria Math" w:hAnsi="Cambria Math"/>
              </w:rPr>
              <m:t>i(SAE)</m:t>
            </m:r>
          </m:sub>
        </m:sSub>
      </m:oMath>
      <w:r w:rsidRPr="00CC6CA3">
        <w:t xml:space="preserve"> is calculated for the condition monitoring data</w:t>
      </w:r>
      <w:r w:rsidRPr="00CC6CA3">
        <w:rPr>
          <w:iCs/>
        </w:rPr>
        <w:t xml:space="preserve"> using the developed SAE model trained in the offline phase. </w:t>
      </w:r>
      <w:r w:rsidRPr="00CC6CA3">
        <w:t xml:space="preserve">The machine is considered healthy if </w:t>
      </w:r>
      <m:oMath>
        <m:sSub>
          <m:sSubPr>
            <m:ctrlPr>
              <w:rPr>
                <w:rFonts w:ascii="Cambria Math" w:hAnsi="Cambria Math"/>
                <w:i/>
                <w:iCs/>
              </w:rPr>
            </m:ctrlPr>
          </m:sSubPr>
          <m:e>
            <m:r>
              <w:rPr>
                <w:rFonts w:ascii="Cambria Math" w:hAnsi="Cambria Math"/>
              </w:rPr>
              <m:t>MD</m:t>
            </m:r>
          </m:e>
          <m:sub>
            <m:r>
              <w:rPr>
                <w:rFonts w:ascii="Cambria Math" w:hAnsi="Cambria Math"/>
              </w:rPr>
              <m:t>i(SAE)</m:t>
            </m:r>
          </m:sub>
        </m:sSub>
        <m:r>
          <w:rPr>
            <w:rFonts w:ascii="Cambria Math" w:hAnsi="Cambria Math"/>
          </w:rPr>
          <m:t>&lt;</m:t>
        </m:r>
        <m:sSubSup>
          <m:sSubSupPr>
            <m:ctrlPr>
              <w:rPr>
                <w:rFonts w:ascii="Cambria Math" w:hAnsi="Cambria Math"/>
                <w:i/>
                <w:iCs/>
              </w:rPr>
            </m:ctrlPr>
          </m:sSubSupPr>
          <m:e>
            <m:r>
              <w:rPr>
                <w:rFonts w:ascii="Cambria Math" w:hAnsi="Cambria Math"/>
              </w:rPr>
              <m:t>MD</m:t>
            </m:r>
          </m:e>
          <m:sub>
            <m:r>
              <w:rPr>
                <w:rFonts w:ascii="Cambria Math" w:hAnsi="Cambria Math"/>
              </w:rPr>
              <m:t>SAE</m:t>
            </m:r>
          </m:sub>
          <m:sup>
            <m:r>
              <w:rPr>
                <w:rFonts w:ascii="Cambria Math" w:hAnsi="Cambria Math"/>
              </w:rPr>
              <m:t>ref</m:t>
            </m:r>
          </m:sup>
        </m:sSubSup>
      </m:oMath>
      <w:r w:rsidRPr="00CC6CA3">
        <w:rPr>
          <w:iCs/>
        </w:rPr>
        <w:t xml:space="preserve">, and </w:t>
      </w:r>
      <w:r w:rsidRPr="00CC6CA3">
        <w:t xml:space="preserve">is regarded as abnormal if </w:t>
      </w:r>
      <m:oMath>
        <m:sSub>
          <m:sSubPr>
            <m:ctrlPr>
              <w:rPr>
                <w:rFonts w:ascii="Cambria Math" w:hAnsi="Cambria Math"/>
                <w:i/>
                <w:iCs/>
              </w:rPr>
            </m:ctrlPr>
          </m:sSubPr>
          <m:e>
            <m:r>
              <w:rPr>
                <w:rFonts w:ascii="Cambria Math" w:hAnsi="Cambria Math"/>
              </w:rPr>
              <m:t>MD</m:t>
            </m:r>
          </m:e>
          <m:sub>
            <m:r>
              <w:rPr>
                <w:rFonts w:ascii="Cambria Math" w:hAnsi="Cambria Math"/>
              </w:rPr>
              <m:t>i(SAE)</m:t>
            </m:r>
          </m:sub>
        </m:sSub>
        <m:r>
          <w:rPr>
            <w:rFonts w:ascii="Cambria Math" w:hAnsi="Cambria Math"/>
          </w:rPr>
          <m:t>&gt;</m:t>
        </m:r>
        <m:sSubSup>
          <m:sSubSupPr>
            <m:ctrlPr>
              <w:rPr>
                <w:rFonts w:ascii="Cambria Math" w:hAnsi="Cambria Math"/>
                <w:i/>
                <w:iCs/>
              </w:rPr>
            </m:ctrlPr>
          </m:sSubSupPr>
          <m:e>
            <m:r>
              <w:rPr>
                <w:rFonts w:ascii="Cambria Math" w:hAnsi="Cambria Math"/>
              </w:rPr>
              <m:t>MD</m:t>
            </m:r>
          </m:e>
          <m:sub>
            <m:r>
              <w:rPr>
                <w:rFonts w:ascii="Cambria Math" w:hAnsi="Cambria Math"/>
              </w:rPr>
              <m:t>SAE</m:t>
            </m:r>
          </m:sub>
          <m:sup>
            <m:r>
              <w:rPr>
                <w:rFonts w:ascii="Cambria Math" w:hAnsi="Cambria Math"/>
              </w:rPr>
              <m:t>ref</m:t>
            </m:r>
          </m:sup>
        </m:sSubSup>
      </m:oMath>
      <w:r w:rsidRPr="00CC6CA3">
        <w:rPr>
          <w:iCs/>
        </w:rPr>
        <w:t xml:space="preserve">. </w:t>
      </w:r>
    </w:p>
    <w:p w14:paraId="407B898C" w14:textId="77777777" w:rsidR="002122FA" w:rsidRPr="00CC6CA3" w:rsidRDefault="002122FA" w:rsidP="002122FA">
      <w:pPr>
        <w:pStyle w:val="Body"/>
        <w:keepNext/>
        <w:jc w:val="center"/>
      </w:pPr>
      <w:r w:rsidRPr="00CC6CA3">
        <w:rPr>
          <w:noProof/>
        </w:rPr>
        <w:drawing>
          <wp:inline distT="0" distB="0" distL="0" distR="0" wp14:anchorId="1ABA2885" wp14:editId="72B12F1C">
            <wp:extent cx="5400000" cy="315280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00" cy="3152809"/>
                    </a:xfrm>
                    <a:prstGeom prst="rect">
                      <a:avLst/>
                    </a:prstGeom>
                    <a:noFill/>
                  </pic:spPr>
                </pic:pic>
              </a:graphicData>
            </a:graphic>
          </wp:inline>
        </w:drawing>
      </w:r>
    </w:p>
    <w:p w14:paraId="5E58A04A" w14:textId="3263AFDE" w:rsidR="002122FA" w:rsidRPr="00CC6CA3" w:rsidRDefault="002122FA" w:rsidP="002122FA">
      <w:pPr>
        <w:pStyle w:val="Caption"/>
        <w:jc w:val="center"/>
      </w:pPr>
      <w:bookmarkStart w:id="400" w:name="_Ref32995262"/>
      <w:bookmarkStart w:id="401" w:name="_Toc8155340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38</w:t>
      </w:r>
      <w:r w:rsidR="00D62691" w:rsidRPr="00CC6CA3">
        <w:rPr>
          <w:noProof/>
        </w:rPr>
        <w:fldChar w:fldCharType="end"/>
      </w:r>
      <w:bookmarkEnd w:id="400"/>
      <w:r w:rsidRPr="00CC6CA3">
        <w:t xml:space="preserve"> Model 3: </w:t>
      </w:r>
      <w:r w:rsidRPr="00CC6CA3">
        <w:rPr>
          <w:rFonts w:ascii="Times-Roman" w:hAnsi="Times-Roman" w:cs="Times-Roman"/>
          <w:szCs w:val="20"/>
        </w:rPr>
        <w:t xml:space="preserve">SAE based fault </w:t>
      </w:r>
      <w:r w:rsidRPr="00CC6CA3">
        <w:t>detection model</w:t>
      </w:r>
      <w:bookmarkEnd w:id="401"/>
    </w:p>
    <w:p w14:paraId="5715D55B" w14:textId="23E4758E" w:rsidR="00C579DD" w:rsidRPr="00CC6CA3" w:rsidRDefault="00C579DD" w:rsidP="00C579DD">
      <w:pPr>
        <w:pStyle w:val="Heading3"/>
      </w:pPr>
      <w:bookmarkStart w:id="402" w:name="_Toc81553292"/>
      <w:r w:rsidRPr="00CC6CA3">
        <w:lastRenderedPageBreak/>
        <w:t>Case studies: fault detection using the SAE model</w:t>
      </w:r>
      <w:bookmarkEnd w:id="402"/>
    </w:p>
    <w:p w14:paraId="090A2E52" w14:textId="1CC82E52" w:rsidR="002122FA" w:rsidRPr="00CC6CA3" w:rsidRDefault="002122FA" w:rsidP="00C579DD">
      <w:pPr>
        <w:pStyle w:val="Heading4"/>
      </w:pPr>
      <w:r w:rsidRPr="00CC6CA3">
        <w:t>Case 1</w:t>
      </w:r>
      <w:r w:rsidR="00C532A8" w:rsidRPr="00CC6CA3">
        <w:t>: misalignment fault in a pump</w:t>
      </w:r>
    </w:p>
    <w:p w14:paraId="41CD62C7" w14:textId="77777777" w:rsidR="00176755" w:rsidRPr="00CC6CA3" w:rsidRDefault="002122FA" w:rsidP="00176755">
      <w:r w:rsidRPr="00CC6CA3">
        <w:t xml:space="preserve">In this case study, </w:t>
      </w:r>
      <w:r w:rsidR="00176755" w:rsidRPr="00CC6CA3">
        <w:t>the SAE fault detection model was trained on the data for the period from 10</w:t>
      </w:r>
      <w:r w:rsidR="00176755" w:rsidRPr="00CC6CA3">
        <w:rPr>
          <w:vertAlign w:val="superscript"/>
        </w:rPr>
        <w:t>th</w:t>
      </w:r>
      <w:r w:rsidR="00176755" w:rsidRPr="00CC6CA3">
        <w:t xml:space="preserve"> Mar to 21</w:t>
      </w:r>
      <w:r w:rsidR="00176755" w:rsidRPr="00CC6CA3">
        <w:rPr>
          <w:vertAlign w:val="superscript"/>
        </w:rPr>
        <w:t>st</w:t>
      </w:r>
      <w:r w:rsidR="00176755" w:rsidRPr="00CC6CA3">
        <w:t xml:space="preserve"> Jun 2013, the same training data as applied in the NARX and PCA models. The model was then tested using data from 22</w:t>
      </w:r>
      <w:r w:rsidR="00176755" w:rsidRPr="00CC6CA3">
        <w:rPr>
          <w:vertAlign w:val="superscript"/>
        </w:rPr>
        <w:t>nd</w:t>
      </w:r>
      <w:r w:rsidR="00176755" w:rsidRPr="00CC6CA3">
        <w:t xml:space="preserve"> Jun to 6</w:t>
      </w:r>
      <w:r w:rsidR="00176755" w:rsidRPr="00CC6CA3">
        <w:rPr>
          <w:vertAlign w:val="superscript"/>
        </w:rPr>
        <w:t>th</w:t>
      </w:r>
      <w:r w:rsidR="00176755" w:rsidRPr="00CC6CA3">
        <w:t xml:space="preserve"> Jul 2013, during which time a misalignment fault occurred (see Figure 3-14). The inputs and outputs of the SAE model for the pump were the measurements listed in Table 3-1, as for the PCA model, because these two models use unsupervised machine learning.</w:t>
      </w:r>
    </w:p>
    <w:p w14:paraId="1AC0A5F1" w14:textId="0DF481A9" w:rsidR="002122FA" w:rsidRPr="00CC6CA3" w:rsidRDefault="00176755" w:rsidP="00176755">
      <w:r w:rsidRPr="00CC6CA3">
        <w:t>The offline training phase can be seen in</w:t>
      </w:r>
      <w:r w:rsidR="002122FA" w:rsidRPr="00CC6CA3">
        <w:t xml:space="preserve"> </w:t>
      </w:r>
      <w:r w:rsidR="002122FA" w:rsidRPr="00CC6CA3">
        <w:fldChar w:fldCharType="begin"/>
      </w:r>
      <w:r w:rsidR="002122FA" w:rsidRPr="00CC6CA3">
        <w:instrText xml:space="preserve"> REF _Ref63196616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39</w:t>
      </w:r>
      <w:r w:rsidR="002122FA" w:rsidRPr="00CC6CA3">
        <w:fldChar w:fldCharType="end"/>
      </w:r>
      <w:r w:rsidR="002122FA" w:rsidRPr="00CC6CA3">
        <w:t xml:space="preserve"> (a), </w:t>
      </w:r>
      <w:r w:rsidRPr="00CC6CA3">
        <w:t>where the blue points are healthy data, the magenta line is the reference MD threshold, and the red points are anomalies. The reference threshold (</w:t>
      </w:r>
      <m:oMath>
        <m:sSup>
          <m:sSupPr>
            <m:ctrlPr>
              <w:rPr>
                <w:rFonts w:ascii="Cambria Math" w:hAnsi="Cambria Math"/>
              </w:rPr>
            </m:ctrlPr>
          </m:sSupPr>
          <m:e>
            <m:r>
              <w:rPr>
                <w:rFonts w:ascii="Cambria Math" w:hAnsi="Cambria Math"/>
              </w:rPr>
              <m:t>MD</m:t>
            </m:r>
          </m:e>
          <m:sup>
            <m:r>
              <w:rPr>
                <w:rFonts w:ascii="Cambria Math" w:hAnsi="Cambria Math"/>
              </w:rPr>
              <m:t>ref</m:t>
            </m:r>
          </m:sup>
        </m:sSup>
      </m:oMath>
      <w:r w:rsidRPr="00CC6CA3">
        <w:t>) was calculated during the training stage, with confidence</w:t>
      </w:r>
      <w:r w:rsidR="002122FA" w:rsidRPr="00CC6CA3">
        <w:t xml:space="preserve"> level </w:t>
      </w:r>
      <m:oMath>
        <m:r>
          <w:rPr>
            <w:rFonts w:ascii="Cambria Math" w:hAnsi="Cambria Math"/>
          </w:rPr>
          <m:t>α</m:t>
        </m:r>
        <m:r>
          <m:rPr>
            <m:sty m:val="p"/>
          </m:rPr>
          <w:rPr>
            <w:rFonts w:ascii="Cambria Math" w:hAnsi="Cambria Math"/>
          </w:rPr>
          <m:t>=0.99</m:t>
        </m:r>
      </m:oMath>
      <w:r w:rsidR="002122FA" w:rsidRPr="00CC6CA3">
        <w:t xml:space="preserve"> </w:t>
      </w:r>
      <w:r w:rsidR="002122FA" w:rsidRPr="00CC6CA3">
        <w:fldChar w:fldCharType="begin"/>
      </w:r>
      <w:r w:rsidR="007D1BCC" w:rsidRPr="00CC6CA3">
        <w:instrText xml:space="preserve"> ADDIN ZOTERO_ITEM CSL_CITATION {"citationID":"cLMs9akW","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002122FA" w:rsidRPr="00CC6CA3">
        <w:fldChar w:fldCharType="separate"/>
      </w:r>
      <w:r w:rsidR="007D1BCC" w:rsidRPr="00CC6CA3">
        <w:rPr>
          <w:rFonts w:cs="Times New Roman"/>
        </w:rPr>
        <w:t>[105]</w:t>
      </w:r>
      <w:r w:rsidR="002122FA" w:rsidRPr="00CC6CA3">
        <w:fldChar w:fldCharType="end"/>
      </w:r>
      <w:r w:rsidR="002122FA" w:rsidRPr="00CC6CA3">
        <w:t>, the number of nodes in the hidden layer set to 10, and sparsity regularisation value set to 1.</w:t>
      </w:r>
    </w:p>
    <w:p w14:paraId="1412B37D" w14:textId="4F98C669" w:rsidR="002122FA" w:rsidRPr="00CC6CA3" w:rsidRDefault="00A70249" w:rsidP="00A70249">
      <w:pPr>
        <w:keepNext/>
        <w:spacing w:line="240" w:lineRule="auto"/>
        <w:jc w:val="center"/>
      </w:pPr>
      <w:r w:rsidRPr="00CC6CA3">
        <w:object w:dxaOrig="9049" w:dyaOrig="6049" w14:anchorId="0254A67E">
          <v:shape id="_x0000_i1069" type="#_x0000_t75" style="width:333pt;height:227pt" o:ole="">
            <v:imagedata r:id="rId141" o:title=""/>
          </v:shape>
          <o:OLEObject Type="Embed" ProgID="Visio.Drawing.15" ShapeID="_x0000_i1069" DrawAspect="Content" ObjectID="_1692500348" r:id="rId142"/>
        </w:object>
      </w:r>
    </w:p>
    <w:p w14:paraId="2C7C8878" w14:textId="72A9EF9C" w:rsidR="002122FA" w:rsidRPr="00CC6CA3" w:rsidRDefault="002122FA" w:rsidP="00A70249">
      <w:pPr>
        <w:pStyle w:val="Caption"/>
        <w:jc w:val="center"/>
      </w:pPr>
      <w:bookmarkStart w:id="403" w:name="_Ref63196616"/>
      <w:bookmarkStart w:id="404" w:name="_Toc8155340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39</w:t>
      </w:r>
      <w:r w:rsidR="00D62691" w:rsidRPr="00CC6CA3">
        <w:rPr>
          <w:noProof/>
        </w:rPr>
        <w:fldChar w:fldCharType="end"/>
      </w:r>
      <w:bookmarkEnd w:id="403"/>
      <w:r w:rsidRPr="00CC6CA3">
        <w:t xml:space="preserve"> </w:t>
      </w:r>
      <w:r w:rsidR="00993607" w:rsidRPr="00CC6CA3">
        <w:t xml:space="preserve">The MD calculated in the </w:t>
      </w:r>
      <w:r w:rsidRPr="00CC6CA3">
        <w:t xml:space="preserve">training and monitoring phases of the SAE model for case 1, (a) </w:t>
      </w:r>
      <w:r w:rsidR="00993607" w:rsidRPr="00CC6CA3">
        <w:t>MD calculated in the offline training phase, (b) MD calculated in the online monitoring phase</w:t>
      </w:r>
      <w:r w:rsidRPr="00CC6CA3">
        <w:t>.</w:t>
      </w:r>
      <w:bookmarkEnd w:id="404"/>
    </w:p>
    <w:p w14:paraId="4B68BC30" w14:textId="7FE93DAE" w:rsidR="00A70249" w:rsidRPr="00CC6CA3" w:rsidRDefault="00A70249" w:rsidP="00A70249">
      <w:r w:rsidRPr="00CC6CA3">
        <w:t xml:space="preserve">The online monitoring phase is presented in </w:t>
      </w:r>
      <w:r w:rsidRPr="00CC6CA3">
        <w:fldChar w:fldCharType="begin"/>
      </w:r>
      <w:r w:rsidRPr="00CC6CA3">
        <w:instrText xml:space="preserve"> REF _Ref63196616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39</w:t>
      </w:r>
      <w:r w:rsidRPr="00CC6CA3">
        <w:fldChar w:fldCharType="end"/>
      </w:r>
      <w:r w:rsidRPr="00CC6CA3">
        <w:t xml:space="preserve"> (b). In the figure, the pump is considered healthy before 04</w:t>
      </w:r>
      <w:r w:rsidRPr="00CC6CA3">
        <w:rPr>
          <w:rFonts w:hint="eastAsia"/>
        </w:rPr>
        <w:t>:</w:t>
      </w:r>
      <w:r w:rsidRPr="00CC6CA3">
        <w:t>00 on 3</w:t>
      </w:r>
      <w:r w:rsidRPr="00CC6CA3">
        <w:rPr>
          <w:vertAlign w:val="superscript"/>
        </w:rPr>
        <w:t>rd</w:t>
      </w:r>
      <w:r w:rsidRPr="00CC6CA3">
        <w:t xml:space="preserve"> Jul 2013, as no continuous anomalies exceeded the threshold. After that time, continuous anomalies were detected, which indicated that the pump had suffered a fault. The influence of the parameters such as confidence level, </w:t>
      </w:r>
      <m:oMath>
        <m:r>
          <w:rPr>
            <w:rFonts w:ascii="Cambria Math" w:hAnsi="Cambria Math"/>
          </w:rPr>
          <m:t>α</m:t>
        </m:r>
      </m:oMath>
      <w:r w:rsidRPr="00CC6CA3">
        <w:t xml:space="preserve">, the </w:t>
      </w:r>
      <w:r w:rsidRPr="00CC6CA3">
        <w:lastRenderedPageBreak/>
        <w:t xml:space="preserve">number of nodes in the hidden layer, and sparsity regularisation value, on the performance of the SAE </w:t>
      </w:r>
      <w:r w:rsidRPr="00CC6CA3">
        <w:rPr>
          <w:rFonts w:hint="eastAsia"/>
        </w:rPr>
        <w:t>fault</w:t>
      </w:r>
      <w:r w:rsidRPr="00CC6CA3">
        <w:t xml:space="preserve"> detection model is presented below for each case study.</w:t>
      </w:r>
    </w:p>
    <w:p w14:paraId="408C3710" w14:textId="1CC21125" w:rsidR="002122FA" w:rsidRPr="00CC6CA3" w:rsidRDefault="00B10E23" w:rsidP="002122FA">
      <w:r w:rsidRPr="00CC6CA3">
        <w:t xml:space="preserve">A 2D contribution map of the SAE model for Case 1 is presented in </w:t>
      </w:r>
      <w:r w:rsidR="002122FA" w:rsidRPr="00CC6CA3">
        <w:fldChar w:fldCharType="begin"/>
      </w:r>
      <w:r w:rsidR="002122FA" w:rsidRPr="00CC6CA3">
        <w:instrText xml:space="preserve"> REF _Ref63198779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40</w:t>
      </w:r>
      <w:r w:rsidR="002122FA" w:rsidRPr="00CC6CA3">
        <w:fldChar w:fldCharType="end"/>
      </w:r>
      <w:r w:rsidR="002122FA" w:rsidRPr="00CC6CA3">
        <w:t xml:space="preserve">. </w:t>
      </w:r>
      <w:r w:rsidRPr="00CC6CA3">
        <w:t>It clearly shows that the temperatures of the four bearings, and the discharge pressure contributed to the increase of the system fault feature</w:t>
      </w:r>
      <w:r w:rsidR="002122FA" w:rsidRPr="00CC6CA3">
        <w:t xml:space="preserve">. </w:t>
      </w:r>
      <w:r w:rsidRPr="00CC6CA3">
        <w:t xml:space="preserve">The results give maintenance staff a clear indication of bearing related faults, </w:t>
      </w:r>
      <w:proofErr w:type="gramStart"/>
      <w:r w:rsidRPr="00CC6CA3">
        <w:t>e.g.</w:t>
      </w:r>
      <w:proofErr w:type="gramEnd"/>
      <w:r w:rsidRPr="00CC6CA3">
        <w:t xml:space="preserve"> bearing faults, misalignment, and/or rotor unbalance</w:t>
      </w:r>
      <w:r w:rsidR="002122FA" w:rsidRPr="00CC6CA3">
        <w:t>.</w:t>
      </w:r>
    </w:p>
    <w:p w14:paraId="5E2947FD" w14:textId="31DE1739" w:rsidR="002122FA" w:rsidRPr="00CC6CA3" w:rsidRDefault="001E0C91" w:rsidP="002122FA">
      <w:pPr>
        <w:keepNext/>
        <w:jc w:val="center"/>
      </w:pPr>
      <w:r w:rsidRPr="00CC6CA3">
        <w:rPr>
          <w:noProof/>
        </w:rPr>
        <w:drawing>
          <wp:inline distT="0" distB="0" distL="0" distR="0" wp14:anchorId="37FE04CE" wp14:editId="21D7C300">
            <wp:extent cx="5558104" cy="322389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76281" cy="3234438"/>
                    </a:xfrm>
                    <a:prstGeom prst="rect">
                      <a:avLst/>
                    </a:prstGeom>
                    <a:noFill/>
                  </pic:spPr>
                </pic:pic>
              </a:graphicData>
            </a:graphic>
          </wp:inline>
        </w:drawing>
      </w:r>
    </w:p>
    <w:p w14:paraId="70BB9351" w14:textId="70420173" w:rsidR="002122FA" w:rsidRPr="00CC6CA3" w:rsidRDefault="002122FA" w:rsidP="002122FA">
      <w:pPr>
        <w:pStyle w:val="Caption"/>
        <w:jc w:val="center"/>
      </w:pPr>
      <w:bookmarkStart w:id="405" w:name="_Ref63198779"/>
      <w:bookmarkStart w:id="406" w:name="_Toc8155340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40</w:t>
      </w:r>
      <w:r w:rsidR="00D62691" w:rsidRPr="00CC6CA3">
        <w:rPr>
          <w:noProof/>
        </w:rPr>
        <w:fldChar w:fldCharType="end"/>
      </w:r>
      <w:bookmarkEnd w:id="405"/>
      <w:r w:rsidRPr="00CC6CA3">
        <w:t xml:space="preserve"> 2D contribution map of SAE model for </w:t>
      </w:r>
      <w:r w:rsidR="001E0C91" w:rsidRPr="00CC6CA3">
        <w:t>C</w:t>
      </w:r>
      <w:r w:rsidRPr="00CC6CA3">
        <w:t>ase 1</w:t>
      </w:r>
      <w:bookmarkEnd w:id="406"/>
    </w:p>
    <w:p w14:paraId="670F8588" w14:textId="5018E3CF" w:rsidR="002122FA" w:rsidRPr="00CC6CA3" w:rsidRDefault="002122FA" w:rsidP="002122FA">
      <w:pPr>
        <w:rPr>
          <w:snapToGrid w:val="0"/>
        </w:rPr>
      </w:pPr>
      <w:r w:rsidRPr="00CC6CA3">
        <w:t xml:space="preserve">The ROC curves and AUC values of the SAE model for </w:t>
      </w:r>
      <w:r w:rsidR="00B10E23" w:rsidRPr="00CC6CA3">
        <w:t>C</w:t>
      </w:r>
      <w:r w:rsidRPr="00CC6CA3">
        <w:t xml:space="preserve">ase 1 with different numbers of nodes in the hidden layer and different sparsity regularisation values, were presented in </w:t>
      </w:r>
      <w:r w:rsidRPr="00CC6CA3">
        <w:fldChar w:fldCharType="begin"/>
      </w:r>
      <w:r w:rsidRPr="00CC6CA3">
        <w:instrText xml:space="preserve"> REF _Ref63201846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41</w:t>
      </w:r>
      <w:r w:rsidRPr="00CC6CA3">
        <w:fldChar w:fldCharType="end"/>
      </w:r>
      <w:r w:rsidRPr="00CC6CA3">
        <w:t xml:space="preserve"> and </w:t>
      </w:r>
      <w:r w:rsidRPr="00CC6CA3">
        <w:fldChar w:fldCharType="begin"/>
      </w:r>
      <w:r w:rsidRPr="00CC6CA3">
        <w:instrText xml:space="preserve"> REF _Ref63201858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42</w:t>
      </w:r>
      <w:r w:rsidRPr="00CC6CA3">
        <w:fldChar w:fldCharType="end"/>
      </w:r>
      <w:r w:rsidRPr="00CC6CA3">
        <w:t xml:space="preserve">, respectively. </w:t>
      </w:r>
      <w:r w:rsidR="00B10E23" w:rsidRPr="00CC6CA3">
        <w:t xml:space="preserve">The ROC curves were obtained by changing the confidence level </w:t>
      </w:r>
      <m:oMath>
        <m:r>
          <w:rPr>
            <w:rFonts w:ascii="Cambria Math" w:hAnsi="Cambria Math"/>
          </w:rPr>
          <m:t>α</m:t>
        </m:r>
      </m:oMath>
      <w:r w:rsidR="00B10E23" w:rsidRPr="00CC6CA3">
        <w:t xml:space="preserve">, which influences both the </w:t>
      </w:r>
      <w:r w:rsidR="00B10E23" w:rsidRPr="00CC6CA3">
        <w:rPr>
          <w:snapToGrid w:val="0"/>
        </w:rPr>
        <w:t xml:space="preserve">FDR and FAR. </w:t>
      </w:r>
      <w:r w:rsidR="00B10E23" w:rsidRPr="00CC6CA3">
        <w:t>Both figures show that the SAE model performs very well in Case 1 with high FDRs, low FARs, and high AUC values (above 0.97)</w:t>
      </w:r>
      <w:r w:rsidRPr="00CC6CA3">
        <w:t>.</w:t>
      </w:r>
    </w:p>
    <w:p w14:paraId="59829D07" w14:textId="6805141A" w:rsidR="002122FA" w:rsidRPr="00CC6CA3" w:rsidRDefault="00A61614" w:rsidP="002122FA">
      <w:pPr>
        <w:keepNext/>
        <w:jc w:val="center"/>
      </w:pPr>
      <w:r w:rsidRPr="00CC6CA3">
        <w:object w:dxaOrig="9205" w:dyaOrig="6049" w14:anchorId="5407F089">
          <v:shape id="_x0000_i1070" type="#_x0000_t75" style="width:334pt;height:220pt;mso-position-horizontal:absolute" o:ole="">
            <v:imagedata r:id="rId144" o:title=""/>
          </v:shape>
          <o:OLEObject Type="Embed" ProgID="Visio.Drawing.15" ShapeID="_x0000_i1070" DrawAspect="Content" ObjectID="_1692500349" r:id="rId145"/>
        </w:object>
      </w:r>
    </w:p>
    <w:p w14:paraId="02CF0198" w14:textId="011CC656" w:rsidR="002122FA" w:rsidRPr="00CC6CA3" w:rsidRDefault="002122FA" w:rsidP="002122FA">
      <w:pPr>
        <w:pStyle w:val="Caption"/>
        <w:jc w:val="center"/>
      </w:pPr>
      <w:bookmarkStart w:id="407" w:name="_Ref63201846"/>
      <w:bookmarkStart w:id="408" w:name="_Toc8155340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41</w:t>
      </w:r>
      <w:r w:rsidR="00D62691" w:rsidRPr="00CC6CA3">
        <w:rPr>
          <w:noProof/>
        </w:rPr>
        <w:fldChar w:fldCharType="end"/>
      </w:r>
      <w:bookmarkEnd w:id="407"/>
      <w:r w:rsidRPr="00CC6CA3">
        <w:t xml:space="preserve"> ROC curves and AUC values of SAE model for </w:t>
      </w:r>
      <w:r w:rsidR="00B10E23" w:rsidRPr="00CC6CA3">
        <w:t>C</w:t>
      </w:r>
      <w:r w:rsidRPr="00CC6CA3">
        <w:t xml:space="preserve">ase 1, (a) ROC curves for SAE model with different numbers of SAE nodes, (b) AUC values for SAE model with different numbers of </w:t>
      </w:r>
      <w:r w:rsidR="00B10E23" w:rsidRPr="00CC6CA3">
        <w:t xml:space="preserve">SAE </w:t>
      </w:r>
      <w:r w:rsidRPr="00CC6CA3">
        <w:t>nodes.</w:t>
      </w:r>
      <w:bookmarkEnd w:id="408"/>
    </w:p>
    <w:p w14:paraId="5A7CD4D9" w14:textId="6C7C3379" w:rsidR="002122FA" w:rsidRPr="00CC6CA3" w:rsidRDefault="00A61614" w:rsidP="002122FA">
      <w:pPr>
        <w:keepNext/>
        <w:jc w:val="center"/>
      </w:pPr>
      <w:r w:rsidRPr="00CC6CA3">
        <w:object w:dxaOrig="9300" w:dyaOrig="6049" w14:anchorId="4FA38A1B">
          <v:shape id="_x0000_i1071" type="#_x0000_t75" style="width:344pt;height:220pt;mso-position-horizontal:absolute" o:ole="">
            <v:imagedata r:id="rId146" o:title=""/>
          </v:shape>
          <o:OLEObject Type="Embed" ProgID="Visio.Drawing.15" ShapeID="_x0000_i1071" DrawAspect="Content" ObjectID="_1692500350" r:id="rId147"/>
        </w:object>
      </w:r>
    </w:p>
    <w:p w14:paraId="01FE5E42" w14:textId="380775EC" w:rsidR="002122FA" w:rsidRPr="00CC6CA3" w:rsidRDefault="002122FA" w:rsidP="002122FA">
      <w:pPr>
        <w:pStyle w:val="Caption"/>
        <w:jc w:val="center"/>
      </w:pPr>
      <w:bookmarkStart w:id="409" w:name="_Ref63201858"/>
      <w:bookmarkStart w:id="410" w:name="_Toc8155340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42</w:t>
      </w:r>
      <w:r w:rsidR="00D62691" w:rsidRPr="00CC6CA3">
        <w:rPr>
          <w:noProof/>
        </w:rPr>
        <w:fldChar w:fldCharType="end"/>
      </w:r>
      <w:bookmarkEnd w:id="409"/>
      <w:r w:rsidRPr="00CC6CA3">
        <w:t xml:space="preserve"> ROC curves and AUC values of SAE model for </w:t>
      </w:r>
      <w:r w:rsidR="00B10E23" w:rsidRPr="00CC6CA3">
        <w:t>C</w:t>
      </w:r>
      <w:r w:rsidRPr="00CC6CA3">
        <w:t>ase 1, (a) ROC curves for SAE model with different sparsity regularisation values, (b) AUC values for SAE model with different sparsity regularisation values.</w:t>
      </w:r>
      <w:bookmarkEnd w:id="410"/>
    </w:p>
    <w:p w14:paraId="0A8E0572" w14:textId="01390D56" w:rsidR="00B10E23" w:rsidRPr="00CC6CA3" w:rsidRDefault="00B10E23" w:rsidP="002122FA">
      <w:r w:rsidRPr="00CC6CA3">
        <w:t xml:space="preserve">AUC values for the SAE model with a wider range of nodes and sparsity regularisation values for Case 1 compared to </w:t>
      </w:r>
      <w:r w:rsidRPr="00CC6CA3">
        <w:fldChar w:fldCharType="begin"/>
      </w:r>
      <w:r w:rsidRPr="00CC6CA3">
        <w:instrText xml:space="preserve"> REF _Ref63201846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41</w:t>
      </w:r>
      <w:r w:rsidRPr="00CC6CA3">
        <w:fldChar w:fldCharType="end"/>
      </w:r>
      <w:r w:rsidRPr="00CC6CA3">
        <w:t xml:space="preserve"> and </w:t>
      </w:r>
      <w:r w:rsidRPr="00CC6CA3">
        <w:fldChar w:fldCharType="begin"/>
      </w:r>
      <w:r w:rsidRPr="00CC6CA3">
        <w:instrText xml:space="preserve"> REF _Ref63201858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42</w:t>
      </w:r>
      <w:r w:rsidRPr="00CC6CA3">
        <w:fldChar w:fldCharType="end"/>
      </w:r>
      <w:r w:rsidRPr="00CC6CA3">
        <w:t xml:space="preserve"> are shown in </w:t>
      </w:r>
      <w:r w:rsidRPr="00CC6CA3">
        <w:fldChar w:fldCharType="begin"/>
      </w:r>
      <w:r w:rsidRPr="00CC6CA3">
        <w:instrText xml:space="preserve"> REF _Ref63202905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43</w:t>
      </w:r>
      <w:r w:rsidRPr="00CC6CA3">
        <w:fldChar w:fldCharType="end"/>
      </w:r>
      <w:r w:rsidRPr="00CC6CA3">
        <w:t>. As can be seen that, the SAE model performed very well in this case, as the AUC values were above 0.95, when the number of nodes ranged from 4 to 20, and sparsity regularisation values ranged from 0.1 to 4.2.</w:t>
      </w:r>
    </w:p>
    <w:p w14:paraId="48F512AC" w14:textId="77777777" w:rsidR="002122FA" w:rsidRPr="00CC6CA3" w:rsidRDefault="002122FA" w:rsidP="002122FA">
      <w:pPr>
        <w:keepNext/>
        <w:jc w:val="center"/>
      </w:pPr>
      <w:r w:rsidRPr="00CC6CA3">
        <w:object w:dxaOrig="17065" w:dyaOrig="6445" w14:anchorId="4FF61044">
          <v:shape id="_x0000_i1072" type="#_x0000_t75" style="width:438pt;height:168pt" o:ole="">
            <v:imagedata r:id="rId148" o:title=""/>
          </v:shape>
          <o:OLEObject Type="Embed" ProgID="Visio.Drawing.15" ShapeID="_x0000_i1072" DrawAspect="Content" ObjectID="_1692500351" r:id="rId149"/>
        </w:object>
      </w:r>
    </w:p>
    <w:p w14:paraId="7CDA206E" w14:textId="77F1AC43" w:rsidR="002122FA" w:rsidRPr="00CC6CA3" w:rsidRDefault="002122FA" w:rsidP="002122FA">
      <w:pPr>
        <w:pStyle w:val="Caption"/>
        <w:jc w:val="center"/>
      </w:pPr>
      <w:bookmarkStart w:id="411" w:name="_Ref63202905"/>
      <w:bookmarkStart w:id="412" w:name="_Toc8155340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43</w:t>
      </w:r>
      <w:r w:rsidR="00D62691" w:rsidRPr="00CC6CA3">
        <w:rPr>
          <w:noProof/>
        </w:rPr>
        <w:fldChar w:fldCharType="end"/>
      </w:r>
      <w:bookmarkEnd w:id="411"/>
      <w:r w:rsidRPr="00CC6CA3">
        <w:t xml:space="preserve"> AUC values for the SAE model with different numbers of nodes and sparsity regularisation for </w:t>
      </w:r>
      <w:r w:rsidR="004545CE" w:rsidRPr="00CC6CA3">
        <w:t>C</w:t>
      </w:r>
      <w:r w:rsidRPr="00CC6CA3">
        <w:t>ase 1, (a) 3D figure, (b) 2D figure.</w:t>
      </w:r>
      <w:bookmarkEnd w:id="412"/>
    </w:p>
    <w:p w14:paraId="571B14E5" w14:textId="3BAE2672" w:rsidR="002122FA" w:rsidRPr="00CC6CA3" w:rsidRDefault="002122FA" w:rsidP="00C579DD">
      <w:pPr>
        <w:pStyle w:val="Heading4"/>
      </w:pPr>
      <w:r w:rsidRPr="00CC6CA3">
        <w:t>Case 2</w:t>
      </w:r>
      <w:r w:rsidR="00C532A8" w:rsidRPr="00CC6CA3">
        <w:t>: misalignment fault and pump bearing fault</w:t>
      </w:r>
    </w:p>
    <w:p w14:paraId="44FD75A0" w14:textId="578B81AF" w:rsidR="002122FA" w:rsidRPr="00CC6CA3" w:rsidRDefault="004545CE" w:rsidP="002122FA">
      <w:r w:rsidRPr="00CC6CA3">
        <w:t>In this case study, the SAE fault detection model was trained on data for the period from 1</w:t>
      </w:r>
      <w:r w:rsidRPr="00CC6CA3">
        <w:rPr>
          <w:vertAlign w:val="superscript"/>
        </w:rPr>
        <w:t>st</w:t>
      </w:r>
      <w:r w:rsidRPr="00CC6CA3">
        <w:t xml:space="preserve"> Sep 2015 to 11</w:t>
      </w:r>
      <w:r w:rsidRPr="00CC6CA3">
        <w:rPr>
          <w:vertAlign w:val="superscript"/>
        </w:rPr>
        <w:t>th</w:t>
      </w:r>
      <w:r w:rsidRPr="00CC6CA3">
        <w:t xml:space="preserve"> Jul 2016, during which there was no recorded fault with the pump, the same training data as was applied to the NARX and PCA models. The model was then tested using data from 12</w:t>
      </w:r>
      <w:r w:rsidRPr="00CC6CA3">
        <w:rPr>
          <w:vertAlign w:val="superscript"/>
        </w:rPr>
        <w:t>th</w:t>
      </w:r>
      <w:r w:rsidRPr="00CC6CA3">
        <w:t xml:space="preserve"> Jul to 23</w:t>
      </w:r>
      <w:r w:rsidRPr="00CC6CA3">
        <w:rPr>
          <w:vertAlign w:val="superscript"/>
        </w:rPr>
        <w:t>rd</w:t>
      </w:r>
      <w:r w:rsidRPr="00CC6CA3">
        <w:t xml:space="preserve"> Aug 2016, during which a misalignment and a bearing fault occurred (see </w:t>
      </w:r>
      <w:r w:rsidR="002122FA" w:rsidRPr="00CC6CA3">
        <w:t xml:space="preserve">Figure 3-15). </w:t>
      </w:r>
      <w:r w:rsidRPr="00CC6CA3">
        <w:t>The inputs and output of the SAE model for the pump were the measurements listed in</w:t>
      </w:r>
      <w:r w:rsidR="002122FA" w:rsidRPr="00CC6CA3">
        <w:t xml:space="preserve"> Table 3-1.</w:t>
      </w:r>
    </w:p>
    <w:p w14:paraId="4A964C32" w14:textId="387C0877" w:rsidR="002122FA" w:rsidRPr="00CC6CA3" w:rsidRDefault="002122FA" w:rsidP="002122FA">
      <w:r w:rsidRPr="00CC6CA3">
        <w:t xml:space="preserve">The offline training phase can be found in </w:t>
      </w:r>
      <w:r w:rsidRPr="00CC6CA3">
        <w:fldChar w:fldCharType="begin"/>
      </w:r>
      <w:r w:rsidRPr="00CC6CA3">
        <w:instrText xml:space="preserve"> REF _Ref63244134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44</w:t>
      </w:r>
      <w:r w:rsidRPr="00CC6CA3">
        <w:fldChar w:fldCharType="end"/>
      </w:r>
      <w:r w:rsidRPr="00CC6CA3">
        <w:t xml:space="preserve"> (a), </w:t>
      </w:r>
      <w:r w:rsidR="004545CE" w:rsidRPr="00CC6CA3">
        <w:t xml:space="preserve">with the blue points healthy data, the magenta line the calculated reference MD threshold, and the red points anomalies. The threshold was calculated during the training stage, with confidence level </w:t>
      </w:r>
      <m:oMath>
        <m:r>
          <w:rPr>
            <w:rFonts w:ascii="Cambria Math" w:hAnsi="Cambria Math"/>
          </w:rPr>
          <m:t>α</m:t>
        </m:r>
        <m:r>
          <m:rPr>
            <m:sty m:val="p"/>
          </m:rPr>
          <w:rPr>
            <w:rFonts w:ascii="Cambria Math" w:hAnsi="Cambria Math"/>
          </w:rPr>
          <m:t>=0.99</m:t>
        </m:r>
      </m:oMath>
      <w:r w:rsidR="00F13208" w:rsidRPr="00CC6CA3">
        <w:t xml:space="preserve"> </w:t>
      </w:r>
      <w:r w:rsidR="00F13208" w:rsidRPr="00CC6CA3">
        <w:fldChar w:fldCharType="begin"/>
      </w:r>
      <w:r w:rsidR="007D1BCC" w:rsidRPr="00CC6CA3">
        <w:instrText xml:space="preserve"> ADDIN ZOTERO_ITEM CSL_CITATION {"citationID":"ktwofygq","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00F13208" w:rsidRPr="00CC6CA3">
        <w:fldChar w:fldCharType="separate"/>
      </w:r>
      <w:r w:rsidR="007D1BCC" w:rsidRPr="00CC6CA3">
        <w:rPr>
          <w:rFonts w:cs="Times New Roman"/>
        </w:rPr>
        <w:t>[105]</w:t>
      </w:r>
      <w:r w:rsidR="00F13208" w:rsidRPr="00CC6CA3">
        <w:fldChar w:fldCharType="end"/>
      </w:r>
      <w:r w:rsidR="004545CE" w:rsidRPr="00CC6CA3">
        <w:t>, the number of nodes in the hidden layer set to 10, and the sparsity regularisation value set to 1</w:t>
      </w:r>
      <w:r w:rsidRPr="00CC6CA3">
        <w:t>.</w:t>
      </w:r>
    </w:p>
    <w:p w14:paraId="02F6088A" w14:textId="28F2A4CE" w:rsidR="002122FA" w:rsidRPr="00CC6CA3" w:rsidRDefault="002122FA" w:rsidP="002122FA">
      <w:r w:rsidRPr="00CC6CA3">
        <w:t xml:space="preserve">The online monitoring phase is presented in </w:t>
      </w:r>
      <w:r w:rsidRPr="00CC6CA3">
        <w:fldChar w:fldCharType="begin"/>
      </w:r>
      <w:r w:rsidRPr="00CC6CA3">
        <w:instrText xml:space="preserve"> REF _Ref63244134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44</w:t>
      </w:r>
      <w:r w:rsidRPr="00CC6CA3">
        <w:fldChar w:fldCharType="end"/>
      </w:r>
      <w:r w:rsidRPr="00CC6CA3">
        <w:t xml:space="preserve"> (b). </w:t>
      </w:r>
      <w:r w:rsidR="004545CE" w:rsidRPr="00CC6CA3">
        <w:t xml:space="preserve">The pump was healthy before </w:t>
      </w:r>
      <w:r w:rsidR="004545CE" w:rsidRPr="00CC6CA3">
        <w:rPr>
          <w:rFonts w:hint="eastAsia"/>
        </w:rPr>
        <w:t>1</w:t>
      </w:r>
      <w:r w:rsidR="004545CE" w:rsidRPr="00CC6CA3">
        <w:t>6</w:t>
      </w:r>
      <w:r w:rsidR="004545CE" w:rsidRPr="00CC6CA3">
        <w:rPr>
          <w:rFonts w:hint="eastAsia"/>
        </w:rPr>
        <w:t>:</w:t>
      </w:r>
      <w:r w:rsidR="004545CE" w:rsidRPr="00CC6CA3">
        <w:t>00 on 17</w:t>
      </w:r>
      <w:r w:rsidR="004545CE" w:rsidRPr="00CC6CA3">
        <w:rPr>
          <w:vertAlign w:val="superscript"/>
        </w:rPr>
        <w:t>th</w:t>
      </w:r>
      <w:r w:rsidR="004545CE" w:rsidRPr="00CC6CA3">
        <w:t xml:space="preserve"> Jul 2016, as no continuous anomalies exceeded the threshold. After that time, continuous anomalies are seen, which indicates that the pump suffered a fault. The effects of parameters, such as confidence level </w:t>
      </w:r>
      <m:oMath>
        <m:r>
          <w:rPr>
            <w:rFonts w:ascii="Cambria Math" w:hAnsi="Cambria Math"/>
          </w:rPr>
          <m:t>α</m:t>
        </m:r>
      </m:oMath>
      <w:r w:rsidR="004545CE" w:rsidRPr="00CC6CA3">
        <w:t>, the number of nodes in the hidden layer, and the sparsity regularisation value, all of which can influence the performance of the SAE fault detection model are investigated and the results presented below</w:t>
      </w:r>
      <w:r w:rsidRPr="00CC6CA3">
        <w:t>.</w:t>
      </w:r>
    </w:p>
    <w:p w14:paraId="33B2389A" w14:textId="30DDA3C1" w:rsidR="002122FA" w:rsidRPr="00CC6CA3" w:rsidRDefault="00A70249" w:rsidP="00A70249">
      <w:pPr>
        <w:keepNext/>
        <w:spacing w:line="240" w:lineRule="auto"/>
        <w:jc w:val="center"/>
      </w:pPr>
      <w:r w:rsidRPr="00CC6CA3">
        <w:object w:dxaOrig="9049" w:dyaOrig="6049" w14:anchorId="2DDACE1B">
          <v:shape id="_x0000_i1073" type="#_x0000_t75" style="width:352pt;height:239pt" o:ole="">
            <v:imagedata r:id="rId150" o:title=""/>
          </v:shape>
          <o:OLEObject Type="Embed" ProgID="Visio.Drawing.15" ShapeID="_x0000_i1073" DrawAspect="Content" ObjectID="_1692500352" r:id="rId151"/>
        </w:object>
      </w:r>
    </w:p>
    <w:p w14:paraId="573234B4" w14:textId="44C60416" w:rsidR="002122FA" w:rsidRPr="00CC6CA3" w:rsidRDefault="002122FA" w:rsidP="00A70249">
      <w:pPr>
        <w:pStyle w:val="Caption"/>
        <w:jc w:val="center"/>
      </w:pPr>
      <w:bookmarkStart w:id="413" w:name="_Ref63244134"/>
      <w:bookmarkStart w:id="414" w:name="_Toc81553408"/>
      <w:r w:rsidRPr="00CC6CA3">
        <w:t xml:space="preserve">Figure </w:t>
      </w:r>
      <w:r w:rsidR="00D62691" w:rsidRPr="00CC6CA3">
        <w:fldChar w:fldCharType="begin"/>
      </w:r>
      <w:r w:rsidR="00D62691" w:rsidRPr="00CC6CA3">
        <w:instrText xml:space="preserve"> STYLERE</w:instrText>
      </w:r>
      <w:r w:rsidR="00D62691" w:rsidRPr="00CC6CA3">
        <w:instrText xml:space="preserv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44</w:t>
      </w:r>
      <w:r w:rsidR="00D62691" w:rsidRPr="00CC6CA3">
        <w:rPr>
          <w:noProof/>
        </w:rPr>
        <w:fldChar w:fldCharType="end"/>
      </w:r>
      <w:bookmarkEnd w:id="413"/>
      <w:r w:rsidRPr="00CC6CA3">
        <w:t xml:space="preserve"> The</w:t>
      </w:r>
      <w:r w:rsidR="000E6567" w:rsidRPr="00CC6CA3">
        <w:t xml:space="preserve"> MD calculated in the</w:t>
      </w:r>
      <w:r w:rsidRPr="00CC6CA3">
        <w:t xml:space="preserve"> training and monitoring phase of the SAE model for </w:t>
      </w:r>
      <w:r w:rsidR="00275F03" w:rsidRPr="00CC6CA3">
        <w:t>C</w:t>
      </w:r>
      <w:r w:rsidRPr="00CC6CA3">
        <w:t xml:space="preserve">ase 2, (a) </w:t>
      </w:r>
      <w:r w:rsidR="000E6567" w:rsidRPr="00CC6CA3">
        <w:t>MD calculated in the offline training phase, (b) MD calculated in the online monitoring phase</w:t>
      </w:r>
      <w:r w:rsidRPr="00CC6CA3">
        <w:t>.</w:t>
      </w:r>
      <w:bookmarkEnd w:id="414"/>
    </w:p>
    <w:p w14:paraId="642B1505" w14:textId="0F7DFE46" w:rsidR="00C42203" w:rsidRPr="00CC6CA3" w:rsidRDefault="00C42203" w:rsidP="00C42203">
      <w:r w:rsidRPr="00CC6CA3">
        <w:t>A 2D contribution map of the SAE model for Case 2 was determined and is shown</w:t>
      </w:r>
      <w:r w:rsidR="002122FA" w:rsidRPr="00CC6CA3">
        <w:t xml:space="preserve"> in </w:t>
      </w:r>
      <w:r w:rsidR="002122FA" w:rsidRPr="00CC6CA3">
        <w:fldChar w:fldCharType="begin"/>
      </w:r>
      <w:r w:rsidR="002122FA" w:rsidRPr="00CC6CA3">
        <w:instrText xml:space="preserve"> REF _Ref63257083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45</w:t>
      </w:r>
      <w:r w:rsidR="002122FA" w:rsidRPr="00CC6CA3">
        <w:fldChar w:fldCharType="end"/>
      </w:r>
      <w:r w:rsidR="002122FA" w:rsidRPr="00CC6CA3">
        <w:t xml:space="preserve">. </w:t>
      </w:r>
      <w:r w:rsidRPr="00CC6CA3">
        <w:t xml:space="preserve">As can be seen, from </w:t>
      </w:r>
      <w:r w:rsidRPr="00CC6CA3">
        <w:rPr>
          <w:rFonts w:hint="eastAsia"/>
        </w:rPr>
        <w:t>1</w:t>
      </w:r>
      <w:r w:rsidRPr="00CC6CA3">
        <w:t>6</w:t>
      </w:r>
      <w:r w:rsidRPr="00CC6CA3">
        <w:rPr>
          <w:rFonts w:hint="eastAsia"/>
        </w:rPr>
        <w:t>:</w:t>
      </w:r>
      <w:r w:rsidRPr="00CC6CA3">
        <w:t>00 on 17</w:t>
      </w:r>
      <w:r w:rsidRPr="00CC6CA3">
        <w:rPr>
          <w:vertAlign w:val="superscript"/>
        </w:rPr>
        <w:t>th</w:t>
      </w:r>
      <w:r w:rsidRPr="00CC6CA3">
        <w:t xml:space="preserve"> to 14:00 on 19</w:t>
      </w:r>
      <w:r w:rsidRPr="00CC6CA3">
        <w:rPr>
          <w:vertAlign w:val="superscript"/>
        </w:rPr>
        <w:t>th</w:t>
      </w:r>
      <w:r w:rsidRPr="00CC6CA3">
        <w:t xml:space="preserve"> Jul 2016, there was an increase in the system feature caused by anomalies in the temperatures of the four bearings. The results clearly indicated to maintenance staff the presence of bearing related faults, such as misalignment.</w:t>
      </w:r>
    </w:p>
    <w:p w14:paraId="0FD22EBB" w14:textId="10E78BC6" w:rsidR="002122FA" w:rsidRPr="00CC6CA3" w:rsidRDefault="00A70249" w:rsidP="00A70249">
      <w:pPr>
        <w:keepNext/>
        <w:spacing w:line="240" w:lineRule="auto"/>
        <w:jc w:val="center"/>
      </w:pPr>
      <w:r w:rsidRPr="00CC6CA3">
        <w:object w:dxaOrig="12313" w:dyaOrig="7680" w14:anchorId="3E21ADA3">
          <v:shape id="_x0000_i1074" type="#_x0000_t75" style="width:417pt;height:263pt" o:ole="">
            <v:imagedata r:id="rId152" o:title=""/>
          </v:shape>
          <o:OLEObject Type="Embed" ProgID="Visio.Drawing.15" ShapeID="_x0000_i1074" DrawAspect="Content" ObjectID="_1692500353" r:id="rId153"/>
        </w:object>
      </w:r>
    </w:p>
    <w:p w14:paraId="0D5784EB" w14:textId="58C75ED9" w:rsidR="002122FA" w:rsidRPr="00CC6CA3" w:rsidRDefault="002122FA" w:rsidP="00A70249">
      <w:pPr>
        <w:pStyle w:val="Caption"/>
        <w:jc w:val="center"/>
      </w:pPr>
      <w:bookmarkStart w:id="415" w:name="_Ref63257083"/>
      <w:bookmarkStart w:id="416" w:name="_Toc8155340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w:instrText>
      </w:r>
      <w:r w:rsidR="00D62691" w:rsidRPr="00CC6CA3">
        <w:instrText xml:space="preserve">RABIC \s 1 </w:instrText>
      </w:r>
      <w:r w:rsidR="00D62691" w:rsidRPr="00CC6CA3">
        <w:fldChar w:fldCharType="separate"/>
      </w:r>
      <w:r w:rsidR="001906D9" w:rsidRPr="00CC6CA3">
        <w:rPr>
          <w:noProof/>
        </w:rPr>
        <w:t>45</w:t>
      </w:r>
      <w:r w:rsidR="00D62691" w:rsidRPr="00CC6CA3">
        <w:rPr>
          <w:noProof/>
        </w:rPr>
        <w:fldChar w:fldCharType="end"/>
      </w:r>
      <w:bookmarkEnd w:id="415"/>
      <w:r w:rsidRPr="00CC6CA3">
        <w:t xml:space="preserve"> 2D contribution map of SAE model for </w:t>
      </w:r>
      <w:r w:rsidR="00C42203" w:rsidRPr="00CC6CA3">
        <w:t>C</w:t>
      </w:r>
      <w:r w:rsidRPr="00CC6CA3">
        <w:t>ase 2</w:t>
      </w:r>
      <w:bookmarkEnd w:id="416"/>
    </w:p>
    <w:p w14:paraId="06F2718D" w14:textId="700350C4" w:rsidR="00A70249" w:rsidRPr="00CC6CA3" w:rsidRDefault="00A70249" w:rsidP="00A70249">
      <w:r w:rsidRPr="00CC6CA3">
        <w:lastRenderedPageBreak/>
        <w:t>After the misalignment fault was corrected, from 14:00 on 19</w:t>
      </w:r>
      <w:r w:rsidRPr="00CC6CA3">
        <w:rPr>
          <w:vertAlign w:val="superscript"/>
        </w:rPr>
        <w:t>th</w:t>
      </w:r>
      <w:r w:rsidRPr="00CC6CA3">
        <w:t xml:space="preserve"> Jul 2016, see </w:t>
      </w:r>
      <w:r w:rsidRPr="00CC6CA3">
        <w:fldChar w:fldCharType="begin"/>
      </w:r>
      <w:r w:rsidRPr="00CC6CA3">
        <w:instrText xml:space="preserve"> REF _Ref63257083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45</w:t>
      </w:r>
      <w:r w:rsidRPr="00CC6CA3">
        <w:fldChar w:fldCharType="end"/>
      </w:r>
      <w:r w:rsidRPr="00CC6CA3">
        <w:t xml:space="preserve">, it was the overall vibration X </w:t>
      </w:r>
      <w:r w:rsidRPr="00CC6CA3">
        <w:rPr>
          <w:rFonts w:hint="eastAsia"/>
        </w:rPr>
        <w:t>o</w:t>
      </w:r>
      <w:r w:rsidRPr="00CC6CA3">
        <w:t>f radial bearing 2 that contributed most to the increase of the system feature. The results clearly indicated to the maintenance staff the presence of a fault in bearing 2.</w:t>
      </w:r>
    </w:p>
    <w:p w14:paraId="2B67C020" w14:textId="7B37D31B" w:rsidR="0039146E" w:rsidRPr="00CC6CA3" w:rsidRDefault="0039146E" w:rsidP="002122FA">
      <w:r w:rsidRPr="00CC6CA3">
        <w:t xml:space="preserve">The ROC curves and AUC values of the SAE model for detection of the misalignment fault in Case 2 were determined and are presented in </w:t>
      </w:r>
      <w:r w:rsidRPr="00CC6CA3">
        <w:fldChar w:fldCharType="begin"/>
      </w:r>
      <w:r w:rsidRPr="00CC6CA3">
        <w:instrText xml:space="preserve"> REF _Ref63263296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46</w:t>
      </w:r>
      <w:r w:rsidRPr="00CC6CA3">
        <w:fldChar w:fldCharType="end"/>
      </w:r>
      <w:r w:rsidRPr="00CC6CA3">
        <w:t xml:space="preserve"> and </w:t>
      </w:r>
      <w:r w:rsidRPr="00CC6CA3">
        <w:fldChar w:fldCharType="begin"/>
      </w:r>
      <w:r w:rsidRPr="00CC6CA3">
        <w:instrText xml:space="preserve"> REF _Ref63263303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47</w:t>
      </w:r>
      <w:r w:rsidRPr="00CC6CA3">
        <w:fldChar w:fldCharType="end"/>
      </w:r>
      <w:r w:rsidRPr="00CC6CA3">
        <w:t xml:space="preserve">. </w:t>
      </w:r>
      <w:r w:rsidRPr="00CC6CA3">
        <w:fldChar w:fldCharType="begin"/>
      </w:r>
      <w:r w:rsidRPr="00CC6CA3">
        <w:instrText xml:space="preserve"> REF _Ref63263296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46</w:t>
      </w:r>
      <w:r w:rsidRPr="00CC6CA3">
        <w:fldChar w:fldCharType="end"/>
      </w:r>
      <w:r w:rsidRPr="00CC6CA3">
        <w:t xml:space="preserve"> shows the ROC curves and AUC values of the SAE model, with different numbers of nodes in the hidden layer and sparsity regularisation value set to 1. </w:t>
      </w:r>
      <w:r w:rsidRPr="00CC6CA3">
        <w:fldChar w:fldCharType="begin"/>
      </w:r>
      <w:r w:rsidRPr="00CC6CA3">
        <w:instrText xml:space="preserve"> REF _Ref63263303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47</w:t>
      </w:r>
      <w:r w:rsidRPr="00CC6CA3">
        <w:fldChar w:fldCharType="end"/>
      </w:r>
      <w:r w:rsidRPr="00CC6CA3">
        <w:t xml:space="preserve"> presents the ROC curves and AUC values for three different sparsity regularisation values, 0.2, 2.2 and 4.2, and the number of nodes in the hidden layer set to 10. Both figures show that the SAE model performs very well with high FDRs, low FARs, and high AUC values (the latter all above 0.95).</w:t>
      </w:r>
    </w:p>
    <w:p w14:paraId="2A0341F0" w14:textId="77777777" w:rsidR="002122FA" w:rsidRPr="00CC6CA3" w:rsidRDefault="002122FA" w:rsidP="002122FA">
      <w:pPr>
        <w:keepNext/>
        <w:jc w:val="center"/>
      </w:pPr>
      <w:r w:rsidRPr="00CC6CA3">
        <w:object w:dxaOrig="9228" w:dyaOrig="6192" w14:anchorId="2D0F1929">
          <v:shape id="_x0000_i1075" type="#_x0000_t75" style="width:372pt;height:252pt" o:ole="">
            <v:imagedata r:id="rId154" o:title=""/>
          </v:shape>
          <o:OLEObject Type="Embed" ProgID="Visio.Drawing.15" ShapeID="_x0000_i1075" DrawAspect="Content" ObjectID="_1692500354" r:id="rId155"/>
        </w:object>
      </w:r>
    </w:p>
    <w:p w14:paraId="5A055AD8" w14:textId="3F2BA181" w:rsidR="002122FA" w:rsidRPr="00CC6CA3" w:rsidRDefault="002122FA" w:rsidP="002122FA">
      <w:pPr>
        <w:pStyle w:val="Caption"/>
        <w:jc w:val="center"/>
      </w:pPr>
      <w:bookmarkStart w:id="417" w:name="_Ref63263296"/>
      <w:bookmarkStart w:id="418" w:name="_Toc8155341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46</w:t>
      </w:r>
      <w:r w:rsidR="00D62691" w:rsidRPr="00CC6CA3">
        <w:rPr>
          <w:noProof/>
        </w:rPr>
        <w:fldChar w:fldCharType="end"/>
      </w:r>
      <w:bookmarkEnd w:id="417"/>
      <w:r w:rsidRPr="00CC6CA3">
        <w:t xml:space="preserve"> ROC curves and AUC values of SAE model for detection of the misalignment in </w:t>
      </w:r>
      <w:r w:rsidR="001F7B3C" w:rsidRPr="00CC6CA3">
        <w:t>C</w:t>
      </w:r>
      <w:r w:rsidRPr="00CC6CA3">
        <w:t xml:space="preserve">ase 2, (a) ROC curves for SAE model with different numbers of SAE nodes, (b) AUC values for SAE model with different numbers of </w:t>
      </w:r>
      <w:r w:rsidR="001F7B3C" w:rsidRPr="00CC6CA3">
        <w:t xml:space="preserve">SAE </w:t>
      </w:r>
      <w:r w:rsidRPr="00CC6CA3">
        <w:t>nodes.</w:t>
      </w:r>
      <w:bookmarkEnd w:id="418"/>
    </w:p>
    <w:p w14:paraId="1A7AF553" w14:textId="77777777" w:rsidR="002122FA" w:rsidRPr="00CC6CA3" w:rsidRDefault="002122FA" w:rsidP="002122FA">
      <w:pPr>
        <w:keepNext/>
        <w:jc w:val="center"/>
      </w:pPr>
      <w:r w:rsidRPr="00CC6CA3">
        <w:object w:dxaOrig="9240" w:dyaOrig="6192" w14:anchorId="374516A8">
          <v:shape id="_x0000_i1076" type="#_x0000_t75" style="width:372pt;height:252pt" o:ole="">
            <v:imagedata r:id="rId156" o:title=""/>
          </v:shape>
          <o:OLEObject Type="Embed" ProgID="Visio.Drawing.15" ShapeID="_x0000_i1076" DrawAspect="Content" ObjectID="_1692500355" r:id="rId157"/>
        </w:object>
      </w:r>
    </w:p>
    <w:p w14:paraId="7A22375B" w14:textId="587AA278" w:rsidR="002122FA" w:rsidRPr="00CC6CA3" w:rsidRDefault="002122FA" w:rsidP="002122FA">
      <w:pPr>
        <w:pStyle w:val="Caption"/>
        <w:jc w:val="center"/>
      </w:pPr>
      <w:bookmarkStart w:id="419" w:name="_Ref63263303"/>
      <w:bookmarkStart w:id="420" w:name="_Toc8155341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47</w:t>
      </w:r>
      <w:r w:rsidR="00D62691" w:rsidRPr="00CC6CA3">
        <w:rPr>
          <w:noProof/>
        </w:rPr>
        <w:fldChar w:fldCharType="end"/>
      </w:r>
      <w:bookmarkEnd w:id="419"/>
      <w:r w:rsidRPr="00CC6CA3">
        <w:t xml:space="preserve"> ROC curves and AUC values of SAE model for detection of the misalignment in </w:t>
      </w:r>
      <w:r w:rsidR="001F7B3C" w:rsidRPr="00CC6CA3">
        <w:t>C</w:t>
      </w:r>
      <w:r w:rsidRPr="00CC6CA3">
        <w:t>ase 2, (a) ROC curves for SAE model with different sparsity regularisation values, (b) AUC values for SAE model with different sparsity regularisation values.</w:t>
      </w:r>
      <w:bookmarkEnd w:id="420"/>
    </w:p>
    <w:p w14:paraId="20D537F9" w14:textId="0991BFCA" w:rsidR="002445A8" w:rsidRPr="00CC6CA3" w:rsidRDefault="002445A8" w:rsidP="002122FA">
      <w:r w:rsidRPr="00CC6CA3">
        <w:t xml:space="preserve">In addition, the AUC values for the SAE model with a wider range of nodes (from 4 to 20) </w:t>
      </w:r>
      <w:r w:rsidRPr="00CC6CA3">
        <w:fldChar w:fldCharType="begin"/>
      </w:r>
      <w:r w:rsidRPr="00CC6CA3">
        <w:instrText xml:space="preserve"> REF _Ref63263296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46</w:t>
      </w:r>
      <w:r w:rsidRPr="00CC6CA3">
        <w:fldChar w:fldCharType="end"/>
      </w:r>
      <w:r w:rsidRPr="00CC6CA3">
        <w:t xml:space="preserve"> and </w:t>
      </w:r>
      <w:r w:rsidRPr="00CC6CA3">
        <w:fldChar w:fldCharType="begin"/>
      </w:r>
      <w:r w:rsidRPr="00CC6CA3">
        <w:instrText xml:space="preserve"> REF _Ref63263303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47</w:t>
      </w:r>
      <w:r w:rsidRPr="00CC6CA3">
        <w:fldChar w:fldCharType="end"/>
      </w:r>
      <w:r w:rsidRPr="00CC6CA3">
        <w:t xml:space="preserve"> sparsity regularisation values (from 0.2 to 4.2) for Case 2 compared to is shown in </w:t>
      </w:r>
      <w:r w:rsidRPr="00CC6CA3">
        <w:fldChar w:fldCharType="begin"/>
      </w:r>
      <w:r w:rsidRPr="00CC6CA3">
        <w:instrText xml:space="preserve"> REF _Ref63263706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48</w:t>
      </w:r>
      <w:r w:rsidRPr="00CC6CA3">
        <w:fldChar w:fldCharType="end"/>
      </w:r>
      <w:r w:rsidRPr="00CC6CA3">
        <w:t xml:space="preserve">. As can be seen from </w:t>
      </w:r>
      <w:r w:rsidRPr="00CC6CA3">
        <w:fldChar w:fldCharType="begin"/>
      </w:r>
      <w:r w:rsidRPr="00CC6CA3">
        <w:instrText xml:space="preserve"> REF _Ref63263706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48</w:t>
      </w:r>
      <w:r w:rsidRPr="00CC6CA3">
        <w:fldChar w:fldCharType="end"/>
      </w:r>
      <w:r w:rsidRPr="00CC6CA3">
        <w:t xml:space="preserve"> (b), the SAE model performed better (AUC values above 0.97) when sparsity regularisation values were greater than 1 and the number of nodes greater than 6.</w:t>
      </w:r>
    </w:p>
    <w:p w14:paraId="199094F4" w14:textId="0C7EFFF6" w:rsidR="002122FA" w:rsidRPr="00CC6CA3" w:rsidRDefault="002122FA" w:rsidP="002122FA">
      <w:pPr>
        <w:keepNext/>
        <w:jc w:val="center"/>
      </w:pPr>
      <w:r w:rsidRPr="00CC6CA3">
        <w:object w:dxaOrig="16584" w:dyaOrig="6300" w14:anchorId="7082FFEC">
          <v:shape id="_x0000_i1077" type="#_x0000_t75" style="width:438pt;height:168pt" o:ole="">
            <v:imagedata r:id="rId158" o:title=""/>
          </v:shape>
          <o:OLEObject Type="Embed" ProgID="Visio.Drawing.15" ShapeID="_x0000_i1077" DrawAspect="Content" ObjectID="_1692500356" r:id="rId159"/>
        </w:object>
      </w:r>
    </w:p>
    <w:p w14:paraId="5AAF0D6F" w14:textId="709A62AE" w:rsidR="002122FA" w:rsidRPr="00CC6CA3" w:rsidRDefault="002122FA" w:rsidP="002122FA">
      <w:pPr>
        <w:pStyle w:val="Caption"/>
        <w:jc w:val="center"/>
      </w:pPr>
      <w:bookmarkStart w:id="421" w:name="_Ref63263706"/>
      <w:bookmarkStart w:id="422" w:name="_Toc8155341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48</w:t>
      </w:r>
      <w:r w:rsidR="00D62691" w:rsidRPr="00CC6CA3">
        <w:rPr>
          <w:noProof/>
        </w:rPr>
        <w:fldChar w:fldCharType="end"/>
      </w:r>
      <w:bookmarkEnd w:id="421"/>
      <w:r w:rsidRPr="00CC6CA3">
        <w:t xml:space="preserve"> AUC values for the SAE model with different numbers of nodes and sparsity regularisation for detection of the misalignment in </w:t>
      </w:r>
      <w:r w:rsidR="002445A8" w:rsidRPr="00CC6CA3">
        <w:t>C</w:t>
      </w:r>
      <w:r w:rsidRPr="00CC6CA3">
        <w:t>ase 2, (a) 3D figure, (b) 2D figure.</w:t>
      </w:r>
      <w:bookmarkEnd w:id="422"/>
    </w:p>
    <w:p w14:paraId="7C2970AA" w14:textId="77777777" w:rsidR="002122FA" w:rsidRPr="00CC6CA3" w:rsidRDefault="002122FA" w:rsidP="002122FA">
      <w:pPr>
        <w:keepNext/>
        <w:jc w:val="center"/>
      </w:pPr>
      <w:r w:rsidRPr="00CC6CA3">
        <w:object w:dxaOrig="9252" w:dyaOrig="6157" w14:anchorId="6CA0F937">
          <v:shape id="_x0000_i1078" type="#_x0000_t75" style="width:372pt;height:246pt" o:ole="">
            <v:imagedata r:id="rId160" o:title=""/>
          </v:shape>
          <o:OLEObject Type="Embed" ProgID="Visio.Drawing.15" ShapeID="_x0000_i1078" DrawAspect="Content" ObjectID="_1692500357" r:id="rId161"/>
        </w:object>
      </w:r>
    </w:p>
    <w:p w14:paraId="5CD41295" w14:textId="3E584D1D" w:rsidR="002122FA" w:rsidRPr="00CC6CA3" w:rsidRDefault="002122FA" w:rsidP="002122FA">
      <w:pPr>
        <w:pStyle w:val="Caption"/>
        <w:jc w:val="center"/>
      </w:pPr>
      <w:bookmarkStart w:id="423" w:name="_Ref63264206"/>
      <w:bookmarkStart w:id="424" w:name="_Toc8155341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49</w:t>
      </w:r>
      <w:r w:rsidR="00D62691" w:rsidRPr="00CC6CA3">
        <w:rPr>
          <w:noProof/>
        </w:rPr>
        <w:fldChar w:fldCharType="end"/>
      </w:r>
      <w:bookmarkEnd w:id="423"/>
      <w:r w:rsidRPr="00CC6CA3">
        <w:t xml:space="preserve"> ROC curves and AUC values of SAE model for detection of bearing fault in </w:t>
      </w:r>
      <w:r w:rsidR="004117D4" w:rsidRPr="00CC6CA3">
        <w:t>C</w:t>
      </w:r>
      <w:r w:rsidRPr="00CC6CA3">
        <w:t>ase 2, (a) ROC curves for SAE model with different numbers of SAE nodes, (b) AUC values for SAE model with different numbers of nodes.</w:t>
      </w:r>
      <w:bookmarkEnd w:id="424"/>
    </w:p>
    <w:p w14:paraId="4ED9BC77" w14:textId="77777777" w:rsidR="002122FA" w:rsidRPr="00CC6CA3" w:rsidRDefault="002122FA" w:rsidP="002122FA">
      <w:pPr>
        <w:keepNext/>
        <w:jc w:val="center"/>
      </w:pPr>
      <w:r w:rsidRPr="00CC6CA3">
        <w:object w:dxaOrig="9168" w:dyaOrig="6144" w14:anchorId="7685B62D">
          <v:shape id="_x0000_i1079" type="#_x0000_t75" style="width:373pt;height:252pt" o:ole="">
            <v:imagedata r:id="rId162" o:title=""/>
          </v:shape>
          <o:OLEObject Type="Embed" ProgID="Visio.Drawing.15" ShapeID="_x0000_i1079" DrawAspect="Content" ObjectID="_1692500358" r:id="rId163"/>
        </w:object>
      </w:r>
    </w:p>
    <w:p w14:paraId="121FEF02" w14:textId="3FA3F5EA" w:rsidR="002122FA" w:rsidRPr="00CC6CA3" w:rsidRDefault="002122FA" w:rsidP="002122FA">
      <w:pPr>
        <w:pStyle w:val="Caption"/>
        <w:jc w:val="center"/>
      </w:pPr>
      <w:bookmarkStart w:id="425" w:name="_Ref63264214"/>
      <w:bookmarkStart w:id="426" w:name="_Toc8155341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50</w:t>
      </w:r>
      <w:r w:rsidR="00D62691" w:rsidRPr="00CC6CA3">
        <w:rPr>
          <w:noProof/>
        </w:rPr>
        <w:fldChar w:fldCharType="end"/>
      </w:r>
      <w:bookmarkEnd w:id="425"/>
      <w:r w:rsidRPr="00CC6CA3">
        <w:t xml:space="preserve"> ROC curves and AUC values of SAE model for detection of bearing fault in </w:t>
      </w:r>
      <w:r w:rsidR="004117D4" w:rsidRPr="00CC6CA3">
        <w:t>C</w:t>
      </w:r>
      <w:r w:rsidRPr="00CC6CA3">
        <w:t>ase 2, (a) ROC curves for SAE model with different sparsity regularisation values, (b) AUC values curves for SAE model with different sparsity regularisation values.</w:t>
      </w:r>
      <w:bookmarkEnd w:id="426"/>
    </w:p>
    <w:p w14:paraId="489352D7" w14:textId="5C50AF5C" w:rsidR="00A70249" w:rsidRPr="00CC6CA3" w:rsidRDefault="00A70249" w:rsidP="00A70249">
      <w:r w:rsidRPr="00CC6CA3">
        <w:t xml:space="preserve">The ROC curves and AUC values of the SAE model for detection of the bearing fault in Case 2 were calculated and are presented in </w:t>
      </w:r>
      <w:r w:rsidRPr="00CC6CA3">
        <w:fldChar w:fldCharType="begin"/>
      </w:r>
      <w:r w:rsidRPr="00CC6CA3">
        <w:instrText xml:space="preserve"> REF _Ref63264206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49</w:t>
      </w:r>
      <w:r w:rsidRPr="00CC6CA3">
        <w:fldChar w:fldCharType="end"/>
      </w:r>
      <w:r w:rsidRPr="00CC6CA3">
        <w:t xml:space="preserve"> and </w:t>
      </w:r>
      <w:r w:rsidRPr="00CC6CA3">
        <w:fldChar w:fldCharType="begin"/>
      </w:r>
      <w:r w:rsidRPr="00CC6CA3">
        <w:instrText xml:space="preserve"> REF _Ref63264214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50</w:t>
      </w:r>
      <w:r w:rsidRPr="00CC6CA3">
        <w:fldChar w:fldCharType="end"/>
      </w:r>
      <w:r w:rsidRPr="00CC6CA3">
        <w:t xml:space="preserve">. </w:t>
      </w:r>
      <w:r w:rsidRPr="00CC6CA3">
        <w:fldChar w:fldCharType="begin"/>
      </w:r>
      <w:r w:rsidRPr="00CC6CA3">
        <w:instrText xml:space="preserve"> REF _Ref63264206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49</w:t>
      </w:r>
      <w:r w:rsidRPr="00CC6CA3">
        <w:fldChar w:fldCharType="end"/>
      </w:r>
      <w:r w:rsidRPr="00CC6CA3">
        <w:t xml:space="preserve"> shows the ROC curves and AUC values of the SAE model, with different numbers of nodes in the </w:t>
      </w:r>
      <w:r w:rsidRPr="00CC6CA3">
        <w:lastRenderedPageBreak/>
        <w:t xml:space="preserve">hidden layer and sparsity regularisation value set to 1. </w:t>
      </w:r>
      <w:r w:rsidRPr="00CC6CA3">
        <w:fldChar w:fldCharType="begin"/>
      </w:r>
      <w:r w:rsidRPr="00CC6CA3">
        <w:instrText xml:space="preserve"> REF _Ref63264214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50</w:t>
      </w:r>
      <w:r w:rsidRPr="00CC6CA3">
        <w:fldChar w:fldCharType="end"/>
      </w:r>
      <w:r w:rsidRPr="00CC6CA3">
        <w:t xml:space="preserve"> presents the ROC curves and AUC values with different sparsity regularisation values and the number of nodes in the hidden layer set to 10. Both figures show that the SAE model performs very well producing high FDRs, low FARs, and high AUC values (all values above 0.9</w:t>
      </w:r>
      <w:r w:rsidRPr="00CC6CA3">
        <w:rPr>
          <w:rFonts w:hint="eastAsia"/>
        </w:rPr>
        <w:t>9</w:t>
      </w:r>
      <w:r w:rsidRPr="00CC6CA3">
        <w:t xml:space="preserve">). </w:t>
      </w:r>
    </w:p>
    <w:p w14:paraId="6799436C" w14:textId="424AD749" w:rsidR="00E61EFB" w:rsidRPr="00CC6CA3" w:rsidRDefault="00E61EFB" w:rsidP="002122FA">
      <w:r w:rsidRPr="00CC6CA3">
        <w:t xml:space="preserve">The AUC values for Case 2 and the SAE model with a wider range of nodes (from 4 to 20) and sparsity regularisation values (from 0.1 to 4.2) compared to </w:t>
      </w:r>
      <w:r w:rsidRPr="00CC6CA3">
        <w:fldChar w:fldCharType="begin"/>
      </w:r>
      <w:r w:rsidRPr="00CC6CA3">
        <w:instrText xml:space="preserve"> REF _Ref63264206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49</w:t>
      </w:r>
      <w:r w:rsidRPr="00CC6CA3">
        <w:fldChar w:fldCharType="end"/>
      </w:r>
      <w:r w:rsidRPr="00CC6CA3">
        <w:t xml:space="preserve"> and </w:t>
      </w:r>
      <w:r w:rsidRPr="00CC6CA3">
        <w:fldChar w:fldCharType="begin"/>
      </w:r>
      <w:r w:rsidRPr="00CC6CA3">
        <w:instrText xml:space="preserve"> REF _Ref63264214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50</w:t>
      </w:r>
      <w:r w:rsidRPr="00CC6CA3">
        <w:fldChar w:fldCharType="end"/>
      </w:r>
      <w:r w:rsidRPr="00CC6CA3">
        <w:t xml:space="preserve"> are shown in </w:t>
      </w:r>
      <w:r w:rsidRPr="00CC6CA3">
        <w:fldChar w:fldCharType="begin"/>
      </w:r>
      <w:r w:rsidRPr="00CC6CA3">
        <w:instrText xml:space="preserve"> REF _Ref63264231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51</w:t>
      </w:r>
      <w:r w:rsidRPr="00CC6CA3">
        <w:fldChar w:fldCharType="end"/>
      </w:r>
      <w:r w:rsidRPr="00CC6CA3">
        <w:t>. As can be seen, the SAE model performed very well in this case, as the AUC values were all above 0.988.</w:t>
      </w:r>
    </w:p>
    <w:p w14:paraId="7F725F9B" w14:textId="77777777" w:rsidR="002122FA" w:rsidRPr="00CC6CA3" w:rsidRDefault="002122FA" w:rsidP="002122FA">
      <w:pPr>
        <w:keepNext/>
        <w:jc w:val="center"/>
      </w:pPr>
      <w:r w:rsidRPr="00CC6CA3">
        <w:object w:dxaOrig="17580" w:dyaOrig="6445" w14:anchorId="02AADEA7">
          <v:shape id="_x0000_i1080" type="#_x0000_t75" style="width:438pt;height:162pt" o:ole="">
            <v:imagedata r:id="rId164" o:title=""/>
          </v:shape>
          <o:OLEObject Type="Embed" ProgID="Visio.Drawing.15" ShapeID="_x0000_i1080" DrawAspect="Content" ObjectID="_1692500359" r:id="rId165"/>
        </w:object>
      </w:r>
    </w:p>
    <w:p w14:paraId="61CAC24E" w14:textId="7011B979" w:rsidR="002122FA" w:rsidRPr="00CC6CA3" w:rsidRDefault="002122FA" w:rsidP="002122FA">
      <w:pPr>
        <w:pStyle w:val="Caption"/>
        <w:jc w:val="center"/>
      </w:pPr>
      <w:bookmarkStart w:id="427" w:name="_Ref63264231"/>
      <w:bookmarkStart w:id="428" w:name="_Toc8155341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51</w:t>
      </w:r>
      <w:r w:rsidR="00D62691" w:rsidRPr="00CC6CA3">
        <w:rPr>
          <w:noProof/>
        </w:rPr>
        <w:fldChar w:fldCharType="end"/>
      </w:r>
      <w:bookmarkEnd w:id="427"/>
      <w:r w:rsidRPr="00CC6CA3">
        <w:t xml:space="preserve"> AUC values for the SAE model with different numbers of nodes and sparsity regularisation for detection of bearing fault in </w:t>
      </w:r>
      <w:r w:rsidR="00CA2581" w:rsidRPr="00CC6CA3">
        <w:t>C</w:t>
      </w:r>
      <w:r w:rsidRPr="00CC6CA3">
        <w:t>ase 2, (a) 3D figure, (b) 2D figure.</w:t>
      </w:r>
      <w:bookmarkEnd w:id="428"/>
    </w:p>
    <w:p w14:paraId="3A8D140F" w14:textId="247DEDA2" w:rsidR="002122FA" w:rsidRPr="00CC6CA3" w:rsidRDefault="002122FA" w:rsidP="00C579DD">
      <w:pPr>
        <w:pStyle w:val="Heading4"/>
      </w:pPr>
      <w:r w:rsidRPr="00CC6CA3">
        <w:t>Case 3</w:t>
      </w:r>
      <w:r w:rsidR="00C532A8" w:rsidRPr="00CC6CA3">
        <w:t>: bearing faults in compressor</w:t>
      </w:r>
    </w:p>
    <w:p w14:paraId="7F33C6EB" w14:textId="77777777" w:rsidR="008D7001" w:rsidRPr="00CC6CA3" w:rsidRDefault="008D7001" w:rsidP="008D7001">
      <w:r w:rsidRPr="00CC6CA3">
        <w:t>In this case study, the SAE fault detection model was trained on the data for the period from 1</w:t>
      </w:r>
      <w:r w:rsidRPr="00CC6CA3">
        <w:rPr>
          <w:vertAlign w:val="superscript"/>
        </w:rPr>
        <w:t>st</w:t>
      </w:r>
      <w:r w:rsidRPr="00CC6CA3">
        <w:t xml:space="preserve"> Feb to 22</w:t>
      </w:r>
      <w:r w:rsidRPr="00CC6CA3">
        <w:rPr>
          <w:vertAlign w:val="superscript"/>
        </w:rPr>
        <w:t>nd</w:t>
      </w:r>
      <w:r w:rsidRPr="00CC6CA3">
        <w:t xml:space="preserve"> Aug 2014, during which time were no recorded faults in the compressor, the same training data as applied with the NARX and PCA models. The models were then used to assess the health condition of the compressor from 23</w:t>
      </w:r>
      <w:r w:rsidRPr="00CC6CA3">
        <w:rPr>
          <w:vertAlign w:val="superscript"/>
        </w:rPr>
        <w:t>rd</w:t>
      </w:r>
      <w:r w:rsidRPr="00CC6CA3">
        <w:t xml:space="preserve"> Aug to 23</w:t>
      </w:r>
      <w:r w:rsidRPr="00CC6CA3">
        <w:rPr>
          <w:vertAlign w:val="superscript"/>
        </w:rPr>
        <w:t>rd</w:t>
      </w:r>
      <w:r w:rsidRPr="00CC6CA3">
        <w:t xml:space="preserve"> Oct 2014, during which period bearing faults occurred (see Figure 3-21). The inputs and outputs of the SAE model for the compressor were the measurements listed in Table 3-4.</w:t>
      </w:r>
    </w:p>
    <w:p w14:paraId="3B84BE07" w14:textId="3336F434" w:rsidR="002122FA" w:rsidRPr="00CC6CA3" w:rsidRDefault="008D7001" w:rsidP="008D7001">
      <w:r w:rsidRPr="00CC6CA3">
        <w:t>The offline training phase can be seen in</w:t>
      </w:r>
      <w:r w:rsidR="002122FA" w:rsidRPr="00CC6CA3">
        <w:t xml:space="preserve"> </w:t>
      </w:r>
      <w:r w:rsidR="002122FA" w:rsidRPr="00CC6CA3">
        <w:fldChar w:fldCharType="begin"/>
      </w:r>
      <w:r w:rsidR="002122FA" w:rsidRPr="00CC6CA3">
        <w:instrText xml:space="preserve"> REF _Ref63279126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52</w:t>
      </w:r>
      <w:r w:rsidR="002122FA" w:rsidRPr="00CC6CA3">
        <w:fldChar w:fldCharType="end"/>
      </w:r>
      <w:r w:rsidR="002122FA" w:rsidRPr="00CC6CA3">
        <w:t xml:space="preserve"> (a), </w:t>
      </w:r>
      <w:r w:rsidRPr="00CC6CA3">
        <w:t>where the blue points are healthy data, the magenta line is the reference MD threshold, and the red points are anomalies</w:t>
      </w:r>
      <w:r w:rsidR="002122FA" w:rsidRPr="00CC6CA3">
        <w:t>. The reference threshold (</w:t>
      </w:r>
      <m:oMath>
        <m:sSup>
          <m:sSupPr>
            <m:ctrlPr>
              <w:rPr>
                <w:rFonts w:ascii="Cambria Math" w:hAnsi="Cambria Math"/>
              </w:rPr>
            </m:ctrlPr>
          </m:sSupPr>
          <m:e>
            <m:r>
              <w:rPr>
                <w:rFonts w:ascii="Cambria Math" w:hAnsi="Cambria Math"/>
              </w:rPr>
              <m:t>MD</m:t>
            </m:r>
          </m:e>
          <m:sup>
            <m:r>
              <w:rPr>
                <w:rFonts w:ascii="Cambria Math" w:hAnsi="Cambria Math"/>
              </w:rPr>
              <m:t>ref</m:t>
            </m:r>
          </m:sup>
        </m:sSup>
      </m:oMath>
      <w:r w:rsidR="002122FA" w:rsidRPr="00CC6CA3">
        <w:t xml:space="preserve">) was calculated during the training stage, with the confidence level </w:t>
      </w:r>
      <m:oMath>
        <m:r>
          <w:rPr>
            <w:rFonts w:ascii="Cambria Math" w:hAnsi="Cambria Math"/>
          </w:rPr>
          <m:t>α</m:t>
        </m:r>
        <m:r>
          <m:rPr>
            <m:sty m:val="p"/>
          </m:rPr>
          <w:rPr>
            <w:rFonts w:ascii="Cambria Math" w:hAnsi="Cambria Math"/>
          </w:rPr>
          <m:t>=0.99</m:t>
        </m:r>
      </m:oMath>
      <w:r w:rsidR="002122FA" w:rsidRPr="00CC6CA3">
        <w:t xml:space="preserve"> </w:t>
      </w:r>
      <w:r w:rsidR="002122FA" w:rsidRPr="00CC6CA3">
        <w:fldChar w:fldCharType="begin"/>
      </w:r>
      <w:r w:rsidR="007D1BCC" w:rsidRPr="00CC6CA3">
        <w:instrText xml:space="preserve"> ADDIN ZOTERO_ITEM CSL_CITATION {"citationID":"3yP9ccCP","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002122FA" w:rsidRPr="00CC6CA3">
        <w:fldChar w:fldCharType="separate"/>
      </w:r>
      <w:r w:rsidR="007D1BCC" w:rsidRPr="00CC6CA3">
        <w:rPr>
          <w:rFonts w:cs="Times New Roman"/>
        </w:rPr>
        <w:t>[105]</w:t>
      </w:r>
      <w:r w:rsidR="002122FA" w:rsidRPr="00CC6CA3">
        <w:fldChar w:fldCharType="end"/>
      </w:r>
      <w:r w:rsidR="002122FA" w:rsidRPr="00CC6CA3">
        <w:t>, the number of nodes in the hidden layer set to 10, and sparsity regularisation value set to 1.</w:t>
      </w:r>
    </w:p>
    <w:p w14:paraId="6E7AE377" w14:textId="17662946" w:rsidR="002122FA" w:rsidRPr="00CC6CA3" w:rsidRDefault="002122FA" w:rsidP="002122FA">
      <w:r w:rsidRPr="00CC6CA3">
        <w:lastRenderedPageBreak/>
        <w:t xml:space="preserve">The online monitoring phase is presented in </w:t>
      </w:r>
      <w:r w:rsidRPr="00CC6CA3">
        <w:fldChar w:fldCharType="begin"/>
      </w:r>
      <w:r w:rsidRPr="00CC6CA3">
        <w:instrText xml:space="preserve"> REF _Ref63279126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52</w:t>
      </w:r>
      <w:r w:rsidRPr="00CC6CA3">
        <w:fldChar w:fldCharType="end"/>
      </w:r>
      <w:r w:rsidRPr="00CC6CA3">
        <w:t xml:space="preserve"> (b). </w:t>
      </w:r>
      <w:r w:rsidR="008D7001" w:rsidRPr="00CC6CA3">
        <w:t>In the figure, the compressor was considered healthy before 13</w:t>
      </w:r>
      <w:r w:rsidR="008D7001" w:rsidRPr="00CC6CA3">
        <w:rPr>
          <w:vertAlign w:val="superscript"/>
        </w:rPr>
        <w:t>th</w:t>
      </w:r>
      <w:r w:rsidR="008D7001" w:rsidRPr="00CC6CA3">
        <w:t xml:space="preserve"> Sep 2014, as no continuous anomalies exceeded the threshold. After that time, continuous anomalies were detected, which indicated that the compressor was suffering a fault. The parameters, such as confidence level </w:t>
      </w:r>
      <m:oMath>
        <m:r>
          <w:rPr>
            <w:rFonts w:ascii="Cambria Math" w:hAnsi="Cambria Math"/>
          </w:rPr>
          <m:t>α</m:t>
        </m:r>
      </m:oMath>
      <w:r w:rsidR="008D7001" w:rsidRPr="00CC6CA3">
        <w:t xml:space="preserve">, the number of nodes in the hidden layer, and the sparsity regularisation value, all of which influence the performance of the SAE </w:t>
      </w:r>
      <w:r w:rsidR="008D7001" w:rsidRPr="00CC6CA3">
        <w:rPr>
          <w:rFonts w:hint="eastAsia"/>
        </w:rPr>
        <w:t>fault</w:t>
      </w:r>
      <w:r w:rsidR="008D7001" w:rsidRPr="00CC6CA3">
        <w:t xml:space="preserve"> detection model are investigated and discussed below</w:t>
      </w:r>
      <w:r w:rsidRPr="00CC6CA3">
        <w:t>.</w:t>
      </w:r>
    </w:p>
    <w:p w14:paraId="7B752CA9" w14:textId="77777777" w:rsidR="002122FA" w:rsidRPr="00CC6CA3" w:rsidRDefault="002122FA" w:rsidP="002122FA">
      <w:pPr>
        <w:keepNext/>
        <w:jc w:val="center"/>
      </w:pPr>
      <w:r w:rsidRPr="00CC6CA3">
        <w:object w:dxaOrig="9049" w:dyaOrig="6049" w14:anchorId="702C5B58">
          <v:shape id="_x0000_i1081" type="#_x0000_t75" style="width:372pt;height:252pt" o:ole="">
            <v:imagedata r:id="rId166" o:title=""/>
          </v:shape>
          <o:OLEObject Type="Embed" ProgID="Visio.Drawing.15" ShapeID="_x0000_i1081" DrawAspect="Content" ObjectID="_1692500360" r:id="rId167"/>
        </w:object>
      </w:r>
    </w:p>
    <w:p w14:paraId="593F46E7" w14:textId="03C5F33F" w:rsidR="002122FA" w:rsidRPr="00CC6CA3" w:rsidRDefault="002122FA" w:rsidP="002122FA">
      <w:pPr>
        <w:pStyle w:val="Caption"/>
        <w:jc w:val="center"/>
      </w:pPr>
      <w:bookmarkStart w:id="429" w:name="_Ref63279126"/>
      <w:bookmarkStart w:id="430" w:name="_Toc8155341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52</w:t>
      </w:r>
      <w:r w:rsidR="00D62691" w:rsidRPr="00CC6CA3">
        <w:rPr>
          <w:noProof/>
        </w:rPr>
        <w:fldChar w:fldCharType="end"/>
      </w:r>
      <w:bookmarkEnd w:id="429"/>
      <w:r w:rsidRPr="00CC6CA3">
        <w:t xml:space="preserve"> The</w:t>
      </w:r>
      <w:r w:rsidR="00106F6F" w:rsidRPr="00CC6CA3">
        <w:t xml:space="preserve"> MD calculated in the</w:t>
      </w:r>
      <w:r w:rsidRPr="00CC6CA3">
        <w:t xml:space="preserve"> training and monitoring phases of the SAE model for </w:t>
      </w:r>
      <w:r w:rsidR="00106F6F" w:rsidRPr="00CC6CA3">
        <w:t>C</w:t>
      </w:r>
      <w:r w:rsidRPr="00CC6CA3">
        <w:t xml:space="preserve">ase 3, (a) </w:t>
      </w:r>
      <w:r w:rsidR="00106F6F" w:rsidRPr="00CC6CA3">
        <w:t>MD calculated in the offline training phase, (b) MD calculated in the online monitoring phase</w:t>
      </w:r>
      <w:r w:rsidRPr="00CC6CA3">
        <w:t>.</w:t>
      </w:r>
      <w:bookmarkEnd w:id="430"/>
    </w:p>
    <w:p w14:paraId="6B900154" w14:textId="3F52E7E4" w:rsidR="002122FA" w:rsidRPr="00CC6CA3" w:rsidRDefault="00E666F7" w:rsidP="002122FA">
      <w:r w:rsidRPr="00CC6CA3">
        <w:t xml:space="preserve">A 2D contribution map of the SAE model for Case 3 is </w:t>
      </w:r>
      <w:r w:rsidR="002122FA" w:rsidRPr="00CC6CA3">
        <w:t xml:space="preserve">presented in </w:t>
      </w:r>
      <w:r w:rsidR="002122FA" w:rsidRPr="00CC6CA3">
        <w:fldChar w:fldCharType="begin"/>
      </w:r>
      <w:r w:rsidR="002122FA" w:rsidRPr="00CC6CA3">
        <w:instrText xml:space="preserve"> REF _Ref63279280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53</w:t>
      </w:r>
      <w:r w:rsidR="002122FA" w:rsidRPr="00CC6CA3">
        <w:fldChar w:fldCharType="end"/>
      </w:r>
      <w:r w:rsidR="002122FA" w:rsidRPr="00CC6CA3">
        <w:t xml:space="preserve">. </w:t>
      </w:r>
      <w:r w:rsidRPr="00CC6CA3">
        <w:t>It clearly shows that it was the overall vibration X and Y of the radial DE bearing at the 3</w:t>
      </w:r>
      <w:r w:rsidRPr="00CC6CA3">
        <w:rPr>
          <w:vertAlign w:val="superscript"/>
        </w:rPr>
        <w:t>rd</w:t>
      </w:r>
      <w:r w:rsidRPr="00CC6CA3">
        <w:t xml:space="preserve"> stage of the compressor contributed most to the increase of the system feature. The results provide the maintenance staff with a clear indication that the radial DE bearing at the 3</w:t>
      </w:r>
      <w:r w:rsidRPr="00CC6CA3">
        <w:rPr>
          <w:vertAlign w:val="superscript"/>
        </w:rPr>
        <w:t>rd</w:t>
      </w:r>
      <w:r w:rsidRPr="00CC6CA3">
        <w:t xml:space="preserve"> stage of the compressor was subject to a fault. After 16</w:t>
      </w:r>
      <w:r w:rsidRPr="00CC6CA3">
        <w:rPr>
          <w:vertAlign w:val="superscript"/>
        </w:rPr>
        <w:t>th</w:t>
      </w:r>
      <w:r w:rsidRPr="00CC6CA3">
        <w:t xml:space="preserve"> Oct, anomalies were found in the stage 2 suction and discharge pressure, overall vibration X and Y of stage 1-2 radial DE bearing and stage 3 NDE bearing, and the vibration of stage 1-2 thrust bearing. This indicated that the system was in a very dangerous condition and needed emergency maintenance to avoid an unplanned shutdown</w:t>
      </w:r>
      <w:r w:rsidR="002122FA" w:rsidRPr="00CC6CA3">
        <w:t>.</w:t>
      </w:r>
    </w:p>
    <w:p w14:paraId="0E8FE58F" w14:textId="301E1E5B" w:rsidR="002122FA" w:rsidRPr="00CC6CA3" w:rsidRDefault="009716DB" w:rsidP="000E2A7B">
      <w:pPr>
        <w:keepNext/>
        <w:spacing w:after="0" w:line="240" w:lineRule="auto"/>
        <w:jc w:val="center"/>
      </w:pPr>
      <w:r w:rsidRPr="00CC6CA3">
        <w:object w:dxaOrig="11316" w:dyaOrig="6757" w14:anchorId="70B94564">
          <v:shape id="_x0000_i1082" type="#_x0000_t75" style="width:398pt;height:239pt" o:ole="">
            <v:imagedata r:id="rId168" o:title=""/>
          </v:shape>
          <o:OLEObject Type="Embed" ProgID="Visio.Drawing.15" ShapeID="_x0000_i1082" DrawAspect="Content" ObjectID="_1692500361" r:id="rId169"/>
        </w:object>
      </w:r>
    </w:p>
    <w:p w14:paraId="4166641C" w14:textId="0B0C465C" w:rsidR="002122FA" w:rsidRPr="00CC6CA3" w:rsidRDefault="002122FA" w:rsidP="002122FA">
      <w:pPr>
        <w:pStyle w:val="Caption"/>
        <w:jc w:val="center"/>
      </w:pPr>
      <w:bookmarkStart w:id="431" w:name="_Ref63279280"/>
      <w:bookmarkStart w:id="432" w:name="_Toc8155341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53</w:t>
      </w:r>
      <w:r w:rsidR="00D62691" w:rsidRPr="00CC6CA3">
        <w:rPr>
          <w:noProof/>
        </w:rPr>
        <w:fldChar w:fldCharType="end"/>
      </w:r>
      <w:bookmarkEnd w:id="431"/>
      <w:r w:rsidRPr="00CC6CA3">
        <w:t xml:space="preserve"> 2D contribution map of SAE model for </w:t>
      </w:r>
      <w:r w:rsidR="00E666F7" w:rsidRPr="00CC6CA3">
        <w:t>C</w:t>
      </w:r>
      <w:r w:rsidRPr="00CC6CA3">
        <w:t>ase 3</w:t>
      </w:r>
      <w:bookmarkEnd w:id="432"/>
    </w:p>
    <w:p w14:paraId="23C2EF95" w14:textId="11F01353" w:rsidR="002122FA" w:rsidRPr="00CC6CA3" w:rsidRDefault="009716DB" w:rsidP="000E2A7B">
      <w:pPr>
        <w:keepNext/>
        <w:spacing w:after="0" w:line="240" w:lineRule="auto"/>
        <w:jc w:val="center"/>
      </w:pPr>
      <w:r w:rsidRPr="00CC6CA3">
        <w:object w:dxaOrig="9300" w:dyaOrig="6180" w14:anchorId="0EA7F901">
          <v:shape id="_x0000_i1083" type="#_x0000_t75" style="width:5in;height:239pt" o:ole="">
            <v:imagedata r:id="rId170" o:title=""/>
          </v:shape>
          <o:OLEObject Type="Embed" ProgID="Visio.Drawing.15" ShapeID="_x0000_i1083" DrawAspect="Content" ObjectID="_1692500362" r:id="rId171"/>
        </w:object>
      </w:r>
    </w:p>
    <w:p w14:paraId="086DFFC6" w14:textId="54CDC048" w:rsidR="002122FA" w:rsidRPr="00CC6CA3" w:rsidRDefault="002122FA" w:rsidP="002122FA">
      <w:pPr>
        <w:pStyle w:val="Caption"/>
        <w:jc w:val="center"/>
      </w:pPr>
      <w:bookmarkStart w:id="433" w:name="_Ref63266115"/>
      <w:bookmarkStart w:id="434" w:name="_Toc8155341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54</w:t>
      </w:r>
      <w:r w:rsidR="00D62691" w:rsidRPr="00CC6CA3">
        <w:rPr>
          <w:noProof/>
        </w:rPr>
        <w:fldChar w:fldCharType="end"/>
      </w:r>
      <w:bookmarkEnd w:id="433"/>
      <w:r w:rsidRPr="00CC6CA3">
        <w:t xml:space="preserve"> ROC and AUC value of SAE model for </w:t>
      </w:r>
      <w:r w:rsidR="00205283" w:rsidRPr="00CC6CA3">
        <w:t>C</w:t>
      </w:r>
      <w:r w:rsidRPr="00CC6CA3">
        <w:t>ase 3, (a) ROC curves for SAE model with different numbers of SAE nodes, (b) AUC values for SAE model with different numbers of nodes.</w:t>
      </w:r>
      <w:bookmarkEnd w:id="434"/>
    </w:p>
    <w:p w14:paraId="177A8BFD" w14:textId="5D518E4A" w:rsidR="00A70249" w:rsidRPr="00CC6CA3" w:rsidRDefault="00A70249" w:rsidP="00A70249">
      <w:r w:rsidRPr="00CC6CA3">
        <w:t>To assess the performance of the SAE fault detection model for the early detection of a fault when calculating the ROC curves, the training data was from 1</w:t>
      </w:r>
      <w:r w:rsidRPr="00CC6CA3">
        <w:rPr>
          <w:vertAlign w:val="superscript"/>
        </w:rPr>
        <w:t>st</w:t>
      </w:r>
      <w:r w:rsidRPr="00CC6CA3">
        <w:t xml:space="preserve"> Feb to 22</w:t>
      </w:r>
      <w:r w:rsidRPr="00CC6CA3">
        <w:rPr>
          <w:vertAlign w:val="superscript"/>
        </w:rPr>
        <w:t>nd</w:t>
      </w:r>
      <w:r w:rsidRPr="00CC6CA3">
        <w:t xml:space="preserve"> Aug 2014, and the test data was from 23</w:t>
      </w:r>
      <w:r w:rsidRPr="00CC6CA3">
        <w:rPr>
          <w:vertAlign w:val="superscript"/>
        </w:rPr>
        <w:t>rd</w:t>
      </w:r>
      <w:r w:rsidRPr="00CC6CA3">
        <w:t xml:space="preserve"> Aug to 24</w:t>
      </w:r>
      <w:r w:rsidRPr="00CC6CA3">
        <w:rPr>
          <w:vertAlign w:val="superscript"/>
        </w:rPr>
        <w:t>th</w:t>
      </w:r>
      <w:r w:rsidRPr="00CC6CA3">
        <w:t xml:space="preserve"> Sep 2014</w:t>
      </w:r>
      <w:r w:rsidRPr="00CC6CA3">
        <w:rPr>
          <w:snapToGrid w:val="0"/>
        </w:rPr>
        <w:t xml:space="preserve">. </w:t>
      </w:r>
      <w:r w:rsidRPr="00CC6CA3">
        <w:t xml:space="preserve">The ROC curves and AUC values of the SAE model for Case 3 with different numbers of nodes in the hidden layer and different sparsity regularisation values, are presented in </w:t>
      </w:r>
      <w:r w:rsidRPr="00CC6CA3">
        <w:fldChar w:fldCharType="begin"/>
      </w:r>
      <w:r w:rsidRPr="00CC6CA3">
        <w:instrText xml:space="preserve"> REF _Ref63266115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54</w:t>
      </w:r>
      <w:r w:rsidRPr="00CC6CA3">
        <w:fldChar w:fldCharType="end"/>
      </w:r>
      <w:r w:rsidRPr="00CC6CA3">
        <w:t xml:space="preserve"> and </w:t>
      </w:r>
      <w:r w:rsidRPr="00CC6CA3">
        <w:fldChar w:fldCharType="begin"/>
      </w:r>
      <w:r w:rsidRPr="00CC6CA3">
        <w:instrText xml:space="preserve"> REF _Ref63266095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55</w:t>
      </w:r>
      <w:r w:rsidRPr="00CC6CA3">
        <w:fldChar w:fldCharType="end"/>
      </w:r>
      <w:r w:rsidRPr="00CC6CA3">
        <w:t>, respectively. Both figures show that the SAE model performed well with Case 3 with high values of the FDR, low values of FAR, and high values of the AUC (over 0.844).</w:t>
      </w:r>
    </w:p>
    <w:p w14:paraId="7EFA14D6" w14:textId="77777777" w:rsidR="002122FA" w:rsidRPr="00CC6CA3" w:rsidRDefault="002122FA" w:rsidP="002122FA">
      <w:pPr>
        <w:keepNext/>
        <w:jc w:val="center"/>
      </w:pPr>
      <w:r w:rsidRPr="00CC6CA3">
        <w:object w:dxaOrig="9300" w:dyaOrig="6049" w14:anchorId="5D084F96">
          <v:shape id="_x0000_i1084" type="#_x0000_t75" style="width:372pt;height:246pt;mso-position-vertical:absolute" o:ole="">
            <v:imagedata r:id="rId172" o:title=""/>
          </v:shape>
          <o:OLEObject Type="Embed" ProgID="Visio.Drawing.15" ShapeID="_x0000_i1084" DrawAspect="Content" ObjectID="_1692500363" r:id="rId173"/>
        </w:object>
      </w:r>
    </w:p>
    <w:p w14:paraId="5AFE41A3" w14:textId="1852128F" w:rsidR="002122FA" w:rsidRPr="00CC6CA3" w:rsidRDefault="002122FA" w:rsidP="002122FA">
      <w:pPr>
        <w:pStyle w:val="Caption"/>
        <w:jc w:val="center"/>
      </w:pPr>
      <w:bookmarkStart w:id="435" w:name="_Ref63266095"/>
      <w:bookmarkStart w:id="436" w:name="_Toc8155341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55</w:t>
      </w:r>
      <w:r w:rsidR="00D62691" w:rsidRPr="00CC6CA3">
        <w:rPr>
          <w:noProof/>
        </w:rPr>
        <w:fldChar w:fldCharType="end"/>
      </w:r>
      <w:bookmarkEnd w:id="435"/>
      <w:r w:rsidRPr="00CC6CA3">
        <w:t xml:space="preserve"> ROC curves and AUC values of SAE model for </w:t>
      </w:r>
      <w:r w:rsidR="00205283" w:rsidRPr="00CC6CA3">
        <w:t>C</w:t>
      </w:r>
      <w:r w:rsidRPr="00CC6CA3">
        <w:t>ase 3, (a) ROC curves for SAE model with different sparsity regularisation values, (b) AUC values for SAE model with different sparsity regularisation values.</w:t>
      </w:r>
      <w:bookmarkEnd w:id="436"/>
    </w:p>
    <w:p w14:paraId="6728F9A2" w14:textId="2C49B8BF" w:rsidR="002122FA" w:rsidRPr="00CC6CA3" w:rsidRDefault="00B54664" w:rsidP="002122FA">
      <w:r w:rsidRPr="00CC6CA3">
        <w:t>The AUC values for the SAE model with a wide range of the number of nodes (from 4 to 20) and sparsity regularisation values (from 0.1 to 4.2) for Case 3 are shown</w:t>
      </w:r>
      <w:r w:rsidR="002122FA" w:rsidRPr="00CC6CA3">
        <w:t xml:space="preserve"> </w:t>
      </w:r>
      <w:r w:rsidR="002122FA" w:rsidRPr="00CC6CA3">
        <w:fldChar w:fldCharType="begin"/>
      </w:r>
      <w:r w:rsidR="002122FA" w:rsidRPr="00CC6CA3">
        <w:instrText xml:space="preserve"> REF _Ref63266132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56</w:t>
      </w:r>
      <w:r w:rsidR="002122FA" w:rsidRPr="00CC6CA3">
        <w:fldChar w:fldCharType="end"/>
      </w:r>
      <w:r w:rsidR="002122FA" w:rsidRPr="00CC6CA3">
        <w:t xml:space="preserve">. </w:t>
      </w:r>
      <w:r w:rsidRPr="00CC6CA3">
        <w:t>As can be seen, the SAE model performed very well with the AUC value above 0.85 when the sparsity regularisation values were between 0.1 and 2</w:t>
      </w:r>
      <w:r w:rsidR="002122FA" w:rsidRPr="00CC6CA3">
        <w:t>.</w:t>
      </w:r>
    </w:p>
    <w:p w14:paraId="29FD9983" w14:textId="77777777" w:rsidR="002122FA" w:rsidRPr="00CC6CA3" w:rsidRDefault="002122FA" w:rsidP="002122FA">
      <w:pPr>
        <w:keepNext/>
        <w:jc w:val="center"/>
      </w:pPr>
      <w:r w:rsidRPr="00CC6CA3">
        <w:object w:dxaOrig="17557" w:dyaOrig="6445" w14:anchorId="22E21E7C">
          <v:shape id="_x0000_i1085" type="#_x0000_t75" style="width:438pt;height:162pt" o:ole="">
            <v:imagedata r:id="rId174" o:title=""/>
          </v:shape>
          <o:OLEObject Type="Embed" ProgID="Visio.Drawing.15" ShapeID="_x0000_i1085" DrawAspect="Content" ObjectID="_1692500364" r:id="rId175"/>
        </w:object>
      </w:r>
    </w:p>
    <w:p w14:paraId="00F71262" w14:textId="07D2DA5B" w:rsidR="002122FA" w:rsidRPr="00CC6CA3" w:rsidRDefault="002122FA" w:rsidP="002122FA">
      <w:pPr>
        <w:pStyle w:val="Caption"/>
        <w:jc w:val="center"/>
      </w:pPr>
      <w:bookmarkStart w:id="437" w:name="_Ref63266132"/>
      <w:bookmarkStart w:id="438" w:name="_Toc8155342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56</w:t>
      </w:r>
      <w:r w:rsidR="00D62691" w:rsidRPr="00CC6CA3">
        <w:rPr>
          <w:noProof/>
        </w:rPr>
        <w:fldChar w:fldCharType="end"/>
      </w:r>
      <w:bookmarkEnd w:id="437"/>
      <w:r w:rsidRPr="00CC6CA3">
        <w:t xml:space="preserve"> AUC values for the SAE model with different numbers of nodes and sparsity regularisation for </w:t>
      </w:r>
      <w:r w:rsidR="00B54664" w:rsidRPr="00CC6CA3">
        <w:t>C</w:t>
      </w:r>
      <w:r w:rsidRPr="00CC6CA3">
        <w:t>ase 3, (a) 3D figure, (b) 2D figure.</w:t>
      </w:r>
      <w:bookmarkEnd w:id="438"/>
    </w:p>
    <w:p w14:paraId="2188DA46" w14:textId="55B979E1" w:rsidR="002122FA" w:rsidRPr="00CC6CA3" w:rsidRDefault="002122FA" w:rsidP="002122FA">
      <w:pPr>
        <w:pStyle w:val="Heading2"/>
      </w:pPr>
      <w:bookmarkStart w:id="439" w:name="_Toc81553293"/>
      <w:r w:rsidRPr="00CC6CA3">
        <w:rPr>
          <w:rFonts w:hint="eastAsia"/>
        </w:rPr>
        <w:lastRenderedPageBreak/>
        <w:t>Result</w:t>
      </w:r>
      <w:r w:rsidRPr="00CC6CA3">
        <w:t xml:space="preserve">s </w:t>
      </w:r>
      <w:r w:rsidR="000F5EE0" w:rsidRPr="00CC6CA3">
        <w:t>and discussion</w:t>
      </w:r>
      <w:bookmarkEnd w:id="439"/>
    </w:p>
    <w:p w14:paraId="1A2A6A67" w14:textId="1BB59499" w:rsidR="002122FA" w:rsidRPr="00CC6CA3" w:rsidRDefault="0006295B" w:rsidP="002122FA">
      <w:r w:rsidRPr="00CC6CA3">
        <w:t>This section compares the fault detection performance of the three data-driven models (PCA, NARX, and SAE). The comparison includes three aspects, capacity to detect a fault, the effectiveness of isolating abnormal variables</w:t>
      </w:r>
      <w:r w:rsidRPr="00CC6CA3">
        <w:rPr>
          <w:rFonts w:hint="eastAsia"/>
        </w:rPr>
        <w:t>,</w:t>
      </w:r>
      <w:r w:rsidRPr="00CC6CA3">
        <w:t xml:space="preserve"> and the maximum AUC value of each of the detection models</w:t>
      </w:r>
      <w:r w:rsidR="002122FA" w:rsidRPr="00CC6CA3">
        <w:t>.</w:t>
      </w:r>
    </w:p>
    <w:p w14:paraId="6840AE85" w14:textId="22A85874" w:rsidR="002122FA" w:rsidRPr="00CC6CA3" w:rsidRDefault="002122FA" w:rsidP="002122FA">
      <w:pPr>
        <w:pStyle w:val="Heading3"/>
      </w:pPr>
      <w:bookmarkStart w:id="440" w:name="_Toc80304943"/>
      <w:bookmarkStart w:id="441" w:name="_Toc80396074"/>
      <w:bookmarkStart w:id="442" w:name="_Toc81542285"/>
      <w:bookmarkStart w:id="443" w:name="_Toc81553294"/>
      <w:bookmarkEnd w:id="440"/>
      <w:bookmarkEnd w:id="441"/>
      <w:bookmarkEnd w:id="442"/>
      <w:r w:rsidRPr="00CC6CA3">
        <w:t>Case 1</w:t>
      </w:r>
      <w:r w:rsidR="00C532A8" w:rsidRPr="00CC6CA3">
        <w:t>: misalignment fault in a pump</w:t>
      </w:r>
      <w:bookmarkEnd w:id="443"/>
    </w:p>
    <w:p w14:paraId="1474163F" w14:textId="30A748E0" w:rsidR="002122FA" w:rsidRPr="00CC6CA3" w:rsidRDefault="003B2040" w:rsidP="002122FA">
      <w:r w:rsidRPr="00CC6CA3">
        <w:t>The comparison of the fault detection results via NARX, PCA, and SAE models are presented in</w:t>
      </w:r>
      <w:r w:rsidR="002122FA" w:rsidRPr="00CC6CA3">
        <w:t xml:space="preserve"> </w:t>
      </w:r>
      <w:r w:rsidR="002122FA" w:rsidRPr="00CC6CA3">
        <w:fldChar w:fldCharType="begin"/>
      </w:r>
      <w:r w:rsidR="002122FA" w:rsidRPr="00CC6CA3">
        <w:instrText xml:space="preserve"> REF _Ref63107514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57</w:t>
      </w:r>
      <w:r w:rsidR="002122FA" w:rsidRPr="00CC6CA3">
        <w:fldChar w:fldCharType="end"/>
      </w:r>
      <w:r w:rsidR="002122FA" w:rsidRPr="00CC6CA3">
        <w:t xml:space="preserve">. </w:t>
      </w:r>
      <w:r w:rsidRPr="00CC6CA3">
        <w:t>It can be seen from the figure that the maximum MD values of the three models are NARX - 37.49, PCA - 25.68, while that of the SAE was 109.7.  The MD value for the SAE was substantially higher than for either the NARX or PCA models and indicates that the fault was more discernible when using the SAE model</w:t>
      </w:r>
      <w:r w:rsidR="002122FA" w:rsidRPr="00CC6CA3">
        <w:t>.</w:t>
      </w:r>
    </w:p>
    <w:p w14:paraId="44863CAA" w14:textId="21CE0536" w:rsidR="002122FA" w:rsidRPr="00CC6CA3" w:rsidRDefault="009123D8" w:rsidP="002122FA">
      <w:pPr>
        <w:keepNext/>
        <w:jc w:val="center"/>
      </w:pPr>
      <w:r w:rsidRPr="00CC6CA3">
        <w:object w:dxaOrig="9049" w:dyaOrig="9061" w14:anchorId="57B85197">
          <v:shape id="_x0000_i1086" type="#_x0000_t75" style="width:362pt;height:362pt" o:ole="">
            <v:imagedata r:id="rId176" o:title=""/>
          </v:shape>
          <o:OLEObject Type="Embed" ProgID="Visio.Drawing.15" ShapeID="_x0000_i1086" DrawAspect="Content" ObjectID="_1692500365" r:id="rId177"/>
        </w:object>
      </w:r>
    </w:p>
    <w:p w14:paraId="6CD20E10" w14:textId="58BBC5BC" w:rsidR="002122FA" w:rsidRPr="00CC6CA3" w:rsidRDefault="002122FA" w:rsidP="002122FA">
      <w:pPr>
        <w:pStyle w:val="Caption"/>
        <w:jc w:val="center"/>
      </w:pPr>
      <w:bookmarkStart w:id="444" w:name="_Ref63107514"/>
      <w:bookmarkStart w:id="445" w:name="_Toc8155342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57</w:t>
      </w:r>
      <w:r w:rsidR="00D62691" w:rsidRPr="00CC6CA3">
        <w:rPr>
          <w:noProof/>
        </w:rPr>
        <w:fldChar w:fldCharType="end"/>
      </w:r>
      <w:bookmarkEnd w:id="444"/>
      <w:r w:rsidRPr="00CC6CA3">
        <w:t xml:space="preserve"> Fault detection results of three models for </w:t>
      </w:r>
      <w:r w:rsidR="003B2040" w:rsidRPr="00CC6CA3">
        <w:t>C</w:t>
      </w:r>
      <w:r w:rsidRPr="00CC6CA3">
        <w:t>ase 1, (a) NARX model, (b) PCA model, (c) SAE model.</w:t>
      </w:r>
      <w:bookmarkEnd w:id="445"/>
    </w:p>
    <w:p w14:paraId="2BED8697" w14:textId="341726CD" w:rsidR="002122FA" w:rsidRPr="00CC6CA3" w:rsidRDefault="009716DB" w:rsidP="000E2A7B">
      <w:pPr>
        <w:keepNext/>
        <w:spacing w:after="80" w:line="240" w:lineRule="auto"/>
        <w:jc w:val="center"/>
      </w:pPr>
      <w:r w:rsidRPr="00CC6CA3">
        <w:object w:dxaOrig="9217" w:dyaOrig="11844" w14:anchorId="551EDFD3">
          <v:shape id="_x0000_i1087" type="#_x0000_t75" style="width:359pt;height:463pt" o:ole="">
            <v:imagedata r:id="rId178" o:title=""/>
          </v:shape>
          <o:OLEObject Type="Embed" ProgID="Visio.Drawing.15" ShapeID="_x0000_i1087" DrawAspect="Content" ObjectID="_1692500366" r:id="rId179"/>
        </w:object>
      </w:r>
    </w:p>
    <w:p w14:paraId="52511224" w14:textId="347F3523" w:rsidR="002122FA" w:rsidRPr="00CC6CA3" w:rsidRDefault="002122FA" w:rsidP="002122FA">
      <w:pPr>
        <w:pStyle w:val="Caption"/>
        <w:jc w:val="center"/>
      </w:pPr>
      <w:bookmarkStart w:id="446" w:name="_Ref63172226"/>
      <w:bookmarkStart w:id="447" w:name="_Toc8155342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58</w:t>
      </w:r>
      <w:r w:rsidR="00D62691" w:rsidRPr="00CC6CA3">
        <w:rPr>
          <w:noProof/>
        </w:rPr>
        <w:fldChar w:fldCharType="end"/>
      </w:r>
      <w:bookmarkEnd w:id="446"/>
      <w:r w:rsidRPr="00CC6CA3">
        <w:t xml:space="preserve"> AUC values of the three models with parameters change for </w:t>
      </w:r>
      <w:r w:rsidR="002757BF" w:rsidRPr="00CC6CA3">
        <w:rPr>
          <w:szCs w:val="20"/>
        </w:rPr>
        <w:t>Case 1, (a) AUC value of PCA model with varied number of principal components, (b) AUC value of NARX model with varying number of nodes in the hidden layer and delay time change, (c) AUC value of NARX model with varying number of nodes in the hidden layer and sparsity regularisation change, (d) the maximum AUC value of the three fault detection models</w:t>
      </w:r>
      <w:r w:rsidRPr="00CC6CA3">
        <w:t>.</w:t>
      </w:r>
      <w:bookmarkEnd w:id="447"/>
    </w:p>
    <w:p w14:paraId="32DDC0D1" w14:textId="4A4D38C8" w:rsidR="009716DB" w:rsidRPr="00CC6CA3" w:rsidRDefault="009716DB" w:rsidP="009716DB">
      <w:r w:rsidRPr="00CC6CA3">
        <w:t xml:space="preserve">The AUC values for Case 1 for the three fault detection models with change in parameters are shown in </w:t>
      </w:r>
      <w:r w:rsidRPr="00CC6CA3">
        <w:fldChar w:fldCharType="begin"/>
      </w:r>
      <w:r w:rsidRPr="00CC6CA3">
        <w:instrText xml:space="preserve"> REF _Ref63172226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58</w:t>
      </w:r>
      <w:r w:rsidRPr="00CC6CA3">
        <w:fldChar w:fldCharType="end"/>
      </w:r>
      <w:r w:rsidRPr="00CC6CA3">
        <w:t xml:space="preserve">. For the PCA model, </w:t>
      </w:r>
      <w:r w:rsidRPr="00CC6CA3">
        <w:fldChar w:fldCharType="begin"/>
      </w:r>
      <w:r w:rsidRPr="00CC6CA3">
        <w:instrText xml:space="preserve"> REF _Ref63172226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58</w:t>
      </w:r>
      <w:r w:rsidRPr="00CC6CA3">
        <w:fldChar w:fldCharType="end"/>
      </w:r>
      <w:r w:rsidRPr="00CC6CA3">
        <w:t xml:space="preserve"> (a), the AUC values were calculated with principal components in the range 1 to 14. The maximum AUC value for the PCA model was 0.9843, as can be seen in </w:t>
      </w:r>
      <w:r w:rsidRPr="00CC6CA3">
        <w:fldChar w:fldCharType="begin"/>
      </w:r>
      <w:r w:rsidRPr="00CC6CA3">
        <w:instrText xml:space="preserve"> REF _Ref63172226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58</w:t>
      </w:r>
      <w:r w:rsidRPr="00CC6CA3">
        <w:fldChar w:fldCharType="end"/>
      </w:r>
      <w:r w:rsidRPr="00CC6CA3">
        <w:t xml:space="preserve"> (d). For the NARX model in </w:t>
      </w:r>
      <w:r w:rsidRPr="00CC6CA3">
        <w:fldChar w:fldCharType="begin"/>
      </w:r>
      <w:r w:rsidRPr="00CC6CA3">
        <w:instrText xml:space="preserve"> REF _Ref63172226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58</w:t>
      </w:r>
      <w:r w:rsidRPr="00CC6CA3">
        <w:fldChar w:fldCharType="end"/>
      </w:r>
      <w:r w:rsidRPr="00CC6CA3">
        <w:t xml:space="preserve"> (b), the AUC values were calculated with the number of nodes in the hidden layer ranging from 2 to 20, and delay time varied from 1 to 10 hours. The maximum AUC value for the NARX model was 0.9988, as shown in </w:t>
      </w:r>
      <w:r w:rsidRPr="00CC6CA3">
        <w:fldChar w:fldCharType="begin"/>
      </w:r>
      <w:r w:rsidRPr="00CC6CA3">
        <w:instrText xml:space="preserve"> REF _Ref63172226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58</w:t>
      </w:r>
      <w:r w:rsidRPr="00CC6CA3">
        <w:fldChar w:fldCharType="end"/>
      </w:r>
      <w:r w:rsidRPr="00CC6CA3">
        <w:t xml:space="preserve"> (d). For the SAE model in </w:t>
      </w:r>
      <w:r w:rsidRPr="00CC6CA3">
        <w:fldChar w:fldCharType="begin"/>
      </w:r>
      <w:r w:rsidRPr="00CC6CA3">
        <w:instrText xml:space="preserve"> REF _Ref63172226 \h </w:instrText>
      </w:r>
      <w:r w:rsidRPr="00CC6CA3">
        <w:fldChar w:fldCharType="separate"/>
      </w:r>
      <w:r w:rsidR="001906D9" w:rsidRPr="00CC6CA3">
        <w:t xml:space="preserve">Figure </w:t>
      </w:r>
      <w:r w:rsidR="001906D9" w:rsidRPr="00CC6CA3">
        <w:rPr>
          <w:noProof/>
        </w:rPr>
        <w:lastRenderedPageBreak/>
        <w:t>4</w:t>
      </w:r>
      <w:r w:rsidR="001906D9" w:rsidRPr="00CC6CA3">
        <w:t>.</w:t>
      </w:r>
      <w:r w:rsidR="001906D9" w:rsidRPr="00CC6CA3">
        <w:rPr>
          <w:noProof/>
        </w:rPr>
        <w:t>58</w:t>
      </w:r>
      <w:r w:rsidRPr="00CC6CA3">
        <w:fldChar w:fldCharType="end"/>
      </w:r>
      <w:r w:rsidRPr="00CC6CA3">
        <w:t xml:space="preserve"> (c), the AUC values were calculated with the number of nodes in the hidden layer ranging from 4 to 20, and the sparsity regularisation value increased from 0.1 to 4.2. The maximum AUC value for the SAE model was 0.9985. In Case 1, the maximum AUC values for the three fault detection models were similar, which indicates that all three models were able to achieve a very good performance with appropriate choice of parameters.</w:t>
      </w:r>
    </w:p>
    <w:p w14:paraId="0B31CD44" w14:textId="17AB23C9" w:rsidR="002122FA" w:rsidRPr="00CC6CA3" w:rsidRDefault="002122FA" w:rsidP="002122FA">
      <w:r w:rsidRPr="00CC6CA3">
        <w:t xml:space="preserve">In addition, according to the Q statistic contribution maps of the three fault detection models in </w:t>
      </w:r>
      <w:r w:rsidRPr="00CC6CA3">
        <w:fldChar w:fldCharType="begin"/>
      </w:r>
      <w:r w:rsidRPr="00CC6CA3">
        <w:instrText xml:space="preserve"> REF _Ref63197111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w:t>
      </w:r>
      <w:r w:rsidRPr="00CC6CA3">
        <w:fldChar w:fldCharType="end"/>
      </w:r>
      <w:r w:rsidRPr="00CC6CA3">
        <w:t xml:space="preserve">, </w:t>
      </w:r>
      <w:r w:rsidRPr="00CC6CA3">
        <w:fldChar w:fldCharType="begin"/>
      </w:r>
      <w:r w:rsidRPr="00CC6CA3">
        <w:instrText xml:space="preserve"> REF _Ref63197348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25</w:t>
      </w:r>
      <w:r w:rsidRPr="00CC6CA3">
        <w:fldChar w:fldCharType="end"/>
      </w:r>
      <w:r w:rsidRPr="00CC6CA3">
        <w:t xml:space="preserve">, and </w:t>
      </w:r>
      <w:r w:rsidRPr="00CC6CA3">
        <w:fldChar w:fldCharType="begin"/>
      </w:r>
      <w:r w:rsidRPr="00CC6CA3">
        <w:instrText xml:space="preserve"> REF _Ref63198779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40</w:t>
      </w:r>
      <w:r w:rsidRPr="00CC6CA3">
        <w:fldChar w:fldCharType="end"/>
      </w:r>
      <w:r w:rsidRPr="00CC6CA3">
        <w:t xml:space="preserve">, the SAE and NARX models </w:t>
      </w:r>
      <w:r w:rsidR="0095162C" w:rsidRPr="00CC6CA3">
        <w:t>clearly indicated the bearing related faults, misalignment, or rotor unbalance. However, the PCA model failed to show the abnormal temperature of the two radial bearings</w:t>
      </w:r>
      <w:r w:rsidRPr="00CC6CA3">
        <w:t>.</w:t>
      </w:r>
    </w:p>
    <w:p w14:paraId="109C698C" w14:textId="2B0CBCE3" w:rsidR="002122FA" w:rsidRPr="00CC6CA3" w:rsidRDefault="002122FA" w:rsidP="002122FA">
      <w:pPr>
        <w:pStyle w:val="Heading3"/>
      </w:pPr>
      <w:bookmarkStart w:id="448" w:name="_Toc81553295"/>
      <w:r w:rsidRPr="00CC6CA3">
        <w:t>Case 2</w:t>
      </w:r>
      <w:r w:rsidR="00C532A8" w:rsidRPr="00CC6CA3">
        <w:t>: misalignment fault and pump bearing fault</w:t>
      </w:r>
      <w:bookmarkEnd w:id="448"/>
    </w:p>
    <w:p w14:paraId="5B89CA0B" w14:textId="7E787D92" w:rsidR="002122FA" w:rsidRPr="00CC6CA3" w:rsidRDefault="002122FA" w:rsidP="002122FA">
      <w:r w:rsidRPr="00CC6CA3">
        <w:t xml:space="preserve">This case is to detect a misalignment fault and </w:t>
      </w:r>
      <w:r w:rsidRPr="00CC6CA3">
        <w:rPr>
          <w:rFonts w:hint="eastAsia"/>
        </w:rPr>
        <w:t>a</w:t>
      </w:r>
      <w:r w:rsidRPr="00CC6CA3">
        <w:t xml:space="preserve"> bearing fault in a pump. The comparison of the fault detection results via NARX, PCA, and SAE models are shown in </w:t>
      </w:r>
      <w:r w:rsidRPr="00CC6CA3">
        <w:fldChar w:fldCharType="begin"/>
      </w:r>
      <w:r w:rsidRPr="00CC6CA3">
        <w:instrText xml:space="preserve"> REF _Ref63112957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59</w:t>
      </w:r>
      <w:r w:rsidRPr="00CC6CA3">
        <w:fldChar w:fldCharType="end"/>
      </w:r>
      <w:r w:rsidRPr="00CC6CA3">
        <w:t>. It can be seen from the figure that the maximum MD value of the NARX model after the fault being detected was 30.24, that value of the PCA model was 22.04, and that of the SAE model was 22.6</w:t>
      </w:r>
      <w:r w:rsidRPr="00CC6CA3">
        <w:rPr>
          <w:rFonts w:hint="eastAsia"/>
        </w:rPr>
        <w:t>1</w:t>
      </w:r>
      <w:r w:rsidRPr="00CC6CA3">
        <w:t xml:space="preserve">. In this case, </w:t>
      </w:r>
      <w:r w:rsidR="0095162C" w:rsidRPr="00CC6CA3">
        <w:t>the models perform equally well</w:t>
      </w:r>
      <w:r w:rsidRPr="00CC6CA3">
        <w:t>.</w:t>
      </w:r>
    </w:p>
    <w:p w14:paraId="5018EBF3" w14:textId="03CC3F01" w:rsidR="002122FA" w:rsidRPr="00CC6CA3" w:rsidRDefault="009716DB" w:rsidP="000E2A7B">
      <w:pPr>
        <w:keepNext/>
        <w:spacing w:after="0" w:line="240" w:lineRule="auto"/>
        <w:jc w:val="center"/>
      </w:pPr>
      <w:r w:rsidRPr="00CC6CA3">
        <w:object w:dxaOrig="9096" w:dyaOrig="9061" w14:anchorId="1C7D96EB">
          <v:shape id="_x0000_i1088" type="#_x0000_t75" style="width:356pt;height:319pt" o:ole="">
            <v:imagedata r:id="rId180" o:title="" croptop="2819f" cropbottom="3752f"/>
          </v:shape>
          <o:OLEObject Type="Embed" ProgID="Visio.Drawing.15" ShapeID="_x0000_i1088" DrawAspect="Content" ObjectID="_1692500367" r:id="rId181"/>
        </w:object>
      </w:r>
    </w:p>
    <w:p w14:paraId="6720AEF4" w14:textId="26E68273" w:rsidR="002122FA" w:rsidRPr="00CC6CA3" w:rsidRDefault="002122FA" w:rsidP="002122FA">
      <w:pPr>
        <w:pStyle w:val="Caption"/>
        <w:jc w:val="center"/>
      </w:pPr>
      <w:bookmarkStart w:id="449" w:name="_Ref63112957"/>
      <w:bookmarkStart w:id="450" w:name="_Toc8155342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59</w:t>
      </w:r>
      <w:r w:rsidR="00D62691" w:rsidRPr="00CC6CA3">
        <w:rPr>
          <w:noProof/>
        </w:rPr>
        <w:fldChar w:fldCharType="end"/>
      </w:r>
      <w:bookmarkEnd w:id="449"/>
      <w:r w:rsidRPr="00CC6CA3">
        <w:t xml:space="preserve"> Fault detection results for </w:t>
      </w:r>
      <w:r w:rsidR="0095162C" w:rsidRPr="00CC6CA3">
        <w:t>C</w:t>
      </w:r>
      <w:r w:rsidRPr="00CC6CA3">
        <w:t>ase 2, (a) NARX model, (b) PCA model, (c) SAE model.</w:t>
      </w:r>
      <w:bookmarkEnd w:id="450"/>
    </w:p>
    <w:p w14:paraId="1E2500F0" w14:textId="561A6B6A" w:rsidR="009716DB" w:rsidRPr="00CC6CA3" w:rsidRDefault="009716DB" w:rsidP="009716DB">
      <w:pPr>
        <w:keepNext/>
        <w:spacing w:after="0" w:line="240" w:lineRule="auto"/>
        <w:jc w:val="center"/>
      </w:pPr>
      <w:r w:rsidRPr="00CC6CA3">
        <w:object w:dxaOrig="9264" w:dyaOrig="11844" w14:anchorId="2932D513">
          <v:shape id="_x0000_i1089" type="#_x0000_t75" style="width:361pt;height:467pt" o:ole="">
            <v:imagedata r:id="rId182" o:title=""/>
          </v:shape>
          <o:OLEObject Type="Embed" ProgID="Visio.Drawing.15" ShapeID="_x0000_i1089" DrawAspect="Content" ObjectID="_1692500368" r:id="rId183"/>
        </w:object>
      </w:r>
    </w:p>
    <w:p w14:paraId="0CA1B229" w14:textId="3CF47ECD" w:rsidR="009716DB" w:rsidRPr="00CC6CA3" w:rsidRDefault="009716DB" w:rsidP="009716DB">
      <w:pPr>
        <w:pStyle w:val="Caption"/>
        <w:jc w:val="center"/>
      </w:pPr>
      <w:bookmarkStart w:id="451" w:name="_Ref81548962"/>
      <w:bookmarkStart w:id="452" w:name="_Toc8155342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60</w:t>
      </w:r>
      <w:r w:rsidR="00D62691" w:rsidRPr="00CC6CA3">
        <w:rPr>
          <w:noProof/>
        </w:rPr>
        <w:fldChar w:fldCharType="end"/>
      </w:r>
      <w:bookmarkEnd w:id="451"/>
      <w:r w:rsidRPr="00CC6CA3">
        <w:t xml:space="preserve"> AUC values of </w:t>
      </w:r>
      <w:r w:rsidRPr="00CC6CA3">
        <w:rPr>
          <w:szCs w:val="20"/>
        </w:rPr>
        <w:t xml:space="preserve">the three models for Case 2 with </w:t>
      </w:r>
      <w:r w:rsidRPr="00CC6CA3">
        <w:t xml:space="preserve">parameters </w:t>
      </w:r>
      <w:r w:rsidRPr="00CC6CA3">
        <w:rPr>
          <w:szCs w:val="20"/>
        </w:rPr>
        <w:t>changes, (a) AUC value for PCA model with number of principal components, (b) AUC value for NARX model with number of nodes in the hidden layer and change in delay time, (c) AUC value for SAE model with numbers of nodes in the hidden layer and changes in sparsity regularisation, (d) the maximum AUC value for the three fault detection models</w:t>
      </w:r>
      <w:r w:rsidRPr="00CC6CA3">
        <w:t>.</w:t>
      </w:r>
      <w:bookmarkEnd w:id="452"/>
    </w:p>
    <w:p w14:paraId="6BE4B322" w14:textId="26621616" w:rsidR="002122FA" w:rsidRPr="00CC6CA3" w:rsidRDefault="003D79A4" w:rsidP="002122FA">
      <w:r w:rsidRPr="00CC6CA3">
        <w:t>Case 2 contains two faults, misalignment and pump bearing fault. Regarding detection of the misalignment, the AUC values of the three fault detection models with parametric change are presented</w:t>
      </w:r>
      <w:r w:rsidR="002122FA" w:rsidRPr="00CC6CA3">
        <w:t xml:space="preserve"> in</w:t>
      </w:r>
      <w:r w:rsidR="006019EE" w:rsidRPr="00CC6CA3">
        <w:t xml:space="preserve">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002122FA" w:rsidRPr="00CC6CA3">
        <w:t>. For the PCA model</w:t>
      </w:r>
      <w:r w:rsidRPr="00CC6CA3">
        <w:t xml:space="preserve">, see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002122FA" w:rsidRPr="00CC6CA3">
        <w:t xml:space="preserve"> (a), </w:t>
      </w:r>
      <w:r w:rsidR="00627246" w:rsidRPr="00CC6CA3">
        <w:t>the AUC values were calculated with the number of principal components ranging from 1 to 14, and the maximum AUC value was 0.9293, as can be seen in</w:t>
      </w:r>
      <w:r w:rsidR="002122FA" w:rsidRPr="00CC6CA3">
        <w:t xml:space="preserve">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002122FA" w:rsidRPr="00CC6CA3">
        <w:t xml:space="preserve"> (d). For the NARX model</w:t>
      </w:r>
      <w:r w:rsidR="00627246" w:rsidRPr="00CC6CA3">
        <w:t xml:space="preserve">, see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002122FA" w:rsidRPr="00CC6CA3">
        <w:t xml:space="preserve"> (b), </w:t>
      </w:r>
      <w:r w:rsidR="00627246" w:rsidRPr="00CC6CA3">
        <w:t xml:space="preserve">the AUC values were calculated with the number of nodes in the hidden layer ranging from 2 to 20, and delay time varied between 1 to 10 hours. The maximum </w:t>
      </w:r>
      <w:r w:rsidR="00627246" w:rsidRPr="00CC6CA3">
        <w:lastRenderedPageBreak/>
        <w:t>AUC value for the NARX model was 0.9393, as shown in</w:t>
      </w:r>
      <w:r w:rsidR="002122FA" w:rsidRPr="00CC6CA3">
        <w:t xml:space="preserve">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002122FA" w:rsidRPr="00CC6CA3">
        <w:t xml:space="preserve"> (d). For the SAE model</w:t>
      </w:r>
      <w:r w:rsidR="00627246" w:rsidRPr="00CC6CA3">
        <w:t>, see</w:t>
      </w:r>
      <w:r w:rsidR="002122FA" w:rsidRPr="00CC6CA3">
        <w:t xml:space="preserve">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002122FA" w:rsidRPr="00CC6CA3">
        <w:t xml:space="preserve"> (c), </w:t>
      </w:r>
      <w:r w:rsidR="00627246" w:rsidRPr="00CC6CA3">
        <w:t>the AUC values were calculated with the number of nodes in the hidden layer ranging from 4 to 20, and the sparsity regularisation value from 0.1 to 4.2. The maximum AUC value for the SAE model was 0.9967. Comparing the three models, the SAE had the highest maximum AUC value. Because the maximum AUC of all three models was greater than 0.9, each of the models achieved a good performance with suitably selected parameters</w:t>
      </w:r>
      <w:r w:rsidR="002122FA" w:rsidRPr="00CC6CA3">
        <w:t xml:space="preserve">. </w:t>
      </w:r>
    </w:p>
    <w:p w14:paraId="38BEF13E" w14:textId="7E2FB8CC" w:rsidR="00A61614" w:rsidRPr="00CC6CA3" w:rsidRDefault="002122FA" w:rsidP="002122FA">
      <w:r w:rsidRPr="00CC6CA3">
        <w:t xml:space="preserve">In addition, as can be seen in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Pr="00CC6CA3">
        <w:t xml:space="preserve"> (a), </w:t>
      </w:r>
      <w:r w:rsidR="00627246" w:rsidRPr="00CC6CA3">
        <w:t>the AUC values of the PCA model dropped below 0.9 when the number of principal components was greater than 3</w:t>
      </w:r>
      <w:r w:rsidRPr="00CC6CA3">
        <w:t xml:space="preserve">. In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Pr="00CC6CA3">
        <w:t xml:space="preserve"> (b), most of the AUC values of the NARX model were below 0.95, while in </w:t>
      </w:r>
      <w:r w:rsidR="006019EE" w:rsidRPr="00CC6CA3">
        <w:fldChar w:fldCharType="begin"/>
      </w:r>
      <w:r w:rsidR="006019EE" w:rsidRPr="00CC6CA3">
        <w:instrText xml:space="preserve"> REF _Ref81548962 \h </w:instrText>
      </w:r>
      <w:r w:rsidR="006019EE"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60</w:t>
      </w:r>
      <w:r w:rsidR="006019EE" w:rsidRPr="00CC6CA3">
        <w:fldChar w:fldCharType="end"/>
      </w:r>
      <w:r w:rsidRPr="00CC6CA3">
        <w:t xml:space="preserve"> (c), </w:t>
      </w:r>
      <w:r w:rsidR="00627246" w:rsidRPr="00CC6CA3">
        <w:t>most of the AUC values of the SAE model were above 0.95. This indicated that, when detecting the misalignment fault in Case 2, the SAE model generally outperformed the NARX and PCA models</w:t>
      </w:r>
      <w:r w:rsidRPr="00CC6CA3">
        <w:t>.</w:t>
      </w:r>
    </w:p>
    <w:p w14:paraId="0EA25538" w14:textId="2D653595" w:rsidR="00874104" w:rsidRPr="00CC6CA3" w:rsidRDefault="00874104" w:rsidP="00874104">
      <w:r w:rsidRPr="00CC6CA3">
        <w:t>The AUC values for the three fault detection models with parametric change for detection of the bearing fault in Case 2, are shown in</w:t>
      </w:r>
      <w:r w:rsidR="002122FA" w:rsidRPr="00CC6CA3">
        <w:t xml:space="preserve"> </w:t>
      </w:r>
      <w:r w:rsidR="002122FA" w:rsidRPr="00CC6CA3">
        <w:fldChar w:fldCharType="begin"/>
      </w:r>
      <w:r w:rsidR="002122FA" w:rsidRPr="00CC6CA3">
        <w:instrText xml:space="preserve"> REF _Ref63175655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61</w:t>
      </w:r>
      <w:r w:rsidR="002122FA" w:rsidRPr="00CC6CA3">
        <w:fldChar w:fldCharType="end"/>
      </w:r>
      <w:r w:rsidR="002122FA" w:rsidRPr="00CC6CA3">
        <w:t>. For the PCA model</w:t>
      </w:r>
      <w:r w:rsidRPr="00CC6CA3">
        <w:t>, see</w:t>
      </w:r>
      <w:r w:rsidR="002122FA" w:rsidRPr="00CC6CA3">
        <w:t xml:space="preserve"> </w:t>
      </w:r>
      <w:r w:rsidR="002122FA" w:rsidRPr="00CC6CA3">
        <w:fldChar w:fldCharType="begin"/>
      </w:r>
      <w:r w:rsidR="002122FA" w:rsidRPr="00CC6CA3">
        <w:instrText xml:space="preserve"> REF _Ref63175655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61</w:t>
      </w:r>
      <w:r w:rsidR="002122FA" w:rsidRPr="00CC6CA3">
        <w:fldChar w:fldCharType="end"/>
      </w:r>
      <w:r w:rsidR="002122FA" w:rsidRPr="00CC6CA3">
        <w:t xml:space="preserve"> (a), </w:t>
      </w:r>
      <w:r w:rsidRPr="00CC6CA3">
        <w:t>the AUC values were calculated with the number of principal components ranging from 1 to 14. The maximum AUC value for the PCA model was 0.9968</w:t>
      </w:r>
      <w:r w:rsidR="002122FA" w:rsidRPr="00CC6CA3">
        <w:t xml:space="preserve">, as can be seen in </w:t>
      </w:r>
      <w:r w:rsidR="002122FA" w:rsidRPr="00CC6CA3">
        <w:fldChar w:fldCharType="begin"/>
      </w:r>
      <w:r w:rsidR="002122FA" w:rsidRPr="00CC6CA3">
        <w:instrText xml:space="preserve"> REF _Ref63175655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61</w:t>
      </w:r>
      <w:r w:rsidR="002122FA" w:rsidRPr="00CC6CA3">
        <w:fldChar w:fldCharType="end"/>
      </w:r>
      <w:r w:rsidR="002122FA" w:rsidRPr="00CC6CA3">
        <w:t xml:space="preserve"> (d). For the NARX model</w:t>
      </w:r>
      <w:r w:rsidRPr="00CC6CA3">
        <w:t>, see</w:t>
      </w:r>
      <w:r w:rsidR="002122FA" w:rsidRPr="00CC6CA3">
        <w:t xml:space="preserve"> </w:t>
      </w:r>
      <w:r w:rsidR="002122FA" w:rsidRPr="00CC6CA3">
        <w:fldChar w:fldCharType="begin"/>
      </w:r>
      <w:r w:rsidR="002122FA" w:rsidRPr="00CC6CA3">
        <w:instrText xml:space="preserve"> REF _Ref63175655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61</w:t>
      </w:r>
      <w:r w:rsidR="002122FA" w:rsidRPr="00CC6CA3">
        <w:fldChar w:fldCharType="end"/>
      </w:r>
      <w:r w:rsidR="002122FA" w:rsidRPr="00CC6CA3">
        <w:t xml:space="preserve"> (b), </w:t>
      </w:r>
      <w:r w:rsidRPr="00CC6CA3">
        <w:t>the AUC values were calculated with the number of nodes in the hidden layer ranging from 2 to 20, and delay time varied from 1 to 10 hours. The maximum AUC value for the NARX model was 0.9966, see</w:t>
      </w:r>
      <w:r w:rsidR="002122FA" w:rsidRPr="00CC6CA3">
        <w:t xml:space="preserve"> </w:t>
      </w:r>
      <w:r w:rsidR="002122FA" w:rsidRPr="00CC6CA3">
        <w:fldChar w:fldCharType="begin"/>
      </w:r>
      <w:r w:rsidR="002122FA" w:rsidRPr="00CC6CA3">
        <w:instrText xml:space="preserve"> REF _Ref63175655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61</w:t>
      </w:r>
      <w:r w:rsidR="002122FA" w:rsidRPr="00CC6CA3">
        <w:fldChar w:fldCharType="end"/>
      </w:r>
      <w:r w:rsidR="002122FA" w:rsidRPr="00CC6CA3">
        <w:t xml:space="preserve"> (d). For the SAE model in </w:t>
      </w:r>
      <w:r w:rsidR="002122FA" w:rsidRPr="00CC6CA3">
        <w:fldChar w:fldCharType="begin"/>
      </w:r>
      <w:r w:rsidR="002122FA" w:rsidRPr="00CC6CA3">
        <w:instrText xml:space="preserve"> REF _Ref63175655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61</w:t>
      </w:r>
      <w:r w:rsidR="002122FA" w:rsidRPr="00CC6CA3">
        <w:fldChar w:fldCharType="end"/>
      </w:r>
      <w:r w:rsidR="002122FA" w:rsidRPr="00CC6CA3">
        <w:t xml:space="preserve"> (c), </w:t>
      </w:r>
      <w:r w:rsidRPr="00CC6CA3">
        <w:t xml:space="preserve">the AUC values were calculated with the number of nodes in the hidden layer ranging from 4 to 20, and the sparsity regularisation value increased from 0.1 to 4.2. The maximum AUC value for the SAE model was 0.9962. </w:t>
      </w:r>
    </w:p>
    <w:p w14:paraId="633C3EC8" w14:textId="38E85E40" w:rsidR="002122FA" w:rsidRPr="00CC6CA3" w:rsidRDefault="00874104" w:rsidP="00874104">
      <w:r w:rsidRPr="00CC6CA3">
        <w:t>When detecting the bearing fault in Case 2, all these models performed very well with properly selected parameters, because 1) the maximum AUC of all three models were above 0.99; 2) even with changes in the parameters</w:t>
      </w:r>
      <w:r w:rsidR="002122FA" w:rsidRPr="00CC6CA3">
        <w:t xml:space="preserve">, the AUC values of the three models were all above 0.9 (see </w:t>
      </w:r>
      <w:r w:rsidR="002122FA" w:rsidRPr="00CC6CA3">
        <w:fldChar w:fldCharType="begin"/>
      </w:r>
      <w:r w:rsidR="002122FA" w:rsidRPr="00CC6CA3">
        <w:instrText xml:space="preserve"> REF _Ref63175655 \h </w:instrText>
      </w:r>
      <w:r w:rsidR="002122FA"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61</w:t>
      </w:r>
      <w:r w:rsidR="002122FA" w:rsidRPr="00CC6CA3">
        <w:fldChar w:fldCharType="end"/>
      </w:r>
      <w:r w:rsidR="002122FA" w:rsidRPr="00CC6CA3">
        <w:t xml:space="preserve"> (a) – (c)).</w:t>
      </w:r>
    </w:p>
    <w:p w14:paraId="19416217" w14:textId="77777777" w:rsidR="002122FA" w:rsidRPr="00CC6CA3" w:rsidRDefault="002122FA" w:rsidP="002122FA">
      <w:pPr>
        <w:keepNext/>
        <w:jc w:val="center"/>
      </w:pPr>
      <w:r w:rsidRPr="00CC6CA3">
        <w:object w:dxaOrig="9228" w:dyaOrig="12012" w14:anchorId="1A33ECCA">
          <v:shape id="_x0000_i1090" type="#_x0000_t75" style="width:372pt;height:486pt" o:ole="">
            <v:imagedata r:id="rId184" o:title=""/>
          </v:shape>
          <o:OLEObject Type="Embed" ProgID="Visio.Drawing.15" ShapeID="_x0000_i1090" DrawAspect="Content" ObjectID="_1692500369" r:id="rId185"/>
        </w:object>
      </w:r>
    </w:p>
    <w:p w14:paraId="7C5CC140" w14:textId="67B7ACB6" w:rsidR="002122FA" w:rsidRPr="00CC6CA3" w:rsidRDefault="002122FA" w:rsidP="002122FA">
      <w:pPr>
        <w:pStyle w:val="Caption"/>
        <w:jc w:val="center"/>
      </w:pPr>
      <w:bookmarkStart w:id="453" w:name="_Ref63175655"/>
      <w:bookmarkStart w:id="454" w:name="_Toc8155342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61</w:t>
      </w:r>
      <w:r w:rsidR="00D62691" w:rsidRPr="00CC6CA3">
        <w:rPr>
          <w:noProof/>
        </w:rPr>
        <w:fldChar w:fldCharType="end"/>
      </w:r>
      <w:bookmarkEnd w:id="453"/>
      <w:r w:rsidRPr="00CC6CA3">
        <w:t xml:space="preserve"> AUC values </w:t>
      </w:r>
      <w:r w:rsidR="005C1002" w:rsidRPr="00CC6CA3">
        <w:rPr>
          <w:szCs w:val="20"/>
        </w:rPr>
        <w:t>of the three models with parametric changes for detection of bearing fault in Case 2, (a) AUC value of PCA model with number of principal components, (b) AUC value of NARX model with number of nodes in the hidden layer and delay time, (c) AUC value of SAE model with number of nodes in the hidden layer and sparsity regularisation, (d) maximum AUC values for the three fault detection models</w:t>
      </w:r>
      <w:bookmarkEnd w:id="454"/>
    </w:p>
    <w:p w14:paraId="0D6EBD99" w14:textId="381A5493" w:rsidR="002122FA" w:rsidRPr="00CC6CA3" w:rsidRDefault="002122FA" w:rsidP="002122FA">
      <w:r w:rsidRPr="00CC6CA3">
        <w:t xml:space="preserve">In addition, according to the Q statistic contribution maps of the three fault detection models in </w:t>
      </w:r>
      <w:r w:rsidRPr="00CC6CA3">
        <w:fldChar w:fldCharType="begin"/>
      </w:r>
      <w:r w:rsidRPr="00CC6CA3">
        <w:instrText xml:space="preserve"> REF _Ref63245842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11</w:t>
      </w:r>
      <w:r w:rsidRPr="00CC6CA3">
        <w:fldChar w:fldCharType="end"/>
      </w:r>
      <w:r w:rsidRPr="00CC6CA3">
        <w:t xml:space="preserve">, </w:t>
      </w:r>
      <w:r w:rsidRPr="00CC6CA3">
        <w:fldChar w:fldCharType="begin"/>
      </w:r>
      <w:r w:rsidRPr="00CC6CA3">
        <w:instrText xml:space="preserve"> REF _Ref63256566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29</w:t>
      </w:r>
      <w:r w:rsidRPr="00CC6CA3">
        <w:fldChar w:fldCharType="end"/>
      </w:r>
      <w:r w:rsidRPr="00CC6CA3">
        <w:t xml:space="preserve">, and </w:t>
      </w:r>
      <w:r w:rsidRPr="00CC6CA3">
        <w:fldChar w:fldCharType="begin"/>
      </w:r>
      <w:r w:rsidRPr="00CC6CA3">
        <w:instrText xml:space="preserve"> REF _Ref63257083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45</w:t>
      </w:r>
      <w:r w:rsidRPr="00CC6CA3">
        <w:fldChar w:fldCharType="end"/>
      </w:r>
      <w:r w:rsidRPr="00CC6CA3">
        <w:t xml:space="preserve">, </w:t>
      </w:r>
      <w:r w:rsidR="00377D6E" w:rsidRPr="00CC6CA3">
        <w:t>the SAE and NARX models clearly detected the misalignment as well as radial bearing 2’s fault. While the PCA model detected the faults, it successfully indicated only the fault with radial bearing 2. With the misalignment, the PCA model failed to show the anomalies in the temperature of the two thrust bearings</w:t>
      </w:r>
      <w:r w:rsidRPr="00CC6CA3">
        <w:t>.</w:t>
      </w:r>
    </w:p>
    <w:p w14:paraId="6C6C481B" w14:textId="691FAD7D" w:rsidR="002122FA" w:rsidRPr="00CC6CA3" w:rsidRDefault="002122FA" w:rsidP="002122FA">
      <w:pPr>
        <w:pStyle w:val="Heading3"/>
      </w:pPr>
      <w:bookmarkStart w:id="455" w:name="_Toc81553296"/>
      <w:r w:rsidRPr="00CC6CA3">
        <w:lastRenderedPageBreak/>
        <w:t>Case 3</w:t>
      </w:r>
      <w:r w:rsidR="00C532A8" w:rsidRPr="00CC6CA3">
        <w:t>: bearing faults in compressor</w:t>
      </w:r>
      <w:bookmarkEnd w:id="455"/>
    </w:p>
    <w:p w14:paraId="1117367D" w14:textId="0FDBF09C" w:rsidR="002122FA" w:rsidRPr="00CC6CA3" w:rsidRDefault="002122FA" w:rsidP="002122FA">
      <w:r w:rsidRPr="00CC6CA3">
        <w:t xml:space="preserve">This case is to detect bearing faults in a compressor. The comparison of the fault detection results via NARX, PCA, and SAE models are presented in </w:t>
      </w:r>
      <w:r w:rsidRPr="00CC6CA3">
        <w:fldChar w:fldCharType="begin"/>
      </w:r>
      <w:r w:rsidRPr="00CC6CA3">
        <w:instrText xml:space="preserve"> REF _Ref63113278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62</w:t>
      </w:r>
      <w:r w:rsidRPr="00CC6CA3">
        <w:fldChar w:fldCharType="end"/>
      </w:r>
      <w:r w:rsidRPr="00CC6CA3">
        <w:t xml:space="preserve">. </w:t>
      </w:r>
      <w:r w:rsidR="00542F39" w:rsidRPr="00CC6CA3">
        <w:t>It can be seen from the figure that the maximum MD value of the NARX model after the fault was 40.98, of the PCA model was 29.56, and of the SAE model was 55.12. In this case, it is obvious that the fault detection results were similar among the three models, with SAE a bit higher than the other two models</w:t>
      </w:r>
      <w:r w:rsidRPr="00CC6CA3">
        <w:t>.</w:t>
      </w:r>
    </w:p>
    <w:p w14:paraId="4292047E" w14:textId="77777777" w:rsidR="002122FA" w:rsidRPr="00CC6CA3" w:rsidRDefault="002122FA" w:rsidP="002122FA">
      <w:pPr>
        <w:keepNext/>
        <w:jc w:val="center"/>
      </w:pPr>
      <w:r w:rsidRPr="00CC6CA3">
        <w:object w:dxaOrig="9096" w:dyaOrig="9061" w14:anchorId="550FBF46">
          <v:shape id="_x0000_i1091" type="#_x0000_t75" style="width:372pt;height:372pt" o:ole="">
            <v:imagedata r:id="rId186" o:title=""/>
          </v:shape>
          <o:OLEObject Type="Embed" ProgID="Visio.Drawing.15" ShapeID="_x0000_i1091" DrawAspect="Content" ObjectID="_1692500370" r:id="rId187"/>
        </w:object>
      </w:r>
    </w:p>
    <w:p w14:paraId="76C3409E" w14:textId="53591136" w:rsidR="002122FA" w:rsidRPr="00CC6CA3" w:rsidRDefault="002122FA" w:rsidP="002122FA">
      <w:pPr>
        <w:pStyle w:val="Caption"/>
        <w:jc w:val="center"/>
      </w:pPr>
      <w:bookmarkStart w:id="456" w:name="_Ref63113278"/>
      <w:bookmarkStart w:id="457" w:name="_Toc8155342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62</w:t>
      </w:r>
      <w:r w:rsidR="00D62691" w:rsidRPr="00CC6CA3">
        <w:rPr>
          <w:noProof/>
        </w:rPr>
        <w:fldChar w:fldCharType="end"/>
      </w:r>
      <w:bookmarkEnd w:id="456"/>
      <w:r w:rsidRPr="00CC6CA3">
        <w:t xml:space="preserve"> Fault detection results of three models for </w:t>
      </w:r>
      <w:r w:rsidR="00542F39" w:rsidRPr="00CC6CA3">
        <w:t>C</w:t>
      </w:r>
      <w:r w:rsidRPr="00CC6CA3">
        <w:t>ase 3, (a) NARX model, (b) PCA model, (c) SAE model.</w:t>
      </w:r>
      <w:bookmarkEnd w:id="457"/>
    </w:p>
    <w:p w14:paraId="3B92EE5A" w14:textId="67A8B57D" w:rsidR="002122FA" w:rsidRPr="00CC6CA3" w:rsidRDefault="00542F39" w:rsidP="002122FA">
      <w:r w:rsidRPr="00CC6CA3">
        <w:t>The AUC values of the three fault detection models change with change in parameters see</w:t>
      </w:r>
      <w:r w:rsidR="008D13B2" w:rsidRPr="00CC6CA3">
        <w:t xml:space="preserve">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For the PCA model</w:t>
      </w:r>
      <w:r w:rsidRPr="00CC6CA3">
        <w:t>,</w:t>
      </w:r>
      <w:r w:rsidR="002122FA" w:rsidRPr="00CC6CA3">
        <w:t xml:space="preserve">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(a), </w:t>
      </w:r>
      <w:r w:rsidRPr="00CC6CA3">
        <w:t>the AUC values were found with the number of principal components ranging from 1 to 14. The maximum AUC value for the PCA model was 0.8070, see</w:t>
      </w:r>
      <w:r w:rsidR="002122FA" w:rsidRPr="00CC6CA3">
        <w:t xml:space="preserve">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(d). For the NARX model</w:t>
      </w:r>
      <w:r w:rsidRPr="00CC6CA3">
        <w:t>,</w:t>
      </w:r>
      <w:r w:rsidR="002122FA" w:rsidRPr="00CC6CA3">
        <w:t xml:space="preserve">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(b), </w:t>
      </w:r>
      <w:r w:rsidRPr="00CC6CA3">
        <w:t xml:space="preserve">the AUC values were found with the number of nodes in the hidden layer ranging from 2 to 20, </w:t>
      </w:r>
      <w:r w:rsidRPr="00CC6CA3">
        <w:lastRenderedPageBreak/>
        <w:t>and delay time varied from 1 to 10 hours. The maximum AUC value for the NARX model was 0.9139, see</w:t>
      </w:r>
      <w:r w:rsidR="002122FA" w:rsidRPr="00CC6CA3">
        <w:t xml:space="preserve">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(d). For the SAE model</w:t>
      </w:r>
      <w:r w:rsidRPr="00CC6CA3">
        <w:t>,</w:t>
      </w:r>
      <w:r w:rsidR="002122FA" w:rsidRPr="00CC6CA3">
        <w:t xml:space="preserve">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(c), </w:t>
      </w:r>
      <w:r w:rsidRPr="00CC6CA3">
        <w:t>the AUC values were found with the number of nodes in the hidden layer ranging from 4 to 20, and the sparsity regularisation value increasing from 0.1 to 4.2. The maximum AUC value for the SAE model was 0.9523. Comparing the three models, the SAE had the highest maximum AUC values</w:t>
      </w:r>
      <w:r w:rsidR="002122FA" w:rsidRPr="00CC6CA3">
        <w:t xml:space="preserve">. </w:t>
      </w:r>
    </w:p>
    <w:p w14:paraId="2344B86A" w14:textId="77777777" w:rsidR="009716DB" w:rsidRPr="00CC6CA3" w:rsidRDefault="009716DB" w:rsidP="000E2A7B">
      <w:pPr>
        <w:keepNext/>
        <w:spacing w:after="0" w:line="240" w:lineRule="auto"/>
        <w:jc w:val="center"/>
      </w:pPr>
      <w:r w:rsidRPr="00CC6CA3">
        <w:object w:dxaOrig="9180" w:dyaOrig="11724" w14:anchorId="02B63610">
          <v:shape id="_x0000_i1092" type="#_x0000_t75" style="width:372pt;height:480pt" o:ole="">
            <v:imagedata r:id="rId188" o:title=""/>
          </v:shape>
          <o:OLEObject Type="Embed" ProgID="Visio.Drawing.15" ShapeID="_x0000_i1092" DrawAspect="Content" ObjectID="_1692500371" r:id="rId189"/>
        </w:object>
      </w:r>
    </w:p>
    <w:p w14:paraId="1E63819F" w14:textId="631D58B1" w:rsidR="009716DB" w:rsidRPr="00CC6CA3" w:rsidRDefault="009716DB" w:rsidP="009716DB">
      <w:pPr>
        <w:pStyle w:val="Caption"/>
        <w:jc w:val="center"/>
      </w:pPr>
      <w:bookmarkStart w:id="458" w:name="_Ref81549060"/>
      <w:bookmarkStart w:id="459" w:name="_Toc8155342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4</w:t>
      </w:r>
      <w:r w:rsidR="00D62691" w:rsidRPr="00CC6CA3">
        <w:rPr>
          <w:noProof/>
        </w:rPr>
        <w:fldChar w:fldCharType="end"/>
      </w:r>
      <w:r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63</w:t>
      </w:r>
      <w:r w:rsidR="00D62691" w:rsidRPr="00CC6CA3">
        <w:rPr>
          <w:noProof/>
        </w:rPr>
        <w:fldChar w:fldCharType="end"/>
      </w:r>
      <w:bookmarkEnd w:id="458"/>
      <w:r w:rsidRPr="00CC6CA3">
        <w:t xml:space="preserve"> AUC values of the three models with parametric changes for Case 3, (a) AUC value of PCA model with numbers of principal components change, (b) AUC value of NARX model with changes in number of nodes in the hidden layer and delay time, (c) AUC value of NARX model with changes in number of nodes in the hidden layer and sparsity regularisation, (d) the maximum AUC value of the three fault detection models.</w:t>
      </w:r>
      <w:bookmarkEnd w:id="459"/>
    </w:p>
    <w:p w14:paraId="0ECEBD67" w14:textId="2528D4F3" w:rsidR="002122FA" w:rsidRPr="00CC6CA3" w:rsidRDefault="00542F39" w:rsidP="002122FA">
      <w:r w:rsidRPr="00CC6CA3">
        <w:lastRenderedPageBreak/>
        <w:t>A</w:t>
      </w:r>
      <w:r w:rsidR="002122FA" w:rsidRPr="00CC6CA3">
        <w:t xml:space="preserve">s can be seen in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(a), </w:t>
      </w:r>
      <w:r w:rsidRPr="00CC6CA3">
        <w:t>the AUC values of the PCA model were above 0.8 only when the number of principal components equalled 16, 17, 21 and 22</w:t>
      </w:r>
      <w:r w:rsidR="002122FA" w:rsidRPr="00CC6CA3">
        <w:t xml:space="preserve">. In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(b), most of the AUC values of the NARX model were above 0.75 but below 0.90, while in </w:t>
      </w:r>
      <w:r w:rsidR="008D13B2" w:rsidRPr="00CC6CA3">
        <w:fldChar w:fldCharType="begin"/>
      </w:r>
      <w:r w:rsidR="008D13B2" w:rsidRPr="00CC6CA3">
        <w:instrText xml:space="preserve"> REF _Ref81549060 \h </w:instrText>
      </w:r>
      <w:r w:rsidR="008D13B2"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63</w:t>
      </w:r>
      <w:r w:rsidR="008D13B2" w:rsidRPr="00CC6CA3">
        <w:fldChar w:fldCharType="end"/>
      </w:r>
      <w:r w:rsidR="002122FA" w:rsidRPr="00CC6CA3">
        <w:t xml:space="preserve"> (c), </w:t>
      </w:r>
      <w:r w:rsidRPr="00CC6CA3">
        <w:t>a large proportion of AUC values of the SAE model were above 0.90. This indicated that, in Case 3, the SAE model outperformed the NARX and PCA models</w:t>
      </w:r>
      <w:r w:rsidR="002122FA" w:rsidRPr="00CC6CA3">
        <w:t>.</w:t>
      </w:r>
    </w:p>
    <w:p w14:paraId="16B5F952" w14:textId="292FBCD3" w:rsidR="002122FA" w:rsidRPr="00CC6CA3" w:rsidRDefault="002122FA" w:rsidP="002122FA">
      <w:r w:rsidRPr="00CC6CA3">
        <w:t>In addition, according to the 2D Q contribution maps of the three fault detection models</w:t>
      </w:r>
      <w:r w:rsidR="00216B58" w:rsidRPr="00CC6CA3">
        <w:t>,</w:t>
      </w:r>
      <w:r w:rsidRPr="00CC6CA3">
        <w:t xml:space="preserve"> </w:t>
      </w:r>
      <w:r w:rsidR="00216B58" w:rsidRPr="00CC6CA3">
        <w:t>see</w:t>
      </w:r>
      <w:r w:rsidRPr="00CC6CA3">
        <w:t xml:space="preserve"> </w:t>
      </w:r>
      <w:r w:rsidRPr="00CC6CA3">
        <w:fldChar w:fldCharType="begin"/>
      </w:r>
      <w:r w:rsidRPr="00CC6CA3">
        <w:instrText xml:space="preserve"> REF _Ref63286639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19</w:t>
      </w:r>
      <w:r w:rsidRPr="00CC6CA3">
        <w:fldChar w:fldCharType="end"/>
      </w:r>
      <w:r w:rsidRPr="00CC6CA3">
        <w:t xml:space="preserve">, </w:t>
      </w:r>
      <w:r w:rsidRPr="00CC6CA3">
        <w:fldChar w:fldCharType="begin"/>
      </w:r>
      <w:r w:rsidRPr="00CC6CA3">
        <w:instrText xml:space="preserve"> REF _Ref63282618 \h </w:instrText>
      </w:r>
      <w:r w:rsidRPr="00CC6CA3">
        <w:fldChar w:fldCharType="separate"/>
      </w:r>
      <w:r w:rsidR="001906D9" w:rsidRPr="00CC6CA3">
        <w:t xml:space="preserve">Figure </w:t>
      </w:r>
      <w:r w:rsidR="001906D9" w:rsidRPr="00CC6CA3">
        <w:rPr>
          <w:noProof/>
        </w:rPr>
        <w:t>4</w:t>
      </w:r>
      <w:r w:rsidR="001906D9" w:rsidRPr="00CC6CA3">
        <w:t>.</w:t>
      </w:r>
      <w:r w:rsidR="001906D9" w:rsidRPr="00CC6CA3">
        <w:rPr>
          <w:noProof/>
        </w:rPr>
        <w:t>35</w:t>
      </w:r>
      <w:r w:rsidRPr="00CC6CA3">
        <w:fldChar w:fldCharType="end"/>
      </w:r>
      <w:r w:rsidRPr="00CC6CA3">
        <w:t xml:space="preserve">, and </w:t>
      </w:r>
      <w:r w:rsidRPr="00CC6CA3">
        <w:fldChar w:fldCharType="begin"/>
      </w:r>
      <w:r w:rsidRPr="00CC6CA3">
        <w:instrText xml:space="preserve"> REF _Ref63279280 \h  \* MERGEFORMAT </w:instrText>
      </w:r>
      <w:r w:rsidRPr="00CC6CA3">
        <w:fldChar w:fldCharType="separate"/>
      </w:r>
      <w:r w:rsidR="001906D9" w:rsidRPr="00CC6CA3">
        <w:t>Figure 4.53</w:t>
      </w:r>
      <w:r w:rsidRPr="00CC6CA3">
        <w:fldChar w:fldCharType="end"/>
      </w:r>
      <w:r w:rsidRPr="00CC6CA3">
        <w:t xml:space="preserve">, </w:t>
      </w:r>
      <w:r w:rsidR="00216B58" w:rsidRPr="00CC6CA3">
        <w:t>the SAE and NARX models can clearly isolate the abnormal variables and detect the fault. While for the PCA model, its contribution map showed the NDE bearing at the 3rd stage had a fault from 6</w:t>
      </w:r>
      <w:r w:rsidR="00216B58" w:rsidRPr="00CC6CA3">
        <w:rPr>
          <w:vertAlign w:val="superscript"/>
        </w:rPr>
        <w:t>th</w:t>
      </w:r>
      <w:r w:rsidR="00216B58" w:rsidRPr="00CC6CA3">
        <w:t xml:space="preserve"> Oct to 17</w:t>
      </w:r>
      <w:r w:rsidR="00216B58" w:rsidRPr="00CC6CA3">
        <w:rPr>
          <w:vertAlign w:val="superscript"/>
        </w:rPr>
        <w:t>th</w:t>
      </w:r>
      <w:r w:rsidR="00216B58" w:rsidRPr="00CC6CA3">
        <w:t xml:space="preserve"> Oct, but when compared with the original measurement in Figure 3-21, no abnormal trends in these two signals can be found during this period</w:t>
      </w:r>
      <w:r w:rsidRPr="00CC6CA3">
        <w:t>.</w:t>
      </w:r>
    </w:p>
    <w:p w14:paraId="107F3B84" w14:textId="595E38F9" w:rsidR="0053364B" w:rsidRPr="00CC6CA3" w:rsidRDefault="0053364B" w:rsidP="002122FA">
      <w:r w:rsidRPr="00CC6CA3">
        <w:t xml:space="preserve">Note that </w:t>
      </w:r>
      <w:r w:rsidR="00D33D31" w:rsidRPr="00CC6CA3">
        <w:t xml:space="preserve">the sparse autoencoder can have more than one layer, </w:t>
      </w:r>
      <w:r w:rsidR="000B5CE9" w:rsidRPr="00CC6CA3">
        <w:t>in which case it</w:t>
      </w:r>
      <w:r w:rsidR="00D33D31" w:rsidRPr="00CC6CA3">
        <w:t xml:space="preserve"> turn</w:t>
      </w:r>
      <w:r w:rsidR="00116862" w:rsidRPr="00CC6CA3">
        <w:t>s</w:t>
      </w:r>
      <w:r w:rsidR="00D33D31" w:rsidRPr="00CC6CA3">
        <w:t xml:space="preserve"> into </w:t>
      </w:r>
      <w:r w:rsidR="00116862" w:rsidRPr="00CC6CA3">
        <w:t>a</w:t>
      </w:r>
      <w:r w:rsidR="00D33D31" w:rsidRPr="00CC6CA3">
        <w:t xml:space="preserve"> deep autoencoder. The selection of layers depends on the applied data. Our data was recorded as one point per hour,</w:t>
      </w:r>
      <w:r w:rsidR="00116862" w:rsidRPr="00CC6CA3">
        <w:t xml:space="preserve"> which is a relatively low sampling rate and</w:t>
      </w:r>
      <w:r w:rsidR="00D33D31" w:rsidRPr="00CC6CA3">
        <w:t xml:space="preserve"> hence the volume of the data was not large. We have tried deep autoencoder when develop</w:t>
      </w:r>
      <w:r w:rsidR="00116862" w:rsidRPr="00CC6CA3">
        <w:t>ing</w:t>
      </w:r>
      <w:r w:rsidR="00D33D31" w:rsidRPr="00CC6CA3">
        <w:t xml:space="preserve"> the model. However, we found that the results are quite similar using either one-layer autoencoder or deep autoencoder</w:t>
      </w:r>
      <w:r w:rsidRPr="00CC6CA3">
        <w:t>.</w:t>
      </w:r>
    </w:p>
    <w:p w14:paraId="5E2A7902" w14:textId="77777777" w:rsidR="002122FA" w:rsidRPr="00CC6CA3" w:rsidRDefault="002122FA" w:rsidP="002122FA">
      <w:pPr>
        <w:pStyle w:val="Heading2"/>
      </w:pPr>
      <w:bookmarkStart w:id="460" w:name="_Toc81553297"/>
      <w:r w:rsidRPr="00CC6CA3">
        <w:t>Summary</w:t>
      </w:r>
      <w:bookmarkEnd w:id="460"/>
    </w:p>
    <w:p w14:paraId="1E7120BD" w14:textId="632FCEEF" w:rsidR="002122FA" w:rsidRPr="00CC6CA3" w:rsidRDefault="000D26D3" w:rsidP="00FE17DF">
      <w:r w:rsidRPr="00CC6CA3">
        <w:t>This chapter tested each of three fault detection models, based on PCA, NARX, and SAE, to analyse condition monitoring data from a pump and a compressor used in the petrochemical industry. The results show that the SAE model is a more efficient method for early anomaly (fault) detection than the PCA and NARX models The SAE model outperformed the NARX and PCA model in three ways</w:t>
      </w:r>
      <w:r w:rsidR="002122FA" w:rsidRPr="00CC6CA3">
        <w:t xml:space="preserve">: </w:t>
      </w:r>
    </w:p>
    <w:p w14:paraId="7501B26C" w14:textId="77777777" w:rsidR="002122FA" w:rsidRPr="00CC6CA3" w:rsidRDefault="002122FA" w:rsidP="00FE17DF">
      <w:r w:rsidRPr="00CC6CA3">
        <w:t xml:space="preserve">1) Obviousness of detecting a fault. </w:t>
      </w:r>
    </w:p>
    <w:p w14:paraId="5D26C92D" w14:textId="77777777" w:rsidR="002122FA" w:rsidRPr="00CC6CA3" w:rsidRDefault="002122FA" w:rsidP="00FE17DF">
      <w:r w:rsidRPr="00CC6CA3">
        <w:t>Especially in the first case, the maximum MD value of the NARX model after the fault being detected was 37.49, that value of the PCA model was 25.68, in contrast, that value of the SAE model was 109.7, which was much higher than NARX and PCA model.</w:t>
      </w:r>
    </w:p>
    <w:p w14:paraId="3400AB93" w14:textId="77777777" w:rsidR="002122FA" w:rsidRPr="00CC6CA3" w:rsidRDefault="002122FA" w:rsidP="00FE17DF">
      <w:r w:rsidRPr="00CC6CA3">
        <w:t>2) The effectiveness of isolating abnormal variables</w:t>
      </w:r>
    </w:p>
    <w:p w14:paraId="18C2F348" w14:textId="39513545" w:rsidR="002122FA" w:rsidRPr="00CC6CA3" w:rsidRDefault="00B813C7" w:rsidP="002122FA">
      <w:pPr>
        <w:pStyle w:val="Body"/>
      </w:pPr>
      <w:r w:rsidRPr="00CC6CA3">
        <w:rPr>
          <w:lang w:eastAsia="zh-CN"/>
        </w:rPr>
        <w:lastRenderedPageBreak/>
        <w:t>The SAE and NARX models generated clearer contribution maps in all three fault cases to show which signal(s) contributed to the detected anomalies.  The PCA model was unable to display the abnormal variables in Case 1 correctly, nor the misalignment in Case 2 and Case 3</w:t>
      </w:r>
      <w:r w:rsidR="002122FA" w:rsidRPr="00CC6CA3">
        <w:rPr>
          <w:lang w:eastAsia="zh-CN"/>
        </w:rPr>
        <w:t>.</w:t>
      </w:r>
    </w:p>
    <w:p w14:paraId="09FBD293" w14:textId="231080AE" w:rsidR="002122FA" w:rsidRPr="00CC6CA3" w:rsidRDefault="002122FA" w:rsidP="00FE17DF">
      <w:pPr>
        <w:rPr>
          <w:highlight w:val="yellow"/>
        </w:rPr>
      </w:pPr>
      <w:r w:rsidRPr="00CC6CA3">
        <w:t>3) The maximum AUC value of each detection model</w:t>
      </w:r>
    </w:p>
    <w:p w14:paraId="1CC9F479" w14:textId="709F9966" w:rsidR="002122FA" w:rsidRPr="00CC6CA3" w:rsidRDefault="00B813C7" w:rsidP="00FE17DF">
      <w:r w:rsidRPr="00CC6CA3">
        <w:t>The ROC curves and AUC values were calculated for the three fault detection models with parametric changes. The results show that the SAE model yielded relatively higher AUC values in all three test cases when compared with PCA and NARX models. The PCA model was the weakest among the three models</w:t>
      </w:r>
      <w:r w:rsidR="002122FA" w:rsidRPr="00CC6CA3">
        <w:t>.</w:t>
      </w:r>
    </w:p>
    <w:p w14:paraId="104E3A69" w14:textId="0AB479BC" w:rsidR="002122FA" w:rsidRPr="00CC6CA3" w:rsidRDefault="002122FA">
      <w:pPr>
        <w:spacing w:line="259" w:lineRule="auto"/>
        <w:jc w:val="left"/>
      </w:pPr>
      <w:r w:rsidRPr="00CC6CA3">
        <w:br w:type="page"/>
      </w:r>
    </w:p>
    <w:p w14:paraId="2F8FFCFC" w14:textId="77777777" w:rsidR="00922D09" w:rsidRPr="00CC6CA3" w:rsidRDefault="00922D09" w:rsidP="00922D09">
      <w:pPr>
        <w:pStyle w:val="Title"/>
        <w:spacing w:line="360" w:lineRule="auto"/>
        <w:rPr>
          <w:sz w:val="44"/>
          <w:szCs w:val="44"/>
          <w:u w:val="thick"/>
        </w:rPr>
      </w:pPr>
    </w:p>
    <w:p w14:paraId="41E90B1D" w14:textId="77777777" w:rsidR="00922D09" w:rsidRPr="00CC6CA3" w:rsidRDefault="00922D09" w:rsidP="00922D09">
      <w:pPr>
        <w:pStyle w:val="Title"/>
        <w:spacing w:line="360" w:lineRule="auto"/>
        <w:rPr>
          <w:sz w:val="44"/>
          <w:szCs w:val="44"/>
          <w:u w:val="thick"/>
        </w:rPr>
      </w:pPr>
      <w:r w:rsidRPr="00CC6CA3">
        <w:rPr>
          <w:sz w:val="44"/>
          <w:szCs w:val="44"/>
          <w:u w:val="thick"/>
        </w:rPr>
        <w:t xml:space="preserve">                             </w:t>
      </w:r>
    </w:p>
    <w:p w14:paraId="3197CB1E" w14:textId="3407F007" w:rsidR="005710C8" w:rsidRPr="00CC6CA3" w:rsidRDefault="005710C8" w:rsidP="005710C8">
      <w:pPr>
        <w:pStyle w:val="Title"/>
        <w:spacing w:line="360" w:lineRule="auto"/>
        <w:rPr>
          <w:spacing w:val="0"/>
          <w:kern w:val="0"/>
          <w:szCs w:val="32"/>
        </w:rPr>
      </w:pPr>
    </w:p>
    <w:p w14:paraId="275814BE"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79208480" w14:textId="7AEFA1F8" w:rsidR="005710C8" w:rsidRPr="00CC6CA3" w:rsidRDefault="005710C8" w:rsidP="005710C8">
      <w:pPr>
        <w:pStyle w:val="Heading1"/>
      </w:pPr>
      <w:r w:rsidRPr="00CC6CA3">
        <w:br/>
      </w:r>
      <w:bookmarkStart w:id="461" w:name="_Toc81553298"/>
      <w:r w:rsidR="008D1627" w:rsidRPr="00CC6CA3">
        <w:rPr>
          <w:sz w:val="32"/>
          <w:szCs w:val="36"/>
        </w:rPr>
        <w:t>A Comprehensive Health Indicator based on Condition Monitoring Data for Pump and Compressor System</w:t>
      </w:r>
      <w:bookmarkEnd w:id="461"/>
    </w:p>
    <w:p w14:paraId="6F882DA4"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564BD241" w14:textId="77777777" w:rsidR="005710C8" w:rsidRPr="00CC6CA3" w:rsidRDefault="005710C8" w:rsidP="005710C8"/>
    <w:p w14:paraId="391D907B" w14:textId="0ACFB1D7" w:rsidR="005710C8" w:rsidRPr="00CC6CA3" w:rsidRDefault="006971CD" w:rsidP="005710C8">
      <w:pPr>
        <w:rPr>
          <w:i/>
        </w:rPr>
      </w:pPr>
      <w:r w:rsidRPr="00CC6CA3">
        <w:t xml:space="preserve">The purpose of this chapter is to develop a system health indicator from a dynamic risk assessment </w:t>
      </w:r>
      <w:r w:rsidRPr="00CC6CA3">
        <w:rPr>
          <w:rFonts w:hint="eastAsia"/>
        </w:rPr>
        <w:t>using</w:t>
      </w:r>
      <w:r w:rsidRPr="00CC6CA3">
        <w:t xml:space="preserve"> condition monitoring data. This strategy is carried out in four steps: fault detection, probability of fault calculation, the consequence of fault determination, and dynamic risk</w:t>
      </w:r>
      <w:r w:rsidR="008D1627" w:rsidRPr="00CC6CA3">
        <w:t xml:space="preserve">. </w:t>
      </w:r>
      <w:r w:rsidRPr="00CC6CA3">
        <w:t xml:space="preserve">A system health indicator should identify the faults and show the deterioration of the system using a dynamically updating the process risk at each sampling instant. First, a condition-based dynamic risk assessment method based on the PCA approach, as proposed by </w:t>
      </w:r>
      <w:r w:rsidRPr="00CC6CA3">
        <w:rPr>
          <w:rFonts w:cs="Times New Roman"/>
        </w:rPr>
        <w:t>Zadakbar</w:t>
      </w:r>
      <w:r w:rsidRPr="00CC6CA3">
        <w:t xml:space="preserve"> et al., </w:t>
      </w:r>
      <w:r w:rsidRPr="00CC6CA3">
        <w:fldChar w:fldCharType="begin"/>
      </w:r>
      <w:r w:rsidR="007D1BCC" w:rsidRPr="00CC6CA3">
        <w:instrText xml:space="preserve"> ADDIN ZOTERO_ITEM CSL_CITATION {"citationID":"T3OXI7e9","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is developed and a health indicator for the pump and compressor system obtained. </w:t>
      </w:r>
      <w:r w:rsidR="002E0CB5" w:rsidRPr="00CC6CA3">
        <w:t>Next, ba</w:t>
      </w:r>
      <w:r w:rsidRPr="00CC6CA3">
        <w:t>sed on their work, a general condition-based dynamic risk assessment methodology based on the system feature (developed in Chapter 4)</w:t>
      </w:r>
      <w:r w:rsidR="002E0CB5" w:rsidRPr="00CC6CA3">
        <w:t xml:space="preserve"> is</w:t>
      </w:r>
      <w:r w:rsidRPr="00CC6CA3">
        <w:t xml:space="preserve"> proposed. A comprehensive health indicator for the pump and compressor system </w:t>
      </w:r>
      <w:r w:rsidR="002E0CB5" w:rsidRPr="00CC6CA3">
        <w:t>i</w:t>
      </w:r>
      <w:r w:rsidRPr="00CC6CA3">
        <w:t>s obtained from the proposed methodology. The proposed methodology can not only reduce maintenance cost but also improve the safety of the plants</w:t>
      </w:r>
      <w:r w:rsidRPr="00CC6CA3">
        <w:rPr>
          <w:i/>
        </w:rPr>
        <w:t>.</w:t>
      </w:r>
    </w:p>
    <w:p w14:paraId="70CE336D" w14:textId="6F385AD9" w:rsidR="006A68D6" w:rsidRPr="00CC6CA3" w:rsidRDefault="005710C8">
      <w:pPr>
        <w:spacing w:line="259" w:lineRule="auto"/>
        <w:jc w:val="left"/>
      </w:pPr>
      <w:r w:rsidRPr="00CC6CA3">
        <w:br w:type="page"/>
      </w:r>
    </w:p>
    <w:p w14:paraId="299F580D" w14:textId="77777777" w:rsidR="006A68D6" w:rsidRPr="00CC6CA3" w:rsidRDefault="006A68D6" w:rsidP="006A68D6">
      <w:pPr>
        <w:pStyle w:val="Heading2"/>
        <w:rPr>
          <w:lang w:val="en-US"/>
        </w:rPr>
      </w:pPr>
      <w:bookmarkStart w:id="462" w:name="_Toc81553299"/>
      <w:r w:rsidRPr="00CC6CA3">
        <w:rPr>
          <w:lang w:val="en-US"/>
        </w:rPr>
        <w:lastRenderedPageBreak/>
        <w:t>Condition-based risk assessment maintenance methodology based on PCA approach</w:t>
      </w:r>
      <w:bookmarkEnd w:id="462"/>
    </w:p>
    <w:p w14:paraId="6101AAC9" w14:textId="0EB7F015" w:rsidR="006A68D6" w:rsidRPr="00CC6CA3" w:rsidRDefault="00C579DD" w:rsidP="006A68D6">
      <w:pPr>
        <w:pStyle w:val="Heading3"/>
        <w:rPr>
          <w:lang w:val="en-US"/>
        </w:rPr>
      </w:pPr>
      <w:bookmarkStart w:id="463" w:name="_Toc81553300"/>
      <w:r w:rsidRPr="00CC6CA3">
        <w:rPr>
          <w:lang w:val="en-US"/>
        </w:rPr>
        <w:t>Overall m</w:t>
      </w:r>
      <w:r w:rsidR="006A68D6" w:rsidRPr="00CC6CA3">
        <w:rPr>
          <w:lang w:val="en-US"/>
        </w:rPr>
        <w:t>ethodology</w:t>
      </w:r>
      <w:bookmarkEnd w:id="463"/>
    </w:p>
    <w:p w14:paraId="7ADE6F6C" w14:textId="440C1440" w:rsidR="002E0CB5" w:rsidRPr="00CC6CA3" w:rsidRDefault="002E0CB5" w:rsidP="002E0CB5">
      <w:r w:rsidRPr="00CC6CA3">
        <w:t xml:space="preserve">The methodology for determining a system health indicator is via a process of risk calculation using PCA and condition monitoring data, see in </w:t>
      </w:r>
      <w:r w:rsidR="006A68D6" w:rsidRPr="00CC6CA3">
        <w:fldChar w:fldCharType="begin"/>
      </w:r>
      <w:r w:rsidR="006A68D6" w:rsidRPr="00CC6CA3">
        <w:instrText xml:space="preserve"> REF _Ref63503197 \h  \* MERGEFORMAT </w:instrText>
      </w:r>
      <w:r w:rsidR="006A68D6" w:rsidRPr="00CC6CA3">
        <w:fldChar w:fldCharType="separate"/>
      </w:r>
      <w:r w:rsidR="001906D9" w:rsidRPr="00CC6CA3">
        <w:t>Figure 5.1</w:t>
      </w:r>
      <w:r w:rsidR="006A68D6" w:rsidRPr="00CC6CA3">
        <w:fldChar w:fldCharType="end"/>
      </w:r>
      <w:r w:rsidRPr="00CC6CA3">
        <w:t>,</w:t>
      </w:r>
      <w:r w:rsidR="006A68D6" w:rsidRPr="00CC6CA3">
        <w:t xml:space="preserve"> </w:t>
      </w:r>
      <w:r w:rsidRPr="00CC6CA3">
        <w:t xml:space="preserve">as proposed by </w:t>
      </w:r>
      <w:r w:rsidRPr="00CC6CA3">
        <w:rPr>
          <w:rFonts w:cs="Times New Roman"/>
        </w:rPr>
        <w:t>Zadakbar</w:t>
      </w:r>
      <w:r w:rsidRPr="00CC6CA3">
        <w:t xml:space="preserve"> et al., </w:t>
      </w:r>
      <w:r w:rsidR="006A68D6" w:rsidRPr="00CC6CA3">
        <w:fldChar w:fldCharType="begin"/>
      </w:r>
      <w:r w:rsidR="007D1BCC" w:rsidRPr="00CC6CA3">
        <w:instrText xml:space="preserve"> ADDIN ZOTERO_ITEM CSL_CITATION {"citationID":"y5WvfgjW","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6A68D6" w:rsidRPr="00CC6CA3">
        <w:fldChar w:fldCharType="separate"/>
      </w:r>
      <w:r w:rsidR="007D1BCC" w:rsidRPr="00CC6CA3">
        <w:rPr>
          <w:rFonts w:cs="Times New Roman"/>
        </w:rPr>
        <w:t>[94]</w:t>
      </w:r>
      <w:r w:rsidR="006A68D6" w:rsidRPr="00CC6CA3">
        <w:fldChar w:fldCharType="end"/>
      </w:r>
      <w:r w:rsidR="006A68D6" w:rsidRPr="00CC6CA3">
        <w:t xml:space="preserve">. </w:t>
      </w:r>
      <w:r w:rsidRPr="00CC6CA3">
        <w:t xml:space="preserve">In this method, the system health indicator is calculated at any time instant using the output from the PCA. </w:t>
      </w:r>
    </w:p>
    <w:p w14:paraId="1727E78D" w14:textId="5CA89BA7" w:rsidR="006A68D6" w:rsidRPr="00CC6CA3" w:rsidRDefault="002E0CB5" w:rsidP="002E0CB5">
      <w:r w:rsidRPr="00CC6CA3">
        <w:t>At each time step, the condition monitoring data are projected on the principal component subspace via the offline PCA model. The health indicator is the risk assessor of the system, which is composed of the probability of a fault (</w:t>
      </w:r>
      <m:oMath>
        <m:r>
          <w:rPr>
            <w:rFonts w:ascii="Cambria Math" w:hAnsi="Cambria Math"/>
          </w:rPr>
          <m:t>POF</m:t>
        </m:r>
      </m:oMath>
      <w:r w:rsidRPr="00CC6CA3">
        <w:t>) and its associated severity (</w:t>
      </w:r>
      <m:oMath>
        <m:r>
          <w:rPr>
            <w:rFonts w:ascii="Cambria Math" w:hAnsi="Cambria Math"/>
          </w:rPr>
          <m:t>S</m:t>
        </m:r>
      </m:oMath>
      <w:r w:rsidRPr="00CC6CA3">
        <w:t>). The system is viewed as healthy if the calculated risk stays within predefined boundaries. A fault is detected, and alarm(s) triggered when the calculated risk continuously exceeds the predefined threshold(s). The detailed processes are described in Sections 5.1.2, 5.1.3, and 5.1.4</w:t>
      </w:r>
      <w:r w:rsidR="006A68D6" w:rsidRPr="00CC6CA3">
        <w:t>.</w:t>
      </w:r>
    </w:p>
    <w:p w14:paraId="70EACCA9" w14:textId="77777777" w:rsidR="006A68D6" w:rsidRPr="00CC6CA3" w:rsidRDefault="006A68D6" w:rsidP="006A68D6">
      <w:pPr>
        <w:pStyle w:val="Body"/>
        <w:keepNext/>
        <w:jc w:val="center"/>
      </w:pPr>
      <w:r w:rsidRPr="00CC6CA3">
        <w:rPr>
          <w:noProof/>
        </w:rPr>
        <w:drawing>
          <wp:inline distT="0" distB="0" distL="0" distR="0" wp14:anchorId="1EA5EBAC" wp14:editId="5E4EF821">
            <wp:extent cx="2520000" cy="328590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20000" cy="3285908"/>
                    </a:xfrm>
                    <a:prstGeom prst="rect">
                      <a:avLst/>
                    </a:prstGeom>
                    <a:noFill/>
                  </pic:spPr>
                </pic:pic>
              </a:graphicData>
            </a:graphic>
          </wp:inline>
        </w:drawing>
      </w:r>
    </w:p>
    <w:p w14:paraId="7ABA5153" w14:textId="4EFBBA95" w:rsidR="006A68D6" w:rsidRPr="00CC6CA3" w:rsidRDefault="006A68D6" w:rsidP="006A68D6">
      <w:pPr>
        <w:pStyle w:val="Caption"/>
        <w:jc w:val="center"/>
        <w:rPr>
          <w:rFonts w:cs="Times New Roman"/>
        </w:rPr>
      </w:pPr>
      <w:bookmarkStart w:id="464" w:name="_Ref63503197"/>
      <w:bookmarkStart w:id="465" w:name="_Toc8155342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w:t>
      </w:r>
      <w:r w:rsidR="00D62691" w:rsidRPr="00CC6CA3">
        <w:rPr>
          <w:noProof/>
        </w:rPr>
        <w:fldChar w:fldCharType="end"/>
      </w:r>
      <w:bookmarkEnd w:id="464"/>
      <w:r w:rsidRPr="00CC6CA3">
        <w:t xml:space="preserve"> Flow </w:t>
      </w:r>
      <w:r w:rsidR="00A13C09" w:rsidRPr="00CC6CA3">
        <w:rPr>
          <w:szCs w:val="20"/>
        </w:rPr>
        <w:t>chart of condition-based risk assessment maintenance methodology using a PCA approach</w:t>
      </w:r>
      <w:r w:rsidRPr="00CC6CA3">
        <w:t xml:space="preserve"> </w:t>
      </w:r>
      <w:r w:rsidRPr="00CC6CA3">
        <w:rPr>
          <w:rFonts w:cs="Times New Roman"/>
        </w:rPr>
        <w:fldChar w:fldCharType="begin"/>
      </w:r>
      <w:r w:rsidR="007D1BCC" w:rsidRPr="00CC6CA3">
        <w:rPr>
          <w:rFonts w:cs="Times New Roman"/>
        </w:rPr>
        <w:instrText xml:space="preserve"> ADDIN ZOTERO_ITEM CSL_CITATION {"citationID":"RXEnfw6F","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rPr>
          <w:rFonts w:cs="Times New Roman"/>
        </w:rPr>
        <w:fldChar w:fldCharType="separate"/>
      </w:r>
      <w:r w:rsidR="007D1BCC" w:rsidRPr="00CC6CA3">
        <w:rPr>
          <w:rFonts w:cs="Times New Roman"/>
        </w:rPr>
        <w:t>[94]</w:t>
      </w:r>
      <w:bookmarkEnd w:id="465"/>
      <w:r w:rsidRPr="00CC6CA3">
        <w:rPr>
          <w:rFonts w:cs="Times New Roman"/>
        </w:rPr>
        <w:fldChar w:fldCharType="end"/>
      </w:r>
    </w:p>
    <w:p w14:paraId="58CEC693" w14:textId="523E4A8A" w:rsidR="006A68D6" w:rsidRPr="00CC6CA3" w:rsidRDefault="006A68D6" w:rsidP="00C579DD">
      <w:pPr>
        <w:pStyle w:val="Heading3"/>
        <w:rPr>
          <w:lang w:val="en-US"/>
        </w:rPr>
      </w:pPr>
      <w:bookmarkStart w:id="466" w:name="_Toc81553301"/>
      <w:r w:rsidRPr="00CC6CA3">
        <w:rPr>
          <w:lang w:val="en-US"/>
        </w:rPr>
        <w:lastRenderedPageBreak/>
        <w:t>Probability of fault model</w:t>
      </w:r>
      <w:r w:rsidR="002D2F85" w:rsidRPr="00CC6CA3">
        <w:rPr>
          <w:lang w:val="en-US"/>
        </w:rPr>
        <w:t xml:space="preserve"> designed for PCA</w:t>
      </w:r>
      <w:bookmarkEnd w:id="466"/>
    </w:p>
    <w:p w14:paraId="0FA4E520" w14:textId="519D5D33" w:rsidR="006A68D6" w:rsidRPr="00CC6CA3" w:rsidRDefault="00A13C09" w:rsidP="006A68D6">
      <w:r w:rsidRPr="00CC6CA3">
        <w:t>The probability of a fault event increases as the process moves away from normal operation</w:t>
      </w:r>
      <w:r w:rsidR="006A68D6" w:rsidRPr="00CC6CA3">
        <w:t xml:space="preserve">. According to </w:t>
      </w:r>
      <w:r w:rsidR="006A68D6" w:rsidRPr="00CC6CA3">
        <w:fldChar w:fldCharType="begin"/>
      </w:r>
      <w:r w:rsidR="007D1BCC" w:rsidRPr="00CC6CA3">
        <w:instrText xml:space="preserve"> ADDIN ZOTERO_ITEM CSL_CITATION {"citationID":"fakrwpum","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6A68D6" w:rsidRPr="00CC6CA3">
        <w:fldChar w:fldCharType="separate"/>
      </w:r>
      <w:r w:rsidR="007D1BCC" w:rsidRPr="00CC6CA3">
        <w:rPr>
          <w:rFonts w:cs="Times New Roman"/>
        </w:rPr>
        <w:t>[94]</w:t>
      </w:r>
      <w:r w:rsidR="006A68D6" w:rsidRPr="00CC6CA3">
        <w:fldChar w:fldCharType="end"/>
      </w:r>
      <w:r w:rsidR="006A68D6" w:rsidRPr="00CC6CA3">
        <w:t xml:space="preserve">, </w:t>
      </w:r>
      <w:r w:rsidRPr="00CC6CA3">
        <w:t>this behaviour can be captured by a cumulative normal distribution</w:t>
      </w:r>
      <w:r w:rsidR="006A68D6" w:rsidRPr="00CC6CA3">
        <w:t xml:space="preserve">. The probability of a fault for each predicted score point is calculated using Equation </w:t>
      </w:r>
      <w:r w:rsidR="006A68D6" w:rsidRPr="00CC6CA3">
        <w:fldChar w:fldCharType="begin"/>
      </w:r>
      <w:r w:rsidR="006A68D6" w:rsidRPr="00CC6CA3">
        <w:instrText xml:space="preserve"> REF _Ref43645084 \h  \* MERGEFORMAT </w:instrText>
      </w:r>
      <w:r w:rsidR="006A68D6" w:rsidRPr="00CC6CA3">
        <w:fldChar w:fldCharType="separate"/>
      </w:r>
      <w:r w:rsidR="001906D9" w:rsidRPr="00CC6CA3">
        <w:rPr>
          <w:rFonts w:hint="eastAsia"/>
        </w:rPr>
        <w:t>(</w:t>
      </w:r>
      <w:r w:rsidR="001906D9" w:rsidRPr="00CC6CA3">
        <w:t>2</w:t>
      </w:r>
      <w:r w:rsidR="001906D9" w:rsidRPr="00CC6CA3">
        <w:noBreakHyphen/>
        <w:t>10)</w:t>
      </w:r>
      <w:r w:rsidR="006A68D6" w:rsidRPr="00CC6CA3">
        <w:fldChar w:fldCharType="end"/>
      </w:r>
      <w:r w:rsidR="006A68D6" w:rsidRPr="00CC6CA3">
        <w:t xml:space="preserve"> and </w:t>
      </w:r>
      <w:r w:rsidR="006A68D6" w:rsidRPr="00CC6CA3">
        <w:fldChar w:fldCharType="begin"/>
      </w:r>
      <w:r w:rsidR="006A68D6" w:rsidRPr="00CC6CA3">
        <w:instrText xml:space="preserve"> REF _Ref41858185 \h  \* MERGEFORMAT </w:instrText>
      </w:r>
      <w:r w:rsidR="006A68D6" w:rsidRPr="00CC6CA3">
        <w:fldChar w:fldCharType="separate"/>
      </w:r>
      <w:r w:rsidR="001906D9" w:rsidRPr="00CC6CA3">
        <w:rPr>
          <w:rFonts w:hint="eastAsia"/>
        </w:rPr>
        <w:t>(</w:t>
      </w:r>
      <w:r w:rsidR="001906D9" w:rsidRPr="00CC6CA3">
        <w:t>2</w:t>
      </w:r>
      <w:r w:rsidR="001906D9" w:rsidRPr="00CC6CA3">
        <w:noBreakHyphen/>
        <w:t>11)</w:t>
      </w:r>
      <w:r w:rsidR="006A68D6" w:rsidRPr="00CC6CA3">
        <w:fldChar w:fldCharType="end"/>
      </w:r>
      <w:r w:rsidR="006A68D6" w:rsidRPr="00CC6CA3">
        <w:t xml:space="preserve">. </w:t>
      </w:r>
      <w:r w:rsidRPr="00CC6CA3">
        <w:t>A detailed explanation of the development of these equations can be found in Section 2.3.2</w:t>
      </w:r>
      <w:r w:rsidR="006A68D6" w:rsidRPr="00CC6C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0"/>
        <w:gridCol w:w="705"/>
      </w:tblGrid>
      <w:tr w:rsidR="00CC6CA3" w:rsidRPr="00CC6CA3" w14:paraId="61733304" w14:textId="77777777" w:rsidTr="00F632C0">
        <w:tc>
          <w:tcPr>
            <w:tcW w:w="8050" w:type="dxa"/>
          </w:tcPr>
          <w:p w14:paraId="43F6A96F" w14:textId="77777777" w:rsidR="006A68D6" w:rsidRPr="00CC6CA3" w:rsidRDefault="006A68D6" w:rsidP="00F632C0">
            <w:pPr>
              <w:spacing w:after="160"/>
            </w:pPr>
            <w:r w:rsidRPr="00CC6CA3">
              <w:t xml:space="preserve">For </w:t>
            </w:r>
            <m:oMath>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&gt;</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m:t>
              </m:r>
            </m:oMath>
            <w:r w:rsidRPr="00CC6CA3">
              <w:t xml:space="preserve">, </w:t>
            </w:r>
            <m:oMath>
              <m:r>
                <w:rPr>
                  <w:rFonts w:ascii="Cambria Math" w:hAnsi="Cambria Math"/>
                </w:rPr>
                <m:t>POF</m:t>
              </m:r>
              <m:r>
                <m:rPr>
                  <m:sty m:val="p"/>
                </m:rPr>
                <w:rPr>
                  <w:rFonts w:ascii="Cambria Math" w:hAnsi="Cambria Math"/>
                </w:rPr>
                <m:t>= φ</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+ 3</m:t>
                          </m:r>
                          <m:sSub>
                            <m:sSubPr>
                              <m:ctrlPr>
                                <w:rPr>
                                  <w:rFonts w:ascii="Cambria Math" w:hAnsi="Cambria Math"/>
                                </w:rPr>
                              </m:ctrlPr>
                            </m:sSubPr>
                            <m:e>
                              <m:r>
                                <w:rPr>
                                  <w:rFonts w:ascii="Cambria Math" w:hAnsi="Cambria Math"/>
                                </w:rPr>
                                <m:t>σ</m:t>
                              </m:r>
                            </m:e>
                            <m:sub>
                              <m:r>
                                <w:rPr>
                                  <w:rFonts w:ascii="Cambria Math" w:hAnsi="Cambria Math"/>
                                </w:rPr>
                                <m:t>i</m:t>
                              </m:r>
                            </m:sub>
                          </m:sSub>
                        </m:e>
                      </m:d>
                    </m:num>
                    <m:den>
                      <m:sSub>
                        <m:sSubPr>
                          <m:ctrlPr>
                            <w:rPr>
                              <w:rFonts w:ascii="Cambria Math" w:hAnsi="Cambria Math"/>
                            </w:rPr>
                          </m:ctrlPr>
                        </m:sSubPr>
                        <m:e>
                          <m:r>
                            <w:rPr>
                              <w:rFonts w:ascii="Cambria Math" w:hAnsi="Cambria Math"/>
                            </w:rPr>
                            <m:t>σ</m:t>
                          </m:r>
                        </m:e>
                        <m:sub>
                          <m:r>
                            <w:rPr>
                              <w:rFonts w:ascii="Cambria Math" w:hAnsi="Cambria Math"/>
                            </w:rPr>
                            <m:t>i</m:t>
                          </m:r>
                        </m:sub>
                      </m:sSub>
                    </m:den>
                  </m:f>
                </m:e>
              </m:d>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m:t>
                  </m:r>
                </m:sub>
                <m:sup>
                  <m:sSub>
                    <m:sSubPr>
                      <m:ctrlPr>
                        <w:rPr>
                          <w:rFonts w:ascii="Cambria Math" w:hAnsi="Cambria Math"/>
                        </w:rPr>
                      </m:ctrlPr>
                    </m:sSubPr>
                    <m:e>
                      <m:r>
                        <w:rPr>
                          <w:rFonts w:ascii="Cambria Math" w:hAnsi="Cambria Math"/>
                        </w:rPr>
                        <m:t>x</m:t>
                      </m:r>
                    </m:e>
                    <m:sub>
                      <m:r>
                        <w:rPr>
                          <w:rFonts w:ascii="Cambria Math" w:hAnsi="Cambria Math"/>
                        </w:rPr>
                        <m:t>ij</m:t>
                      </m:r>
                    </m:sub>
                  </m:sSub>
                </m:sup>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ad>
                            <m:radPr>
                              <m:degHide m:val="1"/>
                              <m:ctrlPr>
                                <w:rPr>
                                  <w:rFonts w:ascii="Cambria Math" w:hAnsi="Cambria Math"/>
                                </w:rPr>
                              </m:ctrlPr>
                            </m:radPr>
                            <m:deg/>
                            <m:e>
                              <m:r>
                                <m:rPr>
                                  <m:sty m:val="p"/>
                                </m:rPr>
                                <w:rPr>
                                  <w:rFonts w:ascii="Cambria Math" w:hAnsi="Cambria Math"/>
                                </w:rPr>
                                <m:t>2</m:t>
                              </m:r>
                              <m:r>
                                <w:rPr>
                                  <w:rFonts w:ascii="Cambria Math" w:hAnsi="Cambria Math"/>
                                </w:rPr>
                                <m:t>π</m:t>
                              </m:r>
                            </m:e>
                          </m:rad>
                          <m:r>
                            <w:rPr>
                              <w:rFonts w:ascii="Cambria Math" w:hAnsi="Cambria Math"/>
                            </w:rPr>
                            <m:t>σ</m:t>
                          </m:r>
                        </m:e>
                        <m:sub>
                          <m:r>
                            <w:rPr>
                              <w:rFonts w:ascii="Cambria Math" w:hAnsi="Cambria Math"/>
                            </w:rPr>
                            <m:t>i</m:t>
                          </m:r>
                        </m:sub>
                      </m:sSub>
                    </m:den>
                  </m:f>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+ 3</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sup>
                  </m:sSup>
                </m:e>
              </m:nary>
            </m:oMath>
          </w:p>
        </w:tc>
        <w:tc>
          <w:tcPr>
            <w:tcW w:w="705" w:type="dxa"/>
          </w:tcPr>
          <w:p w14:paraId="68CED2A0" w14:textId="32EE8349" w:rsidR="006A68D6" w:rsidRPr="00CC6CA3" w:rsidRDefault="006A68D6" w:rsidP="00F632C0">
            <w:pPr>
              <w:spacing w:after="160"/>
              <w:jc w:val="right"/>
            </w:pPr>
            <w:r w:rsidRPr="00CC6CA3">
              <w:rPr>
                <w:rFonts w:hint="eastAsia"/>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w:t>
            </w:r>
            <w:r w:rsidR="00D62691" w:rsidRPr="00CC6CA3">
              <w:rPr>
                <w:noProof/>
              </w:rPr>
              <w:fldChar w:fldCharType="end"/>
            </w:r>
            <w:r w:rsidRPr="00CC6CA3">
              <w:t>)</w:t>
            </w:r>
          </w:p>
        </w:tc>
      </w:tr>
      <w:tr w:rsidR="00CC6CA3" w:rsidRPr="00CC6CA3" w14:paraId="122ED268" w14:textId="77777777" w:rsidTr="00F632C0">
        <w:tc>
          <w:tcPr>
            <w:tcW w:w="8050" w:type="dxa"/>
          </w:tcPr>
          <w:p w14:paraId="1B791A10" w14:textId="77777777" w:rsidR="006A68D6" w:rsidRPr="00CC6CA3" w:rsidRDefault="006A68D6" w:rsidP="00F632C0">
            <w:pPr>
              <w:spacing w:after="160"/>
            </w:pPr>
            <w:r w:rsidRPr="00CC6CA3">
              <w:t xml:space="preserve">For </w:t>
            </w:r>
            <m:oMath>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&lt;</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m:t>
              </m:r>
            </m:oMath>
            <w:r w:rsidRPr="00CC6CA3">
              <w:t xml:space="preserve">, </w:t>
            </w:r>
            <m:oMath>
              <m:r>
                <w:rPr>
                  <w:rFonts w:ascii="Cambria Math" w:hAnsi="Cambria Math"/>
                </w:rPr>
                <m:t>POF</m:t>
              </m:r>
              <m:r>
                <m:rPr>
                  <m:sty m:val="p"/>
                </m:rPr>
                <w:rPr>
                  <w:rFonts w:ascii="Cambria Math" w:hAnsi="Cambria Math"/>
                </w:rPr>
                <m:t>=1- φ</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- 3</m:t>
                          </m:r>
                          <m:sSub>
                            <m:sSubPr>
                              <m:ctrlPr>
                                <w:rPr>
                                  <w:rFonts w:ascii="Cambria Math" w:hAnsi="Cambria Math"/>
                                </w:rPr>
                              </m:ctrlPr>
                            </m:sSubPr>
                            <m:e>
                              <m:r>
                                <w:rPr>
                                  <w:rFonts w:ascii="Cambria Math" w:hAnsi="Cambria Math"/>
                                </w:rPr>
                                <m:t>σ</m:t>
                              </m:r>
                            </m:e>
                            <m:sub>
                              <m:r>
                                <w:rPr>
                                  <w:rFonts w:ascii="Cambria Math" w:hAnsi="Cambria Math"/>
                                </w:rPr>
                                <m:t>i</m:t>
                              </m:r>
                            </m:sub>
                          </m:sSub>
                        </m:e>
                      </m:d>
                    </m:num>
                    <m:den>
                      <m:sSub>
                        <m:sSubPr>
                          <m:ctrlPr>
                            <w:rPr>
                              <w:rFonts w:ascii="Cambria Math" w:hAnsi="Cambria Math"/>
                            </w:rPr>
                          </m:ctrlPr>
                        </m:sSubPr>
                        <m:e>
                          <m:r>
                            <w:rPr>
                              <w:rFonts w:ascii="Cambria Math" w:hAnsi="Cambria Math"/>
                            </w:rPr>
                            <m:t>σ</m:t>
                          </m:r>
                        </m:e>
                        <m:sub>
                          <m:r>
                            <w:rPr>
                              <w:rFonts w:ascii="Cambria Math" w:hAnsi="Cambria Math"/>
                            </w:rPr>
                            <m:t>i</m:t>
                          </m:r>
                        </m:sub>
                      </m:sSub>
                    </m:den>
                  </m:f>
                </m:e>
              </m:d>
              <m:r>
                <m:rPr>
                  <m:sty m:val="p"/>
                </m:rPr>
                <w:rPr>
                  <w:rFonts w:ascii="Cambria Math" w:hAnsi="Cambria Math"/>
                </w:rPr>
                <m:t>=1-</m:t>
              </m:r>
              <m:nary>
                <m:naryPr>
                  <m:limLoc m:val="subSup"/>
                  <m:ctrlPr>
                    <w:rPr>
                      <w:rFonts w:ascii="Cambria Math" w:hAnsi="Cambria Math"/>
                    </w:rPr>
                  </m:ctrlPr>
                </m:naryPr>
                <m:sub>
                  <m:r>
                    <m:rPr>
                      <m:sty m:val="p"/>
                    </m:rPr>
                    <w:rPr>
                      <w:rFonts w:ascii="Cambria Math" w:hAnsi="Cambria Math"/>
                    </w:rPr>
                    <m:t>-∞</m:t>
                  </m:r>
                </m:sub>
                <m:sup>
                  <m:sSub>
                    <m:sSubPr>
                      <m:ctrlPr>
                        <w:rPr>
                          <w:rFonts w:ascii="Cambria Math" w:hAnsi="Cambria Math"/>
                        </w:rPr>
                      </m:ctrlPr>
                    </m:sSubPr>
                    <m:e>
                      <m:r>
                        <w:rPr>
                          <w:rFonts w:ascii="Cambria Math" w:hAnsi="Cambria Math"/>
                        </w:rPr>
                        <m:t>x</m:t>
                      </m:r>
                    </m:e>
                    <m:sub>
                      <m:r>
                        <w:rPr>
                          <w:rFonts w:ascii="Cambria Math" w:hAnsi="Cambria Math"/>
                        </w:rPr>
                        <m:t>ij</m:t>
                      </m:r>
                    </m:sub>
                  </m:sSub>
                </m:sup>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ad>
                            <m:radPr>
                              <m:degHide m:val="1"/>
                              <m:ctrlPr>
                                <w:rPr>
                                  <w:rFonts w:ascii="Cambria Math" w:hAnsi="Cambria Math"/>
                                </w:rPr>
                              </m:ctrlPr>
                            </m:radPr>
                            <m:deg/>
                            <m:e>
                              <m:r>
                                <m:rPr>
                                  <m:sty m:val="p"/>
                                </m:rPr>
                                <w:rPr>
                                  <w:rFonts w:ascii="Cambria Math" w:hAnsi="Cambria Math"/>
                                </w:rPr>
                                <m:t>2</m:t>
                              </m:r>
                              <m:r>
                                <w:rPr>
                                  <w:rFonts w:ascii="Cambria Math" w:hAnsi="Cambria Math"/>
                                </w:rPr>
                                <m:t>π</m:t>
                              </m:r>
                            </m:e>
                          </m:rad>
                          <m:r>
                            <w:rPr>
                              <w:rFonts w:ascii="Cambria Math" w:hAnsi="Cambria Math"/>
                            </w:rPr>
                            <m:t>σ</m:t>
                          </m:r>
                        </m:e>
                        <m:sub>
                          <m:r>
                            <w:rPr>
                              <w:rFonts w:ascii="Cambria Math" w:hAnsi="Cambria Math"/>
                            </w:rPr>
                            <m:t>i</m:t>
                          </m:r>
                        </m:sub>
                      </m:sSub>
                    </m:den>
                  </m:f>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-3</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sup>
                  </m:sSup>
                </m:e>
              </m:nary>
            </m:oMath>
          </w:p>
        </w:tc>
        <w:tc>
          <w:tcPr>
            <w:tcW w:w="705" w:type="dxa"/>
          </w:tcPr>
          <w:p w14:paraId="0FE9AA16" w14:textId="2EA7EF10" w:rsidR="006A68D6" w:rsidRPr="00CC6CA3" w:rsidRDefault="006A68D6" w:rsidP="00F632C0">
            <w:pPr>
              <w:spacing w:after="160"/>
              <w:jc w:val="right"/>
            </w:pPr>
            <w:r w:rsidRPr="00CC6CA3">
              <w:rPr>
                <w:rFonts w:hint="eastAsia"/>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2</w:t>
            </w:r>
            <w:r w:rsidR="00D62691" w:rsidRPr="00CC6CA3">
              <w:rPr>
                <w:noProof/>
              </w:rPr>
              <w:fldChar w:fldCharType="end"/>
            </w:r>
            <w:r w:rsidRPr="00CC6CA3">
              <w:t>)</w:t>
            </w:r>
          </w:p>
        </w:tc>
      </w:tr>
    </w:tbl>
    <w:p w14:paraId="17882BAD" w14:textId="77777777" w:rsidR="00A13C09" w:rsidRPr="00CC6CA3" w:rsidRDefault="00A13C09" w:rsidP="00A13C09">
      <w:r w:rsidRPr="00CC6CA3">
        <w:t xml:space="preserve">where </w:t>
      </w:r>
      <m:oMath>
        <m:r>
          <w:rPr>
            <w:rFonts w:ascii="Cambria Math" w:hAnsi="Cambria Math"/>
          </w:rPr>
          <m:t>i</m:t>
        </m:r>
        <m:r>
          <m:rPr>
            <m:sty m:val="p"/>
          </m:rPr>
          <w:rPr>
            <w:rFonts w:ascii="Cambria Math" w:hAnsi="Cambria Math"/>
          </w:rPr>
          <m:t>=1,…,</m:t>
        </m:r>
        <m:r>
          <w:rPr>
            <w:rFonts w:ascii="Cambria Math" w:hAnsi="Cambria Math"/>
          </w:rPr>
          <m:t>n</m:t>
        </m:r>
      </m:oMath>
      <w:r w:rsidRPr="00CC6CA3">
        <w:t xml:space="preserve">, and </w:t>
      </w:r>
      <m:oMath>
        <m:r>
          <w:rPr>
            <w:rFonts w:ascii="Cambria Math" w:hAnsi="Cambria Math"/>
          </w:rPr>
          <m:t>n</m:t>
        </m:r>
      </m:oMath>
      <w:r w:rsidRPr="00CC6CA3">
        <w:t xml:space="preserve"> is the number of principal components, </w:t>
      </w:r>
      <m:oMath>
        <m:r>
          <w:rPr>
            <w:rFonts w:ascii="Cambria Math" w:hAnsi="Cambria Math"/>
          </w:rPr>
          <m:t>j</m:t>
        </m:r>
        <m:r>
          <m:rPr>
            <m:sty m:val="p"/>
          </m:rPr>
          <w:rPr>
            <w:rFonts w:ascii="Cambria Math" w:hAnsi="Cambria Math"/>
          </w:rPr>
          <m:t>=1,…,</m:t>
        </m:r>
        <m:r>
          <w:rPr>
            <w:rFonts w:ascii="Cambria Math" w:hAnsi="Cambria Math"/>
          </w:rPr>
          <m:t>m</m:t>
        </m:r>
      </m:oMath>
      <w:r w:rsidRPr="00CC6CA3">
        <w:t xml:space="preserve">, and </w:t>
      </w:r>
      <m:oMath>
        <m:r>
          <w:rPr>
            <w:rFonts w:ascii="Cambria Math" w:hAnsi="Cambria Math"/>
          </w:rPr>
          <m:t>m</m:t>
        </m:r>
      </m:oMath>
      <w:r w:rsidRPr="00CC6CA3">
        <w:t xml:space="preserve"> is the number of samples. </w:t>
      </w:r>
      <m:oMath>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m:t>
        </m:r>
      </m:oMath>
      <w:r w:rsidRPr="00CC6CA3">
        <w:t xml:space="preserve"> is the mean value, and </w:t>
      </w:r>
      <m:oMath>
        <m:sSub>
          <m:sSubPr>
            <m:ctrlPr>
              <w:rPr>
                <w:rFonts w:ascii="Cambria Math" w:hAnsi="Cambria Math"/>
              </w:rPr>
            </m:ctrlPr>
          </m:sSubPr>
          <m:e>
            <m:r>
              <w:rPr>
                <w:rFonts w:ascii="Cambria Math" w:hAnsi="Cambria Math"/>
              </w:rPr>
              <m:t>σ</m:t>
            </m:r>
          </m:e>
          <m:sub>
            <m:r>
              <w:rPr>
                <w:rFonts w:ascii="Cambria Math" w:hAnsi="Cambria Math"/>
              </w:rPr>
              <m:t>i</m:t>
            </m:r>
          </m:sub>
        </m:sSub>
      </m:oMath>
      <w:r w:rsidRPr="00CC6CA3">
        <w:t xml:space="preserve"> is the standard deviation of the input </w:t>
      </w:r>
      <m:oMath>
        <m:sSub>
          <m:sSubPr>
            <m:ctrlPr>
              <w:rPr>
                <w:rFonts w:ascii="Cambria Math" w:hAnsi="Cambria Math"/>
              </w:rPr>
            </m:ctrlPr>
          </m:sSubPr>
          <m:e>
            <m:r>
              <w:rPr>
                <w:rFonts w:ascii="Cambria Math" w:hAnsi="Cambria Math"/>
              </w:rPr>
              <m:t>x</m:t>
            </m:r>
          </m:e>
          <m:sub>
            <m:r>
              <w:rPr>
                <w:rFonts w:ascii="Cambria Math" w:hAnsi="Cambria Math"/>
              </w:rPr>
              <m:t>ij</m:t>
            </m:r>
          </m:sub>
        </m:sSub>
      </m:oMath>
      <w:r w:rsidRPr="00CC6CA3">
        <w:t>.</w:t>
      </w:r>
    </w:p>
    <w:p w14:paraId="2C118762" w14:textId="5E0045C4" w:rsidR="006A68D6" w:rsidRPr="00CC6CA3" w:rsidRDefault="00A13C09" w:rsidP="00A13C09">
      <w:r w:rsidRPr="00CC6CA3">
        <w:t>According to these equations, when an input is at the threshold (</w:t>
      </w:r>
      <m:oMath>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 3</m:t>
        </m:r>
        <m:sSub>
          <m:sSubPr>
            <m:ctrlPr>
              <w:rPr>
                <w:rFonts w:ascii="Cambria Math" w:hAnsi="Cambria Math"/>
              </w:rPr>
            </m:ctrlPr>
          </m:sSubPr>
          <m:e>
            <m:r>
              <w:rPr>
                <w:rFonts w:ascii="Cambria Math" w:hAnsi="Cambria Math"/>
              </w:rPr>
              <m:t>σ</m:t>
            </m:r>
          </m:e>
          <m:sub>
            <m:r>
              <w:rPr>
                <w:rFonts w:ascii="Cambria Math" w:hAnsi="Cambria Math"/>
              </w:rPr>
              <m:t>i</m:t>
            </m:r>
          </m:sub>
        </m:sSub>
      </m:oMath>
      <w:r w:rsidRPr="00CC6CA3">
        <w:t>), the probability of the fault is 0.5 as it can either return to normal or continue deteriorating to a fault event. Any predicted points outside the thresholds will be considered anomalies, and the further from the threshold, the higher the probability of a fault</w:t>
      </w:r>
      <w:r w:rsidR="006A68D6" w:rsidRPr="00CC6CA3">
        <w:t>.</w:t>
      </w:r>
    </w:p>
    <w:p w14:paraId="378390C5" w14:textId="44CB7D30" w:rsidR="006A68D6" w:rsidRPr="00CC6CA3" w:rsidRDefault="006A68D6" w:rsidP="00C579DD">
      <w:pPr>
        <w:pStyle w:val="Heading3"/>
        <w:rPr>
          <w:lang w:val="en-US"/>
        </w:rPr>
      </w:pPr>
      <w:bookmarkStart w:id="467" w:name="_Toc81553302"/>
      <w:r w:rsidRPr="00CC6CA3">
        <w:rPr>
          <w:rFonts w:hint="eastAsia"/>
          <w:lang w:val="en-US"/>
        </w:rPr>
        <w:t>Severity</w:t>
      </w:r>
      <w:r w:rsidRPr="00CC6CA3">
        <w:rPr>
          <w:lang w:val="en-US"/>
        </w:rPr>
        <w:t xml:space="preserve"> of fault model</w:t>
      </w:r>
      <w:r w:rsidR="002D2F85" w:rsidRPr="00CC6CA3">
        <w:rPr>
          <w:lang w:val="en-US"/>
        </w:rPr>
        <w:t xml:space="preserve"> designed for PCA</w:t>
      </w:r>
      <w:bookmarkEnd w:id="467"/>
    </w:p>
    <w:p w14:paraId="4D55AB0F" w14:textId="7C61FB53" w:rsidR="006A68D6" w:rsidRPr="00CC6CA3" w:rsidRDefault="005B2617" w:rsidP="006A68D6">
      <w:r w:rsidRPr="00CC6CA3">
        <w:t xml:space="preserve">The consequence of a fault in this methodology is replaced by the severity score of the fault. The severity can be calculated using </w:t>
      </w:r>
      <w:r w:rsidR="006A68D6" w:rsidRPr="00CC6CA3">
        <w:t xml:space="preserve">Equations </w:t>
      </w:r>
      <w:r w:rsidR="006A68D6" w:rsidRPr="00CC6CA3">
        <w:fldChar w:fldCharType="begin"/>
      </w:r>
      <w:r w:rsidR="006A68D6" w:rsidRPr="00CC6CA3">
        <w:instrText xml:space="preserve"> REF _Ref41943482 \h  \* MERGEFORMAT </w:instrText>
      </w:r>
      <w:r w:rsidR="006A68D6" w:rsidRPr="00CC6CA3">
        <w:fldChar w:fldCharType="separate"/>
      </w:r>
      <w:r w:rsidR="001906D9" w:rsidRPr="00CC6CA3">
        <w:rPr>
          <w:rFonts w:hint="eastAsia"/>
        </w:rPr>
        <w:t>(</w:t>
      </w:r>
      <w:r w:rsidR="001906D9" w:rsidRPr="00CC6CA3">
        <w:t>2</w:t>
      </w:r>
      <w:r w:rsidR="001906D9" w:rsidRPr="00CC6CA3">
        <w:noBreakHyphen/>
        <w:t>12)</w:t>
      </w:r>
      <w:r w:rsidR="006A68D6" w:rsidRPr="00CC6CA3">
        <w:fldChar w:fldCharType="end"/>
      </w:r>
      <w:r w:rsidR="006A68D6" w:rsidRPr="00CC6CA3">
        <w:t xml:space="preserve"> and </w:t>
      </w:r>
      <w:r w:rsidR="006A68D6" w:rsidRPr="00CC6CA3">
        <w:fldChar w:fldCharType="begin"/>
      </w:r>
      <w:r w:rsidR="006A68D6" w:rsidRPr="00CC6CA3">
        <w:instrText xml:space="preserve"> REF _Ref43370046 \h  \* MERGEFORMAT </w:instrText>
      </w:r>
      <w:r w:rsidR="006A68D6" w:rsidRPr="00CC6CA3">
        <w:fldChar w:fldCharType="separate"/>
      </w:r>
      <w:r w:rsidR="001906D9" w:rsidRPr="00CC6CA3">
        <w:rPr>
          <w:rFonts w:hint="eastAsia"/>
        </w:rPr>
        <w:t>(</w:t>
      </w:r>
      <w:r w:rsidR="001906D9" w:rsidRPr="00CC6CA3">
        <w:t>2</w:t>
      </w:r>
      <w:r w:rsidR="001906D9" w:rsidRPr="00CC6CA3">
        <w:noBreakHyphen/>
        <w:t>13)</w:t>
      </w:r>
      <w:r w:rsidR="006A68D6" w:rsidRPr="00CC6CA3">
        <w:fldChar w:fldCharType="end"/>
      </w:r>
      <w:r w:rsidR="006A68D6" w:rsidRPr="00CC6C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0"/>
        <w:gridCol w:w="1055"/>
      </w:tblGrid>
      <w:tr w:rsidR="00CC6CA3" w:rsidRPr="00CC6CA3" w14:paraId="7D50BCDE" w14:textId="77777777" w:rsidTr="00F632C0">
        <w:tc>
          <w:tcPr>
            <w:tcW w:w="7700" w:type="dxa"/>
          </w:tcPr>
          <w:p w14:paraId="6A9041F4" w14:textId="77777777" w:rsidR="006A68D6" w:rsidRPr="00CC6CA3" w:rsidRDefault="006A68D6" w:rsidP="00F632C0">
            <w:pPr>
              <w:spacing w:after="160"/>
            </w:pPr>
            <w:r w:rsidRPr="00CC6CA3">
              <w:t xml:space="preserve">For </w:t>
            </w:r>
            <m:oMath>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&gt;</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m:t>
              </m:r>
            </m:oMath>
            <w:r w:rsidRPr="00CC6CA3">
              <w:t xml:space="preserve">, </w:t>
            </w:r>
            <m:oMath>
              <m:r>
                <w:rPr>
                  <w:rFonts w:ascii="Cambria Math" w:hAnsi="Cambria Math"/>
                </w:rPr>
                <m:t>S</m:t>
              </m:r>
              <m:r>
                <m:rPr>
                  <m:sty m:val="p"/>
                </m:rPr>
                <w:rPr>
                  <w:rFonts w:ascii="Cambria Math" w:hAnsi="Cambria Math"/>
                </w:rPr>
                <m:t xml:space="preserve">= </m:t>
              </m:r>
              <m:nary>
                <m:naryPr>
                  <m:chr m:val="∑"/>
                  <m:limLoc m:val="undOvr"/>
                  <m:ctrlPr>
                    <w:rPr>
                      <w:rFonts w:ascii="Cambria Math" w:hAnsi="Cambria Math"/>
                    </w:rPr>
                  </m:ctrlPr>
                </m:naryPr>
                <m:sub>
                  <m:r>
                    <w:rPr>
                      <w:rFonts w:ascii="Cambria Math" w:hAnsi="Cambria Math"/>
                    </w:rPr>
                    <m:t>k</m:t>
                  </m:r>
                  <m:r>
                    <m:rPr>
                      <m:sty m:val="p"/>
                    </m:rPr>
                    <w:rPr>
                      <w:rFonts w:ascii="Cambria Math" w:hAnsi="Cambria Math"/>
                    </w:rPr>
                    <m:t>=1</m:t>
                  </m:r>
                </m:sub>
                <m:sup>
                  <m:r>
                    <w:rPr>
                      <w:rFonts w:ascii="Cambria Math" w:hAnsi="Cambria Math"/>
                    </w:rPr>
                    <m:t>q</m:t>
                  </m:r>
                </m:sup>
                <m:e>
                  <m:sSub>
                    <m:sSubPr>
                      <m:ctrlPr>
                        <w:rPr>
                          <w:rFonts w:ascii="Cambria Math" w:hAnsi="Cambria Math"/>
                        </w:rPr>
                      </m:ctrlPr>
                    </m:sSubPr>
                    <m:e>
                      <m:r>
                        <w:rPr>
                          <w:rFonts w:ascii="Cambria Math" w:hAnsi="Cambria Math"/>
                        </w:rPr>
                        <m:t>w</m:t>
                      </m:r>
                    </m:e>
                    <m:sub>
                      <m:r>
                        <w:rPr>
                          <w:rFonts w:ascii="Cambria Math" w:hAnsi="Cambria Math"/>
                        </w:rPr>
                        <m:t>k</m:t>
                      </m:r>
                    </m:sub>
                  </m:sSub>
                  <m:sSub>
                    <m:sSubPr>
                      <m:ctrlPr>
                        <w:rPr>
                          <w:rFonts w:ascii="Cambria Math" w:hAnsi="Cambria Math"/>
                        </w:rPr>
                      </m:ctrlPr>
                    </m:sSubPr>
                    <m:e>
                      <m:r>
                        <w:rPr>
                          <w:rFonts w:ascii="Cambria Math" w:hAnsi="Cambria Math"/>
                        </w:rPr>
                        <m:t>a</m:t>
                      </m:r>
                    </m:e>
                    <m:sub>
                      <m:r>
                        <w:rPr>
                          <w:rFonts w:ascii="Cambria Math" w:hAnsi="Cambria Math"/>
                        </w:rPr>
                        <m:t>k</m:t>
                      </m:r>
                    </m:sub>
                  </m:sSub>
                </m:e>
              </m:nary>
              <m:sSup>
                <m:sSupPr>
                  <m:ctrlPr>
                    <w:rPr>
                      <w:rFonts w:ascii="Cambria Math" w:hAnsi="Cambria Math"/>
                    </w:rPr>
                  </m:ctrlPr>
                </m:sSupPr>
                <m:e>
                  <m:r>
                    <m:rPr>
                      <m:sty m:val="p"/>
                    </m:rPr>
                    <w:rPr>
                      <w:rFonts w:ascii="Cambria Math" w:hAnsi="Cambria Math"/>
                    </w:rPr>
                    <m:t>100</m:t>
                  </m:r>
                </m:e>
                <m:sup>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+ 3</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m:t>
                  </m:r>
                </m:sup>
              </m:sSup>
            </m:oMath>
          </w:p>
        </w:tc>
        <w:tc>
          <w:tcPr>
            <w:tcW w:w="1055" w:type="dxa"/>
          </w:tcPr>
          <w:p w14:paraId="3B3F0FDF" w14:textId="055BEFC7" w:rsidR="006A68D6" w:rsidRPr="00CC6CA3" w:rsidRDefault="006A68D6" w:rsidP="00F632C0">
            <w:pPr>
              <w:spacing w:after="160"/>
              <w:jc w:val="right"/>
            </w:pPr>
            <w:r w:rsidRPr="00CC6CA3">
              <w:rPr>
                <w:rFonts w:hint="eastAsia"/>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3</w:t>
            </w:r>
            <w:r w:rsidR="00D62691" w:rsidRPr="00CC6CA3">
              <w:rPr>
                <w:noProof/>
              </w:rPr>
              <w:fldChar w:fldCharType="end"/>
            </w:r>
            <w:r w:rsidRPr="00CC6CA3">
              <w:t>)</w:t>
            </w:r>
          </w:p>
        </w:tc>
      </w:tr>
      <w:tr w:rsidR="00CC6CA3" w:rsidRPr="00CC6CA3" w14:paraId="760D0050" w14:textId="77777777" w:rsidTr="00F632C0">
        <w:tc>
          <w:tcPr>
            <w:tcW w:w="7700" w:type="dxa"/>
          </w:tcPr>
          <w:p w14:paraId="1D6A8F34" w14:textId="77777777" w:rsidR="006A68D6" w:rsidRPr="00CC6CA3" w:rsidRDefault="006A68D6" w:rsidP="00F632C0">
            <w:pPr>
              <w:spacing w:after="160"/>
            </w:pPr>
            <w:r w:rsidRPr="00CC6CA3">
              <w:t xml:space="preserve">For </w:t>
            </w:r>
            <m:oMath>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&lt;</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xml:space="preserve"> </m:t>
              </m:r>
            </m:oMath>
            <w:r w:rsidRPr="00CC6CA3">
              <w:t xml:space="preserve">, </w:t>
            </w:r>
            <m:oMath>
              <m:r>
                <w:rPr>
                  <w:rFonts w:ascii="Cambria Math" w:hAnsi="Cambria Math"/>
                </w:rPr>
                <m:t>S</m:t>
              </m:r>
              <m:r>
                <m:rPr>
                  <m:sty m:val="p"/>
                </m:rPr>
                <w:rPr>
                  <w:rFonts w:ascii="Cambria Math" w:hAnsi="Cambria Math"/>
                </w:rPr>
                <m:t xml:space="preserve">= </m:t>
              </m:r>
              <m:nary>
                <m:naryPr>
                  <m:chr m:val="∑"/>
                  <m:limLoc m:val="undOvr"/>
                  <m:ctrlPr>
                    <w:rPr>
                      <w:rFonts w:ascii="Cambria Math" w:hAnsi="Cambria Math"/>
                    </w:rPr>
                  </m:ctrlPr>
                </m:naryPr>
                <m:sub>
                  <m:r>
                    <w:rPr>
                      <w:rFonts w:ascii="Cambria Math" w:hAnsi="Cambria Math"/>
                    </w:rPr>
                    <m:t>k</m:t>
                  </m:r>
                  <m:r>
                    <m:rPr>
                      <m:sty m:val="p"/>
                    </m:rPr>
                    <w:rPr>
                      <w:rFonts w:ascii="Cambria Math" w:hAnsi="Cambria Math"/>
                    </w:rPr>
                    <m:t>=1</m:t>
                  </m:r>
                </m:sub>
                <m:sup>
                  <m:r>
                    <w:rPr>
                      <w:rFonts w:ascii="Cambria Math" w:hAnsi="Cambria Math"/>
                    </w:rPr>
                    <m:t>q</m:t>
                  </m:r>
                </m:sup>
                <m:e>
                  <m:sSub>
                    <m:sSubPr>
                      <m:ctrlPr>
                        <w:rPr>
                          <w:rFonts w:ascii="Cambria Math" w:hAnsi="Cambria Math"/>
                        </w:rPr>
                      </m:ctrlPr>
                    </m:sSubPr>
                    <m:e>
                      <m:r>
                        <w:rPr>
                          <w:rFonts w:ascii="Cambria Math" w:hAnsi="Cambria Math"/>
                        </w:rPr>
                        <m:t>w</m:t>
                      </m:r>
                    </m:e>
                    <m:sub>
                      <m:r>
                        <w:rPr>
                          <w:rFonts w:ascii="Cambria Math" w:hAnsi="Cambria Math"/>
                        </w:rPr>
                        <m:t>k</m:t>
                      </m:r>
                    </m:sub>
                  </m:sSub>
                  <m:sSub>
                    <m:sSubPr>
                      <m:ctrlPr>
                        <w:rPr>
                          <w:rFonts w:ascii="Cambria Math" w:hAnsi="Cambria Math"/>
                        </w:rPr>
                      </m:ctrlPr>
                    </m:sSubPr>
                    <m:e>
                      <m:r>
                        <w:rPr>
                          <w:rFonts w:ascii="Cambria Math" w:hAnsi="Cambria Math"/>
                        </w:rPr>
                        <m:t>a</m:t>
                      </m:r>
                    </m:e>
                    <m:sub>
                      <m:r>
                        <w:rPr>
                          <w:rFonts w:ascii="Cambria Math" w:hAnsi="Cambria Math"/>
                        </w:rPr>
                        <m:t>k</m:t>
                      </m:r>
                    </m:sub>
                  </m:sSub>
                </m:e>
              </m:nary>
              <m:sSup>
                <m:sSupPr>
                  <m:ctrlPr>
                    <w:rPr>
                      <w:rFonts w:ascii="Cambria Math" w:hAnsi="Cambria Math"/>
                    </w:rPr>
                  </m:ctrlPr>
                </m:sSupPr>
                <m:e>
                  <m:r>
                    <m:rPr>
                      <m:sty m:val="p"/>
                    </m:rPr>
                    <w:rPr>
                      <w:rFonts w:ascii="Cambria Math" w:hAnsi="Cambria Math"/>
                    </w:rPr>
                    <m:t>100</m:t>
                  </m:r>
                </m:e>
                <m:sup>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- 3</m:t>
                  </m:r>
                  <m:sSub>
                    <m:sSubPr>
                      <m:ctrlPr>
                        <w:rPr>
                          <w:rFonts w:ascii="Cambria Math" w:hAnsi="Cambria Math"/>
                        </w:rPr>
                      </m:ctrlPr>
                    </m:sSubPr>
                    <m:e>
                      <m:r>
                        <w:rPr>
                          <w:rFonts w:ascii="Cambria Math" w:hAnsi="Cambria Math"/>
                        </w:rPr>
                        <m:t>σ</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i</m:t>
                      </m:r>
                    </m:sub>
                  </m:sSub>
                  <m:r>
                    <m:rPr>
                      <m:sty m:val="p"/>
                    </m:rPr>
                    <w:rPr>
                      <w:rFonts w:ascii="Cambria Math" w:hAnsi="Cambria Math"/>
                    </w:rPr>
                    <m:t>)}</m:t>
                  </m:r>
                </m:sup>
              </m:sSup>
            </m:oMath>
          </w:p>
        </w:tc>
        <w:tc>
          <w:tcPr>
            <w:tcW w:w="1055" w:type="dxa"/>
          </w:tcPr>
          <w:p w14:paraId="1C048FCA" w14:textId="3A4EABC8" w:rsidR="006A68D6" w:rsidRPr="00CC6CA3" w:rsidRDefault="006A68D6" w:rsidP="00F632C0">
            <w:pPr>
              <w:spacing w:after="160"/>
              <w:jc w:val="right"/>
            </w:pPr>
            <w:r w:rsidRPr="00CC6CA3">
              <w:rPr>
                <w:rFonts w:hint="eastAsia"/>
              </w:rPr>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4</w:t>
            </w:r>
            <w:r w:rsidR="00D62691" w:rsidRPr="00CC6CA3">
              <w:rPr>
                <w:noProof/>
              </w:rPr>
              <w:fldChar w:fldCharType="end"/>
            </w:r>
            <w:r w:rsidRPr="00CC6CA3">
              <w:t>)</w:t>
            </w:r>
          </w:p>
        </w:tc>
      </w:tr>
    </w:tbl>
    <w:p w14:paraId="6BD1E549" w14:textId="781D388F" w:rsidR="006A68D6" w:rsidRPr="00CC6CA3" w:rsidRDefault="005B2617" w:rsidP="006A68D6">
      <w:r w:rsidRPr="00CC6CA3">
        <w:t xml:space="preserve">Where </w:t>
      </w:r>
      <m:oMath>
        <m:r>
          <w:rPr>
            <w:rFonts w:ascii="Cambria Math" w:hAnsi="Cambria Math"/>
          </w:rPr>
          <m:t>S</m:t>
        </m:r>
      </m:oMath>
      <w:r w:rsidRPr="00CC6CA3">
        <w:t xml:space="preserve"> is the severity score of a selected principal </w:t>
      </w:r>
      <w:proofErr w:type="gramStart"/>
      <w:r w:rsidRPr="00CC6CA3">
        <w:t>component.</w:t>
      </w:r>
      <w:proofErr w:type="gramEnd"/>
      <w:r w:rsidRPr="00CC6CA3">
        <w:t xml:space="preserve"> </w:t>
      </w:r>
      <m:oMath>
        <m:r>
          <w:rPr>
            <w:rFonts w:ascii="Cambria Math" w:hAnsi="Cambria Math"/>
          </w:rPr>
          <m:t>k</m:t>
        </m:r>
        <m:r>
          <m:rPr>
            <m:sty m:val="p"/>
          </m:rPr>
          <w:rPr>
            <w:rFonts w:ascii="Cambria Math" w:hAnsi="Cambria Math"/>
          </w:rPr>
          <m:t>=1,…,</m:t>
        </m:r>
        <m:r>
          <w:rPr>
            <w:rFonts w:ascii="Cambria Math" w:hAnsi="Cambria Math"/>
          </w:rPr>
          <m:t>q</m:t>
        </m:r>
      </m:oMath>
      <w:r w:rsidRPr="00CC6CA3">
        <w:t xml:space="preserve">, and </w:t>
      </w:r>
      <m:oMath>
        <m:r>
          <w:rPr>
            <w:rFonts w:ascii="Cambria Math" w:hAnsi="Cambria Math"/>
          </w:rPr>
          <m:t>q</m:t>
        </m:r>
      </m:oMath>
      <w:r w:rsidRPr="00CC6CA3">
        <w:t xml:space="preserve"> is the number of original process signals. </w:t>
      </w:r>
      <m:oMath>
        <m:r>
          <w:rPr>
            <w:rFonts w:ascii="Cambria Math" w:hAnsi="Cambria Math"/>
          </w:rPr>
          <m:t>i</m:t>
        </m:r>
        <m:r>
          <m:rPr>
            <m:sty m:val="p"/>
          </m:rPr>
          <w:rPr>
            <w:rFonts w:ascii="Cambria Math" w:hAnsi="Cambria Math"/>
          </w:rPr>
          <m:t>=1,…,</m:t>
        </m:r>
        <m:r>
          <w:rPr>
            <w:rFonts w:ascii="Cambria Math" w:hAnsi="Cambria Math"/>
          </w:rPr>
          <m:t>n</m:t>
        </m:r>
      </m:oMath>
      <w:r w:rsidRPr="00CC6CA3">
        <w:t xml:space="preserve">, and </w:t>
      </w:r>
      <m:oMath>
        <m:r>
          <w:rPr>
            <w:rFonts w:ascii="Cambria Math" w:hAnsi="Cambria Math"/>
          </w:rPr>
          <m:t>n</m:t>
        </m:r>
      </m:oMath>
      <w:r w:rsidRPr="00CC6CA3">
        <w:t xml:space="preserve"> is the number of principal components, </w:t>
      </w:r>
      <m:oMath>
        <m:r>
          <w:rPr>
            <w:rFonts w:ascii="Cambria Math" w:hAnsi="Cambria Math"/>
          </w:rPr>
          <m:t>j</m:t>
        </m:r>
        <m:r>
          <m:rPr>
            <m:sty m:val="p"/>
          </m:rPr>
          <w:rPr>
            <w:rFonts w:ascii="Cambria Math" w:hAnsi="Cambria Math"/>
          </w:rPr>
          <m:t>=1,…,</m:t>
        </m:r>
        <m:r>
          <w:rPr>
            <w:rFonts w:ascii="Cambria Math" w:hAnsi="Cambria Math"/>
          </w:rPr>
          <m:t>m</m:t>
        </m:r>
      </m:oMath>
      <w:r w:rsidRPr="00CC6CA3">
        <w:t xml:space="preserve">, and </w:t>
      </w:r>
      <m:oMath>
        <m:r>
          <w:rPr>
            <w:rFonts w:ascii="Cambria Math" w:hAnsi="Cambria Math"/>
          </w:rPr>
          <m:t>m</m:t>
        </m:r>
      </m:oMath>
      <w:r w:rsidRPr="00CC6CA3">
        <w:t xml:space="preserve"> is the number of samples. </w:t>
      </w:r>
      <m:oMath>
        <m:sSub>
          <m:sSubPr>
            <m:ctrlPr>
              <w:rPr>
                <w:rFonts w:ascii="Cambria Math" w:hAnsi="Cambria Math"/>
              </w:rPr>
            </m:ctrlPr>
          </m:sSubPr>
          <m:e>
            <m:r>
              <w:rPr>
                <w:rFonts w:ascii="Cambria Math" w:hAnsi="Cambria Math"/>
              </w:rPr>
              <m:t>a</m:t>
            </m:r>
          </m:e>
          <m:sub>
            <m:r>
              <w:rPr>
                <w:rFonts w:ascii="Cambria Math" w:hAnsi="Cambria Math"/>
              </w:rPr>
              <m:t>k</m:t>
            </m:r>
          </m:sub>
        </m:sSub>
      </m:oMath>
      <w:r w:rsidRPr="00CC6CA3">
        <w:t xml:space="preserve"> is an intensity coefficient of individual variables, and </w:t>
      </w:r>
      <m:oMath>
        <m:sSub>
          <m:sSubPr>
            <m:ctrlPr>
              <w:rPr>
                <w:rFonts w:ascii="Cambria Math" w:hAnsi="Cambria Math"/>
              </w:rPr>
            </m:ctrlPr>
          </m:sSubPr>
          <m:e>
            <m:r>
              <w:rPr>
                <w:rFonts w:ascii="Cambria Math" w:hAnsi="Cambria Math"/>
              </w:rPr>
              <m:t>w</m:t>
            </m:r>
          </m:e>
          <m:sub>
            <m:r>
              <w:rPr>
                <w:rFonts w:ascii="Cambria Math" w:hAnsi="Cambria Math"/>
              </w:rPr>
              <m:t>k</m:t>
            </m:r>
          </m:sub>
        </m:sSub>
      </m:oMath>
      <w:r w:rsidRPr="00CC6CA3">
        <w:t xml:space="preserve"> is the absolute loading for each principal </w:t>
      </w:r>
      <w:proofErr w:type="gramStart"/>
      <w:r w:rsidRPr="00CC6CA3">
        <w:t>component</w:t>
      </w:r>
      <w:r w:rsidR="006A68D6" w:rsidRPr="00CC6CA3">
        <w:t>.</w:t>
      </w:r>
      <w:proofErr w:type="gramEnd"/>
    </w:p>
    <w:p w14:paraId="6E5614D5" w14:textId="6C718093" w:rsidR="006A68D6" w:rsidRPr="00CC6CA3" w:rsidRDefault="006A68D6" w:rsidP="00C579DD">
      <w:pPr>
        <w:pStyle w:val="Heading3"/>
        <w:rPr>
          <w:lang w:val="en-US"/>
        </w:rPr>
      </w:pPr>
      <w:bookmarkStart w:id="468" w:name="_Toc81553303"/>
      <w:r w:rsidRPr="00CC6CA3">
        <w:rPr>
          <w:lang w:val="en-US"/>
        </w:rPr>
        <w:t xml:space="preserve">System health indicator </w:t>
      </w:r>
      <w:r w:rsidR="002D2F85" w:rsidRPr="00CC6CA3">
        <w:rPr>
          <w:lang w:val="en-US"/>
        </w:rPr>
        <w:t>designed for PCA</w:t>
      </w:r>
      <w:bookmarkEnd w:id="468"/>
    </w:p>
    <w:p w14:paraId="776A1E32" w14:textId="4635FF91" w:rsidR="006A68D6" w:rsidRPr="00CC6CA3" w:rsidRDefault="005B2617" w:rsidP="006A68D6">
      <w:r w:rsidRPr="00CC6CA3">
        <w:t xml:space="preserve">Risk is defined as the possible harm or loss caused by an event, if inspection, maintenance and/or corrective actions are not carried out in time. In the methodology proposed by </w:t>
      </w:r>
      <w:r w:rsidRPr="00CC6CA3">
        <w:rPr>
          <w:rFonts w:cs="Times New Roman"/>
        </w:rPr>
        <w:lastRenderedPageBreak/>
        <w:t>Zadakbar et al.,</w:t>
      </w:r>
      <w:r w:rsidRPr="00CC6CA3">
        <w:t xml:space="preserve"> </w:t>
      </w:r>
      <w:r w:rsidR="006A68D6" w:rsidRPr="00CC6CA3">
        <w:fldChar w:fldCharType="begin"/>
      </w:r>
      <w:r w:rsidR="007D1BCC" w:rsidRPr="00CC6CA3">
        <w:instrText xml:space="preserve"> ADDIN ZOTERO_ITEM CSL_CITATION {"citationID":"e7KoIiSm","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6A68D6" w:rsidRPr="00CC6CA3">
        <w:fldChar w:fldCharType="separate"/>
      </w:r>
      <w:r w:rsidR="007D1BCC" w:rsidRPr="00CC6CA3">
        <w:rPr>
          <w:rFonts w:cs="Times New Roman"/>
        </w:rPr>
        <w:t>[94]</w:t>
      </w:r>
      <w:r w:rsidR="006A68D6" w:rsidRPr="00CC6CA3">
        <w:fldChar w:fldCharType="end"/>
      </w:r>
      <w:r w:rsidR="006A68D6" w:rsidRPr="00CC6CA3">
        <w:t xml:space="preserve">, </w:t>
      </w:r>
      <w:r w:rsidRPr="00CC6CA3">
        <w:t>the risk is calculated based on two factors: the probability of the fault (</w:t>
      </w:r>
      <m:oMath>
        <m:r>
          <w:rPr>
            <w:rFonts w:ascii="Cambria Math" w:hAnsi="Cambria Math"/>
          </w:rPr>
          <m:t>POF</m:t>
        </m:r>
      </m:oMath>
      <w:r w:rsidRPr="00CC6CA3">
        <w:t>) and the severity of the fault (</w:t>
      </w:r>
      <m:oMath>
        <m:r>
          <w:rPr>
            <w:rFonts w:ascii="Cambria Math" w:hAnsi="Cambria Math"/>
          </w:rPr>
          <m:t>S</m:t>
        </m:r>
      </m:oMath>
      <w:r w:rsidRPr="00CC6CA3">
        <w:t>), and is given by</w:t>
      </w:r>
      <w:r w:rsidR="006A68D6" w:rsidRPr="00CC6CA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1247"/>
      </w:tblGrid>
      <w:tr w:rsidR="00CC6CA3" w:rsidRPr="00CC6CA3" w14:paraId="455C2C3B" w14:textId="77777777" w:rsidTr="00F632C0">
        <w:tc>
          <w:tcPr>
            <w:tcW w:w="7508" w:type="dxa"/>
          </w:tcPr>
          <w:p w14:paraId="3D1556E1" w14:textId="77777777" w:rsidR="006A68D6" w:rsidRPr="00CC6CA3" w:rsidRDefault="006A68D6" w:rsidP="00F632C0">
            <w:pPr>
              <w:spacing w:after="160"/>
            </w:pPr>
            <m:oMathPara>
              <m:oMath>
                <m:r>
                  <w:rPr>
                    <w:rFonts w:ascii="Cambria Math" w:hAnsi="Cambria Math"/>
                  </w:rPr>
                  <m:t>R</m:t>
                </m:r>
                <m:r>
                  <m:rPr>
                    <m:sty m:val="p"/>
                  </m:rPr>
                  <w:rPr>
                    <w:rFonts w:ascii="Cambria Math" w:hAnsi="Cambria Math"/>
                  </w:rPr>
                  <m:t>=</m:t>
                </m:r>
                <m:r>
                  <w:rPr>
                    <w:rFonts w:ascii="Cambria Math" w:hAnsi="Cambria Math"/>
                  </w:rPr>
                  <m:t>POF</m:t>
                </m:r>
                <m:r>
                  <m:rPr>
                    <m:sty m:val="p"/>
                  </m:rPr>
                  <w:rPr>
                    <w:rFonts w:ascii="Cambria Math" w:hAnsi="Cambria Math"/>
                  </w:rPr>
                  <m:t>×</m:t>
                </m:r>
                <m:r>
                  <w:rPr>
                    <w:rFonts w:ascii="Cambria Math" w:hAnsi="Cambria Math"/>
                  </w:rPr>
                  <m:t>S</m:t>
                </m:r>
              </m:oMath>
            </m:oMathPara>
          </w:p>
        </w:tc>
        <w:tc>
          <w:tcPr>
            <w:tcW w:w="1247" w:type="dxa"/>
          </w:tcPr>
          <w:p w14:paraId="76B2D32C" w14:textId="6C0A414E" w:rsidR="006A68D6" w:rsidRPr="00CC6CA3" w:rsidRDefault="006A68D6" w:rsidP="00F632C0">
            <w:pPr>
              <w:spacing w:after="160"/>
              <w:jc w:val="right"/>
            </w:pPr>
            <w:bookmarkStart w:id="469" w:name="_Ref43471893"/>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5</w:t>
            </w:r>
            <w:r w:rsidR="00D62691" w:rsidRPr="00CC6CA3">
              <w:rPr>
                <w:noProof/>
              </w:rPr>
              <w:fldChar w:fldCharType="end"/>
            </w:r>
            <w:r w:rsidRPr="00CC6CA3">
              <w:t>)</w:t>
            </w:r>
            <w:bookmarkEnd w:id="469"/>
          </w:p>
        </w:tc>
      </w:tr>
    </w:tbl>
    <w:p w14:paraId="7C19A6FA" w14:textId="0A19D525" w:rsidR="006A68D6" w:rsidRPr="00CC6CA3" w:rsidRDefault="005B2617" w:rsidP="006A68D6">
      <w:r w:rsidRPr="00CC6CA3">
        <w:rPr>
          <w:rFonts w:hint="eastAsia"/>
        </w:rPr>
        <w:t>If the risk exceeds the</w:t>
      </w:r>
      <w:r w:rsidRPr="00CC6CA3">
        <w:t xml:space="preserve"> fault detection</w:t>
      </w:r>
      <w:r w:rsidRPr="00CC6CA3">
        <w:rPr>
          <w:rFonts w:hint="eastAsia"/>
        </w:rPr>
        <w:t xml:space="preserve"> threshold, an </w:t>
      </w:r>
      <w:r w:rsidRPr="00CC6CA3">
        <w:t>alarm will be triggered</w:t>
      </w:r>
      <w:r w:rsidRPr="00CC6CA3">
        <w:rPr>
          <w:rFonts w:hint="eastAsia"/>
        </w:rPr>
        <w:t xml:space="preserve">. Subsequently, </w:t>
      </w:r>
      <w:r w:rsidRPr="00CC6CA3">
        <w:t>inspection and maintenance suggestions will be made to reduce the risk. However, i</w:t>
      </w:r>
      <w:r w:rsidRPr="00CC6CA3">
        <w:rPr>
          <w:rFonts w:hint="eastAsia"/>
        </w:rPr>
        <w:t>f no corrective action</w:t>
      </w:r>
      <w:r w:rsidRPr="00CC6CA3">
        <w:t>s</w:t>
      </w:r>
      <w:r w:rsidRPr="00CC6CA3">
        <w:rPr>
          <w:rFonts w:hint="eastAsia"/>
        </w:rPr>
        <w:t xml:space="preserve"> </w:t>
      </w:r>
      <w:r w:rsidRPr="00CC6CA3">
        <w:t>are</w:t>
      </w:r>
      <w:r w:rsidRPr="00CC6CA3">
        <w:rPr>
          <w:rFonts w:hint="eastAsia"/>
        </w:rPr>
        <w:t xml:space="preserve"> taken or the action</w:t>
      </w:r>
      <w:r w:rsidRPr="00CC6CA3">
        <w:t>s</w:t>
      </w:r>
      <w:r w:rsidRPr="00CC6CA3">
        <w:rPr>
          <w:rFonts w:hint="eastAsia"/>
        </w:rPr>
        <w:t xml:space="preserve"> fail to reduce the risk</w:t>
      </w:r>
      <w:r w:rsidRPr="00CC6CA3">
        <w:t>,</w:t>
      </w:r>
      <w:r w:rsidRPr="00CC6CA3">
        <w:rPr>
          <w:rFonts w:hint="eastAsia"/>
        </w:rPr>
        <w:t xml:space="preserve"> and the risk exceeds </w:t>
      </w:r>
      <w:r w:rsidRPr="00CC6CA3">
        <w:t>a</w:t>
      </w:r>
      <w:r w:rsidRPr="00CC6CA3">
        <w:rPr>
          <w:rFonts w:hint="eastAsia"/>
        </w:rPr>
        <w:t xml:space="preserve"> second threshold</w:t>
      </w:r>
      <w:r w:rsidRPr="00CC6CA3">
        <w:t xml:space="preserve"> (shutdown threshold)</w:t>
      </w:r>
      <w:r w:rsidRPr="00CC6CA3">
        <w:rPr>
          <w:rFonts w:hint="eastAsia"/>
        </w:rPr>
        <w:t>, the automatic safety system (emergency shutdown system) will be activated</w:t>
      </w:r>
      <w:r w:rsidR="006A68D6" w:rsidRPr="00CC6CA3">
        <w:rPr>
          <w:rFonts w:hint="eastAsia"/>
        </w:rPr>
        <w:t>.</w:t>
      </w:r>
    </w:p>
    <w:p w14:paraId="27BA3935" w14:textId="518D9C6A" w:rsidR="00C579DD" w:rsidRPr="00CC6CA3" w:rsidRDefault="00C579DD" w:rsidP="00C579DD">
      <w:pPr>
        <w:pStyle w:val="Heading3"/>
      </w:pPr>
      <w:bookmarkStart w:id="470" w:name="_Toc81553304"/>
      <w:r w:rsidRPr="00CC6CA3">
        <w:t xml:space="preserve">Case studies: </w:t>
      </w:r>
      <w:r w:rsidR="00DF0683" w:rsidRPr="00CC6CA3">
        <w:t>development of system health indicator using PCA approach</w:t>
      </w:r>
      <w:bookmarkEnd w:id="470"/>
    </w:p>
    <w:p w14:paraId="7F27B2F6" w14:textId="1FFED3FB" w:rsidR="006A68D6" w:rsidRPr="00CC6CA3" w:rsidRDefault="006A68D6" w:rsidP="00C579DD">
      <w:pPr>
        <w:pStyle w:val="Heading4"/>
        <w:rPr>
          <w:lang w:val="en-US"/>
        </w:rPr>
      </w:pPr>
      <w:r w:rsidRPr="00CC6CA3">
        <w:rPr>
          <w:lang w:val="en-US"/>
        </w:rPr>
        <w:t>Case 1</w:t>
      </w:r>
      <w:r w:rsidR="005B2617" w:rsidRPr="00CC6CA3">
        <w:t>: misalignment fault in a pump</w:t>
      </w:r>
    </w:p>
    <w:p w14:paraId="3109882C" w14:textId="1BC7EC29" w:rsidR="006A68D6" w:rsidRPr="00CC6CA3" w:rsidRDefault="005B2617" w:rsidP="006A68D6">
      <w:r w:rsidRPr="00CC6CA3">
        <w:t xml:space="preserve">The data used in this </w:t>
      </w:r>
      <w:r w:rsidRPr="00CC6CA3">
        <w:rPr>
          <w:rFonts w:hint="eastAsia"/>
        </w:rPr>
        <w:t>case</w:t>
      </w:r>
      <w:r w:rsidRPr="00CC6CA3">
        <w:t xml:space="preserve"> study was obtained from a multivariate condition monitoring system mounted on a high-pressure injection pump in a petrochemical plant. The dataset contained 15 continuous measurements, including the shaft speed, discharge pressure, discharge temperature, bearing temperature</w:t>
      </w:r>
      <w:r w:rsidR="006A68D6" w:rsidRPr="00CC6CA3">
        <w:t xml:space="preserve">. </w:t>
      </w:r>
      <w:r w:rsidRPr="00CC6CA3">
        <w:t xml:space="preserve">The full list of measurements for the pump are given in </w:t>
      </w:r>
      <w:r w:rsidR="006A68D6" w:rsidRPr="00CC6CA3">
        <w:t xml:space="preserve">Table 3-1. </w:t>
      </w:r>
    </w:p>
    <w:p w14:paraId="55B9BCC0" w14:textId="57793A82" w:rsidR="006A68D6" w:rsidRPr="00CC6CA3" w:rsidRDefault="005B2617" w:rsidP="006A68D6">
      <w:r w:rsidRPr="00CC6CA3">
        <w:t xml:space="preserve">PCA was applied on the 15 measurements </w:t>
      </w:r>
      <w:r w:rsidRPr="00CC6CA3">
        <w:rPr>
          <w:rFonts w:hint="eastAsia"/>
        </w:rPr>
        <w:t>after</w:t>
      </w:r>
      <w:r w:rsidRPr="00CC6CA3">
        <w:t xml:space="preserve"> data pre-processing and standardisation. In this case study, the training data was selected for the period from 10</w:t>
      </w:r>
      <w:r w:rsidRPr="00CC6CA3">
        <w:rPr>
          <w:vertAlign w:val="superscript"/>
        </w:rPr>
        <w:t>th</w:t>
      </w:r>
      <w:r w:rsidRPr="00CC6CA3">
        <w:t xml:space="preserve"> Mar 2013 to 21</w:t>
      </w:r>
      <w:r w:rsidRPr="00CC6CA3">
        <w:rPr>
          <w:vertAlign w:val="superscript"/>
        </w:rPr>
        <w:t>st</w:t>
      </w:r>
      <w:r w:rsidRPr="00CC6CA3">
        <w:t xml:space="preserve"> Jun 2013, a period during which there had been no recorded pump faults or damage. The health indicators were then used to assess the health condition after 22</w:t>
      </w:r>
      <w:r w:rsidRPr="00CC6CA3">
        <w:rPr>
          <w:vertAlign w:val="superscript"/>
        </w:rPr>
        <w:t>nd</w:t>
      </w:r>
      <w:r w:rsidRPr="00CC6CA3">
        <w:t xml:space="preserve"> Jun 2013. The training results are shown in</w:t>
      </w:r>
      <w:r w:rsidR="006A68D6" w:rsidRPr="00CC6CA3">
        <w:t xml:space="preserve"> </w:t>
      </w:r>
      <w:r w:rsidR="006A68D6" w:rsidRPr="00CC6CA3">
        <w:fldChar w:fldCharType="begin"/>
      </w:r>
      <w:r w:rsidR="006A68D6" w:rsidRPr="00CC6CA3">
        <w:instrText xml:space="preserve"> REF _Ref41443976 \h  \* MERGEFORMAT </w:instrText>
      </w:r>
      <w:r w:rsidR="006A68D6" w:rsidRPr="00CC6CA3">
        <w:fldChar w:fldCharType="separate"/>
      </w:r>
      <w:r w:rsidR="001906D9" w:rsidRPr="00CC6CA3">
        <w:t>Table 5.1</w:t>
      </w:r>
      <w:r w:rsidR="006A68D6" w:rsidRPr="00CC6CA3">
        <w:fldChar w:fldCharType="end"/>
      </w:r>
      <w:r w:rsidR="006A68D6" w:rsidRPr="00CC6CA3">
        <w:t xml:space="preserve">. </w:t>
      </w:r>
      <w:r w:rsidRPr="00CC6CA3">
        <w:t>The first eight principal components were retained, these captured over 90% of the total variation</w:t>
      </w:r>
      <w:r w:rsidR="006A68D6" w:rsidRPr="00CC6CA3">
        <w:t xml:space="preserve">. </w:t>
      </w:r>
    </w:p>
    <w:p w14:paraId="518AF780" w14:textId="0A86F0D1" w:rsidR="006A68D6" w:rsidRPr="00CC6CA3" w:rsidRDefault="006A68D6" w:rsidP="006A68D6">
      <w:pPr>
        <w:pStyle w:val="Caption"/>
        <w:keepNext/>
      </w:pPr>
      <w:bookmarkStart w:id="471" w:name="_Ref41443976"/>
      <w:bookmarkStart w:id="472" w:name="_Toc81553478"/>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1</w:t>
      </w:r>
      <w:r w:rsidR="00D62691" w:rsidRPr="00CC6CA3">
        <w:rPr>
          <w:noProof/>
        </w:rPr>
        <w:fldChar w:fldCharType="end"/>
      </w:r>
      <w:bookmarkEnd w:id="471"/>
      <w:r w:rsidRPr="00CC6CA3">
        <w:t xml:space="preserve"> Principal component analysis for </w:t>
      </w:r>
      <w:r w:rsidR="005B2617" w:rsidRPr="00CC6CA3">
        <w:t>C</w:t>
      </w:r>
      <w:r w:rsidRPr="00CC6CA3">
        <w:t>ase 1</w:t>
      </w:r>
      <w:bookmarkEnd w:id="472"/>
    </w:p>
    <w:tbl>
      <w:tblPr>
        <w:tblStyle w:val="PlainTable2"/>
        <w:tblW w:w="0" w:type="auto"/>
        <w:tblLook w:val="04A0" w:firstRow="1" w:lastRow="0" w:firstColumn="1" w:lastColumn="0" w:noHBand="0" w:noVBand="1"/>
      </w:tblPr>
      <w:tblGrid>
        <w:gridCol w:w="1502"/>
        <w:gridCol w:w="3256"/>
        <w:gridCol w:w="2896"/>
      </w:tblGrid>
      <w:tr w:rsidR="00CC6CA3" w:rsidRPr="00CC6CA3" w14:paraId="1BCE29A6" w14:textId="77777777" w:rsidTr="001168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hideMark/>
          </w:tcPr>
          <w:p w14:paraId="5B45DCF7"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Number</w:t>
            </w:r>
          </w:p>
        </w:tc>
        <w:tc>
          <w:tcPr>
            <w:tcW w:w="3256" w:type="dxa"/>
            <w:vAlign w:val="center"/>
            <w:hideMark/>
          </w:tcPr>
          <w:p w14:paraId="223AC60D" w14:textId="77777777" w:rsidR="006A68D6" w:rsidRPr="00CC6CA3" w:rsidRDefault="006A68D6" w:rsidP="00116862">
            <w:pPr>
              <w:pStyle w:val="NormalWeb"/>
              <w:spacing w:before="0" w:beforeAutospacing="0" w:after="0" w:afterAutospacing="0" w:line="288" w:lineRule="auto"/>
              <w:cnfStyle w:val="100000000000" w:firstRow="1" w:lastRow="0" w:firstColumn="0" w:lastColumn="0" w:oddVBand="0" w:evenVBand="0" w:oddHBand="0" w:evenHBand="0" w:firstRowFirstColumn="0" w:firstRowLastColumn="0" w:lastRowFirstColumn="0" w:lastRowLastColumn="0"/>
              <w:rPr>
                <w:rFonts w:eastAsia="微软雅黑"/>
                <w:sz w:val="20"/>
                <w:szCs w:val="20"/>
              </w:rPr>
            </w:pPr>
            <w:r w:rsidRPr="00CC6CA3">
              <w:rPr>
                <w:rFonts w:eastAsia="微软雅黑"/>
                <w:sz w:val="20"/>
                <w:szCs w:val="20"/>
              </w:rPr>
              <w:t xml:space="preserve">% </w:t>
            </w:r>
            <w:proofErr w:type="gramStart"/>
            <w:r w:rsidRPr="00CC6CA3">
              <w:rPr>
                <w:rFonts w:eastAsia="微软雅黑"/>
                <w:sz w:val="20"/>
                <w:szCs w:val="20"/>
              </w:rPr>
              <w:t>variance</w:t>
            </w:r>
            <w:proofErr w:type="gramEnd"/>
            <w:r w:rsidRPr="00CC6CA3">
              <w:rPr>
                <w:rFonts w:eastAsia="微软雅黑"/>
                <w:sz w:val="20"/>
                <w:szCs w:val="20"/>
              </w:rPr>
              <w:t xml:space="preserve"> captured for each principal component</w:t>
            </w:r>
          </w:p>
        </w:tc>
        <w:tc>
          <w:tcPr>
            <w:tcW w:w="2896" w:type="dxa"/>
            <w:vAlign w:val="center"/>
            <w:hideMark/>
          </w:tcPr>
          <w:p w14:paraId="43CC9DCA" w14:textId="5B7898DE" w:rsidR="006A68D6" w:rsidRPr="00CC6CA3" w:rsidRDefault="006A68D6" w:rsidP="00116862">
            <w:pPr>
              <w:pStyle w:val="NormalWeb"/>
              <w:spacing w:before="0" w:beforeAutospacing="0" w:after="0" w:afterAutospacing="0" w:line="288" w:lineRule="auto"/>
              <w:cnfStyle w:val="100000000000" w:firstRow="1" w:lastRow="0" w:firstColumn="0" w:lastColumn="0" w:oddVBand="0" w:evenVBand="0" w:oddHBand="0" w:evenHBand="0" w:firstRowFirstColumn="0" w:firstRowLastColumn="0" w:lastRowFirstColumn="0" w:lastRowLastColumn="0"/>
              <w:rPr>
                <w:rFonts w:eastAsia="微软雅黑"/>
                <w:sz w:val="20"/>
                <w:szCs w:val="20"/>
              </w:rPr>
            </w:pPr>
            <w:r w:rsidRPr="00CC6CA3">
              <w:rPr>
                <w:rFonts w:eastAsia="微软雅黑"/>
                <w:sz w:val="20"/>
                <w:szCs w:val="20"/>
              </w:rPr>
              <w:t xml:space="preserve">% </w:t>
            </w:r>
            <w:proofErr w:type="gramStart"/>
            <w:r w:rsidRPr="00CC6CA3">
              <w:rPr>
                <w:rFonts w:eastAsia="微软雅黑"/>
                <w:sz w:val="20"/>
                <w:szCs w:val="20"/>
              </w:rPr>
              <w:t>variance</w:t>
            </w:r>
            <w:proofErr w:type="gramEnd"/>
            <w:r w:rsidRPr="00CC6CA3">
              <w:rPr>
                <w:rFonts w:eastAsia="微软雅黑"/>
                <w:sz w:val="20"/>
                <w:szCs w:val="20"/>
              </w:rPr>
              <w:t xml:space="preserve"> captured </w:t>
            </w:r>
            <w:r w:rsidR="000061C5" w:rsidRPr="00CC6CA3">
              <w:rPr>
                <w:rFonts w:eastAsia="微软雅黑"/>
                <w:sz w:val="20"/>
                <w:szCs w:val="20"/>
              </w:rPr>
              <w:t>(</w:t>
            </w:r>
            <w:r w:rsidRPr="00CC6CA3">
              <w:rPr>
                <w:rFonts w:eastAsia="微软雅黑"/>
                <w:sz w:val="20"/>
                <w:szCs w:val="20"/>
              </w:rPr>
              <w:t>total</w:t>
            </w:r>
            <w:r w:rsidR="000061C5" w:rsidRPr="00CC6CA3">
              <w:rPr>
                <w:rFonts w:eastAsia="微软雅黑"/>
                <w:sz w:val="20"/>
                <w:szCs w:val="20"/>
              </w:rPr>
              <w:t>)</w:t>
            </w:r>
          </w:p>
        </w:tc>
      </w:tr>
      <w:tr w:rsidR="00CC6CA3" w:rsidRPr="00CC6CA3" w14:paraId="3F62103F" w14:textId="77777777" w:rsidTr="00116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hideMark/>
          </w:tcPr>
          <w:p w14:paraId="4F2081EC"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1</w:t>
            </w:r>
          </w:p>
        </w:tc>
        <w:tc>
          <w:tcPr>
            <w:tcW w:w="3256" w:type="dxa"/>
            <w:vAlign w:val="center"/>
            <w:hideMark/>
          </w:tcPr>
          <w:p w14:paraId="2D25128D"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30.23</w:t>
            </w:r>
          </w:p>
        </w:tc>
        <w:tc>
          <w:tcPr>
            <w:tcW w:w="2896" w:type="dxa"/>
            <w:vAlign w:val="center"/>
            <w:hideMark/>
          </w:tcPr>
          <w:p w14:paraId="02458092"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30.23</w:t>
            </w:r>
          </w:p>
        </w:tc>
      </w:tr>
      <w:tr w:rsidR="00CC6CA3" w:rsidRPr="00CC6CA3" w14:paraId="4CC932DD" w14:textId="77777777" w:rsidTr="00116862">
        <w:tc>
          <w:tcPr>
            <w:cnfStyle w:val="001000000000" w:firstRow="0" w:lastRow="0" w:firstColumn="1" w:lastColumn="0" w:oddVBand="0" w:evenVBand="0" w:oddHBand="0" w:evenHBand="0" w:firstRowFirstColumn="0" w:firstRowLastColumn="0" w:lastRowFirstColumn="0" w:lastRowLastColumn="0"/>
            <w:tcW w:w="1502" w:type="dxa"/>
            <w:vAlign w:val="center"/>
            <w:hideMark/>
          </w:tcPr>
          <w:p w14:paraId="30160500"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2</w:t>
            </w:r>
          </w:p>
        </w:tc>
        <w:tc>
          <w:tcPr>
            <w:tcW w:w="3256" w:type="dxa"/>
            <w:vAlign w:val="center"/>
            <w:hideMark/>
          </w:tcPr>
          <w:p w14:paraId="57CA9FC0"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21.31</w:t>
            </w:r>
          </w:p>
        </w:tc>
        <w:tc>
          <w:tcPr>
            <w:tcW w:w="2896" w:type="dxa"/>
            <w:vAlign w:val="center"/>
            <w:hideMark/>
          </w:tcPr>
          <w:p w14:paraId="135F5EEC"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51.54</w:t>
            </w:r>
          </w:p>
        </w:tc>
      </w:tr>
      <w:tr w:rsidR="00CC6CA3" w:rsidRPr="00CC6CA3" w14:paraId="57205088" w14:textId="77777777" w:rsidTr="00116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hideMark/>
          </w:tcPr>
          <w:p w14:paraId="5DB12BCA"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3</w:t>
            </w:r>
          </w:p>
        </w:tc>
        <w:tc>
          <w:tcPr>
            <w:tcW w:w="3256" w:type="dxa"/>
            <w:vAlign w:val="center"/>
            <w:hideMark/>
          </w:tcPr>
          <w:p w14:paraId="70E9C69C"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12.58</w:t>
            </w:r>
          </w:p>
        </w:tc>
        <w:tc>
          <w:tcPr>
            <w:tcW w:w="2896" w:type="dxa"/>
            <w:vAlign w:val="center"/>
            <w:hideMark/>
          </w:tcPr>
          <w:p w14:paraId="537553E5"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64.12</w:t>
            </w:r>
          </w:p>
        </w:tc>
      </w:tr>
      <w:tr w:rsidR="00CC6CA3" w:rsidRPr="00CC6CA3" w14:paraId="4327ABD9" w14:textId="77777777" w:rsidTr="00116862">
        <w:tc>
          <w:tcPr>
            <w:cnfStyle w:val="001000000000" w:firstRow="0" w:lastRow="0" w:firstColumn="1" w:lastColumn="0" w:oddVBand="0" w:evenVBand="0" w:oddHBand="0" w:evenHBand="0" w:firstRowFirstColumn="0" w:firstRowLastColumn="0" w:lastRowFirstColumn="0" w:lastRowLastColumn="0"/>
            <w:tcW w:w="1502" w:type="dxa"/>
            <w:vAlign w:val="center"/>
            <w:hideMark/>
          </w:tcPr>
          <w:p w14:paraId="0DBE512B"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4</w:t>
            </w:r>
          </w:p>
        </w:tc>
        <w:tc>
          <w:tcPr>
            <w:tcW w:w="3256" w:type="dxa"/>
            <w:vAlign w:val="center"/>
            <w:hideMark/>
          </w:tcPr>
          <w:p w14:paraId="593C9757"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8.88</w:t>
            </w:r>
          </w:p>
        </w:tc>
        <w:tc>
          <w:tcPr>
            <w:tcW w:w="2896" w:type="dxa"/>
            <w:vAlign w:val="center"/>
            <w:hideMark/>
          </w:tcPr>
          <w:p w14:paraId="0486D1B4"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73.00</w:t>
            </w:r>
          </w:p>
        </w:tc>
      </w:tr>
      <w:tr w:rsidR="00CC6CA3" w:rsidRPr="00CC6CA3" w14:paraId="141B2781" w14:textId="77777777" w:rsidTr="00116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hideMark/>
          </w:tcPr>
          <w:p w14:paraId="63F88C48"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5</w:t>
            </w:r>
          </w:p>
        </w:tc>
        <w:tc>
          <w:tcPr>
            <w:tcW w:w="3256" w:type="dxa"/>
            <w:vAlign w:val="center"/>
            <w:hideMark/>
          </w:tcPr>
          <w:p w14:paraId="512A87F0"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6.69</w:t>
            </w:r>
          </w:p>
        </w:tc>
        <w:tc>
          <w:tcPr>
            <w:tcW w:w="2896" w:type="dxa"/>
            <w:vAlign w:val="center"/>
            <w:hideMark/>
          </w:tcPr>
          <w:p w14:paraId="67ADDD99"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79.69</w:t>
            </w:r>
          </w:p>
        </w:tc>
      </w:tr>
      <w:tr w:rsidR="00CC6CA3" w:rsidRPr="00CC6CA3" w14:paraId="4B0E2864" w14:textId="77777777" w:rsidTr="00116862">
        <w:tc>
          <w:tcPr>
            <w:cnfStyle w:val="001000000000" w:firstRow="0" w:lastRow="0" w:firstColumn="1" w:lastColumn="0" w:oddVBand="0" w:evenVBand="0" w:oddHBand="0" w:evenHBand="0" w:firstRowFirstColumn="0" w:firstRowLastColumn="0" w:lastRowFirstColumn="0" w:lastRowLastColumn="0"/>
            <w:tcW w:w="1502" w:type="dxa"/>
            <w:vAlign w:val="center"/>
            <w:hideMark/>
          </w:tcPr>
          <w:p w14:paraId="70C72912"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6</w:t>
            </w:r>
          </w:p>
        </w:tc>
        <w:tc>
          <w:tcPr>
            <w:tcW w:w="3256" w:type="dxa"/>
            <w:vAlign w:val="center"/>
            <w:hideMark/>
          </w:tcPr>
          <w:p w14:paraId="237F93FF"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4.96</w:t>
            </w:r>
          </w:p>
        </w:tc>
        <w:tc>
          <w:tcPr>
            <w:tcW w:w="2896" w:type="dxa"/>
            <w:vAlign w:val="center"/>
            <w:hideMark/>
          </w:tcPr>
          <w:p w14:paraId="705D6C3C"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84.64</w:t>
            </w:r>
          </w:p>
        </w:tc>
      </w:tr>
      <w:tr w:rsidR="00CC6CA3" w:rsidRPr="00CC6CA3" w14:paraId="4AA7B4BA" w14:textId="77777777" w:rsidTr="00116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7930620F"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7</w:t>
            </w:r>
          </w:p>
        </w:tc>
        <w:tc>
          <w:tcPr>
            <w:tcW w:w="3256" w:type="dxa"/>
            <w:vAlign w:val="center"/>
          </w:tcPr>
          <w:p w14:paraId="502EE291"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4.65</w:t>
            </w:r>
          </w:p>
        </w:tc>
        <w:tc>
          <w:tcPr>
            <w:tcW w:w="2896" w:type="dxa"/>
            <w:vAlign w:val="center"/>
          </w:tcPr>
          <w:p w14:paraId="31B6BE1A" w14:textId="77777777" w:rsidR="006A68D6" w:rsidRPr="00CC6CA3" w:rsidRDefault="006A68D6" w:rsidP="00116862">
            <w:pPr>
              <w:pStyle w:val="NormalWeb"/>
              <w:spacing w:before="0" w:beforeAutospacing="0" w:after="0" w:afterAutospacing="0" w:line="288" w:lineRule="auto"/>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89.29</w:t>
            </w:r>
          </w:p>
        </w:tc>
      </w:tr>
      <w:tr w:rsidR="00CC6CA3" w:rsidRPr="00CC6CA3" w14:paraId="0072D1C0" w14:textId="77777777" w:rsidTr="00116862">
        <w:tc>
          <w:tcPr>
            <w:cnfStyle w:val="001000000000" w:firstRow="0" w:lastRow="0" w:firstColumn="1" w:lastColumn="0" w:oddVBand="0" w:evenVBand="0" w:oddHBand="0" w:evenHBand="0" w:firstRowFirstColumn="0" w:firstRowLastColumn="0" w:lastRowFirstColumn="0" w:lastRowLastColumn="0"/>
            <w:tcW w:w="1502" w:type="dxa"/>
            <w:vAlign w:val="center"/>
          </w:tcPr>
          <w:p w14:paraId="1ECD0FC6" w14:textId="77777777" w:rsidR="006A68D6" w:rsidRPr="00CC6CA3" w:rsidRDefault="006A68D6" w:rsidP="00116862">
            <w:pPr>
              <w:pStyle w:val="NormalWeb"/>
              <w:spacing w:before="0" w:beforeAutospacing="0" w:after="0" w:afterAutospacing="0" w:line="288" w:lineRule="auto"/>
              <w:rPr>
                <w:rFonts w:eastAsia="微软雅黑"/>
                <w:sz w:val="20"/>
                <w:szCs w:val="20"/>
              </w:rPr>
            </w:pPr>
            <w:r w:rsidRPr="00CC6CA3">
              <w:rPr>
                <w:rFonts w:eastAsia="微软雅黑"/>
                <w:sz w:val="20"/>
                <w:szCs w:val="20"/>
              </w:rPr>
              <w:t>8</w:t>
            </w:r>
          </w:p>
        </w:tc>
        <w:tc>
          <w:tcPr>
            <w:tcW w:w="3256" w:type="dxa"/>
            <w:vAlign w:val="center"/>
          </w:tcPr>
          <w:p w14:paraId="3BE2EE5B"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3.50</w:t>
            </w:r>
          </w:p>
        </w:tc>
        <w:tc>
          <w:tcPr>
            <w:tcW w:w="2896" w:type="dxa"/>
            <w:vAlign w:val="center"/>
          </w:tcPr>
          <w:p w14:paraId="0BDEE138" w14:textId="77777777" w:rsidR="006A68D6" w:rsidRPr="00CC6CA3" w:rsidRDefault="006A68D6" w:rsidP="00116862">
            <w:pPr>
              <w:pStyle w:val="NormalWeb"/>
              <w:spacing w:before="0" w:beforeAutospacing="0" w:after="0" w:afterAutospacing="0" w:line="288" w:lineRule="auto"/>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92.80</w:t>
            </w:r>
          </w:p>
        </w:tc>
      </w:tr>
    </w:tbl>
    <w:p w14:paraId="4FE57343" w14:textId="69A53515" w:rsidR="006A68D6" w:rsidRPr="00CC6CA3" w:rsidRDefault="006A68D6" w:rsidP="006A68D6">
      <w:pPr>
        <w:spacing w:before="120"/>
      </w:pPr>
      <w:r w:rsidRPr="00CC6CA3">
        <w:lastRenderedPageBreak/>
        <w:t xml:space="preserve">According to </w:t>
      </w:r>
      <w:r w:rsidRPr="00CC6CA3">
        <w:fldChar w:fldCharType="begin"/>
      </w:r>
      <w:r w:rsidR="007D1BCC" w:rsidRPr="00CC6CA3">
        <w:instrText xml:space="preserve"> ADDIN ZOTERO_ITEM CSL_CITATION {"citationID":"08BVqq2j","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w:t>
      </w:r>
      <w:r w:rsidR="000061C5" w:rsidRPr="00CC6CA3">
        <w:t>the principal component was manually selected, subject to the condition that it should be able to detect the fault as early as possible. Thus, in this case, the 1</w:t>
      </w:r>
      <w:r w:rsidR="000061C5" w:rsidRPr="00CC6CA3">
        <w:rPr>
          <w:vertAlign w:val="superscript"/>
        </w:rPr>
        <w:t>st</w:t>
      </w:r>
      <w:r w:rsidR="000061C5" w:rsidRPr="00CC6CA3">
        <w:t xml:space="preserve"> principal component was selected for further analysis</w:t>
      </w:r>
      <w:r w:rsidRPr="00CC6CA3">
        <w:t xml:space="preserve">. </w:t>
      </w:r>
    </w:p>
    <w:p w14:paraId="3083BA3E" w14:textId="65E7CD0E" w:rsidR="006A68D6" w:rsidRPr="00CC6CA3" w:rsidRDefault="006A68D6" w:rsidP="006A68D6">
      <w:pPr>
        <w:spacing w:before="120"/>
      </w:pPr>
      <w:r w:rsidRPr="00CC6CA3">
        <w:t>The next step is prediction via linear regression (</w:t>
      </w: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1</m:t>
            </m:r>
          </m:sub>
        </m:sSub>
        <m:r>
          <w:rPr>
            <w:rFonts w:ascii="Cambria Math" w:hAnsi="Cambria Math"/>
          </w:rPr>
          <m:t>x</m:t>
        </m:r>
      </m:oMath>
      <w:r w:rsidRPr="00CC6CA3">
        <w:t>)</w:t>
      </w:r>
      <w:r w:rsidR="000061C5" w:rsidRPr="00CC6CA3">
        <w:t>,</w:t>
      </w:r>
      <w:r w:rsidRPr="00CC6CA3">
        <w:t xml:space="preserve"> </w:t>
      </w:r>
      <w:r w:rsidR="000061C5" w:rsidRPr="00CC6CA3">
        <w:t>and in this case, fifty points backwards were used as training data to predict four points forward. Root Mean Square Error (RMSE) was</w:t>
      </w:r>
      <w:r w:rsidR="000061C5" w:rsidRPr="00CC6CA3">
        <w:rPr>
          <w:szCs w:val="20"/>
        </w:rPr>
        <w:t xml:space="preserve"> calculated to assess the accuracy of the predictions. The true value and the predicted results of the first order principal component can be seen in</w:t>
      </w:r>
      <w:r w:rsidRPr="00CC6CA3">
        <w:rPr>
          <w:szCs w:val="20"/>
        </w:rPr>
        <w:t xml:space="preserve"> </w:t>
      </w:r>
      <w:r w:rsidRPr="00CC6CA3">
        <w:rPr>
          <w:szCs w:val="20"/>
        </w:rPr>
        <w:fldChar w:fldCharType="begin"/>
      </w:r>
      <w:r w:rsidRPr="00CC6CA3">
        <w:rPr>
          <w:szCs w:val="20"/>
        </w:rPr>
        <w:instrText xml:space="preserve"> REF _Ref63573983 \h </w:instrText>
      </w:r>
      <w:r w:rsidRPr="00CC6CA3">
        <w:rPr>
          <w:szCs w:val="20"/>
        </w:rPr>
      </w:r>
      <w:r w:rsidRPr="00CC6CA3">
        <w:rPr>
          <w:szCs w:val="20"/>
        </w:rPr>
        <w:fldChar w:fldCharType="separate"/>
      </w:r>
      <w:r w:rsidR="001906D9" w:rsidRPr="00CC6CA3">
        <w:t xml:space="preserve">Figure </w:t>
      </w:r>
      <w:r w:rsidR="001906D9" w:rsidRPr="00CC6CA3">
        <w:rPr>
          <w:noProof/>
        </w:rPr>
        <w:t>5</w:t>
      </w:r>
      <w:r w:rsidR="001906D9" w:rsidRPr="00CC6CA3">
        <w:t>.</w:t>
      </w:r>
      <w:r w:rsidR="001906D9" w:rsidRPr="00CC6CA3">
        <w:rPr>
          <w:noProof/>
        </w:rPr>
        <w:t>2</w:t>
      </w:r>
      <w:r w:rsidRPr="00CC6CA3">
        <w:rPr>
          <w:szCs w:val="20"/>
        </w:rPr>
        <w:fldChar w:fldCharType="end"/>
      </w:r>
      <w:r w:rsidRPr="00CC6CA3">
        <w:rPr>
          <w:szCs w:val="20"/>
        </w:rPr>
        <w:t xml:space="preserve">. </w:t>
      </w:r>
    </w:p>
    <w:p w14:paraId="488CA6DA" w14:textId="77777777" w:rsidR="006A68D6" w:rsidRPr="00CC6CA3" w:rsidRDefault="006A68D6" w:rsidP="006A68D6">
      <w:pPr>
        <w:keepNext/>
        <w:spacing w:before="120"/>
        <w:jc w:val="center"/>
      </w:pPr>
      <w:r w:rsidRPr="00CC6CA3">
        <w:rPr>
          <w:noProof/>
        </w:rPr>
        <w:drawing>
          <wp:inline distT="0" distB="0" distL="0" distR="0" wp14:anchorId="1691F13E" wp14:editId="77E09689">
            <wp:extent cx="4752000" cy="19723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2000" cy="1972365"/>
                    </a:xfrm>
                    <a:prstGeom prst="rect">
                      <a:avLst/>
                    </a:prstGeom>
                    <a:noFill/>
                    <a:ln>
                      <a:noFill/>
                    </a:ln>
                  </pic:spPr>
                </pic:pic>
              </a:graphicData>
            </a:graphic>
          </wp:inline>
        </w:drawing>
      </w:r>
    </w:p>
    <w:p w14:paraId="56E9DA3A" w14:textId="658A954F" w:rsidR="006A68D6" w:rsidRPr="00CC6CA3" w:rsidRDefault="006A68D6" w:rsidP="006A68D6">
      <w:pPr>
        <w:pStyle w:val="Caption"/>
        <w:jc w:val="center"/>
      </w:pPr>
      <w:bookmarkStart w:id="473" w:name="_Ref63573983"/>
      <w:bookmarkStart w:id="474" w:name="_Toc8155342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w:t>
      </w:r>
      <w:r w:rsidR="00D62691" w:rsidRPr="00CC6CA3">
        <w:rPr>
          <w:noProof/>
        </w:rPr>
        <w:fldChar w:fldCharType="end"/>
      </w:r>
      <w:bookmarkEnd w:id="473"/>
      <w:r w:rsidRPr="00CC6CA3">
        <w:t xml:space="preserve"> </w:t>
      </w:r>
      <w:r w:rsidR="000061C5" w:rsidRPr="00CC6CA3">
        <w:rPr>
          <w:szCs w:val="22"/>
        </w:rPr>
        <w:t xml:space="preserve">True and predicted values for the first order principal component for Case </w:t>
      </w:r>
      <w:r w:rsidRPr="00CC6CA3">
        <w:rPr>
          <w:szCs w:val="20"/>
        </w:rPr>
        <w:t>1</w:t>
      </w:r>
      <w:bookmarkEnd w:id="474"/>
    </w:p>
    <w:p w14:paraId="6465C586" w14:textId="1C6AC22D" w:rsidR="006A68D6" w:rsidRPr="00CC6CA3" w:rsidRDefault="000061C5" w:rsidP="00FE17DF">
      <w:r w:rsidRPr="00CC6CA3">
        <w:t>The risk calculation has two parts: POF and severity (</w:t>
      </w:r>
      <m:oMath>
        <m:r>
          <w:rPr>
            <w:rFonts w:ascii="Cambria Math" w:hAnsi="Cambria Math"/>
          </w:rPr>
          <m:t>Risk= POF∙S</m:t>
        </m:r>
      </m:oMath>
      <w:r w:rsidRPr="00CC6CA3">
        <w:t>). POF is calculated based on</w:t>
      </w:r>
      <w:r w:rsidR="006A68D6" w:rsidRPr="00CC6CA3">
        <w:t xml:space="preserve"> Equation </w:t>
      </w:r>
      <w:r w:rsidR="006A68D6" w:rsidRPr="00CC6CA3">
        <w:fldChar w:fldCharType="begin"/>
      </w:r>
      <w:r w:rsidR="006A68D6" w:rsidRPr="00CC6CA3">
        <w:instrText xml:space="preserve"> REF _Ref43645084 \h </w:instrText>
      </w:r>
      <w:r w:rsidR="006A68D6"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10</w:t>
      </w:r>
      <w:r w:rsidR="001906D9" w:rsidRPr="00CC6CA3">
        <w:rPr>
          <w:rFonts w:cs="Times New Roman"/>
          <w:sz w:val="26"/>
          <w:szCs w:val="26"/>
        </w:rPr>
        <w:t>)</w:t>
      </w:r>
      <w:r w:rsidR="006A68D6" w:rsidRPr="00CC6CA3">
        <w:fldChar w:fldCharType="end"/>
      </w:r>
      <w:r w:rsidR="006A68D6" w:rsidRPr="00CC6CA3">
        <w:t xml:space="preserve"> and </w:t>
      </w:r>
      <w:r w:rsidR="006A68D6" w:rsidRPr="00CC6CA3">
        <w:fldChar w:fldCharType="begin"/>
      </w:r>
      <w:r w:rsidR="006A68D6" w:rsidRPr="00CC6CA3">
        <w:instrText xml:space="preserve"> REF _Ref41858185 \h </w:instrText>
      </w:r>
      <w:r w:rsidR="006A68D6"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11</w:t>
      </w:r>
      <w:r w:rsidR="001906D9" w:rsidRPr="00CC6CA3">
        <w:rPr>
          <w:rFonts w:cs="Times New Roman"/>
          <w:sz w:val="26"/>
          <w:szCs w:val="26"/>
        </w:rPr>
        <w:t>)</w:t>
      </w:r>
      <w:r w:rsidR="006A68D6" w:rsidRPr="00CC6CA3">
        <w:fldChar w:fldCharType="end"/>
      </w:r>
      <w:r w:rsidRPr="00CC6CA3">
        <w:t>, and is shown in</w:t>
      </w:r>
      <w:r w:rsidR="006A68D6" w:rsidRPr="00CC6CA3">
        <w:t xml:space="preserve"> </w:t>
      </w:r>
      <w:r w:rsidR="006A68D6" w:rsidRPr="00CC6CA3">
        <w:fldChar w:fldCharType="begin"/>
      </w:r>
      <w:r w:rsidR="006A68D6" w:rsidRPr="00CC6CA3">
        <w:instrText xml:space="preserve"> REF _Ref63574536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w:t>
      </w:r>
      <w:r w:rsidR="006A68D6" w:rsidRPr="00CC6CA3">
        <w:fldChar w:fldCharType="end"/>
      </w:r>
      <w:r w:rsidR="006A68D6" w:rsidRPr="00CC6CA3">
        <w:t xml:space="preserve">. </w:t>
      </w:r>
      <w:r w:rsidRPr="00CC6CA3">
        <w:t>As can be seen in the figure, the POF was below the 0.5 threshold from 22</w:t>
      </w:r>
      <w:r w:rsidRPr="00CC6CA3">
        <w:rPr>
          <w:vertAlign w:val="superscript"/>
        </w:rPr>
        <w:t>nd</w:t>
      </w:r>
      <w:r w:rsidRPr="00CC6CA3">
        <w:t xml:space="preserve"> Jun to 22:00 5</w:t>
      </w:r>
      <w:r w:rsidRPr="00CC6CA3">
        <w:rPr>
          <w:vertAlign w:val="superscript"/>
        </w:rPr>
        <w:t>th</w:t>
      </w:r>
      <w:r w:rsidRPr="00CC6CA3">
        <w:t xml:space="preserve"> Jul 2013, which indicated that the pump was in a healthy condition during this time. At 22:00 on 5</w:t>
      </w:r>
      <w:r w:rsidRPr="00CC6CA3">
        <w:rPr>
          <w:vertAlign w:val="superscript"/>
        </w:rPr>
        <w:t>th</w:t>
      </w:r>
      <w:r w:rsidRPr="00CC6CA3">
        <w:t xml:space="preserve"> Jul 2013, the probability of the fault reached 0.5, and it did not return to normal, rather the condition of the pump deteriorated further and the POF continued to increase to 1, indicating a fault</w:t>
      </w:r>
      <w:r w:rsidR="006A68D6" w:rsidRPr="00CC6CA3">
        <w:t>.</w:t>
      </w:r>
    </w:p>
    <w:p w14:paraId="2F579972" w14:textId="77777777" w:rsidR="006A68D6" w:rsidRPr="00CC6CA3" w:rsidRDefault="006A68D6" w:rsidP="006A68D6">
      <w:pPr>
        <w:keepNext/>
        <w:jc w:val="center"/>
      </w:pPr>
      <w:r w:rsidRPr="00CC6CA3">
        <w:rPr>
          <w:noProof/>
        </w:rPr>
        <w:drawing>
          <wp:inline distT="0" distB="0" distL="0" distR="0" wp14:anchorId="7DFBFCC1" wp14:editId="471C6309">
            <wp:extent cx="4752000" cy="1977711"/>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52000" cy="1977711"/>
                    </a:xfrm>
                    <a:prstGeom prst="rect">
                      <a:avLst/>
                    </a:prstGeom>
                    <a:noFill/>
                  </pic:spPr>
                </pic:pic>
              </a:graphicData>
            </a:graphic>
          </wp:inline>
        </w:drawing>
      </w:r>
    </w:p>
    <w:p w14:paraId="4EA6763E" w14:textId="093BA0F5" w:rsidR="006A68D6" w:rsidRPr="00CC6CA3" w:rsidRDefault="006A68D6" w:rsidP="006A68D6">
      <w:pPr>
        <w:pStyle w:val="Caption"/>
        <w:jc w:val="center"/>
      </w:pPr>
      <w:bookmarkStart w:id="475" w:name="_Ref63574536"/>
      <w:bookmarkStart w:id="476" w:name="_Toc8155343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w:t>
      </w:r>
      <w:r w:rsidR="00D62691" w:rsidRPr="00CC6CA3">
        <w:rPr>
          <w:noProof/>
        </w:rPr>
        <w:fldChar w:fldCharType="end"/>
      </w:r>
      <w:bookmarkEnd w:id="475"/>
      <w:r w:rsidRPr="00CC6CA3">
        <w:t xml:space="preserve"> POF of the pump system for </w:t>
      </w:r>
      <w:r w:rsidR="000061C5" w:rsidRPr="00CC6CA3">
        <w:t>C</w:t>
      </w:r>
      <w:r w:rsidRPr="00CC6CA3">
        <w:t>ase 1 based on PCA method</w:t>
      </w:r>
      <w:bookmarkEnd w:id="476"/>
    </w:p>
    <w:p w14:paraId="6312FB78" w14:textId="235AD4D3" w:rsidR="006A68D6" w:rsidRPr="00CC6CA3" w:rsidRDefault="001D118D" w:rsidP="006A68D6">
      <w:r w:rsidRPr="00CC6CA3">
        <w:lastRenderedPageBreak/>
        <w:t xml:space="preserve">Severity is another essential term in risk assessment, and it is estimated using </w:t>
      </w:r>
      <w:r w:rsidR="006A68D6" w:rsidRPr="00CC6CA3">
        <w:t xml:space="preserve">Equation </w:t>
      </w:r>
      <w:r w:rsidR="006A68D6" w:rsidRPr="00CC6CA3">
        <w:fldChar w:fldCharType="begin"/>
      </w:r>
      <w:r w:rsidR="006A68D6" w:rsidRPr="00CC6CA3">
        <w:instrText xml:space="preserve"> REF _Ref41943482 \h </w:instrText>
      </w:r>
      <w:r w:rsidR="006A68D6"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12</w:t>
      </w:r>
      <w:r w:rsidR="001906D9" w:rsidRPr="00CC6CA3">
        <w:rPr>
          <w:rFonts w:cs="Times New Roman"/>
          <w:sz w:val="26"/>
          <w:szCs w:val="26"/>
        </w:rPr>
        <w:t>)</w:t>
      </w:r>
      <w:r w:rsidR="006A68D6" w:rsidRPr="00CC6CA3">
        <w:fldChar w:fldCharType="end"/>
      </w:r>
      <w:r w:rsidR="006A68D6" w:rsidRPr="00CC6CA3">
        <w:t xml:space="preserve"> and </w:t>
      </w:r>
      <w:r w:rsidR="006A68D6" w:rsidRPr="00CC6CA3">
        <w:fldChar w:fldCharType="begin"/>
      </w:r>
      <w:r w:rsidR="006A68D6" w:rsidRPr="00CC6CA3">
        <w:instrText xml:space="preserve"> REF _Ref43370046 \h </w:instrText>
      </w:r>
      <w:r w:rsidR="006A68D6"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13</w:t>
      </w:r>
      <w:r w:rsidR="001906D9" w:rsidRPr="00CC6CA3">
        <w:rPr>
          <w:rFonts w:cs="Times New Roman"/>
          <w:sz w:val="26"/>
          <w:szCs w:val="26"/>
        </w:rPr>
        <w:t>)</w:t>
      </w:r>
      <w:r w:rsidR="006A68D6" w:rsidRPr="00CC6CA3">
        <w:fldChar w:fldCharType="end"/>
      </w:r>
      <w:r w:rsidR="006A68D6" w:rsidRPr="00CC6CA3">
        <w:t xml:space="preserve">. </w:t>
      </w:r>
      <w:r w:rsidR="006E44DD" w:rsidRPr="00CC6CA3">
        <w:t>The i</w:t>
      </w:r>
      <w:r w:rsidR="006E44DD" w:rsidRPr="00CC6CA3">
        <w:rPr>
          <w:rFonts w:cs="Times New Roman"/>
          <w:szCs w:val="24"/>
        </w:rPr>
        <w:t xml:space="preserve">ntensity coefficient of the individual variable, </w:t>
      </w:r>
      <m:oMath>
        <m:sSub>
          <m:sSubPr>
            <m:ctrlPr>
              <w:rPr>
                <w:rFonts w:ascii="Cambria Math" w:hAnsi="Cambria Math"/>
                <w:i/>
                <w:iCs/>
                <w:szCs w:val="24"/>
              </w:rPr>
            </m:ctrlPr>
          </m:sSubPr>
          <m:e>
            <m:r>
              <w:rPr>
                <w:rFonts w:ascii="Cambria Math" w:hAnsi="Cambria Math"/>
                <w:szCs w:val="24"/>
              </w:rPr>
              <m:t>a</m:t>
            </m:r>
          </m:e>
          <m:sub>
            <m:r>
              <w:rPr>
                <w:rFonts w:ascii="Cambria Math" w:hAnsi="Cambria Math"/>
                <w:szCs w:val="24"/>
              </w:rPr>
              <m:t>k</m:t>
            </m:r>
          </m:sub>
        </m:sSub>
      </m:oMath>
      <w:r w:rsidR="006E44DD" w:rsidRPr="00CC6CA3">
        <w:rPr>
          <w:rFonts w:cs="Times New Roman"/>
          <w:iCs/>
          <w:szCs w:val="24"/>
        </w:rPr>
        <w:t>, was defined based on process knowledge and experience</w:t>
      </w:r>
      <w:r w:rsidR="006A68D6" w:rsidRPr="00CC6CA3">
        <w:rPr>
          <w:rFonts w:cs="Times New Roman"/>
          <w:iCs/>
          <w:szCs w:val="24"/>
        </w:rPr>
        <w:t xml:space="preserve">. </w:t>
      </w:r>
      <w:r w:rsidR="006E44DD" w:rsidRPr="00CC6CA3">
        <w:rPr>
          <w:rFonts w:cs="Times New Roman"/>
          <w:iCs/>
          <w:szCs w:val="24"/>
        </w:rPr>
        <w:t xml:space="preserve">In our data, the discharge temperature is usually higher in summer and lower in winter, which indicates that this measurement was influenced by the surrounding environment. Therefore, to reduce the influence of the surrounding environment, we gave a value of unity to the </w:t>
      </w:r>
      <w:r w:rsidR="006E44DD" w:rsidRPr="00CC6CA3">
        <w:t>intensity</w:t>
      </w:r>
      <w:r w:rsidR="006E44DD" w:rsidRPr="00CC6CA3">
        <w:rPr>
          <w:rFonts w:cs="Times New Roman"/>
          <w:iCs/>
          <w:szCs w:val="24"/>
        </w:rPr>
        <w:t xml:space="preserve"> coefficient of </w:t>
      </w:r>
      <w:r w:rsidR="006E44DD" w:rsidRPr="00CC6CA3">
        <w:t>discharge</w:t>
      </w:r>
      <w:r w:rsidR="006E44DD" w:rsidRPr="00CC6CA3">
        <w:rPr>
          <w:rFonts w:cs="Times New Roman"/>
          <w:iCs/>
          <w:szCs w:val="24"/>
        </w:rPr>
        <w:t xml:space="preserve"> temperature and give a value of two to the intensity coefficients for the other measurements</w:t>
      </w:r>
      <w:r w:rsidR="006A68D6" w:rsidRPr="00CC6CA3">
        <w:rPr>
          <w:rFonts w:cs="Times New Roman"/>
          <w:iCs/>
          <w:szCs w:val="24"/>
        </w:rPr>
        <w:t xml:space="preserve">. </w:t>
      </w:r>
      <w:r w:rsidR="006A68D6" w:rsidRPr="00CC6CA3">
        <w:fldChar w:fldCharType="begin"/>
      </w:r>
      <w:r w:rsidR="006A68D6" w:rsidRPr="00CC6CA3">
        <w:instrText xml:space="preserve"> REF _Ref41942737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2</w:t>
      </w:r>
      <w:r w:rsidR="006A68D6" w:rsidRPr="00CC6CA3">
        <w:fldChar w:fldCharType="end"/>
      </w:r>
      <w:r w:rsidR="006A68D6" w:rsidRPr="00CC6CA3">
        <w:t xml:space="preserve"> listed the </w:t>
      </w:r>
      <w:r w:rsidR="006A68D6" w:rsidRPr="00CC6CA3">
        <w:rPr>
          <w:rFonts w:cs="Times New Roman"/>
          <w:szCs w:val="24"/>
        </w:rPr>
        <w:t xml:space="preserve">intensity </w:t>
      </w:r>
      <w:r w:rsidR="006A68D6" w:rsidRPr="00CC6CA3">
        <w:t xml:space="preserve">coefficient and loading of each measurement for the first </w:t>
      </w:r>
      <w:proofErr w:type="gramStart"/>
      <w:r w:rsidR="006A68D6" w:rsidRPr="00CC6CA3">
        <w:t>principle</w:t>
      </w:r>
      <w:proofErr w:type="gramEnd"/>
      <w:r w:rsidR="006A68D6" w:rsidRPr="00CC6CA3">
        <w:t xml:space="preserve"> component.</w:t>
      </w:r>
      <w:r w:rsidR="006E44DD" w:rsidRPr="00CC6CA3">
        <w:t xml:space="preserve"> Loadings of each PC (</w:t>
      </w:r>
      <m:oMath>
        <m:sSub>
          <m:sSubPr>
            <m:ctrlPr>
              <w:rPr>
                <w:rFonts w:ascii="Cambria Math" w:hAnsi="Cambria Math"/>
                <w:i/>
                <w:iCs/>
                <w:szCs w:val="24"/>
              </w:rPr>
            </m:ctrlPr>
          </m:sSubPr>
          <m:e>
            <m:r>
              <w:rPr>
                <w:rFonts w:ascii="Cambria Math" w:hAnsi="Cambria Math"/>
                <w:szCs w:val="24"/>
              </w:rPr>
              <m:t>w</m:t>
            </m:r>
          </m:e>
          <m:sub>
            <m:r>
              <w:rPr>
                <w:rFonts w:ascii="Cambria Math" w:hAnsi="Cambria Math"/>
                <w:szCs w:val="24"/>
              </w:rPr>
              <m:t>k</m:t>
            </m:r>
          </m:sub>
        </m:sSub>
      </m:oMath>
      <w:r w:rsidR="006E44DD" w:rsidRPr="00CC6CA3">
        <w:t xml:space="preserve">) was calculated </w:t>
      </w:r>
      <w:r w:rsidR="006E44DD" w:rsidRPr="00CC6CA3">
        <w:rPr>
          <w:rFonts w:hint="eastAsia"/>
        </w:rPr>
        <w:t>using</w:t>
      </w:r>
      <w:r w:rsidR="006E44DD" w:rsidRPr="00CC6CA3">
        <w:t xml:space="preserve"> </w:t>
      </w:r>
      <w:r w:rsidR="006E44DD" w:rsidRPr="00CC6CA3">
        <w:rPr>
          <w:rFonts w:hint="eastAsia"/>
        </w:rPr>
        <w:t>Equation</w:t>
      </w:r>
      <w:r w:rsidR="006E44DD" w:rsidRPr="00CC6CA3">
        <w:t xml:space="preserve"> (4-5).</w:t>
      </w:r>
    </w:p>
    <w:p w14:paraId="6A46075A" w14:textId="6C0EBDB9" w:rsidR="006A68D6" w:rsidRPr="00CC6CA3" w:rsidRDefault="006A68D6" w:rsidP="006A68D6">
      <w:pPr>
        <w:pStyle w:val="Caption"/>
        <w:keepNext/>
      </w:pPr>
      <w:bookmarkStart w:id="477" w:name="_Ref41942737"/>
      <w:bookmarkStart w:id="478" w:name="_Toc81553479"/>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2</w:t>
      </w:r>
      <w:r w:rsidR="00D62691" w:rsidRPr="00CC6CA3">
        <w:rPr>
          <w:noProof/>
        </w:rPr>
        <w:fldChar w:fldCharType="end"/>
      </w:r>
      <w:bookmarkEnd w:id="477"/>
      <w:r w:rsidRPr="00CC6CA3">
        <w:t xml:space="preserve"> Values of intensity coefficients and loadings for </w:t>
      </w:r>
      <w:r w:rsidR="006E44DD" w:rsidRPr="00CC6CA3">
        <w:t>C</w:t>
      </w:r>
      <w:r w:rsidRPr="00CC6CA3">
        <w:t>ase 1</w:t>
      </w:r>
      <w:bookmarkEnd w:id="478"/>
    </w:p>
    <w:tbl>
      <w:tblPr>
        <w:tblStyle w:val="PlainTable2"/>
        <w:tblW w:w="0" w:type="auto"/>
        <w:tblLook w:val="04A0" w:firstRow="1" w:lastRow="0" w:firstColumn="1" w:lastColumn="0" w:noHBand="0" w:noVBand="1"/>
      </w:tblPr>
      <w:tblGrid>
        <w:gridCol w:w="3823"/>
        <w:gridCol w:w="1999"/>
        <w:gridCol w:w="2659"/>
      </w:tblGrid>
      <w:tr w:rsidR="00CC6CA3" w:rsidRPr="00CC6CA3" w14:paraId="3F2765B6" w14:textId="77777777" w:rsidTr="006E44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1B9502F4" w14:textId="77777777" w:rsidR="006A68D6" w:rsidRPr="00CC6CA3" w:rsidRDefault="006A68D6" w:rsidP="00F632C0">
            <w:pPr>
              <w:pStyle w:val="Body"/>
              <w:spacing w:after="0" w:line="240" w:lineRule="auto"/>
              <w:rPr>
                <w:sz w:val="20"/>
                <w:szCs w:val="20"/>
              </w:rPr>
            </w:pPr>
            <w:r w:rsidRPr="00CC6CA3">
              <w:rPr>
                <w:sz w:val="20"/>
                <w:szCs w:val="20"/>
              </w:rPr>
              <w:t>Measurements</w:t>
            </w:r>
          </w:p>
        </w:tc>
        <w:tc>
          <w:tcPr>
            <w:tcW w:w="1999" w:type="dxa"/>
          </w:tcPr>
          <w:p w14:paraId="3E9F1CC3" w14:textId="77777777" w:rsidR="006A68D6" w:rsidRPr="00CC6CA3" w:rsidRDefault="006A68D6" w:rsidP="00F632C0">
            <w:pPr>
              <w:pStyle w:val="Body"/>
              <w:spacing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CC6CA3">
              <w:rPr>
                <w:sz w:val="20"/>
                <w:szCs w:val="20"/>
              </w:rPr>
              <w:t>Intensity coefficient</w:t>
            </w:r>
          </w:p>
        </w:tc>
        <w:tc>
          <w:tcPr>
            <w:tcW w:w="2659" w:type="dxa"/>
          </w:tcPr>
          <w:p w14:paraId="791F41AC" w14:textId="77777777" w:rsidR="006A68D6" w:rsidRPr="00CC6CA3" w:rsidRDefault="006A68D6" w:rsidP="00F632C0">
            <w:pPr>
              <w:pStyle w:val="Body"/>
              <w:spacing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CC6CA3">
              <w:rPr>
                <w:sz w:val="20"/>
                <w:szCs w:val="20"/>
              </w:rPr>
              <w:t>Loadings by PCA</w:t>
            </w:r>
          </w:p>
        </w:tc>
      </w:tr>
      <w:tr w:rsidR="00CC6CA3" w:rsidRPr="00CC6CA3" w14:paraId="1027D8D5"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575C544" w14:textId="77777777" w:rsidR="006A68D6" w:rsidRPr="00CC6CA3" w:rsidRDefault="006A68D6" w:rsidP="00F632C0">
            <w:pPr>
              <w:pStyle w:val="Body"/>
              <w:spacing w:after="0" w:line="240" w:lineRule="auto"/>
              <w:rPr>
                <w:b w:val="0"/>
                <w:bCs w:val="0"/>
                <w:sz w:val="20"/>
                <w:szCs w:val="20"/>
              </w:rPr>
            </w:pPr>
            <w:r w:rsidRPr="00CC6CA3">
              <w:rPr>
                <w:sz w:val="20"/>
                <w:szCs w:val="20"/>
              </w:rPr>
              <w:t>Speed</w:t>
            </w:r>
          </w:p>
        </w:tc>
        <w:tc>
          <w:tcPr>
            <w:tcW w:w="1999" w:type="dxa"/>
          </w:tcPr>
          <w:p w14:paraId="721DACD9"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777CF74A" w14:textId="63B16BD5"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0.42681</w:t>
            </w:r>
          </w:p>
        </w:tc>
      </w:tr>
      <w:tr w:rsidR="00CC6CA3" w:rsidRPr="00CC6CA3" w14:paraId="0BF5B413" w14:textId="77777777" w:rsidTr="006E44DD">
        <w:tc>
          <w:tcPr>
            <w:cnfStyle w:val="001000000000" w:firstRow="0" w:lastRow="0" w:firstColumn="1" w:lastColumn="0" w:oddVBand="0" w:evenVBand="0" w:oddHBand="0" w:evenHBand="0" w:firstRowFirstColumn="0" w:firstRowLastColumn="0" w:lastRowFirstColumn="0" w:lastRowLastColumn="0"/>
            <w:tcW w:w="3823" w:type="dxa"/>
          </w:tcPr>
          <w:p w14:paraId="63B61C19"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Suction pressure</w:t>
            </w:r>
          </w:p>
        </w:tc>
        <w:tc>
          <w:tcPr>
            <w:tcW w:w="1999" w:type="dxa"/>
          </w:tcPr>
          <w:p w14:paraId="5C60D82D"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659" w:type="dxa"/>
          </w:tcPr>
          <w:p w14:paraId="0A52222C" w14:textId="2882BDFF"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-0.12972</w:t>
            </w:r>
          </w:p>
        </w:tc>
      </w:tr>
      <w:tr w:rsidR="00CC6CA3" w:rsidRPr="00CC6CA3" w14:paraId="3FB6EAFD"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C09F851"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Discharge pressure</w:t>
            </w:r>
          </w:p>
        </w:tc>
        <w:tc>
          <w:tcPr>
            <w:tcW w:w="1999" w:type="dxa"/>
          </w:tcPr>
          <w:p w14:paraId="55883D33"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66A0BE71" w14:textId="3ABF9D8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-0.11618</w:t>
            </w:r>
          </w:p>
        </w:tc>
      </w:tr>
      <w:tr w:rsidR="00CC6CA3" w:rsidRPr="00CC6CA3" w14:paraId="15EC6E37" w14:textId="77777777" w:rsidTr="006E44DD">
        <w:tc>
          <w:tcPr>
            <w:cnfStyle w:val="001000000000" w:firstRow="0" w:lastRow="0" w:firstColumn="1" w:lastColumn="0" w:oddVBand="0" w:evenVBand="0" w:oddHBand="0" w:evenHBand="0" w:firstRowFirstColumn="0" w:firstRowLastColumn="0" w:lastRowFirstColumn="0" w:lastRowLastColumn="0"/>
            <w:tcW w:w="3823" w:type="dxa"/>
          </w:tcPr>
          <w:p w14:paraId="6761C200"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Discharge temperature</w:t>
            </w:r>
          </w:p>
        </w:tc>
        <w:tc>
          <w:tcPr>
            <w:tcW w:w="1999" w:type="dxa"/>
          </w:tcPr>
          <w:p w14:paraId="2C5C6EE4"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1</w:t>
            </w:r>
          </w:p>
        </w:tc>
        <w:tc>
          <w:tcPr>
            <w:tcW w:w="2659" w:type="dxa"/>
          </w:tcPr>
          <w:p w14:paraId="7116E217" w14:textId="640B1F3B"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-0.01409</w:t>
            </w:r>
          </w:p>
        </w:tc>
      </w:tr>
      <w:tr w:rsidR="00CC6CA3" w:rsidRPr="00CC6CA3" w14:paraId="7E848067"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A4CF026"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Actual Flow</w:t>
            </w:r>
          </w:p>
        </w:tc>
        <w:tc>
          <w:tcPr>
            <w:tcW w:w="1999" w:type="dxa"/>
          </w:tcPr>
          <w:p w14:paraId="64A5B62C"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444AA40E" w14:textId="19B9F673"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0.01639</w:t>
            </w:r>
          </w:p>
        </w:tc>
      </w:tr>
      <w:tr w:rsidR="00CC6CA3" w:rsidRPr="00CC6CA3" w14:paraId="768D09F9" w14:textId="77777777" w:rsidTr="006E44DD">
        <w:tc>
          <w:tcPr>
            <w:cnfStyle w:val="001000000000" w:firstRow="0" w:lastRow="0" w:firstColumn="1" w:lastColumn="0" w:oddVBand="0" w:evenVBand="0" w:oddHBand="0" w:evenHBand="0" w:firstRowFirstColumn="0" w:firstRowLastColumn="0" w:lastRowFirstColumn="0" w:lastRowLastColumn="0"/>
            <w:tcW w:w="3823" w:type="dxa"/>
          </w:tcPr>
          <w:p w14:paraId="3C3EEF05"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Radial Vibration Overall X</w:t>
            </w:r>
          </w:p>
        </w:tc>
        <w:tc>
          <w:tcPr>
            <w:tcW w:w="1999" w:type="dxa"/>
          </w:tcPr>
          <w:p w14:paraId="5564798B"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659" w:type="dxa"/>
          </w:tcPr>
          <w:p w14:paraId="0A97A476" w14:textId="0E304F5B"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-0.12451</w:t>
            </w:r>
          </w:p>
        </w:tc>
      </w:tr>
      <w:tr w:rsidR="00CC6CA3" w:rsidRPr="00CC6CA3" w14:paraId="20233F38"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1BC47DC2"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Radial Vibration Overall Y</w:t>
            </w:r>
          </w:p>
        </w:tc>
        <w:tc>
          <w:tcPr>
            <w:tcW w:w="1999" w:type="dxa"/>
          </w:tcPr>
          <w:p w14:paraId="5C194F52"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5204E071" w14:textId="6E6104A9"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0.12639</w:t>
            </w:r>
          </w:p>
        </w:tc>
      </w:tr>
      <w:tr w:rsidR="00CC6CA3" w:rsidRPr="00CC6CA3" w14:paraId="283737CE" w14:textId="77777777" w:rsidTr="006E44DD">
        <w:tc>
          <w:tcPr>
            <w:cnfStyle w:val="001000000000" w:firstRow="0" w:lastRow="0" w:firstColumn="1" w:lastColumn="0" w:oddVBand="0" w:evenVBand="0" w:oddHBand="0" w:evenHBand="0" w:firstRowFirstColumn="0" w:firstRowLastColumn="0" w:lastRowFirstColumn="0" w:lastRowLastColumn="0"/>
            <w:tcW w:w="3823" w:type="dxa"/>
          </w:tcPr>
          <w:p w14:paraId="033D1DF7"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Radial Bearing Temperature 1</w:t>
            </w:r>
          </w:p>
        </w:tc>
        <w:tc>
          <w:tcPr>
            <w:tcW w:w="1999" w:type="dxa"/>
          </w:tcPr>
          <w:p w14:paraId="5AB33F4E"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659" w:type="dxa"/>
          </w:tcPr>
          <w:p w14:paraId="2990847B" w14:textId="240F2D88"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-0.01</w:t>
            </w:r>
            <w:r w:rsidR="006E44DD" w:rsidRPr="00CC6CA3">
              <w:rPr>
                <w:sz w:val="20"/>
                <w:szCs w:val="20"/>
              </w:rPr>
              <w:t>800</w:t>
            </w:r>
          </w:p>
        </w:tc>
      </w:tr>
      <w:tr w:rsidR="00CC6CA3" w:rsidRPr="00CC6CA3" w14:paraId="70F1A1D9"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9649A7F"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Radial Vibration Overall X1</w:t>
            </w:r>
          </w:p>
        </w:tc>
        <w:tc>
          <w:tcPr>
            <w:tcW w:w="1999" w:type="dxa"/>
          </w:tcPr>
          <w:p w14:paraId="5387F0F9"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21345D72" w14:textId="7552869B"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-0.37740</w:t>
            </w:r>
          </w:p>
        </w:tc>
      </w:tr>
      <w:tr w:rsidR="00CC6CA3" w:rsidRPr="00CC6CA3" w14:paraId="07D8CCCB" w14:textId="77777777" w:rsidTr="006E44DD">
        <w:tc>
          <w:tcPr>
            <w:cnfStyle w:val="001000000000" w:firstRow="0" w:lastRow="0" w:firstColumn="1" w:lastColumn="0" w:oddVBand="0" w:evenVBand="0" w:oddHBand="0" w:evenHBand="0" w:firstRowFirstColumn="0" w:firstRowLastColumn="0" w:lastRowFirstColumn="0" w:lastRowLastColumn="0"/>
            <w:tcW w:w="3823" w:type="dxa"/>
          </w:tcPr>
          <w:p w14:paraId="00DAEDF5"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Radial Vibration Overall Y1</w:t>
            </w:r>
          </w:p>
        </w:tc>
        <w:tc>
          <w:tcPr>
            <w:tcW w:w="1999" w:type="dxa"/>
          </w:tcPr>
          <w:p w14:paraId="69E787AC"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659" w:type="dxa"/>
          </w:tcPr>
          <w:p w14:paraId="724CD01D" w14:textId="5B0F2D3D"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0.23295</w:t>
            </w:r>
          </w:p>
        </w:tc>
      </w:tr>
      <w:tr w:rsidR="00CC6CA3" w:rsidRPr="00CC6CA3" w14:paraId="5A6D2FC4"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3353CB9"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Radial Bearing Temperature 2</w:t>
            </w:r>
          </w:p>
        </w:tc>
        <w:tc>
          <w:tcPr>
            <w:tcW w:w="1999" w:type="dxa"/>
          </w:tcPr>
          <w:p w14:paraId="4C6748CB"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31606771" w14:textId="7B6E71D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-0.0662</w:t>
            </w:r>
            <w:r w:rsidR="006E44DD" w:rsidRPr="00CC6CA3">
              <w:rPr>
                <w:sz w:val="20"/>
                <w:szCs w:val="20"/>
              </w:rPr>
              <w:t>7</w:t>
            </w:r>
          </w:p>
        </w:tc>
      </w:tr>
      <w:tr w:rsidR="00CC6CA3" w:rsidRPr="00CC6CA3" w14:paraId="454E229E" w14:textId="77777777" w:rsidTr="006E44DD">
        <w:tc>
          <w:tcPr>
            <w:cnfStyle w:val="001000000000" w:firstRow="0" w:lastRow="0" w:firstColumn="1" w:lastColumn="0" w:oddVBand="0" w:evenVBand="0" w:oddHBand="0" w:evenHBand="0" w:firstRowFirstColumn="0" w:firstRowLastColumn="0" w:lastRowFirstColumn="0" w:lastRowLastColumn="0"/>
            <w:tcW w:w="3823" w:type="dxa"/>
          </w:tcPr>
          <w:p w14:paraId="29CE6A9D"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Thrust Position Axial Probe1</w:t>
            </w:r>
          </w:p>
        </w:tc>
        <w:tc>
          <w:tcPr>
            <w:tcW w:w="1999" w:type="dxa"/>
          </w:tcPr>
          <w:p w14:paraId="6EDCDEE7"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659" w:type="dxa"/>
          </w:tcPr>
          <w:p w14:paraId="2A6023E7" w14:textId="4D2A7C98"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-0.10606</w:t>
            </w:r>
          </w:p>
        </w:tc>
      </w:tr>
      <w:tr w:rsidR="00CC6CA3" w:rsidRPr="00CC6CA3" w14:paraId="61703F4D"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192EF19"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Thrust Position Axial Probe 2</w:t>
            </w:r>
          </w:p>
        </w:tc>
        <w:tc>
          <w:tcPr>
            <w:tcW w:w="1999" w:type="dxa"/>
          </w:tcPr>
          <w:p w14:paraId="5CEB7AE8"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50D6F48A" w14:textId="21D03FC0"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0.2154</w:t>
            </w:r>
            <w:r w:rsidR="006E44DD" w:rsidRPr="00CC6CA3">
              <w:rPr>
                <w:sz w:val="20"/>
                <w:szCs w:val="20"/>
              </w:rPr>
              <w:t>8</w:t>
            </w:r>
          </w:p>
        </w:tc>
      </w:tr>
      <w:tr w:rsidR="00CC6CA3" w:rsidRPr="00CC6CA3" w14:paraId="50527155" w14:textId="77777777" w:rsidTr="006E44DD">
        <w:tc>
          <w:tcPr>
            <w:cnfStyle w:val="001000000000" w:firstRow="0" w:lastRow="0" w:firstColumn="1" w:lastColumn="0" w:oddVBand="0" w:evenVBand="0" w:oddHBand="0" w:evenHBand="0" w:firstRowFirstColumn="0" w:firstRowLastColumn="0" w:lastRowFirstColumn="0" w:lastRowLastColumn="0"/>
            <w:tcW w:w="3823" w:type="dxa"/>
          </w:tcPr>
          <w:p w14:paraId="2A395FC4"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Active Thrust Bearing Temperature 1</w:t>
            </w:r>
          </w:p>
        </w:tc>
        <w:tc>
          <w:tcPr>
            <w:tcW w:w="1999" w:type="dxa"/>
          </w:tcPr>
          <w:p w14:paraId="761BA02A"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659" w:type="dxa"/>
          </w:tcPr>
          <w:p w14:paraId="1CDC73C8" w14:textId="3201629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-0.0320</w:t>
            </w:r>
            <w:r w:rsidR="006E44DD" w:rsidRPr="00CC6CA3">
              <w:rPr>
                <w:sz w:val="20"/>
                <w:szCs w:val="20"/>
              </w:rPr>
              <w:t>1</w:t>
            </w:r>
          </w:p>
        </w:tc>
      </w:tr>
      <w:tr w:rsidR="00CC6CA3" w:rsidRPr="00CC6CA3" w14:paraId="6622CA99" w14:textId="77777777" w:rsidTr="006E44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05D2B422" w14:textId="77777777" w:rsidR="006A68D6" w:rsidRPr="00CC6CA3" w:rsidRDefault="006A68D6" w:rsidP="00F632C0">
            <w:pPr>
              <w:pStyle w:val="Body"/>
              <w:spacing w:after="0" w:line="240" w:lineRule="auto"/>
              <w:rPr>
                <w:b w:val="0"/>
                <w:bCs w:val="0"/>
                <w:sz w:val="20"/>
                <w:szCs w:val="20"/>
              </w:rPr>
            </w:pPr>
            <w:r w:rsidRPr="00CC6CA3">
              <w:rPr>
                <w:rFonts w:cs="Times New Roman"/>
                <w:sz w:val="20"/>
                <w:szCs w:val="20"/>
              </w:rPr>
              <w:t>Inactive Thrust Bearing Temperature 1</w:t>
            </w:r>
          </w:p>
        </w:tc>
        <w:tc>
          <w:tcPr>
            <w:tcW w:w="1999" w:type="dxa"/>
          </w:tcPr>
          <w:p w14:paraId="7F551F31"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659" w:type="dxa"/>
          </w:tcPr>
          <w:p w14:paraId="7F9A8665" w14:textId="57125065"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-0.70387</w:t>
            </w:r>
          </w:p>
        </w:tc>
      </w:tr>
    </w:tbl>
    <w:p w14:paraId="5FC33DCD" w14:textId="7B74ED02" w:rsidR="006A68D6" w:rsidRPr="00CC6CA3" w:rsidRDefault="006A68D6" w:rsidP="006E44DD">
      <w:pPr>
        <w:spacing w:before="120"/>
      </w:pPr>
      <w:r w:rsidRPr="00CC6CA3">
        <w:t xml:space="preserve">Applying the </w:t>
      </w:r>
      <w:r w:rsidRPr="00CC6CA3">
        <w:rPr>
          <w:rFonts w:cs="Times New Roman"/>
          <w:iCs/>
          <w:szCs w:val="24"/>
        </w:rPr>
        <w:t>values</w:t>
      </w:r>
      <w:r w:rsidRPr="00CC6CA3">
        <w:t xml:space="preserve"> in </w:t>
      </w:r>
      <w:r w:rsidRPr="00CC6CA3">
        <w:fldChar w:fldCharType="begin"/>
      </w:r>
      <w:r w:rsidRPr="00CC6CA3">
        <w:instrText xml:space="preserve"> REF _Ref41942737 \h </w:instrText>
      </w:r>
      <w:r w:rsidRPr="00CC6CA3">
        <w:fldChar w:fldCharType="separate"/>
      </w:r>
      <w:r w:rsidR="001906D9" w:rsidRPr="00CC6CA3">
        <w:t xml:space="preserve">Table </w:t>
      </w:r>
      <w:r w:rsidR="001906D9" w:rsidRPr="00CC6CA3">
        <w:rPr>
          <w:noProof/>
        </w:rPr>
        <w:t>5</w:t>
      </w:r>
      <w:r w:rsidR="001906D9" w:rsidRPr="00CC6CA3">
        <w:t>.</w:t>
      </w:r>
      <w:r w:rsidR="001906D9" w:rsidRPr="00CC6CA3">
        <w:rPr>
          <w:noProof/>
        </w:rPr>
        <w:t>2</w:t>
      </w:r>
      <w:r w:rsidRPr="00CC6CA3">
        <w:fldChar w:fldCharType="end"/>
      </w:r>
      <w:r w:rsidRPr="00CC6CA3">
        <w:t xml:space="preserve"> into Equation </w:t>
      </w:r>
      <w:r w:rsidRPr="00CC6CA3">
        <w:fldChar w:fldCharType="begin"/>
      </w:r>
      <w:r w:rsidRPr="00CC6CA3">
        <w:instrText xml:space="preserve"> REF _Ref41943482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12</w:t>
      </w:r>
      <w:r w:rsidR="001906D9" w:rsidRPr="00CC6CA3">
        <w:rPr>
          <w:rFonts w:cs="Times New Roman"/>
          <w:sz w:val="26"/>
          <w:szCs w:val="26"/>
        </w:rPr>
        <w:t>)</w:t>
      </w:r>
      <w:r w:rsidRPr="00CC6CA3">
        <w:fldChar w:fldCharType="end"/>
      </w:r>
      <w:r w:rsidRPr="00CC6CA3">
        <w:t xml:space="preserve"> and </w:t>
      </w:r>
      <w:r w:rsidRPr="00CC6CA3">
        <w:fldChar w:fldCharType="begin"/>
      </w:r>
      <w:r w:rsidRPr="00CC6CA3">
        <w:instrText xml:space="preserve"> REF _Ref43370046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13</w:t>
      </w:r>
      <w:r w:rsidR="001906D9" w:rsidRPr="00CC6CA3">
        <w:rPr>
          <w:rFonts w:cs="Times New Roman"/>
          <w:sz w:val="26"/>
          <w:szCs w:val="26"/>
        </w:rPr>
        <w:t>)</w:t>
      </w:r>
      <w:r w:rsidRPr="00CC6CA3">
        <w:fldChar w:fldCharType="end"/>
      </w:r>
      <w:r w:rsidRPr="00CC6CA3">
        <w:t xml:space="preserve">, </w:t>
      </w:r>
      <w:r w:rsidR="006E44DD" w:rsidRPr="00CC6CA3">
        <w:t>the severity score of a fault happening in the pump system can be obtained, and the fault consequence are presented in</w:t>
      </w:r>
      <w:r w:rsidRPr="00CC6CA3">
        <w:t xml:space="preserve"> </w:t>
      </w:r>
      <w:r w:rsidRPr="00CC6CA3">
        <w:fldChar w:fldCharType="begin"/>
      </w:r>
      <w:r w:rsidRPr="00CC6CA3">
        <w:instrText xml:space="preserve"> REF _Ref63576777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4</w:t>
      </w:r>
      <w:r w:rsidRPr="00CC6CA3">
        <w:fldChar w:fldCharType="end"/>
      </w:r>
      <w:r w:rsidRPr="00CC6CA3">
        <w:t>.</w:t>
      </w:r>
    </w:p>
    <w:p w14:paraId="6026C2BA" w14:textId="77777777" w:rsidR="006A68D6" w:rsidRPr="00CC6CA3" w:rsidRDefault="006A68D6" w:rsidP="006A68D6">
      <w:pPr>
        <w:keepNext/>
        <w:jc w:val="center"/>
      </w:pPr>
      <w:r w:rsidRPr="00CC6CA3">
        <w:rPr>
          <w:noProof/>
        </w:rPr>
        <w:drawing>
          <wp:inline distT="0" distB="0" distL="0" distR="0" wp14:anchorId="271031E7" wp14:editId="33573865">
            <wp:extent cx="4752000" cy="1975512"/>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52000" cy="1975512"/>
                    </a:xfrm>
                    <a:prstGeom prst="rect">
                      <a:avLst/>
                    </a:prstGeom>
                    <a:noFill/>
                  </pic:spPr>
                </pic:pic>
              </a:graphicData>
            </a:graphic>
          </wp:inline>
        </w:drawing>
      </w:r>
    </w:p>
    <w:p w14:paraId="4A0950EE" w14:textId="3770B983" w:rsidR="006A68D6" w:rsidRPr="00CC6CA3" w:rsidRDefault="006A68D6" w:rsidP="006A68D6">
      <w:pPr>
        <w:pStyle w:val="Caption"/>
        <w:jc w:val="center"/>
      </w:pPr>
      <w:bookmarkStart w:id="479" w:name="_Ref63576777"/>
      <w:bookmarkStart w:id="480" w:name="_Toc8155343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4</w:t>
      </w:r>
      <w:r w:rsidR="00D62691" w:rsidRPr="00CC6CA3">
        <w:rPr>
          <w:noProof/>
        </w:rPr>
        <w:fldChar w:fldCharType="end"/>
      </w:r>
      <w:bookmarkEnd w:id="479"/>
      <w:r w:rsidRPr="00CC6CA3">
        <w:t xml:space="preserve"> Severity </w:t>
      </w:r>
      <w:r w:rsidR="006E44DD" w:rsidRPr="00CC6CA3">
        <w:rPr>
          <w:szCs w:val="20"/>
        </w:rPr>
        <w:t xml:space="preserve">score of a fault happening in the pump system in Case </w:t>
      </w:r>
      <w:r w:rsidRPr="00CC6CA3">
        <w:t>1</w:t>
      </w:r>
      <w:bookmarkEnd w:id="480"/>
    </w:p>
    <w:p w14:paraId="6272A1DC" w14:textId="122F196A" w:rsidR="006A68D6" w:rsidRPr="00CC6CA3" w:rsidRDefault="00AE15D7" w:rsidP="006A68D6">
      <w:pPr>
        <w:spacing w:before="120"/>
      </w:pPr>
      <w:r w:rsidRPr="00CC6CA3">
        <w:lastRenderedPageBreak/>
        <w:t xml:space="preserve">The </w:t>
      </w:r>
      <w:r w:rsidRPr="00CC6CA3">
        <w:rPr>
          <w:rFonts w:cs="Times New Roman"/>
          <w:iCs/>
          <w:szCs w:val="24"/>
        </w:rPr>
        <w:t>system</w:t>
      </w:r>
      <w:r w:rsidRPr="00CC6CA3">
        <w:t xml:space="preserve"> health indicator of the pump (risk) which is the product of </w:t>
      </w:r>
      <w:proofErr w:type="gramStart"/>
      <w:r w:rsidRPr="00CC6CA3">
        <w:t>severity</w:t>
      </w:r>
      <w:proofErr w:type="gramEnd"/>
      <w:r w:rsidRPr="00CC6CA3">
        <w:t xml:space="preserve"> and the probability of fault was plotted in</w:t>
      </w:r>
      <w:r w:rsidR="006A68D6" w:rsidRPr="00CC6CA3">
        <w:t xml:space="preserve"> </w:t>
      </w:r>
      <w:r w:rsidR="006A68D6" w:rsidRPr="00CC6CA3">
        <w:fldChar w:fldCharType="begin"/>
      </w:r>
      <w:r w:rsidR="006A68D6" w:rsidRPr="00CC6CA3">
        <w:instrText xml:space="preserve"> REF _Ref41443190 \h  \* MERGEFORMAT </w:instrText>
      </w:r>
      <w:r w:rsidR="006A68D6" w:rsidRPr="00CC6CA3">
        <w:fldChar w:fldCharType="separate"/>
      </w:r>
      <w:r w:rsidR="001906D9" w:rsidRPr="00CC6CA3">
        <w:t>Figure 5.5</w:t>
      </w:r>
      <w:r w:rsidR="006A68D6" w:rsidRPr="00CC6CA3">
        <w:fldChar w:fldCharType="end"/>
      </w:r>
      <w:r w:rsidRPr="00CC6CA3">
        <w:t>,</w:t>
      </w:r>
      <w:r w:rsidR="006A68D6" w:rsidRPr="00CC6CA3">
        <w:t xml:space="preserve"> </w:t>
      </w:r>
      <w:r w:rsidRPr="00CC6CA3">
        <w:t>which shows the risk profile calculated for the first principal component</w:t>
      </w:r>
      <w:r w:rsidR="006A68D6" w:rsidRPr="00CC6CA3">
        <w:t>.</w:t>
      </w:r>
    </w:p>
    <w:p w14:paraId="62B8683C" w14:textId="77777777" w:rsidR="006A68D6" w:rsidRPr="00CC6CA3" w:rsidRDefault="006A68D6" w:rsidP="006A68D6">
      <w:pPr>
        <w:keepNext/>
        <w:jc w:val="center"/>
      </w:pPr>
      <w:r w:rsidRPr="00CC6CA3">
        <w:rPr>
          <w:noProof/>
        </w:rPr>
        <w:drawing>
          <wp:inline distT="0" distB="0" distL="0" distR="0" wp14:anchorId="341B4D7D" wp14:editId="1678833D">
            <wp:extent cx="4752000" cy="2378641"/>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52000" cy="2378641"/>
                    </a:xfrm>
                    <a:prstGeom prst="rect">
                      <a:avLst/>
                    </a:prstGeom>
                    <a:noFill/>
                  </pic:spPr>
                </pic:pic>
              </a:graphicData>
            </a:graphic>
          </wp:inline>
        </w:drawing>
      </w:r>
    </w:p>
    <w:p w14:paraId="5783B48A" w14:textId="64309C33" w:rsidR="006A68D6" w:rsidRPr="00CC6CA3" w:rsidRDefault="006A68D6" w:rsidP="006A68D6">
      <w:pPr>
        <w:pStyle w:val="Caption"/>
        <w:jc w:val="center"/>
        <w:rPr>
          <w:rFonts w:cs="Times New Roman"/>
          <w:sz w:val="24"/>
          <w:szCs w:val="24"/>
        </w:rPr>
      </w:pPr>
      <w:bookmarkStart w:id="481" w:name="_Ref41443190"/>
      <w:bookmarkStart w:id="482" w:name="_Toc8155343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5</w:t>
      </w:r>
      <w:r w:rsidR="00D62691" w:rsidRPr="00CC6CA3">
        <w:rPr>
          <w:noProof/>
        </w:rPr>
        <w:fldChar w:fldCharType="end"/>
      </w:r>
      <w:bookmarkEnd w:id="481"/>
      <w:r w:rsidRPr="00CC6CA3">
        <w:t xml:space="preserve"> Risk profile of the pump using the first principal component.</w:t>
      </w:r>
      <w:bookmarkEnd w:id="482"/>
    </w:p>
    <w:p w14:paraId="72B1FDCD" w14:textId="5EE0C87D" w:rsidR="006A68D6" w:rsidRPr="00CC6CA3" w:rsidRDefault="006A68D6" w:rsidP="006A68D6">
      <w:pPr>
        <w:spacing w:before="120"/>
      </w:pPr>
      <w:r w:rsidRPr="00CC6CA3">
        <w:t xml:space="preserve">The threshold that closes to the bottom in </w:t>
      </w:r>
      <w:r w:rsidRPr="00CC6CA3">
        <w:fldChar w:fldCharType="begin"/>
      </w:r>
      <w:r w:rsidRPr="00CC6CA3">
        <w:instrText xml:space="preserve"> REF _Ref41443190 \h  \* MERGEFORMAT </w:instrText>
      </w:r>
      <w:r w:rsidRPr="00CC6CA3">
        <w:fldChar w:fldCharType="separate"/>
      </w:r>
      <w:r w:rsidR="001906D9" w:rsidRPr="00CC6CA3">
        <w:t>Figure 5.5</w:t>
      </w:r>
      <w:r w:rsidRPr="00CC6CA3">
        <w:fldChar w:fldCharType="end"/>
      </w:r>
      <w:r w:rsidRPr="00CC6CA3">
        <w:t xml:space="preserve"> was the fault detection threshold. This threshold was calculated using Equation </w:t>
      </w:r>
      <w:r w:rsidRPr="00CC6CA3">
        <w:fldChar w:fldCharType="begin"/>
      </w:r>
      <w:r w:rsidRPr="00CC6CA3">
        <w:instrText xml:space="preserve"> REF _Ref43471893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5</w:t>
      </w:r>
      <w:r w:rsidR="001906D9" w:rsidRPr="00CC6CA3">
        <w:t>)</w:t>
      </w:r>
      <w:r w:rsidRPr="00CC6CA3">
        <w:fldChar w:fldCharType="end"/>
      </w:r>
      <w:r w:rsidRPr="00CC6CA3">
        <w:t xml:space="preserve"> with </w:t>
      </w:r>
      <m:oMath>
        <m:r>
          <m:rPr>
            <m:sty m:val="p"/>
          </m:rPr>
          <w:rPr>
            <w:rFonts w:ascii="Cambria Math" w:hAnsi="Cambria Math"/>
          </w:rPr>
          <m:t>POF=0.5</m:t>
        </m:r>
      </m:oMath>
      <w:r w:rsidRPr="00CC6CA3">
        <w:t xml:space="preserve">. </w:t>
      </w:r>
      <w:r w:rsidR="003C6042" w:rsidRPr="00CC6CA3">
        <w:t xml:space="preserve">This threshold suggests the operators </w:t>
      </w:r>
      <w:proofErr w:type="gramStart"/>
      <w:r w:rsidR="003C6042" w:rsidRPr="00CC6CA3">
        <w:t>make an inspection</w:t>
      </w:r>
      <w:proofErr w:type="gramEnd"/>
      <w:r w:rsidR="003C6042" w:rsidRPr="00CC6CA3">
        <w:t xml:space="preserve"> or other scheduled response to avoid system failure</w:t>
      </w:r>
      <w:r w:rsidRPr="00CC6CA3">
        <w:t xml:space="preserve">. </w:t>
      </w:r>
      <w:r w:rsidR="008C123A" w:rsidRPr="00CC6CA3">
        <w:t>The shutdown threshold is for system protection</w:t>
      </w:r>
      <w:r w:rsidRPr="00CC6CA3">
        <w:t xml:space="preserve">. </w:t>
      </w:r>
      <w:r w:rsidR="0083423D" w:rsidRPr="00CC6CA3">
        <w:t xml:space="preserve">If no inspection and/or maintenance was carried out after the risk crossed the fault detection threshold, or the maintenance actions failed to reduce the risk, then the risk would be expected to increase until it exceeded the shutdown threshold, activating the safety system to shut the pump down. These thresholds are set based on acceptable risk criteria for the specific processes. </w:t>
      </w:r>
      <w:r w:rsidR="0083423D" w:rsidRPr="00CC6CA3">
        <w:rPr>
          <w:rFonts w:hint="eastAsia"/>
        </w:rPr>
        <w:t>T</w:t>
      </w:r>
      <w:r w:rsidR="0083423D" w:rsidRPr="00CC6CA3">
        <w:t>here are few guiding principles for calculating acceptable risk in process operations</w:t>
      </w:r>
      <w:r w:rsidRPr="00CC6CA3">
        <w:t xml:space="preserve">. This threshold could be set by experts with consideration of the specific requirements of a company. In reference </w:t>
      </w:r>
      <w:r w:rsidRPr="00CC6CA3">
        <w:fldChar w:fldCharType="begin"/>
      </w:r>
      <w:r w:rsidR="007D1BCC" w:rsidRPr="00CC6CA3">
        <w:instrText xml:space="preserve"> ADDIN ZOTERO_ITEM CSL_CITATION {"citationID":"l4jDrUYE","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the shutdown threshold was ten times higher than the fault detection threshold. As can be seen in </w:t>
      </w:r>
      <w:r w:rsidRPr="00CC6CA3">
        <w:fldChar w:fldCharType="begin"/>
      </w:r>
      <w:r w:rsidRPr="00CC6CA3">
        <w:instrText xml:space="preserve"> REF _Ref41443190 \h  \* MERGEFORMAT </w:instrText>
      </w:r>
      <w:r w:rsidRPr="00CC6CA3">
        <w:fldChar w:fldCharType="separate"/>
      </w:r>
      <w:r w:rsidR="001906D9" w:rsidRPr="00CC6CA3">
        <w:t>Figure 5.5</w:t>
      </w:r>
      <w:r w:rsidRPr="00CC6CA3">
        <w:fldChar w:fldCharType="end"/>
      </w:r>
      <w:r w:rsidRPr="00CC6CA3">
        <w:t xml:space="preserve">, in our case, the company did not take any </w:t>
      </w:r>
      <w:r w:rsidR="00AE15D7" w:rsidRPr="00CC6CA3">
        <w:t xml:space="preserve">remedial actions </w:t>
      </w:r>
      <w:r w:rsidRPr="00CC6CA3">
        <w:t>to inspect the pump, and the risk kept growing. The company shut down the pump 6 hours later than the suggested time</w:t>
      </w:r>
      <w:r w:rsidR="00AE15D7" w:rsidRPr="00CC6CA3">
        <w:t xml:space="preserve"> by </w:t>
      </w:r>
      <w:r w:rsidR="00AE15D7" w:rsidRPr="00CC6CA3">
        <w:fldChar w:fldCharType="begin"/>
      </w:r>
      <w:r w:rsidR="00AE15D7" w:rsidRPr="00CC6CA3">
        <w:instrText xml:space="preserve"> REF _Ref41443190 \h  \* MERGEFORMAT </w:instrText>
      </w:r>
      <w:r w:rsidR="00AE15D7" w:rsidRPr="00CC6CA3">
        <w:fldChar w:fldCharType="separate"/>
      </w:r>
      <w:r w:rsidR="001906D9" w:rsidRPr="00CC6CA3">
        <w:t>Figure 5.5</w:t>
      </w:r>
      <w:r w:rsidR="00AE15D7" w:rsidRPr="00CC6CA3">
        <w:fldChar w:fldCharType="end"/>
      </w:r>
      <w:r w:rsidRPr="00CC6CA3">
        <w:t>.</w:t>
      </w:r>
    </w:p>
    <w:p w14:paraId="3162A25A" w14:textId="6A84E8F5" w:rsidR="006A68D6" w:rsidRPr="00CC6CA3" w:rsidRDefault="006A68D6" w:rsidP="00C579DD">
      <w:pPr>
        <w:pStyle w:val="Heading4"/>
        <w:rPr>
          <w:lang w:val="en-US"/>
        </w:rPr>
      </w:pPr>
      <w:r w:rsidRPr="00CC6CA3">
        <w:rPr>
          <w:lang w:val="en-US"/>
        </w:rPr>
        <w:t>Case 2</w:t>
      </w:r>
      <w:r w:rsidR="005B2617" w:rsidRPr="00CC6CA3">
        <w:t>: misalignment fault and pump bearing fault</w:t>
      </w:r>
    </w:p>
    <w:p w14:paraId="2FFB1A5B" w14:textId="7C6C2E30" w:rsidR="006A68D6" w:rsidRPr="00CC6CA3" w:rsidRDefault="0083423D" w:rsidP="006A68D6">
      <w:r w:rsidRPr="00CC6CA3">
        <w:t xml:space="preserve">The data used in this </w:t>
      </w:r>
      <w:r w:rsidRPr="00CC6CA3">
        <w:rPr>
          <w:rFonts w:hint="eastAsia"/>
        </w:rPr>
        <w:t>case</w:t>
      </w:r>
      <w:r w:rsidRPr="00CC6CA3">
        <w:t xml:space="preserve"> study was obtained from the </w:t>
      </w:r>
      <w:r w:rsidRPr="00CC6CA3">
        <w:rPr>
          <w:rFonts w:hint="eastAsia"/>
        </w:rPr>
        <w:t>same</w:t>
      </w:r>
      <w:r w:rsidRPr="00CC6CA3">
        <w:t xml:space="preserve"> pump as in Case 1. The dataset contained 15 continuous measurements as listed </w:t>
      </w:r>
      <w:r w:rsidRPr="00CC6CA3">
        <w:rPr>
          <w:rFonts w:hint="eastAsia"/>
        </w:rPr>
        <w:t>in</w:t>
      </w:r>
      <w:r w:rsidR="006A68D6" w:rsidRPr="00CC6CA3">
        <w:t xml:space="preserve"> Table 3-1. </w:t>
      </w:r>
    </w:p>
    <w:p w14:paraId="4F2EEFB9" w14:textId="60CCCDAC" w:rsidR="006A68D6" w:rsidRPr="00CC6CA3" w:rsidRDefault="005D7069" w:rsidP="006A68D6">
      <w:r w:rsidRPr="00CC6CA3">
        <w:lastRenderedPageBreak/>
        <w:t xml:space="preserve">PCA was applied on the 15 measurements </w:t>
      </w:r>
      <w:r w:rsidRPr="00CC6CA3">
        <w:rPr>
          <w:rFonts w:hint="eastAsia"/>
        </w:rPr>
        <w:t>after</w:t>
      </w:r>
      <w:r w:rsidRPr="00CC6CA3">
        <w:t xml:space="preserve"> data pre-processing and standardisation. In this case study, the training data was selected for the ten months period from 1</w:t>
      </w:r>
      <w:r w:rsidRPr="00CC6CA3">
        <w:rPr>
          <w:vertAlign w:val="superscript"/>
        </w:rPr>
        <w:t>st</w:t>
      </w:r>
      <w:r w:rsidRPr="00CC6CA3">
        <w:t xml:space="preserve"> Sep 2015 to 11</w:t>
      </w:r>
      <w:r w:rsidRPr="00CC6CA3">
        <w:rPr>
          <w:vertAlign w:val="superscript"/>
        </w:rPr>
        <w:t>th</w:t>
      </w:r>
      <w:r w:rsidRPr="00CC6CA3">
        <w:t xml:space="preserve"> Ju1 2016, during which time there was no recorded damage to the pump. The health indicators were then used to assess the health condition after 12</w:t>
      </w:r>
      <w:r w:rsidRPr="00CC6CA3">
        <w:rPr>
          <w:vertAlign w:val="superscript"/>
        </w:rPr>
        <w:t xml:space="preserve">th </w:t>
      </w:r>
      <w:r w:rsidRPr="00CC6CA3">
        <w:t>Jul 2016. The training results are shown in</w:t>
      </w:r>
      <w:r w:rsidR="006A68D6" w:rsidRPr="00CC6CA3">
        <w:t xml:space="preserve"> </w:t>
      </w:r>
      <w:r w:rsidR="006A68D6" w:rsidRPr="00CC6CA3">
        <w:fldChar w:fldCharType="begin"/>
      </w:r>
      <w:r w:rsidR="006A68D6" w:rsidRPr="00CC6CA3">
        <w:instrText xml:space="preserve"> REF _Ref63587763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3</w:t>
      </w:r>
      <w:r w:rsidR="006A68D6" w:rsidRPr="00CC6CA3">
        <w:fldChar w:fldCharType="end"/>
      </w:r>
      <w:r w:rsidR="006A68D6" w:rsidRPr="00CC6CA3">
        <w:t xml:space="preserve">. </w:t>
      </w:r>
      <w:r w:rsidRPr="00CC6CA3">
        <w:t>As can be seen, the first four principal components captured over 90% of the total variation</w:t>
      </w:r>
      <w:r w:rsidR="006A68D6" w:rsidRPr="00CC6CA3">
        <w:t xml:space="preserve">. </w:t>
      </w:r>
    </w:p>
    <w:p w14:paraId="56AF5DCE" w14:textId="6ACDC1F1" w:rsidR="006A68D6" w:rsidRPr="00CC6CA3" w:rsidRDefault="006A68D6" w:rsidP="006A68D6">
      <w:pPr>
        <w:pStyle w:val="Caption"/>
        <w:keepNext/>
      </w:pPr>
      <w:bookmarkStart w:id="483" w:name="_Ref63587763"/>
      <w:bookmarkStart w:id="484" w:name="_Toc81553480"/>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3</w:t>
      </w:r>
      <w:r w:rsidR="00D62691" w:rsidRPr="00CC6CA3">
        <w:rPr>
          <w:noProof/>
        </w:rPr>
        <w:fldChar w:fldCharType="end"/>
      </w:r>
      <w:bookmarkEnd w:id="483"/>
      <w:r w:rsidRPr="00CC6CA3">
        <w:t xml:space="preserve"> Principal component analysis for </w:t>
      </w:r>
      <w:r w:rsidR="005D7069" w:rsidRPr="00CC6CA3">
        <w:t>C</w:t>
      </w:r>
      <w:r w:rsidRPr="00CC6CA3">
        <w:t>ase 2</w:t>
      </w:r>
      <w:bookmarkEnd w:id="484"/>
    </w:p>
    <w:tbl>
      <w:tblPr>
        <w:tblStyle w:val="PlainTable2"/>
        <w:tblW w:w="0" w:type="auto"/>
        <w:tblLook w:val="04A0" w:firstRow="1" w:lastRow="0" w:firstColumn="1" w:lastColumn="0" w:noHBand="0" w:noVBand="1"/>
        <w:tblCaption w:val=""/>
        <w:tblDescription w:val=""/>
      </w:tblPr>
      <w:tblGrid>
        <w:gridCol w:w="1502"/>
        <w:gridCol w:w="3256"/>
        <w:gridCol w:w="2896"/>
      </w:tblGrid>
      <w:tr w:rsidR="00CC6CA3" w:rsidRPr="00CC6CA3" w14:paraId="05F8E7E9" w14:textId="77777777" w:rsidTr="00F632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20AE7A42"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Number</w:t>
            </w:r>
          </w:p>
        </w:tc>
        <w:tc>
          <w:tcPr>
            <w:tcW w:w="3256" w:type="dxa"/>
            <w:hideMark/>
          </w:tcPr>
          <w:p w14:paraId="60950852" w14:textId="77777777" w:rsidR="006A68D6" w:rsidRPr="00CC6CA3" w:rsidRDefault="006A68D6" w:rsidP="00F632C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eastAsia="微软雅黑"/>
                <w:sz w:val="20"/>
                <w:szCs w:val="20"/>
              </w:rPr>
            </w:pPr>
            <w:r w:rsidRPr="00CC6CA3">
              <w:rPr>
                <w:rFonts w:eastAsia="微软雅黑"/>
                <w:sz w:val="20"/>
                <w:szCs w:val="20"/>
              </w:rPr>
              <w:t xml:space="preserve">% </w:t>
            </w:r>
            <w:proofErr w:type="gramStart"/>
            <w:r w:rsidRPr="00CC6CA3">
              <w:rPr>
                <w:rFonts w:eastAsia="微软雅黑"/>
                <w:sz w:val="20"/>
                <w:szCs w:val="20"/>
              </w:rPr>
              <w:t>variance</w:t>
            </w:r>
            <w:proofErr w:type="gramEnd"/>
            <w:r w:rsidRPr="00CC6CA3">
              <w:rPr>
                <w:rFonts w:eastAsia="微软雅黑"/>
                <w:sz w:val="20"/>
                <w:szCs w:val="20"/>
              </w:rPr>
              <w:t xml:space="preserve"> captured for each principal component</w:t>
            </w:r>
          </w:p>
        </w:tc>
        <w:tc>
          <w:tcPr>
            <w:tcW w:w="2896" w:type="dxa"/>
            <w:hideMark/>
          </w:tcPr>
          <w:p w14:paraId="506D2388" w14:textId="77777777" w:rsidR="006A68D6" w:rsidRPr="00CC6CA3" w:rsidRDefault="006A68D6" w:rsidP="00F632C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eastAsia="微软雅黑"/>
                <w:sz w:val="20"/>
                <w:szCs w:val="20"/>
              </w:rPr>
            </w:pPr>
            <w:r w:rsidRPr="00CC6CA3">
              <w:rPr>
                <w:rFonts w:eastAsia="微软雅黑"/>
                <w:sz w:val="20"/>
                <w:szCs w:val="20"/>
              </w:rPr>
              <w:t xml:space="preserve">% </w:t>
            </w:r>
            <w:proofErr w:type="gramStart"/>
            <w:r w:rsidRPr="00CC6CA3">
              <w:rPr>
                <w:rFonts w:eastAsia="微软雅黑"/>
                <w:sz w:val="20"/>
                <w:szCs w:val="20"/>
              </w:rPr>
              <w:t>variance</w:t>
            </w:r>
            <w:proofErr w:type="gramEnd"/>
            <w:r w:rsidRPr="00CC6CA3">
              <w:rPr>
                <w:rFonts w:eastAsia="微软雅黑"/>
                <w:sz w:val="20"/>
                <w:szCs w:val="20"/>
              </w:rPr>
              <w:t xml:space="preserve"> captured total</w:t>
            </w:r>
          </w:p>
        </w:tc>
      </w:tr>
      <w:tr w:rsidR="00CC6CA3" w:rsidRPr="00CC6CA3" w14:paraId="66B55435"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38E57E68"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1</w:t>
            </w:r>
          </w:p>
        </w:tc>
        <w:tc>
          <w:tcPr>
            <w:tcW w:w="3256" w:type="dxa"/>
            <w:hideMark/>
          </w:tcPr>
          <w:p w14:paraId="572F2E6D"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56.18</w:t>
            </w:r>
          </w:p>
        </w:tc>
        <w:tc>
          <w:tcPr>
            <w:tcW w:w="2896" w:type="dxa"/>
            <w:hideMark/>
          </w:tcPr>
          <w:p w14:paraId="4814F2D9"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56.18</w:t>
            </w:r>
          </w:p>
        </w:tc>
      </w:tr>
      <w:tr w:rsidR="00CC6CA3" w:rsidRPr="00CC6CA3" w14:paraId="72D365F1" w14:textId="77777777" w:rsidTr="00F632C0">
        <w:tc>
          <w:tcPr>
            <w:cnfStyle w:val="001000000000" w:firstRow="0" w:lastRow="0" w:firstColumn="1" w:lastColumn="0" w:oddVBand="0" w:evenVBand="0" w:oddHBand="0" w:evenHBand="0" w:firstRowFirstColumn="0" w:firstRowLastColumn="0" w:lastRowFirstColumn="0" w:lastRowLastColumn="0"/>
            <w:tcW w:w="1502" w:type="dxa"/>
            <w:hideMark/>
          </w:tcPr>
          <w:p w14:paraId="556C6C3D"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2</w:t>
            </w:r>
          </w:p>
        </w:tc>
        <w:tc>
          <w:tcPr>
            <w:tcW w:w="3256" w:type="dxa"/>
            <w:hideMark/>
          </w:tcPr>
          <w:p w14:paraId="3B814B15"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24.91</w:t>
            </w:r>
          </w:p>
        </w:tc>
        <w:tc>
          <w:tcPr>
            <w:tcW w:w="2896" w:type="dxa"/>
            <w:hideMark/>
          </w:tcPr>
          <w:p w14:paraId="6A2A462F"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81.10</w:t>
            </w:r>
          </w:p>
        </w:tc>
      </w:tr>
      <w:tr w:rsidR="00CC6CA3" w:rsidRPr="00CC6CA3" w14:paraId="3B0CD576"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32FACBD5"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3</w:t>
            </w:r>
          </w:p>
        </w:tc>
        <w:tc>
          <w:tcPr>
            <w:tcW w:w="3256" w:type="dxa"/>
            <w:hideMark/>
          </w:tcPr>
          <w:p w14:paraId="5A6A78D4"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7.79</w:t>
            </w:r>
          </w:p>
        </w:tc>
        <w:tc>
          <w:tcPr>
            <w:tcW w:w="2896" w:type="dxa"/>
            <w:hideMark/>
          </w:tcPr>
          <w:p w14:paraId="41AA3DAC"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88.89</w:t>
            </w:r>
          </w:p>
        </w:tc>
      </w:tr>
      <w:tr w:rsidR="00CC6CA3" w:rsidRPr="00CC6CA3" w14:paraId="48703A1B" w14:textId="77777777" w:rsidTr="00F632C0">
        <w:tc>
          <w:tcPr>
            <w:cnfStyle w:val="001000000000" w:firstRow="0" w:lastRow="0" w:firstColumn="1" w:lastColumn="0" w:oddVBand="0" w:evenVBand="0" w:oddHBand="0" w:evenHBand="0" w:firstRowFirstColumn="0" w:firstRowLastColumn="0" w:lastRowFirstColumn="0" w:lastRowLastColumn="0"/>
            <w:tcW w:w="1502" w:type="dxa"/>
            <w:hideMark/>
          </w:tcPr>
          <w:p w14:paraId="7665F1DF"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4</w:t>
            </w:r>
          </w:p>
        </w:tc>
        <w:tc>
          <w:tcPr>
            <w:tcW w:w="3256" w:type="dxa"/>
            <w:hideMark/>
          </w:tcPr>
          <w:p w14:paraId="3FFCE854"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4.22</w:t>
            </w:r>
          </w:p>
        </w:tc>
        <w:tc>
          <w:tcPr>
            <w:tcW w:w="2896" w:type="dxa"/>
            <w:hideMark/>
          </w:tcPr>
          <w:p w14:paraId="6469C324"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93.11</w:t>
            </w:r>
          </w:p>
        </w:tc>
      </w:tr>
      <w:tr w:rsidR="00CC6CA3" w:rsidRPr="00CC6CA3" w14:paraId="18FE17DB"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14720B95"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5</w:t>
            </w:r>
          </w:p>
        </w:tc>
        <w:tc>
          <w:tcPr>
            <w:tcW w:w="3256" w:type="dxa"/>
            <w:hideMark/>
          </w:tcPr>
          <w:p w14:paraId="76330A93"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2.42</w:t>
            </w:r>
          </w:p>
        </w:tc>
        <w:tc>
          <w:tcPr>
            <w:tcW w:w="2896" w:type="dxa"/>
            <w:hideMark/>
          </w:tcPr>
          <w:p w14:paraId="1F299321"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95.54</w:t>
            </w:r>
          </w:p>
        </w:tc>
      </w:tr>
      <w:tr w:rsidR="00CC6CA3" w:rsidRPr="00CC6CA3" w14:paraId="20A03CF1" w14:textId="77777777" w:rsidTr="00F632C0">
        <w:tc>
          <w:tcPr>
            <w:cnfStyle w:val="001000000000" w:firstRow="0" w:lastRow="0" w:firstColumn="1" w:lastColumn="0" w:oddVBand="0" w:evenVBand="0" w:oddHBand="0" w:evenHBand="0" w:firstRowFirstColumn="0" w:firstRowLastColumn="0" w:lastRowFirstColumn="0" w:lastRowLastColumn="0"/>
            <w:tcW w:w="1502" w:type="dxa"/>
            <w:hideMark/>
          </w:tcPr>
          <w:p w14:paraId="66E5EF3E"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6</w:t>
            </w:r>
          </w:p>
        </w:tc>
        <w:tc>
          <w:tcPr>
            <w:tcW w:w="3256" w:type="dxa"/>
            <w:hideMark/>
          </w:tcPr>
          <w:p w14:paraId="1E1810B1"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1.59</w:t>
            </w:r>
          </w:p>
        </w:tc>
        <w:tc>
          <w:tcPr>
            <w:tcW w:w="2896" w:type="dxa"/>
            <w:hideMark/>
          </w:tcPr>
          <w:p w14:paraId="1C4510BF"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97.13</w:t>
            </w:r>
          </w:p>
        </w:tc>
      </w:tr>
      <w:tr w:rsidR="00CC6CA3" w:rsidRPr="00CC6CA3" w14:paraId="35DC7489"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Pr>
          <w:p w14:paraId="3E4E9CF4"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7</w:t>
            </w:r>
          </w:p>
        </w:tc>
        <w:tc>
          <w:tcPr>
            <w:tcW w:w="3256" w:type="dxa"/>
          </w:tcPr>
          <w:p w14:paraId="68E80758"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1.04</w:t>
            </w:r>
          </w:p>
        </w:tc>
        <w:tc>
          <w:tcPr>
            <w:tcW w:w="2896" w:type="dxa"/>
          </w:tcPr>
          <w:p w14:paraId="286E987B"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98.18</w:t>
            </w:r>
          </w:p>
        </w:tc>
      </w:tr>
      <w:tr w:rsidR="00CC6CA3" w:rsidRPr="00CC6CA3" w14:paraId="10488B10" w14:textId="77777777" w:rsidTr="00F632C0">
        <w:tc>
          <w:tcPr>
            <w:cnfStyle w:val="001000000000" w:firstRow="0" w:lastRow="0" w:firstColumn="1" w:lastColumn="0" w:oddVBand="0" w:evenVBand="0" w:oddHBand="0" w:evenHBand="0" w:firstRowFirstColumn="0" w:firstRowLastColumn="0" w:lastRowFirstColumn="0" w:lastRowLastColumn="0"/>
            <w:tcW w:w="1502" w:type="dxa"/>
          </w:tcPr>
          <w:p w14:paraId="656F7B0B"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8</w:t>
            </w:r>
          </w:p>
        </w:tc>
        <w:tc>
          <w:tcPr>
            <w:tcW w:w="3256" w:type="dxa"/>
          </w:tcPr>
          <w:p w14:paraId="00D03595"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0.53</w:t>
            </w:r>
          </w:p>
        </w:tc>
        <w:tc>
          <w:tcPr>
            <w:tcW w:w="2896" w:type="dxa"/>
          </w:tcPr>
          <w:p w14:paraId="4EA44DC6"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98.70</w:t>
            </w:r>
          </w:p>
        </w:tc>
      </w:tr>
      <w:tr w:rsidR="00CC6CA3" w:rsidRPr="00CC6CA3" w14:paraId="014AF813"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Pr>
          <w:p w14:paraId="4A0B937E"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9</w:t>
            </w:r>
          </w:p>
        </w:tc>
        <w:tc>
          <w:tcPr>
            <w:tcW w:w="3256" w:type="dxa"/>
          </w:tcPr>
          <w:p w14:paraId="392628D5"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0.39</w:t>
            </w:r>
          </w:p>
        </w:tc>
        <w:tc>
          <w:tcPr>
            <w:tcW w:w="2896" w:type="dxa"/>
          </w:tcPr>
          <w:p w14:paraId="07F947FA"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99.09</w:t>
            </w:r>
          </w:p>
        </w:tc>
      </w:tr>
      <w:tr w:rsidR="00CC6CA3" w:rsidRPr="00CC6CA3" w14:paraId="3DB0828C" w14:textId="77777777" w:rsidTr="00F632C0">
        <w:tc>
          <w:tcPr>
            <w:cnfStyle w:val="001000000000" w:firstRow="0" w:lastRow="0" w:firstColumn="1" w:lastColumn="0" w:oddVBand="0" w:evenVBand="0" w:oddHBand="0" w:evenHBand="0" w:firstRowFirstColumn="0" w:firstRowLastColumn="0" w:lastRowFirstColumn="0" w:lastRowLastColumn="0"/>
            <w:tcW w:w="1502" w:type="dxa"/>
          </w:tcPr>
          <w:p w14:paraId="341B917F"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10</w:t>
            </w:r>
          </w:p>
        </w:tc>
        <w:tc>
          <w:tcPr>
            <w:tcW w:w="3256" w:type="dxa"/>
          </w:tcPr>
          <w:p w14:paraId="20A98F81"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0.37</w:t>
            </w:r>
          </w:p>
        </w:tc>
        <w:tc>
          <w:tcPr>
            <w:tcW w:w="2896" w:type="dxa"/>
          </w:tcPr>
          <w:p w14:paraId="23F30917"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99.46</w:t>
            </w:r>
          </w:p>
        </w:tc>
      </w:tr>
    </w:tbl>
    <w:p w14:paraId="6C588ABA" w14:textId="77777777" w:rsidR="005D7069" w:rsidRPr="00CC6CA3" w:rsidRDefault="005D7069" w:rsidP="005D7069">
      <w:pPr>
        <w:spacing w:before="120"/>
      </w:pPr>
      <w:r w:rsidRPr="00CC6CA3">
        <w:t>As previously the principal component selected should be able to detect the fault at the earliest possible moment. However, there were two faults in this case, the first fault (misalignment) showed mainly on the 5</w:t>
      </w:r>
      <w:r w:rsidRPr="00CC6CA3">
        <w:rPr>
          <w:vertAlign w:val="superscript"/>
        </w:rPr>
        <w:t>th</w:t>
      </w:r>
      <w:r w:rsidRPr="00CC6CA3">
        <w:t xml:space="preserve"> principal component, and the second fault (a bearing fault) was present mainly on the 9</w:t>
      </w:r>
      <w:r w:rsidRPr="00CC6CA3">
        <w:rPr>
          <w:vertAlign w:val="superscript"/>
        </w:rPr>
        <w:t>th</w:t>
      </w:r>
      <w:r w:rsidRPr="00CC6CA3">
        <w:t xml:space="preserve"> principal component. Therefore, in this case, the 5</w:t>
      </w:r>
      <w:r w:rsidRPr="00CC6CA3">
        <w:rPr>
          <w:vertAlign w:val="superscript"/>
        </w:rPr>
        <w:t>th</w:t>
      </w:r>
      <w:r w:rsidRPr="00CC6CA3">
        <w:t xml:space="preserve"> and 9</w:t>
      </w:r>
      <w:r w:rsidRPr="00CC6CA3">
        <w:rPr>
          <w:vertAlign w:val="superscript"/>
        </w:rPr>
        <w:t>th</w:t>
      </w:r>
      <w:r w:rsidRPr="00CC6CA3">
        <w:t xml:space="preserve"> principal components were selected.</w:t>
      </w:r>
    </w:p>
    <w:p w14:paraId="3830998C" w14:textId="012B57CE" w:rsidR="006A68D6" w:rsidRPr="00CC6CA3" w:rsidRDefault="005D7069" w:rsidP="005D7069">
      <w:pPr>
        <w:spacing w:before="120"/>
      </w:pPr>
      <w:r w:rsidRPr="00CC6CA3">
        <w:t>Again, the prediction was carried out via linear regression (</w:t>
      </w: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1</m:t>
            </m:r>
          </m:sub>
        </m:sSub>
        <m:r>
          <w:rPr>
            <w:rFonts w:ascii="Cambria Math" w:hAnsi="Cambria Math"/>
          </w:rPr>
          <m:t>x</m:t>
        </m:r>
      </m:oMath>
      <w:r w:rsidRPr="00CC6CA3">
        <w:t xml:space="preserve">), with fifty points backwards used as training data to predict four points forward. </w:t>
      </w:r>
      <w:r w:rsidRPr="00CC6CA3">
        <w:rPr>
          <w:szCs w:val="20"/>
        </w:rPr>
        <w:t xml:space="preserve">The true values and predictions for the </w:t>
      </w:r>
      <w:r w:rsidRPr="00CC6CA3">
        <w:t>5</w:t>
      </w:r>
      <w:r w:rsidRPr="00CC6CA3">
        <w:rPr>
          <w:vertAlign w:val="superscript"/>
        </w:rPr>
        <w:t>th</w:t>
      </w:r>
      <w:r w:rsidRPr="00CC6CA3">
        <w:t xml:space="preserve"> and 9</w:t>
      </w:r>
      <w:r w:rsidRPr="00CC6CA3">
        <w:rPr>
          <w:vertAlign w:val="superscript"/>
        </w:rPr>
        <w:t>th</w:t>
      </w:r>
      <w:r w:rsidRPr="00CC6CA3">
        <w:t xml:space="preserve"> </w:t>
      </w:r>
      <w:r w:rsidRPr="00CC6CA3">
        <w:rPr>
          <w:szCs w:val="20"/>
        </w:rPr>
        <w:t xml:space="preserve">order principal components can be seen in </w:t>
      </w:r>
      <w:r w:rsidR="006A68D6" w:rsidRPr="00CC6CA3">
        <w:rPr>
          <w:szCs w:val="20"/>
        </w:rPr>
        <w:fldChar w:fldCharType="begin"/>
      </w:r>
      <w:r w:rsidR="006A68D6" w:rsidRPr="00CC6CA3">
        <w:rPr>
          <w:szCs w:val="20"/>
        </w:rPr>
        <w:instrText xml:space="preserve"> REF _Ref63588665 \h </w:instrText>
      </w:r>
      <w:r w:rsidR="006A68D6" w:rsidRPr="00CC6CA3">
        <w:rPr>
          <w:szCs w:val="20"/>
        </w:rPr>
      </w:r>
      <w:r w:rsidR="006A68D6" w:rsidRPr="00CC6CA3">
        <w:rPr>
          <w:szCs w:val="20"/>
        </w:rPr>
        <w:fldChar w:fldCharType="separate"/>
      </w:r>
      <w:r w:rsidR="001906D9" w:rsidRPr="00CC6CA3">
        <w:t xml:space="preserve">Figure </w:t>
      </w:r>
      <w:r w:rsidR="001906D9" w:rsidRPr="00CC6CA3">
        <w:rPr>
          <w:noProof/>
        </w:rPr>
        <w:t>5</w:t>
      </w:r>
      <w:r w:rsidR="001906D9" w:rsidRPr="00CC6CA3">
        <w:t>.</w:t>
      </w:r>
      <w:r w:rsidR="001906D9" w:rsidRPr="00CC6CA3">
        <w:rPr>
          <w:noProof/>
        </w:rPr>
        <w:t>6</w:t>
      </w:r>
      <w:r w:rsidR="006A68D6" w:rsidRPr="00CC6CA3">
        <w:rPr>
          <w:szCs w:val="20"/>
        </w:rPr>
        <w:fldChar w:fldCharType="end"/>
      </w:r>
      <w:r w:rsidR="006A68D6" w:rsidRPr="00CC6CA3">
        <w:rPr>
          <w:szCs w:val="20"/>
        </w:rPr>
        <w:t xml:space="preserve"> (a) and (b), respectively. </w:t>
      </w:r>
    </w:p>
    <w:p w14:paraId="3B7F51DF" w14:textId="77777777" w:rsidR="006A68D6" w:rsidRPr="00CC6CA3" w:rsidRDefault="006A68D6" w:rsidP="006A68D6">
      <w:pPr>
        <w:keepNext/>
        <w:spacing w:before="120"/>
        <w:jc w:val="center"/>
      </w:pPr>
      <w:r w:rsidRPr="00CC6CA3">
        <w:rPr>
          <w:noProof/>
        </w:rPr>
        <w:lastRenderedPageBreak/>
        <w:drawing>
          <wp:inline distT="0" distB="0" distL="0" distR="0" wp14:anchorId="284F71EF" wp14:editId="0AD2AF33">
            <wp:extent cx="4752000" cy="3859753"/>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52000" cy="3859753"/>
                    </a:xfrm>
                    <a:prstGeom prst="rect">
                      <a:avLst/>
                    </a:prstGeom>
                    <a:noFill/>
                  </pic:spPr>
                </pic:pic>
              </a:graphicData>
            </a:graphic>
          </wp:inline>
        </w:drawing>
      </w:r>
    </w:p>
    <w:p w14:paraId="1E74B2D4" w14:textId="2DFD584C" w:rsidR="006A68D6" w:rsidRPr="00CC6CA3" w:rsidRDefault="006A68D6" w:rsidP="006A68D6">
      <w:pPr>
        <w:pStyle w:val="Caption"/>
        <w:jc w:val="center"/>
        <w:rPr>
          <w:szCs w:val="20"/>
        </w:rPr>
      </w:pPr>
      <w:bookmarkStart w:id="485" w:name="_Ref63588665"/>
      <w:bookmarkStart w:id="486" w:name="_Toc8155343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6</w:t>
      </w:r>
      <w:r w:rsidR="00D62691" w:rsidRPr="00CC6CA3">
        <w:rPr>
          <w:noProof/>
        </w:rPr>
        <w:fldChar w:fldCharType="end"/>
      </w:r>
      <w:bookmarkEnd w:id="485"/>
      <w:r w:rsidRPr="00CC6CA3">
        <w:t xml:space="preserve"> </w:t>
      </w:r>
      <w:r w:rsidRPr="00CC6CA3">
        <w:rPr>
          <w:szCs w:val="20"/>
        </w:rPr>
        <w:t xml:space="preserve">The </w:t>
      </w:r>
      <w:r w:rsidR="005D7069" w:rsidRPr="00CC6CA3">
        <w:rPr>
          <w:szCs w:val="22"/>
        </w:rPr>
        <w:t>true values and the predicted results of the principal components for Case 2</w:t>
      </w:r>
      <w:r w:rsidRPr="00CC6CA3">
        <w:rPr>
          <w:szCs w:val="20"/>
        </w:rPr>
        <w:t>, (a) the results for the 5</w:t>
      </w:r>
      <w:r w:rsidRPr="00CC6CA3">
        <w:rPr>
          <w:szCs w:val="20"/>
          <w:vertAlign w:val="superscript"/>
        </w:rPr>
        <w:t>th</w:t>
      </w:r>
      <w:r w:rsidRPr="00CC6CA3">
        <w:rPr>
          <w:szCs w:val="20"/>
        </w:rPr>
        <w:t xml:space="preserve"> principal component, (b) the results for the 9</w:t>
      </w:r>
      <w:r w:rsidRPr="00CC6CA3">
        <w:rPr>
          <w:szCs w:val="20"/>
          <w:vertAlign w:val="superscript"/>
        </w:rPr>
        <w:t>th</w:t>
      </w:r>
      <w:r w:rsidRPr="00CC6CA3">
        <w:rPr>
          <w:szCs w:val="20"/>
        </w:rPr>
        <w:t xml:space="preserve"> principal component.</w:t>
      </w:r>
      <w:bookmarkEnd w:id="486"/>
    </w:p>
    <w:p w14:paraId="7DFD282F" w14:textId="77977600" w:rsidR="006A68D6" w:rsidRPr="00CC6CA3" w:rsidRDefault="006A68D6" w:rsidP="006A68D6">
      <w:pPr>
        <w:spacing w:before="120"/>
      </w:pPr>
      <w:r w:rsidRPr="00CC6CA3">
        <w:t xml:space="preserve">The risk calculation has two parts: POF and severity calculation. POF is calculated based on Equation </w:t>
      </w:r>
      <w:r w:rsidRPr="00CC6CA3">
        <w:fldChar w:fldCharType="begin"/>
      </w:r>
      <w:r w:rsidRPr="00CC6CA3">
        <w:instrText xml:space="preserve"> REF _Ref43645084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10</w:t>
      </w:r>
      <w:r w:rsidR="001906D9" w:rsidRPr="00CC6CA3">
        <w:rPr>
          <w:rFonts w:cs="Times New Roman"/>
          <w:sz w:val="26"/>
          <w:szCs w:val="26"/>
        </w:rPr>
        <w:t>)</w:t>
      </w:r>
      <w:r w:rsidRPr="00CC6CA3">
        <w:fldChar w:fldCharType="end"/>
      </w:r>
      <w:r w:rsidRPr="00CC6CA3">
        <w:t xml:space="preserve"> and </w:t>
      </w:r>
      <w:r w:rsidRPr="00CC6CA3">
        <w:fldChar w:fldCharType="begin"/>
      </w:r>
      <w:r w:rsidRPr="00CC6CA3">
        <w:instrText xml:space="preserve"> REF _Ref41858185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11</w:t>
      </w:r>
      <w:r w:rsidR="001906D9" w:rsidRPr="00CC6CA3">
        <w:rPr>
          <w:rFonts w:cs="Times New Roman"/>
          <w:sz w:val="26"/>
          <w:szCs w:val="26"/>
        </w:rPr>
        <w:t>)</w:t>
      </w:r>
      <w:r w:rsidRPr="00CC6CA3">
        <w:fldChar w:fldCharType="end"/>
      </w:r>
      <w:r w:rsidRPr="00CC6CA3">
        <w:t xml:space="preserve">. The severity is another essential term in risk assessment, and it is estimated using Equation </w:t>
      </w:r>
      <w:r w:rsidRPr="00CC6CA3">
        <w:fldChar w:fldCharType="begin"/>
      </w:r>
      <w:r w:rsidRPr="00CC6CA3">
        <w:instrText xml:space="preserve"> REF _Ref41943482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12</w:t>
      </w:r>
      <w:r w:rsidR="001906D9" w:rsidRPr="00CC6CA3">
        <w:rPr>
          <w:rFonts w:cs="Times New Roman"/>
          <w:sz w:val="26"/>
          <w:szCs w:val="26"/>
        </w:rPr>
        <w:t>)</w:t>
      </w:r>
      <w:r w:rsidRPr="00CC6CA3">
        <w:fldChar w:fldCharType="end"/>
      </w:r>
      <w:r w:rsidRPr="00CC6CA3">
        <w:t xml:space="preserve"> and </w:t>
      </w:r>
      <w:r w:rsidRPr="00CC6CA3">
        <w:fldChar w:fldCharType="begin"/>
      </w:r>
      <w:r w:rsidRPr="00CC6CA3">
        <w:instrText xml:space="preserve"> REF _Ref43370046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13</w:t>
      </w:r>
      <w:r w:rsidR="001906D9" w:rsidRPr="00CC6CA3">
        <w:rPr>
          <w:rFonts w:cs="Times New Roman"/>
          <w:sz w:val="26"/>
          <w:szCs w:val="26"/>
        </w:rPr>
        <w:t>)</w:t>
      </w:r>
      <w:r w:rsidRPr="00CC6CA3">
        <w:fldChar w:fldCharType="end"/>
      </w:r>
      <w:r w:rsidRPr="00CC6CA3">
        <w:t xml:space="preserve">. </w:t>
      </w:r>
      <w:r w:rsidRPr="00CC6CA3">
        <w:rPr>
          <w:rFonts w:cs="Times New Roman"/>
          <w:szCs w:val="24"/>
        </w:rPr>
        <w:t xml:space="preserve">Intensity coefficient of individual variables </w:t>
      </w:r>
      <m:oMath>
        <m:sSub>
          <m:sSubPr>
            <m:ctrlPr>
              <w:rPr>
                <w:rFonts w:ascii="Cambria Math" w:hAnsi="Cambria Math"/>
                <w:i/>
                <w:iCs/>
                <w:szCs w:val="24"/>
              </w:rPr>
            </m:ctrlPr>
          </m:sSubPr>
          <m:e>
            <m:r>
              <w:rPr>
                <w:rFonts w:ascii="Cambria Math" w:hAnsi="Cambria Math"/>
                <w:szCs w:val="24"/>
              </w:rPr>
              <m:t>a</m:t>
            </m:r>
          </m:e>
          <m:sub>
            <m:r>
              <w:rPr>
                <w:rFonts w:ascii="Cambria Math" w:hAnsi="Cambria Math"/>
                <w:szCs w:val="24"/>
              </w:rPr>
              <m:t>k</m:t>
            </m:r>
          </m:sub>
        </m:sSub>
      </m:oMath>
      <w:r w:rsidRPr="00CC6CA3">
        <w:rPr>
          <w:rFonts w:cs="Times New Roman"/>
          <w:iCs/>
          <w:szCs w:val="24"/>
        </w:rPr>
        <w:t xml:space="preserve"> was define based on process knowledge and experiences. </w:t>
      </w:r>
      <w:r w:rsidR="00BE6C5E" w:rsidRPr="00CC6CA3">
        <w:rPr>
          <w:rFonts w:cs="Times New Roman"/>
          <w:iCs/>
          <w:szCs w:val="24"/>
        </w:rPr>
        <w:t xml:space="preserve">The </w:t>
      </w:r>
      <w:r w:rsidR="00BE6C5E" w:rsidRPr="00CC6CA3">
        <w:rPr>
          <w:rFonts w:cs="Times New Roman"/>
          <w:szCs w:val="24"/>
        </w:rPr>
        <w:t xml:space="preserve">intensity </w:t>
      </w:r>
      <w:r w:rsidR="00BE6C5E" w:rsidRPr="00CC6CA3">
        <w:t>coefficients used had the same values as listed in</w:t>
      </w:r>
      <w:r w:rsidRPr="00CC6CA3">
        <w:t xml:space="preserve"> </w:t>
      </w:r>
      <w:r w:rsidRPr="00CC6CA3">
        <w:fldChar w:fldCharType="begin"/>
      </w:r>
      <w:r w:rsidRPr="00CC6CA3">
        <w:instrText xml:space="preserve"> REF _Ref41942737 \h </w:instrText>
      </w:r>
      <w:r w:rsidRPr="00CC6CA3">
        <w:fldChar w:fldCharType="separate"/>
      </w:r>
      <w:r w:rsidR="001906D9" w:rsidRPr="00CC6CA3">
        <w:t xml:space="preserve">Table </w:t>
      </w:r>
      <w:r w:rsidR="001906D9" w:rsidRPr="00CC6CA3">
        <w:rPr>
          <w:noProof/>
        </w:rPr>
        <w:t>5</w:t>
      </w:r>
      <w:r w:rsidR="001906D9" w:rsidRPr="00CC6CA3">
        <w:t>.</w:t>
      </w:r>
      <w:r w:rsidR="001906D9" w:rsidRPr="00CC6CA3">
        <w:rPr>
          <w:noProof/>
        </w:rPr>
        <w:t>2</w:t>
      </w:r>
      <w:r w:rsidRPr="00CC6CA3">
        <w:fldChar w:fldCharType="end"/>
      </w:r>
      <w:r w:rsidRPr="00CC6CA3">
        <w:t>, and the loadings for the 5</w:t>
      </w:r>
      <w:r w:rsidRPr="00CC6CA3">
        <w:rPr>
          <w:vertAlign w:val="superscript"/>
        </w:rPr>
        <w:t>th</w:t>
      </w:r>
      <w:r w:rsidRPr="00CC6CA3">
        <w:t xml:space="preserve"> and 9</w:t>
      </w:r>
      <w:r w:rsidRPr="00CC6CA3">
        <w:rPr>
          <w:vertAlign w:val="superscript"/>
        </w:rPr>
        <w:t>th</w:t>
      </w:r>
      <w:r w:rsidRPr="00CC6CA3">
        <w:t xml:space="preserve"> principal components are calculated using Equation (4-5).</w:t>
      </w:r>
    </w:p>
    <w:p w14:paraId="73FB839D" w14:textId="563708B3" w:rsidR="006A68D6" w:rsidRPr="00CC6CA3" w:rsidRDefault="006A68D6" w:rsidP="006A68D6">
      <w:pPr>
        <w:spacing w:before="120"/>
      </w:pPr>
      <w:r w:rsidRPr="00CC6CA3">
        <w:t xml:space="preserve">The </w:t>
      </w:r>
      <w:r w:rsidRPr="00CC6CA3">
        <w:rPr>
          <w:rFonts w:cs="Times New Roman"/>
          <w:iCs/>
          <w:szCs w:val="24"/>
        </w:rPr>
        <w:t>system</w:t>
      </w:r>
      <w:r w:rsidRPr="00CC6CA3">
        <w:t xml:space="preserve"> health indicators of the pump were obtained by the risk of the fault, which combined the effect of severity with the probability of fault. </w:t>
      </w:r>
      <w:r w:rsidRPr="00CC6CA3">
        <w:fldChar w:fldCharType="begin"/>
      </w:r>
      <w:r w:rsidRPr="00CC6CA3">
        <w:instrText xml:space="preserve"> REF _Ref63609967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7</w:t>
      </w:r>
      <w:r w:rsidRPr="00CC6CA3">
        <w:fldChar w:fldCharType="end"/>
      </w:r>
      <w:r w:rsidRPr="00CC6CA3">
        <w:t xml:space="preserve"> (a) and (b) </w:t>
      </w:r>
      <w:r w:rsidR="00BE6C5E" w:rsidRPr="00CC6CA3">
        <w:t>show the risk profiles and the fault detection and shutdown thresholds calculated for the 5</w:t>
      </w:r>
      <w:r w:rsidR="00BE6C5E" w:rsidRPr="00CC6CA3">
        <w:rPr>
          <w:vertAlign w:val="superscript"/>
        </w:rPr>
        <w:t>th</w:t>
      </w:r>
      <w:r w:rsidR="00BE6C5E" w:rsidRPr="00CC6CA3">
        <w:t xml:space="preserve"> and the 9</w:t>
      </w:r>
      <w:r w:rsidR="00BE6C5E" w:rsidRPr="00CC6CA3">
        <w:rPr>
          <w:vertAlign w:val="superscript"/>
        </w:rPr>
        <w:t>th</w:t>
      </w:r>
      <w:r w:rsidR="00BE6C5E" w:rsidRPr="00CC6CA3">
        <w:t xml:space="preserve"> principal components, respectively</w:t>
      </w:r>
      <w:r w:rsidRPr="00CC6CA3">
        <w:t>.</w:t>
      </w:r>
    </w:p>
    <w:p w14:paraId="12F517A6" w14:textId="77777777" w:rsidR="006A68D6" w:rsidRPr="00CC6CA3" w:rsidRDefault="006A68D6" w:rsidP="006A68D6">
      <w:pPr>
        <w:spacing w:before="120"/>
      </w:pPr>
    </w:p>
    <w:p w14:paraId="5F98E749" w14:textId="77777777" w:rsidR="006A68D6" w:rsidRPr="00CC6CA3" w:rsidRDefault="006A68D6" w:rsidP="006A68D6">
      <w:pPr>
        <w:keepNext/>
        <w:jc w:val="center"/>
      </w:pPr>
      <w:r w:rsidRPr="00CC6CA3">
        <w:rPr>
          <w:noProof/>
        </w:rPr>
        <w:lastRenderedPageBreak/>
        <w:drawing>
          <wp:inline distT="0" distB="0" distL="0" distR="0" wp14:anchorId="4F97F50B" wp14:editId="13A085B5">
            <wp:extent cx="4752000" cy="4777327"/>
            <wp:effectExtent l="0" t="0" r="0" b="444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52000" cy="4777327"/>
                    </a:xfrm>
                    <a:prstGeom prst="rect">
                      <a:avLst/>
                    </a:prstGeom>
                    <a:noFill/>
                  </pic:spPr>
                </pic:pic>
              </a:graphicData>
            </a:graphic>
          </wp:inline>
        </w:drawing>
      </w:r>
    </w:p>
    <w:p w14:paraId="07EDCD44" w14:textId="1724D066" w:rsidR="006A68D6" w:rsidRPr="00CC6CA3" w:rsidRDefault="006A68D6" w:rsidP="006A68D6">
      <w:pPr>
        <w:pStyle w:val="Caption"/>
        <w:jc w:val="center"/>
        <w:rPr>
          <w:rFonts w:cs="Times New Roman"/>
          <w:sz w:val="24"/>
          <w:szCs w:val="24"/>
        </w:rPr>
      </w:pPr>
      <w:bookmarkStart w:id="487" w:name="_Ref63609967"/>
      <w:bookmarkStart w:id="488" w:name="_Toc8155343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7</w:t>
      </w:r>
      <w:r w:rsidR="00D62691" w:rsidRPr="00CC6CA3">
        <w:rPr>
          <w:noProof/>
        </w:rPr>
        <w:fldChar w:fldCharType="end"/>
      </w:r>
      <w:bookmarkEnd w:id="487"/>
      <w:r w:rsidRPr="00CC6CA3">
        <w:t xml:space="preserve"> </w:t>
      </w:r>
      <w:r w:rsidR="00BE6C5E" w:rsidRPr="00CC6CA3">
        <w:rPr>
          <w:szCs w:val="20"/>
        </w:rPr>
        <w:t>Risk profile of the pump for Case 2, (a) risk profile calculated using the 5</w:t>
      </w:r>
      <w:r w:rsidR="00BE6C5E" w:rsidRPr="00CC6CA3">
        <w:rPr>
          <w:szCs w:val="20"/>
          <w:vertAlign w:val="superscript"/>
        </w:rPr>
        <w:t>th</w:t>
      </w:r>
      <w:r w:rsidR="00BE6C5E" w:rsidRPr="00CC6CA3">
        <w:rPr>
          <w:szCs w:val="20"/>
        </w:rPr>
        <w:t xml:space="preserve"> principal component, (b) risk profile calculated using the 9</w:t>
      </w:r>
      <w:r w:rsidR="00BE6C5E" w:rsidRPr="00CC6CA3">
        <w:rPr>
          <w:szCs w:val="20"/>
          <w:vertAlign w:val="superscript"/>
        </w:rPr>
        <w:t>th</w:t>
      </w:r>
      <w:r w:rsidR="00BE6C5E" w:rsidRPr="00CC6CA3">
        <w:rPr>
          <w:szCs w:val="20"/>
        </w:rPr>
        <w:t xml:space="preserve"> principal component</w:t>
      </w:r>
      <w:r w:rsidRPr="00CC6CA3">
        <w:t>.</w:t>
      </w:r>
      <w:bookmarkEnd w:id="488"/>
    </w:p>
    <w:p w14:paraId="48E852D7" w14:textId="0623CB0E" w:rsidR="006A68D6" w:rsidRPr="00CC6CA3" w:rsidRDefault="006A68D6" w:rsidP="006A68D6">
      <w:pPr>
        <w:spacing w:before="120"/>
      </w:pPr>
      <w:r w:rsidRPr="00CC6CA3">
        <w:t xml:space="preserve">In </w:t>
      </w:r>
      <w:r w:rsidRPr="00CC6CA3">
        <w:fldChar w:fldCharType="begin"/>
      </w:r>
      <w:r w:rsidRPr="00CC6CA3">
        <w:instrText xml:space="preserve"> REF _Ref63609967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7</w:t>
      </w:r>
      <w:r w:rsidRPr="00CC6CA3">
        <w:fldChar w:fldCharType="end"/>
      </w:r>
      <w:r w:rsidRPr="00CC6CA3">
        <w:t xml:space="preserve">, the fault detection threshold was calculated using Equation </w:t>
      </w:r>
      <w:r w:rsidRPr="00CC6CA3">
        <w:fldChar w:fldCharType="begin"/>
      </w:r>
      <w:r w:rsidRPr="00CC6CA3">
        <w:instrText xml:space="preserve"> REF _Ref43471893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5</w:t>
      </w:r>
      <w:r w:rsidR="001906D9" w:rsidRPr="00CC6CA3">
        <w:t>)</w:t>
      </w:r>
      <w:r w:rsidRPr="00CC6CA3">
        <w:fldChar w:fldCharType="end"/>
      </w:r>
      <w:r w:rsidRPr="00CC6CA3">
        <w:t xml:space="preserve"> with </w:t>
      </w:r>
      <m:oMath>
        <m:r>
          <m:rPr>
            <m:sty m:val="p"/>
          </m:rPr>
          <w:rPr>
            <w:rFonts w:ascii="Cambria Math" w:hAnsi="Cambria Math"/>
          </w:rPr>
          <m:t>POF=0.5</m:t>
        </m:r>
      </m:oMath>
      <w:r w:rsidRPr="00CC6CA3">
        <w:t xml:space="preserve">, and the shutdown threshold was set as ten times higher than the fault detection threshold </w:t>
      </w:r>
      <w:r w:rsidRPr="00CC6CA3">
        <w:fldChar w:fldCharType="begin"/>
      </w:r>
      <w:r w:rsidR="007D1BCC" w:rsidRPr="00CC6CA3">
        <w:instrText xml:space="preserve"> ADDIN ZOTERO_ITEM CSL_CITATION {"citationID":"hSV8ChSd","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In </w:t>
      </w:r>
      <w:r w:rsidRPr="00CC6CA3">
        <w:fldChar w:fldCharType="begin"/>
      </w:r>
      <w:r w:rsidRPr="00CC6CA3">
        <w:instrText xml:space="preserve"> REF _Ref63609967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7</w:t>
      </w:r>
      <w:r w:rsidRPr="00CC6CA3">
        <w:fldChar w:fldCharType="end"/>
      </w:r>
      <w:r w:rsidRPr="00CC6CA3">
        <w:t xml:space="preserve"> (a), </w:t>
      </w:r>
      <w:r w:rsidR="0099664C" w:rsidRPr="00CC6CA3">
        <w:t>a fault was detected after 22:00 on 18</w:t>
      </w:r>
      <w:r w:rsidR="0099664C" w:rsidRPr="00CC6CA3">
        <w:rPr>
          <w:vertAlign w:val="superscript"/>
        </w:rPr>
        <w:t>th</w:t>
      </w:r>
      <w:r w:rsidR="0099664C" w:rsidRPr="00CC6CA3">
        <w:t xml:space="preserve"> Jul 2016, and the health indicator suggested action needed to be taken to reduce the risk. By 07:00 on 20</w:t>
      </w:r>
      <w:r w:rsidR="0099664C" w:rsidRPr="00CC6CA3">
        <w:rPr>
          <w:vertAlign w:val="superscript"/>
        </w:rPr>
        <w:t>th</w:t>
      </w:r>
      <w:r w:rsidR="0099664C" w:rsidRPr="00CC6CA3">
        <w:t xml:space="preserve"> Jul 2016 the shutdown threshold had been crossed. The original measured signals, see Figure 3-15, show </w:t>
      </w:r>
      <w:bookmarkStart w:id="489" w:name="_Hlk70671401"/>
      <w:r w:rsidR="0099664C" w:rsidRPr="00CC6CA3">
        <w:t xml:space="preserve">the pump underwent maintenance </w:t>
      </w:r>
      <w:bookmarkEnd w:id="489"/>
      <w:r w:rsidR="0099664C" w:rsidRPr="00CC6CA3">
        <w:t>at 15:00 on 19</w:t>
      </w:r>
      <w:r w:rsidR="0099664C" w:rsidRPr="00CC6CA3">
        <w:rPr>
          <w:vertAlign w:val="superscript"/>
        </w:rPr>
        <w:t>th</w:t>
      </w:r>
      <w:r w:rsidR="0099664C" w:rsidRPr="00CC6CA3">
        <w:t xml:space="preserve"> Jul, 17 hours after crossing the fault detection threshold and 16 hours before crossing the shutdown threshold, as suggested by the system health indicator</w:t>
      </w:r>
      <w:r w:rsidRPr="00CC6CA3">
        <w:t xml:space="preserve">. </w:t>
      </w:r>
    </w:p>
    <w:p w14:paraId="04E1206B" w14:textId="3E5BA488" w:rsidR="0099664C" w:rsidRPr="00CC6CA3" w:rsidRDefault="006A68D6" w:rsidP="0099664C">
      <w:pPr>
        <w:spacing w:before="120"/>
      </w:pPr>
      <w:r w:rsidRPr="00CC6CA3">
        <w:t xml:space="preserve">In </w:t>
      </w:r>
      <w:r w:rsidRPr="00CC6CA3">
        <w:fldChar w:fldCharType="begin"/>
      </w:r>
      <w:r w:rsidRPr="00CC6CA3">
        <w:instrText xml:space="preserve"> REF _Ref63609967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7</w:t>
      </w:r>
      <w:r w:rsidRPr="00CC6CA3">
        <w:fldChar w:fldCharType="end"/>
      </w:r>
      <w:r w:rsidRPr="00CC6CA3">
        <w:t xml:space="preserve"> (b), </w:t>
      </w:r>
      <w:r w:rsidR="0099664C" w:rsidRPr="00CC6CA3">
        <w:t>the second fault was detected at 03:00 on 22</w:t>
      </w:r>
      <w:r w:rsidR="0099664C" w:rsidRPr="00CC6CA3">
        <w:rPr>
          <w:vertAlign w:val="superscript"/>
        </w:rPr>
        <w:t>nd</w:t>
      </w:r>
      <w:r w:rsidR="0099664C" w:rsidRPr="00CC6CA3">
        <w:t xml:space="preserve"> Jul 2016, and it was suggested that the pump be shut down at 12:00 on 27</w:t>
      </w:r>
      <w:r w:rsidR="0099664C" w:rsidRPr="00CC6CA3">
        <w:rPr>
          <w:vertAlign w:val="superscript"/>
        </w:rPr>
        <w:t>th</w:t>
      </w:r>
      <w:r w:rsidR="0099664C" w:rsidRPr="00CC6CA3">
        <w:t xml:space="preserve"> Jul. Compared with the original measured signals in Figure 3-15, the pump underwent maintenance on 23</w:t>
      </w:r>
      <w:r w:rsidR="0099664C" w:rsidRPr="00CC6CA3">
        <w:rPr>
          <w:vertAlign w:val="superscript"/>
        </w:rPr>
        <w:t>rd</w:t>
      </w:r>
      <w:r w:rsidR="0099664C" w:rsidRPr="00CC6CA3">
        <w:t xml:space="preserve"> Aug, which was 27 days later than suggested by the health indicator. </w:t>
      </w:r>
    </w:p>
    <w:p w14:paraId="1A6D9715" w14:textId="57DA3466" w:rsidR="006A68D6" w:rsidRPr="00CC6CA3" w:rsidRDefault="0099664C" w:rsidP="0099664C">
      <w:pPr>
        <w:spacing w:before="120"/>
        <w:rPr>
          <w:lang w:val="en-US"/>
        </w:rPr>
      </w:pPr>
      <w:r w:rsidRPr="00CC6CA3">
        <w:rPr>
          <w:lang w:val="en-US"/>
        </w:rPr>
        <w:lastRenderedPageBreak/>
        <w:t xml:space="preserve">In this case, the suggested maintenance time for the first fault was close to the time that the company carried out maintenance. However, for the second fault, the suggested time was far ahead of the actual </w:t>
      </w:r>
      <w:r w:rsidRPr="00CC6CA3">
        <w:t>maintenance</w:t>
      </w:r>
      <w:r w:rsidRPr="00CC6CA3">
        <w:rPr>
          <w:lang w:val="en-US"/>
        </w:rPr>
        <w:t>. This indicated that the value of the shutdown threshold needed to be modified</w:t>
      </w:r>
      <w:r w:rsidR="006A68D6" w:rsidRPr="00CC6CA3">
        <w:rPr>
          <w:lang w:val="en-US"/>
        </w:rPr>
        <w:t>.</w:t>
      </w:r>
    </w:p>
    <w:p w14:paraId="7949C183" w14:textId="17A1EBC3" w:rsidR="006A68D6" w:rsidRPr="00CC6CA3" w:rsidRDefault="006A68D6" w:rsidP="00C579DD">
      <w:pPr>
        <w:pStyle w:val="Heading4"/>
        <w:rPr>
          <w:lang w:val="en-US"/>
        </w:rPr>
      </w:pPr>
      <w:r w:rsidRPr="00CC6CA3">
        <w:rPr>
          <w:lang w:val="en-US"/>
        </w:rPr>
        <w:t>Case 3</w:t>
      </w:r>
      <w:r w:rsidR="005B2617" w:rsidRPr="00CC6CA3">
        <w:rPr>
          <w:lang w:val="en-US"/>
        </w:rPr>
        <w:t>: bearing faults in compressor</w:t>
      </w:r>
    </w:p>
    <w:p w14:paraId="1D91CA55" w14:textId="31E08793" w:rsidR="006A68D6" w:rsidRPr="00CC6CA3" w:rsidRDefault="0099664C" w:rsidP="006A68D6">
      <w:r w:rsidRPr="00CC6CA3">
        <w:t xml:space="preserve">The data used in this </w:t>
      </w:r>
      <w:r w:rsidRPr="00CC6CA3">
        <w:rPr>
          <w:rFonts w:hint="eastAsia"/>
        </w:rPr>
        <w:t>case</w:t>
      </w:r>
      <w:r w:rsidRPr="00CC6CA3">
        <w:t xml:space="preserve"> study was obtained from a multistage compressor used in the petrochemical industry. The measurements for the compressor are listed in Table 3-4. PCA was applied to the process data </w:t>
      </w:r>
      <w:r w:rsidRPr="00CC6CA3">
        <w:rPr>
          <w:rFonts w:hint="eastAsia"/>
        </w:rPr>
        <w:t>after</w:t>
      </w:r>
      <w:r w:rsidRPr="00CC6CA3">
        <w:t xml:space="preserve"> it had been pre-processed and standardised. In this case study, the training data was selected for a half year period from 1</w:t>
      </w:r>
      <w:r w:rsidRPr="00CC6CA3">
        <w:rPr>
          <w:vertAlign w:val="superscript"/>
        </w:rPr>
        <w:t>st</w:t>
      </w:r>
      <w:r w:rsidRPr="00CC6CA3">
        <w:t xml:space="preserve"> Feb 2014 to 22</w:t>
      </w:r>
      <w:r w:rsidRPr="00CC6CA3">
        <w:rPr>
          <w:vertAlign w:val="superscript"/>
        </w:rPr>
        <w:t>nd</w:t>
      </w:r>
      <w:r w:rsidRPr="00CC6CA3">
        <w:t xml:space="preserve"> Aug 2014, during which time the compressor experienced no faults. The models were then used to assess the health condition of the compressor from 23</w:t>
      </w:r>
      <w:r w:rsidRPr="00CC6CA3">
        <w:rPr>
          <w:vertAlign w:val="superscript"/>
        </w:rPr>
        <w:t>rd</w:t>
      </w:r>
      <w:r w:rsidRPr="00CC6CA3">
        <w:t xml:space="preserve"> Aug 2014 to 23</w:t>
      </w:r>
      <w:r w:rsidRPr="00CC6CA3">
        <w:rPr>
          <w:vertAlign w:val="superscript"/>
        </w:rPr>
        <w:t>rd</w:t>
      </w:r>
      <w:r w:rsidRPr="00CC6CA3">
        <w:t xml:space="preserve"> Oct 2014, when bearing faults occurred (see Figure 3-21). The training results are shown in</w:t>
      </w:r>
      <w:r w:rsidR="006A68D6" w:rsidRPr="00CC6CA3">
        <w:t xml:space="preserve"> </w:t>
      </w:r>
      <w:r w:rsidR="006A68D6" w:rsidRPr="00CC6CA3">
        <w:fldChar w:fldCharType="begin"/>
      </w:r>
      <w:r w:rsidR="006A68D6" w:rsidRPr="00CC6CA3">
        <w:instrText xml:space="preserve"> REF _Ref63625681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4</w:t>
      </w:r>
      <w:r w:rsidR="006A68D6" w:rsidRPr="00CC6CA3">
        <w:fldChar w:fldCharType="end"/>
      </w:r>
      <w:r w:rsidR="006A68D6" w:rsidRPr="00CC6CA3">
        <w:t xml:space="preserve">. </w:t>
      </w:r>
      <w:r w:rsidRPr="00CC6CA3">
        <w:t>The first eight principal components were retained. These captured over 90% of the total variation</w:t>
      </w:r>
      <w:r w:rsidR="006A68D6" w:rsidRPr="00CC6CA3">
        <w:t xml:space="preserve">. </w:t>
      </w:r>
    </w:p>
    <w:p w14:paraId="7D0BEF93" w14:textId="489E133F" w:rsidR="006A68D6" w:rsidRPr="00CC6CA3" w:rsidRDefault="006A68D6" w:rsidP="006A68D6">
      <w:pPr>
        <w:pStyle w:val="Caption"/>
        <w:keepNext/>
      </w:pPr>
      <w:bookmarkStart w:id="490" w:name="_Ref63625681"/>
      <w:bookmarkStart w:id="491" w:name="_Toc81553481"/>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4</w:t>
      </w:r>
      <w:r w:rsidR="00D62691" w:rsidRPr="00CC6CA3">
        <w:rPr>
          <w:noProof/>
        </w:rPr>
        <w:fldChar w:fldCharType="end"/>
      </w:r>
      <w:bookmarkEnd w:id="490"/>
      <w:r w:rsidRPr="00CC6CA3">
        <w:t xml:space="preserve"> Principal component analysis for </w:t>
      </w:r>
      <w:r w:rsidR="0099664C" w:rsidRPr="00CC6CA3">
        <w:t>C</w:t>
      </w:r>
      <w:r w:rsidRPr="00CC6CA3">
        <w:t>ase 3</w:t>
      </w:r>
      <w:bookmarkEnd w:id="491"/>
    </w:p>
    <w:tbl>
      <w:tblPr>
        <w:tblStyle w:val="PlainTable2"/>
        <w:tblW w:w="0" w:type="auto"/>
        <w:tblLook w:val="04A0" w:firstRow="1" w:lastRow="0" w:firstColumn="1" w:lastColumn="0" w:noHBand="0" w:noVBand="1"/>
        <w:tblCaption w:val=""/>
        <w:tblDescription w:val=""/>
      </w:tblPr>
      <w:tblGrid>
        <w:gridCol w:w="1502"/>
        <w:gridCol w:w="3256"/>
        <w:gridCol w:w="2896"/>
      </w:tblGrid>
      <w:tr w:rsidR="00CC6CA3" w:rsidRPr="00CC6CA3" w14:paraId="1285C20D" w14:textId="77777777" w:rsidTr="00F632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4DF2CC4B"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Number</w:t>
            </w:r>
          </w:p>
        </w:tc>
        <w:tc>
          <w:tcPr>
            <w:tcW w:w="3256" w:type="dxa"/>
            <w:hideMark/>
          </w:tcPr>
          <w:p w14:paraId="769436AE" w14:textId="77777777" w:rsidR="006A68D6" w:rsidRPr="00CC6CA3" w:rsidRDefault="006A68D6" w:rsidP="00F632C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eastAsia="微软雅黑"/>
                <w:sz w:val="20"/>
                <w:szCs w:val="20"/>
              </w:rPr>
            </w:pPr>
            <w:r w:rsidRPr="00CC6CA3">
              <w:rPr>
                <w:rFonts w:eastAsia="微软雅黑"/>
                <w:sz w:val="20"/>
                <w:szCs w:val="20"/>
              </w:rPr>
              <w:t xml:space="preserve">% </w:t>
            </w:r>
            <w:proofErr w:type="gramStart"/>
            <w:r w:rsidRPr="00CC6CA3">
              <w:rPr>
                <w:rFonts w:eastAsia="微软雅黑"/>
                <w:sz w:val="20"/>
                <w:szCs w:val="20"/>
              </w:rPr>
              <w:t>variance</w:t>
            </w:r>
            <w:proofErr w:type="gramEnd"/>
            <w:r w:rsidRPr="00CC6CA3">
              <w:rPr>
                <w:rFonts w:eastAsia="微软雅黑"/>
                <w:sz w:val="20"/>
                <w:szCs w:val="20"/>
              </w:rPr>
              <w:t xml:space="preserve"> captured for each principal component</w:t>
            </w:r>
          </w:p>
        </w:tc>
        <w:tc>
          <w:tcPr>
            <w:tcW w:w="2896" w:type="dxa"/>
            <w:hideMark/>
          </w:tcPr>
          <w:p w14:paraId="2F029E75" w14:textId="77777777" w:rsidR="006A68D6" w:rsidRPr="00CC6CA3" w:rsidRDefault="006A68D6" w:rsidP="00F632C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eastAsia="微软雅黑"/>
                <w:sz w:val="20"/>
                <w:szCs w:val="20"/>
              </w:rPr>
            </w:pPr>
            <w:r w:rsidRPr="00CC6CA3">
              <w:rPr>
                <w:rFonts w:eastAsia="微软雅黑"/>
                <w:sz w:val="20"/>
                <w:szCs w:val="20"/>
              </w:rPr>
              <w:t xml:space="preserve">% </w:t>
            </w:r>
            <w:proofErr w:type="gramStart"/>
            <w:r w:rsidRPr="00CC6CA3">
              <w:rPr>
                <w:rFonts w:eastAsia="微软雅黑"/>
                <w:sz w:val="20"/>
                <w:szCs w:val="20"/>
              </w:rPr>
              <w:t>variance</w:t>
            </w:r>
            <w:proofErr w:type="gramEnd"/>
            <w:r w:rsidRPr="00CC6CA3">
              <w:rPr>
                <w:rFonts w:eastAsia="微软雅黑"/>
                <w:sz w:val="20"/>
                <w:szCs w:val="20"/>
              </w:rPr>
              <w:t xml:space="preserve"> captured total</w:t>
            </w:r>
          </w:p>
        </w:tc>
      </w:tr>
      <w:tr w:rsidR="00CC6CA3" w:rsidRPr="00CC6CA3" w14:paraId="5D619B8B"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30723481"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1</w:t>
            </w:r>
          </w:p>
        </w:tc>
        <w:tc>
          <w:tcPr>
            <w:tcW w:w="3256" w:type="dxa"/>
            <w:hideMark/>
          </w:tcPr>
          <w:p w14:paraId="28551327"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51.37</w:t>
            </w:r>
          </w:p>
        </w:tc>
        <w:tc>
          <w:tcPr>
            <w:tcW w:w="2896" w:type="dxa"/>
            <w:hideMark/>
          </w:tcPr>
          <w:p w14:paraId="62CC9449" w14:textId="3AAF1991"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51.3710</w:t>
            </w:r>
            <w:r w:rsidR="0099664C" w:rsidRPr="00CC6CA3">
              <w:rPr>
                <w:sz w:val="20"/>
                <w:szCs w:val="20"/>
              </w:rPr>
              <w:t>2</w:t>
            </w:r>
          </w:p>
        </w:tc>
      </w:tr>
      <w:tr w:rsidR="00CC6CA3" w:rsidRPr="00CC6CA3" w14:paraId="45549CC0" w14:textId="77777777" w:rsidTr="00F632C0">
        <w:tc>
          <w:tcPr>
            <w:cnfStyle w:val="001000000000" w:firstRow="0" w:lastRow="0" w:firstColumn="1" w:lastColumn="0" w:oddVBand="0" w:evenVBand="0" w:oddHBand="0" w:evenHBand="0" w:firstRowFirstColumn="0" w:firstRowLastColumn="0" w:lastRowFirstColumn="0" w:lastRowLastColumn="0"/>
            <w:tcW w:w="1502" w:type="dxa"/>
            <w:hideMark/>
          </w:tcPr>
          <w:p w14:paraId="04991A56"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2</w:t>
            </w:r>
          </w:p>
        </w:tc>
        <w:tc>
          <w:tcPr>
            <w:tcW w:w="3256" w:type="dxa"/>
            <w:hideMark/>
          </w:tcPr>
          <w:p w14:paraId="00940BDE"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11.77</w:t>
            </w:r>
          </w:p>
        </w:tc>
        <w:tc>
          <w:tcPr>
            <w:tcW w:w="2896" w:type="dxa"/>
            <w:hideMark/>
          </w:tcPr>
          <w:p w14:paraId="4A980715" w14:textId="1DBEC48A"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63.143</w:t>
            </w:r>
            <w:r w:rsidR="0099664C" w:rsidRPr="00CC6CA3">
              <w:rPr>
                <w:sz w:val="20"/>
                <w:szCs w:val="20"/>
              </w:rPr>
              <w:t>20</w:t>
            </w:r>
          </w:p>
        </w:tc>
      </w:tr>
      <w:tr w:rsidR="00CC6CA3" w:rsidRPr="00CC6CA3" w14:paraId="52F8D7CD"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5A0E5B2C"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3</w:t>
            </w:r>
          </w:p>
        </w:tc>
        <w:tc>
          <w:tcPr>
            <w:tcW w:w="3256" w:type="dxa"/>
            <w:hideMark/>
          </w:tcPr>
          <w:p w14:paraId="73CC96A0"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9.88</w:t>
            </w:r>
          </w:p>
        </w:tc>
        <w:tc>
          <w:tcPr>
            <w:tcW w:w="2896" w:type="dxa"/>
            <w:hideMark/>
          </w:tcPr>
          <w:p w14:paraId="0ABB6AB2" w14:textId="124BA265"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73.0271</w:t>
            </w:r>
            <w:r w:rsidR="0099664C" w:rsidRPr="00CC6CA3">
              <w:rPr>
                <w:sz w:val="20"/>
                <w:szCs w:val="20"/>
              </w:rPr>
              <w:t>1</w:t>
            </w:r>
          </w:p>
        </w:tc>
      </w:tr>
      <w:tr w:rsidR="00CC6CA3" w:rsidRPr="00CC6CA3" w14:paraId="244D512B" w14:textId="77777777" w:rsidTr="00F632C0">
        <w:tc>
          <w:tcPr>
            <w:cnfStyle w:val="001000000000" w:firstRow="0" w:lastRow="0" w:firstColumn="1" w:lastColumn="0" w:oddVBand="0" w:evenVBand="0" w:oddHBand="0" w:evenHBand="0" w:firstRowFirstColumn="0" w:firstRowLastColumn="0" w:lastRowFirstColumn="0" w:lastRowLastColumn="0"/>
            <w:tcW w:w="1502" w:type="dxa"/>
            <w:hideMark/>
          </w:tcPr>
          <w:p w14:paraId="2F7BA299"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4</w:t>
            </w:r>
          </w:p>
        </w:tc>
        <w:tc>
          <w:tcPr>
            <w:tcW w:w="3256" w:type="dxa"/>
            <w:hideMark/>
          </w:tcPr>
          <w:p w14:paraId="35199A3B"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6.59</w:t>
            </w:r>
          </w:p>
        </w:tc>
        <w:tc>
          <w:tcPr>
            <w:tcW w:w="2896" w:type="dxa"/>
            <w:hideMark/>
          </w:tcPr>
          <w:p w14:paraId="323E8A53" w14:textId="7AA1AB4B"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79.61898</w:t>
            </w:r>
          </w:p>
        </w:tc>
      </w:tr>
      <w:tr w:rsidR="00CC6CA3" w:rsidRPr="00CC6CA3" w14:paraId="73CF7CF6"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hideMark/>
          </w:tcPr>
          <w:p w14:paraId="452FAF3E"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5</w:t>
            </w:r>
          </w:p>
        </w:tc>
        <w:tc>
          <w:tcPr>
            <w:tcW w:w="3256" w:type="dxa"/>
            <w:hideMark/>
          </w:tcPr>
          <w:p w14:paraId="5162C872"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4.64</w:t>
            </w:r>
          </w:p>
        </w:tc>
        <w:tc>
          <w:tcPr>
            <w:tcW w:w="2896" w:type="dxa"/>
            <w:hideMark/>
          </w:tcPr>
          <w:p w14:paraId="55B09EF8" w14:textId="450BBAD1"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84.2628</w:t>
            </w:r>
            <w:r w:rsidR="0099664C" w:rsidRPr="00CC6CA3">
              <w:rPr>
                <w:sz w:val="20"/>
                <w:szCs w:val="20"/>
              </w:rPr>
              <w:t>3</w:t>
            </w:r>
          </w:p>
        </w:tc>
      </w:tr>
      <w:tr w:rsidR="00CC6CA3" w:rsidRPr="00CC6CA3" w14:paraId="5141836B" w14:textId="77777777" w:rsidTr="00F632C0">
        <w:tc>
          <w:tcPr>
            <w:cnfStyle w:val="001000000000" w:firstRow="0" w:lastRow="0" w:firstColumn="1" w:lastColumn="0" w:oddVBand="0" w:evenVBand="0" w:oddHBand="0" w:evenHBand="0" w:firstRowFirstColumn="0" w:firstRowLastColumn="0" w:lastRowFirstColumn="0" w:lastRowLastColumn="0"/>
            <w:tcW w:w="1502" w:type="dxa"/>
            <w:hideMark/>
          </w:tcPr>
          <w:p w14:paraId="79F9E6A5"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6</w:t>
            </w:r>
          </w:p>
        </w:tc>
        <w:tc>
          <w:tcPr>
            <w:tcW w:w="3256" w:type="dxa"/>
            <w:hideMark/>
          </w:tcPr>
          <w:p w14:paraId="03123CC2"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2.60</w:t>
            </w:r>
          </w:p>
        </w:tc>
        <w:tc>
          <w:tcPr>
            <w:tcW w:w="2896" w:type="dxa"/>
            <w:hideMark/>
          </w:tcPr>
          <w:p w14:paraId="6DB198D8" w14:textId="2E8629B6"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86.86558</w:t>
            </w:r>
          </w:p>
        </w:tc>
      </w:tr>
      <w:tr w:rsidR="00CC6CA3" w:rsidRPr="00CC6CA3" w14:paraId="7657CDBD"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Pr>
          <w:p w14:paraId="595B6E78"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7</w:t>
            </w:r>
          </w:p>
        </w:tc>
        <w:tc>
          <w:tcPr>
            <w:tcW w:w="3256" w:type="dxa"/>
          </w:tcPr>
          <w:p w14:paraId="23A9E031" w14:textId="77777777"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2.11</w:t>
            </w:r>
          </w:p>
        </w:tc>
        <w:tc>
          <w:tcPr>
            <w:tcW w:w="2896" w:type="dxa"/>
          </w:tcPr>
          <w:p w14:paraId="470A6F2C" w14:textId="6BFAF42B" w:rsidR="006A68D6" w:rsidRPr="00CC6CA3" w:rsidRDefault="006A68D6" w:rsidP="00F632C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微软雅黑"/>
                <w:sz w:val="20"/>
                <w:szCs w:val="20"/>
              </w:rPr>
            </w:pPr>
            <w:r w:rsidRPr="00CC6CA3">
              <w:rPr>
                <w:sz w:val="20"/>
                <w:szCs w:val="20"/>
              </w:rPr>
              <w:t>88.97364</w:t>
            </w:r>
          </w:p>
        </w:tc>
      </w:tr>
      <w:tr w:rsidR="00CC6CA3" w:rsidRPr="00CC6CA3" w14:paraId="5D176AC2" w14:textId="77777777" w:rsidTr="00F632C0">
        <w:tc>
          <w:tcPr>
            <w:cnfStyle w:val="001000000000" w:firstRow="0" w:lastRow="0" w:firstColumn="1" w:lastColumn="0" w:oddVBand="0" w:evenVBand="0" w:oddHBand="0" w:evenHBand="0" w:firstRowFirstColumn="0" w:firstRowLastColumn="0" w:lastRowFirstColumn="0" w:lastRowLastColumn="0"/>
            <w:tcW w:w="1502" w:type="dxa"/>
          </w:tcPr>
          <w:p w14:paraId="217CB4F0" w14:textId="77777777" w:rsidR="006A68D6" w:rsidRPr="00CC6CA3" w:rsidRDefault="006A68D6" w:rsidP="00F632C0">
            <w:pPr>
              <w:pStyle w:val="NormalWeb"/>
              <w:spacing w:before="0" w:beforeAutospacing="0" w:after="0" w:afterAutospacing="0"/>
              <w:rPr>
                <w:rFonts w:eastAsia="微软雅黑"/>
                <w:sz w:val="20"/>
                <w:szCs w:val="20"/>
              </w:rPr>
            </w:pPr>
            <w:r w:rsidRPr="00CC6CA3">
              <w:rPr>
                <w:rFonts w:eastAsia="微软雅黑"/>
                <w:sz w:val="20"/>
                <w:szCs w:val="20"/>
              </w:rPr>
              <w:t>8</w:t>
            </w:r>
          </w:p>
        </w:tc>
        <w:tc>
          <w:tcPr>
            <w:tcW w:w="3256" w:type="dxa"/>
          </w:tcPr>
          <w:p w14:paraId="4836169B" w14:textId="77777777"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2.06</w:t>
            </w:r>
          </w:p>
        </w:tc>
        <w:tc>
          <w:tcPr>
            <w:tcW w:w="2896" w:type="dxa"/>
          </w:tcPr>
          <w:p w14:paraId="5E0E13B8" w14:textId="157619A6" w:rsidR="006A68D6" w:rsidRPr="00CC6CA3" w:rsidRDefault="006A68D6" w:rsidP="00F632C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微软雅黑"/>
                <w:sz w:val="20"/>
                <w:szCs w:val="20"/>
              </w:rPr>
            </w:pPr>
            <w:r w:rsidRPr="00CC6CA3">
              <w:rPr>
                <w:sz w:val="20"/>
                <w:szCs w:val="20"/>
              </w:rPr>
              <w:t>91.03774</w:t>
            </w:r>
          </w:p>
        </w:tc>
      </w:tr>
    </w:tbl>
    <w:p w14:paraId="66678A69" w14:textId="2E889F62" w:rsidR="006A68D6" w:rsidRPr="00CC6CA3" w:rsidRDefault="00CF3B9D" w:rsidP="006A68D6">
      <w:pPr>
        <w:spacing w:before="120"/>
      </w:pPr>
      <w:r w:rsidRPr="00CC6CA3">
        <w:t>In this case, the 3</w:t>
      </w:r>
      <w:r w:rsidRPr="00CC6CA3">
        <w:rPr>
          <w:vertAlign w:val="superscript"/>
        </w:rPr>
        <w:t>rd</w:t>
      </w:r>
      <w:r w:rsidRPr="00CC6CA3">
        <w:t xml:space="preserve"> principal component was selected for further analysis. The prediction of the score of the principal component was via linear regression (</w:t>
      </w: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1</m:t>
            </m:r>
          </m:sub>
        </m:sSub>
        <m:r>
          <w:rPr>
            <w:rFonts w:ascii="Cambria Math" w:hAnsi="Cambria Math"/>
          </w:rPr>
          <m:t>x</m:t>
        </m:r>
      </m:oMath>
      <w:r w:rsidRPr="00CC6CA3">
        <w:t xml:space="preserve">). As in the previous case studies, fifty points backwards were used as training data to predict four points forward. </w:t>
      </w:r>
      <w:r w:rsidRPr="00CC6CA3">
        <w:rPr>
          <w:szCs w:val="20"/>
        </w:rPr>
        <w:t>The true values and predicted results of the first order principal component can be seen in</w:t>
      </w:r>
      <w:r w:rsidR="006A68D6" w:rsidRPr="00CC6CA3">
        <w:rPr>
          <w:szCs w:val="20"/>
        </w:rPr>
        <w:t xml:space="preserve"> </w:t>
      </w:r>
      <w:r w:rsidR="006A68D6" w:rsidRPr="00CC6CA3">
        <w:rPr>
          <w:szCs w:val="20"/>
        </w:rPr>
        <w:fldChar w:fldCharType="begin"/>
      </w:r>
      <w:r w:rsidR="006A68D6" w:rsidRPr="00CC6CA3">
        <w:rPr>
          <w:szCs w:val="20"/>
        </w:rPr>
        <w:instrText xml:space="preserve"> REF _Ref63626266 \h </w:instrText>
      </w:r>
      <w:r w:rsidR="006A68D6" w:rsidRPr="00CC6CA3">
        <w:rPr>
          <w:szCs w:val="20"/>
        </w:rPr>
      </w:r>
      <w:r w:rsidR="006A68D6" w:rsidRPr="00CC6CA3">
        <w:rPr>
          <w:szCs w:val="20"/>
        </w:rPr>
        <w:fldChar w:fldCharType="separate"/>
      </w:r>
      <w:r w:rsidR="001906D9" w:rsidRPr="00CC6CA3">
        <w:t xml:space="preserve">Figure </w:t>
      </w:r>
      <w:r w:rsidR="001906D9" w:rsidRPr="00CC6CA3">
        <w:rPr>
          <w:noProof/>
        </w:rPr>
        <w:t>5</w:t>
      </w:r>
      <w:r w:rsidR="001906D9" w:rsidRPr="00CC6CA3">
        <w:t>.</w:t>
      </w:r>
      <w:r w:rsidR="001906D9" w:rsidRPr="00CC6CA3">
        <w:rPr>
          <w:noProof/>
        </w:rPr>
        <w:t>8</w:t>
      </w:r>
      <w:r w:rsidR="006A68D6" w:rsidRPr="00CC6CA3">
        <w:rPr>
          <w:szCs w:val="20"/>
        </w:rPr>
        <w:fldChar w:fldCharType="end"/>
      </w:r>
      <w:r w:rsidR="006A68D6" w:rsidRPr="00CC6CA3">
        <w:rPr>
          <w:szCs w:val="20"/>
        </w:rPr>
        <w:t xml:space="preserve">. </w:t>
      </w:r>
    </w:p>
    <w:p w14:paraId="2D35DA9A" w14:textId="77777777" w:rsidR="006A68D6" w:rsidRPr="00CC6CA3" w:rsidRDefault="006A68D6" w:rsidP="006A68D6">
      <w:pPr>
        <w:keepNext/>
        <w:spacing w:before="120"/>
        <w:jc w:val="center"/>
      </w:pPr>
      <w:r w:rsidRPr="00CC6CA3">
        <w:rPr>
          <w:noProof/>
        </w:rPr>
        <w:lastRenderedPageBreak/>
        <w:drawing>
          <wp:inline distT="0" distB="0" distL="0" distR="0" wp14:anchorId="10363B03" wp14:editId="0B8295CB">
            <wp:extent cx="4752000" cy="1976702"/>
            <wp:effectExtent l="0" t="0" r="0" b="0"/>
            <wp:docPr id="30" name="Picture 9">
              <a:extLst xmlns:a="http://schemas.openxmlformats.org/drawingml/2006/main">
                <a:ext uri="{FF2B5EF4-FFF2-40B4-BE49-F238E27FC236}">
                  <a16:creationId xmlns:a16="http://schemas.microsoft.com/office/drawing/2014/main" id="{C0774658-6799-4C74-8F75-35C340E1FB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C0774658-6799-4C74-8F75-35C340E1FB03}"/>
                        </a:ext>
                      </a:extLst>
                    </pic:cNvPr>
                    <pic:cNvPicPr>
                      <a:picLocks noChangeAspect="1"/>
                    </pic:cNvPicPr>
                  </pic:nvPicPr>
                  <pic:blipFill>
                    <a:blip r:embed="rId197"/>
                    <a:stretch>
                      <a:fillRect/>
                    </a:stretch>
                  </pic:blipFill>
                  <pic:spPr>
                    <a:xfrm>
                      <a:off x="0" y="0"/>
                      <a:ext cx="4752000" cy="1976702"/>
                    </a:xfrm>
                    <a:prstGeom prst="rect">
                      <a:avLst/>
                    </a:prstGeom>
                  </pic:spPr>
                </pic:pic>
              </a:graphicData>
            </a:graphic>
          </wp:inline>
        </w:drawing>
      </w:r>
    </w:p>
    <w:p w14:paraId="06101479" w14:textId="26059790" w:rsidR="006A68D6" w:rsidRPr="00CC6CA3" w:rsidRDefault="006A68D6" w:rsidP="006A68D6">
      <w:pPr>
        <w:pStyle w:val="Caption"/>
        <w:jc w:val="center"/>
      </w:pPr>
      <w:bookmarkStart w:id="492" w:name="_Ref63626266"/>
      <w:bookmarkStart w:id="493" w:name="_Toc8155343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8</w:t>
      </w:r>
      <w:r w:rsidR="00D62691" w:rsidRPr="00CC6CA3">
        <w:rPr>
          <w:noProof/>
        </w:rPr>
        <w:fldChar w:fldCharType="end"/>
      </w:r>
      <w:bookmarkEnd w:id="492"/>
      <w:r w:rsidRPr="00CC6CA3">
        <w:t xml:space="preserve"> </w:t>
      </w:r>
      <w:r w:rsidRPr="00CC6CA3">
        <w:rPr>
          <w:szCs w:val="20"/>
        </w:rPr>
        <w:t>The true value and the prediction results of the 3</w:t>
      </w:r>
      <w:r w:rsidRPr="00CC6CA3">
        <w:rPr>
          <w:szCs w:val="20"/>
          <w:vertAlign w:val="superscript"/>
        </w:rPr>
        <w:t>rd</w:t>
      </w:r>
      <w:r w:rsidRPr="00CC6CA3">
        <w:rPr>
          <w:szCs w:val="20"/>
        </w:rPr>
        <w:t xml:space="preserve"> principal component for </w:t>
      </w:r>
      <w:r w:rsidR="00C533C9" w:rsidRPr="00CC6CA3">
        <w:rPr>
          <w:szCs w:val="20"/>
        </w:rPr>
        <w:t>C</w:t>
      </w:r>
      <w:r w:rsidRPr="00CC6CA3">
        <w:rPr>
          <w:szCs w:val="20"/>
        </w:rPr>
        <w:t>ase 3</w:t>
      </w:r>
      <w:bookmarkEnd w:id="493"/>
    </w:p>
    <w:p w14:paraId="31EE2739" w14:textId="22C35074" w:rsidR="006A68D6" w:rsidRPr="00CC6CA3" w:rsidRDefault="006A68D6" w:rsidP="006A68D6">
      <w:pPr>
        <w:spacing w:before="120"/>
      </w:pPr>
      <w:r w:rsidRPr="00CC6CA3">
        <w:t xml:space="preserve">POF is calculated based on the predicted results using Equation </w:t>
      </w:r>
      <w:r w:rsidRPr="00CC6CA3">
        <w:fldChar w:fldCharType="begin"/>
      </w:r>
      <w:r w:rsidRPr="00CC6CA3">
        <w:instrText xml:space="preserve"> REF _Ref43645084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10</w:t>
      </w:r>
      <w:r w:rsidR="001906D9" w:rsidRPr="00CC6CA3">
        <w:rPr>
          <w:rFonts w:cs="Times New Roman"/>
          <w:sz w:val="26"/>
          <w:szCs w:val="26"/>
        </w:rPr>
        <w:t>)</w:t>
      </w:r>
      <w:r w:rsidRPr="00CC6CA3">
        <w:fldChar w:fldCharType="end"/>
      </w:r>
      <w:r w:rsidRPr="00CC6CA3">
        <w:t xml:space="preserve"> and </w:t>
      </w:r>
      <w:r w:rsidRPr="00CC6CA3">
        <w:fldChar w:fldCharType="begin"/>
      </w:r>
      <w:r w:rsidRPr="00CC6CA3">
        <w:instrText xml:space="preserve"> REF _Ref41858185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11</w:t>
      </w:r>
      <w:r w:rsidR="001906D9" w:rsidRPr="00CC6CA3">
        <w:rPr>
          <w:rFonts w:cs="Times New Roman"/>
          <w:sz w:val="26"/>
          <w:szCs w:val="26"/>
        </w:rPr>
        <w:t>)</w:t>
      </w:r>
      <w:r w:rsidRPr="00CC6CA3">
        <w:fldChar w:fldCharType="end"/>
      </w:r>
      <w:r w:rsidRPr="00CC6CA3">
        <w:t xml:space="preserve">. The POF is shown in </w:t>
      </w:r>
      <w:r w:rsidRPr="00CC6CA3">
        <w:fldChar w:fldCharType="begin"/>
      </w:r>
      <w:r w:rsidRPr="00CC6CA3">
        <w:instrText xml:space="preserve"> REF _Ref63626398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9</w:t>
      </w:r>
      <w:r w:rsidRPr="00CC6CA3">
        <w:fldChar w:fldCharType="end"/>
      </w:r>
      <w:r w:rsidRPr="00CC6CA3">
        <w:t xml:space="preserve">. </w:t>
      </w:r>
      <w:proofErr w:type="gramStart"/>
      <w:r w:rsidR="00C533C9" w:rsidRPr="00CC6CA3">
        <w:t>It can be seen that the</w:t>
      </w:r>
      <w:proofErr w:type="gramEnd"/>
      <w:r w:rsidR="00C533C9" w:rsidRPr="00CC6CA3">
        <w:t xml:space="preserve"> POF was below the 0.5 threshold from 23</w:t>
      </w:r>
      <w:r w:rsidR="00C533C9" w:rsidRPr="00CC6CA3">
        <w:rPr>
          <w:vertAlign w:val="superscript"/>
        </w:rPr>
        <w:t>rd</w:t>
      </w:r>
      <w:r w:rsidR="00C533C9" w:rsidRPr="00CC6CA3">
        <w:t xml:space="preserve"> Aug to 13:00 10</w:t>
      </w:r>
      <w:r w:rsidR="00C533C9" w:rsidRPr="00CC6CA3">
        <w:rPr>
          <w:vertAlign w:val="superscript"/>
        </w:rPr>
        <w:t>th</w:t>
      </w:r>
      <w:r w:rsidR="00C533C9" w:rsidRPr="00CC6CA3">
        <w:t xml:space="preserve"> Sep 2014, which indicated that the compressor was healthy during this period. At 13:00 on 10</w:t>
      </w:r>
      <w:r w:rsidR="00C533C9" w:rsidRPr="00CC6CA3">
        <w:rPr>
          <w:vertAlign w:val="superscript"/>
        </w:rPr>
        <w:t>th</w:t>
      </w:r>
      <w:r w:rsidR="00C533C9" w:rsidRPr="00CC6CA3">
        <w:t xml:space="preserve"> Sep 2014, the POF value reached 0.5, and until 23</w:t>
      </w:r>
      <w:r w:rsidR="00C533C9" w:rsidRPr="00CC6CA3">
        <w:rPr>
          <w:vertAlign w:val="superscript"/>
        </w:rPr>
        <w:t>rd</w:t>
      </w:r>
      <w:r w:rsidR="00C533C9" w:rsidRPr="00CC6CA3">
        <w:t xml:space="preserve"> Sep, it fluctuat</w:t>
      </w:r>
      <w:r w:rsidR="00C533C9" w:rsidRPr="00CC6CA3">
        <w:rPr>
          <w:rFonts w:hint="eastAsia"/>
        </w:rPr>
        <w:t>ed</w:t>
      </w:r>
      <w:r w:rsidR="00C533C9" w:rsidRPr="00CC6CA3">
        <w:t xml:space="preserve"> around 0.5, but most of this time stayed below 0.5. After 01:00 on 23</w:t>
      </w:r>
      <w:r w:rsidR="00C533C9" w:rsidRPr="00CC6CA3">
        <w:rPr>
          <w:vertAlign w:val="superscript"/>
        </w:rPr>
        <w:t>rd</w:t>
      </w:r>
      <w:r w:rsidR="00C533C9" w:rsidRPr="00CC6CA3">
        <w:t xml:space="preserve"> Sep, the POF crossed the threshold of 0.5 and although it continued to fluctuat</w:t>
      </w:r>
      <w:r w:rsidR="00C533C9" w:rsidRPr="00CC6CA3">
        <w:rPr>
          <w:rFonts w:hint="eastAsia"/>
        </w:rPr>
        <w:t>e</w:t>
      </w:r>
      <w:r w:rsidR="00C533C9" w:rsidRPr="00CC6CA3">
        <w:t xml:space="preserve"> for most of the time exceeded 0.5. Soon after, the POF increased to 1, which meant the system kept deteriorating until a fault occurred</w:t>
      </w:r>
      <w:r w:rsidRPr="00CC6CA3">
        <w:t>.</w:t>
      </w:r>
    </w:p>
    <w:p w14:paraId="18637134" w14:textId="77777777" w:rsidR="006A68D6" w:rsidRPr="00CC6CA3" w:rsidRDefault="006A68D6" w:rsidP="006A68D6">
      <w:pPr>
        <w:keepNext/>
        <w:jc w:val="center"/>
      </w:pPr>
      <w:r w:rsidRPr="00CC6CA3">
        <w:rPr>
          <w:noProof/>
        </w:rPr>
        <w:drawing>
          <wp:inline distT="0" distB="0" distL="0" distR="0" wp14:anchorId="2BB94CF6" wp14:editId="7ECA4664">
            <wp:extent cx="4752000" cy="1977711"/>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52000" cy="1977711"/>
                    </a:xfrm>
                    <a:prstGeom prst="rect">
                      <a:avLst/>
                    </a:prstGeom>
                    <a:noFill/>
                  </pic:spPr>
                </pic:pic>
              </a:graphicData>
            </a:graphic>
          </wp:inline>
        </w:drawing>
      </w:r>
    </w:p>
    <w:p w14:paraId="39FA93E9" w14:textId="6B83A5B8" w:rsidR="006A68D6" w:rsidRPr="00CC6CA3" w:rsidRDefault="006A68D6" w:rsidP="006A68D6">
      <w:pPr>
        <w:pStyle w:val="Caption"/>
        <w:jc w:val="center"/>
      </w:pPr>
      <w:bookmarkStart w:id="494" w:name="_Ref63626398"/>
      <w:bookmarkStart w:id="495" w:name="_Toc8155343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9</w:t>
      </w:r>
      <w:r w:rsidR="00D62691" w:rsidRPr="00CC6CA3">
        <w:rPr>
          <w:noProof/>
        </w:rPr>
        <w:fldChar w:fldCharType="end"/>
      </w:r>
      <w:bookmarkEnd w:id="494"/>
      <w:r w:rsidRPr="00CC6CA3">
        <w:t xml:space="preserve"> POF of the compressor system for </w:t>
      </w:r>
      <w:r w:rsidR="00C533C9" w:rsidRPr="00CC6CA3">
        <w:t>C</w:t>
      </w:r>
      <w:r w:rsidRPr="00CC6CA3">
        <w:t xml:space="preserve">ase </w:t>
      </w:r>
      <w:r w:rsidR="00C533C9" w:rsidRPr="00CC6CA3">
        <w:t>3</w:t>
      </w:r>
      <w:r w:rsidRPr="00CC6CA3">
        <w:t xml:space="preserve"> based on PCA method</w:t>
      </w:r>
      <w:bookmarkEnd w:id="495"/>
    </w:p>
    <w:p w14:paraId="77A864AE" w14:textId="5DE2307C" w:rsidR="00C533C9" w:rsidRPr="00CC6CA3" w:rsidRDefault="006A68D6" w:rsidP="006A68D6">
      <w:pPr>
        <w:spacing w:before="120"/>
      </w:pPr>
      <w:r w:rsidRPr="00CC6CA3">
        <w:t xml:space="preserve">The severity is another essential term in risk assessment, and it is estimated using Equation </w:t>
      </w:r>
      <w:r w:rsidRPr="00CC6CA3">
        <w:fldChar w:fldCharType="begin"/>
      </w:r>
      <w:r w:rsidRPr="00CC6CA3">
        <w:instrText xml:space="preserve"> REF _Ref41943482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12</w:t>
      </w:r>
      <w:r w:rsidR="001906D9" w:rsidRPr="00CC6CA3">
        <w:rPr>
          <w:rFonts w:cs="Times New Roman"/>
          <w:sz w:val="26"/>
          <w:szCs w:val="26"/>
        </w:rPr>
        <w:t>)</w:t>
      </w:r>
      <w:r w:rsidRPr="00CC6CA3">
        <w:fldChar w:fldCharType="end"/>
      </w:r>
      <w:r w:rsidRPr="00CC6CA3">
        <w:t xml:space="preserve"> and </w:t>
      </w:r>
      <w:r w:rsidRPr="00CC6CA3">
        <w:fldChar w:fldCharType="begin"/>
      </w:r>
      <w:r w:rsidRPr="00CC6CA3">
        <w:instrText xml:space="preserve"> REF _Ref43370046 \h </w:instrText>
      </w:r>
      <w:r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13</w:t>
      </w:r>
      <w:r w:rsidR="001906D9" w:rsidRPr="00CC6CA3">
        <w:rPr>
          <w:rFonts w:cs="Times New Roman"/>
          <w:sz w:val="26"/>
          <w:szCs w:val="26"/>
        </w:rPr>
        <w:t>)</w:t>
      </w:r>
      <w:r w:rsidRPr="00CC6CA3">
        <w:fldChar w:fldCharType="end"/>
      </w:r>
      <w:r w:rsidRPr="00CC6CA3">
        <w:t xml:space="preserve">. </w:t>
      </w:r>
      <w:r w:rsidR="00C533C9" w:rsidRPr="00CC6CA3">
        <w:rPr>
          <w:rFonts w:cs="Times New Roman"/>
          <w:iCs/>
          <w:szCs w:val="24"/>
        </w:rPr>
        <w:t xml:space="preserve">Here, the suction and discharge temperatures are usually higher in summer and lower in winter, which indicates that they are influenced by the surrounding environmental conditions. To reduce this effect, we gave a value of unity to the </w:t>
      </w:r>
      <w:r w:rsidR="00C533C9" w:rsidRPr="00CC6CA3">
        <w:t>intensity</w:t>
      </w:r>
      <w:r w:rsidR="00C533C9" w:rsidRPr="00CC6CA3">
        <w:rPr>
          <w:rFonts w:cs="Times New Roman"/>
          <w:iCs/>
          <w:szCs w:val="24"/>
        </w:rPr>
        <w:t xml:space="preserve"> coefficient of </w:t>
      </w:r>
      <w:r w:rsidR="00C533C9" w:rsidRPr="00CC6CA3">
        <w:t>discharge</w:t>
      </w:r>
      <w:r w:rsidR="00C533C9" w:rsidRPr="00CC6CA3">
        <w:rPr>
          <w:rFonts w:cs="Times New Roman"/>
          <w:iCs/>
          <w:szCs w:val="24"/>
        </w:rPr>
        <w:t xml:space="preserve"> and suction temperatures and a value of two to the intensity </w:t>
      </w:r>
      <w:r w:rsidR="00C533C9" w:rsidRPr="00CC6CA3">
        <w:rPr>
          <w:rFonts w:cs="Times New Roman"/>
          <w:iCs/>
          <w:szCs w:val="24"/>
        </w:rPr>
        <w:lastRenderedPageBreak/>
        <w:t xml:space="preserve">coefficients of the other measurements. </w:t>
      </w:r>
      <w:r w:rsidR="00C533C9" w:rsidRPr="00CC6CA3">
        <w:t>Loadings of each PC (</w:t>
      </w:r>
      <m:oMath>
        <m:sSub>
          <m:sSubPr>
            <m:ctrlPr>
              <w:rPr>
                <w:rFonts w:ascii="Cambria Math" w:hAnsi="Cambria Math"/>
                <w:i/>
                <w:iCs/>
                <w:szCs w:val="24"/>
              </w:rPr>
            </m:ctrlPr>
          </m:sSubPr>
          <m:e>
            <m:r>
              <w:rPr>
                <w:rFonts w:ascii="Cambria Math" w:hAnsi="Cambria Math"/>
                <w:szCs w:val="24"/>
              </w:rPr>
              <m:t>w</m:t>
            </m:r>
          </m:e>
          <m:sub>
            <m:r>
              <w:rPr>
                <w:rFonts w:ascii="Cambria Math" w:hAnsi="Cambria Math"/>
                <w:szCs w:val="24"/>
              </w:rPr>
              <m:t>k</m:t>
            </m:r>
          </m:sub>
        </m:sSub>
      </m:oMath>
      <w:r w:rsidR="00C533C9" w:rsidRPr="00CC6CA3">
        <w:t xml:space="preserve">) were calculated using </w:t>
      </w:r>
      <w:r w:rsidR="00C533C9" w:rsidRPr="00CC6CA3">
        <w:rPr>
          <w:rFonts w:hint="eastAsia"/>
        </w:rPr>
        <w:t>Equation</w:t>
      </w:r>
      <w:r w:rsidR="00C533C9" w:rsidRPr="00CC6CA3">
        <w:t xml:space="preserve"> (4-5). </w:t>
      </w:r>
      <w:r w:rsidR="00C533C9" w:rsidRPr="00CC6CA3">
        <w:fldChar w:fldCharType="begin"/>
      </w:r>
      <w:r w:rsidR="00C533C9" w:rsidRPr="00CC6CA3">
        <w:instrText xml:space="preserve"> REF _Ref63626955 \h </w:instrText>
      </w:r>
      <w:r w:rsidR="00C533C9" w:rsidRPr="00CC6CA3">
        <w:fldChar w:fldCharType="separate"/>
      </w:r>
      <w:r w:rsidR="001906D9" w:rsidRPr="00CC6CA3">
        <w:t xml:space="preserve">Table </w:t>
      </w:r>
      <w:r w:rsidR="001906D9" w:rsidRPr="00CC6CA3">
        <w:rPr>
          <w:noProof/>
        </w:rPr>
        <w:t>5</w:t>
      </w:r>
      <w:r w:rsidR="001906D9" w:rsidRPr="00CC6CA3">
        <w:t>.</w:t>
      </w:r>
      <w:r w:rsidR="001906D9" w:rsidRPr="00CC6CA3">
        <w:rPr>
          <w:noProof/>
        </w:rPr>
        <w:t>5</w:t>
      </w:r>
      <w:r w:rsidR="00C533C9" w:rsidRPr="00CC6CA3">
        <w:fldChar w:fldCharType="end"/>
      </w:r>
      <w:r w:rsidR="00C533C9" w:rsidRPr="00CC6CA3">
        <w:t xml:space="preserve"> lists the </w:t>
      </w:r>
      <w:r w:rsidR="00C533C9" w:rsidRPr="00CC6CA3">
        <w:rPr>
          <w:rFonts w:cs="Times New Roman"/>
          <w:szCs w:val="24"/>
        </w:rPr>
        <w:t xml:space="preserve">intensity </w:t>
      </w:r>
      <w:r w:rsidR="00C533C9" w:rsidRPr="00CC6CA3">
        <w:t xml:space="preserve">coefficient and loading of each measurement for the </w:t>
      </w:r>
      <w:r w:rsidR="002D7A70" w:rsidRPr="00CC6CA3">
        <w:t>third</w:t>
      </w:r>
      <w:r w:rsidR="00C533C9" w:rsidRPr="00CC6CA3">
        <w:t xml:space="preserve"> principal component.</w:t>
      </w:r>
    </w:p>
    <w:p w14:paraId="40ED8737" w14:textId="4B940C5F" w:rsidR="006A68D6" w:rsidRPr="00CC6CA3" w:rsidRDefault="006A68D6" w:rsidP="006A68D6">
      <w:pPr>
        <w:pStyle w:val="Caption"/>
        <w:keepNext/>
      </w:pPr>
      <w:bookmarkStart w:id="496" w:name="_Ref63626955"/>
      <w:bookmarkStart w:id="497" w:name="_Toc81553482"/>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5</w:t>
      </w:r>
      <w:r w:rsidR="00D62691" w:rsidRPr="00CC6CA3">
        <w:rPr>
          <w:noProof/>
        </w:rPr>
        <w:fldChar w:fldCharType="end"/>
      </w:r>
      <w:bookmarkEnd w:id="496"/>
      <w:r w:rsidRPr="00CC6CA3">
        <w:t xml:space="preserve"> </w:t>
      </w:r>
      <w:r w:rsidR="00584154" w:rsidRPr="00CC6CA3">
        <w:rPr>
          <w:szCs w:val="20"/>
        </w:rPr>
        <w:t xml:space="preserve">Values of intensity coefficients and loadings for </w:t>
      </w:r>
      <w:r w:rsidR="002D7A70" w:rsidRPr="00CC6CA3">
        <w:rPr>
          <w:szCs w:val="20"/>
        </w:rPr>
        <w:t>third</w:t>
      </w:r>
      <w:r w:rsidR="00584154" w:rsidRPr="00CC6CA3">
        <w:rPr>
          <w:szCs w:val="20"/>
        </w:rPr>
        <w:t xml:space="preserve"> principal coefficient for Case </w:t>
      </w:r>
      <w:r w:rsidRPr="00CC6CA3">
        <w:t>3</w:t>
      </w:r>
      <w:bookmarkEnd w:id="497"/>
    </w:p>
    <w:tbl>
      <w:tblPr>
        <w:tblStyle w:val="PlainTable2"/>
        <w:tblW w:w="0" w:type="auto"/>
        <w:tblLook w:val="04A0" w:firstRow="1" w:lastRow="0" w:firstColumn="1" w:lastColumn="0" w:noHBand="0" w:noVBand="1"/>
      </w:tblPr>
      <w:tblGrid>
        <w:gridCol w:w="4111"/>
        <w:gridCol w:w="2268"/>
        <w:gridCol w:w="2376"/>
      </w:tblGrid>
      <w:tr w:rsidR="00CC6CA3" w:rsidRPr="00CC6CA3" w14:paraId="059D75E8" w14:textId="77777777" w:rsidTr="00F632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73691B8C" w14:textId="77777777" w:rsidR="006A68D6" w:rsidRPr="00CC6CA3" w:rsidRDefault="006A68D6" w:rsidP="00F632C0">
            <w:pPr>
              <w:pStyle w:val="Body"/>
              <w:spacing w:after="0" w:line="240" w:lineRule="auto"/>
              <w:rPr>
                <w:sz w:val="20"/>
                <w:szCs w:val="20"/>
              </w:rPr>
            </w:pPr>
            <w:r w:rsidRPr="00CC6CA3">
              <w:rPr>
                <w:sz w:val="20"/>
                <w:szCs w:val="20"/>
              </w:rPr>
              <w:t>Measurements</w:t>
            </w:r>
          </w:p>
        </w:tc>
        <w:tc>
          <w:tcPr>
            <w:tcW w:w="2268" w:type="dxa"/>
          </w:tcPr>
          <w:p w14:paraId="2252D082" w14:textId="77777777" w:rsidR="006A68D6" w:rsidRPr="00CC6CA3" w:rsidRDefault="006A68D6" w:rsidP="00F632C0">
            <w:pPr>
              <w:pStyle w:val="Body"/>
              <w:spacing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CC6CA3">
              <w:rPr>
                <w:sz w:val="20"/>
                <w:szCs w:val="20"/>
              </w:rPr>
              <w:t>Intensity coefficient</w:t>
            </w:r>
          </w:p>
        </w:tc>
        <w:tc>
          <w:tcPr>
            <w:tcW w:w="2376" w:type="dxa"/>
          </w:tcPr>
          <w:p w14:paraId="5E15CE70" w14:textId="77777777" w:rsidR="006A68D6" w:rsidRPr="00CC6CA3" w:rsidRDefault="006A68D6" w:rsidP="00F632C0">
            <w:pPr>
              <w:pStyle w:val="Body"/>
              <w:spacing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CC6CA3">
              <w:rPr>
                <w:sz w:val="20"/>
                <w:szCs w:val="20"/>
              </w:rPr>
              <w:t>Loadings by PCA</w:t>
            </w:r>
          </w:p>
        </w:tc>
      </w:tr>
      <w:tr w:rsidR="00CC6CA3" w:rsidRPr="00CC6CA3" w14:paraId="25C49413"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04C1093F" w14:textId="77777777" w:rsidR="006A68D6" w:rsidRPr="00CC6CA3" w:rsidRDefault="006A68D6" w:rsidP="00F632C0">
            <w:pPr>
              <w:pStyle w:val="Body"/>
              <w:spacing w:after="0" w:line="240" w:lineRule="auto"/>
              <w:rPr>
                <w:b w:val="0"/>
                <w:bCs w:val="0"/>
                <w:sz w:val="20"/>
                <w:szCs w:val="20"/>
              </w:rPr>
            </w:pPr>
            <w:r w:rsidRPr="00CC6CA3">
              <w:rPr>
                <w:sz w:val="20"/>
                <w:szCs w:val="20"/>
              </w:rPr>
              <w:t>Shaft speed</w:t>
            </w:r>
          </w:p>
        </w:tc>
        <w:tc>
          <w:tcPr>
            <w:tcW w:w="2268" w:type="dxa"/>
          </w:tcPr>
          <w:p w14:paraId="7C8C5FB1"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tcPr>
          <w:p w14:paraId="30401724" w14:textId="5C9A78B2"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-0.07994</w:t>
            </w:r>
          </w:p>
        </w:tc>
      </w:tr>
      <w:tr w:rsidR="00CC6CA3" w:rsidRPr="00CC6CA3" w14:paraId="45A1F150"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01716822" w14:textId="77777777" w:rsidR="006A68D6" w:rsidRPr="00CC6CA3" w:rsidRDefault="006A68D6" w:rsidP="00F632C0">
            <w:pPr>
              <w:pStyle w:val="Body"/>
              <w:spacing w:after="0" w:line="240" w:lineRule="auto"/>
              <w:rPr>
                <w:b w:val="0"/>
                <w:bCs w:val="0"/>
                <w:sz w:val="20"/>
                <w:szCs w:val="20"/>
              </w:rPr>
            </w:pPr>
            <w:r w:rsidRPr="00CC6CA3">
              <w:rPr>
                <w:sz w:val="20"/>
                <w:szCs w:val="20"/>
              </w:rPr>
              <w:t>Stage 1 Suction Pressure</w:t>
            </w:r>
          </w:p>
        </w:tc>
        <w:tc>
          <w:tcPr>
            <w:tcW w:w="2268" w:type="dxa"/>
          </w:tcPr>
          <w:p w14:paraId="76B4A1E9"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0AB46561" w14:textId="0C7D53C0"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0.06180</w:t>
            </w:r>
          </w:p>
        </w:tc>
      </w:tr>
      <w:tr w:rsidR="00CC6CA3" w:rsidRPr="00CC6CA3" w14:paraId="18B743AF"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70B350F1" w14:textId="77777777" w:rsidR="006A68D6" w:rsidRPr="00CC6CA3" w:rsidRDefault="006A68D6" w:rsidP="00F632C0">
            <w:pPr>
              <w:pStyle w:val="Body"/>
              <w:spacing w:after="0" w:line="240" w:lineRule="auto"/>
              <w:rPr>
                <w:b w:val="0"/>
                <w:bCs w:val="0"/>
                <w:sz w:val="20"/>
                <w:szCs w:val="20"/>
              </w:rPr>
            </w:pPr>
            <w:r w:rsidRPr="00CC6CA3">
              <w:rPr>
                <w:sz w:val="20"/>
                <w:szCs w:val="20"/>
              </w:rPr>
              <w:t>Stage 1 Discharge Pressure</w:t>
            </w:r>
          </w:p>
        </w:tc>
        <w:tc>
          <w:tcPr>
            <w:tcW w:w="2268" w:type="dxa"/>
          </w:tcPr>
          <w:p w14:paraId="2A352750"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5431E1FB" w14:textId="7B371DC0"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0.0288</w:t>
            </w:r>
            <w:r w:rsidR="00584154" w:rsidRPr="00CC6CA3">
              <w:rPr>
                <w:sz w:val="20"/>
                <w:szCs w:val="20"/>
              </w:rPr>
              <w:t>2</w:t>
            </w:r>
          </w:p>
        </w:tc>
      </w:tr>
      <w:tr w:rsidR="00CC6CA3" w:rsidRPr="00CC6CA3" w14:paraId="00E405CC"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49AC60D2" w14:textId="77777777" w:rsidR="006A68D6" w:rsidRPr="00CC6CA3" w:rsidRDefault="006A68D6" w:rsidP="00F632C0">
            <w:pPr>
              <w:pStyle w:val="Body"/>
              <w:spacing w:after="0" w:line="240" w:lineRule="auto"/>
              <w:rPr>
                <w:b w:val="0"/>
                <w:bCs w:val="0"/>
                <w:sz w:val="20"/>
                <w:szCs w:val="20"/>
              </w:rPr>
            </w:pPr>
            <w:r w:rsidRPr="00CC6CA3">
              <w:rPr>
                <w:sz w:val="20"/>
                <w:szCs w:val="20"/>
              </w:rPr>
              <w:t xml:space="preserve">Stage 1 Suction Temperature </w:t>
            </w:r>
          </w:p>
        </w:tc>
        <w:tc>
          <w:tcPr>
            <w:tcW w:w="2268" w:type="dxa"/>
          </w:tcPr>
          <w:p w14:paraId="750B46BB"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1</w:t>
            </w:r>
          </w:p>
        </w:tc>
        <w:tc>
          <w:tcPr>
            <w:tcW w:w="2376" w:type="dxa"/>
            <w:vAlign w:val="center"/>
          </w:tcPr>
          <w:p w14:paraId="4CA56A18" w14:textId="5894EEA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-0.06423</w:t>
            </w:r>
          </w:p>
        </w:tc>
      </w:tr>
      <w:tr w:rsidR="00CC6CA3" w:rsidRPr="00CC6CA3" w14:paraId="496DCB87"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46BF05E0" w14:textId="77777777" w:rsidR="006A68D6" w:rsidRPr="00CC6CA3" w:rsidRDefault="006A68D6" w:rsidP="00F632C0">
            <w:pPr>
              <w:pStyle w:val="Body"/>
              <w:spacing w:after="0" w:line="240" w:lineRule="auto"/>
              <w:rPr>
                <w:b w:val="0"/>
                <w:bCs w:val="0"/>
                <w:sz w:val="20"/>
                <w:szCs w:val="20"/>
              </w:rPr>
            </w:pPr>
            <w:r w:rsidRPr="00CC6CA3">
              <w:rPr>
                <w:sz w:val="20"/>
                <w:szCs w:val="20"/>
              </w:rPr>
              <w:t>Stage 1 Discharge Temperature</w:t>
            </w:r>
          </w:p>
        </w:tc>
        <w:tc>
          <w:tcPr>
            <w:tcW w:w="2268" w:type="dxa"/>
          </w:tcPr>
          <w:p w14:paraId="29514702"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1</w:t>
            </w:r>
          </w:p>
        </w:tc>
        <w:tc>
          <w:tcPr>
            <w:tcW w:w="2376" w:type="dxa"/>
            <w:vAlign w:val="center"/>
          </w:tcPr>
          <w:p w14:paraId="2E1DD47F" w14:textId="729484CA"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0.06180</w:t>
            </w:r>
          </w:p>
        </w:tc>
      </w:tr>
      <w:tr w:rsidR="00CC6CA3" w:rsidRPr="00CC6CA3" w14:paraId="530BAC8B"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1425C726" w14:textId="77777777" w:rsidR="006A68D6" w:rsidRPr="00CC6CA3" w:rsidRDefault="006A68D6" w:rsidP="00F632C0">
            <w:pPr>
              <w:pStyle w:val="Body"/>
              <w:spacing w:after="0" w:line="240" w:lineRule="auto"/>
              <w:rPr>
                <w:b w:val="0"/>
                <w:bCs w:val="0"/>
                <w:sz w:val="20"/>
                <w:szCs w:val="20"/>
              </w:rPr>
            </w:pPr>
            <w:r w:rsidRPr="00CC6CA3">
              <w:rPr>
                <w:sz w:val="20"/>
                <w:szCs w:val="20"/>
              </w:rPr>
              <w:t>Stage 2 Suction Pressure</w:t>
            </w:r>
          </w:p>
        </w:tc>
        <w:tc>
          <w:tcPr>
            <w:tcW w:w="2268" w:type="dxa"/>
          </w:tcPr>
          <w:p w14:paraId="0855ACC3"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59D171E8" w14:textId="4579F40E"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0.1397</w:t>
            </w:r>
            <w:r w:rsidR="00584154" w:rsidRPr="00CC6CA3">
              <w:rPr>
                <w:sz w:val="20"/>
                <w:szCs w:val="20"/>
              </w:rPr>
              <w:t>2</w:t>
            </w:r>
          </w:p>
        </w:tc>
      </w:tr>
      <w:tr w:rsidR="00CC6CA3" w:rsidRPr="00CC6CA3" w14:paraId="78048F04"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01E7337B" w14:textId="77777777" w:rsidR="006A68D6" w:rsidRPr="00CC6CA3" w:rsidRDefault="006A68D6" w:rsidP="00F632C0">
            <w:pPr>
              <w:pStyle w:val="Body"/>
              <w:spacing w:after="0" w:line="240" w:lineRule="auto"/>
              <w:rPr>
                <w:b w:val="0"/>
                <w:bCs w:val="0"/>
                <w:sz w:val="20"/>
                <w:szCs w:val="20"/>
              </w:rPr>
            </w:pPr>
            <w:r w:rsidRPr="00CC6CA3">
              <w:rPr>
                <w:sz w:val="20"/>
                <w:szCs w:val="20"/>
              </w:rPr>
              <w:t>Stage 2 Discharge Pressure</w:t>
            </w:r>
          </w:p>
        </w:tc>
        <w:tc>
          <w:tcPr>
            <w:tcW w:w="2268" w:type="dxa"/>
          </w:tcPr>
          <w:p w14:paraId="1DAEA724"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504EBF0F" w14:textId="33231990"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0.14767</w:t>
            </w:r>
          </w:p>
        </w:tc>
      </w:tr>
      <w:tr w:rsidR="00CC6CA3" w:rsidRPr="00CC6CA3" w14:paraId="0151DF5D"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61EF9439" w14:textId="77777777" w:rsidR="006A68D6" w:rsidRPr="00CC6CA3" w:rsidRDefault="006A68D6" w:rsidP="00F632C0">
            <w:pPr>
              <w:pStyle w:val="Body"/>
              <w:spacing w:after="0" w:line="240" w:lineRule="auto"/>
              <w:rPr>
                <w:b w:val="0"/>
                <w:bCs w:val="0"/>
                <w:sz w:val="20"/>
                <w:szCs w:val="20"/>
              </w:rPr>
            </w:pPr>
            <w:r w:rsidRPr="00CC6CA3">
              <w:rPr>
                <w:sz w:val="20"/>
                <w:szCs w:val="20"/>
              </w:rPr>
              <w:t>Stage 2 Suction Temperature</w:t>
            </w:r>
          </w:p>
        </w:tc>
        <w:tc>
          <w:tcPr>
            <w:tcW w:w="2268" w:type="dxa"/>
          </w:tcPr>
          <w:p w14:paraId="3F162DA4"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1</w:t>
            </w:r>
          </w:p>
        </w:tc>
        <w:tc>
          <w:tcPr>
            <w:tcW w:w="2376" w:type="dxa"/>
            <w:vAlign w:val="center"/>
          </w:tcPr>
          <w:p w14:paraId="50E1CBBD" w14:textId="52E19522"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-0.17958</w:t>
            </w:r>
          </w:p>
        </w:tc>
      </w:tr>
      <w:tr w:rsidR="00CC6CA3" w:rsidRPr="00CC6CA3" w14:paraId="29E594A3"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3CF2B420" w14:textId="77777777" w:rsidR="006A68D6" w:rsidRPr="00CC6CA3" w:rsidRDefault="006A68D6" w:rsidP="00F632C0">
            <w:pPr>
              <w:pStyle w:val="Body"/>
              <w:spacing w:after="0" w:line="240" w:lineRule="auto"/>
              <w:rPr>
                <w:b w:val="0"/>
                <w:bCs w:val="0"/>
                <w:sz w:val="20"/>
                <w:szCs w:val="20"/>
              </w:rPr>
            </w:pPr>
            <w:r w:rsidRPr="00CC6CA3">
              <w:rPr>
                <w:sz w:val="20"/>
                <w:szCs w:val="20"/>
              </w:rPr>
              <w:t>Stage 2 Discharge Temperature</w:t>
            </w:r>
          </w:p>
        </w:tc>
        <w:tc>
          <w:tcPr>
            <w:tcW w:w="2268" w:type="dxa"/>
          </w:tcPr>
          <w:p w14:paraId="45F4F216"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1</w:t>
            </w:r>
          </w:p>
        </w:tc>
        <w:tc>
          <w:tcPr>
            <w:tcW w:w="2376" w:type="dxa"/>
            <w:vAlign w:val="center"/>
          </w:tcPr>
          <w:p w14:paraId="60F81FB7" w14:textId="27FA92E1"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-0.33979</w:t>
            </w:r>
          </w:p>
        </w:tc>
      </w:tr>
      <w:tr w:rsidR="00CC6CA3" w:rsidRPr="00CC6CA3" w14:paraId="1B18715D"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6783ECEE" w14:textId="77777777" w:rsidR="006A68D6" w:rsidRPr="00CC6CA3" w:rsidRDefault="006A68D6" w:rsidP="00F632C0">
            <w:pPr>
              <w:pStyle w:val="Body"/>
              <w:spacing w:after="0" w:line="240" w:lineRule="auto"/>
              <w:rPr>
                <w:b w:val="0"/>
                <w:bCs w:val="0"/>
                <w:sz w:val="20"/>
                <w:szCs w:val="20"/>
              </w:rPr>
            </w:pPr>
            <w:r w:rsidRPr="00CC6CA3">
              <w:rPr>
                <w:sz w:val="20"/>
                <w:szCs w:val="20"/>
              </w:rPr>
              <w:t xml:space="preserve">Stage 3 Suction Pressure                </w:t>
            </w:r>
          </w:p>
        </w:tc>
        <w:tc>
          <w:tcPr>
            <w:tcW w:w="2268" w:type="dxa"/>
          </w:tcPr>
          <w:p w14:paraId="4B255DBF"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738A48D1" w14:textId="7DA46D1B"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0.14440</w:t>
            </w:r>
          </w:p>
        </w:tc>
      </w:tr>
      <w:tr w:rsidR="00CC6CA3" w:rsidRPr="00CC6CA3" w14:paraId="04297CE0"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13C1C4F2" w14:textId="77777777" w:rsidR="006A68D6" w:rsidRPr="00CC6CA3" w:rsidRDefault="006A68D6" w:rsidP="00F632C0">
            <w:pPr>
              <w:pStyle w:val="Body"/>
              <w:spacing w:after="0" w:line="240" w:lineRule="auto"/>
              <w:rPr>
                <w:b w:val="0"/>
                <w:bCs w:val="0"/>
                <w:sz w:val="20"/>
                <w:szCs w:val="20"/>
              </w:rPr>
            </w:pPr>
            <w:r w:rsidRPr="00CC6CA3">
              <w:rPr>
                <w:sz w:val="20"/>
                <w:szCs w:val="20"/>
              </w:rPr>
              <w:t>Stage 3 Discharge Pressure</w:t>
            </w:r>
          </w:p>
        </w:tc>
        <w:tc>
          <w:tcPr>
            <w:tcW w:w="2268" w:type="dxa"/>
          </w:tcPr>
          <w:p w14:paraId="0BAD2852"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0CF0924E" w14:textId="3F0D55E1"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0.3061</w:t>
            </w:r>
            <w:r w:rsidR="00584154" w:rsidRPr="00CC6CA3">
              <w:rPr>
                <w:sz w:val="20"/>
                <w:szCs w:val="20"/>
              </w:rPr>
              <w:t>1</w:t>
            </w:r>
          </w:p>
        </w:tc>
      </w:tr>
      <w:tr w:rsidR="00CC6CA3" w:rsidRPr="00CC6CA3" w14:paraId="079EBEAF"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46A85C3D" w14:textId="77777777" w:rsidR="006A68D6" w:rsidRPr="00CC6CA3" w:rsidRDefault="006A68D6" w:rsidP="00F632C0">
            <w:pPr>
              <w:pStyle w:val="Body"/>
              <w:spacing w:after="0" w:line="240" w:lineRule="auto"/>
              <w:rPr>
                <w:b w:val="0"/>
                <w:bCs w:val="0"/>
                <w:sz w:val="20"/>
                <w:szCs w:val="20"/>
              </w:rPr>
            </w:pPr>
            <w:r w:rsidRPr="00CC6CA3">
              <w:rPr>
                <w:sz w:val="20"/>
                <w:szCs w:val="20"/>
              </w:rPr>
              <w:t>Stage 1-2 DE Radial Vibration Overall X</w:t>
            </w:r>
          </w:p>
        </w:tc>
        <w:tc>
          <w:tcPr>
            <w:tcW w:w="2268" w:type="dxa"/>
          </w:tcPr>
          <w:p w14:paraId="43E77936"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2221D96C" w14:textId="72F74C68"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-0.0339</w:t>
            </w:r>
            <w:r w:rsidR="00584154" w:rsidRPr="00CC6CA3">
              <w:rPr>
                <w:sz w:val="20"/>
                <w:szCs w:val="20"/>
              </w:rPr>
              <w:t>6</w:t>
            </w:r>
          </w:p>
        </w:tc>
      </w:tr>
      <w:tr w:rsidR="00CC6CA3" w:rsidRPr="00CC6CA3" w14:paraId="7F068157"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7005E6C2" w14:textId="77777777" w:rsidR="006A68D6" w:rsidRPr="00CC6CA3" w:rsidRDefault="006A68D6" w:rsidP="00F632C0">
            <w:pPr>
              <w:pStyle w:val="Body"/>
              <w:spacing w:after="0" w:line="240" w:lineRule="auto"/>
              <w:rPr>
                <w:b w:val="0"/>
                <w:bCs w:val="0"/>
                <w:sz w:val="20"/>
                <w:szCs w:val="20"/>
              </w:rPr>
            </w:pPr>
            <w:r w:rsidRPr="00CC6CA3">
              <w:rPr>
                <w:sz w:val="20"/>
                <w:szCs w:val="20"/>
              </w:rPr>
              <w:t>Stage 1-2 DE Radial Vibration Overall Y</w:t>
            </w:r>
          </w:p>
        </w:tc>
        <w:tc>
          <w:tcPr>
            <w:tcW w:w="2268" w:type="dxa"/>
          </w:tcPr>
          <w:p w14:paraId="2D72A09B"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2188252A" w14:textId="2A8486AF"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-0.0404</w:t>
            </w:r>
            <w:r w:rsidR="00584154" w:rsidRPr="00CC6CA3">
              <w:rPr>
                <w:sz w:val="20"/>
                <w:szCs w:val="20"/>
              </w:rPr>
              <w:t>4</w:t>
            </w:r>
          </w:p>
        </w:tc>
      </w:tr>
      <w:tr w:rsidR="00CC6CA3" w:rsidRPr="00CC6CA3" w14:paraId="64F648C9"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379CD294" w14:textId="77777777" w:rsidR="006A68D6" w:rsidRPr="00CC6CA3" w:rsidRDefault="006A68D6" w:rsidP="00F632C0">
            <w:pPr>
              <w:pStyle w:val="Body"/>
              <w:spacing w:after="0" w:line="240" w:lineRule="auto"/>
              <w:rPr>
                <w:b w:val="0"/>
                <w:bCs w:val="0"/>
                <w:sz w:val="20"/>
                <w:szCs w:val="20"/>
              </w:rPr>
            </w:pPr>
            <w:r w:rsidRPr="00CC6CA3">
              <w:rPr>
                <w:sz w:val="20"/>
                <w:szCs w:val="20"/>
              </w:rPr>
              <w:t>Stage 1-2 NDE Radial Vibration Overall X</w:t>
            </w:r>
          </w:p>
        </w:tc>
        <w:tc>
          <w:tcPr>
            <w:tcW w:w="2268" w:type="dxa"/>
          </w:tcPr>
          <w:p w14:paraId="164747DE"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479CC9CB" w14:textId="2108FE70"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-0.10515</w:t>
            </w:r>
          </w:p>
        </w:tc>
      </w:tr>
      <w:tr w:rsidR="00CC6CA3" w:rsidRPr="00CC6CA3" w14:paraId="34155C4E"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57533144" w14:textId="77777777" w:rsidR="006A68D6" w:rsidRPr="00CC6CA3" w:rsidRDefault="006A68D6" w:rsidP="00F632C0">
            <w:pPr>
              <w:pStyle w:val="Body"/>
              <w:spacing w:after="0" w:line="240" w:lineRule="auto"/>
              <w:rPr>
                <w:b w:val="0"/>
                <w:bCs w:val="0"/>
                <w:sz w:val="20"/>
                <w:szCs w:val="20"/>
              </w:rPr>
            </w:pPr>
            <w:r w:rsidRPr="00CC6CA3">
              <w:rPr>
                <w:sz w:val="20"/>
                <w:szCs w:val="20"/>
              </w:rPr>
              <w:t>Stage 1-2 NDE Radial Vibration Overall Y</w:t>
            </w:r>
          </w:p>
        </w:tc>
        <w:tc>
          <w:tcPr>
            <w:tcW w:w="2268" w:type="dxa"/>
          </w:tcPr>
          <w:p w14:paraId="2D95ED46"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6BBC5BA9" w14:textId="0F2BDEA4"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-0.05252</w:t>
            </w:r>
          </w:p>
        </w:tc>
      </w:tr>
      <w:tr w:rsidR="00CC6CA3" w:rsidRPr="00CC6CA3" w14:paraId="0E9B01D2"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3282E431" w14:textId="77777777" w:rsidR="006A68D6" w:rsidRPr="00CC6CA3" w:rsidRDefault="006A68D6" w:rsidP="00F632C0">
            <w:pPr>
              <w:pStyle w:val="Body"/>
              <w:spacing w:after="0" w:line="240" w:lineRule="auto"/>
              <w:rPr>
                <w:b w:val="0"/>
                <w:bCs w:val="0"/>
                <w:sz w:val="20"/>
                <w:szCs w:val="20"/>
              </w:rPr>
            </w:pPr>
            <w:r w:rsidRPr="00CC6CA3">
              <w:rPr>
                <w:sz w:val="20"/>
                <w:szCs w:val="20"/>
              </w:rPr>
              <w:t>Stage 1-2 Thrust Position Axial Probe-1</w:t>
            </w:r>
          </w:p>
        </w:tc>
        <w:tc>
          <w:tcPr>
            <w:tcW w:w="2268" w:type="dxa"/>
          </w:tcPr>
          <w:p w14:paraId="62790D0E"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58F6C972" w14:textId="1AFDA190"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-0.2473</w:t>
            </w:r>
            <w:r w:rsidR="00584154" w:rsidRPr="00CC6CA3">
              <w:rPr>
                <w:sz w:val="20"/>
                <w:szCs w:val="20"/>
              </w:rPr>
              <w:t>3</w:t>
            </w:r>
          </w:p>
        </w:tc>
      </w:tr>
      <w:tr w:rsidR="00CC6CA3" w:rsidRPr="00CC6CA3" w14:paraId="5579E44B"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6BA17BE0" w14:textId="77777777" w:rsidR="006A68D6" w:rsidRPr="00CC6CA3" w:rsidRDefault="006A68D6" w:rsidP="00F632C0">
            <w:pPr>
              <w:pStyle w:val="Body"/>
              <w:spacing w:after="0" w:line="240" w:lineRule="auto"/>
              <w:rPr>
                <w:b w:val="0"/>
                <w:bCs w:val="0"/>
                <w:sz w:val="20"/>
                <w:szCs w:val="20"/>
              </w:rPr>
            </w:pPr>
            <w:r w:rsidRPr="00CC6CA3">
              <w:rPr>
                <w:sz w:val="20"/>
                <w:szCs w:val="20"/>
              </w:rPr>
              <w:t>Stage 1-2 Thrust Position Axial Probe-2</w:t>
            </w:r>
          </w:p>
        </w:tc>
        <w:tc>
          <w:tcPr>
            <w:tcW w:w="2268" w:type="dxa"/>
          </w:tcPr>
          <w:p w14:paraId="2D1A2F1F"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608E7DB8" w14:textId="54B265A5"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-0.27074</w:t>
            </w:r>
          </w:p>
        </w:tc>
      </w:tr>
      <w:tr w:rsidR="00CC6CA3" w:rsidRPr="00CC6CA3" w14:paraId="6FA93885"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4037F307" w14:textId="77777777" w:rsidR="006A68D6" w:rsidRPr="00CC6CA3" w:rsidRDefault="006A68D6" w:rsidP="00F632C0">
            <w:pPr>
              <w:pStyle w:val="Body"/>
              <w:spacing w:after="0" w:line="240" w:lineRule="auto"/>
              <w:rPr>
                <w:b w:val="0"/>
                <w:bCs w:val="0"/>
                <w:sz w:val="20"/>
                <w:szCs w:val="20"/>
              </w:rPr>
            </w:pPr>
            <w:r w:rsidRPr="00CC6CA3">
              <w:rPr>
                <w:sz w:val="20"/>
                <w:szCs w:val="20"/>
              </w:rPr>
              <w:t>Stage 3 DE Radial Vibration Overall X</w:t>
            </w:r>
          </w:p>
        </w:tc>
        <w:tc>
          <w:tcPr>
            <w:tcW w:w="2268" w:type="dxa"/>
          </w:tcPr>
          <w:p w14:paraId="3D732EF5"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06DD3790" w14:textId="48F0B090"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0.3225</w:t>
            </w:r>
            <w:r w:rsidR="00584154" w:rsidRPr="00CC6CA3">
              <w:rPr>
                <w:sz w:val="20"/>
                <w:szCs w:val="20"/>
              </w:rPr>
              <w:t>8</w:t>
            </w:r>
          </w:p>
        </w:tc>
      </w:tr>
      <w:tr w:rsidR="00CC6CA3" w:rsidRPr="00CC6CA3" w14:paraId="73D643F3"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49EA42C6" w14:textId="77777777" w:rsidR="006A68D6" w:rsidRPr="00CC6CA3" w:rsidRDefault="006A68D6" w:rsidP="00F632C0">
            <w:pPr>
              <w:pStyle w:val="Body"/>
              <w:spacing w:after="0" w:line="240" w:lineRule="auto"/>
              <w:rPr>
                <w:b w:val="0"/>
                <w:bCs w:val="0"/>
                <w:sz w:val="20"/>
                <w:szCs w:val="20"/>
              </w:rPr>
            </w:pPr>
            <w:r w:rsidRPr="00CC6CA3">
              <w:rPr>
                <w:sz w:val="20"/>
                <w:szCs w:val="20"/>
              </w:rPr>
              <w:t>Stage 3 DE Radial Vibration Overall Y</w:t>
            </w:r>
          </w:p>
        </w:tc>
        <w:tc>
          <w:tcPr>
            <w:tcW w:w="2268" w:type="dxa"/>
          </w:tcPr>
          <w:p w14:paraId="3B107488"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01534DA4" w14:textId="143D06F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0.3648</w:t>
            </w:r>
            <w:r w:rsidR="00584154" w:rsidRPr="00CC6CA3">
              <w:rPr>
                <w:sz w:val="20"/>
                <w:szCs w:val="20"/>
              </w:rPr>
              <w:t>8</w:t>
            </w:r>
          </w:p>
        </w:tc>
      </w:tr>
      <w:tr w:rsidR="00CC6CA3" w:rsidRPr="00CC6CA3" w14:paraId="6DCE8E6C"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7DF9A408" w14:textId="77777777" w:rsidR="006A68D6" w:rsidRPr="00CC6CA3" w:rsidRDefault="006A68D6" w:rsidP="00F632C0">
            <w:pPr>
              <w:pStyle w:val="Body"/>
              <w:spacing w:after="0" w:line="240" w:lineRule="auto"/>
              <w:rPr>
                <w:b w:val="0"/>
                <w:bCs w:val="0"/>
                <w:sz w:val="20"/>
                <w:szCs w:val="20"/>
              </w:rPr>
            </w:pPr>
            <w:r w:rsidRPr="00CC6CA3">
              <w:rPr>
                <w:sz w:val="20"/>
                <w:szCs w:val="20"/>
              </w:rPr>
              <w:t>Stage 3 NDE Radial Vibration Overall X</w:t>
            </w:r>
          </w:p>
        </w:tc>
        <w:tc>
          <w:tcPr>
            <w:tcW w:w="2268" w:type="dxa"/>
          </w:tcPr>
          <w:p w14:paraId="6D16BBB8"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1C2C6294" w14:textId="0E8D00FF"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0.36222</w:t>
            </w:r>
          </w:p>
        </w:tc>
      </w:tr>
      <w:tr w:rsidR="00CC6CA3" w:rsidRPr="00CC6CA3" w14:paraId="2DA110B6"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283AAA17" w14:textId="77777777" w:rsidR="006A68D6" w:rsidRPr="00CC6CA3" w:rsidRDefault="006A68D6" w:rsidP="00F632C0">
            <w:pPr>
              <w:pStyle w:val="Body"/>
              <w:spacing w:after="0" w:line="240" w:lineRule="auto"/>
              <w:rPr>
                <w:b w:val="0"/>
                <w:bCs w:val="0"/>
                <w:sz w:val="20"/>
                <w:szCs w:val="20"/>
              </w:rPr>
            </w:pPr>
            <w:r w:rsidRPr="00CC6CA3">
              <w:rPr>
                <w:sz w:val="20"/>
                <w:szCs w:val="20"/>
              </w:rPr>
              <w:t>Stage 3 NDE Radial Vibration Overall Y</w:t>
            </w:r>
          </w:p>
        </w:tc>
        <w:tc>
          <w:tcPr>
            <w:tcW w:w="2268" w:type="dxa"/>
          </w:tcPr>
          <w:p w14:paraId="6D9BFAB6"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13EE0777" w14:textId="41C3C5EE"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0.25538</w:t>
            </w:r>
          </w:p>
        </w:tc>
      </w:tr>
      <w:tr w:rsidR="00CC6CA3" w:rsidRPr="00CC6CA3" w14:paraId="6FC191B4" w14:textId="77777777" w:rsidTr="00F632C0">
        <w:tc>
          <w:tcPr>
            <w:cnfStyle w:val="001000000000" w:firstRow="0" w:lastRow="0" w:firstColumn="1" w:lastColumn="0" w:oddVBand="0" w:evenVBand="0" w:oddHBand="0" w:evenHBand="0" w:firstRowFirstColumn="0" w:firstRowLastColumn="0" w:lastRowFirstColumn="0" w:lastRowLastColumn="0"/>
            <w:tcW w:w="4111" w:type="dxa"/>
          </w:tcPr>
          <w:p w14:paraId="170ADD9A" w14:textId="77777777" w:rsidR="006A68D6" w:rsidRPr="00CC6CA3" w:rsidRDefault="006A68D6" w:rsidP="00F632C0">
            <w:pPr>
              <w:pStyle w:val="Body"/>
              <w:spacing w:after="0" w:line="240" w:lineRule="auto"/>
              <w:rPr>
                <w:b w:val="0"/>
                <w:bCs w:val="0"/>
                <w:sz w:val="20"/>
                <w:szCs w:val="20"/>
              </w:rPr>
            </w:pPr>
            <w:r w:rsidRPr="00CC6CA3">
              <w:rPr>
                <w:sz w:val="20"/>
                <w:szCs w:val="20"/>
              </w:rPr>
              <w:t>Stage 3 Thrust Position Axial Probe-1</w:t>
            </w:r>
          </w:p>
        </w:tc>
        <w:tc>
          <w:tcPr>
            <w:tcW w:w="2268" w:type="dxa"/>
          </w:tcPr>
          <w:p w14:paraId="16E41B5D" w14:textId="77777777"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2</w:t>
            </w:r>
          </w:p>
        </w:tc>
        <w:tc>
          <w:tcPr>
            <w:tcW w:w="2376" w:type="dxa"/>
            <w:vAlign w:val="center"/>
          </w:tcPr>
          <w:p w14:paraId="47FA7E06" w14:textId="2B8C55C9" w:rsidR="006A68D6" w:rsidRPr="00CC6CA3" w:rsidRDefault="006A68D6" w:rsidP="00F632C0">
            <w:pPr>
              <w:pStyle w:val="Body"/>
              <w:spacing w:after="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C6CA3">
              <w:rPr>
                <w:sz w:val="20"/>
                <w:szCs w:val="20"/>
              </w:rPr>
              <w:t>-0.15293</w:t>
            </w:r>
          </w:p>
        </w:tc>
      </w:tr>
      <w:tr w:rsidR="00CC6CA3" w:rsidRPr="00CC6CA3" w14:paraId="5BF1ACFE" w14:textId="77777777" w:rsidTr="00F632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6FFFAB50" w14:textId="77777777" w:rsidR="006A68D6" w:rsidRPr="00CC6CA3" w:rsidRDefault="006A68D6" w:rsidP="00F632C0">
            <w:pPr>
              <w:pStyle w:val="Body"/>
              <w:spacing w:after="0" w:line="240" w:lineRule="auto"/>
              <w:rPr>
                <w:b w:val="0"/>
                <w:bCs w:val="0"/>
                <w:sz w:val="20"/>
                <w:szCs w:val="20"/>
              </w:rPr>
            </w:pPr>
            <w:r w:rsidRPr="00CC6CA3">
              <w:rPr>
                <w:sz w:val="20"/>
                <w:szCs w:val="20"/>
              </w:rPr>
              <w:t>Stage 3 Thrust Position Axial Probe-2</w:t>
            </w:r>
          </w:p>
        </w:tc>
        <w:tc>
          <w:tcPr>
            <w:tcW w:w="2268" w:type="dxa"/>
          </w:tcPr>
          <w:p w14:paraId="3E5BFEE5" w14:textId="77777777"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2</w:t>
            </w:r>
          </w:p>
        </w:tc>
        <w:tc>
          <w:tcPr>
            <w:tcW w:w="2376" w:type="dxa"/>
            <w:vAlign w:val="center"/>
          </w:tcPr>
          <w:p w14:paraId="6A4E6125" w14:textId="2CFAC60B" w:rsidR="006A68D6" w:rsidRPr="00CC6CA3" w:rsidRDefault="006A68D6" w:rsidP="00F632C0">
            <w:pPr>
              <w:pStyle w:val="Body"/>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CC6CA3">
              <w:rPr>
                <w:sz w:val="20"/>
                <w:szCs w:val="20"/>
              </w:rPr>
              <w:t>-0.1756</w:t>
            </w:r>
            <w:r w:rsidR="00584154" w:rsidRPr="00CC6CA3">
              <w:rPr>
                <w:sz w:val="20"/>
                <w:szCs w:val="20"/>
              </w:rPr>
              <w:t>8</w:t>
            </w:r>
          </w:p>
        </w:tc>
      </w:tr>
    </w:tbl>
    <w:p w14:paraId="61868355" w14:textId="47C4CBBD" w:rsidR="006A68D6" w:rsidRPr="00CC6CA3" w:rsidRDefault="002D7A70" w:rsidP="006A68D6">
      <w:pPr>
        <w:spacing w:before="120"/>
      </w:pPr>
      <w:r w:rsidRPr="00CC6CA3">
        <w:t xml:space="preserve">Inserting the </w:t>
      </w:r>
      <w:r w:rsidRPr="00CC6CA3">
        <w:rPr>
          <w:rFonts w:cs="Times New Roman"/>
          <w:iCs/>
          <w:szCs w:val="24"/>
        </w:rPr>
        <w:t>values</w:t>
      </w:r>
      <w:r w:rsidRPr="00CC6CA3">
        <w:t xml:space="preserve"> in </w:t>
      </w:r>
      <w:r w:rsidR="006A68D6" w:rsidRPr="00CC6CA3">
        <w:fldChar w:fldCharType="begin"/>
      </w:r>
      <w:r w:rsidR="006A68D6" w:rsidRPr="00CC6CA3">
        <w:instrText xml:space="preserve"> REF _Ref63626955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5</w:t>
      </w:r>
      <w:r w:rsidR="006A68D6" w:rsidRPr="00CC6CA3">
        <w:fldChar w:fldCharType="end"/>
      </w:r>
      <w:r w:rsidR="006A68D6" w:rsidRPr="00CC6CA3">
        <w:t xml:space="preserve"> into Equation </w:t>
      </w:r>
      <w:r w:rsidR="006A68D6" w:rsidRPr="00CC6CA3">
        <w:fldChar w:fldCharType="begin"/>
      </w:r>
      <w:r w:rsidR="006A68D6" w:rsidRPr="00CC6CA3">
        <w:instrText xml:space="preserve"> REF _Ref41943482 \h </w:instrText>
      </w:r>
      <w:r w:rsidR="006A68D6"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12</w:t>
      </w:r>
      <w:r w:rsidR="001906D9" w:rsidRPr="00CC6CA3">
        <w:rPr>
          <w:rFonts w:cs="Times New Roman"/>
          <w:sz w:val="26"/>
          <w:szCs w:val="26"/>
        </w:rPr>
        <w:t>)</w:t>
      </w:r>
      <w:r w:rsidR="006A68D6" w:rsidRPr="00CC6CA3">
        <w:fldChar w:fldCharType="end"/>
      </w:r>
      <w:r w:rsidR="006A68D6" w:rsidRPr="00CC6CA3">
        <w:t xml:space="preserve"> and </w:t>
      </w:r>
      <w:r w:rsidR="006A68D6" w:rsidRPr="00CC6CA3">
        <w:fldChar w:fldCharType="begin"/>
      </w:r>
      <w:r w:rsidR="006A68D6" w:rsidRPr="00CC6CA3">
        <w:instrText xml:space="preserve"> REF _Ref43370046 \h </w:instrText>
      </w:r>
      <w:r w:rsidR="006A68D6" w:rsidRPr="00CC6CA3">
        <w:fldChar w:fldCharType="separate"/>
      </w:r>
      <w:r w:rsidR="001906D9" w:rsidRPr="00CC6CA3">
        <w:rPr>
          <w:rFonts w:cs="Times New Roman" w:hint="eastAsia"/>
          <w:sz w:val="26"/>
          <w:szCs w:val="26"/>
        </w:rPr>
        <w:t>(</w:t>
      </w:r>
      <w:r w:rsidR="001906D9" w:rsidRPr="00CC6CA3">
        <w:rPr>
          <w:noProof/>
        </w:rPr>
        <w:t>2</w:t>
      </w:r>
      <w:r w:rsidR="001906D9" w:rsidRPr="00CC6CA3">
        <w:noBreakHyphen/>
      </w:r>
      <w:r w:rsidR="001906D9" w:rsidRPr="00CC6CA3">
        <w:rPr>
          <w:noProof/>
        </w:rPr>
        <w:t>13</w:t>
      </w:r>
      <w:r w:rsidR="001906D9" w:rsidRPr="00CC6CA3">
        <w:rPr>
          <w:rFonts w:cs="Times New Roman"/>
          <w:sz w:val="26"/>
          <w:szCs w:val="26"/>
        </w:rPr>
        <w:t>)</w:t>
      </w:r>
      <w:r w:rsidR="006A68D6" w:rsidRPr="00CC6CA3">
        <w:fldChar w:fldCharType="end"/>
      </w:r>
      <w:r w:rsidR="006A68D6" w:rsidRPr="00CC6CA3">
        <w:t xml:space="preserve">, </w:t>
      </w:r>
      <w:r w:rsidRPr="00CC6CA3">
        <w:t>the severity scores for a fault that occurred in the compressor system can be obtained and are presented in</w:t>
      </w:r>
      <w:r w:rsidR="006A68D6" w:rsidRPr="00CC6CA3">
        <w:t xml:space="preserve"> </w:t>
      </w:r>
      <w:r w:rsidR="006A68D6" w:rsidRPr="00CC6CA3">
        <w:fldChar w:fldCharType="begin"/>
      </w:r>
      <w:r w:rsidR="006A68D6" w:rsidRPr="00CC6CA3">
        <w:instrText xml:space="preserve"> REF _Ref63629322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10</w:t>
      </w:r>
      <w:r w:rsidR="006A68D6" w:rsidRPr="00CC6CA3">
        <w:fldChar w:fldCharType="end"/>
      </w:r>
      <w:r w:rsidR="006A68D6" w:rsidRPr="00CC6CA3">
        <w:t>.</w:t>
      </w:r>
    </w:p>
    <w:p w14:paraId="006945C6" w14:textId="77777777" w:rsidR="006A68D6" w:rsidRPr="00CC6CA3" w:rsidRDefault="006A68D6" w:rsidP="006A68D6">
      <w:pPr>
        <w:keepNext/>
        <w:jc w:val="center"/>
      </w:pPr>
      <w:r w:rsidRPr="00CC6CA3">
        <w:rPr>
          <w:noProof/>
        </w:rPr>
        <w:drawing>
          <wp:inline distT="0" distB="0" distL="0" distR="0" wp14:anchorId="30FB600B" wp14:editId="36A04742">
            <wp:extent cx="4752000" cy="197551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2000" cy="1975515"/>
                    </a:xfrm>
                    <a:prstGeom prst="rect">
                      <a:avLst/>
                    </a:prstGeom>
                    <a:noFill/>
                  </pic:spPr>
                </pic:pic>
              </a:graphicData>
            </a:graphic>
          </wp:inline>
        </w:drawing>
      </w:r>
    </w:p>
    <w:p w14:paraId="61A67400" w14:textId="32EC2BB7" w:rsidR="006A68D6" w:rsidRPr="00CC6CA3" w:rsidRDefault="006A68D6" w:rsidP="006A68D6">
      <w:pPr>
        <w:pStyle w:val="Caption"/>
        <w:jc w:val="center"/>
      </w:pPr>
      <w:bookmarkStart w:id="498" w:name="_Ref63629322"/>
      <w:bookmarkStart w:id="499" w:name="_Toc8155343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10</w:t>
      </w:r>
      <w:r w:rsidR="00D62691" w:rsidRPr="00CC6CA3">
        <w:rPr>
          <w:noProof/>
        </w:rPr>
        <w:fldChar w:fldCharType="end"/>
      </w:r>
      <w:bookmarkEnd w:id="498"/>
      <w:r w:rsidRPr="00CC6CA3">
        <w:t xml:space="preserve"> Severity score of a fault happed in the compressor system in </w:t>
      </w:r>
      <w:r w:rsidR="002D7A70" w:rsidRPr="00CC6CA3">
        <w:t>C</w:t>
      </w:r>
      <w:r w:rsidRPr="00CC6CA3">
        <w:t>ase 3</w:t>
      </w:r>
      <w:bookmarkEnd w:id="499"/>
    </w:p>
    <w:p w14:paraId="49BD113F" w14:textId="6393820D" w:rsidR="006A68D6" w:rsidRPr="00CC6CA3" w:rsidRDefault="006A68D6" w:rsidP="006A68D6">
      <w:pPr>
        <w:spacing w:before="120"/>
      </w:pPr>
      <w:r w:rsidRPr="00CC6CA3">
        <w:lastRenderedPageBreak/>
        <w:t xml:space="preserve">The </w:t>
      </w:r>
      <w:r w:rsidRPr="00CC6CA3">
        <w:rPr>
          <w:rFonts w:cs="Times New Roman"/>
          <w:iCs/>
          <w:szCs w:val="24"/>
        </w:rPr>
        <w:t>system</w:t>
      </w:r>
      <w:r w:rsidRPr="00CC6CA3">
        <w:t xml:space="preserve"> health indicator of the compressor was obtained by the risk of the fault, which combined the effect of severity with the probability of fault. </w:t>
      </w:r>
      <w:r w:rsidRPr="00CC6CA3">
        <w:fldChar w:fldCharType="begin"/>
      </w:r>
      <w:r w:rsidRPr="00CC6CA3">
        <w:instrText xml:space="preserve"> REF _Ref63629527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11</w:t>
      </w:r>
      <w:r w:rsidRPr="00CC6CA3">
        <w:fldChar w:fldCharType="end"/>
      </w:r>
      <w:r w:rsidRPr="00CC6CA3">
        <w:t xml:space="preserve"> shows the risk profile calculated by the third principal component.</w:t>
      </w:r>
    </w:p>
    <w:p w14:paraId="754B7FAA" w14:textId="77777777" w:rsidR="006A68D6" w:rsidRPr="00CC6CA3" w:rsidRDefault="006A68D6" w:rsidP="006A68D6">
      <w:pPr>
        <w:keepNext/>
        <w:jc w:val="center"/>
      </w:pPr>
      <w:r w:rsidRPr="00CC6CA3">
        <w:rPr>
          <w:noProof/>
        </w:rPr>
        <w:drawing>
          <wp:inline distT="0" distB="0" distL="0" distR="0" wp14:anchorId="3DDA90D5" wp14:editId="04F31DC4">
            <wp:extent cx="4752000" cy="237072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2000" cy="2370724"/>
                    </a:xfrm>
                    <a:prstGeom prst="rect">
                      <a:avLst/>
                    </a:prstGeom>
                    <a:noFill/>
                  </pic:spPr>
                </pic:pic>
              </a:graphicData>
            </a:graphic>
          </wp:inline>
        </w:drawing>
      </w:r>
    </w:p>
    <w:p w14:paraId="6C6D9E88" w14:textId="447298C1" w:rsidR="006A68D6" w:rsidRPr="00CC6CA3" w:rsidRDefault="006A68D6" w:rsidP="006A68D6">
      <w:pPr>
        <w:pStyle w:val="Caption"/>
        <w:jc w:val="center"/>
        <w:rPr>
          <w:rFonts w:cs="Times New Roman"/>
          <w:sz w:val="24"/>
          <w:szCs w:val="24"/>
        </w:rPr>
      </w:pPr>
      <w:bookmarkStart w:id="500" w:name="_Ref63629527"/>
      <w:bookmarkStart w:id="501" w:name="_Toc8155343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11</w:t>
      </w:r>
      <w:r w:rsidR="00D62691" w:rsidRPr="00CC6CA3">
        <w:rPr>
          <w:noProof/>
        </w:rPr>
        <w:fldChar w:fldCharType="end"/>
      </w:r>
      <w:bookmarkEnd w:id="500"/>
      <w:r w:rsidRPr="00CC6CA3">
        <w:t xml:space="preserve"> Risk profile of the compressor using the third principal component</w:t>
      </w:r>
      <w:bookmarkEnd w:id="501"/>
    </w:p>
    <w:p w14:paraId="4467B853" w14:textId="1320D6F1" w:rsidR="006A68D6" w:rsidRPr="00CC6CA3" w:rsidRDefault="00560AB2" w:rsidP="006A68D6">
      <w:r w:rsidRPr="00CC6CA3">
        <w:rPr>
          <w:szCs w:val="24"/>
        </w:rPr>
        <w:t xml:space="preserve">As can be seen in </w:t>
      </w:r>
      <w:r w:rsidR="006A68D6" w:rsidRPr="00CC6CA3">
        <w:fldChar w:fldCharType="begin"/>
      </w:r>
      <w:r w:rsidR="006A68D6" w:rsidRPr="00CC6CA3">
        <w:instrText xml:space="preserve"> REF _Ref63629527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11</w:t>
      </w:r>
      <w:r w:rsidR="006A68D6" w:rsidRPr="00CC6CA3">
        <w:fldChar w:fldCharType="end"/>
      </w:r>
      <w:r w:rsidR="006A68D6" w:rsidRPr="00CC6CA3">
        <w:t xml:space="preserve">, </w:t>
      </w:r>
      <w:r w:rsidRPr="00CC6CA3">
        <w:t>the health indicator first exceeded the fault detection threshold at 13:00 on 10</w:t>
      </w:r>
      <w:r w:rsidRPr="00CC6CA3">
        <w:rPr>
          <w:vertAlign w:val="superscript"/>
        </w:rPr>
        <w:t>th</w:t>
      </w:r>
      <w:r w:rsidRPr="00CC6CA3">
        <w:t xml:space="preserve"> Sep 2014, and then fluctuated with most indicator values remaining below the fault detection threshold. At 01:00 on 23</w:t>
      </w:r>
      <w:r w:rsidRPr="00CC6CA3">
        <w:rPr>
          <w:vertAlign w:val="superscript"/>
        </w:rPr>
        <w:t>rd</w:t>
      </w:r>
      <w:r w:rsidRPr="00CC6CA3">
        <w:t xml:space="preserve"> Sep 2014, the indicator exceeded the fault detection threshold again, and after this time most fluctuations were above the fault detection threshold. The health indicator suggested shutting down the compressor to carry out maintenance at 08:00 on 14</w:t>
      </w:r>
      <w:r w:rsidRPr="00CC6CA3">
        <w:rPr>
          <w:vertAlign w:val="superscript"/>
        </w:rPr>
        <w:t>th</w:t>
      </w:r>
      <w:r w:rsidRPr="00CC6CA3">
        <w:t xml:space="preserve"> Oct 2014</w:t>
      </w:r>
      <w:r w:rsidR="006A68D6" w:rsidRPr="00CC6CA3">
        <w:t xml:space="preserve">. </w:t>
      </w:r>
      <w:r w:rsidRPr="00CC6CA3">
        <w:t>Compared with the original measured signals in Figure 3-21, the company did not take action to inspect the compressor, and the risk kept growing. The compressor was shut down on 24</w:t>
      </w:r>
      <w:r w:rsidRPr="00CC6CA3">
        <w:rPr>
          <w:vertAlign w:val="superscript"/>
        </w:rPr>
        <w:t>th</w:t>
      </w:r>
      <w:r w:rsidRPr="00CC6CA3">
        <w:t xml:space="preserve"> Oct. However, as can be seen in Figure 3-21, only the overall vibration X and Y of the radial DE bearing at the 3</w:t>
      </w:r>
      <w:r w:rsidRPr="00CC6CA3">
        <w:rPr>
          <w:vertAlign w:val="superscript"/>
        </w:rPr>
        <w:t>rd</w:t>
      </w:r>
      <w:r w:rsidRPr="00CC6CA3">
        <w:t xml:space="preserve"> stage of the compressor were abnormal at first. After the </w:t>
      </w:r>
      <w:proofErr w:type="gramStart"/>
      <w:r w:rsidRPr="00CC6CA3">
        <w:t>16</w:t>
      </w:r>
      <w:r w:rsidRPr="00CC6CA3">
        <w:rPr>
          <w:vertAlign w:val="superscript"/>
        </w:rPr>
        <w:t>th</w:t>
      </w:r>
      <w:proofErr w:type="gramEnd"/>
      <w:r w:rsidRPr="00CC6CA3">
        <w:t xml:space="preserve"> Oct, anomalies were observed in many variables, for example, overall vibration X and Y of stage 1-2 radial DE bearing and stage 3 NDE bearing. This indicated that after 16</w:t>
      </w:r>
      <w:r w:rsidRPr="00CC6CA3">
        <w:rPr>
          <w:vertAlign w:val="superscript"/>
        </w:rPr>
        <w:t>th</w:t>
      </w:r>
      <w:r w:rsidRPr="00CC6CA3">
        <w:t xml:space="preserve"> Oct, the system was in a very dangerous condition. The health indicator indicated shutting down the compressor at 08:00 on 14</w:t>
      </w:r>
      <w:r w:rsidRPr="00CC6CA3">
        <w:rPr>
          <w:vertAlign w:val="superscript"/>
        </w:rPr>
        <w:t>th</w:t>
      </w:r>
      <w:r w:rsidRPr="00CC6CA3">
        <w:t xml:space="preserve"> Oct, which was about two days before the system deteriorated to a dangerous condition</w:t>
      </w:r>
      <w:r w:rsidR="006A68D6" w:rsidRPr="00CC6CA3">
        <w:t xml:space="preserve">. </w:t>
      </w:r>
      <w:r w:rsidRPr="00CC6CA3">
        <w:t>The health indicator is intended to protect the compressor system from breakdown</w:t>
      </w:r>
      <w:r w:rsidR="006A68D6" w:rsidRPr="00CC6CA3">
        <w:t xml:space="preserve">. </w:t>
      </w:r>
    </w:p>
    <w:p w14:paraId="5A1717CD" w14:textId="6FCAD5F2" w:rsidR="006A68D6" w:rsidRPr="00CC6CA3" w:rsidRDefault="00474C42" w:rsidP="006A68D6">
      <w:pPr>
        <w:pStyle w:val="Heading2"/>
        <w:rPr>
          <w:lang w:val="en-US"/>
        </w:rPr>
      </w:pPr>
      <w:bookmarkStart w:id="502" w:name="_Toc81553305"/>
      <w:r w:rsidRPr="00CC6CA3">
        <w:rPr>
          <w:lang w:val="en-US"/>
        </w:rPr>
        <w:lastRenderedPageBreak/>
        <w:t>SAE</w:t>
      </w:r>
      <w:r w:rsidR="00B52881" w:rsidRPr="00CC6CA3">
        <w:rPr>
          <w:rFonts w:cs="Times New Roman"/>
          <w:b w:val="0"/>
          <w:bCs/>
          <w:sz w:val="20"/>
          <w:szCs w:val="20"/>
        </w:rPr>
        <w:t xml:space="preserve"> </w:t>
      </w:r>
      <w:r w:rsidR="0069015C" w:rsidRPr="00CC6CA3">
        <w:rPr>
          <w:lang w:val="en-US"/>
        </w:rPr>
        <w:t>based risk assessment maintenance methodology</w:t>
      </w:r>
      <w:bookmarkEnd w:id="502"/>
      <w:r w:rsidR="0069015C" w:rsidRPr="00CC6CA3">
        <w:rPr>
          <w:lang w:val="en-US"/>
        </w:rPr>
        <w:t xml:space="preserve"> </w:t>
      </w:r>
    </w:p>
    <w:p w14:paraId="42F8F089" w14:textId="74CD5BD5" w:rsidR="006A68D6" w:rsidRPr="00CC6CA3" w:rsidRDefault="004C2940" w:rsidP="006A68D6">
      <w:pPr>
        <w:pStyle w:val="Heading3"/>
        <w:rPr>
          <w:lang w:val="en-US"/>
        </w:rPr>
      </w:pPr>
      <w:bookmarkStart w:id="503" w:name="_Toc81553306"/>
      <w:r w:rsidRPr="00CC6CA3">
        <w:rPr>
          <w:lang w:val="en-US"/>
        </w:rPr>
        <w:t>Overall m</w:t>
      </w:r>
      <w:r w:rsidR="006A68D6" w:rsidRPr="00CC6CA3">
        <w:rPr>
          <w:lang w:val="en-US"/>
        </w:rPr>
        <w:t>ethodology</w:t>
      </w:r>
      <w:bookmarkEnd w:id="503"/>
    </w:p>
    <w:p w14:paraId="6330822C" w14:textId="26DB2154" w:rsidR="006A68D6" w:rsidRPr="00CC6CA3" w:rsidRDefault="006A68D6" w:rsidP="00FE17DF">
      <w:r w:rsidRPr="00CC6CA3">
        <w:t xml:space="preserve">The overall methodology for calculating a system health indicator is shown in </w:t>
      </w:r>
      <w:r w:rsidRPr="00CC6CA3">
        <w:fldChar w:fldCharType="begin"/>
      </w:r>
      <w:r w:rsidRPr="00CC6CA3">
        <w:instrText xml:space="preserve"> REF _Ref39089871 \h  \* MERGEFORMAT </w:instrText>
      </w:r>
      <w:r w:rsidRPr="00CC6CA3">
        <w:fldChar w:fldCharType="separate"/>
      </w:r>
      <w:r w:rsidR="001906D9" w:rsidRPr="00CC6CA3">
        <w:t>Figure 5.12</w:t>
      </w:r>
      <w:r w:rsidRPr="00CC6CA3">
        <w:fldChar w:fldCharType="end"/>
      </w:r>
      <w:r w:rsidRPr="00CC6CA3">
        <w:t xml:space="preserve">, </w:t>
      </w:r>
      <w:r w:rsidR="0069015C" w:rsidRPr="00CC6CA3">
        <w:t xml:space="preserve">which is composed of an offline phase and an online phase. Here, the system health indicator is obtained from the risk profile of the system using condition monitoring data. The detailed process is seen in </w:t>
      </w:r>
      <w:r w:rsidR="0069015C" w:rsidRPr="00CC6CA3">
        <w:fldChar w:fldCharType="begin"/>
      </w:r>
      <w:r w:rsidR="0069015C" w:rsidRPr="00CC6CA3">
        <w:instrText xml:space="preserve"> REF _Ref39089871 \h  \* MERGEFORMAT </w:instrText>
      </w:r>
      <w:r w:rsidR="0069015C" w:rsidRPr="00CC6CA3">
        <w:fldChar w:fldCharType="separate"/>
      </w:r>
      <w:r w:rsidR="001906D9" w:rsidRPr="00CC6CA3">
        <w:t>Figure 5.12</w:t>
      </w:r>
      <w:r w:rsidR="0069015C" w:rsidRPr="00CC6CA3">
        <w:fldChar w:fldCharType="end"/>
      </w:r>
      <w:r w:rsidR="0069015C" w:rsidRPr="00CC6CA3">
        <w:t xml:space="preserve"> and is described below</w:t>
      </w:r>
      <w:r w:rsidRPr="00CC6CA3">
        <w:t>.</w:t>
      </w:r>
    </w:p>
    <w:p w14:paraId="56FEB9FC" w14:textId="77777777" w:rsidR="006A68D6" w:rsidRPr="00CC6CA3" w:rsidRDefault="006A68D6" w:rsidP="006A68D6">
      <w:pPr>
        <w:keepNext/>
        <w:jc w:val="center"/>
      </w:pPr>
      <w:r w:rsidRPr="00CC6CA3">
        <w:object w:dxaOrig="15036" w:dyaOrig="7345" w14:anchorId="2E7961A2">
          <v:shape id="_x0000_i1093" type="#_x0000_t75" style="width:438pt;height:3in" o:ole="">
            <v:imagedata r:id="rId201" o:title=""/>
          </v:shape>
          <o:OLEObject Type="Embed" ProgID="Visio.Drawing.15" ShapeID="_x0000_i1093" DrawAspect="Content" ObjectID="_1692500372" r:id="rId202"/>
        </w:object>
      </w:r>
    </w:p>
    <w:p w14:paraId="0531D6E3" w14:textId="31592548" w:rsidR="006A68D6" w:rsidRPr="00CC6CA3" w:rsidRDefault="006A68D6" w:rsidP="006A68D6">
      <w:pPr>
        <w:pStyle w:val="Caption"/>
        <w:jc w:val="center"/>
      </w:pPr>
      <w:bookmarkStart w:id="504" w:name="_Ref39089871"/>
      <w:bookmarkStart w:id="505" w:name="_Toc8155343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12</w:t>
      </w:r>
      <w:r w:rsidR="00D62691" w:rsidRPr="00CC6CA3">
        <w:rPr>
          <w:noProof/>
        </w:rPr>
        <w:fldChar w:fldCharType="end"/>
      </w:r>
      <w:bookmarkEnd w:id="504"/>
      <w:r w:rsidRPr="00CC6CA3">
        <w:t xml:space="preserve"> </w:t>
      </w:r>
      <w:r w:rsidRPr="00CC6CA3">
        <w:rPr>
          <w:rFonts w:hint="eastAsia"/>
        </w:rPr>
        <w:t>Flow</w:t>
      </w:r>
      <w:r w:rsidRPr="00CC6CA3">
        <w:t xml:space="preserve"> chart of obtaining the system health indicator via the proposed methodology</w:t>
      </w:r>
      <w:bookmarkEnd w:id="505"/>
    </w:p>
    <w:p w14:paraId="4D484F11" w14:textId="77777777" w:rsidR="00E75B25" w:rsidRPr="00CC6CA3" w:rsidRDefault="00E75B25" w:rsidP="00E75B25">
      <w:r w:rsidRPr="00CC6CA3">
        <w:t>In the offline phase, training data is selected from the historical data, where there were no faults or failures recorded in the relevant machine. The offline fault detection model is trained by applying the training data to it, as explained in Chapter 4, and an integrated system feature, which is represented by the Mahalanobis distance (MD), is calculated. The offline POF model is built based on this system feature, and the offline consequence of fault (COF) model is developed using a selected loss function (</w:t>
      </w:r>
      <w:proofErr w:type="gramStart"/>
      <w:r w:rsidRPr="00CC6CA3">
        <w:t>i.e.</w:t>
      </w:r>
      <w:proofErr w:type="gramEnd"/>
      <w:r w:rsidRPr="00CC6CA3">
        <w:t xml:space="preserve"> inverse normal loss function) and related financial factors using default values. The fault detection threshold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CC6CA3">
        <w:t>) for the health indicator is calculated in the offline phase.</w:t>
      </w:r>
    </w:p>
    <w:p w14:paraId="6A0E0A8D" w14:textId="77777777" w:rsidR="00E75B25" w:rsidRPr="00CC6CA3" w:rsidRDefault="00E75B25" w:rsidP="00E75B25">
      <w:r w:rsidRPr="00CC6CA3">
        <w:t xml:space="preserve">In the online phase, the condition monitoring data is fed into the trained fault detection model, calculating the real-time system feature in terms of the MD. The real-time POF of the online phase is obtained by taking the calculated online MD into the offline POF model. When the POF value is greater than 0.5, the 2D contribution map is applied to analyse the possible fault type, which will then be used to update the COF value. The comprehensive system </w:t>
      </w:r>
      <w:r w:rsidRPr="00CC6CA3">
        <w:lastRenderedPageBreak/>
        <w:t xml:space="preserve">health indicator is </w:t>
      </w:r>
      <w:r w:rsidRPr="00CC6CA3">
        <w:rPr>
          <w:lang w:val="en-US"/>
        </w:rPr>
        <w:t>obtained from the risk profile of the system</w:t>
      </w:r>
      <w:r w:rsidRPr="00CC6CA3">
        <w:t xml:space="preserve"> by combining the online POF and COF. The shutdown threshold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CC6CA3">
        <w:t xml:space="preserve">) for the health indicator is calculated in the online phase. </w:t>
      </w:r>
    </w:p>
    <w:p w14:paraId="2DFF7BB3" w14:textId="37B7B916" w:rsidR="006A68D6" w:rsidRPr="00CC6CA3" w:rsidRDefault="00E75B25" w:rsidP="00E75B25">
      <w:r w:rsidRPr="00CC6CA3">
        <w:t>The developed system health indicator can be used for fault detection in real-time, indicating the degradation of the system and dynamically updating the risk at each sampling instant, and suggesting an appropriate shutdown time before the system has suffered severe damage. This methodology is developed for pumps and compressors, but it can be adapted to other machines, such as turbines and motors</w:t>
      </w:r>
      <w:r w:rsidR="006A68D6" w:rsidRPr="00CC6CA3">
        <w:t xml:space="preserve">. </w:t>
      </w:r>
    </w:p>
    <w:p w14:paraId="3D3960AA" w14:textId="77777777" w:rsidR="006A68D6" w:rsidRPr="00CC6CA3" w:rsidRDefault="006A68D6" w:rsidP="000441CC">
      <w:pPr>
        <w:pStyle w:val="Heading3"/>
        <w:rPr>
          <w:lang w:val="en-US"/>
        </w:rPr>
      </w:pPr>
      <w:bookmarkStart w:id="506" w:name="_Toc81553307"/>
      <w:r w:rsidRPr="00CC6CA3">
        <w:rPr>
          <w:lang w:val="en-US"/>
        </w:rPr>
        <w:t>Probability of fault model</w:t>
      </w:r>
      <w:bookmarkEnd w:id="506"/>
    </w:p>
    <w:p w14:paraId="5D3E1D0B" w14:textId="0FCFD0FC" w:rsidR="006A68D6" w:rsidRPr="00CC6CA3" w:rsidRDefault="00E75B25" w:rsidP="006A68D6">
      <w:pPr>
        <w:spacing w:before="120"/>
      </w:pPr>
      <w:r w:rsidRPr="00CC6CA3">
        <w:t xml:space="preserve">The probability of fault (POF) indicates the probability of an unwanted event that leads to failure of a piece of equipment. Hence, the POF should be calculated using measurements that reflect the health status and degradation process of the item of equipment. Usually, only one key variable is selected to calculate the probability, and this variable is expected to be the most sensitive one in the system </w:t>
      </w:r>
      <w:r w:rsidR="006A68D6" w:rsidRPr="00CC6CA3">
        <w:fldChar w:fldCharType="begin"/>
      </w:r>
      <w:r w:rsidR="00913210" w:rsidRPr="00CC6CA3">
        <w:instrText xml:space="preserve"> ADDIN ZOTERO_ITEM CSL_CITATION {"citationID":"gegl4gkS","properties":{"formattedCitation":"[27]","plainCitation":"[27]","noteIndex":0},"citationItems":[{"id":867,"uris":["http://zotero.org/users/3051968/items/3SXZT2C4"],"uri":["http://zotero.org/users/3051968/items/3SXZT2C4"],"itemData":{"id":867,"type":"article-journal","abstract":"This paper presents a novel dynamic quantitative risk assessment method to analyze the operational performance of chemical processes. Unlike traditional methods, the proposed method estimates the probability of undesirable event occurrence by monitoring multiple key variables in the process. This probability is continuously updated considering real-time disturbances in the variables. The consequences are estimated using dynamic loss functions developed considering multiple key state variables. As a result, the process׳ operational performance is assessed dynamically in the form of quantitative risk (dollar) value. The quantitative dynamic risk value helps to make swift operational decisions to maintain the process within the safer operating limits, thus preventing untoward incidents/accidents. To demonstrate the efficacy of the proposed methodology, it is tested on two case studies, a simple tank system and the benchmark Tennessee Eastman process.","container-title":"Chemical Engineering Science","DOI":"10.1016/j.ces.2015.11.034","ISSN":"0009-2509","journalAbbreviation":"Chemical Engineering Science","language":"en","page":"62-78","source":"ScienceDirect","title":"Dynamic quantitative operational risk assessment of chemical processes","volume":"142","author":[{"family":"Wang","given":"Hangzhou"},{"family":"Khan","given":"Faisal"},{"family":"Ahmed","given":"Salim"},{"family":"Imtiaz","given":"Syed"}],"issued":{"date-parts":[["2016",3,13]]}}}],"schema":"https://github.com/citation-style-language/schema/raw/master/csl-citation.json"} </w:instrText>
      </w:r>
      <w:r w:rsidR="006A68D6" w:rsidRPr="00CC6CA3">
        <w:fldChar w:fldCharType="separate"/>
      </w:r>
      <w:r w:rsidR="00913210" w:rsidRPr="00CC6CA3">
        <w:rPr>
          <w:rFonts w:cs="Times New Roman"/>
        </w:rPr>
        <w:t>[27]</w:t>
      </w:r>
      <w:r w:rsidR="006A68D6" w:rsidRPr="00CC6CA3">
        <w:fldChar w:fldCharType="end"/>
      </w:r>
      <w:r w:rsidR="006A68D6" w:rsidRPr="00CC6CA3">
        <w:t xml:space="preserve">. </w:t>
      </w:r>
      <w:r w:rsidRPr="00CC6CA3">
        <w:t>In our method, MD is used as the system-wide feature to calculate POF</w:t>
      </w:r>
      <w:r w:rsidR="006A68D6" w:rsidRPr="00CC6CA3">
        <w:t>.</w:t>
      </w:r>
    </w:p>
    <w:p w14:paraId="32ED0D2F" w14:textId="2FA02189" w:rsidR="006A68D6" w:rsidRPr="00CC6CA3" w:rsidRDefault="006A68D6" w:rsidP="006A68D6">
      <w:pPr>
        <w:spacing w:before="120"/>
      </w:pPr>
      <w:r w:rsidRPr="00CC6CA3">
        <w:t xml:space="preserve">A visual depiction of the proposed </w:t>
      </w:r>
      <m:oMath>
        <m:r>
          <w:rPr>
            <w:rFonts w:ascii="Cambria Math" w:hAnsi="Cambria Math"/>
          </w:rPr>
          <m:t>POF</m:t>
        </m:r>
      </m:oMath>
      <w:r w:rsidRPr="00CC6CA3">
        <w:t xml:space="preserve"> is presented in </w:t>
      </w:r>
      <w:r w:rsidRPr="00CC6CA3">
        <w:fldChar w:fldCharType="begin"/>
      </w:r>
      <w:r w:rsidRPr="00CC6CA3">
        <w:instrText xml:space="preserve"> REF _Ref63673554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13</w:t>
      </w:r>
      <w:r w:rsidRPr="00CC6CA3">
        <w:fldChar w:fldCharType="end"/>
      </w:r>
      <w:r w:rsidRPr="00CC6CA3">
        <w:t xml:space="preserve">. </w:t>
      </w:r>
      <w:r w:rsidR="00E75B25" w:rsidRPr="00CC6CA3">
        <w:t xml:space="preserve">It is obtained by moving the cumulative distribution function (CDF) of the training data horizontally by a distance  </w:t>
      </w:r>
      <m:oMath>
        <m:r>
          <m:rPr>
            <m:sty m:val="p"/>
          </m:rPr>
          <w:rPr>
            <w:rFonts w:ascii="Cambria Math" w:hAnsi="Cambria Math"/>
          </w:rPr>
          <m:t>(</m:t>
        </m:r>
        <m:sSub>
          <m:sSubPr>
            <m:ctrlPr>
              <w:rPr>
                <w:rFonts w:ascii="Cambria Math" w:hAnsi="Cambria Math"/>
              </w:rPr>
            </m:ctrlPr>
          </m:sSubPr>
          <m:e>
            <m:r>
              <w:rPr>
                <w:rFonts w:ascii="Cambria Math" w:hAnsi="Cambria Math"/>
              </w:rPr>
              <m:t>d</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d</m:t>
            </m:r>
          </m:sub>
        </m:sSub>
        <m:r>
          <m:rPr>
            <m:sty m:val="p"/>
          </m:rPr>
          <w:rPr>
            <w:rFonts w:ascii="Cambria Math" w:hAnsi="Cambria Math"/>
          </w:rPr>
          <m:t>)</m:t>
        </m:r>
      </m:oMath>
      <w:r w:rsidR="00E75B25" w:rsidRPr="00CC6CA3">
        <w:t xml:space="preserve">, where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00E75B25" w:rsidRPr="00CC6CA3">
        <w:t xml:space="preserve"> is the fault detection threshold using MD, and  </w:t>
      </w:r>
      <m:oMath>
        <m:sSub>
          <m:sSubPr>
            <m:ctrlPr>
              <w:rPr>
                <w:rFonts w:ascii="Cambria Math" w:hAnsi="Cambria Math"/>
              </w:rPr>
            </m:ctrlPr>
          </m:sSubPr>
          <m:e>
            <m:r>
              <w:rPr>
                <w:rFonts w:ascii="Cambria Math" w:hAnsi="Cambria Math"/>
              </w:rPr>
              <m:t>x</m:t>
            </m:r>
          </m:e>
          <m:sub>
            <m:r>
              <w:rPr>
                <w:rFonts w:ascii="Cambria Math" w:hAnsi="Cambria Math"/>
              </w:rPr>
              <m:t>d</m:t>
            </m:r>
          </m:sub>
        </m:sSub>
      </m:oMath>
      <w:r w:rsidR="00E75B25" w:rsidRPr="00CC6CA3">
        <w:t xml:space="preserve"> is the point where </w:t>
      </w:r>
      <m:oMath>
        <m:r>
          <w:rPr>
            <w:rFonts w:ascii="Cambria Math" w:hAnsi="Cambria Math"/>
          </w:rPr>
          <m:t>CDF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d</m:t>
                </m:r>
              </m:sub>
            </m:sSub>
          </m:e>
        </m:d>
        <m:r>
          <w:rPr>
            <w:rFonts w:ascii="Cambria Math" w:hAnsi="Cambria Math"/>
          </w:rPr>
          <m:t>=0.5</m:t>
        </m:r>
      </m:oMath>
      <w:r w:rsidR="00E75B25" w:rsidRPr="00CC6CA3">
        <w:t xml:space="preserve">. The aim of this movement is to let </w:t>
      </w:r>
      <m:oMath>
        <m:r>
          <w:rPr>
            <w:rFonts w:ascii="Cambria Math" w:hAnsi="Cambria Math"/>
          </w:rPr>
          <m:t>POF(</m:t>
        </m:r>
        <m:sSub>
          <m:sSubPr>
            <m:ctrlPr>
              <w:rPr>
                <w:rFonts w:ascii="Cambria Math" w:hAnsi="Cambria Math"/>
              </w:rPr>
            </m:ctrlPr>
          </m:sSubPr>
          <m:e>
            <m:r>
              <w:rPr>
                <w:rFonts w:ascii="Cambria Math" w:hAnsi="Cambria Math"/>
              </w:rPr>
              <m:t>d</m:t>
            </m:r>
          </m:e>
          <m:sub>
            <m:r>
              <m:rPr>
                <m:sty m:val="p"/>
              </m:rPr>
              <w:rPr>
                <w:rFonts w:ascii="Cambria Math" w:hAnsi="Cambria Math"/>
              </w:rPr>
              <m:t>1</m:t>
            </m:r>
          </m:sub>
        </m:sSub>
        <m:r>
          <w:rPr>
            <w:rFonts w:ascii="Cambria Math" w:hAnsi="Cambria Math"/>
          </w:rPr>
          <m:t>)</m:t>
        </m:r>
        <m:r>
          <m:rPr>
            <m:sty m:val="p"/>
          </m:rPr>
          <w:rPr>
            <w:rFonts w:ascii="Cambria Math" w:hAnsi="Cambria Math"/>
          </w:rPr>
          <m:t>= 0.5</m:t>
        </m:r>
      </m:oMath>
      <w:r w:rsidR="00E75B25" w:rsidRPr="00CC6CA3">
        <w:t xml:space="preserve">. Therefore, when no fault is detected in the system, </w:t>
      </w:r>
      <m:oMath>
        <m:r>
          <w:rPr>
            <w:rFonts w:ascii="Cambria Math" w:hAnsi="Cambria Math"/>
          </w:rPr>
          <m:t>POF</m:t>
        </m:r>
        <m:r>
          <m:rPr>
            <m:sty m:val="p"/>
          </m:rPr>
          <w:rPr>
            <w:rFonts w:ascii="Cambria Math" w:hAnsi="Cambria Math"/>
          </w:rPr>
          <m:t xml:space="preserve"> &lt; 0.5</m:t>
        </m:r>
      </m:oMath>
      <w:r w:rsidR="00E75B25" w:rsidRPr="00CC6CA3">
        <w:t xml:space="preserve">; when a fault or an anomaly is detected, </w:t>
      </w:r>
      <m:oMath>
        <m:r>
          <w:rPr>
            <w:rFonts w:ascii="Cambria Math" w:hAnsi="Cambria Math"/>
          </w:rPr>
          <m:t>POF</m:t>
        </m:r>
        <m:r>
          <m:rPr>
            <m:sty m:val="p"/>
          </m:rPr>
          <w:rPr>
            <w:rFonts w:ascii="Cambria Math" w:hAnsi="Cambria Math"/>
          </w:rPr>
          <m:t>= 0.5</m:t>
        </m:r>
      </m:oMath>
      <w:r w:rsidR="00E75B25" w:rsidRPr="00CC6CA3">
        <w:t>; if no maintenance actions are taken after a fault is detected, the POF will grow until it reaches unity. The range of POF is from 0 to 1</w:t>
      </w:r>
      <w:r w:rsidRPr="00CC6CA3">
        <w:t xml:space="preserve">. </w:t>
      </w:r>
    </w:p>
    <w:p w14:paraId="4B1F83EA" w14:textId="77777777" w:rsidR="006A68D6" w:rsidRPr="00CC6CA3" w:rsidRDefault="006A68D6" w:rsidP="006A68D6">
      <w:pPr>
        <w:keepNext/>
        <w:jc w:val="center"/>
      </w:pPr>
      <w:r w:rsidRPr="00CC6CA3">
        <w:object w:dxaOrig="6697" w:dyaOrig="5473" w14:anchorId="01A3524E">
          <v:shape id="_x0000_i1094" type="#_x0000_t75" style="width:276pt;height:228pt" o:ole="">
            <v:imagedata r:id="rId203" o:title=""/>
          </v:shape>
          <o:OLEObject Type="Embed" ProgID="Visio.Drawing.15" ShapeID="_x0000_i1094" DrawAspect="Content" ObjectID="_1692500373" r:id="rId204"/>
        </w:object>
      </w:r>
    </w:p>
    <w:p w14:paraId="1314788F" w14:textId="60E7C0C5" w:rsidR="006A68D6" w:rsidRPr="00CC6CA3" w:rsidRDefault="006A68D6" w:rsidP="006A68D6">
      <w:pPr>
        <w:pStyle w:val="Caption"/>
        <w:jc w:val="center"/>
      </w:pPr>
      <w:bookmarkStart w:id="507" w:name="_Ref63673554"/>
      <w:bookmarkStart w:id="508" w:name="_Toc8155344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13</w:t>
      </w:r>
      <w:r w:rsidR="00D62691" w:rsidRPr="00CC6CA3">
        <w:rPr>
          <w:noProof/>
        </w:rPr>
        <w:fldChar w:fldCharType="end"/>
      </w:r>
      <w:bookmarkEnd w:id="507"/>
      <w:r w:rsidRPr="00CC6CA3">
        <w:t xml:space="preserve"> The proposed POF model</w:t>
      </w:r>
      <w:bookmarkEnd w:id="508"/>
    </w:p>
    <w:p w14:paraId="1361C38B" w14:textId="2063BD2D" w:rsidR="006A68D6" w:rsidRPr="00CC6CA3" w:rsidRDefault="006A68D6" w:rsidP="006A68D6">
      <w:pPr>
        <w:spacing w:before="120"/>
      </w:pPr>
      <w:r w:rsidRPr="00CC6CA3">
        <w:t xml:space="preserve">In </w:t>
      </w:r>
      <w:r w:rsidRPr="00CC6CA3">
        <w:fldChar w:fldCharType="begin"/>
      </w:r>
      <w:r w:rsidRPr="00CC6CA3">
        <w:instrText xml:space="preserve"> REF _Ref63673554 \h  \* MERGEFORMAT </w:instrText>
      </w:r>
      <w:r w:rsidRPr="00CC6CA3">
        <w:fldChar w:fldCharType="separate"/>
      </w:r>
      <w:r w:rsidR="001906D9" w:rsidRPr="00CC6CA3">
        <w:t>Figure 5.13</w:t>
      </w:r>
      <w:r w:rsidRPr="00CC6CA3">
        <w:fldChar w:fldCharType="end"/>
      </w:r>
      <w:r w:rsidRPr="00CC6CA3">
        <w:t>, the blue curve is the CDF of a standard distribution of the training data, which can be written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9"/>
        <w:gridCol w:w="696"/>
      </w:tblGrid>
      <w:tr w:rsidR="00CC6CA3" w:rsidRPr="00CC6CA3" w14:paraId="3E084E1A" w14:textId="77777777" w:rsidTr="00E75B25">
        <w:tc>
          <w:tcPr>
            <w:tcW w:w="4603" w:type="pct"/>
            <w:vAlign w:val="center"/>
          </w:tcPr>
          <w:p w14:paraId="28976AD0" w14:textId="0B9CFDE8" w:rsidR="006A68D6" w:rsidRPr="00CC6CA3" w:rsidRDefault="006A68D6" w:rsidP="00F632C0">
            <w:pPr>
              <w:spacing w:before="120" w:after="160"/>
            </w:pPr>
            <m:oMathPara>
              <m:oMath>
                <m:r>
                  <m:rPr>
                    <m:sty m:val="p"/>
                  </m:rPr>
                  <w:rPr>
                    <w:rFonts w:ascii="Cambria Math" w:hAnsi="Cambria Math"/>
                  </w:rPr>
                  <w:fldChar w:fldCharType="begin"/>
                </m:r>
                <m:r>
                  <m:rPr>
                    <m:sty m:val="p"/>
                  </m:rPr>
                  <w:rPr>
                    <w:rFonts w:ascii="Cambria Math" w:hAnsi="Cambria Math"/>
                  </w:rPr>
                  <m:t xml:space="preserve"> EQ </m:t>
                </m:r>
                <m:r>
                  <m:rPr>
                    <m:sty m:val="p"/>
                  </m:rPr>
                  <w:rPr>
                    <w:rFonts w:ascii="Cambria Math" w:hAnsi="Cambria Math"/>
                  </w:rPr>
                  <w:fldChar w:fldCharType="end"/>
                </m:r>
                <m:r>
                  <w:rPr>
                    <w:rFonts w:ascii="Cambria Math" w:hAnsi="Cambria Math"/>
                  </w:rPr>
                  <m:t>CDF</m:t>
                </m:r>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0</m:t>
                    </m:r>
                  </m:sub>
                  <m:sup>
                    <m:r>
                      <w:rPr>
                        <w:rFonts w:ascii="Cambria Math" w:hAnsi="Cambria Math"/>
                      </w:rPr>
                      <m:t>h</m:t>
                    </m:r>
                  </m:sup>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dx</m:t>
                    </m:r>
                  </m:e>
                </m:nary>
              </m:oMath>
            </m:oMathPara>
          </w:p>
        </w:tc>
        <w:tc>
          <w:tcPr>
            <w:tcW w:w="397" w:type="pct"/>
            <w:vAlign w:val="center"/>
          </w:tcPr>
          <w:p w14:paraId="53E973B2" w14:textId="33D7FB53" w:rsidR="006A68D6" w:rsidRPr="00CC6CA3" w:rsidRDefault="006A68D6" w:rsidP="00F632C0">
            <w:pPr>
              <w:spacing w:before="120" w:after="160"/>
            </w:pPr>
            <w:bookmarkStart w:id="509" w:name="_Ref63675494"/>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6</w:t>
            </w:r>
            <w:r w:rsidR="00D62691" w:rsidRPr="00CC6CA3">
              <w:rPr>
                <w:noProof/>
              </w:rPr>
              <w:fldChar w:fldCharType="end"/>
            </w:r>
            <w:r w:rsidRPr="00CC6CA3">
              <w:t>)</w:t>
            </w:r>
            <w:bookmarkEnd w:id="509"/>
          </w:p>
        </w:tc>
      </w:tr>
    </w:tbl>
    <w:p w14:paraId="5FA91E80" w14:textId="37D1424D" w:rsidR="006A68D6" w:rsidRPr="00CC6CA3" w:rsidRDefault="00E75B25" w:rsidP="006A68D6">
      <w:pPr>
        <w:spacing w:before="120"/>
      </w:pPr>
      <w:r w:rsidRPr="00CC6CA3">
        <w:t xml:space="preserve">where </w:t>
      </w:r>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oMath>
      <w:r w:rsidRPr="00CC6CA3">
        <w:t xml:space="preserve"> is the probability density function (PDF) which depends on the chosen </w:t>
      </w:r>
      <w:proofErr w:type="gramStart"/>
      <w:r w:rsidRPr="00CC6CA3">
        <w:t>distribution</w:t>
      </w:r>
      <w:r w:rsidR="006A68D6" w:rsidRPr="00CC6CA3">
        <w:t>.</w:t>
      </w:r>
      <w:proofErr w:type="gramEnd"/>
      <w:r w:rsidR="006A68D6" w:rsidRPr="00CC6CA3">
        <w:t xml:space="preserve"> Some </w:t>
      </w:r>
      <w:r w:rsidR="006A68D6" w:rsidRPr="00CC6CA3">
        <w:rPr>
          <w:rFonts w:hint="eastAsia"/>
        </w:rPr>
        <w:t>well</w:t>
      </w:r>
      <w:r w:rsidR="006A68D6" w:rsidRPr="00CC6CA3">
        <w:t xml:space="preserve">-known distributions and their PDFs are summarised in </w:t>
      </w:r>
      <w:r w:rsidR="006A68D6" w:rsidRPr="00CC6CA3">
        <w:fldChar w:fldCharType="begin"/>
      </w:r>
      <w:r w:rsidR="006A68D6" w:rsidRPr="00CC6CA3">
        <w:instrText xml:space="preserve"> REF _Ref38815393 \h  \* MERGEFORMAT </w:instrText>
      </w:r>
      <w:r w:rsidR="006A68D6" w:rsidRPr="00CC6CA3">
        <w:fldChar w:fldCharType="separate"/>
      </w:r>
      <w:r w:rsidR="001906D9" w:rsidRPr="00CC6CA3">
        <w:t>Table 5.6</w:t>
      </w:r>
      <w:r w:rsidR="006A68D6" w:rsidRPr="00CC6CA3">
        <w:fldChar w:fldCharType="end"/>
      </w:r>
      <w:r w:rsidR="006A68D6" w:rsidRPr="00CC6CA3">
        <w:t xml:space="preserve">. </w:t>
      </w:r>
      <w:r w:rsidRPr="00CC6CA3">
        <w:t>The parameters of the distributions can be estimated using the maximum likelihood estimation. A goodness-of-fit test, such as the Kolmogorov-Smirnov (K-S) test, Anderson-Darling test, Cramer-von Mises test, and Chi-Squared test, should be performed to quantify how well the selected distribution matches the original data</w:t>
      </w:r>
      <w:r w:rsidR="006A68D6" w:rsidRPr="00CC6CA3">
        <w:t xml:space="preserve">. </w:t>
      </w:r>
      <m:oMath>
        <m:r>
          <w:rPr>
            <w:rFonts w:ascii="Cambria Math" w:hAnsi="Cambria Math"/>
          </w:rPr>
          <m:t>h</m:t>
        </m:r>
      </m:oMath>
      <w:r w:rsidRPr="00CC6CA3">
        <w:t xml:space="preserve"> is the system feature and can be calculated via Equation (4-13</w:t>
      </w:r>
      <w:proofErr w:type="gramStart"/>
      <w:r w:rsidRPr="00CC6CA3">
        <w:t>).</w:t>
      </w:r>
      <w:proofErr w:type="gramEnd"/>
    </w:p>
    <w:p w14:paraId="7603F348" w14:textId="52296978" w:rsidR="006A68D6" w:rsidRPr="00CC6CA3" w:rsidRDefault="006A68D6" w:rsidP="006A68D6">
      <w:pPr>
        <w:spacing w:before="120"/>
      </w:pPr>
      <w:r w:rsidRPr="00CC6CA3">
        <w:t xml:space="preserve">The black curve in </w:t>
      </w:r>
      <w:r w:rsidRPr="00CC6CA3">
        <w:fldChar w:fldCharType="begin"/>
      </w:r>
      <w:r w:rsidRPr="00CC6CA3">
        <w:instrText xml:space="preserve"> REF _Ref63673554 \h  \* MERGEFORMAT </w:instrText>
      </w:r>
      <w:r w:rsidRPr="00CC6CA3">
        <w:fldChar w:fldCharType="separate"/>
      </w:r>
      <w:r w:rsidR="001906D9" w:rsidRPr="00CC6CA3">
        <w:t>Figure 5.13</w:t>
      </w:r>
      <w:r w:rsidRPr="00CC6CA3">
        <w:fldChar w:fldCharType="end"/>
      </w:r>
      <w:r w:rsidRPr="00CC6CA3">
        <w:t xml:space="preserve"> is the offline POF model, </w:t>
      </w:r>
      <w:r w:rsidR="00E75B25" w:rsidRPr="00CC6CA3">
        <w:t xml:space="preserve">which is obtained by moving the CDF (blue curve) horizontally to a new position, with the movement distance equal to </w:t>
      </w:r>
      <m:oMath>
        <m:r>
          <m:rPr>
            <m:sty m:val="p"/>
          </m:rPr>
          <w:rPr>
            <w:rFonts w:ascii="Cambria Math" w:hAnsi="Cambria Math"/>
          </w:rPr>
          <m:t>(</m:t>
        </m:r>
        <m:sSub>
          <m:sSubPr>
            <m:ctrlPr>
              <w:rPr>
                <w:rFonts w:ascii="Cambria Math" w:hAnsi="Cambria Math"/>
              </w:rPr>
            </m:ctrlPr>
          </m:sSubPr>
          <m:e>
            <m:r>
              <w:rPr>
                <w:rFonts w:ascii="Cambria Math" w:hAnsi="Cambria Math"/>
              </w:rPr>
              <m:t>d</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d</m:t>
            </m:r>
          </m:sub>
        </m:sSub>
        <m:r>
          <m:rPr>
            <m:sty m:val="p"/>
          </m:rPr>
          <w:rPr>
            <w:rFonts w:ascii="Cambria Math" w:hAnsi="Cambria Math"/>
          </w:rPr>
          <m:t>)</m:t>
        </m:r>
      </m:oMath>
      <w:r w:rsidR="00E75B25" w:rsidRPr="00CC6CA3">
        <w:t xml:space="preserve">.  </w:t>
      </w:r>
      <m:oMath>
        <m:sSub>
          <m:sSubPr>
            <m:ctrlPr>
              <w:rPr>
                <w:rFonts w:ascii="Cambria Math" w:hAnsi="Cambria Math"/>
              </w:rPr>
            </m:ctrlPr>
          </m:sSubPr>
          <m:e>
            <m:r>
              <w:rPr>
                <w:rFonts w:ascii="Cambria Math" w:hAnsi="Cambria Math"/>
              </w:rPr>
              <m:t>x</m:t>
            </m:r>
          </m:e>
          <m:sub>
            <m:r>
              <w:rPr>
                <w:rFonts w:ascii="Cambria Math" w:hAnsi="Cambria Math"/>
              </w:rPr>
              <m:t>d</m:t>
            </m:r>
          </m:sub>
        </m:sSub>
      </m:oMath>
      <w:r w:rsidR="00E75B25" w:rsidRPr="00CC6CA3">
        <w:t xml:space="preserve"> can be calculated by solving</w:t>
      </w:r>
      <w:r w:rsidRPr="00CC6CA3">
        <w:t xml:space="preserve"> Equation </w:t>
      </w:r>
      <w:r w:rsidRPr="00CC6CA3">
        <w:fldChar w:fldCharType="begin"/>
      </w:r>
      <w:r w:rsidRPr="00CC6CA3">
        <w:instrText xml:space="preserve"> REF _Ref63675422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7</w:t>
      </w:r>
      <w:r w:rsidR="001906D9" w:rsidRPr="00CC6CA3">
        <w:t>)</w:t>
      </w:r>
      <w:r w:rsidRPr="00CC6CA3">
        <w:fldChar w:fldCharType="end"/>
      </w:r>
      <w:r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9"/>
        <w:gridCol w:w="696"/>
      </w:tblGrid>
      <w:tr w:rsidR="00CC6CA3" w:rsidRPr="00CC6CA3" w14:paraId="15D688AF" w14:textId="77777777" w:rsidTr="00F632C0">
        <w:tc>
          <w:tcPr>
            <w:tcW w:w="4608" w:type="pct"/>
            <w:vAlign w:val="center"/>
          </w:tcPr>
          <w:p w14:paraId="109908BF" w14:textId="77777777" w:rsidR="006A68D6" w:rsidRPr="00CC6CA3" w:rsidRDefault="006A68D6" w:rsidP="00F632C0">
            <w:pPr>
              <w:spacing w:before="120" w:after="160"/>
            </w:pPr>
            <m:oMathPara>
              <m:oMath>
                <m:r>
                  <m:rPr>
                    <m:sty m:val="p"/>
                  </m:rPr>
                  <w:rPr>
                    <w:rFonts w:ascii="Cambria Math" w:hAnsi="Cambria Math"/>
                  </w:rPr>
                  <w:fldChar w:fldCharType="begin"/>
                </m:r>
                <m:r>
                  <m:rPr>
                    <m:sty m:val="p"/>
                  </m:rPr>
                  <w:rPr>
                    <w:rFonts w:ascii="Cambria Math" w:hAnsi="Cambria Math"/>
                  </w:rPr>
                  <m:t xml:space="preserve"> EQ </m:t>
                </m:r>
                <m:r>
                  <m:rPr>
                    <m:sty m:val="p"/>
                  </m:rPr>
                  <w:rPr>
                    <w:rFonts w:ascii="Cambria Math" w:hAnsi="Cambria Math"/>
                  </w:rPr>
                  <w:fldChar w:fldCharType="end"/>
                </m:r>
                <m:nary>
                  <m:naryPr>
                    <m:limLoc m:val="subSup"/>
                    <m:ctrlPr>
                      <w:rPr>
                        <w:rFonts w:ascii="Cambria Math" w:hAnsi="Cambria Math"/>
                      </w:rPr>
                    </m:ctrlPr>
                  </m:naryPr>
                  <m:sub>
                    <m:r>
                      <m:rPr>
                        <m:sty m:val="p"/>
                      </m:rPr>
                      <w:rPr>
                        <w:rFonts w:ascii="Cambria Math" w:hAnsi="Cambria Math"/>
                      </w:rPr>
                      <m:t>0</m:t>
                    </m:r>
                  </m:sub>
                  <m:sup>
                    <m:sSub>
                      <m:sSubPr>
                        <m:ctrlPr>
                          <w:rPr>
                            <w:rFonts w:ascii="Cambria Math" w:hAnsi="Cambria Math"/>
                          </w:rPr>
                        </m:ctrlPr>
                      </m:sSubPr>
                      <m:e>
                        <m:r>
                          <w:rPr>
                            <w:rFonts w:ascii="Cambria Math" w:hAnsi="Cambria Math"/>
                          </w:rPr>
                          <m:t>x</m:t>
                        </m:r>
                      </m:e>
                      <m:sub>
                        <m:r>
                          <w:rPr>
                            <w:rFonts w:ascii="Cambria Math" w:hAnsi="Cambria Math"/>
                          </w:rPr>
                          <m:t>d</m:t>
                        </m:r>
                      </m:sub>
                    </m:sSub>
                  </m:sup>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dx</m:t>
                    </m:r>
                  </m:e>
                </m:nary>
                <m:r>
                  <m:rPr>
                    <m:sty m:val="p"/>
                  </m:rPr>
                  <w:rPr>
                    <w:rFonts w:ascii="Cambria Math" w:hAnsi="Cambria Math"/>
                  </w:rPr>
                  <m:t>=0.5</m:t>
                </m:r>
              </m:oMath>
            </m:oMathPara>
          </w:p>
        </w:tc>
        <w:tc>
          <w:tcPr>
            <w:tcW w:w="392" w:type="pct"/>
            <w:vAlign w:val="center"/>
          </w:tcPr>
          <w:p w14:paraId="59F136F7" w14:textId="2AF2189B" w:rsidR="006A68D6" w:rsidRPr="00CC6CA3" w:rsidRDefault="006A68D6" w:rsidP="00F632C0">
            <w:pPr>
              <w:spacing w:before="120" w:after="160"/>
            </w:pPr>
            <w:bookmarkStart w:id="510" w:name="_Ref63675422"/>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7</w:t>
            </w:r>
            <w:r w:rsidR="00D62691" w:rsidRPr="00CC6CA3">
              <w:rPr>
                <w:noProof/>
              </w:rPr>
              <w:fldChar w:fldCharType="end"/>
            </w:r>
            <w:r w:rsidRPr="00CC6CA3">
              <w:t>)</w:t>
            </w:r>
            <w:bookmarkEnd w:id="510"/>
          </w:p>
        </w:tc>
      </w:tr>
    </w:tbl>
    <w:p w14:paraId="62466B14" w14:textId="1F7769D9" w:rsidR="006A68D6" w:rsidRPr="00CC6CA3" w:rsidRDefault="006A68D6" w:rsidP="006A68D6">
      <w:pPr>
        <w:spacing w:before="120"/>
      </w:pPr>
      <w:r w:rsidRPr="00CC6CA3">
        <w:t xml:space="preserve">Therefore, the </w:t>
      </w:r>
      <w:r w:rsidRPr="00CC6CA3">
        <w:rPr>
          <w:rFonts w:hint="eastAsia"/>
        </w:rPr>
        <w:t>POF</w:t>
      </w:r>
      <w:r w:rsidRPr="00CC6CA3">
        <w:t xml:space="preserve"> model </w:t>
      </w:r>
      <w:r w:rsidR="00E75B25" w:rsidRPr="00CC6CA3">
        <w:rPr>
          <w:rFonts w:hint="eastAsia"/>
        </w:rPr>
        <w:t>is</w:t>
      </w:r>
      <w:r w:rsidRPr="00CC6CA3">
        <w:t xml:space="preserve">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5"/>
        <w:gridCol w:w="710"/>
      </w:tblGrid>
      <w:tr w:rsidR="00CC6CA3" w:rsidRPr="00CC6CA3" w14:paraId="335A2878" w14:textId="77777777" w:rsidTr="00F632C0">
        <w:tc>
          <w:tcPr>
            <w:tcW w:w="4595" w:type="pct"/>
          </w:tcPr>
          <w:p w14:paraId="4286BF5F" w14:textId="77777777" w:rsidR="006A68D6" w:rsidRPr="00CC6CA3" w:rsidRDefault="006A68D6" w:rsidP="00F632C0">
            <w:pPr>
              <w:spacing w:before="120" w:after="160"/>
            </w:pPr>
            <m:oMathPara>
              <m:oMath>
                <m:r>
                  <w:rPr>
                    <w:rFonts w:ascii="Cambria Math" w:hAnsi="Cambria Math"/>
                  </w:rPr>
                  <w:lastRenderedPageBreak/>
                  <m:t>POF</m:t>
                </m:r>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0</m:t>
                    </m:r>
                  </m:sub>
                  <m:sup>
                    <m:r>
                      <w:rPr>
                        <w:rFonts w:ascii="Cambria Math" w:hAnsi="Cambria Math"/>
                      </w:rPr>
                      <m:t>h</m:t>
                    </m:r>
                  </m:sup>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d</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d</m:t>
                        </m:r>
                      </m:sub>
                    </m:sSub>
                    <m:r>
                      <m:rPr>
                        <m:sty m:val="p"/>
                      </m:rPr>
                      <w:rPr>
                        <w:rFonts w:ascii="Cambria Math" w:hAnsi="Cambria Math"/>
                      </w:rPr>
                      <m:t>))</m:t>
                    </m:r>
                    <m:r>
                      <w:rPr>
                        <w:rFonts w:ascii="Cambria Math" w:hAnsi="Cambria Math"/>
                      </w:rPr>
                      <m:t>dx</m:t>
                    </m:r>
                  </m:e>
                </m:nary>
              </m:oMath>
            </m:oMathPara>
          </w:p>
        </w:tc>
        <w:tc>
          <w:tcPr>
            <w:tcW w:w="405" w:type="pct"/>
          </w:tcPr>
          <w:p w14:paraId="466888F0" w14:textId="588DDAA7" w:rsidR="006A68D6" w:rsidRPr="00CC6CA3" w:rsidRDefault="006A68D6" w:rsidP="00F632C0">
            <w:pPr>
              <w:spacing w:before="120" w:after="160"/>
            </w:pPr>
            <w:bookmarkStart w:id="511" w:name="_Ref63718657"/>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8</w:t>
            </w:r>
            <w:r w:rsidR="00D62691" w:rsidRPr="00CC6CA3">
              <w:rPr>
                <w:noProof/>
              </w:rPr>
              <w:fldChar w:fldCharType="end"/>
            </w:r>
            <w:r w:rsidRPr="00CC6CA3">
              <w:t>)</w:t>
            </w:r>
            <w:bookmarkEnd w:id="511"/>
          </w:p>
        </w:tc>
      </w:tr>
    </w:tbl>
    <w:p w14:paraId="24CF4FCC" w14:textId="77777777" w:rsidR="006A68D6" w:rsidRPr="00CC6CA3" w:rsidRDefault="006A68D6" w:rsidP="006A68D6">
      <w:pPr>
        <w:spacing w:before="120"/>
      </w:pPr>
      <w:r w:rsidRPr="00CC6CA3">
        <w:t xml:space="preserve">where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Pr="00CC6CA3">
        <w:t xml:space="preserve"> is the fault detection threshold using MD, and it can be calculated by Equation (4-14</w:t>
      </w:r>
      <w:proofErr w:type="gramStart"/>
      <w:r w:rsidRPr="00CC6CA3">
        <w:t>).</w:t>
      </w:r>
      <w:proofErr w:type="gramEnd"/>
      <w:r w:rsidRPr="00CC6CA3">
        <w:t xml:space="preserve"> </w:t>
      </w:r>
      <m:oMath>
        <m:r>
          <w:rPr>
            <w:rFonts w:ascii="Cambria Math" w:hAnsi="Cambria Math"/>
          </w:rPr>
          <m:t>h</m:t>
        </m:r>
      </m:oMath>
      <w:r w:rsidRPr="00CC6CA3">
        <w:t xml:space="preserve"> is the system feature and can be calculated via Equation (4-13</w:t>
      </w:r>
      <w:proofErr w:type="gramStart"/>
      <w:r w:rsidRPr="00CC6CA3">
        <w:t>).</w:t>
      </w:r>
      <w:proofErr w:type="gramEnd"/>
    </w:p>
    <w:p w14:paraId="40351489" w14:textId="53AFFABF" w:rsidR="006A68D6" w:rsidRPr="00CC6CA3" w:rsidRDefault="006A68D6" w:rsidP="006A68D6">
      <w:pPr>
        <w:pStyle w:val="Caption"/>
        <w:keepNext/>
      </w:pPr>
      <w:bookmarkStart w:id="512" w:name="_Ref38815393"/>
      <w:bookmarkStart w:id="513" w:name="_Toc81553483"/>
      <w:r w:rsidRPr="00CC6CA3">
        <w:t xml:space="preserve">Table </w:t>
      </w:r>
      <w:r w:rsidR="00D62691" w:rsidRPr="00CC6CA3">
        <w:fldChar w:fldCharType="begin"/>
      </w:r>
      <w:r w:rsidR="00D62691" w:rsidRPr="00CC6CA3">
        <w:instrText xml:space="preserve"> STYLEREF 1 \s</w:instrText>
      </w:r>
      <w:r w:rsidR="00D62691" w:rsidRPr="00CC6CA3">
        <w:instrText xml:space="preserve">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6</w:t>
      </w:r>
      <w:r w:rsidR="00D62691" w:rsidRPr="00CC6CA3">
        <w:rPr>
          <w:noProof/>
        </w:rPr>
        <w:fldChar w:fldCharType="end"/>
      </w:r>
      <w:bookmarkEnd w:id="512"/>
      <w:r w:rsidRPr="00CC6CA3">
        <w:t xml:space="preserve"> The probability density functions and their parameters</w:t>
      </w:r>
      <w:bookmarkEnd w:id="513"/>
    </w:p>
    <w:tbl>
      <w:tblPr>
        <w:tblStyle w:val="TableGrid"/>
        <w:tblW w:w="0" w:type="auto"/>
        <w:tblLook w:val="04A0" w:firstRow="1" w:lastRow="0" w:firstColumn="1" w:lastColumn="0" w:noHBand="0" w:noVBand="1"/>
      </w:tblPr>
      <w:tblGrid>
        <w:gridCol w:w="1555"/>
        <w:gridCol w:w="4536"/>
        <w:gridCol w:w="2205"/>
      </w:tblGrid>
      <w:tr w:rsidR="00CC6CA3" w:rsidRPr="00CC6CA3" w14:paraId="71B167DE" w14:textId="77777777" w:rsidTr="00F632C0">
        <w:tc>
          <w:tcPr>
            <w:tcW w:w="1555" w:type="dxa"/>
          </w:tcPr>
          <w:p w14:paraId="4F6193ED" w14:textId="77777777" w:rsidR="006A68D6" w:rsidRPr="00CC6CA3" w:rsidRDefault="006A68D6" w:rsidP="00F632C0">
            <w:pPr>
              <w:pStyle w:val="NoSpacing"/>
              <w:spacing w:after="120"/>
              <w:jc w:val="center"/>
              <w:rPr>
                <w:b/>
                <w:bCs/>
                <w:sz w:val="18"/>
                <w:szCs w:val="18"/>
              </w:rPr>
            </w:pPr>
            <w:r w:rsidRPr="00CC6CA3">
              <w:rPr>
                <w:b/>
                <w:bCs/>
                <w:sz w:val="18"/>
                <w:szCs w:val="18"/>
              </w:rPr>
              <w:t>Life distribution</w:t>
            </w:r>
          </w:p>
        </w:tc>
        <w:tc>
          <w:tcPr>
            <w:tcW w:w="4536" w:type="dxa"/>
          </w:tcPr>
          <w:p w14:paraId="6D74C1DD" w14:textId="77777777" w:rsidR="006A68D6" w:rsidRPr="00CC6CA3" w:rsidRDefault="006A68D6" w:rsidP="00F632C0">
            <w:pPr>
              <w:pStyle w:val="NoSpacing"/>
              <w:spacing w:after="120"/>
              <w:jc w:val="center"/>
              <w:rPr>
                <w:b/>
                <w:bCs/>
                <w:sz w:val="18"/>
                <w:szCs w:val="18"/>
              </w:rPr>
            </w:pPr>
            <w:r w:rsidRPr="00CC6CA3">
              <w:rPr>
                <w:b/>
                <w:bCs/>
                <w:sz w:val="18"/>
                <w:szCs w:val="18"/>
              </w:rPr>
              <w:t>Probability density function</w:t>
            </w:r>
          </w:p>
        </w:tc>
        <w:tc>
          <w:tcPr>
            <w:tcW w:w="2205" w:type="dxa"/>
          </w:tcPr>
          <w:p w14:paraId="333E222A" w14:textId="77777777" w:rsidR="006A68D6" w:rsidRPr="00CC6CA3" w:rsidRDefault="006A68D6" w:rsidP="00F632C0">
            <w:pPr>
              <w:pStyle w:val="NoSpacing"/>
              <w:spacing w:after="120"/>
              <w:jc w:val="center"/>
              <w:rPr>
                <w:b/>
                <w:bCs/>
                <w:sz w:val="18"/>
                <w:szCs w:val="18"/>
              </w:rPr>
            </w:pPr>
            <w:r w:rsidRPr="00CC6CA3">
              <w:rPr>
                <w:b/>
                <w:bCs/>
                <w:sz w:val="18"/>
                <w:szCs w:val="18"/>
              </w:rPr>
              <w:t>Parameters</w:t>
            </w:r>
          </w:p>
        </w:tc>
      </w:tr>
      <w:tr w:rsidR="00CC6CA3" w:rsidRPr="00CC6CA3" w14:paraId="755D348E" w14:textId="77777777" w:rsidTr="00F632C0">
        <w:tc>
          <w:tcPr>
            <w:tcW w:w="1555" w:type="dxa"/>
          </w:tcPr>
          <w:p w14:paraId="3DEA9BD8" w14:textId="77777777" w:rsidR="006A68D6" w:rsidRPr="00CC6CA3" w:rsidRDefault="006A68D6" w:rsidP="00F632C0">
            <w:pPr>
              <w:pStyle w:val="NoSpacing"/>
              <w:spacing w:after="120"/>
              <w:jc w:val="center"/>
              <w:rPr>
                <w:sz w:val="18"/>
                <w:szCs w:val="18"/>
              </w:rPr>
            </w:pPr>
            <w:r w:rsidRPr="00CC6CA3">
              <w:rPr>
                <w:sz w:val="18"/>
                <w:szCs w:val="18"/>
              </w:rPr>
              <w:t>Generalised extreme value distribution</w:t>
            </w:r>
          </w:p>
          <w:p w14:paraId="6C699265" w14:textId="77777777" w:rsidR="006A68D6" w:rsidRPr="00CC6CA3" w:rsidRDefault="006A68D6" w:rsidP="00F632C0">
            <w:pPr>
              <w:pStyle w:val="NoSpacing"/>
              <w:spacing w:after="120"/>
              <w:jc w:val="center"/>
              <w:rPr>
                <w:b/>
                <w:bCs/>
                <w:sz w:val="18"/>
                <w:szCs w:val="18"/>
              </w:rPr>
            </w:pPr>
            <w:r w:rsidRPr="00CC6CA3">
              <w:rPr>
                <w:sz w:val="18"/>
                <w:szCs w:val="18"/>
              </w:rPr>
              <w:t>Type I (</w:t>
            </w:r>
            <m:oMath>
              <m:r>
                <w:rPr>
                  <w:rFonts w:ascii="Cambria Math" w:hAnsi="Cambria Math"/>
                  <w:sz w:val="18"/>
                  <w:szCs w:val="18"/>
                </w:rPr>
                <m:t>k</m:t>
              </m:r>
              <m:r>
                <m:rPr>
                  <m:sty m:val="p"/>
                </m:rPr>
                <w:rPr>
                  <w:rFonts w:ascii="Cambria Math" w:hAnsi="Cambria Math"/>
                  <w:sz w:val="18"/>
                  <w:szCs w:val="18"/>
                </w:rPr>
                <m:t>=0</m:t>
              </m:r>
            </m:oMath>
            <w:r w:rsidRPr="00CC6CA3">
              <w:rPr>
                <w:sz w:val="18"/>
                <w:szCs w:val="18"/>
              </w:rPr>
              <w:t>), Type II (</w:t>
            </w:r>
            <m:oMath>
              <m:r>
                <w:rPr>
                  <w:rFonts w:ascii="Cambria Math" w:hAnsi="Cambria Math"/>
                  <w:sz w:val="18"/>
                  <w:szCs w:val="18"/>
                </w:rPr>
                <m:t>k</m:t>
              </m:r>
              <m:r>
                <m:rPr>
                  <m:sty m:val="p"/>
                </m:rPr>
                <w:rPr>
                  <w:rFonts w:ascii="Cambria Math" w:hAnsi="Cambria Math"/>
                  <w:sz w:val="18"/>
                  <w:szCs w:val="18"/>
                </w:rPr>
                <m:t>&gt;0</m:t>
              </m:r>
            </m:oMath>
            <w:r w:rsidRPr="00CC6CA3">
              <w:rPr>
                <w:sz w:val="18"/>
                <w:szCs w:val="18"/>
              </w:rPr>
              <w:t>), Type III (</w:t>
            </w:r>
            <m:oMath>
              <m:r>
                <w:rPr>
                  <w:rFonts w:ascii="Cambria Math" w:hAnsi="Cambria Math"/>
                  <w:sz w:val="18"/>
                  <w:szCs w:val="18"/>
                </w:rPr>
                <m:t>k</m:t>
              </m:r>
              <m:r>
                <m:rPr>
                  <m:sty m:val="p"/>
                </m:rPr>
                <w:rPr>
                  <w:rFonts w:ascii="Cambria Math" w:hAnsi="Cambria Math"/>
                  <w:sz w:val="18"/>
                  <w:szCs w:val="18"/>
                </w:rPr>
                <m:t>&lt;0</m:t>
              </m:r>
            </m:oMath>
            <w:r w:rsidRPr="00CC6CA3">
              <w:rPr>
                <w:sz w:val="18"/>
                <w:szCs w:val="18"/>
              </w:rPr>
              <w:t>).</w:t>
            </w:r>
          </w:p>
        </w:tc>
        <w:tc>
          <w:tcPr>
            <w:tcW w:w="4536" w:type="dxa"/>
          </w:tcPr>
          <w:p w14:paraId="2922203C" w14:textId="77777777" w:rsidR="006A68D6" w:rsidRPr="00CC6CA3" w:rsidRDefault="006A68D6" w:rsidP="00F632C0">
            <w:pPr>
              <w:pStyle w:val="NoSpacing"/>
              <w:spacing w:after="120"/>
              <w:jc w:val="center"/>
              <w:rPr>
                <w:sz w:val="18"/>
                <w:szCs w:val="18"/>
              </w:rPr>
            </w:pPr>
            <w:r w:rsidRPr="00CC6CA3">
              <w:rPr>
                <w:sz w:val="18"/>
                <w:szCs w:val="18"/>
              </w:rPr>
              <w:t xml:space="preserve">For </w:t>
            </w:r>
            <m:oMath>
              <m:r>
                <w:rPr>
                  <w:rFonts w:ascii="Cambria Math" w:hAnsi="Cambria Math"/>
                  <w:sz w:val="18"/>
                  <w:szCs w:val="18"/>
                </w:rPr>
                <m:t>k≠0</m:t>
              </m:r>
            </m:oMath>
            <w:r w:rsidRPr="00CC6CA3">
              <w:rPr>
                <w:sz w:val="18"/>
                <w:szCs w:val="18"/>
              </w:rPr>
              <w:t xml:space="preserve">, </w:t>
            </w:r>
          </w:p>
          <w:p w14:paraId="1D3B54DF" w14:textId="77777777" w:rsidR="006A68D6" w:rsidRPr="00CC6CA3" w:rsidRDefault="006A68D6" w:rsidP="00F632C0">
            <w:pPr>
              <w:pStyle w:val="NoSpacing"/>
              <w:spacing w:after="120"/>
              <w:jc w:val="center"/>
              <w:rPr>
                <w:sz w:val="18"/>
                <w:szCs w:val="18"/>
              </w:rPr>
            </w:pPr>
            <m:oMathPara>
              <m:oMath>
                <m:r>
                  <w:rPr>
                    <w:rFonts w:ascii="Cambria Math" w:hAnsi="Cambria Math"/>
                    <w:sz w:val="18"/>
                    <w:szCs w:val="18"/>
                  </w:rPr>
                  <m:t>f</m:t>
                </m:r>
                <m:d>
                  <m:dPr>
                    <m:ctrlPr>
                      <w:rPr>
                        <w:rFonts w:ascii="Cambria Math" w:hAnsi="Cambria Math"/>
                        <w:i/>
                        <w:sz w:val="18"/>
                        <w:szCs w:val="18"/>
                      </w:rPr>
                    </m:ctrlPr>
                  </m:dPr>
                  <m:e>
                    <m:r>
                      <w:rPr>
                        <w:rFonts w:ascii="Cambria Math" w:hAnsi="Cambria Math"/>
                        <w:sz w:val="18"/>
                        <w:szCs w:val="18"/>
                      </w:rPr>
                      <m:t>x</m:t>
                    </m:r>
                  </m:e>
                </m:d>
                <m:r>
                  <m:rPr>
                    <m:sty m:val="p"/>
                  </m:rPr>
                  <w:rPr>
                    <w:rFonts w:ascii="Cambria Math" w:hAnsi="Cambria Math"/>
                    <w:sz w:val="18"/>
                    <w:szCs w:val="18"/>
                  </w:rPr>
                  <m:t>=</m:t>
                </m:r>
                <m:f>
                  <m:fPr>
                    <m:ctrlPr>
                      <w:rPr>
                        <w:rFonts w:ascii="Cambria Math" w:hAnsi="Cambria Math"/>
                        <w:sz w:val="18"/>
                        <w:szCs w:val="18"/>
                      </w:rPr>
                    </m:ctrlPr>
                  </m:fPr>
                  <m:num>
                    <m:r>
                      <w:rPr>
                        <w:rFonts w:ascii="Cambria Math" w:hAnsi="Cambria Math"/>
                        <w:sz w:val="18"/>
                        <w:szCs w:val="18"/>
                      </w:rPr>
                      <m:t>1</m:t>
                    </m:r>
                  </m:num>
                  <m:den>
                    <m:r>
                      <w:rPr>
                        <w:rFonts w:ascii="Cambria Math" w:hAnsi="Cambria Math"/>
                        <w:sz w:val="18"/>
                        <w:szCs w:val="18"/>
                      </w:rPr>
                      <m:t>σ</m:t>
                    </m:r>
                  </m:den>
                </m:f>
                <m:r>
                  <m:rPr>
                    <m:sty m:val="p"/>
                  </m:rPr>
                  <w:rPr>
                    <w:rFonts w:ascii="Cambria Math" w:hAnsi="Cambria Math"/>
                    <w:sz w:val="18"/>
                    <w:szCs w:val="18"/>
                  </w:rPr>
                  <m:t>exp⁡</m:t>
                </m:r>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(1+k</m:t>
                    </m:r>
                    <m:f>
                      <m:fPr>
                        <m:ctrlPr>
                          <w:rPr>
                            <w:rFonts w:ascii="Cambria Math" w:hAnsi="Cambria Math"/>
                            <w:i/>
                            <w:sz w:val="18"/>
                            <w:szCs w:val="18"/>
                          </w:rPr>
                        </m:ctrlPr>
                      </m:fPr>
                      <m:num>
                        <m:r>
                          <w:rPr>
                            <w:rFonts w:ascii="Cambria Math" w:hAnsi="Cambria Math"/>
                            <w:sz w:val="18"/>
                            <w:szCs w:val="18"/>
                          </w:rPr>
                          <m:t>(x-μ)</m:t>
                        </m:r>
                      </m:num>
                      <m:den>
                        <m:r>
                          <w:rPr>
                            <w:rFonts w:ascii="Cambria Math" w:hAnsi="Cambria Math"/>
                            <w:sz w:val="18"/>
                            <w:szCs w:val="18"/>
                          </w:rPr>
                          <m:t>σ</m:t>
                        </m:r>
                      </m:den>
                    </m:f>
                    <m:r>
                      <w:rPr>
                        <w:rFonts w:ascii="Cambria Math" w:hAnsi="Cambria Math"/>
                        <w:sz w:val="18"/>
                        <w:szCs w:val="18"/>
                      </w:rPr>
                      <m:t>)</m:t>
                    </m:r>
                  </m:e>
                  <m:sup>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k</m:t>
                        </m:r>
                      </m:den>
                    </m:f>
                  </m:sup>
                </m:sSup>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(1+k</m:t>
                    </m:r>
                    <m:f>
                      <m:fPr>
                        <m:ctrlPr>
                          <w:rPr>
                            <w:rFonts w:ascii="Cambria Math" w:hAnsi="Cambria Math"/>
                            <w:i/>
                            <w:sz w:val="18"/>
                            <w:szCs w:val="18"/>
                          </w:rPr>
                        </m:ctrlPr>
                      </m:fPr>
                      <m:num>
                        <m:r>
                          <w:rPr>
                            <w:rFonts w:ascii="Cambria Math" w:hAnsi="Cambria Math"/>
                            <w:sz w:val="18"/>
                            <w:szCs w:val="18"/>
                          </w:rPr>
                          <m:t>(x-μ)</m:t>
                        </m:r>
                      </m:num>
                      <m:den>
                        <m:r>
                          <w:rPr>
                            <w:rFonts w:ascii="Cambria Math" w:hAnsi="Cambria Math"/>
                            <w:sz w:val="18"/>
                            <w:szCs w:val="18"/>
                          </w:rPr>
                          <m:t>σ</m:t>
                        </m:r>
                      </m:den>
                    </m:f>
                    <m:r>
                      <w:rPr>
                        <w:rFonts w:ascii="Cambria Math" w:hAnsi="Cambria Math"/>
                        <w:sz w:val="18"/>
                        <w:szCs w:val="18"/>
                      </w:rPr>
                      <m:t>)</m:t>
                    </m:r>
                  </m:e>
                  <m:sup>
                    <m:r>
                      <w:rPr>
                        <w:rFonts w:ascii="Cambria Math" w:hAnsi="Cambria Math"/>
                        <w:sz w:val="18"/>
                        <w:szCs w:val="18"/>
                      </w:rPr>
                      <m:t>-1-</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k</m:t>
                        </m:r>
                      </m:den>
                    </m:f>
                  </m:sup>
                </m:sSup>
              </m:oMath>
            </m:oMathPara>
          </w:p>
          <w:p w14:paraId="0833B5E6" w14:textId="77777777" w:rsidR="006A68D6" w:rsidRPr="00CC6CA3" w:rsidRDefault="006A68D6" w:rsidP="00F632C0">
            <w:pPr>
              <w:pStyle w:val="NoSpacing"/>
              <w:spacing w:after="120"/>
              <w:jc w:val="center"/>
              <w:rPr>
                <w:sz w:val="18"/>
                <w:szCs w:val="18"/>
              </w:rPr>
            </w:pPr>
            <w:r w:rsidRPr="00CC6CA3">
              <w:rPr>
                <w:sz w:val="18"/>
                <w:szCs w:val="18"/>
              </w:rPr>
              <w:t xml:space="preserve">For </w:t>
            </w:r>
            <m:oMath>
              <m:r>
                <w:rPr>
                  <w:rFonts w:ascii="Cambria Math" w:hAnsi="Cambria Math"/>
                  <w:sz w:val="18"/>
                  <w:szCs w:val="18"/>
                </w:rPr>
                <m:t>k=0</m:t>
              </m:r>
            </m:oMath>
          </w:p>
          <w:p w14:paraId="42D5E596" w14:textId="77777777" w:rsidR="006A68D6" w:rsidRPr="00CC6CA3" w:rsidRDefault="006A68D6" w:rsidP="00F632C0">
            <w:pPr>
              <w:pStyle w:val="NoSpacing"/>
              <w:spacing w:after="120"/>
              <w:jc w:val="center"/>
              <w:rPr>
                <w:sz w:val="18"/>
                <w:szCs w:val="18"/>
              </w:rPr>
            </w:pPr>
            <m:oMathPara>
              <m:oMath>
                <m:r>
                  <w:rPr>
                    <w:rFonts w:ascii="Cambria Math" w:hAnsi="Cambria Math"/>
                    <w:sz w:val="18"/>
                    <w:szCs w:val="18"/>
                  </w:rPr>
                  <m:t>f</m:t>
                </m:r>
                <m:d>
                  <m:dPr>
                    <m:ctrlPr>
                      <w:rPr>
                        <w:rFonts w:ascii="Cambria Math" w:hAnsi="Cambria Math"/>
                        <w:i/>
                        <w:sz w:val="18"/>
                        <w:szCs w:val="18"/>
                      </w:rPr>
                    </m:ctrlPr>
                  </m:dPr>
                  <m:e>
                    <m:r>
                      <w:rPr>
                        <w:rFonts w:ascii="Cambria Math" w:hAnsi="Cambria Math"/>
                        <w:sz w:val="18"/>
                        <w:szCs w:val="18"/>
                      </w:rPr>
                      <m:t>x</m:t>
                    </m:r>
                  </m:e>
                </m:d>
                <m:r>
                  <m:rPr>
                    <m:sty m:val="p"/>
                  </m:rPr>
                  <w:rPr>
                    <w:rFonts w:ascii="Cambria Math" w:hAnsi="Cambria Math"/>
                    <w:sz w:val="18"/>
                    <w:szCs w:val="18"/>
                  </w:rPr>
                  <m:t>=</m:t>
                </m:r>
                <m:f>
                  <m:fPr>
                    <m:ctrlPr>
                      <w:rPr>
                        <w:rFonts w:ascii="Cambria Math" w:hAnsi="Cambria Math"/>
                        <w:sz w:val="18"/>
                        <w:szCs w:val="18"/>
                      </w:rPr>
                    </m:ctrlPr>
                  </m:fPr>
                  <m:num>
                    <m:r>
                      <w:rPr>
                        <w:rFonts w:ascii="Cambria Math" w:hAnsi="Cambria Math"/>
                        <w:sz w:val="18"/>
                        <w:szCs w:val="18"/>
                      </w:rPr>
                      <m:t>1</m:t>
                    </m:r>
                  </m:num>
                  <m:den>
                    <m:r>
                      <w:rPr>
                        <w:rFonts w:ascii="Cambria Math" w:hAnsi="Cambria Math"/>
                        <w:sz w:val="18"/>
                        <w:szCs w:val="18"/>
                      </w:rPr>
                      <m:t>σ</m:t>
                    </m:r>
                  </m:den>
                </m:f>
                <m:r>
                  <m:rPr>
                    <m:sty m:val="p"/>
                  </m:rPr>
                  <w:rPr>
                    <w:rFonts w:ascii="Cambria Math" w:hAnsi="Cambria Math"/>
                    <w:sz w:val="18"/>
                    <w:szCs w:val="18"/>
                  </w:rPr>
                  <m:t>exp⁡</m:t>
                </m:r>
                <m:r>
                  <w:rPr>
                    <w:rFonts w:ascii="Cambria Math" w:hAnsi="Cambria Math"/>
                    <w:sz w:val="18"/>
                    <w:szCs w:val="18"/>
                  </w:rPr>
                  <m:t>(-</m:t>
                </m:r>
                <m:r>
                  <m:rPr>
                    <m:sty m:val="p"/>
                  </m:rPr>
                  <w:rPr>
                    <w:rFonts w:ascii="Cambria Math" w:hAnsi="Cambria Math"/>
                    <w:sz w:val="18"/>
                    <w:szCs w:val="18"/>
                  </w:rPr>
                  <m:t>exp</m:t>
                </m:r>
                <m:d>
                  <m:dPr>
                    <m:ctrlPr>
                      <w:rPr>
                        <w:rFonts w:ascii="Cambria Math" w:hAnsi="Cambria Math"/>
                        <w:i/>
                        <w:sz w:val="18"/>
                        <w:szCs w:val="18"/>
                      </w:rPr>
                    </m:ctrlPr>
                  </m:dPr>
                  <m:e>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x-μ</m:t>
                            </m:r>
                          </m:e>
                        </m:d>
                      </m:num>
                      <m:den>
                        <m:r>
                          <w:rPr>
                            <w:rFonts w:ascii="Cambria Math" w:hAnsi="Cambria Math"/>
                            <w:sz w:val="18"/>
                            <w:szCs w:val="18"/>
                          </w:rPr>
                          <m:t>σ</m:t>
                        </m:r>
                      </m:den>
                    </m:f>
                  </m:e>
                </m:d>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x-μ</m:t>
                        </m:r>
                      </m:e>
                    </m:d>
                  </m:num>
                  <m:den>
                    <m:r>
                      <w:rPr>
                        <w:rFonts w:ascii="Cambria Math" w:hAnsi="Cambria Math"/>
                        <w:sz w:val="18"/>
                        <w:szCs w:val="18"/>
                      </w:rPr>
                      <m:t>σ</m:t>
                    </m:r>
                  </m:den>
                </m:f>
                <m:r>
                  <w:rPr>
                    <w:rFonts w:ascii="Cambria Math" w:hAnsi="Cambria Math"/>
                    <w:sz w:val="18"/>
                    <w:szCs w:val="18"/>
                  </w:rPr>
                  <m:t>)</m:t>
                </m:r>
              </m:oMath>
            </m:oMathPara>
          </w:p>
        </w:tc>
        <w:tc>
          <w:tcPr>
            <w:tcW w:w="2205" w:type="dxa"/>
          </w:tcPr>
          <w:p w14:paraId="22D58BB4" w14:textId="77777777" w:rsidR="006A68D6" w:rsidRPr="00CC6CA3" w:rsidRDefault="006A68D6" w:rsidP="00F632C0">
            <w:pPr>
              <w:pStyle w:val="NoSpacing"/>
              <w:spacing w:after="120"/>
              <w:jc w:val="center"/>
              <w:rPr>
                <w:b/>
                <w:bCs/>
                <w:sz w:val="18"/>
                <w:szCs w:val="18"/>
              </w:rPr>
            </w:pPr>
            <m:oMath>
              <m:r>
                <w:rPr>
                  <w:rFonts w:ascii="Cambria Math" w:hAnsi="Cambria Math"/>
                  <w:sz w:val="18"/>
                  <w:szCs w:val="18"/>
                </w:rPr>
                <m:t>k</m:t>
              </m:r>
            </m:oMath>
            <w:r w:rsidRPr="00CC6CA3">
              <w:rPr>
                <w:sz w:val="18"/>
                <w:szCs w:val="18"/>
              </w:rPr>
              <w:t xml:space="preserve"> is the shape parameter.</w:t>
            </w:r>
            <w:r w:rsidRPr="00CC6CA3">
              <w:rPr>
                <w:sz w:val="18"/>
                <w:szCs w:val="18"/>
              </w:rPr>
              <w:br/>
            </w:r>
            <m:oMath>
              <m:r>
                <w:rPr>
                  <w:rFonts w:ascii="Cambria Math" w:hAnsi="Cambria Math"/>
                  <w:sz w:val="18"/>
                  <w:szCs w:val="18"/>
                </w:rPr>
                <m:t>σ</m:t>
              </m:r>
            </m:oMath>
            <w:r w:rsidRPr="00CC6CA3">
              <w:rPr>
                <w:sz w:val="18"/>
                <w:szCs w:val="18"/>
              </w:rPr>
              <w:t xml:space="preserve"> is the scale parameter.</w:t>
            </w:r>
            <w:r w:rsidRPr="00CC6CA3">
              <w:rPr>
                <w:sz w:val="18"/>
                <w:szCs w:val="18"/>
              </w:rPr>
              <w:br/>
            </w:r>
            <m:oMath>
              <m:r>
                <w:rPr>
                  <w:rFonts w:ascii="Cambria Math" w:hAnsi="Cambria Math"/>
                  <w:sz w:val="18"/>
                  <w:szCs w:val="18"/>
                </w:rPr>
                <m:t>μ</m:t>
              </m:r>
            </m:oMath>
            <w:r w:rsidRPr="00CC6CA3">
              <w:rPr>
                <w:sz w:val="18"/>
                <w:szCs w:val="18"/>
              </w:rPr>
              <w:t xml:space="preserve"> is the location </w:t>
            </w:r>
            <w:proofErr w:type="gramStart"/>
            <w:r w:rsidRPr="00CC6CA3">
              <w:rPr>
                <w:sz w:val="18"/>
                <w:szCs w:val="18"/>
              </w:rPr>
              <w:t>parameter.</w:t>
            </w:r>
            <w:proofErr w:type="gramEnd"/>
          </w:p>
        </w:tc>
      </w:tr>
      <w:tr w:rsidR="00CC6CA3" w:rsidRPr="00CC6CA3" w14:paraId="0639DB87" w14:textId="77777777" w:rsidTr="00F632C0">
        <w:tc>
          <w:tcPr>
            <w:tcW w:w="1555" w:type="dxa"/>
          </w:tcPr>
          <w:p w14:paraId="13B62652" w14:textId="77777777" w:rsidR="006A68D6" w:rsidRPr="00CC6CA3" w:rsidRDefault="006A68D6" w:rsidP="00F632C0">
            <w:pPr>
              <w:pStyle w:val="NoSpacing"/>
              <w:spacing w:after="120"/>
              <w:jc w:val="center"/>
              <w:rPr>
                <w:sz w:val="18"/>
                <w:szCs w:val="18"/>
              </w:rPr>
            </w:pPr>
            <w:r w:rsidRPr="00CC6CA3">
              <w:rPr>
                <w:sz w:val="18"/>
                <w:szCs w:val="18"/>
              </w:rPr>
              <w:t>Lognormal distribution</w:t>
            </w:r>
          </w:p>
        </w:tc>
        <w:tc>
          <w:tcPr>
            <w:tcW w:w="4536" w:type="dxa"/>
          </w:tcPr>
          <w:p w14:paraId="4DE8DFA5" w14:textId="77777777" w:rsidR="006A68D6" w:rsidRPr="00CC6CA3" w:rsidRDefault="006A68D6" w:rsidP="00F632C0">
            <w:pPr>
              <w:pStyle w:val="NoSpacing"/>
              <w:spacing w:after="120"/>
              <w:rPr>
                <w:sz w:val="18"/>
                <w:szCs w:val="18"/>
              </w:rPr>
            </w:pPr>
            <m:oMathPara>
              <m:oMath>
                <m:r>
                  <w:rPr>
                    <w:rFonts w:ascii="Cambria Math" w:hAnsi="Cambria Math"/>
                    <w:sz w:val="18"/>
                    <w:szCs w:val="18"/>
                  </w:rPr>
                  <m:t>f</m:t>
                </m:r>
                <m:d>
                  <m:dPr>
                    <m:ctrlPr>
                      <w:rPr>
                        <w:rFonts w:ascii="Cambria Math" w:hAnsi="Cambria Math"/>
                        <w:i/>
                        <w:sz w:val="18"/>
                        <w:szCs w:val="18"/>
                      </w:rPr>
                    </m:ctrlPr>
                  </m:dPr>
                  <m:e>
                    <m:r>
                      <w:rPr>
                        <w:rFonts w:ascii="Cambria Math" w:hAnsi="Cambria Math"/>
                        <w:sz w:val="18"/>
                        <w:szCs w:val="18"/>
                      </w:rPr>
                      <m:t>x</m:t>
                    </m:r>
                  </m:e>
                </m:d>
                <m:r>
                  <m:rPr>
                    <m:sty m:val="p"/>
                  </m:rPr>
                  <w:rPr>
                    <w:rFonts w:ascii="Cambria Math" w:hAnsi="Cambria Math"/>
                    <w:sz w:val="18"/>
                    <w:szCs w:val="18"/>
                  </w:rPr>
                  <m:t>=</m:t>
                </m:r>
                <m:f>
                  <m:fPr>
                    <m:ctrlPr>
                      <w:rPr>
                        <w:rFonts w:ascii="Cambria Math" w:hAnsi="Cambria Math"/>
                        <w:sz w:val="18"/>
                        <w:szCs w:val="18"/>
                      </w:rPr>
                    </m:ctrlPr>
                  </m:fPr>
                  <m:num>
                    <m:r>
                      <w:rPr>
                        <w:rFonts w:ascii="Cambria Math" w:hAnsi="Cambria Math"/>
                        <w:sz w:val="18"/>
                        <w:szCs w:val="18"/>
                      </w:rPr>
                      <m:t>1</m:t>
                    </m:r>
                  </m:num>
                  <m:den>
                    <m:r>
                      <w:rPr>
                        <w:rFonts w:ascii="Cambria Math" w:hAnsi="Cambria Math"/>
                        <w:sz w:val="18"/>
                        <w:szCs w:val="18"/>
                      </w:rPr>
                      <m:t>xσ</m:t>
                    </m:r>
                    <m:rad>
                      <m:radPr>
                        <m:degHide m:val="1"/>
                        <m:ctrlPr>
                          <w:rPr>
                            <w:rFonts w:ascii="Cambria Math" w:hAnsi="Cambria Math"/>
                            <w:i/>
                            <w:sz w:val="18"/>
                            <w:szCs w:val="18"/>
                          </w:rPr>
                        </m:ctrlPr>
                      </m:radPr>
                      <m:deg/>
                      <m:e>
                        <m:r>
                          <w:rPr>
                            <w:rFonts w:ascii="Cambria Math" w:hAnsi="Cambria Math"/>
                            <w:sz w:val="18"/>
                            <w:szCs w:val="18"/>
                          </w:rPr>
                          <m:t>2π</m:t>
                        </m:r>
                      </m:e>
                    </m:rad>
                  </m:den>
                </m:f>
                <m:r>
                  <m:rPr>
                    <m:sty m:val="p"/>
                  </m:rPr>
                  <w:rPr>
                    <w:rFonts w:ascii="Cambria Math" w:hAnsi="Cambria Math"/>
                    <w:sz w:val="18"/>
                    <w:szCs w:val="18"/>
                  </w:rPr>
                  <m:t>exp⁡[</m:t>
                </m:r>
                <m:f>
                  <m:fPr>
                    <m:ctrlPr>
                      <w:rPr>
                        <w:rFonts w:ascii="Cambria Math" w:hAnsi="Cambria Math"/>
                        <w:sz w:val="18"/>
                        <w:szCs w:val="18"/>
                      </w:rPr>
                    </m:ctrlPr>
                  </m:fPr>
                  <m:num>
                    <m:r>
                      <w:rPr>
                        <w:rFonts w:ascii="Cambria Math" w:hAnsi="Cambria Math"/>
                        <w:sz w:val="18"/>
                        <w:szCs w:val="18"/>
                      </w:rPr>
                      <m:t>-</m:t>
                    </m:r>
                    <m:sSup>
                      <m:sSupPr>
                        <m:ctrlPr>
                          <w:rPr>
                            <w:rFonts w:ascii="Cambria Math" w:hAnsi="Cambria Math"/>
                            <w:i/>
                            <w:sz w:val="18"/>
                            <w:szCs w:val="18"/>
                          </w:rPr>
                        </m:ctrlPr>
                      </m:sSupPr>
                      <m:e>
                        <m:r>
                          <w:rPr>
                            <w:rFonts w:ascii="Cambria Math" w:hAnsi="Cambria Math"/>
                            <w:sz w:val="18"/>
                            <w:szCs w:val="18"/>
                          </w:rPr>
                          <m:t>(logx-μ)</m:t>
                        </m:r>
                      </m:e>
                      <m:sup>
                        <m:r>
                          <w:rPr>
                            <w:rFonts w:ascii="Cambria Math" w:hAnsi="Cambria Math"/>
                            <w:sz w:val="18"/>
                            <w:szCs w:val="18"/>
                          </w:rPr>
                          <m:t>2</m:t>
                        </m:r>
                      </m:sup>
                    </m:sSup>
                  </m:num>
                  <m:den>
                    <m:r>
                      <w:rPr>
                        <w:rFonts w:ascii="Cambria Math" w:hAnsi="Cambria Math"/>
                        <w:sz w:val="18"/>
                        <w:szCs w:val="18"/>
                      </w:rPr>
                      <m:t>2</m:t>
                    </m:r>
                    <m:sSup>
                      <m:sSupPr>
                        <m:ctrlPr>
                          <w:rPr>
                            <w:rFonts w:ascii="Cambria Math" w:hAnsi="Cambria Math"/>
                            <w:i/>
                            <w:sz w:val="18"/>
                            <w:szCs w:val="18"/>
                          </w:rPr>
                        </m:ctrlPr>
                      </m:sSupPr>
                      <m:e>
                        <m:r>
                          <w:rPr>
                            <w:rFonts w:ascii="Cambria Math" w:hAnsi="Cambria Math"/>
                            <w:sz w:val="18"/>
                            <w:szCs w:val="18"/>
                          </w:rPr>
                          <m:t>σ</m:t>
                        </m:r>
                      </m:e>
                      <m:sup>
                        <m:r>
                          <w:rPr>
                            <w:rFonts w:ascii="Cambria Math" w:hAnsi="Cambria Math"/>
                            <w:sz w:val="18"/>
                            <w:szCs w:val="18"/>
                          </w:rPr>
                          <m:t>2</m:t>
                        </m:r>
                      </m:sup>
                    </m:sSup>
                  </m:den>
                </m:f>
                <m:r>
                  <m:rPr>
                    <m:sty m:val="p"/>
                  </m:rPr>
                  <w:rPr>
                    <w:rFonts w:ascii="Cambria Math" w:hAnsi="Cambria Math"/>
                    <w:sz w:val="18"/>
                    <w:szCs w:val="18"/>
                  </w:rPr>
                  <m:t>]</m:t>
                </m:r>
              </m:oMath>
            </m:oMathPara>
          </w:p>
        </w:tc>
        <w:tc>
          <w:tcPr>
            <w:tcW w:w="2205" w:type="dxa"/>
          </w:tcPr>
          <w:p w14:paraId="79D89E32" w14:textId="77777777" w:rsidR="006A68D6" w:rsidRPr="00CC6CA3" w:rsidRDefault="006A68D6" w:rsidP="00F632C0">
            <w:pPr>
              <w:pStyle w:val="NoSpacing"/>
              <w:spacing w:after="120"/>
              <w:jc w:val="center"/>
              <w:rPr>
                <w:rFonts w:cs="Times New Roman"/>
                <w:sz w:val="18"/>
                <w:szCs w:val="18"/>
              </w:rPr>
            </w:pPr>
            <m:oMath>
              <m:r>
                <w:rPr>
                  <w:rFonts w:ascii="Cambria Math" w:hAnsi="Cambria Math"/>
                  <w:sz w:val="18"/>
                  <w:szCs w:val="18"/>
                </w:rPr>
                <m:t>μ</m:t>
              </m:r>
            </m:oMath>
            <w:r w:rsidRPr="00CC6CA3">
              <w:rPr>
                <w:sz w:val="18"/>
                <w:szCs w:val="18"/>
              </w:rPr>
              <w:t xml:space="preserve"> is the mean of logarithmic values.</w:t>
            </w:r>
            <w:r w:rsidRPr="00CC6CA3">
              <w:rPr>
                <w:sz w:val="18"/>
                <w:szCs w:val="18"/>
              </w:rPr>
              <w:br/>
            </w:r>
            <m:oMath>
              <m:r>
                <w:rPr>
                  <w:rFonts w:ascii="Cambria Math" w:hAnsi="Cambria Math"/>
                  <w:sz w:val="18"/>
                  <w:szCs w:val="18"/>
                </w:rPr>
                <m:t>σ</m:t>
              </m:r>
            </m:oMath>
            <w:r w:rsidRPr="00CC6CA3">
              <w:rPr>
                <w:iCs/>
                <w:sz w:val="18"/>
                <w:szCs w:val="18"/>
              </w:rPr>
              <w:t xml:space="preserve"> is the standard deviation of logarithmic </w:t>
            </w:r>
            <w:proofErr w:type="gramStart"/>
            <w:r w:rsidRPr="00CC6CA3">
              <w:rPr>
                <w:iCs/>
                <w:sz w:val="18"/>
                <w:szCs w:val="18"/>
              </w:rPr>
              <w:t>values.</w:t>
            </w:r>
            <w:proofErr w:type="gramEnd"/>
          </w:p>
        </w:tc>
      </w:tr>
      <w:tr w:rsidR="00CC6CA3" w:rsidRPr="00CC6CA3" w14:paraId="00629C1B" w14:textId="77777777" w:rsidTr="00F632C0">
        <w:tc>
          <w:tcPr>
            <w:tcW w:w="1555" w:type="dxa"/>
          </w:tcPr>
          <w:p w14:paraId="74A78B27" w14:textId="77777777" w:rsidR="006A68D6" w:rsidRPr="00CC6CA3" w:rsidRDefault="006A68D6" w:rsidP="00F632C0">
            <w:pPr>
              <w:pStyle w:val="NoSpacing"/>
              <w:spacing w:after="120"/>
              <w:jc w:val="center"/>
              <w:rPr>
                <w:sz w:val="18"/>
                <w:szCs w:val="18"/>
              </w:rPr>
            </w:pPr>
            <w:r w:rsidRPr="00CC6CA3">
              <w:rPr>
                <w:sz w:val="18"/>
                <w:szCs w:val="18"/>
              </w:rPr>
              <w:t>Normal distribution</w:t>
            </w:r>
          </w:p>
        </w:tc>
        <w:tc>
          <w:tcPr>
            <w:tcW w:w="4536" w:type="dxa"/>
          </w:tcPr>
          <w:p w14:paraId="5A925173" w14:textId="77777777" w:rsidR="006A68D6" w:rsidRPr="00CC6CA3" w:rsidRDefault="006A68D6" w:rsidP="00F632C0">
            <w:pPr>
              <w:pStyle w:val="NoSpacing"/>
              <w:spacing w:after="120"/>
              <w:rPr>
                <w:sz w:val="18"/>
                <w:szCs w:val="18"/>
              </w:rPr>
            </w:pPr>
            <m:oMathPara>
              <m:oMath>
                <m:r>
                  <w:rPr>
                    <w:rFonts w:ascii="Cambria Math" w:hAnsi="Cambria Math"/>
                    <w:sz w:val="18"/>
                    <w:szCs w:val="18"/>
                  </w:rPr>
                  <m:t>f</m:t>
                </m:r>
                <m:d>
                  <m:dPr>
                    <m:ctrlPr>
                      <w:rPr>
                        <w:rFonts w:ascii="Cambria Math" w:hAnsi="Cambria Math"/>
                        <w:i/>
                        <w:sz w:val="18"/>
                        <w:szCs w:val="18"/>
                      </w:rPr>
                    </m:ctrlPr>
                  </m:dPr>
                  <m:e>
                    <m:r>
                      <w:rPr>
                        <w:rFonts w:ascii="Cambria Math" w:hAnsi="Cambria Math"/>
                        <w:sz w:val="18"/>
                        <w:szCs w:val="18"/>
                      </w:rPr>
                      <m:t>x</m:t>
                    </m:r>
                  </m:e>
                </m:d>
                <m:r>
                  <m:rPr>
                    <m:sty m:val="p"/>
                  </m:rPr>
                  <w:rPr>
                    <w:rFonts w:ascii="Cambria Math" w:hAnsi="Cambria Math"/>
                    <w:sz w:val="18"/>
                    <w:szCs w:val="18"/>
                  </w:rPr>
                  <m:t>=</m:t>
                </m:r>
                <m:f>
                  <m:fPr>
                    <m:ctrlPr>
                      <w:rPr>
                        <w:rFonts w:ascii="Cambria Math" w:hAnsi="Cambria Math"/>
                        <w:sz w:val="18"/>
                        <w:szCs w:val="18"/>
                      </w:rPr>
                    </m:ctrlPr>
                  </m:fPr>
                  <m:num>
                    <m:r>
                      <w:rPr>
                        <w:rFonts w:ascii="Cambria Math" w:hAnsi="Cambria Math"/>
                        <w:sz w:val="18"/>
                        <w:szCs w:val="18"/>
                      </w:rPr>
                      <m:t>1</m:t>
                    </m:r>
                  </m:num>
                  <m:den>
                    <m:r>
                      <w:rPr>
                        <w:rFonts w:ascii="Cambria Math" w:hAnsi="Cambria Math"/>
                        <w:sz w:val="18"/>
                        <w:szCs w:val="18"/>
                      </w:rPr>
                      <m:t>σ</m:t>
                    </m:r>
                    <m:rad>
                      <m:radPr>
                        <m:degHide m:val="1"/>
                        <m:ctrlPr>
                          <w:rPr>
                            <w:rFonts w:ascii="Cambria Math" w:hAnsi="Cambria Math"/>
                            <w:i/>
                            <w:sz w:val="18"/>
                            <w:szCs w:val="18"/>
                          </w:rPr>
                        </m:ctrlPr>
                      </m:radPr>
                      <m:deg/>
                      <m:e>
                        <m:r>
                          <w:rPr>
                            <w:rFonts w:ascii="Cambria Math" w:hAnsi="Cambria Math"/>
                            <w:sz w:val="18"/>
                            <w:szCs w:val="18"/>
                          </w:rPr>
                          <m:t>2π</m:t>
                        </m:r>
                      </m:e>
                    </m:rad>
                  </m:den>
                </m:f>
                <m:sSup>
                  <m:sSupPr>
                    <m:ctrlPr>
                      <w:rPr>
                        <w:rFonts w:ascii="Cambria Math" w:hAnsi="Cambria Math"/>
                        <w:sz w:val="18"/>
                        <w:szCs w:val="18"/>
                      </w:rPr>
                    </m:ctrlPr>
                  </m:sSupPr>
                  <m:e>
                    <m:r>
                      <w:rPr>
                        <w:rFonts w:ascii="Cambria Math" w:hAnsi="Cambria Math"/>
                        <w:sz w:val="18"/>
                        <w:szCs w:val="18"/>
                      </w:rPr>
                      <m:t>e</m:t>
                    </m:r>
                  </m:e>
                  <m:sup>
                    <m:sSup>
                      <m:sSupPr>
                        <m:ctrlPr>
                          <w:rPr>
                            <w:rFonts w:ascii="Cambria Math" w:hAnsi="Cambria Math"/>
                            <w:i/>
                            <w:sz w:val="18"/>
                            <w:szCs w:val="18"/>
                          </w:rPr>
                        </m:ctrlPr>
                      </m:sSupPr>
                      <m:e>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x-μ</m:t>
                            </m:r>
                          </m:num>
                          <m:den>
                            <m:r>
                              <w:rPr>
                                <w:rFonts w:ascii="Cambria Math" w:hAnsi="Cambria Math"/>
                                <w:sz w:val="18"/>
                                <w:szCs w:val="18"/>
                              </w:rPr>
                              <m:t>σ</m:t>
                            </m:r>
                          </m:den>
                        </m:f>
                        <m:r>
                          <w:rPr>
                            <w:rFonts w:ascii="Cambria Math" w:hAnsi="Cambria Math"/>
                            <w:sz w:val="18"/>
                            <w:szCs w:val="18"/>
                          </w:rPr>
                          <m:t>)</m:t>
                        </m:r>
                      </m:e>
                      <m:sup>
                        <m:r>
                          <w:rPr>
                            <w:rFonts w:ascii="Cambria Math" w:hAnsi="Cambria Math"/>
                            <w:sz w:val="18"/>
                            <w:szCs w:val="18"/>
                          </w:rPr>
                          <m:t>2</m:t>
                        </m:r>
                      </m:sup>
                    </m:sSup>
                  </m:sup>
                </m:sSup>
              </m:oMath>
            </m:oMathPara>
          </w:p>
        </w:tc>
        <w:tc>
          <w:tcPr>
            <w:tcW w:w="2205" w:type="dxa"/>
          </w:tcPr>
          <w:p w14:paraId="3A4B9367" w14:textId="77777777" w:rsidR="006A68D6" w:rsidRPr="00CC6CA3" w:rsidRDefault="006A68D6" w:rsidP="00F632C0">
            <w:pPr>
              <w:pStyle w:val="NoSpacing"/>
              <w:spacing w:after="120"/>
              <w:jc w:val="center"/>
              <w:rPr>
                <w:sz w:val="18"/>
                <w:szCs w:val="18"/>
              </w:rPr>
            </w:pPr>
            <m:oMath>
              <m:r>
                <w:rPr>
                  <w:rFonts w:ascii="Cambria Math" w:hAnsi="Cambria Math"/>
                  <w:sz w:val="18"/>
                  <w:szCs w:val="18"/>
                </w:rPr>
                <m:t>μ</m:t>
              </m:r>
            </m:oMath>
            <w:r w:rsidRPr="00CC6CA3">
              <w:rPr>
                <w:sz w:val="18"/>
                <w:szCs w:val="18"/>
              </w:rPr>
              <w:t xml:space="preserve"> is the mean value.</w:t>
            </w:r>
            <w:r w:rsidRPr="00CC6CA3">
              <w:rPr>
                <w:sz w:val="18"/>
                <w:szCs w:val="18"/>
              </w:rPr>
              <w:br/>
            </w:r>
            <m:oMath>
              <m:r>
                <w:rPr>
                  <w:rFonts w:ascii="Cambria Math" w:hAnsi="Cambria Math"/>
                  <w:sz w:val="18"/>
                  <w:szCs w:val="18"/>
                </w:rPr>
                <m:t>σ</m:t>
              </m:r>
            </m:oMath>
            <w:r w:rsidRPr="00CC6CA3">
              <w:rPr>
                <w:sz w:val="18"/>
                <w:szCs w:val="18"/>
              </w:rPr>
              <w:t xml:space="preserve"> is the standard </w:t>
            </w:r>
            <w:proofErr w:type="gramStart"/>
            <w:r w:rsidRPr="00CC6CA3">
              <w:rPr>
                <w:sz w:val="18"/>
                <w:szCs w:val="18"/>
              </w:rPr>
              <w:t>deviation.</w:t>
            </w:r>
            <w:proofErr w:type="gramEnd"/>
          </w:p>
        </w:tc>
      </w:tr>
      <w:tr w:rsidR="006A68D6" w:rsidRPr="00CC6CA3" w14:paraId="6260B747" w14:textId="77777777" w:rsidTr="00F632C0">
        <w:tc>
          <w:tcPr>
            <w:tcW w:w="1555" w:type="dxa"/>
          </w:tcPr>
          <w:p w14:paraId="620B686F" w14:textId="77777777" w:rsidR="006A68D6" w:rsidRPr="00CC6CA3" w:rsidRDefault="006A68D6" w:rsidP="00F632C0">
            <w:pPr>
              <w:pStyle w:val="NoSpacing"/>
              <w:spacing w:after="120"/>
              <w:jc w:val="center"/>
              <w:rPr>
                <w:sz w:val="18"/>
                <w:szCs w:val="18"/>
              </w:rPr>
            </w:pPr>
            <w:r w:rsidRPr="00CC6CA3">
              <w:rPr>
                <w:sz w:val="18"/>
                <w:szCs w:val="18"/>
              </w:rPr>
              <w:t>Kernel distribution</w:t>
            </w:r>
          </w:p>
        </w:tc>
        <w:tc>
          <w:tcPr>
            <w:tcW w:w="4536" w:type="dxa"/>
          </w:tcPr>
          <w:p w14:paraId="6AB2661B" w14:textId="77777777" w:rsidR="006A68D6" w:rsidRPr="00CC6CA3" w:rsidRDefault="00D62691" w:rsidP="00F632C0">
            <w:pPr>
              <w:pStyle w:val="NoSpacing"/>
              <w:spacing w:after="120"/>
              <w:rPr>
                <w:sz w:val="18"/>
                <w:szCs w:val="18"/>
              </w:rPr>
            </w:pPr>
            <m:oMathPara>
              <m:oMath>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h</m:t>
                    </m:r>
                  </m:sub>
                </m:sSub>
                <m:d>
                  <m:dPr>
                    <m:ctrlPr>
                      <w:rPr>
                        <w:rFonts w:ascii="Cambria Math" w:hAnsi="Cambria Math"/>
                        <w:i/>
                        <w:sz w:val="18"/>
                        <w:szCs w:val="18"/>
                      </w:rPr>
                    </m:ctrlPr>
                  </m:dPr>
                  <m:e>
                    <m:r>
                      <w:rPr>
                        <w:rFonts w:ascii="Cambria Math" w:hAnsi="Cambria Math"/>
                        <w:sz w:val="18"/>
                        <w:szCs w:val="18"/>
                      </w:rPr>
                      <m:t>x</m:t>
                    </m:r>
                  </m:e>
                </m:d>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nh</m:t>
                    </m:r>
                  </m:den>
                </m:f>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r>
                      <w:rPr>
                        <w:rFonts w:ascii="Cambria Math" w:hAnsi="Cambria Math"/>
                        <w:sz w:val="18"/>
                        <w:szCs w:val="18"/>
                      </w:rPr>
                      <m:t>K(</m:t>
                    </m:r>
                    <m:f>
                      <m:fPr>
                        <m:ctrlPr>
                          <w:rPr>
                            <w:rFonts w:ascii="Cambria Math" w:hAnsi="Cambria Math"/>
                            <w:i/>
                            <w:sz w:val="18"/>
                            <w:szCs w:val="18"/>
                          </w:rPr>
                        </m:ctrlPr>
                      </m:fPr>
                      <m:num>
                        <m:r>
                          <w:rPr>
                            <w:rFonts w:ascii="Cambria Math" w:hAnsi="Cambria Math"/>
                            <w:sz w:val="18"/>
                            <w:szCs w:val="18"/>
                          </w:rPr>
                          <m:t>x-</m:t>
                        </m:r>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i</m:t>
                            </m:r>
                          </m:sub>
                        </m:sSub>
                      </m:num>
                      <m:den>
                        <m:r>
                          <w:rPr>
                            <w:rFonts w:ascii="Cambria Math" w:hAnsi="Cambria Math"/>
                            <w:sz w:val="18"/>
                            <w:szCs w:val="18"/>
                          </w:rPr>
                          <m:t>h</m:t>
                        </m:r>
                      </m:den>
                    </m:f>
                    <m:r>
                      <w:rPr>
                        <w:rFonts w:ascii="Cambria Math" w:hAnsi="Cambria Math"/>
                        <w:sz w:val="18"/>
                        <w:szCs w:val="18"/>
                      </w:rPr>
                      <m:t>)</m:t>
                    </m:r>
                  </m:e>
                </m:nary>
              </m:oMath>
            </m:oMathPara>
          </w:p>
        </w:tc>
        <w:tc>
          <w:tcPr>
            <w:tcW w:w="2205" w:type="dxa"/>
          </w:tcPr>
          <w:p w14:paraId="590404BB" w14:textId="77777777" w:rsidR="006A68D6" w:rsidRPr="00CC6CA3" w:rsidRDefault="006A68D6" w:rsidP="00F632C0">
            <w:pPr>
              <w:pStyle w:val="NoSpacing"/>
              <w:spacing w:after="120"/>
              <w:jc w:val="center"/>
              <w:rPr>
                <w:sz w:val="18"/>
                <w:szCs w:val="18"/>
              </w:rPr>
            </w:pPr>
            <m:oMath>
              <m:r>
                <w:rPr>
                  <w:rFonts w:ascii="Cambria Math" w:hAnsi="Cambria Math"/>
                  <w:sz w:val="18"/>
                  <w:szCs w:val="18"/>
                </w:rPr>
                <m:t>h</m:t>
              </m:r>
            </m:oMath>
            <w:r w:rsidRPr="00CC6CA3">
              <w:rPr>
                <w:sz w:val="18"/>
                <w:szCs w:val="18"/>
              </w:rPr>
              <w:t xml:space="preserve"> is the bandwidth.</w:t>
            </w:r>
          </w:p>
          <w:p w14:paraId="0A365B7E" w14:textId="77777777" w:rsidR="006A68D6" w:rsidRPr="00CC6CA3" w:rsidRDefault="006A68D6" w:rsidP="00F632C0">
            <w:pPr>
              <w:pStyle w:val="NoSpacing"/>
              <w:spacing w:after="120"/>
              <w:jc w:val="center"/>
              <w:rPr>
                <w:sz w:val="18"/>
                <w:szCs w:val="18"/>
              </w:rPr>
            </w:pPr>
            <m:oMath>
              <m:r>
                <w:rPr>
                  <w:rFonts w:ascii="Cambria Math" w:hAnsi="Cambria Math"/>
                  <w:sz w:val="18"/>
                  <w:szCs w:val="18"/>
                </w:rPr>
                <m:t>n</m:t>
              </m:r>
            </m:oMath>
            <w:r w:rsidRPr="00CC6CA3">
              <w:rPr>
                <w:sz w:val="18"/>
                <w:szCs w:val="18"/>
              </w:rPr>
              <w:t xml:space="preserve"> is the sample size.</w:t>
            </w:r>
          </w:p>
        </w:tc>
      </w:tr>
    </w:tbl>
    <w:p w14:paraId="33641C13" w14:textId="77777777" w:rsidR="006A68D6" w:rsidRPr="00CC6CA3" w:rsidRDefault="006A68D6" w:rsidP="006A68D6">
      <w:pPr>
        <w:pStyle w:val="Body"/>
        <w:rPr>
          <w:rFonts w:cstheme="minorBidi"/>
          <w:lang w:eastAsia="zh-CN"/>
        </w:rPr>
      </w:pPr>
    </w:p>
    <w:p w14:paraId="2295D35B" w14:textId="77777777" w:rsidR="006A68D6" w:rsidRPr="00CC6CA3" w:rsidRDefault="006A68D6" w:rsidP="000441CC">
      <w:pPr>
        <w:pStyle w:val="Heading3"/>
        <w:rPr>
          <w:lang w:val="en-US"/>
        </w:rPr>
      </w:pPr>
      <w:bookmarkStart w:id="514" w:name="_Toc81553308"/>
      <w:r w:rsidRPr="00CC6CA3">
        <w:rPr>
          <w:lang w:val="en-US"/>
        </w:rPr>
        <w:t>Consequence of fault model</w:t>
      </w:r>
      <w:bookmarkEnd w:id="514"/>
    </w:p>
    <w:p w14:paraId="68DA045A" w14:textId="3C326AB8" w:rsidR="006A68D6" w:rsidRPr="00CC6CA3" w:rsidRDefault="00E75B25" w:rsidP="006A68D6">
      <w:pPr>
        <w:spacing w:before="120"/>
      </w:pPr>
      <w:r w:rsidRPr="00CC6CA3">
        <w:t xml:space="preserve">In the condition monitoring phase, the process loss starts to increase if the process variables that contribute most exceed their normal operation thresholds, and the maximum process loss is reached after any of these variables breach the shutdown threshold </w:t>
      </w:r>
      <w:r w:rsidR="006A68D6" w:rsidRPr="00CC6CA3">
        <w:fldChar w:fldCharType="begin"/>
      </w:r>
      <w:r w:rsidR="007D1BCC" w:rsidRPr="00CC6CA3">
        <w:instrText xml:space="preserve"> ADDIN ZOTERO_ITEM CSL_CITATION {"citationID":"qbqMgFKo","properties":{"formattedCitation":"[126]","plainCitation":"[126]","noteIndex":0},"citationItems":[{"id":982,"uris":["http://zotero.org/users/3051968/items/X6VTIH2S"],"uri":["http://zotero.org/users/3051968/items/X6VTIH2S"],"itemData":{"id":982,"type":"article-journal","container-title":"The Canadian Journal of Chemical Engineering","issue":"7","note":"publisher: Wiley Online Library","page":"1295–1307","source":"Google Scholar","title":"Risk-based process system monitoring using self-organizing map integrated with loss functions","volume":"94","author":[{"family":"Yu","given":"Hongyang"},{"family":"Khan","given":"Faisal"},{"family":"Garaniya","given":"Vikram"}],"issued":{"date-parts":[["2016"]]}}}],"schema":"https://github.com/citation-style-language/schema/raw/master/csl-citation.json"} </w:instrText>
      </w:r>
      <w:r w:rsidR="006A68D6" w:rsidRPr="00CC6CA3">
        <w:fldChar w:fldCharType="separate"/>
      </w:r>
      <w:r w:rsidR="007D1BCC" w:rsidRPr="00CC6CA3">
        <w:rPr>
          <w:rFonts w:cs="Times New Roman"/>
        </w:rPr>
        <w:t>[126]</w:t>
      </w:r>
      <w:r w:rsidR="006A68D6" w:rsidRPr="00CC6CA3">
        <w:fldChar w:fldCharType="end"/>
      </w:r>
      <w:r w:rsidR="006A68D6" w:rsidRPr="00CC6CA3">
        <w:t xml:space="preserve">. </w:t>
      </w:r>
      <w:r w:rsidRPr="00CC6CA3">
        <w:t>In our methodology, the COF model is used to quantify such losses due to failure, and it is expressed by the loss function using</w:t>
      </w:r>
      <w:r w:rsidR="006A68D6" w:rsidRPr="00CC6CA3">
        <w:t xml:space="preserve"> Equation </w:t>
      </w:r>
      <w:r w:rsidR="006A68D6" w:rsidRPr="00CC6CA3">
        <w:fldChar w:fldCharType="begin"/>
      </w:r>
      <w:r w:rsidR="006A68D6" w:rsidRPr="00CC6CA3">
        <w:instrText xml:space="preserve"> REF _Ref63676597 \h </w:instrText>
      </w:r>
      <w:r w:rsidR="006A68D6" w:rsidRPr="00CC6CA3">
        <w:fldChar w:fldCharType="separate"/>
      </w:r>
      <w:r w:rsidR="001906D9" w:rsidRPr="00CC6CA3">
        <w:t>(</w:t>
      </w:r>
      <w:r w:rsidR="001906D9" w:rsidRPr="00CC6CA3">
        <w:rPr>
          <w:noProof/>
        </w:rPr>
        <w:t>5</w:t>
      </w:r>
      <w:r w:rsidR="001906D9" w:rsidRPr="00CC6CA3">
        <w:noBreakHyphen/>
      </w:r>
      <w:r w:rsidR="001906D9" w:rsidRPr="00CC6CA3">
        <w:rPr>
          <w:noProof/>
        </w:rPr>
        <w:t>9</w:t>
      </w:r>
      <w:r w:rsidR="001906D9" w:rsidRPr="00CC6CA3">
        <w:t>)</w:t>
      </w:r>
      <w:r w:rsidR="006A68D6" w:rsidRPr="00CC6CA3">
        <w:fldChar w:fldCharType="end"/>
      </w:r>
      <w:r w:rsidR="006A68D6" w:rsidRPr="00CC6CA3">
        <w:t xml:space="preserve"> </w:t>
      </w:r>
      <w:r w:rsidR="006A68D6" w:rsidRPr="00CC6CA3">
        <w:fldChar w:fldCharType="begin"/>
      </w:r>
      <w:r w:rsidR="007D1BCC" w:rsidRPr="00CC6CA3">
        <w:instrText xml:space="preserve"> ADDIN ZOTERO_ITEM CSL_CITATION {"citationID":"c6yLOHRA","properties":{"formattedCitation":"[125], [126]","plainCitation":"[125], [126]","noteIndex":0},"citationItems":[{"id":980,"uris":["http://zotero.org/users/3051968/items/TYDE2UBP"],"uri":["http://zotero.org/users/3051968/items/TYDE2UBP"],"itemData":{"id":980,"type":"article-journal","container-title":"Chemical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id":982,"uris":["http://zotero.org/users/3051968/items/X6VTIH2S"],"uri":["http://zotero.org/users/3051968/items/X6VTIH2S"],"itemData":{"id":982,"type":"article-journal","container-title":"The Canadian Journal of Chemical Engineering","issue":"7","note":"publisher: Wiley Online Library","page":"1295–1307","source":"Google Scholar","title":"Risk-based process system monitoring using self-organizing map integrated with loss functions","volume":"94","author":[{"family":"Yu","given":"Hongyang"},{"family":"Khan","given":"Faisal"},{"family":"Garaniya","given":"Vikram"}],"issued":{"date-parts":[["2016"]]}}}],"schema":"https://github.com/citation-style-language/schema/raw/master/csl-citation.json"} </w:instrText>
      </w:r>
      <w:r w:rsidR="006A68D6" w:rsidRPr="00CC6CA3">
        <w:fldChar w:fldCharType="separate"/>
      </w:r>
      <w:r w:rsidR="007D1BCC" w:rsidRPr="00CC6CA3">
        <w:rPr>
          <w:rFonts w:cs="Times New Roman"/>
        </w:rPr>
        <w:t>[125], [126]</w:t>
      </w:r>
      <w:r w:rsidR="006A68D6" w:rsidRPr="00CC6CA3">
        <w:fldChar w:fldCharType="end"/>
      </w:r>
      <w:r w:rsidR="006A68D6"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01"/>
        <w:gridCol w:w="1364"/>
      </w:tblGrid>
      <w:tr w:rsidR="00CC6CA3" w:rsidRPr="00CC6CA3" w14:paraId="408DB9BA" w14:textId="77777777" w:rsidTr="00F632C0">
        <w:tc>
          <w:tcPr>
            <w:tcW w:w="4222" w:type="pct"/>
            <w:vAlign w:val="center"/>
          </w:tcPr>
          <w:p w14:paraId="0EE5D6AD" w14:textId="77777777" w:rsidR="006A68D6" w:rsidRPr="00CC6CA3" w:rsidRDefault="006A68D6" w:rsidP="00F632C0">
            <w:pPr>
              <w:spacing w:before="120" w:after="160"/>
            </w:pPr>
            <m:oMathPara>
              <m:oMath>
                <m:r>
                  <m:rPr>
                    <m:sty m:val="p"/>
                  </m:rPr>
                  <w:rPr>
                    <w:rFonts w:ascii="Cambria Math" w:hAnsi="Cambria Math"/>
                  </w:rPr>
                  <w:fldChar w:fldCharType="begin"/>
                </m:r>
                <m:r>
                  <m:rPr>
                    <m:sty m:val="p"/>
                  </m:rPr>
                  <w:rPr>
                    <w:rFonts w:ascii="Cambria Math" w:hAnsi="Cambria Math"/>
                  </w:rPr>
                  <m:t xml:space="preserve"> EQ </m:t>
                </m:r>
                <m:r>
                  <m:rPr>
                    <m:sty m:val="p"/>
                  </m:rPr>
                  <w:rPr>
                    <w:rFonts w:ascii="Cambria Math" w:hAnsi="Cambria Math"/>
                  </w:rPr>
                  <w:fldChar w:fldCharType="end"/>
                </m:r>
                <m:r>
                  <w:rPr>
                    <w:rFonts w:ascii="Cambria Math" w:hAnsi="Cambria Math"/>
                  </w:rPr>
                  <m:t>COF</m:t>
                </m:r>
                <m:r>
                  <m:rPr>
                    <m:sty m:val="p"/>
                  </m:rPr>
                  <w:rPr>
                    <w:rFonts w:ascii="Cambria Math" w:hAnsi="Cambria Math"/>
                  </w:rPr>
                  <m:t xml:space="preserve">= </m:t>
                </m:r>
                <m:r>
                  <w:rPr>
                    <w:rFonts w:ascii="Cambria Math" w:hAnsi="Cambria Math"/>
                  </w:rPr>
                  <m:t>EML</m:t>
                </m:r>
                <m:r>
                  <m:rPr>
                    <m:sty m:val="p"/>
                  </m:rPr>
                  <w:rPr>
                    <w:rFonts w:ascii="Cambria Math" w:hAnsi="Cambria Math"/>
                  </w:rPr>
                  <m:t>∙(1-</m:t>
                </m:r>
                <m:sSup>
                  <m:sSupPr>
                    <m:ctrlPr>
                      <w:rPr>
                        <w:rFonts w:ascii="Cambria Math" w:hAnsi="Cambria Math"/>
                      </w:rPr>
                    </m:ctrlPr>
                  </m:sSupPr>
                  <m:e>
                    <m:r>
                      <w:rPr>
                        <w:rFonts w:ascii="Cambria Math" w:hAnsi="Cambria Math"/>
                      </w:rPr>
                      <m:t>e</m:t>
                    </m:r>
                  </m:e>
                  <m:sup>
                    <m:sSup>
                      <m:sSupPr>
                        <m:ctrlPr>
                          <w:rPr>
                            <w:rFonts w:ascii="Cambria Math" w:hAnsi="Cambria Math"/>
                          </w:rPr>
                        </m:ctrlPr>
                      </m:sSupPr>
                      <m:e>
                        <m:r>
                          <m:rPr>
                            <m:sty m:val="p"/>
                          </m:rPr>
                          <w:rPr>
                            <w:rFonts w:ascii="Cambria Math" w:hAnsi="Cambria Math"/>
                          </w:rPr>
                          <m:t>-(</m:t>
                        </m:r>
                        <m:r>
                          <w:rPr>
                            <w:rFonts w:ascii="Cambria Math" w:hAnsi="Cambria Math"/>
                          </w:rPr>
                          <m:t>h</m:t>
                        </m:r>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target</m:t>
                            </m:r>
                          </m:sub>
                        </m:sSub>
                        <m:r>
                          <m:rPr>
                            <m:sty m:val="p"/>
                          </m:rPr>
                          <w:rPr>
                            <w:rFonts w:ascii="Cambria Math" w:hAnsi="Cambria Math"/>
                          </w:rPr>
                          <m:t>)</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2</m:t>
                        </m:r>
                        <m:r>
                          <w:rPr>
                            <w:rFonts w:ascii="Cambria Math" w:hAnsi="Cambria Math"/>
                          </w:rPr>
                          <m:t>γ</m:t>
                        </m:r>
                      </m:e>
                      <m:sup>
                        <m:r>
                          <m:rPr>
                            <m:sty m:val="p"/>
                          </m:rPr>
                          <w:rPr>
                            <w:rFonts w:ascii="Cambria Math" w:hAnsi="Cambria Math"/>
                          </w:rPr>
                          <m:t>2</m:t>
                        </m:r>
                      </m:sup>
                    </m:sSup>
                  </m:sup>
                </m:sSup>
                <m:r>
                  <m:rPr>
                    <m:sty m:val="p"/>
                  </m:rPr>
                  <w:rPr>
                    <w:rFonts w:ascii="Cambria Math" w:hAnsi="Cambria Math"/>
                  </w:rPr>
                  <m:t>)</m:t>
                </m:r>
              </m:oMath>
            </m:oMathPara>
          </w:p>
        </w:tc>
        <w:tc>
          <w:tcPr>
            <w:tcW w:w="778" w:type="pct"/>
            <w:vAlign w:val="center"/>
          </w:tcPr>
          <w:p w14:paraId="2269667E" w14:textId="3B42F15D" w:rsidR="006A68D6" w:rsidRPr="00CC6CA3" w:rsidRDefault="006A68D6" w:rsidP="00F632C0">
            <w:pPr>
              <w:spacing w:before="120" w:after="160"/>
              <w:jc w:val="right"/>
            </w:pPr>
            <w:bookmarkStart w:id="515" w:name="_Ref63676597"/>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9</w:t>
            </w:r>
            <w:r w:rsidR="00D62691" w:rsidRPr="00CC6CA3">
              <w:rPr>
                <w:noProof/>
              </w:rPr>
              <w:fldChar w:fldCharType="end"/>
            </w:r>
            <w:r w:rsidRPr="00CC6CA3">
              <w:t>)</w:t>
            </w:r>
            <w:bookmarkEnd w:id="515"/>
          </w:p>
        </w:tc>
      </w:tr>
    </w:tbl>
    <w:p w14:paraId="181AF920" w14:textId="43359B4E" w:rsidR="006A68D6" w:rsidRPr="00CC6CA3" w:rsidRDefault="007F7454" w:rsidP="006A68D6">
      <w:pPr>
        <w:spacing w:before="120"/>
      </w:pPr>
      <w:r w:rsidRPr="00CC6CA3">
        <w:t xml:space="preserve">The loss function shown in </w:t>
      </w:r>
      <w:r w:rsidR="006A68D6" w:rsidRPr="00CC6CA3">
        <w:t xml:space="preserve">Equation </w:t>
      </w:r>
      <w:r w:rsidR="006A68D6" w:rsidRPr="00CC6CA3">
        <w:fldChar w:fldCharType="begin"/>
      </w:r>
      <w:r w:rsidR="006A68D6" w:rsidRPr="00CC6CA3">
        <w:instrText xml:space="preserve"> REF _Ref63676597 \h </w:instrText>
      </w:r>
      <w:r w:rsidR="006A68D6" w:rsidRPr="00CC6CA3">
        <w:fldChar w:fldCharType="separate"/>
      </w:r>
      <w:r w:rsidR="001906D9" w:rsidRPr="00CC6CA3">
        <w:t>(</w:t>
      </w:r>
      <w:r w:rsidR="001906D9" w:rsidRPr="00CC6CA3">
        <w:rPr>
          <w:noProof/>
        </w:rPr>
        <w:t>5</w:t>
      </w:r>
      <w:r w:rsidR="001906D9" w:rsidRPr="00CC6CA3">
        <w:noBreakHyphen/>
      </w:r>
      <w:r w:rsidR="001906D9" w:rsidRPr="00CC6CA3">
        <w:rPr>
          <w:noProof/>
        </w:rPr>
        <w:t>9</w:t>
      </w:r>
      <w:r w:rsidR="001906D9" w:rsidRPr="00CC6CA3">
        <w:t>)</w:t>
      </w:r>
      <w:r w:rsidR="006A68D6" w:rsidRPr="00CC6CA3">
        <w:fldChar w:fldCharType="end"/>
      </w:r>
      <w:r w:rsidR="006A68D6" w:rsidRPr="00CC6CA3">
        <w:t xml:space="preserve"> </w:t>
      </w:r>
      <w:r w:rsidRPr="00CC6CA3">
        <w:t xml:space="preserve">is the inverted normal loss function, which is the most widely used for describing random variables </w:t>
      </w:r>
      <w:r w:rsidR="006A68D6" w:rsidRPr="00CC6CA3">
        <w:fldChar w:fldCharType="begin"/>
      </w:r>
      <w:r w:rsidR="007D1BCC" w:rsidRPr="00CC6CA3">
        <w:instrText xml:space="preserve"> ADDIN ZOTERO_ITEM CSL_CITATION {"citationID":"DPmtOxr7","properties":{"formattedCitation":"[125]","plainCitation":"[125]","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assessment","volume":"111","author":[{"family":"Khan","given":"Faisal"},{"family":"Wang","given":"Hangzhou"},{"family":"Yang","given":"Ming"}],"issued":{"date-parts":[["2016"]]}}}],"schema":"https://github.com/citation-style-language/schema/raw/master/csl-citation.json"} </w:instrText>
      </w:r>
      <w:r w:rsidR="006A68D6" w:rsidRPr="00CC6CA3">
        <w:fldChar w:fldCharType="separate"/>
      </w:r>
      <w:r w:rsidR="007D1BCC" w:rsidRPr="00CC6CA3">
        <w:rPr>
          <w:rFonts w:cs="Times New Roman"/>
        </w:rPr>
        <w:t>[125]</w:t>
      </w:r>
      <w:r w:rsidR="006A68D6" w:rsidRPr="00CC6CA3">
        <w:fldChar w:fldCharType="end"/>
      </w:r>
      <w:r w:rsidR="006A68D6" w:rsidRPr="00CC6CA3">
        <w:t xml:space="preserve">. </w:t>
      </w:r>
      <w:r w:rsidRPr="00CC6CA3">
        <w:t xml:space="preserve">In the equation, </w:t>
      </w:r>
      <m:oMath>
        <m:r>
          <w:rPr>
            <w:rFonts w:ascii="Cambria Math" w:hAnsi="Cambria Math"/>
          </w:rPr>
          <m:t>EML</m:t>
        </m:r>
      </m:oMath>
      <w:r w:rsidRPr="00CC6CA3">
        <w:t xml:space="preserve"> represents the estimated maximum financial loss based on the worst conditions, and can be calculated as</w:t>
      </w:r>
      <w:r w:rsidR="006A68D6"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968"/>
      </w:tblGrid>
      <w:tr w:rsidR="00CC6CA3" w:rsidRPr="00CC6CA3" w14:paraId="1D21B8A6" w14:textId="77777777" w:rsidTr="00F632C0">
        <w:tc>
          <w:tcPr>
            <w:tcW w:w="4448" w:type="pct"/>
            <w:vAlign w:val="center"/>
          </w:tcPr>
          <w:p w14:paraId="5DD41152" w14:textId="77777777" w:rsidR="006A68D6" w:rsidRPr="00CC6CA3" w:rsidRDefault="006A68D6" w:rsidP="00F632C0">
            <w:pPr>
              <w:spacing w:before="120" w:after="160"/>
            </w:pPr>
            <m:oMathPara>
              <m:oMath>
                <m:r>
                  <w:rPr>
                    <w:rFonts w:ascii="Cambria Math" w:hAnsi="Cambria Math"/>
                  </w:rPr>
                  <w:lastRenderedPageBreak/>
                  <m:t>EML</m:t>
                </m:r>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D</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TS</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AL</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HL</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others</m:t>
                    </m:r>
                  </m:sub>
                </m:sSub>
              </m:oMath>
            </m:oMathPara>
          </w:p>
        </w:tc>
        <w:tc>
          <w:tcPr>
            <w:tcW w:w="552" w:type="pct"/>
            <w:vAlign w:val="center"/>
          </w:tcPr>
          <w:p w14:paraId="2BA968AE" w14:textId="295E8408" w:rsidR="006A68D6" w:rsidRPr="00CC6CA3" w:rsidRDefault="006A68D6" w:rsidP="00F632C0">
            <w:pPr>
              <w:spacing w:before="120" w:after="160"/>
              <w:jc w:val="right"/>
            </w:pPr>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10</w:t>
            </w:r>
            <w:r w:rsidR="00D62691" w:rsidRPr="00CC6CA3">
              <w:rPr>
                <w:noProof/>
              </w:rPr>
              <w:fldChar w:fldCharType="end"/>
            </w:r>
            <w:r w:rsidRPr="00CC6CA3">
              <w:t>)</w:t>
            </w:r>
          </w:p>
        </w:tc>
      </w:tr>
    </w:tbl>
    <w:p w14:paraId="31B57F30" w14:textId="77777777" w:rsidR="006A68D6" w:rsidRPr="00CC6CA3" w:rsidRDefault="006A68D6" w:rsidP="006A68D6">
      <w:pPr>
        <w:spacing w:before="120"/>
      </w:pPr>
      <w:r w:rsidRPr="00CC6CA3">
        <w:t xml:space="preserve">where </w:t>
      </w:r>
      <m:oMath>
        <m:sSub>
          <m:sSubPr>
            <m:ctrlPr>
              <w:rPr>
                <w:rFonts w:ascii="Cambria Math" w:hAnsi="Cambria Math"/>
              </w:rPr>
            </m:ctrlPr>
          </m:sSubPr>
          <m:e>
            <m:r>
              <w:rPr>
                <w:rFonts w:ascii="Cambria Math" w:hAnsi="Cambria Math"/>
              </w:rPr>
              <m:t>C</m:t>
            </m:r>
          </m:e>
          <m:sub>
            <m:r>
              <w:rPr>
                <w:rFonts w:ascii="Cambria Math" w:hAnsi="Cambria Math"/>
              </w:rPr>
              <m:t>D</m:t>
            </m:r>
          </m:sub>
        </m:sSub>
      </m:oMath>
      <w:r w:rsidRPr="00CC6CA3">
        <w:t xml:space="preserve"> is downtime production loss, </w:t>
      </w:r>
      <m:oMath>
        <m:sSub>
          <m:sSubPr>
            <m:ctrlPr>
              <w:rPr>
                <w:rFonts w:ascii="Cambria Math" w:hAnsi="Cambria Math"/>
              </w:rPr>
            </m:ctrlPr>
          </m:sSubPr>
          <m:e>
            <m:r>
              <w:rPr>
                <w:rFonts w:ascii="Cambria Math" w:hAnsi="Cambria Math"/>
              </w:rPr>
              <m:t>C</m:t>
            </m:r>
          </m:e>
          <m:sub>
            <m:r>
              <w:rPr>
                <w:rFonts w:ascii="Cambria Math" w:hAnsi="Cambria Math"/>
              </w:rPr>
              <m:t>M</m:t>
            </m:r>
          </m:sub>
        </m:sSub>
      </m:oMath>
      <w:r w:rsidRPr="00CC6CA3">
        <w:t xml:space="preserve"> is the material cost, </w:t>
      </w:r>
      <m:oMath>
        <m:sSub>
          <m:sSubPr>
            <m:ctrlPr>
              <w:rPr>
                <w:rFonts w:ascii="Cambria Math" w:hAnsi="Cambria Math"/>
              </w:rPr>
            </m:ctrlPr>
          </m:sSubPr>
          <m:e>
            <m:r>
              <w:rPr>
                <w:rFonts w:ascii="Cambria Math" w:hAnsi="Cambria Math"/>
              </w:rPr>
              <m:t>C</m:t>
            </m:r>
          </m:e>
          <m:sub>
            <m:r>
              <w:rPr>
                <w:rFonts w:ascii="Cambria Math" w:hAnsi="Cambria Math"/>
              </w:rPr>
              <m:t>L</m:t>
            </m:r>
          </m:sub>
        </m:sSub>
      </m:oMath>
      <w:r w:rsidRPr="00CC6CA3">
        <w:t xml:space="preserve"> is the labour cost, </w:t>
      </w:r>
      <m:oMath>
        <m:sSub>
          <m:sSubPr>
            <m:ctrlPr>
              <w:rPr>
                <w:rFonts w:ascii="Cambria Math" w:hAnsi="Cambria Math"/>
              </w:rPr>
            </m:ctrlPr>
          </m:sSubPr>
          <m:e>
            <m:r>
              <w:rPr>
                <w:rFonts w:ascii="Cambria Math" w:hAnsi="Cambria Math"/>
              </w:rPr>
              <m:t>C</m:t>
            </m:r>
          </m:e>
          <m:sub>
            <m:r>
              <w:rPr>
                <w:rFonts w:ascii="Cambria Math" w:hAnsi="Cambria Math"/>
              </w:rPr>
              <m:t>TS</m:t>
            </m:r>
          </m:sub>
        </m:sSub>
      </m:oMath>
      <w:r w:rsidRPr="00CC6CA3">
        <w:t xml:space="preserve"> is the technical support cost, </w:t>
      </w:r>
      <m:oMath>
        <m:sSub>
          <m:sSubPr>
            <m:ctrlPr>
              <w:rPr>
                <w:rFonts w:ascii="Cambria Math" w:hAnsi="Cambria Math"/>
              </w:rPr>
            </m:ctrlPr>
          </m:sSubPr>
          <m:e>
            <m:r>
              <w:rPr>
                <w:rFonts w:ascii="Cambria Math" w:hAnsi="Cambria Math"/>
              </w:rPr>
              <m:t>C</m:t>
            </m:r>
          </m:e>
          <m:sub>
            <m:r>
              <w:rPr>
                <w:rFonts w:ascii="Cambria Math" w:hAnsi="Cambria Math"/>
              </w:rPr>
              <m:t>AL</m:t>
            </m:r>
          </m:sub>
        </m:sSub>
      </m:oMath>
      <w:r w:rsidRPr="00CC6CA3">
        <w:t xml:space="preserve"> is the economic consequence of asset loss, </w:t>
      </w:r>
      <m:oMath>
        <m:sSub>
          <m:sSubPr>
            <m:ctrlPr>
              <w:rPr>
                <w:rFonts w:ascii="Cambria Math" w:hAnsi="Cambria Math"/>
              </w:rPr>
            </m:ctrlPr>
          </m:sSubPr>
          <m:e>
            <m:r>
              <w:rPr>
                <w:rFonts w:ascii="Cambria Math" w:hAnsi="Cambria Math"/>
              </w:rPr>
              <m:t>C</m:t>
            </m:r>
          </m:e>
          <m:sub>
            <m:r>
              <w:rPr>
                <w:rFonts w:ascii="Cambria Math" w:hAnsi="Cambria Math"/>
              </w:rPr>
              <m:t>HL</m:t>
            </m:r>
          </m:sub>
        </m:sSub>
      </m:oMath>
      <w:r w:rsidRPr="00CC6CA3">
        <w:t xml:space="preserve"> is the economic consequence of human health loss, and </w:t>
      </w:r>
      <m:oMath>
        <m:sSub>
          <m:sSubPr>
            <m:ctrlPr>
              <w:rPr>
                <w:rFonts w:ascii="Cambria Math" w:hAnsi="Cambria Math"/>
              </w:rPr>
            </m:ctrlPr>
          </m:sSubPr>
          <m:e>
            <m:r>
              <w:rPr>
                <w:rFonts w:ascii="Cambria Math" w:hAnsi="Cambria Math"/>
              </w:rPr>
              <m:t>C</m:t>
            </m:r>
          </m:e>
          <m:sub>
            <m:r>
              <w:rPr>
                <w:rFonts w:ascii="Cambria Math" w:hAnsi="Cambria Math"/>
              </w:rPr>
              <m:t>others</m:t>
            </m:r>
          </m:sub>
        </m:sSub>
      </m:oMath>
      <w:r w:rsidRPr="00CC6CA3">
        <w:t xml:space="preserve"> can include environmental clean-up cost, indirect costs that represent secondary effects, etc. </w:t>
      </w:r>
    </w:p>
    <w:p w14:paraId="1ADD27D6" w14:textId="1A71E643" w:rsidR="006A68D6" w:rsidRPr="00CC6CA3" w:rsidRDefault="006A68D6" w:rsidP="006A68D6">
      <w:pPr>
        <w:spacing w:before="120"/>
      </w:pPr>
      <w:r w:rsidRPr="00CC6CA3">
        <w:t xml:space="preserve">In Equation </w:t>
      </w:r>
      <w:r w:rsidRPr="00CC6CA3">
        <w:fldChar w:fldCharType="begin"/>
      </w:r>
      <w:r w:rsidRPr="00CC6CA3">
        <w:instrText xml:space="preserve"> REF _Ref63676597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9</w:t>
      </w:r>
      <w:r w:rsidR="001906D9" w:rsidRPr="00CC6CA3">
        <w:t>)</w:t>
      </w:r>
      <w:r w:rsidRPr="00CC6CA3">
        <w:fldChar w:fldCharType="end"/>
      </w:r>
      <w:r w:rsidRPr="00CC6CA3">
        <w:t xml:space="preserve">, </w:t>
      </w:r>
      <m:oMath>
        <m:r>
          <w:rPr>
            <w:rFonts w:ascii="Cambria Math" w:hAnsi="Cambria Math"/>
          </w:rPr>
          <m:t>h</m:t>
        </m:r>
      </m:oMath>
      <w:r w:rsidR="000A7CAA" w:rsidRPr="00CC6CA3">
        <w:t xml:space="preserve"> represents the system feature in terms of MD, calculated using </w:t>
      </w:r>
      <w:r w:rsidRPr="00CC6CA3">
        <w:t xml:space="preserve">Equation (4-14), </w:t>
      </w:r>
      <m:oMath>
        <m:sSub>
          <m:sSubPr>
            <m:ctrlPr>
              <w:rPr>
                <w:rFonts w:ascii="Cambria Math" w:hAnsi="Cambria Math"/>
              </w:rPr>
            </m:ctrlPr>
          </m:sSubPr>
          <m:e>
            <m:r>
              <w:rPr>
                <w:rFonts w:ascii="Cambria Math" w:hAnsi="Cambria Math"/>
              </w:rPr>
              <m:t>h</m:t>
            </m:r>
          </m:e>
          <m:sub>
            <m:r>
              <w:rPr>
                <w:rFonts w:ascii="Cambria Math" w:hAnsi="Cambria Math"/>
              </w:rPr>
              <m:t>target</m:t>
            </m:r>
          </m:sub>
        </m:sSub>
      </m:oMath>
      <w:r w:rsidRPr="00CC6CA3">
        <w:t xml:space="preserve"> is the target value of the variable when the financial loss is zero </w:t>
      </w:r>
      <w:r w:rsidRPr="00CC6CA3">
        <w:fldChar w:fldCharType="begin"/>
      </w:r>
      <w:r w:rsidR="007D1BCC" w:rsidRPr="00CC6CA3">
        <w:instrText xml:space="preserve"> ADDIN ZOTERO_ITEM CSL_CITATION {"citationID":"dH7jIM6G","properties":{"formattedCitation":"[125]","plainCitation":"[125]","noteIndex":0},"citationItems":[{"id":980,"uris":["http://zotero.org/users/3051968/items/TYDE2UBP"],"uri":["http://zotero.org/users/3051968/items/TYDE2UBP"],"itemData":{"id":980,"type":"article-journal","container-title":"Chemical Engineering Research and Design","note":"publisher: Elsevier","page":"371–386","source":"Google Scholar","title":"Application of loss functions in process economic risk assessment","volume":"111","author":[{"family":"Khan","given":"Faisal"},{"family":"Wang","given":"Hangzhou"},{"family":"Yang","given":"Ming"}],"issued":{"date-parts":[["2016"]]}}}],"schema":"https://github.com/citation-style-language/schema/raw/master/csl-citation.json"} </w:instrText>
      </w:r>
      <w:r w:rsidRPr="00CC6CA3">
        <w:fldChar w:fldCharType="separate"/>
      </w:r>
      <w:r w:rsidR="007D1BCC" w:rsidRPr="00CC6CA3">
        <w:rPr>
          <w:rFonts w:cs="Times New Roman"/>
        </w:rPr>
        <w:t>[125]</w:t>
      </w:r>
      <w:r w:rsidRPr="00CC6CA3">
        <w:fldChar w:fldCharType="end"/>
      </w:r>
      <w:r w:rsidRPr="00CC6CA3">
        <w:t xml:space="preserve">. Hence, </w:t>
      </w:r>
      <m:oMath>
        <m:sSub>
          <m:sSubPr>
            <m:ctrlPr>
              <w:rPr>
                <w:rFonts w:ascii="Cambria Math" w:hAnsi="Cambria Math"/>
              </w:rPr>
            </m:ctrlPr>
          </m:sSubPr>
          <m:e>
            <m:r>
              <w:rPr>
                <w:rFonts w:ascii="Cambria Math" w:hAnsi="Cambria Math"/>
              </w:rPr>
              <m:t>h</m:t>
            </m:r>
          </m:e>
          <m:sub>
            <m:r>
              <w:rPr>
                <w:rFonts w:ascii="Cambria Math" w:hAnsi="Cambria Math"/>
              </w:rPr>
              <m:t>target</m:t>
            </m:r>
          </m:sub>
        </m:sSub>
        <m:r>
          <m:rPr>
            <m:sty m:val="p"/>
          </m:rPr>
          <w:rPr>
            <w:rFonts w:ascii="Cambria Math" w:hAnsi="Cambria Math"/>
          </w:rPr>
          <m:t>=0</m:t>
        </m:r>
      </m:oMath>
      <w:r w:rsidRPr="00CC6CA3">
        <w:t xml:space="preserve"> in this case. </w:t>
      </w:r>
      <m:oMath>
        <m:r>
          <w:rPr>
            <w:rFonts w:ascii="Cambria Math" w:hAnsi="Cambria Math"/>
          </w:rPr>
          <m:t>γ</m:t>
        </m:r>
      </m:oMath>
      <w:r w:rsidR="009E3ABB" w:rsidRPr="00CC6CA3">
        <w:t xml:space="preserve"> is the shape parameter defining the value of the process variable at which maximum loss is </w:t>
      </w:r>
      <w:proofErr w:type="gramStart"/>
      <w:r w:rsidR="009E3ABB" w:rsidRPr="00CC6CA3">
        <w:t>reached.</w:t>
      </w:r>
      <w:proofErr w:type="gramEnd"/>
      <w:r w:rsidR="009E3ABB" w:rsidRPr="00CC6CA3">
        <w:t xml:space="preserve"> The shape parameter </w:t>
      </w:r>
      <m:oMath>
        <m:r>
          <w:rPr>
            <w:rFonts w:ascii="Cambria Math" w:hAnsi="Cambria Math"/>
          </w:rPr>
          <m:t>γ</m:t>
        </m:r>
      </m:oMath>
      <w:r w:rsidR="009E3ABB" w:rsidRPr="00CC6CA3">
        <w:t xml:space="preserve"> is calculated using </w:t>
      </w:r>
      <w:r w:rsidRPr="00CC6CA3">
        <w:t xml:space="preserve">Equation </w:t>
      </w:r>
      <w:r w:rsidRPr="00CC6CA3">
        <w:fldChar w:fldCharType="begin"/>
      </w:r>
      <w:r w:rsidRPr="00CC6CA3">
        <w:instrText xml:space="preserve"> REF _Ref63684774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11</w:t>
      </w:r>
      <w:r w:rsidR="001906D9" w:rsidRPr="00CC6CA3">
        <w:t>)</w:t>
      </w:r>
      <w:r w:rsidRPr="00CC6CA3">
        <w:fldChar w:fldCharType="end"/>
      </w:r>
      <w:r w:rsidRPr="00CC6CA3">
        <w:t xml:space="preserve"> </w:t>
      </w:r>
      <w:r w:rsidR="009E3ABB" w:rsidRPr="00CC6CA3">
        <w:t>and the least-squares method</w:t>
      </w:r>
      <w:r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01"/>
        <w:gridCol w:w="1364"/>
      </w:tblGrid>
      <w:tr w:rsidR="00CC6CA3" w:rsidRPr="00CC6CA3" w14:paraId="0588A98E" w14:textId="77777777" w:rsidTr="00F632C0">
        <w:tc>
          <w:tcPr>
            <w:tcW w:w="4222" w:type="pct"/>
            <w:vAlign w:val="center"/>
          </w:tcPr>
          <w:p w14:paraId="314DF697" w14:textId="77777777" w:rsidR="006A68D6" w:rsidRPr="00CC6CA3" w:rsidRDefault="006A68D6" w:rsidP="00F632C0">
            <w:pPr>
              <w:spacing w:before="120" w:after="160"/>
            </w:pPr>
            <m:oMathPara>
              <m:oMath>
                <m:r>
                  <m:rPr>
                    <m:sty m:val="p"/>
                  </m:rPr>
                  <w:rPr>
                    <w:rFonts w:ascii="Cambria Math" w:hAnsi="Cambria Math"/>
                  </w:rPr>
                  <w:fldChar w:fldCharType="begin"/>
                </m:r>
                <m:r>
                  <m:rPr>
                    <m:sty m:val="p"/>
                  </m:rPr>
                  <w:rPr>
                    <w:rFonts w:ascii="Cambria Math" w:hAnsi="Cambria Math"/>
                  </w:rPr>
                  <m:t xml:space="preserve"> EQ </m:t>
                </m:r>
                <m:r>
                  <m:rPr>
                    <m:sty m:val="p"/>
                  </m:rPr>
                  <w:rPr>
                    <w:rFonts w:ascii="Cambria Math" w:hAnsi="Cambria Math"/>
                  </w:rPr>
                  <w:fldChar w:fldCharType="end"/>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γ</m:t>
                        </m:r>
                        <m:r>
                          <m:rPr>
                            <m:sty m:val="p"/>
                          </m:rPr>
                          <w:rPr>
                            <w:rFonts w:ascii="Cambria Math" w:hAnsi="Cambria Math"/>
                          </w:rPr>
                          <m:t>&gt;0</m:t>
                        </m:r>
                      </m:lim>
                    </m:limLow>
                  </m:fName>
                  <m:e>
                    <m:r>
                      <m:rPr>
                        <m:sty m:val="p"/>
                      </m:rPr>
                      <w:rPr>
                        <w:rFonts w:ascii="Cambria Math" w:hAnsi="Cambria Math"/>
                      </w:rPr>
                      <m:t>=</m:t>
                    </m:r>
                    <m:sSup>
                      <m:sSupPr>
                        <m:ctrlPr>
                          <w:rPr>
                            <w:rFonts w:ascii="Cambria Math" w:hAnsi="Cambria Math"/>
                          </w:rPr>
                        </m:ctrlPr>
                      </m:sSupPr>
                      <m:e>
                        <m:r>
                          <m:rPr>
                            <m:sty m:val="p"/>
                          </m:rPr>
                          <w:rPr>
                            <w:rFonts w:ascii="Cambria Math" w:hAnsi="Cambria Math"/>
                          </w:rPr>
                          <m:t>(</m:t>
                        </m:r>
                        <m:r>
                          <w:rPr>
                            <w:rFonts w:ascii="Cambria Math" w:hAnsi="Cambria Math"/>
                          </w:rPr>
                          <m:t>L</m:t>
                        </m:r>
                        <m:r>
                          <m:rPr>
                            <m:sty m:val="p"/>
                          </m:rPr>
                          <w:rPr>
                            <w:rFonts w:ascii="Cambria Math" w:hAnsi="Cambria Math"/>
                          </w:rPr>
                          <m:t>-</m:t>
                        </m:r>
                        <m:r>
                          <w:rPr>
                            <w:rFonts w:ascii="Cambria Math" w:hAnsi="Cambria Math"/>
                          </w:rPr>
                          <m:t>EML</m:t>
                        </m:r>
                        <m:r>
                          <m:rPr>
                            <m:sty m:val="p"/>
                          </m:rPr>
                          <w:rPr>
                            <w:rFonts w:ascii="Cambria Math" w:hAnsi="Cambria Math"/>
                          </w:rPr>
                          <m:t>∙(1-</m:t>
                        </m:r>
                        <m:sSup>
                          <m:sSupPr>
                            <m:ctrlPr>
                              <w:rPr>
                                <w:rFonts w:ascii="Cambria Math" w:hAnsi="Cambria Math"/>
                              </w:rPr>
                            </m:ctrlPr>
                          </m:sSupPr>
                          <m:e>
                            <m:r>
                              <w:rPr>
                                <w:rFonts w:ascii="Cambria Math" w:hAnsi="Cambria Math"/>
                              </w:rPr>
                              <m:t>e</m:t>
                            </m:r>
                          </m:e>
                          <m:sup>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d</m:t>
                                        </m:r>
                                      </m:e>
                                      <m:sub>
                                        <m:r>
                                          <m:rPr>
                                            <m:sty m:val="p"/>
                                          </m:rPr>
                                          <w:rPr>
                                            <w:rFonts w:ascii="Cambria Math" w:hAnsi="Cambria Math"/>
                                          </w:rPr>
                                          <m:t>2</m:t>
                                        </m:r>
                                      </m:sub>
                                    </m:sSub>
                                  </m:e>
                                  <m:sup>
                                    <m:r>
                                      <m:rPr>
                                        <m:sty m:val="p"/>
                                      </m:rPr>
                                      <w:rPr>
                                        <w:rFonts w:ascii="Cambria Math" w:hAnsi="Cambria Math"/>
                                      </w:rPr>
                                      <m:t>2</m:t>
                                    </m:r>
                                  </m:sup>
                                </m:sSup>
                              </m:num>
                              <m:den>
                                <m:sSup>
                                  <m:sSupPr>
                                    <m:ctrlPr>
                                      <w:rPr>
                                        <w:rFonts w:ascii="Cambria Math" w:hAnsi="Cambria Math"/>
                                      </w:rPr>
                                    </m:ctrlPr>
                                  </m:sSupPr>
                                  <m:e>
                                    <m:r>
                                      <m:rPr>
                                        <m:sty m:val="p"/>
                                      </m:rPr>
                                      <w:rPr>
                                        <w:rFonts w:ascii="Cambria Math" w:hAnsi="Cambria Math"/>
                                      </w:rPr>
                                      <m:t>2</m:t>
                                    </m:r>
                                    <m:r>
                                      <w:rPr>
                                        <w:rFonts w:ascii="Cambria Math" w:hAnsi="Cambria Math"/>
                                      </w:rPr>
                                      <m:t>γ</m:t>
                                    </m:r>
                                  </m:e>
                                  <m:sup>
                                    <m:r>
                                      <m:rPr>
                                        <m:sty m:val="p"/>
                                      </m:rPr>
                                      <w:rPr>
                                        <w:rFonts w:ascii="Cambria Math" w:hAnsi="Cambria Math"/>
                                      </w:rPr>
                                      <m:t>2</m:t>
                                    </m:r>
                                  </m:sup>
                                </m:sSup>
                              </m:den>
                            </m:f>
                          </m:sup>
                        </m:sSup>
                        <m:r>
                          <m:rPr>
                            <m:sty m:val="p"/>
                          </m:rPr>
                          <w:rPr>
                            <w:rFonts w:ascii="Cambria Math" w:hAnsi="Cambria Math"/>
                          </w:rPr>
                          <m:t>))</m:t>
                        </m:r>
                      </m:e>
                      <m:sup>
                        <m:r>
                          <m:rPr>
                            <m:sty m:val="p"/>
                          </m:rPr>
                          <w:rPr>
                            <w:rFonts w:ascii="Cambria Math" w:hAnsi="Cambria Math"/>
                          </w:rPr>
                          <m:t>2</m:t>
                        </m:r>
                      </m:sup>
                    </m:sSup>
                  </m:e>
                </m:func>
              </m:oMath>
            </m:oMathPara>
          </w:p>
        </w:tc>
        <w:tc>
          <w:tcPr>
            <w:tcW w:w="778" w:type="pct"/>
            <w:vAlign w:val="center"/>
          </w:tcPr>
          <w:p w14:paraId="16F9BB07" w14:textId="3763E582" w:rsidR="006A68D6" w:rsidRPr="00CC6CA3" w:rsidRDefault="006A68D6" w:rsidP="00F632C0">
            <w:pPr>
              <w:spacing w:before="120" w:after="160"/>
              <w:jc w:val="right"/>
            </w:pPr>
            <w:bookmarkStart w:id="516" w:name="_Ref63684774"/>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11</w:t>
            </w:r>
            <w:r w:rsidR="00D62691" w:rsidRPr="00CC6CA3">
              <w:rPr>
                <w:noProof/>
              </w:rPr>
              <w:fldChar w:fldCharType="end"/>
            </w:r>
            <w:r w:rsidRPr="00CC6CA3">
              <w:t>)</w:t>
            </w:r>
            <w:bookmarkEnd w:id="516"/>
          </w:p>
        </w:tc>
      </w:tr>
    </w:tbl>
    <w:p w14:paraId="66DD4DED" w14:textId="7C9E48DA" w:rsidR="006A68D6" w:rsidRPr="00CC6CA3" w:rsidRDefault="009E3ABB" w:rsidP="006A68D6">
      <w:pPr>
        <w:spacing w:before="120"/>
      </w:pPr>
      <w:r w:rsidRPr="00CC6CA3">
        <w:t xml:space="preserve">where </w:t>
      </w:r>
      <m:oMath>
        <m:r>
          <w:rPr>
            <w:rFonts w:ascii="Cambria Math" w:hAnsi="Cambria Math"/>
          </w:rPr>
          <m:t>L</m:t>
        </m:r>
      </m:oMath>
      <w:r w:rsidRPr="00CC6CA3">
        <w:t xml:space="preserve"> is the financial loss based on the worst-case conditions, </w:t>
      </w:r>
      <m:oMath>
        <m:r>
          <w:rPr>
            <w:rFonts w:ascii="Cambria Math" w:hAnsi="Cambria Math"/>
          </w:rPr>
          <m:t>EML</m:t>
        </m:r>
        <m:r>
          <m:rPr>
            <m:sty m:val="p"/>
          </m:rPr>
          <w:rPr>
            <w:rFonts w:ascii="Cambria Math" w:hAnsi="Cambria Math"/>
          </w:rPr>
          <m:t>∙(1-</m:t>
        </m:r>
        <m:sSup>
          <m:sSupPr>
            <m:ctrlPr>
              <w:rPr>
                <w:rFonts w:ascii="Cambria Math" w:hAnsi="Cambria Math"/>
              </w:rPr>
            </m:ctrlPr>
          </m:sSupPr>
          <m:e>
            <m:r>
              <w:rPr>
                <w:rFonts w:ascii="Cambria Math" w:hAnsi="Cambria Math"/>
              </w:rPr>
              <m:t>e</m:t>
            </m:r>
          </m:e>
          <m:sup>
            <m:sSup>
              <m:sSupPr>
                <m:ctrlPr>
                  <w:rPr>
                    <w:rFonts w:ascii="Cambria Math" w:hAnsi="Cambria Math"/>
                  </w:rPr>
                </m:ctrlPr>
              </m:sSupPr>
              <m:e>
                <m:sSub>
                  <m:sSubPr>
                    <m:ctrlPr>
                      <w:rPr>
                        <w:rFonts w:ascii="Cambria Math" w:hAnsi="Cambria Math"/>
                      </w:rPr>
                    </m:ctrlPr>
                  </m:sSubPr>
                  <m:e>
                    <m:r>
                      <m:rPr>
                        <m:sty m:val="p"/>
                      </m:rPr>
                      <w:rPr>
                        <w:rFonts w:ascii="微软雅黑" w:eastAsia="微软雅黑" w:hAnsi="微软雅黑" w:cs="微软雅黑" w:hint="eastAsia"/>
                      </w:rPr>
                      <m:t>-</m:t>
                    </m:r>
                    <m:r>
                      <w:rPr>
                        <w:rFonts w:ascii="Cambria Math" w:hAnsi="Cambria Math"/>
                      </w:rPr>
                      <m:t>d</m:t>
                    </m:r>
                  </m:e>
                  <m:sub>
                    <m:r>
                      <m:rPr>
                        <m:sty m:val="p"/>
                      </m:rPr>
                      <w:rPr>
                        <w:rFonts w:ascii="Cambria Math" w:hAnsi="Cambria Math"/>
                      </w:rPr>
                      <m:t>2</m:t>
                    </m:r>
                  </m:sub>
                </m:sSub>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2</m:t>
                </m:r>
                <m:r>
                  <w:rPr>
                    <w:rFonts w:ascii="Cambria Math" w:hAnsi="Cambria Math"/>
                  </w:rPr>
                  <m:t>γ</m:t>
                </m:r>
              </m:e>
              <m:sup>
                <m:r>
                  <m:rPr>
                    <m:sty m:val="p"/>
                  </m:rPr>
                  <w:rPr>
                    <w:rFonts w:ascii="Cambria Math" w:hAnsi="Cambria Math"/>
                  </w:rPr>
                  <m:t>2</m:t>
                </m:r>
              </m:sup>
            </m:sSup>
          </m:sup>
        </m:sSup>
        <m:r>
          <m:rPr>
            <m:sty m:val="p"/>
          </m:rPr>
          <w:rPr>
            <w:rFonts w:ascii="Cambria Math" w:hAnsi="Cambria Math"/>
          </w:rPr>
          <m:t>)</m:t>
        </m:r>
      </m:oMath>
      <w:r w:rsidRPr="00CC6CA3">
        <w:t xml:space="preserve"> is the COF value when MD reaches the shutdown threshold, </w:t>
      </w:r>
      <m:oMath>
        <m:sSub>
          <m:sSubPr>
            <m:ctrlPr>
              <w:rPr>
                <w:rFonts w:ascii="Cambria Math" w:hAnsi="Cambria Math"/>
              </w:rPr>
            </m:ctrlPr>
          </m:sSubPr>
          <m:e>
            <m:r>
              <w:rPr>
                <w:rFonts w:ascii="Cambria Math" w:hAnsi="Cambria Math"/>
              </w:rPr>
              <m:t>d</m:t>
            </m:r>
          </m:e>
          <m:sub>
            <m:r>
              <m:rPr>
                <m:sty m:val="p"/>
              </m:rPr>
              <w:rPr>
                <w:rFonts w:ascii="Cambria Math" w:hAnsi="Cambria Math"/>
              </w:rPr>
              <m:t>2</m:t>
            </m:r>
          </m:sub>
        </m:sSub>
      </m:oMath>
      <w:r w:rsidRPr="00CC6CA3">
        <w:t>. The shutdown threshold is set to ensure the safe running of the machine, avoid unplanned shutdowns and large financial losses. In our case, when the performance feature exceeds its shutdown threshold, the degradation of a machine can increase rapidly, and its performance becomes very difficult to predict. The value of the shutdown threshold is based on the acceptance criteria of the specific process system</w:t>
      </w:r>
      <w:r w:rsidR="006A68D6" w:rsidRPr="00CC6CA3">
        <w:t xml:space="preserve">. Alternatively, according to </w:t>
      </w:r>
      <w:r w:rsidR="006A68D6" w:rsidRPr="00CC6CA3">
        <w:fldChar w:fldCharType="begin"/>
      </w:r>
      <w:r w:rsidR="007D1BCC" w:rsidRPr="00CC6CA3">
        <w:instrText xml:space="preserve"> ADDIN ZOTERO_ITEM CSL_CITATION {"citationID":"ZYW0dpgp","properties":{"formattedCitation":"[127]","plainCitation":"[127]","noteIndex":0},"citationItems":[{"id":984,"uris":["http://zotero.org/users/3051968/items/DF25CZKV"],"uri":["http://zotero.org/users/3051968/items/DF25CZKV"],"itemData":{"id":984,"type":"article-journal","container-title":"Chemical Engineering Science","note":"publisher: Elsevier","page":"99–108","source":"Google Scholar","title":"Risk-based operational performance analysis using loss functions","volume":"116","author":[{"family":"Hashemi","given":"Seyed Javad"},{"family":"Ahmed","given":"Salim"},{"family":"Khan","given":"Faisal I."}],"issued":{"date-parts":[["2014"]]}}}],"schema":"https://github.com/citation-style-language/schema/raw/master/csl-citation.json"} </w:instrText>
      </w:r>
      <w:r w:rsidR="006A68D6" w:rsidRPr="00CC6CA3">
        <w:fldChar w:fldCharType="separate"/>
      </w:r>
      <w:r w:rsidR="007D1BCC" w:rsidRPr="00CC6CA3">
        <w:rPr>
          <w:rFonts w:cs="Times New Roman"/>
        </w:rPr>
        <w:t>[127]</w:t>
      </w:r>
      <w:r w:rsidR="006A68D6" w:rsidRPr="00CC6CA3">
        <w:fldChar w:fldCharType="end"/>
      </w:r>
      <w:r w:rsidR="006A68D6" w:rsidRPr="00CC6CA3">
        <w:t xml:space="preserve">, </w:t>
      </w:r>
      <w:r w:rsidRPr="00CC6CA3">
        <w:t xml:space="preserve">when not enough information is available, the shutdown threshold of a measurement can be defined as four times larger than its maximum operating value. The shutdown threshold is given by Equation </w:t>
      </w:r>
      <w:r w:rsidRPr="00CC6CA3">
        <w:fldChar w:fldCharType="begin"/>
      </w:r>
      <w:r w:rsidRPr="00CC6CA3">
        <w:instrText xml:space="preserve"> REF _Ref63705455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12</w:t>
      </w:r>
      <w:r w:rsidR="001906D9" w:rsidRPr="00CC6CA3">
        <w:t>)</w:t>
      </w:r>
      <w:r w:rsidRPr="00CC6CA3">
        <w:fldChar w:fldCharType="end"/>
      </w:r>
      <w:r w:rsidR="006A68D6" w:rsidRPr="00CC6CA3">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9"/>
        <w:gridCol w:w="816"/>
      </w:tblGrid>
      <w:tr w:rsidR="00CC6CA3" w:rsidRPr="00CC6CA3" w14:paraId="1A98CAD9" w14:textId="77777777" w:rsidTr="009E3ABB">
        <w:tc>
          <w:tcPr>
            <w:tcW w:w="4535" w:type="pct"/>
            <w:vAlign w:val="center"/>
          </w:tcPr>
          <w:p w14:paraId="530376C8" w14:textId="77777777" w:rsidR="006A68D6" w:rsidRPr="00CC6CA3" w:rsidRDefault="00D62691" w:rsidP="00F632C0">
            <w:pPr>
              <w:spacing w:before="120" w:after="160"/>
            </w:pPr>
            <m:oMathPara>
              <m:oMath>
                <m:sSub>
                  <m:sSubPr>
                    <m:ctrlPr>
                      <w:rPr>
                        <w:rFonts w:ascii="Cambria Math" w:hAnsi="Cambria Math"/>
                      </w:rPr>
                    </m:ctrlPr>
                  </m:sSubPr>
                  <m:e>
                    <m:r>
                      <w:rPr>
                        <w:rFonts w:ascii="Cambria Math" w:hAnsi="Cambria Math"/>
                      </w:rPr>
                      <m:t>d</m:t>
                    </m:r>
                  </m:e>
                  <m:sub>
                    <m:r>
                      <m:rPr>
                        <m:sty m:val="p"/>
                      </m:rPr>
                      <w:rPr>
                        <w:rFonts w:ascii="Cambria Math" w:hAnsi="Cambria Math"/>
                      </w:rPr>
                      <m:t>2</m:t>
                    </m:r>
                  </m:sub>
                </m:sSub>
                <m:r>
                  <m:rPr>
                    <m:sty m:val="p"/>
                  </m:rPr>
                  <w:rPr>
                    <w:rFonts w:ascii="Cambria Math" w:hAnsi="Cambria Math"/>
                  </w:rPr>
                  <m:t>=</m:t>
                </m:r>
                <m:r>
                  <w:rPr>
                    <w:rFonts w:ascii="Cambria Math" w:hAnsi="Cambria Math"/>
                  </w:rPr>
                  <m:t>min</m:t>
                </m:r>
                <m:r>
                  <m:rPr>
                    <m:sty m:val="p"/>
                  </m:rPr>
                  <w:rPr>
                    <w:rFonts w:ascii="Cambria Math" w:hAnsi="Cambria Math"/>
                  </w:rPr>
                  <m:t>⁡(</m:t>
                </m:r>
                <m:rad>
                  <m:radPr>
                    <m:degHide m:val="1"/>
                    <m:ctrlPr>
                      <w:rPr>
                        <w:rFonts w:ascii="Cambria Math" w:hAnsi="Cambria Math"/>
                      </w:rPr>
                    </m:ctrlPr>
                  </m:radPr>
                  <m:deg/>
                  <m:e>
                    <m:d>
                      <m:dPr>
                        <m:begChr m:val="["/>
                        <m:endChr m:val="]"/>
                        <m:ctrlPr>
                          <w:rPr>
                            <w:rFonts w:ascii="Cambria Math" w:hAnsi="Cambria Math"/>
                          </w:rPr>
                        </m:ctrlPr>
                      </m:dPr>
                      <m:e>
                        <m:d>
                          <m:dPr>
                            <m:ctrlPr>
                              <w:rPr>
                                <w:rFonts w:ascii="Cambria Math" w:hAnsi="Cambria Math"/>
                              </w:rPr>
                            </m:ctrlPr>
                          </m:dPr>
                          <m:e>
                            <m:r>
                              <w:rPr>
                                <w:rFonts w:ascii="Cambria Math" w:hAnsi="Cambria Math"/>
                              </w:rPr>
                              <m:t>P</m:t>
                            </m:r>
                            <m:r>
                              <m:rPr>
                                <m:sty m:val="p"/>
                              </m:rPr>
                              <w:rPr>
                                <w:rFonts w:ascii="Cambria Math" w:hAnsi="Cambria Math"/>
                              </w:rPr>
                              <m:t>-</m:t>
                            </m:r>
                            <m:acc>
                              <m:accPr>
                                <m:chr m:val="̅"/>
                                <m:ctrlPr>
                                  <w:rPr>
                                    <w:rFonts w:ascii="Cambria Math" w:hAnsi="Cambria Math"/>
                                  </w:rPr>
                                </m:ctrlPr>
                              </m:accPr>
                              <m:e>
                                <m:r>
                                  <w:rPr>
                                    <w:rFonts w:ascii="Cambria Math" w:hAnsi="Cambria Math"/>
                                  </w:rPr>
                                  <m:t>P</m:t>
                                </m:r>
                              </m:e>
                            </m:acc>
                          </m:e>
                        </m:d>
                        <m:r>
                          <m:rPr>
                            <m:sty m:val="p"/>
                          </m:rPr>
                          <w:rPr>
                            <w:rFonts w:ascii="Cambria Math" w:hAnsi="Cambria Math"/>
                          </w:rPr>
                          <m:t>-</m:t>
                        </m:r>
                        <m:limUpp>
                          <m:limUppPr>
                            <m:ctrlPr>
                              <w:rPr>
                                <w:rFonts w:ascii="Cambria Math" w:hAnsi="Cambria Math"/>
                              </w:rPr>
                            </m:ctrlPr>
                          </m:limUppPr>
                          <m:e>
                            <m:r>
                              <w:rPr>
                                <w:rFonts w:ascii="Cambria Math" w:hAnsi="Cambria Math"/>
                              </w:rPr>
                              <m:t>μ</m:t>
                            </m:r>
                          </m:e>
                          <m:lim>
                            <m:r>
                              <m:rPr>
                                <m:sty m:val="p"/>
                              </m:rPr>
                              <w:rPr>
                                <w:rFonts w:ascii="Cambria Math" w:hAnsi="Cambria Math"/>
                              </w:rPr>
                              <m:t>^</m:t>
                            </m:r>
                          </m:lim>
                        </m:limUpp>
                      </m:e>
                    </m:d>
                    <m:sSup>
                      <m:sSupPr>
                        <m:ctrlPr>
                          <w:rPr>
                            <w:rFonts w:ascii="Cambria Math" w:hAnsi="Cambria Math"/>
                          </w:rPr>
                        </m:ctrlPr>
                      </m:sSupPr>
                      <m:e>
                        <m:r>
                          <w:rPr>
                            <w:rFonts w:ascii="Cambria Math" w:hAnsi="Cambria Math"/>
                          </w:rPr>
                          <m:t>MCD</m:t>
                        </m:r>
                      </m:e>
                      <m:sup>
                        <m:r>
                          <m:rPr>
                            <m:sty m:val="p"/>
                          </m:rPr>
                          <w:rPr>
                            <w:rFonts w:ascii="Cambria Math" w:hAnsi="Cambria Math"/>
                          </w:rPr>
                          <m:t>-1</m:t>
                        </m:r>
                      </m:sup>
                    </m:sSup>
                    <m:r>
                      <m:rPr>
                        <m:sty m:val="p"/>
                      </m:rPr>
                      <w:rPr>
                        <w:rFonts w:ascii="Cambria Math" w:hAnsi="Cambria Math"/>
                      </w:rPr>
                      <m:t>[(</m:t>
                    </m:r>
                    <m:r>
                      <w:rPr>
                        <w:rFonts w:ascii="Cambria Math" w:hAnsi="Cambria Math"/>
                      </w:rPr>
                      <m:t>P</m:t>
                    </m:r>
                    <m:r>
                      <m:rPr>
                        <m:sty m:val="p"/>
                      </m:rPr>
                      <w:rPr>
                        <w:rFonts w:ascii="Cambria Math" w:hAnsi="Cambria Math"/>
                      </w:rPr>
                      <m:t>-</m:t>
                    </m:r>
                    <m:acc>
                      <m:accPr>
                        <m:chr m:val="̅"/>
                        <m:ctrlPr>
                          <w:rPr>
                            <w:rFonts w:ascii="Cambria Math" w:hAnsi="Cambria Math"/>
                          </w:rPr>
                        </m:ctrlPr>
                      </m:accPr>
                      <m:e>
                        <m:r>
                          <w:rPr>
                            <w:rFonts w:ascii="Cambria Math" w:hAnsi="Cambria Math"/>
                          </w:rPr>
                          <m:t>P</m:t>
                        </m:r>
                      </m:e>
                    </m:acc>
                    <m:r>
                      <m:rPr>
                        <m:sty m:val="p"/>
                      </m:rPr>
                      <w:rPr>
                        <w:rFonts w:ascii="Cambria Math" w:hAnsi="Cambria Math"/>
                      </w:rPr>
                      <m:t>)-</m:t>
                    </m:r>
                    <m:sSup>
                      <m:sSupPr>
                        <m:ctrlPr>
                          <w:rPr>
                            <w:rFonts w:ascii="Cambria Math" w:hAnsi="Cambria Math"/>
                          </w:rPr>
                        </m:ctrlPr>
                      </m:sSupPr>
                      <m:e>
                        <m:limUpp>
                          <m:limUppPr>
                            <m:ctrlPr>
                              <w:rPr>
                                <w:rFonts w:ascii="Cambria Math" w:hAnsi="Cambria Math"/>
                              </w:rPr>
                            </m:ctrlPr>
                          </m:limUppPr>
                          <m:e>
                            <m:r>
                              <w:rPr>
                                <w:rFonts w:ascii="Cambria Math" w:hAnsi="Cambria Math"/>
                              </w:rPr>
                              <m:t>μ</m:t>
                            </m:r>
                          </m:e>
                          <m:lim>
                            <m:r>
                              <m:rPr>
                                <m:sty m:val="p"/>
                              </m:rPr>
                              <w:rPr>
                                <w:rFonts w:ascii="Cambria Math" w:hAnsi="Cambria Math"/>
                              </w:rPr>
                              <m:t>^</m:t>
                            </m:r>
                          </m:lim>
                        </m:limUpp>
                        <m:r>
                          <m:rPr>
                            <m:sty m:val="p"/>
                          </m:rPr>
                          <w:rPr>
                            <w:rFonts w:ascii="Cambria Math" w:hAnsi="Cambria Math"/>
                          </w:rPr>
                          <m:t>]</m:t>
                        </m:r>
                      </m:e>
                      <m:sup>
                        <m:r>
                          <m:rPr>
                            <m:nor/>
                          </m:rPr>
                          <m:t>T</m:t>
                        </m:r>
                      </m:sup>
                    </m:sSup>
                  </m:e>
                </m:rad>
                <m:r>
                  <m:rPr>
                    <m:sty m:val="p"/>
                  </m:rPr>
                  <w:rPr>
                    <w:rFonts w:ascii="Cambria Math" w:hAnsi="Cambria Math"/>
                  </w:rPr>
                  <m:t>))</m:t>
                </m:r>
              </m:oMath>
            </m:oMathPara>
          </w:p>
        </w:tc>
        <w:tc>
          <w:tcPr>
            <w:tcW w:w="465" w:type="pct"/>
            <w:vAlign w:val="center"/>
          </w:tcPr>
          <w:p w14:paraId="46F0AFE5" w14:textId="1E461F1C" w:rsidR="006A68D6" w:rsidRPr="00CC6CA3" w:rsidRDefault="006A68D6" w:rsidP="00F632C0">
            <w:pPr>
              <w:spacing w:before="120" w:after="160"/>
            </w:pPr>
            <w:bookmarkStart w:id="517" w:name="_Ref63705455"/>
            <w:r w:rsidRPr="00CC6CA3">
              <w:t>(</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Pr="00CC6CA3">
              <w:noBreakHyphen/>
            </w:r>
            <w:r w:rsidR="00D62691" w:rsidRPr="00CC6CA3">
              <w:fldChar w:fldCharType="begin"/>
            </w:r>
            <w:r w:rsidR="00D62691" w:rsidRPr="00CC6CA3">
              <w:instrText xml:space="preserve"> SEQ Equation \* ARABIC \s 1 </w:instrText>
            </w:r>
            <w:r w:rsidR="00D62691" w:rsidRPr="00CC6CA3">
              <w:fldChar w:fldCharType="separate"/>
            </w:r>
            <w:r w:rsidR="001906D9" w:rsidRPr="00CC6CA3">
              <w:rPr>
                <w:noProof/>
              </w:rPr>
              <w:t>12</w:t>
            </w:r>
            <w:r w:rsidR="00D62691" w:rsidRPr="00CC6CA3">
              <w:rPr>
                <w:noProof/>
              </w:rPr>
              <w:fldChar w:fldCharType="end"/>
            </w:r>
            <w:r w:rsidRPr="00CC6CA3">
              <w:t>)</w:t>
            </w:r>
            <w:bookmarkEnd w:id="517"/>
          </w:p>
        </w:tc>
      </w:tr>
    </w:tbl>
    <w:p w14:paraId="72AA9476" w14:textId="320373BF" w:rsidR="006A68D6" w:rsidRPr="00CC6CA3" w:rsidRDefault="009E3ABB" w:rsidP="006A68D6">
      <w:pPr>
        <w:spacing w:before="120"/>
      </w:pPr>
      <w:r w:rsidRPr="00CC6CA3">
        <w:t xml:space="preserve">where </w:t>
      </w:r>
      <m:oMath>
        <m:r>
          <w:rPr>
            <w:rFonts w:ascii="Cambria Math" w:hAnsi="Cambria Math"/>
          </w:rPr>
          <m:t>P</m:t>
        </m:r>
        <m:r>
          <m:rPr>
            <m:sty m:val="p"/>
          </m:rPr>
          <w:rPr>
            <w:rFonts w:ascii="Cambria Math" w:hAnsi="Cambria Math"/>
          </w:rPr>
          <m:t xml:space="preserve"> </m:t>
        </m:r>
      </m:oMath>
      <w:r w:rsidRPr="00CC6CA3">
        <w:t xml:space="preserve">is a combination matrix, which covers any variable in the training data becoming four times larger than its normal operating </w:t>
      </w:r>
      <w:proofErr w:type="gramStart"/>
      <w:r w:rsidRPr="00CC6CA3">
        <w:t>value.</w:t>
      </w:r>
      <w:proofErr w:type="gramEnd"/>
      <w:r w:rsidRPr="00CC6CA3">
        <w:t xml:space="preserve"> The value of </w:t>
      </w:r>
      <m:oMath>
        <m:r>
          <w:rPr>
            <w:rFonts w:ascii="Cambria Math" w:hAnsi="Cambria Math"/>
          </w:rPr>
          <m:t>P</m:t>
        </m:r>
      </m:oMath>
      <w:r w:rsidRPr="00CC6CA3">
        <w:t xml:space="preserve"> can also be given by the end-users based on the acceptance criteria of the specific process system. </w:t>
      </w:r>
      <m:oMath>
        <m:acc>
          <m:accPr>
            <m:chr m:val="̅"/>
            <m:ctrlPr>
              <w:rPr>
                <w:rFonts w:ascii="Cambria Math" w:hAnsi="Cambria Math"/>
              </w:rPr>
            </m:ctrlPr>
          </m:accPr>
          <m:e>
            <m:r>
              <w:rPr>
                <w:rFonts w:ascii="Cambria Math" w:hAnsi="Cambria Math"/>
              </w:rPr>
              <m:t>P</m:t>
            </m:r>
          </m:e>
        </m:acc>
      </m:oMath>
      <w:r w:rsidRPr="00CC6CA3">
        <w:t xml:space="preserve"> is the reconstructed output. </w:t>
      </w:r>
      <m:oMath>
        <m:acc>
          <m:accPr>
            <m:ctrlPr>
              <w:rPr>
                <w:rFonts w:ascii="Cambria Math" w:hAnsi="Cambria Math"/>
              </w:rPr>
            </m:ctrlPr>
          </m:accPr>
          <m:e>
            <m:r>
              <w:rPr>
                <w:rFonts w:ascii="Cambria Math" w:hAnsi="Cambria Math"/>
              </w:rPr>
              <m:t>μ</m:t>
            </m:r>
          </m:e>
        </m:acc>
      </m:oMath>
      <w:r w:rsidRPr="00CC6CA3">
        <w:t xml:space="preserve"> and </w:t>
      </w:r>
      <m:oMath>
        <m:sSup>
          <m:sSupPr>
            <m:ctrlPr>
              <w:rPr>
                <w:rFonts w:ascii="Cambria Math" w:hAnsi="Cambria Math"/>
              </w:rPr>
            </m:ctrlPr>
          </m:sSupPr>
          <m:e>
            <m:r>
              <w:rPr>
                <w:rFonts w:ascii="Cambria Math" w:hAnsi="Cambria Math"/>
              </w:rPr>
              <m:t>MCD</m:t>
            </m:r>
          </m:e>
          <m:sup>
            <m:r>
              <m:rPr>
                <m:sty m:val="p"/>
              </m:rPr>
              <w:rPr>
                <w:rFonts w:ascii="Cambria Math" w:hAnsi="Cambria Math"/>
              </w:rPr>
              <m:t>-1</m:t>
            </m:r>
          </m:sup>
        </m:sSup>
      </m:oMath>
      <w:r w:rsidRPr="00CC6CA3">
        <w:t xml:space="preserve"> are adopted directly from the training phase as calculated in </w:t>
      </w:r>
      <w:r w:rsidR="006A68D6" w:rsidRPr="00CC6CA3">
        <w:t>Equation (4-13).</w:t>
      </w:r>
    </w:p>
    <w:p w14:paraId="150E6476" w14:textId="12E8E232" w:rsidR="006A68D6" w:rsidRPr="00CC6CA3" w:rsidRDefault="009E3ABB" w:rsidP="006A68D6">
      <w:pPr>
        <w:spacing w:before="120"/>
      </w:pPr>
      <w:r w:rsidRPr="00CC6CA3">
        <w:lastRenderedPageBreak/>
        <w:t xml:space="preserve">When the online MD value exceeds </w:t>
      </w:r>
      <m:oMath>
        <m:sSub>
          <m:sSubPr>
            <m:ctrlPr>
              <w:rPr>
                <w:rFonts w:ascii="Cambria Math" w:hAnsi="Cambria Math"/>
              </w:rPr>
            </m:ctrlPr>
          </m:sSubPr>
          <m:e>
            <m:r>
              <w:rPr>
                <w:rFonts w:ascii="Cambria Math" w:hAnsi="Cambria Math"/>
              </w:rPr>
              <m:t>d</m:t>
            </m:r>
          </m:e>
          <m:sub>
            <m:r>
              <m:rPr>
                <m:sty m:val="p"/>
              </m:rPr>
              <w:rPr>
                <w:rFonts w:ascii="Cambria Math" w:hAnsi="Cambria Math"/>
              </w:rPr>
              <m:t>2</m:t>
            </m:r>
          </m:sub>
        </m:sSub>
      </m:oMath>
      <w:r w:rsidRPr="00CC6CA3">
        <w:t xml:space="preserve">, a machine is in a very dangerous condition, but there still exists some time for the faulty machine to reach its maximum financial loss. In this case, the financial loss is set to 50% </w:t>
      </w:r>
      <w:r w:rsidR="006A68D6" w:rsidRPr="00CC6CA3">
        <w:fldChar w:fldCharType="begin"/>
      </w:r>
      <w:r w:rsidR="007D1BCC" w:rsidRPr="00CC6CA3">
        <w:instrText xml:space="preserve"> ADDIN ZOTERO_ITEM CSL_CITATION {"citationID":"fAX2gr8L","properties":{"formattedCitation":"[127]","plainCitation":"[127]","noteIndex":0},"citationItems":[{"id":984,"uris":["http://zotero.org/users/3051968/items/DF25CZKV"],"uri":["http://zotero.org/users/3051968/items/DF25CZKV"],"itemData":{"id":984,"type":"article-journal","container-title":"Chemical Engineering Science","note":"publisher: Elsevier","page":"99–108","source":"Google Scholar","title":"Risk-based operational performance analysis using loss functions","volume":"116","author":[{"family":"Hashemi","given":"Seyed Javad"},{"family":"Ahmed","given":"Salim"},{"family":"Khan","given":"Faisal I."}],"issued":{"date-parts":[["2014"]]}}}],"schema":"https://github.com/citation-style-language/schema/raw/master/csl-citation.json"} </w:instrText>
      </w:r>
      <w:r w:rsidR="006A68D6" w:rsidRPr="00CC6CA3">
        <w:fldChar w:fldCharType="separate"/>
      </w:r>
      <w:r w:rsidR="007D1BCC" w:rsidRPr="00CC6CA3">
        <w:rPr>
          <w:rFonts w:cs="Times New Roman"/>
        </w:rPr>
        <w:t>[127]</w:t>
      </w:r>
      <w:r w:rsidR="006A68D6" w:rsidRPr="00CC6CA3">
        <w:fldChar w:fldCharType="end"/>
      </w:r>
      <w:r w:rsidR="006A68D6" w:rsidRPr="00CC6CA3">
        <w:t xml:space="preserve"> of EML when MD reaches the shutdown threshold </w:t>
      </w:r>
      <m:oMath>
        <m:sSub>
          <m:sSubPr>
            <m:ctrlPr>
              <w:rPr>
                <w:rFonts w:ascii="Cambria Math" w:hAnsi="Cambria Math"/>
              </w:rPr>
            </m:ctrlPr>
          </m:sSubPr>
          <m:e>
            <m:r>
              <w:rPr>
                <w:rFonts w:ascii="Cambria Math" w:hAnsi="Cambria Math"/>
              </w:rPr>
              <m:t>d</m:t>
            </m:r>
          </m:e>
          <m:sub>
            <m:r>
              <m:rPr>
                <m:sty m:val="p"/>
              </m:rPr>
              <w:rPr>
                <w:rFonts w:ascii="Cambria Math" w:hAnsi="Cambria Math"/>
              </w:rPr>
              <m:t>2</m:t>
            </m:r>
          </m:sub>
        </m:sSub>
      </m:oMath>
      <w:r w:rsidR="006A68D6" w:rsidRPr="00CC6CA3">
        <w:t xml:space="preserve">, which means </w:t>
      </w:r>
      <m:oMath>
        <m:r>
          <w:rPr>
            <w:rFonts w:ascii="Cambria Math" w:hAnsi="Cambria Math"/>
          </w:rPr>
          <m:t>L</m:t>
        </m:r>
        <m:r>
          <m:rPr>
            <m:sty m:val="p"/>
          </m:rPr>
          <w:rPr>
            <w:rFonts w:ascii="Cambria Math" w:hAnsi="Cambria Math"/>
          </w:rPr>
          <m:t>=0.5∙</m:t>
        </m:r>
        <m:r>
          <w:rPr>
            <w:rFonts w:ascii="Cambria Math" w:hAnsi="Cambria Math"/>
          </w:rPr>
          <m:t>EML</m:t>
        </m:r>
      </m:oMath>
      <w:r w:rsidR="006A68D6" w:rsidRPr="00CC6CA3">
        <w:t xml:space="preserve">. </w:t>
      </w:r>
    </w:p>
    <w:p w14:paraId="6430C46D" w14:textId="6E00B98E" w:rsidR="006A68D6" w:rsidRPr="00CC6CA3" w:rsidRDefault="009E3ABB" w:rsidP="006A68D6">
      <w:pPr>
        <w:spacing w:before="120"/>
      </w:pPr>
      <w:r w:rsidRPr="00CC6CA3">
        <w:t xml:space="preserve">In our case, we assume that critical faults can be detected by condition monitoring and fault detection systems. When a fault is not detected, </w:t>
      </w:r>
      <m:oMath>
        <m:r>
          <w:rPr>
            <w:rFonts w:ascii="Cambria Math" w:hAnsi="Cambria Math"/>
          </w:rPr>
          <m:t>EML</m:t>
        </m:r>
      </m:oMath>
      <w:r w:rsidRPr="00CC6CA3">
        <w:t xml:space="preserve"> is given an initial value (</w:t>
      </w:r>
      <m:oMath>
        <m:sSub>
          <m:sSubPr>
            <m:ctrlPr>
              <w:rPr>
                <w:rFonts w:ascii="Cambria Math" w:hAnsi="Cambria Math"/>
              </w:rPr>
            </m:ctrlPr>
          </m:sSubPr>
          <m:e>
            <m:r>
              <w:rPr>
                <w:rFonts w:ascii="Cambria Math" w:hAnsi="Cambria Math"/>
              </w:rPr>
              <m:t>EML</m:t>
            </m:r>
          </m:e>
          <m:sub>
            <m:r>
              <w:rPr>
                <w:rFonts w:ascii="Cambria Math" w:hAnsi="Cambria Math"/>
              </w:rPr>
              <m:t>initial</m:t>
            </m:r>
          </m:sub>
        </m:sSub>
      </m:oMath>
      <w:r w:rsidRPr="00CC6CA3">
        <w:t xml:space="preserve">), which is composed of inspection cost and production loss that are caused by a shutdown inspection. When a fault is detected, the fault analysis scheme analyses the cause of the fault and infers the fault type; and the </w:t>
      </w:r>
      <m:oMath>
        <m:r>
          <w:rPr>
            <w:rFonts w:ascii="Cambria Math" w:hAnsi="Cambria Math"/>
          </w:rPr>
          <m:t>EML</m:t>
        </m:r>
      </m:oMath>
      <w:r w:rsidRPr="00CC6CA3">
        <w:t xml:space="preserve"> value would be updated according to the possible fault type</w:t>
      </w:r>
      <w:r w:rsidR="006A68D6" w:rsidRPr="00CC6CA3">
        <w:t>.</w:t>
      </w:r>
    </w:p>
    <w:p w14:paraId="3DEC8754" w14:textId="77777777" w:rsidR="006A68D6" w:rsidRPr="00CC6CA3" w:rsidRDefault="006A68D6" w:rsidP="000441CC">
      <w:pPr>
        <w:pStyle w:val="Heading3"/>
        <w:rPr>
          <w:lang w:val="en-US"/>
        </w:rPr>
      </w:pPr>
      <w:bookmarkStart w:id="518" w:name="_Toc81553309"/>
      <w:r w:rsidRPr="00CC6CA3">
        <w:rPr>
          <w:lang w:val="en-US"/>
        </w:rPr>
        <w:t>System health indicator using condition monitoring data</w:t>
      </w:r>
      <w:bookmarkEnd w:id="518"/>
    </w:p>
    <w:p w14:paraId="3610736A" w14:textId="77777777" w:rsidR="006A68D6" w:rsidRPr="00CC6CA3" w:rsidRDefault="006A68D6" w:rsidP="006A68D6">
      <w:pPr>
        <w:spacing w:before="120"/>
        <w:rPr>
          <w:lang w:val="en-US"/>
        </w:rPr>
      </w:pPr>
      <w:r w:rsidRPr="00CC6CA3">
        <w:rPr>
          <w:lang w:val="en-US"/>
        </w:rPr>
        <w:t xml:space="preserve">The system health indicator is determined by risk, which depends on two factors: the probability of </w:t>
      </w:r>
      <w:r w:rsidRPr="00CC6CA3">
        <w:t>occurrence</w:t>
      </w:r>
      <w:r w:rsidRPr="00CC6CA3">
        <w:rPr>
          <w:lang w:val="en-US"/>
        </w:rPr>
        <w:t xml:space="preserve"> of a fault (</w:t>
      </w:r>
      <m:oMath>
        <m:r>
          <w:rPr>
            <w:rFonts w:ascii="Cambria Math" w:hAnsi="Cambria Math"/>
            <w:lang w:val="en-US"/>
          </w:rPr>
          <m:t>POF</m:t>
        </m:r>
      </m:oMath>
      <w:r w:rsidRPr="00CC6CA3">
        <w:rPr>
          <w:lang w:val="en-US"/>
        </w:rPr>
        <w:t>) and the associated consequence (</w:t>
      </w:r>
      <m:oMath>
        <m:r>
          <w:rPr>
            <w:rFonts w:ascii="Cambria Math" w:hAnsi="Cambria Math"/>
            <w:lang w:val="en-US"/>
          </w:rPr>
          <m:t>COF</m:t>
        </m:r>
      </m:oMath>
      <w:r w:rsidRPr="00CC6CA3">
        <w:rPr>
          <w:lang w:val="en-US"/>
        </w:rPr>
        <w:t>). The system health indicator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1247"/>
      </w:tblGrid>
      <w:tr w:rsidR="00CC6CA3" w:rsidRPr="00CC6CA3" w14:paraId="574686E2" w14:textId="77777777" w:rsidTr="00F632C0">
        <w:tc>
          <w:tcPr>
            <w:tcW w:w="7508" w:type="dxa"/>
          </w:tcPr>
          <w:p w14:paraId="30287171" w14:textId="77777777" w:rsidR="006A68D6" w:rsidRPr="00CC6CA3" w:rsidRDefault="006A68D6" w:rsidP="00F632C0">
            <w:pPr>
              <w:rPr>
                <w:i/>
                <w:iCs/>
                <w:lang w:val="en-US"/>
              </w:rPr>
            </w:pPr>
            <m:oMathPara>
              <m:oMath>
                <m:r>
                  <w:rPr>
                    <w:rFonts w:ascii="Cambria Math" w:hAnsi="Cambria Math"/>
                    <w:lang w:val="en-US"/>
                  </w:rPr>
                  <m:t>R=POF×COF</m:t>
                </m:r>
              </m:oMath>
            </m:oMathPara>
          </w:p>
        </w:tc>
        <w:tc>
          <w:tcPr>
            <w:tcW w:w="1247" w:type="dxa"/>
          </w:tcPr>
          <w:p w14:paraId="1A94BDEA" w14:textId="5CC1AA4E" w:rsidR="006A68D6" w:rsidRPr="00CC6CA3" w:rsidRDefault="006A68D6" w:rsidP="00F632C0">
            <w:pPr>
              <w:jc w:val="right"/>
              <w:rPr>
                <w:lang w:val="en-US"/>
              </w:rPr>
            </w:pPr>
            <w:r w:rsidRPr="00CC6CA3">
              <w:rPr>
                <w:lang w:val="en-US"/>
              </w:rPr>
              <w:t>(</w:t>
            </w:r>
            <w:r w:rsidRPr="00CC6CA3">
              <w:rPr>
                <w:lang w:val="en-US"/>
              </w:rPr>
              <w:fldChar w:fldCharType="begin"/>
            </w:r>
            <w:r w:rsidRPr="00CC6CA3">
              <w:rPr>
                <w:lang w:val="en-US"/>
              </w:rPr>
              <w:instrText xml:space="preserve"> STYLEREF 1 \s </w:instrText>
            </w:r>
            <w:r w:rsidRPr="00CC6CA3">
              <w:rPr>
                <w:lang w:val="en-US"/>
              </w:rPr>
              <w:fldChar w:fldCharType="separate"/>
            </w:r>
            <w:r w:rsidR="001906D9" w:rsidRPr="00CC6CA3">
              <w:rPr>
                <w:noProof/>
                <w:lang w:val="en-US"/>
              </w:rPr>
              <w:t>5</w:t>
            </w:r>
            <w:r w:rsidRPr="00CC6CA3">
              <w:rPr>
                <w:lang w:val="en-US"/>
              </w:rPr>
              <w:fldChar w:fldCharType="end"/>
            </w:r>
            <w:r w:rsidRPr="00CC6CA3">
              <w:rPr>
                <w:lang w:val="en-US"/>
              </w:rPr>
              <w:noBreakHyphen/>
            </w:r>
            <w:r w:rsidRPr="00CC6CA3">
              <w:rPr>
                <w:lang w:val="en-US"/>
              </w:rPr>
              <w:fldChar w:fldCharType="begin"/>
            </w:r>
            <w:r w:rsidRPr="00CC6CA3">
              <w:rPr>
                <w:lang w:val="en-US"/>
              </w:rPr>
              <w:instrText xml:space="preserve"> SEQ Equation \* ARABIC \s 1 </w:instrText>
            </w:r>
            <w:r w:rsidRPr="00CC6CA3">
              <w:rPr>
                <w:lang w:val="en-US"/>
              </w:rPr>
              <w:fldChar w:fldCharType="separate"/>
            </w:r>
            <w:r w:rsidR="001906D9" w:rsidRPr="00CC6CA3">
              <w:rPr>
                <w:noProof/>
                <w:lang w:val="en-US"/>
              </w:rPr>
              <w:t>13</w:t>
            </w:r>
            <w:r w:rsidRPr="00CC6CA3">
              <w:rPr>
                <w:lang w:val="en-US"/>
              </w:rPr>
              <w:fldChar w:fldCharType="end"/>
            </w:r>
            <w:r w:rsidRPr="00CC6CA3">
              <w:rPr>
                <w:lang w:val="en-US"/>
              </w:rPr>
              <w:t>)</w:t>
            </w:r>
          </w:p>
        </w:tc>
      </w:tr>
    </w:tbl>
    <w:p w14:paraId="47B173E1" w14:textId="77777777" w:rsidR="006A68D6" w:rsidRPr="00CC6CA3" w:rsidRDefault="006A68D6" w:rsidP="006A68D6">
      <w:pPr>
        <w:spacing w:before="120"/>
        <w:rPr>
          <w:lang w:val="en-US"/>
        </w:rPr>
      </w:pPr>
      <w:r w:rsidRPr="00CC6CA3">
        <w:rPr>
          <w:lang w:val="en-US"/>
        </w:rPr>
        <w:t xml:space="preserve">The fault detection </w:t>
      </w:r>
      <w:r w:rsidRPr="00CC6CA3">
        <w:t>threshold</w:t>
      </w:r>
      <w:r w:rsidRPr="00CC6CA3">
        <w:rPr>
          <w:lang w:val="en-US"/>
        </w:rPr>
        <w:t xml:space="preserve"> of the health indicator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7"/>
        <w:gridCol w:w="1248"/>
      </w:tblGrid>
      <w:tr w:rsidR="00CC6CA3" w:rsidRPr="00CC6CA3" w14:paraId="0B5DC71A" w14:textId="77777777" w:rsidTr="00F632C0">
        <w:tc>
          <w:tcPr>
            <w:tcW w:w="4288" w:type="pct"/>
          </w:tcPr>
          <w:p w14:paraId="7DB7482A" w14:textId="77777777" w:rsidR="006A68D6" w:rsidRPr="00CC6CA3" w:rsidRDefault="00D62691" w:rsidP="00F632C0">
            <w:pPr>
              <w:rPr>
                <w:lang w:val="en-US"/>
              </w:rPr>
            </w:pPr>
            <m:oMathPara>
              <m:oMath>
                <m:sSub>
                  <m:sSubPr>
                    <m:ctrlPr>
                      <w:rPr>
                        <w:rFonts w:ascii="Cambria Math" w:hAnsi="Cambria Math"/>
                        <w:lang w:val="en-US"/>
                      </w:rPr>
                    </m:ctrlPr>
                  </m:sSubPr>
                  <m:e>
                    <m:r>
                      <w:rPr>
                        <w:rFonts w:ascii="Cambria Math" w:hAnsi="Cambria Math"/>
                        <w:lang w:val="en-US"/>
                      </w:rPr>
                      <m:t>R</m:t>
                    </m:r>
                  </m:e>
                  <m:sub>
                    <m:r>
                      <m:rPr>
                        <m:sty m:val="p"/>
                      </m:rPr>
                      <w:rPr>
                        <w:rFonts w:ascii="Cambria Math" w:hAnsi="Cambria Math"/>
                        <w:lang w:val="en-US"/>
                      </w:rPr>
                      <m:t>1</m:t>
                    </m:r>
                  </m:sub>
                </m:sSub>
                <m:r>
                  <m:rPr>
                    <m:sty m:val="p"/>
                  </m:rPr>
                  <w:rPr>
                    <w:rFonts w:ascii="Cambria Math" w:hAnsi="Cambria Math"/>
                    <w:lang w:val="en-US"/>
                  </w:rPr>
                  <m:t>=</m:t>
                </m:r>
                <m:nary>
                  <m:naryPr>
                    <m:limLoc m:val="subSup"/>
                    <m:ctrlPr>
                      <w:rPr>
                        <w:rFonts w:ascii="Cambria Math" w:hAnsi="Cambria Math"/>
                        <w:lang w:val="en-US"/>
                      </w:rPr>
                    </m:ctrlPr>
                  </m:naryPr>
                  <m:sub>
                    <m:r>
                      <m:rPr>
                        <m:sty m:val="p"/>
                      </m:rPr>
                      <w:rPr>
                        <w:rFonts w:ascii="Cambria Math" w:hAnsi="Cambria Math"/>
                        <w:lang w:val="en-US"/>
                      </w:rPr>
                      <m:t>0</m:t>
                    </m:r>
                  </m:sub>
                  <m:sup>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lang w:val="en-US"/>
                          </w:rPr>
                          <m:t>1</m:t>
                        </m:r>
                      </m:sub>
                    </m:sSub>
                  </m:sup>
                  <m:e>
                    <m:r>
                      <w:rPr>
                        <w:rFonts w:ascii="Cambria Math" w:hAnsi="Cambria Math"/>
                        <w:lang w:val="en-US"/>
                      </w:rPr>
                      <m:t>f</m:t>
                    </m:r>
                    <m:r>
                      <m:rPr>
                        <m:sty m:val="p"/>
                      </m:rPr>
                      <w:rPr>
                        <w:rFonts w:ascii="Cambria Math" w:hAnsi="Cambria Math"/>
                        <w:lang w:val="en-US"/>
                      </w:rPr>
                      <m:t>(</m:t>
                    </m:r>
                    <m:r>
                      <w:rPr>
                        <w:rFonts w:ascii="Cambria Math" w:hAnsi="Cambria Math"/>
                        <w:lang w:val="en-US"/>
                      </w:rPr>
                      <m:t>x</m:t>
                    </m:r>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lang w:val="en-US"/>
                          </w:rPr>
                          <m:t>1</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x</m:t>
                        </m:r>
                      </m:e>
                      <m:sub>
                        <m:r>
                          <w:rPr>
                            <w:rFonts w:ascii="Cambria Math" w:hAnsi="Cambria Math"/>
                            <w:lang w:val="en-US"/>
                          </w:rPr>
                          <m:t>d</m:t>
                        </m:r>
                      </m:sub>
                    </m:sSub>
                    <m:r>
                      <m:rPr>
                        <m:sty m:val="p"/>
                      </m:rPr>
                      <w:rPr>
                        <w:rFonts w:ascii="Cambria Math" w:hAnsi="Cambria Math"/>
                        <w:lang w:val="en-US"/>
                      </w:rPr>
                      <m:t>))</m:t>
                    </m:r>
                    <m:r>
                      <w:rPr>
                        <w:rFonts w:ascii="Cambria Math" w:hAnsi="Cambria Math"/>
                        <w:lang w:val="en-US"/>
                      </w:rPr>
                      <m:t>dx</m:t>
                    </m:r>
                  </m:e>
                </m:nary>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EML</m:t>
                    </m:r>
                  </m:e>
                  <m:sub>
                    <m:r>
                      <w:rPr>
                        <w:rFonts w:ascii="Cambria Math" w:hAnsi="Cambria Math"/>
                        <w:lang w:val="en-US"/>
                      </w:rPr>
                      <m:t>initial</m:t>
                    </m:r>
                  </m:sub>
                </m:sSub>
                <m:r>
                  <m:rPr>
                    <m:sty m:val="p"/>
                  </m:rPr>
                  <w:rPr>
                    <w:rFonts w:ascii="Cambria Math" w:hAnsi="Cambria Math"/>
                    <w:lang w:val="en-US"/>
                  </w:rPr>
                  <m:t>∙(1-</m:t>
                </m:r>
                <m:sSup>
                  <m:sSupPr>
                    <m:ctrlPr>
                      <w:rPr>
                        <w:rFonts w:ascii="Cambria Math" w:hAnsi="Cambria Math"/>
                        <w:lang w:val="en-US"/>
                      </w:rPr>
                    </m:ctrlPr>
                  </m:sSupPr>
                  <m:e>
                    <m:r>
                      <w:rPr>
                        <w:rFonts w:ascii="Cambria Math" w:hAnsi="Cambria Math"/>
                        <w:lang w:val="en-US"/>
                      </w:rPr>
                      <m:t>e</m:t>
                    </m:r>
                  </m:e>
                  <m:sup>
                    <m:sSup>
                      <m:sSupPr>
                        <m:ctrlPr>
                          <w:rPr>
                            <w:rFonts w:ascii="Cambria Math" w:hAnsi="Cambria Math"/>
                            <w:lang w:val="en-US"/>
                          </w:rPr>
                        </m:ctrlPr>
                      </m:sSupPr>
                      <m:e>
                        <m:sSub>
                          <m:sSubPr>
                            <m:ctrlPr>
                              <w:rPr>
                                <w:rFonts w:ascii="Cambria Math" w:hAnsi="Cambria Math"/>
                                <w:lang w:val="en-US"/>
                              </w:rPr>
                            </m:ctrlPr>
                          </m:sSubPr>
                          <m:e>
                            <m:r>
                              <m:rPr>
                                <m:sty m:val="p"/>
                              </m:rPr>
                              <w:rPr>
                                <w:rFonts w:ascii="Cambria Math" w:hAnsi="Cambria Math"/>
                                <w:lang w:val="en-US"/>
                              </w:rPr>
                              <m:t>-</m:t>
                            </m:r>
                            <m:r>
                              <w:rPr>
                                <w:rFonts w:ascii="Cambria Math" w:hAnsi="Cambria Math"/>
                                <w:lang w:val="en-US"/>
                              </w:rPr>
                              <m:t>d</m:t>
                            </m:r>
                          </m:e>
                          <m:sub>
                            <m:r>
                              <m:rPr>
                                <m:sty m:val="p"/>
                              </m:rPr>
                              <w:rPr>
                                <w:rFonts w:ascii="Cambria Math" w:hAnsi="Cambria Math"/>
                                <w:lang w:val="en-US"/>
                              </w:rPr>
                              <m:t>1</m:t>
                            </m:r>
                          </m:sub>
                        </m:sSub>
                      </m:e>
                      <m:sup>
                        <m:r>
                          <m:rPr>
                            <m:sty m:val="p"/>
                          </m:rPr>
                          <w:rPr>
                            <w:rFonts w:ascii="Cambria Math" w:hAnsi="Cambria Math"/>
                            <w:lang w:val="en-US"/>
                          </w:rPr>
                          <m:t>2</m:t>
                        </m:r>
                      </m:sup>
                    </m:s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2</m:t>
                        </m:r>
                        <m:r>
                          <w:rPr>
                            <w:rFonts w:ascii="Cambria Math" w:hAnsi="Cambria Math"/>
                            <w:lang w:val="en-US"/>
                          </w:rPr>
                          <m:t>γ</m:t>
                        </m:r>
                      </m:e>
                      <m:sup>
                        <m:r>
                          <m:rPr>
                            <m:sty m:val="p"/>
                          </m:rPr>
                          <w:rPr>
                            <w:rFonts w:ascii="Cambria Math" w:hAnsi="Cambria Math"/>
                            <w:lang w:val="en-US"/>
                          </w:rPr>
                          <m:t>2</m:t>
                        </m:r>
                      </m:sup>
                    </m:sSup>
                  </m:sup>
                </m:sSup>
                <m:r>
                  <m:rPr>
                    <m:sty m:val="p"/>
                  </m:rPr>
                  <w:rPr>
                    <w:rFonts w:ascii="Cambria Math" w:hAnsi="Cambria Math"/>
                    <w:lang w:val="en-US"/>
                  </w:rPr>
                  <m:t>)</m:t>
                </m:r>
              </m:oMath>
            </m:oMathPara>
          </w:p>
        </w:tc>
        <w:tc>
          <w:tcPr>
            <w:tcW w:w="712" w:type="pct"/>
          </w:tcPr>
          <w:p w14:paraId="7B5873C2" w14:textId="5666EF87" w:rsidR="006A68D6" w:rsidRPr="00CC6CA3" w:rsidRDefault="006A68D6" w:rsidP="00F632C0">
            <w:pPr>
              <w:jc w:val="right"/>
              <w:rPr>
                <w:lang w:val="en-US"/>
              </w:rPr>
            </w:pPr>
            <w:r w:rsidRPr="00CC6CA3">
              <w:rPr>
                <w:lang w:val="en-US"/>
              </w:rPr>
              <w:t>(</w:t>
            </w:r>
            <w:r w:rsidRPr="00CC6CA3">
              <w:rPr>
                <w:lang w:val="en-US"/>
              </w:rPr>
              <w:fldChar w:fldCharType="begin"/>
            </w:r>
            <w:r w:rsidRPr="00CC6CA3">
              <w:rPr>
                <w:lang w:val="en-US"/>
              </w:rPr>
              <w:instrText xml:space="preserve"> STYLEREF 1 \s </w:instrText>
            </w:r>
            <w:r w:rsidRPr="00CC6CA3">
              <w:rPr>
                <w:lang w:val="en-US"/>
              </w:rPr>
              <w:fldChar w:fldCharType="separate"/>
            </w:r>
            <w:r w:rsidR="001906D9" w:rsidRPr="00CC6CA3">
              <w:rPr>
                <w:noProof/>
                <w:lang w:val="en-US"/>
              </w:rPr>
              <w:t>5</w:t>
            </w:r>
            <w:r w:rsidRPr="00CC6CA3">
              <w:rPr>
                <w:lang w:val="en-US"/>
              </w:rPr>
              <w:fldChar w:fldCharType="end"/>
            </w:r>
            <w:r w:rsidRPr="00CC6CA3">
              <w:rPr>
                <w:lang w:val="en-US"/>
              </w:rPr>
              <w:noBreakHyphen/>
            </w:r>
            <w:r w:rsidRPr="00CC6CA3">
              <w:rPr>
                <w:lang w:val="en-US"/>
              </w:rPr>
              <w:fldChar w:fldCharType="begin"/>
            </w:r>
            <w:r w:rsidRPr="00CC6CA3">
              <w:rPr>
                <w:lang w:val="en-US"/>
              </w:rPr>
              <w:instrText xml:space="preserve"> SEQ Equation \* ARABIC \s 1 </w:instrText>
            </w:r>
            <w:r w:rsidRPr="00CC6CA3">
              <w:rPr>
                <w:lang w:val="en-US"/>
              </w:rPr>
              <w:fldChar w:fldCharType="separate"/>
            </w:r>
            <w:r w:rsidR="001906D9" w:rsidRPr="00CC6CA3">
              <w:rPr>
                <w:noProof/>
                <w:lang w:val="en-US"/>
              </w:rPr>
              <w:t>14</w:t>
            </w:r>
            <w:r w:rsidRPr="00CC6CA3">
              <w:rPr>
                <w:lang w:val="en-US"/>
              </w:rPr>
              <w:fldChar w:fldCharType="end"/>
            </w:r>
            <w:r w:rsidRPr="00CC6CA3">
              <w:rPr>
                <w:lang w:val="en-US"/>
              </w:rPr>
              <w:t>)</w:t>
            </w:r>
          </w:p>
        </w:tc>
      </w:tr>
    </w:tbl>
    <w:p w14:paraId="27ABDA08" w14:textId="1B9B3B0F" w:rsidR="006A68D6" w:rsidRPr="00CC6CA3" w:rsidRDefault="006A68D6" w:rsidP="006A68D6">
      <w:pPr>
        <w:spacing w:before="120"/>
        <w:rPr>
          <w:lang w:val="en-US"/>
        </w:rPr>
      </w:pPr>
      <w:r w:rsidRPr="00CC6CA3">
        <w:rPr>
          <w:lang w:val="en-US"/>
        </w:rPr>
        <w:t xml:space="preserve">where </w:t>
      </w:r>
      <m:oMath>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lang w:val="en-US"/>
              </w:rPr>
              <m:t>1</m:t>
            </m:r>
          </m:sub>
        </m:sSub>
      </m:oMath>
      <w:r w:rsidRPr="00CC6CA3">
        <w:rPr>
          <w:lang w:val="en-US"/>
        </w:rPr>
        <w:t xml:space="preserve"> is the fault </w:t>
      </w:r>
      <w:r w:rsidRPr="00CC6CA3">
        <w:t>detection</w:t>
      </w:r>
      <w:r w:rsidRPr="00CC6CA3">
        <w:rPr>
          <w:lang w:val="en-US"/>
        </w:rPr>
        <w:t xml:space="preserve"> threshold of MD using Equation (4-14</w:t>
      </w:r>
      <w:proofErr w:type="gramStart"/>
      <w:r w:rsidRPr="00CC6CA3">
        <w:rPr>
          <w:lang w:val="en-US"/>
        </w:rPr>
        <w:t>).</w:t>
      </w:r>
      <w:proofErr w:type="gramEnd"/>
      <w:r w:rsidRPr="00CC6CA3">
        <w:rPr>
          <w:lang w:val="en-US"/>
        </w:rPr>
        <w:t xml:space="preserve"> </w:t>
      </w:r>
      <m:oMath>
        <m:sSub>
          <m:sSubPr>
            <m:ctrlPr>
              <w:rPr>
                <w:rFonts w:ascii="Cambria Math" w:hAnsi="Cambria Math"/>
                <w:lang w:val="en-US"/>
              </w:rPr>
            </m:ctrlPr>
          </m:sSubPr>
          <m:e>
            <m:r>
              <w:rPr>
                <w:rFonts w:ascii="Cambria Math" w:hAnsi="Cambria Math"/>
                <w:lang w:val="en-US"/>
              </w:rPr>
              <m:t>x</m:t>
            </m:r>
          </m:e>
          <m:sub>
            <m:r>
              <w:rPr>
                <w:rFonts w:ascii="Cambria Math" w:hAnsi="Cambria Math"/>
                <w:lang w:val="en-US"/>
              </w:rPr>
              <m:t>d</m:t>
            </m:r>
          </m:sub>
        </m:sSub>
      </m:oMath>
      <w:r w:rsidRPr="00CC6CA3">
        <w:rPr>
          <w:lang w:val="en-US"/>
        </w:rPr>
        <w:t xml:space="preserve">is the Mahalanobis distance calculated by Equation </w:t>
      </w:r>
      <w:r w:rsidRPr="00CC6CA3">
        <w:rPr>
          <w:lang w:val="en-US"/>
        </w:rPr>
        <w:fldChar w:fldCharType="begin"/>
      </w:r>
      <w:r w:rsidRPr="00CC6CA3">
        <w:rPr>
          <w:lang w:val="en-US"/>
        </w:rPr>
        <w:instrText xml:space="preserve"> REF _Ref63675422 \h </w:instrText>
      </w:r>
      <w:r w:rsidRPr="00CC6CA3">
        <w:rPr>
          <w:lang w:val="en-US"/>
        </w:rPr>
      </w:r>
      <w:r w:rsidRPr="00CC6CA3">
        <w:rPr>
          <w:lang w:val="en-US"/>
        </w:rPr>
        <w:fldChar w:fldCharType="separate"/>
      </w:r>
      <w:r w:rsidR="001906D9" w:rsidRPr="00CC6CA3">
        <w:t>(</w:t>
      </w:r>
      <w:r w:rsidR="001906D9" w:rsidRPr="00CC6CA3">
        <w:rPr>
          <w:noProof/>
        </w:rPr>
        <w:t>5</w:t>
      </w:r>
      <w:r w:rsidR="001906D9" w:rsidRPr="00CC6CA3">
        <w:noBreakHyphen/>
      </w:r>
      <w:r w:rsidR="001906D9" w:rsidRPr="00CC6CA3">
        <w:rPr>
          <w:noProof/>
        </w:rPr>
        <w:t>7</w:t>
      </w:r>
      <w:r w:rsidR="001906D9" w:rsidRPr="00CC6CA3">
        <w:t>)</w:t>
      </w:r>
      <w:r w:rsidRPr="00CC6CA3">
        <w:rPr>
          <w:lang w:val="en-US"/>
        </w:rPr>
        <w:fldChar w:fldCharType="end"/>
      </w:r>
      <w:r w:rsidRPr="00CC6CA3">
        <w:rPr>
          <w:lang w:val="en-US"/>
        </w:rPr>
        <w:t xml:space="preserve">. </w:t>
      </w:r>
      <m:oMath>
        <m:sSub>
          <m:sSubPr>
            <m:ctrlPr>
              <w:rPr>
                <w:rFonts w:ascii="Cambria Math" w:hAnsi="Cambria Math"/>
                <w:lang w:val="en-US"/>
              </w:rPr>
            </m:ctrlPr>
          </m:sSubPr>
          <m:e>
            <m:r>
              <w:rPr>
                <w:rFonts w:ascii="Cambria Math" w:hAnsi="Cambria Math"/>
                <w:lang w:val="en-US"/>
              </w:rPr>
              <m:t>EML</m:t>
            </m:r>
          </m:e>
          <m:sub>
            <m:r>
              <w:rPr>
                <w:rFonts w:ascii="Cambria Math" w:hAnsi="Cambria Math"/>
                <w:lang w:val="en-US"/>
              </w:rPr>
              <m:t>initial</m:t>
            </m:r>
          </m:sub>
        </m:sSub>
      </m:oMath>
      <w:r w:rsidRPr="00CC6CA3">
        <w:rPr>
          <w:lang w:val="en-US"/>
        </w:rPr>
        <w:t xml:space="preserve"> is the initial estimated maximum financial loss before a fault </w:t>
      </w:r>
      <w:r w:rsidR="009E3ABB" w:rsidRPr="00CC6CA3">
        <w:rPr>
          <w:lang w:val="en-US"/>
        </w:rPr>
        <w:t>is</w:t>
      </w:r>
      <w:r w:rsidRPr="00CC6CA3">
        <w:rPr>
          <w:lang w:val="en-US"/>
        </w:rPr>
        <w:t xml:space="preserve"> detected. </w:t>
      </w:r>
      <m:oMath>
        <m:r>
          <w:rPr>
            <w:rFonts w:ascii="Cambria Math" w:hAnsi="Cambria Math"/>
            <w:lang w:val="en-US"/>
          </w:rPr>
          <m:t>γ</m:t>
        </m:r>
      </m:oMath>
      <w:r w:rsidRPr="00CC6CA3">
        <w:rPr>
          <w:lang w:val="en-US"/>
        </w:rPr>
        <w:t xml:space="preserve"> is the shape parameter of the loss function, calculated by Equation </w:t>
      </w:r>
      <w:r w:rsidRPr="00CC6CA3">
        <w:rPr>
          <w:lang w:val="en-US"/>
        </w:rPr>
        <w:fldChar w:fldCharType="begin"/>
      </w:r>
      <w:r w:rsidRPr="00CC6CA3">
        <w:rPr>
          <w:lang w:val="en-US"/>
        </w:rPr>
        <w:instrText xml:space="preserve"> REF _Ref63684774 \h </w:instrText>
      </w:r>
      <w:r w:rsidRPr="00CC6CA3">
        <w:rPr>
          <w:lang w:val="en-US"/>
        </w:rPr>
      </w:r>
      <w:r w:rsidRPr="00CC6CA3">
        <w:rPr>
          <w:lang w:val="en-US"/>
        </w:rPr>
        <w:fldChar w:fldCharType="separate"/>
      </w:r>
      <w:r w:rsidR="001906D9" w:rsidRPr="00CC6CA3">
        <w:t>(</w:t>
      </w:r>
      <w:r w:rsidR="001906D9" w:rsidRPr="00CC6CA3">
        <w:rPr>
          <w:noProof/>
        </w:rPr>
        <w:t>5</w:t>
      </w:r>
      <w:r w:rsidR="001906D9" w:rsidRPr="00CC6CA3">
        <w:noBreakHyphen/>
      </w:r>
      <w:r w:rsidR="001906D9" w:rsidRPr="00CC6CA3">
        <w:rPr>
          <w:noProof/>
        </w:rPr>
        <w:t>11</w:t>
      </w:r>
      <w:r w:rsidR="001906D9" w:rsidRPr="00CC6CA3">
        <w:t>)</w:t>
      </w:r>
      <w:r w:rsidRPr="00CC6CA3">
        <w:rPr>
          <w:lang w:val="en-US"/>
        </w:rPr>
        <w:fldChar w:fldCharType="end"/>
      </w:r>
      <w:r w:rsidRPr="00CC6CA3">
        <w:rPr>
          <w:lang w:val="en-US"/>
        </w:rPr>
        <w:t>.</w:t>
      </w:r>
    </w:p>
    <w:p w14:paraId="06D8377B" w14:textId="77777777" w:rsidR="006A68D6" w:rsidRPr="00CC6CA3" w:rsidRDefault="006A68D6" w:rsidP="006A68D6">
      <w:pPr>
        <w:spacing w:before="120"/>
        <w:rPr>
          <w:lang w:val="en-US"/>
        </w:rPr>
      </w:pPr>
      <w:r w:rsidRPr="00CC6CA3">
        <w:rPr>
          <w:lang w:val="en-US"/>
        </w:rPr>
        <w:t xml:space="preserve">The shutdown </w:t>
      </w:r>
      <w:r w:rsidRPr="00CC6CA3">
        <w:t>threshold</w:t>
      </w:r>
      <w:r w:rsidRPr="00CC6CA3">
        <w:rPr>
          <w:lang w:val="en-US"/>
        </w:rPr>
        <w:t xml:space="preserve"> of the health indicator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7"/>
        <w:gridCol w:w="1248"/>
      </w:tblGrid>
      <w:tr w:rsidR="00CC6CA3" w:rsidRPr="00CC6CA3" w14:paraId="54EE49A9" w14:textId="77777777" w:rsidTr="00F632C0">
        <w:tc>
          <w:tcPr>
            <w:tcW w:w="4288" w:type="pct"/>
          </w:tcPr>
          <w:p w14:paraId="2FD5239B" w14:textId="77777777" w:rsidR="006A68D6" w:rsidRPr="00CC6CA3" w:rsidRDefault="00D62691" w:rsidP="00F632C0">
            <w:pPr>
              <w:rPr>
                <w:lang w:val="en-US"/>
              </w:rPr>
            </w:pPr>
            <m:oMathPara>
              <m:oMath>
                <m:sSub>
                  <m:sSubPr>
                    <m:ctrlPr>
                      <w:rPr>
                        <w:rFonts w:ascii="Cambria Math" w:hAnsi="Cambria Math"/>
                        <w:lang w:val="en-US"/>
                      </w:rPr>
                    </m:ctrlPr>
                  </m:sSubPr>
                  <m:e>
                    <m:r>
                      <w:rPr>
                        <w:rFonts w:ascii="Cambria Math" w:hAnsi="Cambria Math"/>
                        <w:lang w:val="en-US"/>
                      </w:rPr>
                      <m:t>R</m:t>
                    </m:r>
                  </m:e>
                  <m:sub>
                    <m:r>
                      <m:rPr>
                        <m:sty m:val="p"/>
                      </m:rPr>
                      <w:rPr>
                        <w:rFonts w:ascii="Cambria Math" w:hAnsi="Cambria Math"/>
                        <w:lang w:val="en-US"/>
                      </w:rPr>
                      <m:t>2</m:t>
                    </m:r>
                  </m:sub>
                </m:sSub>
                <m:r>
                  <m:rPr>
                    <m:sty m:val="p"/>
                  </m:rPr>
                  <w:rPr>
                    <w:rFonts w:ascii="Cambria Math" w:hAnsi="Cambria Math"/>
                    <w:lang w:val="en-US"/>
                  </w:rPr>
                  <m:t>=</m:t>
                </m:r>
                <m:nary>
                  <m:naryPr>
                    <m:limLoc m:val="subSup"/>
                    <m:ctrlPr>
                      <w:rPr>
                        <w:rFonts w:ascii="Cambria Math" w:hAnsi="Cambria Math"/>
                        <w:lang w:val="en-US"/>
                      </w:rPr>
                    </m:ctrlPr>
                  </m:naryPr>
                  <m:sub>
                    <m:r>
                      <m:rPr>
                        <m:sty m:val="p"/>
                      </m:rPr>
                      <w:rPr>
                        <w:rFonts w:ascii="Cambria Math" w:hAnsi="Cambria Math"/>
                        <w:lang w:val="en-US"/>
                      </w:rPr>
                      <m:t>0</m:t>
                    </m:r>
                  </m:sub>
                  <m:sup>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lang w:val="en-US"/>
                          </w:rPr>
                          <m:t>2</m:t>
                        </m:r>
                      </m:sub>
                    </m:sSub>
                  </m:sup>
                  <m:e>
                    <m:r>
                      <w:rPr>
                        <w:rFonts w:ascii="Cambria Math" w:hAnsi="Cambria Math"/>
                        <w:lang w:val="en-US"/>
                      </w:rPr>
                      <m:t>f</m:t>
                    </m:r>
                    <m:r>
                      <m:rPr>
                        <m:sty m:val="p"/>
                      </m:rPr>
                      <w:rPr>
                        <w:rFonts w:ascii="Cambria Math" w:hAnsi="Cambria Math"/>
                        <w:lang w:val="en-US"/>
                      </w:rPr>
                      <m:t>(</m:t>
                    </m:r>
                    <m:r>
                      <w:rPr>
                        <w:rFonts w:ascii="Cambria Math" w:hAnsi="Cambria Math"/>
                        <w:lang w:val="en-US"/>
                      </w:rPr>
                      <m:t>x</m:t>
                    </m:r>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lang w:val="en-US"/>
                          </w:rPr>
                          <m:t>1</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x</m:t>
                        </m:r>
                      </m:e>
                      <m:sub>
                        <m:r>
                          <w:rPr>
                            <w:rFonts w:ascii="Cambria Math" w:hAnsi="Cambria Math"/>
                            <w:lang w:val="en-US"/>
                          </w:rPr>
                          <m:t>d</m:t>
                        </m:r>
                      </m:sub>
                    </m:sSub>
                    <m:r>
                      <m:rPr>
                        <m:sty m:val="p"/>
                      </m:rPr>
                      <w:rPr>
                        <w:rFonts w:ascii="Cambria Math" w:hAnsi="Cambria Math"/>
                        <w:lang w:val="en-US"/>
                      </w:rPr>
                      <m:t>))</m:t>
                    </m:r>
                    <m:r>
                      <w:rPr>
                        <w:rFonts w:ascii="Cambria Math" w:hAnsi="Cambria Math"/>
                        <w:lang w:val="en-US"/>
                      </w:rPr>
                      <m:t>dx</m:t>
                    </m:r>
                  </m:e>
                </m:nary>
                <m:r>
                  <m:rPr>
                    <m:sty m:val="p"/>
                  </m:rPr>
                  <w:rPr>
                    <w:rFonts w:ascii="Cambria Math" w:hAnsi="Cambria Math"/>
                    <w:lang w:val="en-US"/>
                  </w:rPr>
                  <m:t>∙</m:t>
                </m:r>
                <m:r>
                  <w:rPr>
                    <w:rFonts w:ascii="Cambria Math" w:hAnsi="Cambria Math"/>
                    <w:lang w:val="en-US"/>
                  </w:rPr>
                  <m:t>EML</m:t>
                </m:r>
                <m:r>
                  <m:rPr>
                    <m:sty m:val="p"/>
                  </m:rPr>
                  <w:rPr>
                    <w:rFonts w:ascii="Cambria Math" w:hAnsi="Cambria Math"/>
                    <w:lang w:val="en-US"/>
                  </w:rPr>
                  <m:t>∙(1-</m:t>
                </m:r>
                <m:sSup>
                  <m:sSupPr>
                    <m:ctrlPr>
                      <w:rPr>
                        <w:rFonts w:ascii="Cambria Math" w:hAnsi="Cambria Math"/>
                        <w:lang w:val="en-US"/>
                      </w:rPr>
                    </m:ctrlPr>
                  </m:sSupPr>
                  <m:e>
                    <m:r>
                      <w:rPr>
                        <w:rFonts w:ascii="Cambria Math" w:hAnsi="Cambria Math"/>
                        <w:lang w:val="en-US"/>
                      </w:rPr>
                      <m:t>e</m:t>
                    </m:r>
                  </m:e>
                  <m:sup>
                    <m:r>
                      <m:rPr>
                        <m:sty m:val="p"/>
                      </m:rPr>
                      <w:rPr>
                        <w:rFonts w:ascii="Cambria Math" w:hAnsi="Cambria Math"/>
                        <w:lang w:val="en-US"/>
                      </w:rPr>
                      <m:t>-</m:t>
                    </m:r>
                    <m:sSup>
                      <m:sSupPr>
                        <m:ctrlPr>
                          <w:rPr>
                            <w:rFonts w:ascii="Cambria Math" w:hAnsi="Cambria Math"/>
                            <w:lang w:val="en-US"/>
                          </w:rPr>
                        </m:ctrlPr>
                      </m:sSupPr>
                      <m:e>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lang w:val="en-US"/>
                              </w:rPr>
                              <m:t>2</m:t>
                            </m:r>
                          </m:sub>
                        </m:sSub>
                      </m:e>
                      <m:sup>
                        <m:r>
                          <m:rPr>
                            <m:sty m:val="p"/>
                          </m:rPr>
                          <w:rPr>
                            <w:rFonts w:ascii="Cambria Math" w:hAnsi="Cambria Math"/>
                            <w:lang w:val="en-US"/>
                          </w:rPr>
                          <m:t>2</m:t>
                        </m:r>
                      </m:sup>
                    </m:s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2</m:t>
                        </m:r>
                        <m:r>
                          <w:rPr>
                            <w:rFonts w:ascii="Cambria Math" w:hAnsi="Cambria Math"/>
                            <w:lang w:val="en-US"/>
                          </w:rPr>
                          <m:t>γ</m:t>
                        </m:r>
                      </m:e>
                      <m:sup>
                        <m:r>
                          <m:rPr>
                            <m:sty m:val="p"/>
                          </m:rPr>
                          <w:rPr>
                            <w:rFonts w:ascii="Cambria Math" w:hAnsi="Cambria Math"/>
                            <w:lang w:val="en-US"/>
                          </w:rPr>
                          <m:t>2</m:t>
                        </m:r>
                      </m:sup>
                    </m:sSup>
                  </m:sup>
                </m:sSup>
                <m:r>
                  <m:rPr>
                    <m:sty m:val="p"/>
                  </m:rPr>
                  <w:rPr>
                    <w:rFonts w:ascii="Cambria Math" w:hAnsi="Cambria Math"/>
                    <w:lang w:val="en-US"/>
                  </w:rPr>
                  <m:t>)</m:t>
                </m:r>
              </m:oMath>
            </m:oMathPara>
          </w:p>
        </w:tc>
        <w:tc>
          <w:tcPr>
            <w:tcW w:w="712" w:type="pct"/>
          </w:tcPr>
          <w:p w14:paraId="1EC3B472" w14:textId="504F986B" w:rsidR="006A68D6" w:rsidRPr="00CC6CA3" w:rsidRDefault="006A68D6" w:rsidP="00F632C0">
            <w:pPr>
              <w:jc w:val="right"/>
              <w:rPr>
                <w:lang w:val="en-US"/>
              </w:rPr>
            </w:pPr>
            <w:bookmarkStart w:id="519" w:name="_Ref63724668"/>
            <w:r w:rsidRPr="00CC6CA3">
              <w:rPr>
                <w:lang w:val="en-US"/>
              </w:rPr>
              <w:t>(</w:t>
            </w:r>
            <w:r w:rsidRPr="00CC6CA3">
              <w:rPr>
                <w:lang w:val="en-US"/>
              </w:rPr>
              <w:fldChar w:fldCharType="begin"/>
            </w:r>
            <w:r w:rsidRPr="00CC6CA3">
              <w:rPr>
                <w:lang w:val="en-US"/>
              </w:rPr>
              <w:instrText xml:space="preserve"> STYLEREF 1 \s </w:instrText>
            </w:r>
            <w:r w:rsidRPr="00CC6CA3">
              <w:rPr>
                <w:lang w:val="en-US"/>
              </w:rPr>
              <w:fldChar w:fldCharType="separate"/>
            </w:r>
            <w:r w:rsidR="001906D9" w:rsidRPr="00CC6CA3">
              <w:rPr>
                <w:noProof/>
                <w:lang w:val="en-US"/>
              </w:rPr>
              <w:t>5</w:t>
            </w:r>
            <w:r w:rsidRPr="00CC6CA3">
              <w:rPr>
                <w:lang w:val="en-US"/>
              </w:rPr>
              <w:fldChar w:fldCharType="end"/>
            </w:r>
            <w:r w:rsidRPr="00CC6CA3">
              <w:rPr>
                <w:lang w:val="en-US"/>
              </w:rPr>
              <w:noBreakHyphen/>
            </w:r>
            <w:r w:rsidRPr="00CC6CA3">
              <w:rPr>
                <w:lang w:val="en-US"/>
              </w:rPr>
              <w:fldChar w:fldCharType="begin"/>
            </w:r>
            <w:r w:rsidRPr="00CC6CA3">
              <w:rPr>
                <w:lang w:val="en-US"/>
              </w:rPr>
              <w:instrText xml:space="preserve"> SEQ Equation \* ARABIC \s 1 </w:instrText>
            </w:r>
            <w:r w:rsidRPr="00CC6CA3">
              <w:rPr>
                <w:lang w:val="en-US"/>
              </w:rPr>
              <w:fldChar w:fldCharType="separate"/>
            </w:r>
            <w:r w:rsidR="001906D9" w:rsidRPr="00CC6CA3">
              <w:rPr>
                <w:noProof/>
                <w:lang w:val="en-US"/>
              </w:rPr>
              <w:t>15</w:t>
            </w:r>
            <w:r w:rsidRPr="00CC6CA3">
              <w:rPr>
                <w:lang w:val="en-US"/>
              </w:rPr>
              <w:fldChar w:fldCharType="end"/>
            </w:r>
            <w:r w:rsidRPr="00CC6CA3">
              <w:rPr>
                <w:lang w:val="en-US"/>
              </w:rPr>
              <w:t>)</w:t>
            </w:r>
            <w:bookmarkEnd w:id="519"/>
          </w:p>
        </w:tc>
      </w:tr>
    </w:tbl>
    <w:p w14:paraId="331B4827" w14:textId="0531811B" w:rsidR="009E3ABB" w:rsidRPr="00CC6CA3" w:rsidRDefault="006A68D6" w:rsidP="009E3ABB">
      <w:pPr>
        <w:spacing w:before="120"/>
        <w:rPr>
          <w:lang w:val="en-US"/>
        </w:rPr>
      </w:pPr>
      <w:r w:rsidRPr="00CC6CA3">
        <w:rPr>
          <w:lang w:val="en-US"/>
        </w:rPr>
        <w:t xml:space="preserve">Where </w:t>
      </w:r>
      <m:oMath>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lang w:val="en-US"/>
              </w:rPr>
              <m:t>2</m:t>
            </m:r>
          </m:sub>
        </m:sSub>
      </m:oMath>
      <w:r w:rsidRPr="00CC6CA3">
        <w:rPr>
          <w:lang w:val="en-US"/>
        </w:rPr>
        <w:t xml:space="preserve"> is the shutdown threshold of MD in Equation </w:t>
      </w:r>
      <w:r w:rsidRPr="00CC6CA3">
        <w:rPr>
          <w:lang w:val="en-US"/>
        </w:rPr>
        <w:fldChar w:fldCharType="begin"/>
      </w:r>
      <w:r w:rsidRPr="00CC6CA3">
        <w:rPr>
          <w:lang w:val="en-US"/>
        </w:rPr>
        <w:instrText xml:space="preserve"> REF _Ref63705455 \h </w:instrText>
      </w:r>
      <w:r w:rsidRPr="00CC6CA3">
        <w:rPr>
          <w:lang w:val="en-US"/>
        </w:rPr>
      </w:r>
      <w:r w:rsidRPr="00CC6CA3">
        <w:rPr>
          <w:lang w:val="en-US"/>
        </w:rPr>
        <w:fldChar w:fldCharType="separate"/>
      </w:r>
      <w:r w:rsidR="001906D9" w:rsidRPr="00CC6CA3">
        <w:t>(</w:t>
      </w:r>
      <w:r w:rsidR="001906D9" w:rsidRPr="00CC6CA3">
        <w:rPr>
          <w:noProof/>
        </w:rPr>
        <w:t>5</w:t>
      </w:r>
      <w:r w:rsidR="001906D9" w:rsidRPr="00CC6CA3">
        <w:noBreakHyphen/>
      </w:r>
      <w:r w:rsidR="001906D9" w:rsidRPr="00CC6CA3">
        <w:rPr>
          <w:noProof/>
        </w:rPr>
        <w:t>12</w:t>
      </w:r>
      <w:r w:rsidR="001906D9" w:rsidRPr="00CC6CA3">
        <w:t>)</w:t>
      </w:r>
      <w:r w:rsidRPr="00CC6CA3">
        <w:rPr>
          <w:lang w:val="en-US"/>
        </w:rPr>
        <w:fldChar w:fldCharType="end"/>
      </w:r>
      <w:r w:rsidRPr="00CC6CA3">
        <w:rPr>
          <w:lang w:val="en-US"/>
        </w:rPr>
        <w:t xml:space="preserve">. </w:t>
      </w:r>
      <m:oMath>
        <m:r>
          <w:rPr>
            <w:rFonts w:ascii="Cambria Math" w:hAnsi="Cambria Math"/>
            <w:lang w:val="en-US"/>
          </w:rPr>
          <m:t>EML</m:t>
        </m:r>
      </m:oMath>
      <w:r w:rsidRPr="00CC6CA3">
        <w:rPr>
          <w:lang w:val="en-US"/>
        </w:rPr>
        <w:t xml:space="preserve"> is the estimated maximum financial loss for a specific fault type. </w:t>
      </w:r>
      <w:r w:rsidR="009E3ABB" w:rsidRPr="00CC6CA3">
        <w:rPr>
          <w:lang w:val="en-US"/>
        </w:rPr>
        <w:t xml:space="preserve">Alternatively, the shutdown threshold can be decided by </w:t>
      </w:r>
      <w:r w:rsidR="009E3ABB" w:rsidRPr="00CC6CA3">
        <w:t>operators</w:t>
      </w:r>
      <w:r w:rsidR="009E3ABB" w:rsidRPr="00CC6CA3">
        <w:rPr>
          <w:lang w:val="en-US"/>
        </w:rPr>
        <w:t xml:space="preserve"> according to the maximum risk that a company is willing to take.</w:t>
      </w:r>
      <m:oMath>
        <m:r>
          <w:rPr>
            <w:rFonts w:ascii="Cambria Math" w:hAnsi="Cambria Math"/>
            <w:lang w:val="en-US"/>
          </w:rPr>
          <m:t xml:space="preserve"> EML</m:t>
        </m:r>
      </m:oMath>
      <w:r w:rsidR="009E3ABB" w:rsidRPr="00CC6CA3">
        <w:rPr>
          <w:lang w:val="en-US"/>
        </w:rPr>
        <w:t xml:space="preserve"> is the estimated maximum financial loss for a specific fault type.</w:t>
      </w:r>
    </w:p>
    <w:p w14:paraId="38ABCBC5" w14:textId="77777777" w:rsidR="009E3ABB" w:rsidRPr="00CC6CA3" w:rsidRDefault="009E3ABB" w:rsidP="009E3ABB">
      <w:pPr>
        <w:spacing w:before="120"/>
      </w:pPr>
      <w:r w:rsidRPr="00CC6CA3">
        <w:rPr>
          <w:lang w:val="en-US"/>
        </w:rPr>
        <w:lastRenderedPageBreak/>
        <w:t xml:space="preserve">The health indicator can be used for fault detection as well as for taking supervisory decisions to activate appropriate safety systems in real-time. If </w:t>
      </w:r>
      <m:oMath>
        <m:r>
          <w:rPr>
            <w:rFonts w:ascii="Cambria Math" w:hAnsi="Cambria Math"/>
            <w:lang w:val="en-US"/>
          </w:rPr>
          <m:t>R</m:t>
        </m:r>
        <m:r>
          <m:rPr>
            <m:sty m:val="p"/>
          </m:rPr>
          <w:rPr>
            <w:rFonts w:ascii="Cambria Math" w:hAnsi="Cambria Math"/>
            <w:lang w:val="en-US"/>
          </w:rPr>
          <m:t>&lt;</m:t>
        </m:r>
        <m:sSub>
          <m:sSubPr>
            <m:ctrlPr>
              <w:rPr>
                <w:rFonts w:ascii="Cambria Math" w:hAnsi="Cambria Math"/>
                <w:lang w:val="en-US"/>
              </w:rPr>
            </m:ctrlPr>
          </m:sSubPr>
          <m:e>
            <m:r>
              <w:rPr>
                <w:rFonts w:ascii="Cambria Math" w:hAnsi="Cambria Math"/>
                <w:lang w:val="en-US"/>
              </w:rPr>
              <m:t>R</m:t>
            </m:r>
          </m:e>
          <m:sub>
            <m:r>
              <m:rPr>
                <m:sty m:val="p"/>
              </m:rPr>
              <w:rPr>
                <w:rFonts w:ascii="Cambria Math" w:hAnsi="Cambria Math"/>
                <w:lang w:val="en-US"/>
              </w:rPr>
              <m:t>1</m:t>
            </m:r>
          </m:sub>
        </m:sSub>
      </m:oMath>
      <w:r w:rsidRPr="00CC6CA3">
        <w:rPr>
          <w:lang w:val="en-US"/>
        </w:rPr>
        <w:t xml:space="preserve">, it indicates that the system’s health indicator is under the fault detection threshold, and the system can be presumed healthy. If </w:t>
      </w:r>
      <m:oMath>
        <m:sSub>
          <m:sSubPr>
            <m:ctrlPr>
              <w:rPr>
                <w:rFonts w:ascii="Cambria Math" w:hAnsi="Cambria Math"/>
                <w:lang w:val="en-US"/>
              </w:rPr>
            </m:ctrlPr>
          </m:sSubPr>
          <m:e>
            <m:r>
              <w:rPr>
                <w:rFonts w:ascii="Cambria Math" w:hAnsi="Cambria Math"/>
                <w:lang w:val="en-US"/>
              </w:rPr>
              <m:t>R</m:t>
            </m:r>
          </m:e>
          <m:sub>
            <m:r>
              <m:rPr>
                <m:sty m:val="p"/>
              </m:rPr>
              <w:rPr>
                <w:rFonts w:ascii="Cambria Math" w:hAnsi="Cambria Math"/>
                <w:lang w:val="en-US"/>
              </w:rPr>
              <m:t>1</m:t>
            </m:r>
          </m:sub>
        </m:sSub>
        <m:r>
          <m:rPr>
            <m:sty m:val="p"/>
          </m:rPr>
          <w:rPr>
            <w:rFonts w:ascii="Cambria Math" w:hAnsi="Cambria Math"/>
            <w:lang w:val="en-US"/>
          </w:rPr>
          <m:t>&lt;</m:t>
        </m:r>
        <m:r>
          <w:rPr>
            <w:rFonts w:ascii="Cambria Math" w:hAnsi="Cambria Math"/>
            <w:lang w:val="en-US"/>
          </w:rPr>
          <m:t>R</m:t>
        </m:r>
        <m:r>
          <m:rPr>
            <m:sty m:val="p"/>
          </m:rPr>
          <w:rPr>
            <w:rFonts w:ascii="Cambria Math" w:hAnsi="Cambria Math"/>
            <w:lang w:val="en-US"/>
          </w:rPr>
          <m:t>&lt;</m:t>
        </m:r>
        <m:sSub>
          <m:sSubPr>
            <m:ctrlPr>
              <w:rPr>
                <w:rFonts w:ascii="Cambria Math" w:hAnsi="Cambria Math"/>
                <w:lang w:val="en-US"/>
              </w:rPr>
            </m:ctrlPr>
          </m:sSubPr>
          <m:e>
            <m:r>
              <w:rPr>
                <w:rFonts w:ascii="Cambria Math" w:hAnsi="Cambria Math"/>
                <w:lang w:val="en-US"/>
              </w:rPr>
              <m:t>R</m:t>
            </m:r>
          </m:e>
          <m:sub>
            <m:r>
              <m:rPr>
                <m:sty m:val="p"/>
              </m:rPr>
              <w:rPr>
                <w:rFonts w:ascii="Cambria Math" w:hAnsi="Cambria Math"/>
                <w:lang w:val="en-US"/>
              </w:rPr>
              <m:t>2</m:t>
            </m:r>
          </m:sub>
        </m:sSub>
      </m:oMath>
      <w:r w:rsidRPr="00CC6CA3">
        <w:rPr>
          <w:lang w:val="en-US"/>
        </w:rPr>
        <w:t>, the system’s health indicator exceeds the fault detection threshold (</w:t>
      </w:r>
      <m:oMath>
        <m:sSub>
          <m:sSubPr>
            <m:ctrlPr>
              <w:rPr>
                <w:rFonts w:ascii="Cambria Math" w:hAnsi="Cambria Math"/>
                <w:lang w:val="en-US"/>
              </w:rPr>
            </m:ctrlPr>
          </m:sSubPr>
          <m:e>
            <m:r>
              <w:rPr>
                <w:rFonts w:ascii="Cambria Math" w:hAnsi="Cambria Math"/>
                <w:lang w:val="en-US"/>
              </w:rPr>
              <m:t>R</m:t>
            </m:r>
          </m:e>
          <m:sub>
            <m:r>
              <m:rPr>
                <m:sty m:val="p"/>
              </m:rPr>
              <w:rPr>
                <w:rFonts w:ascii="Cambria Math" w:hAnsi="Cambria Math"/>
                <w:lang w:val="en-US"/>
              </w:rPr>
              <m:t>1</m:t>
            </m:r>
          </m:sub>
        </m:sSub>
      </m:oMath>
      <w:r w:rsidRPr="00CC6CA3">
        <w:rPr>
          <w:lang w:val="en-US"/>
        </w:rPr>
        <w:t xml:space="preserve">) but is less than the shutdown threshold. Suggesting the operators respond by, for example, ordering an inspection of the equipment and scheduling a time for maintenance. The fault analysis scheme assesses the contribution of each measurement, infers the possible fault type, and suggests maintenance planning. If </w:t>
      </w:r>
      <m:oMath>
        <m:r>
          <w:rPr>
            <w:rFonts w:ascii="Cambria Math" w:hAnsi="Cambria Math"/>
            <w:lang w:val="en-US"/>
          </w:rPr>
          <m:t>R</m:t>
        </m:r>
        <m:r>
          <m:rPr>
            <m:sty m:val="p"/>
          </m:rPr>
          <w:rPr>
            <w:rFonts w:ascii="Cambria Math" w:hAnsi="Cambria Math"/>
            <w:lang w:val="en-US"/>
          </w:rPr>
          <m:t>&gt;</m:t>
        </m:r>
        <m:sSub>
          <m:sSubPr>
            <m:ctrlPr>
              <w:rPr>
                <w:rFonts w:ascii="Cambria Math" w:hAnsi="Cambria Math"/>
                <w:lang w:val="en-US"/>
              </w:rPr>
            </m:ctrlPr>
          </m:sSubPr>
          <m:e>
            <m:r>
              <w:rPr>
                <w:rFonts w:ascii="Cambria Math" w:hAnsi="Cambria Math"/>
                <w:lang w:val="en-US"/>
              </w:rPr>
              <m:t>R</m:t>
            </m:r>
          </m:e>
          <m:sub>
            <m:r>
              <m:rPr>
                <m:sty m:val="p"/>
              </m:rPr>
              <w:rPr>
                <w:rFonts w:ascii="Cambria Math" w:hAnsi="Cambria Math"/>
                <w:lang w:val="en-US"/>
              </w:rPr>
              <m:t>2</m:t>
            </m:r>
          </m:sub>
        </m:sSub>
      </m:oMath>
      <w:r w:rsidRPr="00CC6CA3">
        <w:rPr>
          <w:lang w:val="en-US"/>
        </w:rPr>
        <w:t xml:space="preserve">, the </w:t>
      </w:r>
      <w:r w:rsidRPr="00CC6CA3">
        <w:t>system</w:t>
      </w:r>
      <w:r w:rsidRPr="00CC6CA3">
        <w:rPr>
          <w:lang w:val="en-US"/>
        </w:rPr>
        <w:t xml:space="preserve"> is in a dangerous condition, and thereafter, the automatic safety system (i.e., emergency shutdown system) would be activated to avoid an unplanned shutdown</w:t>
      </w:r>
      <w:r w:rsidRPr="00CC6CA3">
        <w:t>.</w:t>
      </w:r>
    </w:p>
    <w:p w14:paraId="344A89EB" w14:textId="31B528F9" w:rsidR="006A68D6" w:rsidRPr="00CC6CA3" w:rsidRDefault="009E3ABB" w:rsidP="009E3ABB">
      <w:pPr>
        <w:spacing w:before="120"/>
      </w:pPr>
      <w:r w:rsidRPr="00CC6CA3">
        <w:t>To demonstrate the effectiveness of the proposed methodology, three case studies have been carried out, using data collected from a pump and a compressor system in a petrochemical plant. The fault detection model in the proposed methodology can use different data-driven methods, such as SAE, NARX, and PCA. According to Chapter 4, compared with NARX and PCA, the SAE had the best performance, so SAE is applied in the following cases</w:t>
      </w:r>
      <w:r w:rsidR="006A68D6" w:rsidRPr="00CC6CA3">
        <w:t>.</w:t>
      </w:r>
    </w:p>
    <w:p w14:paraId="77619AFD" w14:textId="136350E6" w:rsidR="000441CC" w:rsidRPr="00CC6CA3" w:rsidRDefault="000441CC" w:rsidP="006A68D6">
      <w:pPr>
        <w:pStyle w:val="Heading3"/>
        <w:rPr>
          <w:lang w:val="en-US"/>
        </w:rPr>
      </w:pPr>
      <w:bookmarkStart w:id="520" w:name="_Toc81553310"/>
      <w:r w:rsidRPr="00CC6CA3">
        <w:t xml:space="preserve">Case studies: development of </w:t>
      </w:r>
      <w:r w:rsidR="009E5DEC" w:rsidRPr="00CC6CA3">
        <w:t xml:space="preserve">the SAE based </w:t>
      </w:r>
      <w:r w:rsidRPr="00CC6CA3">
        <w:t>system health indicator</w:t>
      </w:r>
      <w:bookmarkEnd w:id="520"/>
    </w:p>
    <w:p w14:paraId="2A99BE89" w14:textId="0E1707C6" w:rsidR="006A68D6" w:rsidRPr="00CC6CA3" w:rsidRDefault="006A68D6" w:rsidP="000441CC">
      <w:pPr>
        <w:pStyle w:val="Heading4"/>
        <w:rPr>
          <w:lang w:val="en-US"/>
        </w:rPr>
      </w:pPr>
      <w:r w:rsidRPr="00CC6CA3">
        <w:rPr>
          <w:lang w:val="en-US"/>
        </w:rPr>
        <w:t>Case 1</w:t>
      </w:r>
      <w:r w:rsidR="005B2617" w:rsidRPr="00CC6CA3">
        <w:t>: misalignment fault in a pump</w:t>
      </w:r>
    </w:p>
    <w:p w14:paraId="28D9C771" w14:textId="77777777" w:rsidR="001835E0" w:rsidRPr="00CC6CA3" w:rsidRDefault="001835E0" w:rsidP="001835E0">
      <w:pPr>
        <w:spacing w:before="120"/>
      </w:pPr>
      <w:r w:rsidRPr="00CC6CA3">
        <w:t xml:space="preserve">The data used in this </w:t>
      </w:r>
      <w:r w:rsidRPr="00CC6CA3">
        <w:rPr>
          <w:rFonts w:hint="eastAsia"/>
        </w:rPr>
        <w:t>case</w:t>
      </w:r>
      <w:r w:rsidRPr="00CC6CA3">
        <w:t xml:space="preserve"> study was obtained from a multivariate condition monitoring system mounted on a high-pressure injection pump in the petrochemical plant. The dataset contained 15 continuous measurements, including the shaft speed, discharge pressure, discharge temperature, and bearing temperature. The measurements for the pump are listed in Table 3-1. </w:t>
      </w:r>
    </w:p>
    <w:p w14:paraId="1D22E5D3" w14:textId="45C510D1" w:rsidR="006A68D6" w:rsidRPr="00CC6CA3" w:rsidRDefault="001835E0" w:rsidP="001835E0">
      <w:pPr>
        <w:spacing w:before="120"/>
      </w:pPr>
      <w:r w:rsidRPr="00CC6CA3">
        <w:t xml:space="preserve">SAE was applied on the 15 measurements </w:t>
      </w:r>
      <w:r w:rsidRPr="00CC6CA3">
        <w:rPr>
          <w:rFonts w:hint="eastAsia"/>
        </w:rPr>
        <w:t>after</w:t>
      </w:r>
      <w:r w:rsidRPr="00CC6CA3">
        <w:t xml:space="preserve"> data pre-processing and standardisation. In this case study, the training data was selected for the period from 10</w:t>
      </w:r>
      <w:r w:rsidRPr="00CC6CA3">
        <w:rPr>
          <w:vertAlign w:val="superscript"/>
        </w:rPr>
        <w:t>th</w:t>
      </w:r>
      <w:r w:rsidRPr="00CC6CA3">
        <w:t xml:space="preserve"> Mar 2013 to 21</w:t>
      </w:r>
      <w:r w:rsidRPr="00CC6CA3">
        <w:rPr>
          <w:vertAlign w:val="superscript"/>
        </w:rPr>
        <w:t>st</w:t>
      </w:r>
      <w:r w:rsidRPr="00CC6CA3">
        <w:t xml:space="preserve"> Jun 2013, during which time there were no recorded pump faults. </w:t>
      </w:r>
      <w:bookmarkStart w:id="521" w:name="_Hlk70777197"/>
      <w:r w:rsidRPr="00CC6CA3">
        <w:t>In the SAE model, the number of nodes in the hidden layer was set as 10, and sparsity regularisation was 1</w:t>
      </w:r>
      <w:bookmarkEnd w:id="521"/>
      <w:r w:rsidRPr="00CC6CA3">
        <w:t>. This value is set according to the previous work presented in Sections 4.5.1 to 4.5.3, where this setting gave good results for incipient fault detection, with a high fault detection rate above 85% while producing few false alarms</w:t>
      </w:r>
      <w:r w:rsidR="006A68D6" w:rsidRPr="00CC6CA3">
        <w:t xml:space="preserve">. </w:t>
      </w:r>
    </w:p>
    <w:p w14:paraId="5ED79A94" w14:textId="3F09AE6C" w:rsidR="006A68D6" w:rsidRPr="00CC6CA3" w:rsidRDefault="006A68D6" w:rsidP="006A68D6">
      <w:pPr>
        <w:spacing w:before="120"/>
      </w:pPr>
      <w:r w:rsidRPr="00CC6CA3">
        <w:lastRenderedPageBreak/>
        <w:t xml:space="preserve">The system feature was calculated as </w:t>
      </w:r>
      <m:oMath>
        <m:r>
          <w:rPr>
            <w:rFonts w:ascii="Cambria Math" w:hAnsi="Cambria Math"/>
          </w:rPr>
          <m:t>h</m:t>
        </m:r>
      </m:oMath>
      <w:r w:rsidRPr="00CC6CA3">
        <w:t xml:space="preserve"> using Equation (4-13). The histogram of the system feature (presented </w:t>
      </w:r>
      <w:r w:rsidR="001835E0" w:rsidRPr="00CC6CA3">
        <w:t xml:space="preserve">as </w:t>
      </w:r>
      <w:proofErr w:type="gramStart"/>
      <w:r w:rsidR="001835E0" w:rsidRPr="00CC6CA3">
        <w:t>ln(</w:t>
      </w:r>
      <w:proofErr w:type="gramEnd"/>
      <w:r w:rsidR="001835E0" w:rsidRPr="00CC6CA3">
        <w:t>MD)</w:t>
      </w:r>
      <w:r w:rsidRPr="00CC6CA3">
        <w:t xml:space="preserve">) can be seen in </w:t>
      </w:r>
      <w:r w:rsidRPr="00CC6CA3">
        <w:fldChar w:fldCharType="begin"/>
      </w:r>
      <w:r w:rsidRPr="00CC6CA3">
        <w:instrText xml:space="preserve"> REF _Ref63712783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14</w:t>
      </w:r>
      <w:r w:rsidRPr="00CC6CA3">
        <w:fldChar w:fldCharType="end"/>
      </w:r>
      <w:r w:rsidRPr="00CC6CA3">
        <w:t xml:space="preserve"> (a); the results of fitting distributions of the system feature of the training data in </w:t>
      </w:r>
      <w:r w:rsidR="001835E0" w:rsidRPr="00CC6CA3">
        <w:t>C</w:t>
      </w:r>
      <w:r w:rsidRPr="00CC6CA3">
        <w:t xml:space="preserve">ase 1 can be </w:t>
      </w:r>
      <w:r w:rsidR="001835E0" w:rsidRPr="00CC6CA3">
        <w:rPr>
          <w:rFonts w:hint="eastAsia"/>
        </w:rPr>
        <w:t>seen</w:t>
      </w:r>
      <w:r w:rsidR="001835E0" w:rsidRPr="00CC6CA3">
        <w:t xml:space="preserve"> </w:t>
      </w:r>
      <w:r w:rsidRPr="00CC6CA3">
        <w:t xml:space="preserve">in </w:t>
      </w:r>
      <w:r w:rsidRPr="00CC6CA3">
        <w:fldChar w:fldCharType="begin"/>
      </w:r>
      <w:r w:rsidRPr="00CC6CA3">
        <w:instrText xml:space="preserve"> REF _Ref63712783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14</w:t>
      </w:r>
      <w:r w:rsidRPr="00CC6CA3">
        <w:fldChar w:fldCharType="end"/>
      </w:r>
      <w:r w:rsidRPr="00CC6CA3">
        <w:t xml:space="preserve"> (b) and (c).</w:t>
      </w:r>
    </w:p>
    <w:p w14:paraId="1052122F" w14:textId="2A6F34EF" w:rsidR="006A68D6" w:rsidRPr="00CC6CA3" w:rsidRDefault="00E94FE6" w:rsidP="006A68D6">
      <w:pPr>
        <w:keepNext/>
        <w:spacing w:before="120"/>
        <w:jc w:val="center"/>
      </w:pPr>
      <w:r w:rsidRPr="00CC6CA3">
        <w:object w:dxaOrig="8532" w:dyaOrig="11521" w14:anchorId="4727FBFE">
          <v:shape id="_x0000_i1095" type="#_x0000_t75" style="width:312pt;height:421pt" o:ole="">
            <v:imagedata r:id="rId205" o:title=""/>
          </v:shape>
          <o:OLEObject Type="Embed" ProgID="Visio.Drawing.15" ShapeID="_x0000_i1095" DrawAspect="Content" ObjectID="_1692500374" r:id="rId206"/>
        </w:object>
      </w:r>
    </w:p>
    <w:p w14:paraId="37905690" w14:textId="40AC46C0" w:rsidR="006A68D6" w:rsidRPr="00CC6CA3" w:rsidRDefault="006A68D6" w:rsidP="006A68D6">
      <w:pPr>
        <w:pStyle w:val="Caption"/>
        <w:jc w:val="center"/>
        <w:rPr>
          <w:lang w:val="en-US"/>
        </w:rPr>
      </w:pPr>
      <w:bookmarkStart w:id="522" w:name="_Ref63712783"/>
      <w:bookmarkStart w:id="523" w:name="_Toc8155344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14</w:t>
      </w:r>
      <w:r w:rsidR="00D62691" w:rsidRPr="00CC6CA3">
        <w:rPr>
          <w:noProof/>
        </w:rPr>
        <w:fldChar w:fldCharType="end"/>
      </w:r>
      <w:bookmarkEnd w:id="522"/>
      <w:r w:rsidRPr="00CC6CA3">
        <w:t xml:space="preserve"> Distribution fitting of system feature using training data of </w:t>
      </w:r>
      <w:r w:rsidR="0000192A" w:rsidRPr="00CC6CA3">
        <w:t>C</w:t>
      </w:r>
      <w:r w:rsidRPr="00CC6CA3">
        <w:t>ase 1, (a) histogram (b) probability density functions (c) cumulative distribution function.</w:t>
      </w:r>
      <w:bookmarkEnd w:id="523"/>
    </w:p>
    <w:p w14:paraId="3755A2B6" w14:textId="5ECE3438" w:rsidR="006A68D6" w:rsidRPr="00CC6CA3" w:rsidRDefault="001835E0" w:rsidP="006A68D6">
      <w:pPr>
        <w:spacing w:before="120"/>
      </w:pPr>
      <w:r w:rsidRPr="00CC6CA3">
        <w:t>The four candidate distributions were: generalised extreme value, lognormal, normal (Gaussian) and kernel</w:t>
      </w:r>
      <w:r w:rsidR="006A68D6" w:rsidRPr="00CC6CA3">
        <w:t xml:space="preserve">. In this chapter, </w:t>
      </w:r>
      <w:bookmarkStart w:id="524" w:name="OLE_LINK11"/>
      <w:r w:rsidR="006A68D6" w:rsidRPr="00CC6CA3">
        <w:t xml:space="preserve">the K-S test </w:t>
      </w:r>
      <w:bookmarkEnd w:id="524"/>
      <w:r w:rsidR="006A68D6" w:rsidRPr="00CC6CA3">
        <w:fldChar w:fldCharType="begin"/>
      </w:r>
      <w:r w:rsidR="007D1BCC" w:rsidRPr="00CC6CA3">
        <w:instrText xml:space="preserve"> ADDIN ZOTERO_ITEM CSL_CITATION {"citationID":"WOEA0DEY","properties":{"formattedCitation":"[150]","plainCitation":"[150]","noteIndex":0},"citationItems":[{"id":56,"uris":["http://zotero.org/users/3051968/items/TTN34LXA"],"uri":["http://zotero.org/users/3051968/items/TTN34LXA"],"itemData":{"id":56,"type":"book","abstract":"This book is a result of teaching stochastic processes to junior and senior undergr- uates and beginning graduate students over many years. In teaching such a course, we have realized a need to furnish students with material that gives a mathematical presentation while at the same time providing proper foundations to allow students to build an intuitive feel for probabilistic reasoning. We have tried to maintain a b- ance in presenting advanced but understandable material that sparks an interest and challenges students, without the discouragement that often comes as a consequence of not understanding the material. Our intent in this text is to develop stochastic p- cesses in an elementary but mathematically precise style and to provide suf?cient examples and homework exercises that will permit students to understand the range of application areas for stochastic processes. We also practice active learning in the classroom. In other words, we believe that the traditional practice of lecturing continuously for 50 to 75 minutes is not a very effective method for teaching. Students should somehow engage in the subject m- ter during the teaching session. One effective method for active learning is, after at most 20 minutes of lecture, to assign a small example problem for the students to work and one important tool that the instructor can utilize is the computer. So- times we are fortunate to lecture students in a classroom containing computers with a spreadsheet program, usually Microsoft’s Excel.","ISBN":"978-3-642-05158-6","language":"en","note":"Google-Books-ID: jSVLedtLCnYC","number-of-pages":"400","publisher":"Springer Science &amp; Business Media","source":"Google Books","title":"Applied Probability and Stochastic Processes","author":[{"family":"Feldman","given":"Richard M."},{"family":"Valdez-Flores","given":"Ciriaco"}],"issued":{"date-parts":[["2009",11,27]]}}}],"schema":"https://github.com/citation-style-language/schema/raw/master/csl-citation.json"} </w:instrText>
      </w:r>
      <w:r w:rsidR="006A68D6" w:rsidRPr="00CC6CA3">
        <w:fldChar w:fldCharType="separate"/>
      </w:r>
      <w:r w:rsidR="007D1BCC" w:rsidRPr="00CC6CA3">
        <w:rPr>
          <w:rFonts w:cs="Times New Roman"/>
        </w:rPr>
        <w:t>[150]</w:t>
      </w:r>
      <w:r w:rsidR="006A68D6" w:rsidRPr="00CC6CA3">
        <w:fldChar w:fldCharType="end"/>
      </w:r>
      <w:r w:rsidR="006A68D6" w:rsidRPr="00CC6CA3">
        <w:t xml:space="preserve"> </w:t>
      </w:r>
      <w:r w:rsidRPr="00CC6CA3">
        <w:t>was applied to determine if one or more of the hypothesised distribution fitted the data set, because this test can be used for small as well as large sample sizes. The K-S test compared the sample’s empirical CDF (</w:t>
      </w:r>
      <m:oMath>
        <m:sSup>
          <m:sSupPr>
            <m:ctrlPr>
              <w:rPr>
                <w:rFonts w:ascii="Cambria Math" w:hAnsi="Cambria Math"/>
              </w:rPr>
            </m:ctrlPr>
          </m:sSupPr>
          <m:e>
            <m:r>
              <w:rPr>
                <w:rFonts w:ascii="Cambria Math" w:hAnsi="Cambria Math"/>
              </w:rPr>
              <m:t>F</m:t>
            </m:r>
          </m:e>
          <m:sup>
            <m:r>
              <m:rPr>
                <m:sty m:val="p"/>
              </m:rPr>
              <w:rPr>
                <w:rFonts w:ascii="Cambria Math" w:hAnsi="Cambria Math"/>
              </w:rPr>
              <m:t>'</m:t>
            </m:r>
          </m:sup>
        </m:sSup>
        <m:r>
          <m:rPr>
            <m:sty m:val="p"/>
          </m:rPr>
          <w:rPr>
            <w:rFonts w:ascii="Cambria Math" w:hAnsi="Cambria Math"/>
          </w:rPr>
          <m:t>(</m:t>
        </m:r>
        <m:r>
          <w:rPr>
            <w:rFonts w:ascii="Cambria Math" w:hAnsi="Cambria Math"/>
          </w:rPr>
          <m:t>t</m:t>
        </m:r>
        <m:r>
          <m:rPr>
            <m:sty m:val="p"/>
          </m:rPr>
          <w:rPr>
            <w:rFonts w:ascii="Cambria Math" w:hAnsi="Cambria Math"/>
          </w:rPr>
          <m:t>)</m:t>
        </m:r>
      </m:oMath>
      <w:r w:rsidRPr="00CC6CA3">
        <w:t xml:space="preserve">) with the CDF of a selected distribution </w:t>
      </w:r>
      <m:oMath>
        <m:r>
          <w:rPr>
            <w:rFonts w:ascii="Cambria Math" w:hAnsi="Cambria Math"/>
          </w:rPr>
          <m:t>F</m:t>
        </m:r>
        <m:r>
          <m:rPr>
            <m:sty m:val="p"/>
          </m:rPr>
          <w:rPr>
            <w:rFonts w:ascii="Cambria Math" w:hAnsi="Cambria Math"/>
          </w:rPr>
          <m:t>(</m:t>
        </m:r>
        <m:r>
          <w:rPr>
            <w:rFonts w:ascii="Cambria Math" w:hAnsi="Cambria Math"/>
          </w:rPr>
          <m:t>t</m:t>
        </m:r>
        <m:r>
          <m:rPr>
            <m:sty m:val="p"/>
          </m:rPr>
          <w:rPr>
            <w:rFonts w:ascii="Cambria Math" w:hAnsi="Cambria Math"/>
          </w:rPr>
          <m:t>)</m:t>
        </m:r>
      </m:oMath>
      <w:r w:rsidRPr="00CC6CA3">
        <w:t xml:space="preserve">. If </w:t>
      </w:r>
      <m:oMath>
        <m:sSup>
          <m:sSupPr>
            <m:ctrlPr>
              <w:rPr>
                <w:rFonts w:ascii="Cambria Math" w:hAnsi="Cambria Math"/>
              </w:rPr>
            </m:ctrlPr>
          </m:sSupPr>
          <m:e>
            <m:r>
              <w:rPr>
                <w:rFonts w:ascii="Cambria Math" w:hAnsi="Cambria Math"/>
              </w:rPr>
              <m:t>F</m:t>
            </m:r>
          </m:e>
          <m:sup>
            <m:r>
              <m:rPr>
                <m:sty m:val="p"/>
              </m:rPr>
              <w:rPr>
                <w:rFonts w:ascii="Cambria Math" w:hAnsi="Cambria Math"/>
              </w:rPr>
              <m:t>'</m:t>
            </m:r>
          </m:sup>
        </m:sSup>
        <m:r>
          <m:rPr>
            <m:sty m:val="p"/>
          </m:rPr>
          <w:rPr>
            <w:rFonts w:ascii="Cambria Math" w:hAnsi="Cambria Math"/>
          </w:rPr>
          <m:t>(</m:t>
        </m:r>
        <m:r>
          <w:rPr>
            <w:rFonts w:ascii="Cambria Math" w:hAnsi="Cambria Math"/>
          </w:rPr>
          <m:t>t</m:t>
        </m:r>
        <m:r>
          <m:rPr>
            <m:sty m:val="p"/>
          </m:rPr>
          <w:rPr>
            <w:rFonts w:ascii="Cambria Math" w:hAnsi="Cambria Math"/>
          </w:rPr>
          <m:t>)</m:t>
        </m:r>
      </m:oMath>
      <w:r w:rsidRPr="00CC6CA3">
        <w:t xml:space="preserve"> deviated too much from </w:t>
      </w:r>
      <m:oMath>
        <m:r>
          <w:rPr>
            <w:rFonts w:ascii="Cambria Math" w:hAnsi="Cambria Math"/>
          </w:rPr>
          <m:t>F</m:t>
        </m:r>
        <m:r>
          <m:rPr>
            <m:sty m:val="p"/>
          </m:rPr>
          <w:rPr>
            <w:rFonts w:ascii="Cambria Math" w:hAnsi="Cambria Math"/>
          </w:rPr>
          <m:t>(</m:t>
        </m:r>
        <m:r>
          <w:rPr>
            <w:rFonts w:ascii="Cambria Math" w:hAnsi="Cambria Math"/>
          </w:rPr>
          <m:t>t</m:t>
        </m:r>
        <m:r>
          <m:rPr>
            <m:sty m:val="p"/>
          </m:rPr>
          <w:rPr>
            <w:rFonts w:ascii="Cambria Math" w:hAnsi="Cambria Math"/>
          </w:rPr>
          <m:t>)</m:t>
        </m:r>
      </m:oMath>
      <w:r w:rsidRPr="00CC6CA3">
        <w:t xml:space="preserve">, </w:t>
      </w:r>
      <w:r w:rsidRPr="00CC6CA3">
        <w:lastRenderedPageBreak/>
        <w:t>the null hypothesis would be rejected. The null hypothesis (H</w:t>
      </w:r>
      <w:r w:rsidRPr="00CC6CA3">
        <w:rPr>
          <w:vertAlign w:val="subscript"/>
        </w:rPr>
        <w:t>0</w:t>
      </w:r>
      <w:r w:rsidRPr="00CC6CA3">
        <w:t>) was that the selected distribution fitted the sample data. The alternate hypothesis (H</w:t>
      </w:r>
      <w:r w:rsidRPr="00CC6CA3">
        <w:rPr>
          <w:vertAlign w:val="subscript"/>
        </w:rPr>
        <w:t>1</w:t>
      </w:r>
      <w:r w:rsidRPr="00CC6CA3">
        <w:t xml:space="preserve">) was that the proposed distribution did not fit the measured results. The K-S test was then used to test the null hypothesis. The output of the K-S test is the p value, and larger the p value the better the fit and the more likely the null hypothesis is accepted. The results of the K-S test for the four distributions are listed in </w:t>
      </w:r>
      <w:r w:rsidR="006A68D6" w:rsidRPr="00CC6CA3">
        <w:fldChar w:fldCharType="begin"/>
      </w:r>
      <w:r w:rsidR="006A68D6" w:rsidRPr="00CC6CA3">
        <w:instrText xml:space="preserve"> REF _Ref63713248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7</w:t>
      </w:r>
      <w:r w:rsidR="006A68D6" w:rsidRPr="00CC6CA3">
        <w:fldChar w:fldCharType="end"/>
      </w:r>
      <w:r w:rsidRPr="00CC6CA3">
        <w:t>, and the null hypothesis accepted at the 5% level for all four distributions (p &gt; 0.05)</w:t>
      </w:r>
      <w:r w:rsidR="006A68D6" w:rsidRPr="00CC6CA3">
        <w:t>.</w:t>
      </w:r>
      <w:r w:rsidRPr="00CC6CA3">
        <w:t xml:space="preserve"> </w:t>
      </w:r>
    </w:p>
    <w:p w14:paraId="6B4FF622" w14:textId="756385E2" w:rsidR="006A68D6" w:rsidRPr="00CC6CA3" w:rsidRDefault="006A68D6" w:rsidP="006A68D6">
      <w:pPr>
        <w:pStyle w:val="Caption"/>
        <w:keepNext/>
      </w:pPr>
      <w:bookmarkStart w:id="525" w:name="_Ref63713248"/>
      <w:bookmarkStart w:id="526" w:name="_Toc81553484"/>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7</w:t>
      </w:r>
      <w:r w:rsidR="00D62691" w:rsidRPr="00CC6CA3">
        <w:rPr>
          <w:noProof/>
        </w:rPr>
        <w:fldChar w:fldCharType="end"/>
      </w:r>
      <w:bookmarkEnd w:id="525"/>
      <w:r w:rsidRPr="00CC6CA3">
        <w:t xml:space="preserve"> Results of the K-S test for case 1</w:t>
      </w:r>
      <w:bookmarkEnd w:id="526"/>
    </w:p>
    <w:tbl>
      <w:tblPr>
        <w:tblStyle w:val="PlainTable2"/>
        <w:tblW w:w="0" w:type="auto"/>
        <w:jc w:val="center"/>
        <w:tblLook w:val="04A0" w:firstRow="1" w:lastRow="0" w:firstColumn="1" w:lastColumn="0" w:noHBand="0" w:noVBand="1"/>
      </w:tblPr>
      <w:tblGrid>
        <w:gridCol w:w="2493"/>
        <w:gridCol w:w="665"/>
        <w:gridCol w:w="766"/>
      </w:tblGrid>
      <w:tr w:rsidR="00CC6CA3" w:rsidRPr="00CC6CA3" w14:paraId="378F54BC" w14:textId="77777777" w:rsidTr="00F632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5A26445" w14:textId="77777777" w:rsidR="006A68D6" w:rsidRPr="00CC6CA3" w:rsidRDefault="006A68D6" w:rsidP="00F632C0">
            <w:pPr>
              <w:pStyle w:val="Body"/>
              <w:spacing w:after="0"/>
              <w:rPr>
                <w:rFonts w:cs="Times New Roman"/>
                <w:sz w:val="20"/>
                <w:szCs w:val="20"/>
              </w:rPr>
            </w:pPr>
            <w:r w:rsidRPr="00CC6CA3">
              <w:rPr>
                <w:rFonts w:cs="Times New Roman"/>
                <w:sz w:val="20"/>
                <w:szCs w:val="20"/>
              </w:rPr>
              <w:t>Distribution</w:t>
            </w:r>
          </w:p>
        </w:tc>
        <w:tc>
          <w:tcPr>
            <w:tcW w:w="665" w:type="dxa"/>
          </w:tcPr>
          <w:p w14:paraId="71ED96E3" w14:textId="77777777" w:rsidR="006A68D6" w:rsidRPr="00CC6CA3" w:rsidRDefault="006A68D6" w:rsidP="00F632C0">
            <w:pPr>
              <w:pStyle w:val="Body"/>
              <w:spacing w:after="0"/>
              <w:cnfStyle w:val="100000000000" w:firstRow="1" w:lastRow="0" w:firstColumn="0" w:lastColumn="0" w:oddVBand="0" w:evenVBand="0" w:oddHBand="0" w:evenHBand="0" w:firstRowFirstColumn="0" w:firstRowLastColumn="0" w:lastRowFirstColumn="0" w:lastRowLastColumn="0"/>
              <w:rPr>
                <w:rFonts w:cs="Times New Roman"/>
                <w:sz w:val="20"/>
                <w:szCs w:val="20"/>
              </w:rPr>
            </w:pPr>
            <m:oMathPara>
              <m:oMath>
                <m:r>
                  <m:rPr>
                    <m:sty m:val="bi"/>
                  </m:rPr>
                  <w:rPr>
                    <w:rFonts w:ascii="Cambria Math" w:hAnsi="Cambria Math" w:cs="Times New Roman"/>
                    <w:sz w:val="20"/>
                    <w:szCs w:val="20"/>
                  </w:rPr>
                  <m:t>H</m:t>
                </m:r>
              </m:oMath>
            </m:oMathPara>
          </w:p>
        </w:tc>
        <w:tc>
          <w:tcPr>
            <w:tcW w:w="766" w:type="dxa"/>
          </w:tcPr>
          <w:p w14:paraId="42C26AFD" w14:textId="77777777" w:rsidR="006A68D6" w:rsidRPr="00CC6CA3" w:rsidRDefault="006A68D6" w:rsidP="00F632C0">
            <w:pPr>
              <w:pStyle w:val="Body"/>
              <w:spacing w:after="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p</w:t>
            </w:r>
          </w:p>
        </w:tc>
      </w:tr>
      <w:tr w:rsidR="00CC6CA3" w:rsidRPr="00CC6CA3" w14:paraId="6704C23F"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0B28E8F" w14:textId="77777777" w:rsidR="006A68D6" w:rsidRPr="00CC6CA3" w:rsidRDefault="006A68D6" w:rsidP="00F632C0">
            <w:pPr>
              <w:pStyle w:val="Body"/>
              <w:spacing w:after="0"/>
              <w:rPr>
                <w:rFonts w:cs="Times New Roman"/>
                <w:sz w:val="20"/>
                <w:szCs w:val="20"/>
              </w:rPr>
            </w:pPr>
            <w:r w:rsidRPr="00CC6CA3">
              <w:rPr>
                <w:rFonts w:cs="Times New Roman"/>
                <w:sz w:val="20"/>
                <w:szCs w:val="20"/>
              </w:rPr>
              <w:t>Generalized extreme value</w:t>
            </w:r>
          </w:p>
        </w:tc>
        <w:tc>
          <w:tcPr>
            <w:tcW w:w="665" w:type="dxa"/>
          </w:tcPr>
          <w:p w14:paraId="2D13CAC2"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6B5640E7"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0.8916</w:t>
            </w:r>
          </w:p>
        </w:tc>
      </w:tr>
      <w:tr w:rsidR="00CC6CA3" w:rsidRPr="00CC6CA3" w14:paraId="4D9F79F1"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C9CCD1E" w14:textId="77777777" w:rsidR="006A68D6" w:rsidRPr="00CC6CA3" w:rsidRDefault="006A68D6" w:rsidP="00F632C0">
            <w:pPr>
              <w:pStyle w:val="Body"/>
              <w:spacing w:after="0"/>
              <w:rPr>
                <w:rFonts w:cs="Times New Roman"/>
                <w:sz w:val="20"/>
                <w:szCs w:val="20"/>
              </w:rPr>
            </w:pPr>
            <w:r w:rsidRPr="00CC6CA3">
              <w:rPr>
                <w:rFonts w:cs="Times New Roman"/>
                <w:sz w:val="20"/>
                <w:szCs w:val="20"/>
              </w:rPr>
              <w:t>Lognormal</w:t>
            </w:r>
          </w:p>
        </w:tc>
        <w:tc>
          <w:tcPr>
            <w:tcW w:w="665" w:type="dxa"/>
          </w:tcPr>
          <w:p w14:paraId="6675D6C1"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51BCA8AB"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0.0524</w:t>
            </w:r>
          </w:p>
        </w:tc>
      </w:tr>
      <w:tr w:rsidR="00CC6CA3" w:rsidRPr="00CC6CA3" w14:paraId="31631DCB"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A15F9E0" w14:textId="77777777" w:rsidR="006A68D6" w:rsidRPr="00CC6CA3" w:rsidRDefault="006A68D6" w:rsidP="00F632C0">
            <w:pPr>
              <w:pStyle w:val="Body"/>
              <w:spacing w:after="0"/>
              <w:rPr>
                <w:rFonts w:cs="Times New Roman"/>
                <w:sz w:val="20"/>
                <w:szCs w:val="20"/>
              </w:rPr>
            </w:pPr>
            <w:r w:rsidRPr="00CC6CA3">
              <w:rPr>
                <w:rFonts w:cs="Times New Roman"/>
                <w:sz w:val="20"/>
                <w:szCs w:val="20"/>
              </w:rPr>
              <w:t>Normal</w:t>
            </w:r>
          </w:p>
        </w:tc>
        <w:tc>
          <w:tcPr>
            <w:tcW w:w="665" w:type="dxa"/>
          </w:tcPr>
          <w:p w14:paraId="381FF2B9"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3CAF6FDC"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0.3773</w:t>
            </w:r>
          </w:p>
        </w:tc>
      </w:tr>
      <w:tr w:rsidR="00CC6CA3" w:rsidRPr="00CC6CA3" w14:paraId="2F8189A8"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27ACA8A" w14:textId="77777777" w:rsidR="006A68D6" w:rsidRPr="00CC6CA3" w:rsidRDefault="006A68D6" w:rsidP="00F632C0">
            <w:pPr>
              <w:pStyle w:val="Body"/>
              <w:spacing w:after="0"/>
              <w:rPr>
                <w:rFonts w:cs="Times New Roman"/>
                <w:sz w:val="20"/>
                <w:szCs w:val="20"/>
              </w:rPr>
            </w:pPr>
            <w:r w:rsidRPr="00CC6CA3">
              <w:rPr>
                <w:rFonts w:cs="Times New Roman"/>
                <w:sz w:val="20"/>
                <w:szCs w:val="20"/>
              </w:rPr>
              <w:t>Kernel</w:t>
            </w:r>
          </w:p>
        </w:tc>
        <w:tc>
          <w:tcPr>
            <w:tcW w:w="665" w:type="dxa"/>
          </w:tcPr>
          <w:p w14:paraId="7BB8E925"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7FD5288C"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0.9999</w:t>
            </w:r>
          </w:p>
        </w:tc>
      </w:tr>
    </w:tbl>
    <w:p w14:paraId="178AC32E" w14:textId="7E293C32" w:rsidR="006A68D6" w:rsidRPr="00CC6CA3" w:rsidRDefault="001835E0" w:rsidP="006A68D6">
      <w:pPr>
        <w:spacing w:before="120"/>
      </w:pPr>
      <w:r w:rsidRPr="00CC6CA3">
        <w:t xml:space="preserve">However, as can be seen in the table, the Kernel distribution had the highest </w:t>
      </w:r>
      <m:oMath>
        <m:r>
          <w:rPr>
            <w:rFonts w:ascii="Cambria Math" w:hAnsi="Cambria Math"/>
          </w:rPr>
          <m:t>p</m:t>
        </m:r>
      </m:oMath>
      <w:r w:rsidRPr="00CC6CA3">
        <w:t xml:space="preserve"> value among the four distributions and hence, the Kernel distribution was selected</w:t>
      </w:r>
      <w:r w:rsidR="006A68D6" w:rsidRPr="00CC6CA3">
        <w:t xml:space="preserve">. </w:t>
      </w:r>
      <w:r w:rsidRPr="00CC6CA3">
        <w:t>By the maximum likelihood estimation, the selected distribution had a bandwidth of 0.0659 and was a normal kernel type.</w:t>
      </w:r>
    </w:p>
    <w:p w14:paraId="416E8AB0" w14:textId="71F0006A" w:rsidR="006A68D6" w:rsidRPr="00CC6CA3" w:rsidRDefault="006A68D6" w:rsidP="006A68D6">
      <w:pPr>
        <w:spacing w:before="120"/>
      </w:pPr>
      <w:r w:rsidRPr="00CC6CA3">
        <w:t>After the distribution was selected, the fault detection threshold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Pr="00CC6CA3">
        <w:t xml:space="preserve">) was calculated based on Equation (4-14) with confidence level </w:t>
      </w:r>
      <m:oMath>
        <m:r>
          <w:rPr>
            <w:rFonts w:ascii="Cambria Math" w:hAnsi="Cambria Math"/>
          </w:rPr>
          <m:t>α</m:t>
        </m:r>
        <m:r>
          <m:rPr>
            <m:sty m:val="p"/>
          </m:rPr>
          <w:rPr>
            <w:rFonts w:ascii="Cambria Math" w:hAnsi="Cambria Math"/>
          </w:rPr>
          <m:t>=0.99</m:t>
        </m:r>
      </m:oMath>
      <w:r w:rsidRPr="00CC6CA3">
        <w:t xml:space="preserve"> </w:t>
      </w:r>
      <w:r w:rsidRPr="00CC6CA3">
        <w:fldChar w:fldCharType="begin"/>
      </w:r>
      <w:r w:rsidR="007D1BCC" w:rsidRPr="00CC6CA3">
        <w:instrText xml:space="preserve"> ADDIN ZOTERO_ITEM CSL_CITATION {"citationID":"IkupMBJg","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Pr="00CC6CA3">
        <w:fldChar w:fldCharType="separate"/>
      </w:r>
      <w:r w:rsidR="007D1BCC" w:rsidRPr="00CC6CA3">
        <w:rPr>
          <w:rFonts w:cs="Times New Roman"/>
        </w:rPr>
        <w:t>[105]</w:t>
      </w:r>
      <w:r w:rsidRPr="00CC6CA3">
        <w:fldChar w:fldCharType="end"/>
      </w:r>
      <w:r w:rsidRPr="00CC6CA3">
        <w:t xml:space="preserve">. </w:t>
      </w:r>
      <w:r w:rsidR="001835E0" w:rsidRPr="00CC6CA3">
        <w:t xml:space="preserve">In other words, 99% of the training data was viewed as healthy data, and 1% was anomalous data. In this case, the calculated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001835E0" w:rsidRPr="00CC6CA3">
        <w:t xml:space="preserve"> was equal to 7.5913, with ln value 2.0270</w:t>
      </w:r>
      <w:r w:rsidRPr="00CC6CA3">
        <w:t>.</w:t>
      </w:r>
    </w:p>
    <w:p w14:paraId="48CB46A6" w14:textId="344BF335" w:rsidR="006A68D6" w:rsidRPr="00CC6CA3" w:rsidRDefault="009D5F25" w:rsidP="006A68D6">
      <w:pPr>
        <w:keepNext/>
        <w:spacing w:before="120"/>
        <w:jc w:val="center"/>
      </w:pPr>
      <w:r w:rsidRPr="00CC6CA3">
        <w:rPr>
          <w:noProof/>
        </w:rPr>
        <w:drawing>
          <wp:inline distT="0" distB="0" distL="0" distR="0" wp14:anchorId="69A0670E" wp14:editId="5E56332F">
            <wp:extent cx="4950000" cy="198000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950000" cy="1980000"/>
                    </a:xfrm>
                    <a:prstGeom prst="rect">
                      <a:avLst/>
                    </a:prstGeom>
                    <a:noFill/>
                  </pic:spPr>
                </pic:pic>
              </a:graphicData>
            </a:graphic>
          </wp:inline>
        </w:drawing>
      </w:r>
    </w:p>
    <w:p w14:paraId="3962176F" w14:textId="3D30D0C5" w:rsidR="006A68D6" w:rsidRPr="00CC6CA3" w:rsidRDefault="006A68D6" w:rsidP="006A68D6">
      <w:pPr>
        <w:pStyle w:val="Caption"/>
        <w:jc w:val="center"/>
      </w:pPr>
      <w:bookmarkStart w:id="527" w:name="_Toc8155344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15</w:t>
      </w:r>
      <w:r w:rsidR="00D62691" w:rsidRPr="00CC6CA3">
        <w:rPr>
          <w:noProof/>
        </w:rPr>
        <w:fldChar w:fldCharType="end"/>
      </w:r>
      <w:r w:rsidRPr="00CC6CA3">
        <w:t xml:space="preserve"> Offline </w:t>
      </w:r>
      <w:r w:rsidR="00CE4E09" w:rsidRPr="00CC6CA3">
        <w:rPr>
          <w:szCs w:val="20"/>
        </w:rPr>
        <w:t>training process for SAE fault detection model and MD threshold calculation. (</w:t>
      </w:r>
      <w:proofErr w:type="gramStart"/>
      <w:r w:rsidR="00CE4E09" w:rsidRPr="00CC6CA3">
        <w:rPr>
          <w:szCs w:val="20"/>
        </w:rPr>
        <w:t>blue</w:t>
      </w:r>
      <w:proofErr w:type="gramEnd"/>
      <w:r w:rsidR="00CE4E09" w:rsidRPr="00CC6CA3">
        <w:rPr>
          <w:szCs w:val="20"/>
        </w:rPr>
        <w:t xml:space="preserve"> points - healthy data; red points - anomalies; magenta line - reference MD </w:t>
      </w:r>
      <w:r w:rsidRPr="00CC6CA3">
        <w:t>thresholds)</w:t>
      </w:r>
      <w:bookmarkEnd w:id="527"/>
    </w:p>
    <w:p w14:paraId="0329E1F5" w14:textId="56CB4D51" w:rsidR="006A68D6" w:rsidRPr="00CC6CA3" w:rsidRDefault="00022184" w:rsidP="006A68D6">
      <w:pPr>
        <w:spacing w:before="120"/>
      </w:pPr>
      <w:r w:rsidRPr="00CC6CA3">
        <w:lastRenderedPageBreak/>
        <w:t>The online monitoring data was from 10</w:t>
      </w:r>
      <w:r w:rsidRPr="00CC6CA3">
        <w:rPr>
          <w:vertAlign w:val="superscript"/>
        </w:rPr>
        <w:t>th</w:t>
      </w:r>
      <w:r w:rsidRPr="00CC6CA3">
        <w:t xml:space="preserve"> Mar to 21</w:t>
      </w:r>
      <w:r w:rsidRPr="00CC6CA3">
        <w:rPr>
          <w:vertAlign w:val="superscript"/>
        </w:rPr>
        <w:t>st</w:t>
      </w:r>
      <w:r w:rsidRPr="00CC6CA3">
        <w:t xml:space="preserve"> Jun 2013. The system feature was calculated in real-time and was predicted via a third-order polynomial regression </w:t>
      </w:r>
      <w:r w:rsidR="006A68D6" w:rsidRPr="00CC6CA3">
        <w:t>(</w:t>
      </w: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1</m:t>
            </m:r>
          </m:sub>
        </m:sSub>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2</m:t>
            </m:r>
          </m:sub>
        </m:sSub>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3</m:t>
            </m:r>
          </m:sub>
        </m:sSub>
        <m:sSup>
          <m:sSupPr>
            <m:ctrlPr>
              <w:rPr>
                <w:rFonts w:ascii="Cambria Math" w:hAnsi="Cambria Math"/>
              </w:rPr>
            </m:ctrlPr>
          </m:sSupPr>
          <m:e>
            <m:r>
              <w:rPr>
                <w:rFonts w:ascii="Cambria Math" w:hAnsi="Cambria Math"/>
              </w:rPr>
              <m:t>x</m:t>
            </m:r>
          </m:e>
          <m:sup>
            <m:r>
              <m:rPr>
                <m:sty m:val="p"/>
              </m:rPr>
              <w:rPr>
                <w:rFonts w:ascii="Cambria Math" w:hAnsi="Cambria Math"/>
              </w:rPr>
              <m:t>3</m:t>
            </m:r>
          </m:sup>
        </m:sSup>
      </m:oMath>
      <w:r w:rsidR="006A68D6" w:rsidRPr="00CC6CA3">
        <w:t xml:space="preserve">). </w:t>
      </w:r>
      <w:r w:rsidRPr="00CC6CA3">
        <w:t>Again, fifty points backwards were used as training data to predict four points forward. RMSE was</w:t>
      </w:r>
      <w:r w:rsidRPr="00CC6CA3">
        <w:rPr>
          <w:szCs w:val="20"/>
        </w:rPr>
        <w:t xml:space="preserve"> calculated to assess the accuracy of the predictions. The true values and predicted results (presented as </w:t>
      </w:r>
      <w:proofErr w:type="gramStart"/>
      <w:r w:rsidRPr="00CC6CA3">
        <w:rPr>
          <w:szCs w:val="20"/>
        </w:rPr>
        <w:t>ln(</w:t>
      </w:r>
      <w:proofErr w:type="gramEnd"/>
      <w:r w:rsidRPr="00CC6CA3">
        <w:rPr>
          <w:szCs w:val="20"/>
        </w:rPr>
        <w:t>MD)) can be seen in</w:t>
      </w:r>
      <w:r w:rsidR="006A68D6" w:rsidRPr="00CC6CA3">
        <w:rPr>
          <w:szCs w:val="20"/>
        </w:rPr>
        <w:t xml:space="preserve"> </w:t>
      </w:r>
      <w:r w:rsidR="006A68D6" w:rsidRPr="00CC6CA3">
        <w:rPr>
          <w:szCs w:val="20"/>
        </w:rPr>
        <w:fldChar w:fldCharType="begin"/>
      </w:r>
      <w:r w:rsidR="006A68D6" w:rsidRPr="00CC6CA3">
        <w:rPr>
          <w:szCs w:val="20"/>
        </w:rPr>
        <w:instrText xml:space="preserve"> REF _Ref63717964 \h </w:instrText>
      </w:r>
      <w:r w:rsidR="006A68D6" w:rsidRPr="00CC6CA3">
        <w:rPr>
          <w:szCs w:val="20"/>
        </w:rPr>
      </w:r>
      <w:r w:rsidR="006A68D6" w:rsidRPr="00CC6CA3">
        <w:rPr>
          <w:szCs w:val="20"/>
        </w:rPr>
        <w:fldChar w:fldCharType="separate"/>
      </w:r>
      <w:r w:rsidR="001906D9" w:rsidRPr="00CC6CA3">
        <w:t xml:space="preserve">Figure </w:t>
      </w:r>
      <w:r w:rsidR="001906D9" w:rsidRPr="00CC6CA3">
        <w:rPr>
          <w:noProof/>
        </w:rPr>
        <w:t>5</w:t>
      </w:r>
      <w:r w:rsidR="001906D9" w:rsidRPr="00CC6CA3">
        <w:t>.</w:t>
      </w:r>
      <w:r w:rsidR="001906D9" w:rsidRPr="00CC6CA3">
        <w:rPr>
          <w:noProof/>
        </w:rPr>
        <w:t>16</w:t>
      </w:r>
      <w:r w:rsidR="006A68D6" w:rsidRPr="00CC6CA3">
        <w:rPr>
          <w:szCs w:val="20"/>
        </w:rPr>
        <w:fldChar w:fldCharType="end"/>
      </w:r>
      <w:r w:rsidR="006A68D6" w:rsidRPr="00CC6CA3">
        <w:rPr>
          <w:szCs w:val="20"/>
        </w:rPr>
        <w:t xml:space="preserve">. </w:t>
      </w:r>
    </w:p>
    <w:p w14:paraId="78CE254E" w14:textId="307EE732" w:rsidR="006A68D6" w:rsidRPr="00CC6CA3" w:rsidRDefault="00022184" w:rsidP="006A68D6">
      <w:pPr>
        <w:keepNext/>
        <w:spacing w:before="120"/>
        <w:jc w:val="center"/>
      </w:pPr>
      <w:r w:rsidRPr="00CC6CA3">
        <w:rPr>
          <w:noProof/>
        </w:rPr>
        <w:drawing>
          <wp:inline distT="0" distB="0" distL="0" distR="0" wp14:anchorId="2BE165B2" wp14:editId="5F24622C">
            <wp:extent cx="4762788" cy="198000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62788" cy="1980000"/>
                    </a:xfrm>
                    <a:prstGeom prst="rect">
                      <a:avLst/>
                    </a:prstGeom>
                    <a:noFill/>
                  </pic:spPr>
                </pic:pic>
              </a:graphicData>
            </a:graphic>
          </wp:inline>
        </w:drawing>
      </w:r>
    </w:p>
    <w:p w14:paraId="177A0F1C" w14:textId="38A07EED" w:rsidR="006A68D6" w:rsidRPr="00CC6CA3" w:rsidRDefault="006A68D6" w:rsidP="006A68D6">
      <w:pPr>
        <w:pStyle w:val="Caption"/>
        <w:jc w:val="center"/>
      </w:pPr>
      <w:bookmarkStart w:id="528" w:name="_Ref63717964"/>
      <w:bookmarkStart w:id="529" w:name="_Toc8155344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16</w:t>
      </w:r>
      <w:r w:rsidR="00D62691" w:rsidRPr="00CC6CA3">
        <w:rPr>
          <w:noProof/>
        </w:rPr>
        <w:fldChar w:fldCharType="end"/>
      </w:r>
      <w:bookmarkEnd w:id="528"/>
      <w:r w:rsidRPr="00CC6CA3">
        <w:t xml:space="preserve"> T</w:t>
      </w:r>
      <w:r w:rsidRPr="00CC6CA3">
        <w:rPr>
          <w:szCs w:val="20"/>
        </w:rPr>
        <w:t xml:space="preserve">rue </w:t>
      </w:r>
      <w:r w:rsidR="00BB5D06" w:rsidRPr="00CC6CA3">
        <w:rPr>
          <w:szCs w:val="20"/>
        </w:rPr>
        <w:t xml:space="preserve">value and the prediction results of the system feature via </w:t>
      </w:r>
      <w:r w:rsidR="00BB5D06" w:rsidRPr="00CC6CA3">
        <w:t xml:space="preserve">third-order polynomial regression for Case </w:t>
      </w:r>
      <w:r w:rsidRPr="00CC6CA3">
        <w:t>1</w:t>
      </w:r>
      <w:bookmarkEnd w:id="529"/>
    </w:p>
    <w:p w14:paraId="40A2739F" w14:textId="46D1E43F" w:rsidR="006A68D6" w:rsidRPr="00CC6CA3" w:rsidRDefault="006A68D6" w:rsidP="006A68D6">
      <w:pPr>
        <w:spacing w:before="120"/>
      </w:pPr>
      <w:r w:rsidRPr="00CC6CA3">
        <w:t xml:space="preserve">Based on the predicted system feature, the POF </w:t>
      </w:r>
      <w:r w:rsidR="00BB5D06" w:rsidRPr="00CC6CA3">
        <w:rPr>
          <w:rFonts w:hint="eastAsia"/>
        </w:rPr>
        <w:t>was</w:t>
      </w:r>
      <w:r w:rsidRPr="00CC6CA3">
        <w:t xml:space="preserve"> calculated according to Equation </w:t>
      </w:r>
      <w:r w:rsidRPr="00CC6CA3">
        <w:fldChar w:fldCharType="begin"/>
      </w:r>
      <w:r w:rsidRPr="00CC6CA3">
        <w:instrText xml:space="preserve"> REF _Ref63718657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8</w:t>
      </w:r>
      <w:r w:rsidR="001906D9" w:rsidRPr="00CC6CA3">
        <w:t>)</w:t>
      </w:r>
      <w:r w:rsidRPr="00CC6CA3">
        <w:fldChar w:fldCharType="end"/>
      </w:r>
      <w:r w:rsidRPr="00CC6CA3">
        <w:t xml:space="preserve">. </w:t>
      </w:r>
      <w:r w:rsidR="00BB5D06" w:rsidRPr="00CC6CA3">
        <w:t xml:space="preserve">The results are presented in </w:t>
      </w:r>
      <w:r w:rsidRPr="00CC6CA3">
        <w:fldChar w:fldCharType="begin"/>
      </w:r>
      <w:r w:rsidRPr="00CC6CA3">
        <w:instrText xml:space="preserve"> REF _Ref63720047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17</w:t>
      </w:r>
      <w:r w:rsidRPr="00CC6CA3">
        <w:fldChar w:fldCharType="end"/>
      </w:r>
      <w:r w:rsidRPr="00CC6CA3">
        <w:t xml:space="preserve">. </w:t>
      </w:r>
      <w:r w:rsidR="00BB5D06" w:rsidRPr="00CC6CA3">
        <w:t xml:space="preserve">The red line in the figure is the POF calculated using the fault detection threshold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00BB5D06" w:rsidRPr="00CC6CA3">
        <w:t xml:space="preserve">. In our model, the </w:t>
      </w:r>
      <m:oMath>
        <m:r>
          <w:rPr>
            <w:rFonts w:ascii="Cambria Math" w:hAnsi="Cambria Math"/>
          </w:rPr>
          <m:t>POF</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=0.5</m:t>
        </m:r>
      </m:oMath>
      <w:r w:rsidR="00BB5D06" w:rsidRPr="00CC6CA3">
        <w:t>. The values below this line were regarded as normal, and above the line were viewed as anomalies. As can be seen in the figure that, the POF was below the threshold (</w:t>
      </w:r>
      <m:oMath>
        <m:r>
          <w:rPr>
            <w:rFonts w:ascii="Cambria Math" w:hAnsi="Cambria Math"/>
          </w:rPr>
          <m:t>POF = 0.5</m:t>
        </m:r>
      </m:oMath>
      <w:r w:rsidR="00BB5D06" w:rsidRPr="00CC6CA3">
        <w:t>) from 22</w:t>
      </w:r>
      <w:r w:rsidR="00BB5D06" w:rsidRPr="00CC6CA3">
        <w:rPr>
          <w:vertAlign w:val="superscript"/>
        </w:rPr>
        <w:t>nd</w:t>
      </w:r>
      <w:r w:rsidR="00BB5D06" w:rsidRPr="00CC6CA3">
        <w:t xml:space="preserve"> Jun to 05:00 3</w:t>
      </w:r>
      <w:r w:rsidR="00BB5D06" w:rsidRPr="00CC6CA3">
        <w:rPr>
          <w:vertAlign w:val="superscript"/>
        </w:rPr>
        <w:t>rd</w:t>
      </w:r>
      <w:r w:rsidR="00BB5D06" w:rsidRPr="00CC6CA3">
        <w:t xml:space="preserve"> Jul 2013, which indicates that the pump was in a healthy condition during this period. The POF value crossed the threshold at 06:00 on 3</w:t>
      </w:r>
      <w:r w:rsidR="00BB5D06" w:rsidRPr="00CC6CA3">
        <w:rPr>
          <w:vertAlign w:val="superscript"/>
        </w:rPr>
        <w:t>rd</w:t>
      </w:r>
      <w:r w:rsidR="00BB5D06" w:rsidRPr="00CC6CA3">
        <w:t xml:space="preserve"> Jul 2013, and it could have returned to normal, but the condition kept deteriorating and the POF increased to 1, leading to a fault</w:t>
      </w:r>
      <w:r w:rsidRPr="00CC6CA3">
        <w:t>.</w:t>
      </w:r>
    </w:p>
    <w:p w14:paraId="333A7B6C" w14:textId="77777777" w:rsidR="006A68D6" w:rsidRPr="00CC6CA3" w:rsidRDefault="006A68D6" w:rsidP="006A68D6">
      <w:pPr>
        <w:keepNext/>
        <w:spacing w:before="120"/>
        <w:jc w:val="center"/>
      </w:pPr>
      <w:r w:rsidRPr="00CC6CA3">
        <w:object w:dxaOrig="9049" w:dyaOrig="3805" w14:anchorId="0F23C4DB">
          <v:shape id="_x0000_i1096" type="#_x0000_t75" style="width:372pt;height:156pt" o:ole="">
            <v:imagedata r:id="rId209" o:title=""/>
          </v:shape>
          <o:OLEObject Type="Embed" ProgID="Visio.Drawing.15" ShapeID="_x0000_i1096" DrawAspect="Content" ObjectID="_1692500375" r:id="rId210"/>
        </w:object>
      </w:r>
    </w:p>
    <w:p w14:paraId="659D9DD9" w14:textId="04C1007C" w:rsidR="006A68D6" w:rsidRPr="00CC6CA3" w:rsidRDefault="006A68D6" w:rsidP="006A68D6">
      <w:pPr>
        <w:pStyle w:val="Caption"/>
        <w:jc w:val="center"/>
      </w:pPr>
      <w:bookmarkStart w:id="530" w:name="_Ref63720047"/>
      <w:bookmarkStart w:id="531" w:name="_Toc8155344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17</w:t>
      </w:r>
      <w:r w:rsidR="00D62691" w:rsidRPr="00CC6CA3">
        <w:rPr>
          <w:noProof/>
        </w:rPr>
        <w:fldChar w:fldCharType="end"/>
      </w:r>
      <w:bookmarkEnd w:id="530"/>
      <w:r w:rsidRPr="00CC6CA3">
        <w:t xml:space="preserve"> POF </w:t>
      </w:r>
      <w:r w:rsidR="00BB5D06" w:rsidRPr="00CC6CA3">
        <w:rPr>
          <w:szCs w:val="20"/>
        </w:rPr>
        <w:t xml:space="preserve">calculated using the system feature in the online phase for Case 1 (red line - POF calculated by the fault detection threshold, </w:t>
      </w:r>
      <m:oMath>
        <m:sSub>
          <m:sSubPr>
            <m:ctrlPr>
              <w:rPr>
                <w:rFonts w:ascii="Cambria Math" w:hAnsi="Cambria Math"/>
              </w:rPr>
            </m:ctrlPr>
          </m:sSubPr>
          <m:e>
            <m:r>
              <w:rPr>
                <w:rFonts w:ascii="Cambria Math" w:hAnsi="Cambria Math"/>
              </w:rPr>
              <m:t>d</m:t>
            </m:r>
          </m:e>
          <m:sub>
            <m:r>
              <w:rPr>
                <w:rFonts w:ascii="Cambria Math" w:hAnsi="Cambria Math"/>
              </w:rPr>
              <m:t>1</m:t>
            </m:r>
          </m:sub>
        </m:sSub>
      </m:oMath>
      <w:r w:rsidRPr="00CC6CA3">
        <w:t>)</w:t>
      </w:r>
      <w:bookmarkEnd w:id="531"/>
    </w:p>
    <w:p w14:paraId="6ABD6FD6" w14:textId="4CE260B2" w:rsidR="006A68D6" w:rsidRPr="00CC6CA3" w:rsidRDefault="00BB5D06" w:rsidP="006A68D6">
      <w:pPr>
        <w:spacing w:before="120"/>
      </w:pPr>
      <w:r w:rsidRPr="00CC6CA3">
        <w:t xml:space="preserve">When the system feature went beyond the threshold </w:t>
      </w:r>
      <m:oMath>
        <m:sSub>
          <m:sSubPr>
            <m:ctrlPr>
              <w:rPr>
                <w:rFonts w:ascii="Cambria Math" w:hAnsi="Cambria Math"/>
                <w:i/>
              </w:rPr>
            </m:ctrlPr>
          </m:sSubPr>
          <m:e>
            <m:r>
              <w:rPr>
                <w:rFonts w:ascii="Cambria Math" w:hAnsi="Cambria Math"/>
              </w:rPr>
              <m:t>d</m:t>
            </m:r>
          </m:e>
          <m:sub>
            <m:r>
              <w:rPr>
                <w:rFonts w:ascii="Cambria Math" w:hAnsi="Cambria Math"/>
              </w:rPr>
              <m:t>1</m:t>
            </m:r>
          </m:sub>
        </m:sSub>
      </m:oMath>
      <w:r w:rsidRPr="00CC6CA3">
        <w:t xml:space="preserve"> then, at the same time, the POF value crossed the threshold </w:t>
      </w:r>
      <m:oMath>
        <m:r>
          <w:rPr>
            <w:rFonts w:ascii="Cambria Math" w:hAnsi="Cambria Math"/>
          </w:rPr>
          <m:t>POF=0.5</m:t>
        </m:r>
      </m:oMath>
      <w:r w:rsidRPr="00CC6CA3">
        <w:t xml:space="preserve">. After the system feature exceeded the threshold </w:t>
      </w:r>
      <m:oMath>
        <m:sSub>
          <m:sSubPr>
            <m:ctrlPr>
              <w:rPr>
                <w:rFonts w:ascii="Cambria Math" w:hAnsi="Cambria Math"/>
                <w:i/>
              </w:rPr>
            </m:ctrlPr>
          </m:sSubPr>
          <m:e>
            <m:r>
              <w:rPr>
                <w:rFonts w:ascii="Cambria Math" w:hAnsi="Cambria Math"/>
              </w:rPr>
              <m:t>d</m:t>
            </m:r>
          </m:e>
          <m:sub>
            <m:r>
              <w:rPr>
                <w:rFonts w:ascii="Cambria Math" w:hAnsi="Cambria Math"/>
              </w:rPr>
              <m:t>1</m:t>
            </m:r>
          </m:sub>
        </m:sSub>
      </m:oMath>
      <w:r w:rsidRPr="00CC6CA3">
        <w:t xml:space="preserve">, the fault analysis module deduced the possible fault type, and calculated the COF value of the fault. In our methodology, a two-dimensional Q statistic contribution map was calculated (for details see Chapter 4). The results of the analysis are presented in </w:t>
      </w:r>
      <w:r w:rsidR="006A68D6" w:rsidRPr="00CC6CA3">
        <w:fldChar w:fldCharType="begin"/>
      </w:r>
      <w:r w:rsidR="006A68D6" w:rsidRPr="00CC6CA3">
        <w:instrText xml:space="preserve"> REF _Ref63721353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18</w:t>
      </w:r>
      <w:r w:rsidR="006A68D6" w:rsidRPr="00CC6CA3">
        <w:fldChar w:fldCharType="end"/>
      </w:r>
      <w:r w:rsidR="006A68D6" w:rsidRPr="00CC6CA3">
        <w:t>.</w:t>
      </w:r>
    </w:p>
    <w:p w14:paraId="00785510" w14:textId="77777777" w:rsidR="006A68D6" w:rsidRPr="00CC6CA3" w:rsidRDefault="006A68D6" w:rsidP="006A68D6">
      <w:pPr>
        <w:keepNext/>
        <w:jc w:val="center"/>
      </w:pPr>
      <w:r w:rsidRPr="00CC6CA3">
        <w:rPr>
          <w:noProof/>
        </w:rPr>
        <w:object w:dxaOrig="11521" w:dyaOrig="7066" w14:anchorId="6A43AF11">
          <v:shape id="_x0000_i1097" type="#_x0000_t75" alt="" style="width:372pt;height:228pt;mso-width-percent:0;mso-height-percent:0;mso-position-vertical:absolute;mso-width-percent:0;mso-height-percent:0" o:ole="">
            <v:imagedata r:id="rId211" o:title=""/>
          </v:shape>
          <o:OLEObject Type="Embed" ProgID="Visio.Drawing.15" ShapeID="_x0000_i1097" DrawAspect="Content" ObjectID="_1692500376" r:id="rId212"/>
        </w:object>
      </w:r>
    </w:p>
    <w:p w14:paraId="23640501" w14:textId="34E03407" w:rsidR="006A68D6" w:rsidRPr="00CC6CA3" w:rsidRDefault="006A68D6" w:rsidP="006A68D6">
      <w:pPr>
        <w:pStyle w:val="Caption"/>
        <w:jc w:val="center"/>
      </w:pPr>
      <w:bookmarkStart w:id="532" w:name="_Ref63721353"/>
      <w:bookmarkStart w:id="533" w:name="_Toc8155344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18</w:t>
      </w:r>
      <w:r w:rsidR="00D62691" w:rsidRPr="00CC6CA3">
        <w:rPr>
          <w:noProof/>
        </w:rPr>
        <w:fldChar w:fldCharType="end"/>
      </w:r>
      <w:bookmarkEnd w:id="532"/>
      <w:r w:rsidRPr="00CC6CA3">
        <w:t xml:space="preserve"> Contribution map by SAE model for </w:t>
      </w:r>
      <w:r w:rsidR="00BB5D06" w:rsidRPr="00CC6CA3">
        <w:rPr>
          <w:rFonts w:hint="eastAsia"/>
        </w:rPr>
        <w:t>C</w:t>
      </w:r>
      <w:r w:rsidRPr="00CC6CA3">
        <w:t>ase 1</w:t>
      </w:r>
      <w:bookmarkEnd w:id="533"/>
    </w:p>
    <w:p w14:paraId="37A7E4D8" w14:textId="7CC6F420" w:rsidR="006A68D6" w:rsidRPr="00CC6CA3" w:rsidRDefault="006A68D6" w:rsidP="00BB5D06">
      <w:pPr>
        <w:spacing w:before="120"/>
      </w:pPr>
      <w:r w:rsidRPr="00CC6CA3">
        <w:fldChar w:fldCharType="begin"/>
      </w:r>
      <w:r w:rsidRPr="00CC6CA3">
        <w:instrText xml:space="preserve"> REF _Ref63721353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18</w:t>
      </w:r>
      <w:r w:rsidRPr="00CC6CA3">
        <w:fldChar w:fldCharType="end"/>
      </w:r>
      <w:r w:rsidRPr="00CC6CA3">
        <w:t xml:space="preserve"> </w:t>
      </w:r>
      <w:r w:rsidR="00BB5D06" w:rsidRPr="00CC6CA3">
        <w:t xml:space="preserve">clearly showed that the temperatures of four bearings and the discharge pressure were the main contributors to the increase in the system features. The results gave maintenance staff a clear indication of the presence of bearing related faults, e.g., bearing faults, misalignment, and rotor unbalance. After the fault type had been inferred, the </w:t>
      </w:r>
      <w:r w:rsidR="00BB5D06" w:rsidRPr="00CC6CA3">
        <w:lastRenderedPageBreak/>
        <w:t>financial factors used in estimating the maximum financial loss (</w:t>
      </w:r>
      <m:oMath>
        <m:r>
          <w:rPr>
            <w:rFonts w:ascii="Cambria Math" w:hAnsi="Cambria Math"/>
          </w:rPr>
          <m:t>EML</m:t>
        </m:r>
      </m:oMath>
      <w:r w:rsidR="00BB5D06" w:rsidRPr="00CC6CA3">
        <w:t>) were updated. The financial factors and their values are listed in</w:t>
      </w:r>
      <w:r w:rsidRPr="00CC6CA3">
        <w:t xml:space="preserve"> </w:t>
      </w:r>
      <w:r w:rsidRPr="00CC6CA3">
        <w:fldChar w:fldCharType="begin"/>
      </w:r>
      <w:r w:rsidRPr="00CC6CA3">
        <w:instrText xml:space="preserve"> REF _Ref63723649 \h </w:instrText>
      </w:r>
      <w:r w:rsidRPr="00CC6CA3">
        <w:fldChar w:fldCharType="separate"/>
      </w:r>
      <w:r w:rsidR="001906D9" w:rsidRPr="00CC6CA3">
        <w:t xml:space="preserve">Table </w:t>
      </w:r>
      <w:r w:rsidR="001906D9" w:rsidRPr="00CC6CA3">
        <w:rPr>
          <w:noProof/>
        </w:rPr>
        <w:t>5</w:t>
      </w:r>
      <w:r w:rsidR="001906D9" w:rsidRPr="00CC6CA3">
        <w:t>.</w:t>
      </w:r>
      <w:r w:rsidR="001906D9" w:rsidRPr="00CC6CA3">
        <w:rPr>
          <w:noProof/>
        </w:rPr>
        <w:t>8</w:t>
      </w:r>
      <w:r w:rsidRPr="00CC6CA3">
        <w:fldChar w:fldCharType="end"/>
      </w:r>
      <w:r w:rsidRPr="00CC6CA3">
        <w:t xml:space="preserve">. The COF at the online phase can be found in </w:t>
      </w:r>
      <w:r w:rsidRPr="00CC6CA3">
        <w:fldChar w:fldCharType="begin"/>
      </w:r>
      <w:r w:rsidRPr="00CC6CA3">
        <w:instrText xml:space="preserve"> REF _Ref63723714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19</w:t>
      </w:r>
      <w:r w:rsidRPr="00CC6CA3">
        <w:fldChar w:fldCharType="end"/>
      </w:r>
      <w:r w:rsidRPr="00CC6CA3">
        <w:t>.</w:t>
      </w:r>
    </w:p>
    <w:p w14:paraId="3F02F827" w14:textId="042CE3BD" w:rsidR="006A68D6" w:rsidRPr="00CC6CA3" w:rsidRDefault="006A68D6" w:rsidP="006A68D6">
      <w:pPr>
        <w:pStyle w:val="Caption"/>
        <w:keepNext/>
      </w:pPr>
      <w:bookmarkStart w:id="534" w:name="_Ref63723649"/>
      <w:bookmarkStart w:id="535" w:name="_Toc81553485"/>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8</w:t>
      </w:r>
      <w:r w:rsidR="00D62691" w:rsidRPr="00CC6CA3">
        <w:rPr>
          <w:noProof/>
        </w:rPr>
        <w:fldChar w:fldCharType="end"/>
      </w:r>
      <w:bookmarkEnd w:id="534"/>
      <w:r w:rsidRPr="00CC6CA3">
        <w:t xml:space="preserve"> </w:t>
      </w:r>
      <w:r w:rsidR="00BB5D06" w:rsidRPr="00CC6CA3">
        <w:rPr>
          <w:szCs w:val="20"/>
        </w:rPr>
        <w:t>Updated financial factors and their values for bearing related fault in the pump</w:t>
      </w:r>
      <w:bookmarkEnd w:id="535"/>
    </w:p>
    <w:tbl>
      <w:tblPr>
        <w:tblStyle w:val="PlainTable2"/>
        <w:tblW w:w="0" w:type="auto"/>
        <w:jc w:val="center"/>
        <w:tblLook w:val="04A0" w:firstRow="1" w:lastRow="0" w:firstColumn="1" w:lastColumn="0" w:noHBand="0" w:noVBand="1"/>
      </w:tblPr>
      <w:tblGrid>
        <w:gridCol w:w="3214"/>
        <w:gridCol w:w="1572"/>
      </w:tblGrid>
      <w:tr w:rsidR="00CC6CA3" w:rsidRPr="00CC6CA3" w14:paraId="54C6EA99" w14:textId="77777777" w:rsidTr="00F632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6FF6C728"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Financial factors</w:t>
            </w:r>
          </w:p>
        </w:tc>
        <w:tc>
          <w:tcPr>
            <w:tcW w:w="1572" w:type="dxa"/>
          </w:tcPr>
          <w:p w14:paraId="69434550" w14:textId="77777777" w:rsidR="006A68D6" w:rsidRPr="00CC6CA3" w:rsidRDefault="006A68D6" w:rsidP="00F632C0">
            <w:pPr>
              <w:cnfStyle w:val="100000000000" w:firstRow="1" w:lastRow="0" w:firstColumn="0" w:lastColumn="0" w:oddVBand="0" w:evenVBand="0" w:oddHBand="0"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Values ($)</w:t>
            </w:r>
          </w:p>
        </w:tc>
      </w:tr>
      <w:tr w:rsidR="00CC6CA3" w:rsidRPr="00CC6CA3" w14:paraId="515C827C"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6E22D5EE"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Downtime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D</m:t>
                  </m:r>
                </m:sub>
              </m:sSub>
            </m:oMath>
            <w:r w:rsidRPr="00CC6CA3">
              <w:rPr>
                <w:rFonts w:ascii="Palatino Linotype" w:hAnsi="Palatino Linotype"/>
                <w:sz w:val="18"/>
                <w:szCs w:val="18"/>
              </w:rPr>
              <w:t xml:space="preserve">) </w:t>
            </w:r>
          </w:p>
        </w:tc>
        <w:tc>
          <w:tcPr>
            <w:tcW w:w="1572" w:type="dxa"/>
          </w:tcPr>
          <w:p w14:paraId="4976104F" w14:textId="77777777" w:rsidR="006A68D6" w:rsidRPr="00CC6CA3" w:rsidRDefault="006A68D6" w:rsidP="00F632C0">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83,000</w:t>
            </w:r>
          </w:p>
        </w:tc>
      </w:tr>
      <w:tr w:rsidR="00CC6CA3" w:rsidRPr="00CC6CA3" w14:paraId="70E5B391"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3214" w:type="dxa"/>
          </w:tcPr>
          <w:p w14:paraId="6506BC71"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Material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M</m:t>
                  </m:r>
                </m:sub>
              </m:sSub>
            </m:oMath>
            <w:r w:rsidRPr="00CC6CA3">
              <w:rPr>
                <w:rFonts w:ascii="Palatino Linotype" w:hAnsi="Palatino Linotype"/>
                <w:sz w:val="18"/>
                <w:szCs w:val="18"/>
              </w:rPr>
              <w:t>)</w:t>
            </w:r>
          </w:p>
        </w:tc>
        <w:tc>
          <w:tcPr>
            <w:tcW w:w="1572" w:type="dxa"/>
          </w:tcPr>
          <w:p w14:paraId="4E781C62" w14:textId="77777777" w:rsidR="006A68D6" w:rsidRPr="00CC6CA3" w:rsidRDefault="006A68D6" w:rsidP="00F632C0">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4,000</w:t>
            </w:r>
          </w:p>
        </w:tc>
      </w:tr>
      <w:tr w:rsidR="00CC6CA3" w:rsidRPr="00CC6CA3" w14:paraId="061C199D"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3726A4F5"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Labour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L</m:t>
                  </m:r>
                </m:sub>
              </m:sSub>
            </m:oMath>
            <w:r w:rsidRPr="00CC6CA3">
              <w:rPr>
                <w:rFonts w:ascii="Palatino Linotype" w:hAnsi="Palatino Linotype"/>
                <w:sz w:val="18"/>
                <w:szCs w:val="18"/>
              </w:rPr>
              <w:t>)</w:t>
            </w:r>
          </w:p>
        </w:tc>
        <w:tc>
          <w:tcPr>
            <w:tcW w:w="1572" w:type="dxa"/>
          </w:tcPr>
          <w:p w14:paraId="60931867" w14:textId="77777777" w:rsidR="006A68D6" w:rsidRPr="00CC6CA3" w:rsidRDefault="006A68D6" w:rsidP="00F632C0">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1,080</w:t>
            </w:r>
          </w:p>
        </w:tc>
      </w:tr>
      <w:tr w:rsidR="00CC6CA3" w:rsidRPr="00CC6CA3" w14:paraId="26FCA3F1"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3214" w:type="dxa"/>
          </w:tcPr>
          <w:p w14:paraId="7F0F489D"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Technical support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TS</m:t>
                  </m:r>
                </m:sub>
              </m:sSub>
            </m:oMath>
            <w:r w:rsidRPr="00CC6CA3">
              <w:rPr>
                <w:rFonts w:ascii="Palatino Linotype" w:hAnsi="Palatino Linotype"/>
                <w:sz w:val="18"/>
                <w:szCs w:val="18"/>
              </w:rPr>
              <w:t>)</w:t>
            </w:r>
          </w:p>
        </w:tc>
        <w:tc>
          <w:tcPr>
            <w:tcW w:w="1572" w:type="dxa"/>
          </w:tcPr>
          <w:p w14:paraId="0861B22A" w14:textId="77777777" w:rsidR="006A68D6" w:rsidRPr="00CC6CA3" w:rsidRDefault="006A68D6" w:rsidP="00F632C0">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4,000</w:t>
            </w:r>
          </w:p>
        </w:tc>
      </w:tr>
      <w:tr w:rsidR="00CC6CA3" w:rsidRPr="00CC6CA3" w14:paraId="0CCF5A4C"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452A0E3F" w14:textId="77777777" w:rsidR="006A68D6" w:rsidRPr="00CC6CA3" w:rsidRDefault="00D62691" w:rsidP="00F632C0">
            <w:pPr>
              <w:rPr>
                <w:rFonts w:ascii="Palatino Linotype" w:hAnsi="Palatino Linotype"/>
                <w:sz w:val="18"/>
                <w:szCs w:val="18"/>
              </w:rPr>
            </w:pPr>
            <m:oMathPara>
              <m:oMathParaPr>
                <m:jc m:val="left"/>
              </m:oMathParaP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AL</m:t>
                    </m:r>
                  </m:sub>
                </m:sSub>
                <m:r>
                  <m:rPr>
                    <m:sty m:val="bi"/>
                  </m:rPr>
                  <w:rPr>
                    <w:rFonts w:ascii="Cambria Math" w:hAnsi="Cambria Math"/>
                    <w:sz w:val="18"/>
                    <w:szCs w:val="18"/>
                  </w:rPr>
                  <m:t xml:space="preserve">+ </m:t>
                </m:r>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HL</m:t>
                    </m:r>
                  </m:sub>
                </m:sSub>
                <m:r>
                  <m:rPr>
                    <m:sty m:val="bi"/>
                  </m:rPr>
                  <w:rPr>
                    <w:rFonts w:ascii="Cambria Math" w:hAnsi="Cambria Math"/>
                    <w:sz w:val="18"/>
                    <w:szCs w:val="18"/>
                  </w:rPr>
                  <m:t>+</m:t>
                </m:r>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others</m:t>
                    </m:r>
                  </m:sub>
                </m:sSub>
              </m:oMath>
            </m:oMathPara>
          </w:p>
        </w:tc>
        <w:tc>
          <w:tcPr>
            <w:tcW w:w="1572" w:type="dxa"/>
          </w:tcPr>
          <w:p w14:paraId="79715B7A" w14:textId="77777777" w:rsidR="006A68D6" w:rsidRPr="00CC6CA3" w:rsidRDefault="006A68D6" w:rsidP="00F632C0">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33,048</w:t>
            </w:r>
          </w:p>
        </w:tc>
      </w:tr>
    </w:tbl>
    <w:p w14:paraId="09C7DC92" w14:textId="77777777" w:rsidR="006A68D6" w:rsidRPr="00CC6CA3" w:rsidRDefault="006A68D6" w:rsidP="006A68D6"/>
    <w:p w14:paraId="5365810A" w14:textId="77777777" w:rsidR="006A68D6" w:rsidRPr="00CC6CA3" w:rsidRDefault="006A68D6" w:rsidP="006A68D6">
      <w:pPr>
        <w:pStyle w:val="Body"/>
        <w:keepNext/>
        <w:jc w:val="center"/>
      </w:pPr>
      <w:r w:rsidRPr="00CC6CA3">
        <w:rPr>
          <w:noProof/>
        </w:rPr>
        <w:drawing>
          <wp:inline distT="0" distB="0" distL="0" distR="0" wp14:anchorId="6CA41CE2" wp14:editId="6EF4F15A">
            <wp:extent cx="4752000" cy="197551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52000" cy="1975515"/>
                    </a:xfrm>
                    <a:prstGeom prst="rect">
                      <a:avLst/>
                    </a:prstGeom>
                    <a:noFill/>
                  </pic:spPr>
                </pic:pic>
              </a:graphicData>
            </a:graphic>
          </wp:inline>
        </w:drawing>
      </w:r>
    </w:p>
    <w:p w14:paraId="781438B7" w14:textId="2381A8FC" w:rsidR="006A68D6" w:rsidRPr="00CC6CA3" w:rsidRDefault="006A68D6" w:rsidP="006A68D6">
      <w:pPr>
        <w:pStyle w:val="Caption"/>
        <w:jc w:val="center"/>
      </w:pPr>
      <w:bookmarkStart w:id="536" w:name="_Ref63723714"/>
      <w:bookmarkStart w:id="537" w:name="_Toc8155344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19</w:t>
      </w:r>
      <w:r w:rsidR="00D62691" w:rsidRPr="00CC6CA3">
        <w:rPr>
          <w:noProof/>
        </w:rPr>
        <w:fldChar w:fldCharType="end"/>
      </w:r>
      <w:bookmarkEnd w:id="536"/>
      <w:r w:rsidRPr="00CC6CA3">
        <w:t xml:space="preserve"> Consequence of a fault in the online phase for </w:t>
      </w:r>
      <w:r w:rsidR="00BB5D06" w:rsidRPr="00CC6CA3">
        <w:t>C</w:t>
      </w:r>
      <w:r w:rsidRPr="00CC6CA3">
        <w:t>ase 1</w:t>
      </w:r>
      <w:bookmarkEnd w:id="537"/>
    </w:p>
    <w:p w14:paraId="3AD0CDC0" w14:textId="6338287E" w:rsidR="006A68D6" w:rsidRPr="00CC6CA3" w:rsidRDefault="00305110" w:rsidP="006A68D6">
      <w:pPr>
        <w:spacing w:before="120"/>
      </w:pPr>
      <w:r w:rsidRPr="00CC6CA3">
        <w:t xml:space="preserve">The system health indicator is a dynamic risk profile of the pump, obtained by combining the COF with the POF in the online phase. The system health indicator presented by the risk profile of the pump is shown in </w:t>
      </w:r>
      <w:r w:rsidR="006A68D6" w:rsidRPr="00CC6CA3">
        <w:fldChar w:fldCharType="begin"/>
      </w:r>
      <w:r w:rsidR="006A68D6" w:rsidRPr="00CC6CA3">
        <w:instrText xml:space="preserve"> REF _Ref63724189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20</w:t>
      </w:r>
      <w:r w:rsidR="006A68D6" w:rsidRPr="00CC6CA3">
        <w:fldChar w:fldCharType="end"/>
      </w:r>
      <w:r w:rsidR="006A68D6" w:rsidRPr="00CC6CA3">
        <w:t>.</w:t>
      </w:r>
    </w:p>
    <w:p w14:paraId="77720F98" w14:textId="77777777" w:rsidR="006A68D6" w:rsidRPr="00CC6CA3" w:rsidRDefault="006A68D6" w:rsidP="006A68D6">
      <w:pPr>
        <w:keepNext/>
        <w:jc w:val="center"/>
      </w:pPr>
      <w:r w:rsidRPr="00CC6CA3">
        <w:rPr>
          <w:noProof/>
        </w:rPr>
        <w:lastRenderedPageBreak/>
        <w:drawing>
          <wp:inline distT="0" distB="0" distL="0" distR="0" wp14:anchorId="45DBEF39" wp14:editId="21753C58">
            <wp:extent cx="4752000" cy="2376000"/>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52000" cy="2376000"/>
                    </a:xfrm>
                    <a:prstGeom prst="rect">
                      <a:avLst/>
                    </a:prstGeom>
                    <a:noFill/>
                  </pic:spPr>
                </pic:pic>
              </a:graphicData>
            </a:graphic>
          </wp:inline>
        </w:drawing>
      </w:r>
    </w:p>
    <w:p w14:paraId="6DCD3A0B" w14:textId="7BA273FF" w:rsidR="006A68D6" w:rsidRPr="00CC6CA3" w:rsidRDefault="006A68D6" w:rsidP="006A68D6">
      <w:pPr>
        <w:pStyle w:val="Caption"/>
        <w:jc w:val="center"/>
      </w:pPr>
      <w:bookmarkStart w:id="538" w:name="_Ref63724189"/>
      <w:bookmarkStart w:id="539" w:name="_Toc8155344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20</w:t>
      </w:r>
      <w:r w:rsidR="00D62691" w:rsidRPr="00CC6CA3">
        <w:rPr>
          <w:noProof/>
        </w:rPr>
        <w:fldChar w:fldCharType="end"/>
      </w:r>
      <w:bookmarkEnd w:id="538"/>
      <w:r w:rsidRPr="00CC6CA3">
        <w:t xml:space="preserve"> System health indicator presented by the risk profile of the pump for </w:t>
      </w:r>
      <w:r w:rsidR="00143F88" w:rsidRPr="00CC6CA3">
        <w:t>C</w:t>
      </w:r>
      <w:r w:rsidRPr="00CC6CA3">
        <w:t>ase 1</w:t>
      </w:r>
      <w:bookmarkEnd w:id="539"/>
    </w:p>
    <w:p w14:paraId="7538B3B3" w14:textId="163A16DB" w:rsidR="006A68D6" w:rsidRPr="00CC6CA3" w:rsidRDefault="006A68D6" w:rsidP="006A68D6">
      <w:pPr>
        <w:spacing w:before="120"/>
      </w:pPr>
      <w:r w:rsidRPr="00CC6CA3">
        <w:t xml:space="preserve">In </w:t>
      </w:r>
      <w:r w:rsidRPr="00CC6CA3">
        <w:fldChar w:fldCharType="begin"/>
      </w:r>
      <w:r w:rsidRPr="00CC6CA3">
        <w:instrText xml:space="preserve"> REF _Ref63724189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20</w:t>
      </w:r>
      <w:r w:rsidRPr="00CC6CA3">
        <w:fldChar w:fldCharType="end"/>
      </w:r>
      <w:r w:rsidRPr="00CC6CA3">
        <w:t xml:space="preserve">, </w:t>
      </w:r>
      <w:r w:rsidR="00143F88" w:rsidRPr="00CC6CA3">
        <w:t xml:space="preserve">the first threshold </w:t>
      </w:r>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r w:rsidR="00143F88" w:rsidRPr="00CC6CA3">
        <w:t xml:space="preserve"> was used for fault detection, which meant that if the value exceeded this threshold, it should be considered as indicative of a fault. This threshold also suggests the operators prioritise a response (i.e., schedule a proper maintenance time) for the detected fault. In this case, the health indicator gave a warning at 06:00, 3 Jul 2013. Comparing to the measured variables from the pump’s condition monitoring system in Figure 3-14, the health indicator successfully detected the fault at its incipient stage</w:t>
      </w:r>
      <w:r w:rsidRPr="00CC6CA3">
        <w:t>.</w:t>
      </w:r>
    </w:p>
    <w:p w14:paraId="7FA77A71" w14:textId="450CDC81" w:rsidR="00143F88" w:rsidRPr="00CC6CA3" w:rsidRDefault="006A68D6" w:rsidP="00143F88">
      <w:pPr>
        <w:spacing w:before="120"/>
      </w:pPr>
      <w:r w:rsidRPr="00CC6CA3">
        <w:t xml:space="preserve">The second threshold </w:t>
      </w:r>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r w:rsidRPr="00CC6CA3">
        <w:t xml:space="preserve"> in </w:t>
      </w:r>
      <w:r w:rsidRPr="00CC6CA3">
        <w:fldChar w:fldCharType="begin"/>
      </w:r>
      <w:r w:rsidRPr="00CC6CA3">
        <w:instrText xml:space="preserve"> REF _Ref63724189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20</w:t>
      </w:r>
      <w:r w:rsidRPr="00CC6CA3">
        <w:fldChar w:fldCharType="end"/>
      </w:r>
      <w:r w:rsidRPr="00CC6CA3">
        <w:t xml:space="preserve"> </w:t>
      </w:r>
      <w:r w:rsidR="00143F88" w:rsidRPr="00CC6CA3">
        <w:t xml:space="preserve">was used for system protection. </w:t>
      </w:r>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r w:rsidR="00143F88" w:rsidRPr="00CC6CA3">
        <w:t xml:space="preserve"> was calculated for the online stage using</w:t>
      </w:r>
      <w:r w:rsidRPr="00CC6CA3">
        <w:t xml:space="preserve"> Equation </w:t>
      </w:r>
      <w:r w:rsidRPr="00CC6CA3">
        <w:fldChar w:fldCharType="begin"/>
      </w:r>
      <w:r w:rsidRPr="00CC6CA3">
        <w:instrText xml:space="preserve"> REF _Ref63724668 \h </w:instrText>
      </w:r>
      <w:r w:rsidRPr="00CC6CA3">
        <w:fldChar w:fldCharType="separate"/>
      </w:r>
      <w:r w:rsidR="001906D9" w:rsidRPr="00CC6CA3">
        <w:rPr>
          <w:lang w:val="en-US"/>
        </w:rPr>
        <w:t>(</w:t>
      </w:r>
      <w:r w:rsidR="001906D9" w:rsidRPr="00CC6CA3">
        <w:rPr>
          <w:noProof/>
          <w:lang w:val="en-US"/>
        </w:rPr>
        <w:t>5</w:t>
      </w:r>
      <w:r w:rsidR="001906D9" w:rsidRPr="00CC6CA3">
        <w:rPr>
          <w:lang w:val="en-US"/>
        </w:rPr>
        <w:noBreakHyphen/>
      </w:r>
      <w:r w:rsidR="001906D9" w:rsidRPr="00CC6CA3">
        <w:rPr>
          <w:noProof/>
          <w:lang w:val="en-US"/>
        </w:rPr>
        <w:t>15</w:t>
      </w:r>
      <w:r w:rsidR="001906D9" w:rsidRPr="00CC6CA3">
        <w:rPr>
          <w:lang w:val="en-US"/>
        </w:rPr>
        <w:t>)</w:t>
      </w:r>
      <w:r w:rsidRPr="00CC6CA3">
        <w:fldChar w:fldCharType="end"/>
      </w:r>
      <w:r w:rsidRPr="00CC6CA3">
        <w:t xml:space="preserve"> </w:t>
      </w:r>
      <w:r w:rsidR="00143F88" w:rsidRPr="00CC6CA3">
        <w:t xml:space="preserve">after a fault had been detected and fault type deduced. If no corrective action were taken or the corrective action failed to reduce the risk, the risk factor would exceed the second threshold and the emergency shutdown system would be activated to avoid an unplanned shutdown. </w:t>
      </w:r>
    </w:p>
    <w:p w14:paraId="53E9E26C" w14:textId="57112BAC" w:rsidR="006A68D6" w:rsidRPr="00CC6CA3" w:rsidRDefault="00143F88" w:rsidP="00143F88">
      <w:pPr>
        <w:spacing w:before="120"/>
      </w:pPr>
      <w:r w:rsidRPr="00CC6CA3">
        <w:t xml:space="preserve">As the health indicator is updated with condition monitoring data, it can reflect the system’s health status in real-time. It considers the probability of failure and financial loss, showing the system’s risk in $. In this case, the company shut down the pump when the risk was quite close to </w:t>
      </w:r>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r w:rsidRPr="00CC6CA3">
        <w:t>, avoided an unplanned shutdown</w:t>
      </w:r>
      <w:r w:rsidR="006A68D6" w:rsidRPr="00CC6CA3">
        <w:t xml:space="preserve">. </w:t>
      </w:r>
    </w:p>
    <w:p w14:paraId="4EA02A31" w14:textId="07E9DFBD" w:rsidR="006A68D6" w:rsidRPr="00CC6CA3" w:rsidRDefault="006A68D6" w:rsidP="000441CC">
      <w:pPr>
        <w:pStyle w:val="Heading4"/>
        <w:rPr>
          <w:lang w:val="en-US"/>
        </w:rPr>
      </w:pPr>
      <w:r w:rsidRPr="00CC6CA3">
        <w:rPr>
          <w:lang w:val="en-US"/>
        </w:rPr>
        <w:t>Case 2</w:t>
      </w:r>
      <w:r w:rsidR="005B2617" w:rsidRPr="00CC6CA3">
        <w:t>: misalignment fault and pump bearing fault</w:t>
      </w:r>
    </w:p>
    <w:p w14:paraId="717F7549" w14:textId="3FC171DA" w:rsidR="006A68D6" w:rsidRPr="00CC6CA3" w:rsidRDefault="00FA42C7" w:rsidP="006A68D6">
      <w:pPr>
        <w:spacing w:before="120"/>
      </w:pPr>
      <w:r w:rsidRPr="00CC6CA3">
        <w:t xml:space="preserve">The data used in this </w:t>
      </w:r>
      <w:r w:rsidRPr="00CC6CA3">
        <w:rPr>
          <w:rFonts w:hint="eastAsia"/>
        </w:rPr>
        <w:t>case</w:t>
      </w:r>
      <w:r w:rsidRPr="00CC6CA3">
        <w:t xml:space="preserve"> study was obtained from the same pump as in Case 1. The dataset contained 15 continuous measurements, including the shaft speed, discharge pressure, discharge temperature, and bearing temperature. The pump measurements are listed in </w:t>
      </w:r>
      <w:r w:rsidR="006A68D6" w:rsidRPr="00CC6CA3">
        <w:t xml:space="preserve">Table 3-1. </w:t>
      </w:r>
    </w:p>
    <w:p w14:paraId="5FB423D2" w14:textId="77777777" w:rsidR="00FA42C7" w:rsidRPr="00CC6CA3" w:rsidRDefault="00FA42C7" w:rsidP="00FA42C7">
      <w:pPr>
        <w:spacing w:before="120"/>
      </w:pPr>
      <w:r w:rsidRPr="00CC6CA3">
        <w:lastRenderedPageBreak/>
        <w:t xml:space="preserve">SAE was applied to the 15 measurements </w:t>
      </w:r>
      <w:r w:rsidRPr="00CC6CA3">
        <w:rPr>
          <w:rFonts w:hint="eastAsia"/>
        </w:rPr>
        <w:t>after</w:t>
      </w:r>
      <w:r w:rsidRPr="00CC6CA3">
        <w:t xml:space="preserve"> data pre-processing and standardisation. In this case study, the training data was selected for ten months period from 1</w:t>
      </w:r>
      <w:r w:rsidRPr="00CC6CA3">
        <w:rPr>
          <w:vertAlign w:val="superscript"/>
        </w:rPr>
        <w:t>st</w:t>
      </w:r>
      <w:r w:rsidRPr="00CC6CA3">
        <w:t xml:space="preserve"> Sep 2015 to 11</w:t>
      </w:r>
      <w:r w:rsidRPr="00CC6CA3">
        <w:rPr>
          <w:vertAlign w:val="superscript"/>
        </w:rPr>
        <w:t>th</w:t>
      </w:r>
      <w:r w:rsidRPr="00CC6CA3">
        <w:t xml:space="preserve"> Jul 2016, during which time there had been no faults recorded in the pump. In the SAE model, the number of nodes in the hidden layer was 10, and sparsity regularisation was 1, the same parameter setting as in Case 1.</w:t>
      </w:r>
    </w:p>
    <w:p w14:paraId="00AF863D" w14:textId="1A37E216" w:rsidR="006A68D6" w:rsidRPr="00CC6CA3" w:rsidRDefault="00FA42C7" w:rsidP="00FA42C7">
      <w:pPr>
        <w:spacing w:before="120"/>
      </w:pPr>
      <w:r w:rsidRPr="00CC6CA3">
        <w:t xml:space="preserve">The system feature was calculated as </w:t>
      </w:r>
      <m:oMath>
        <m:r>
          <w:rPr>
            <w:rFonts w:ascii="Cambria Math" w:hAnsi="Cambria Math"/>
          </w:rPr>
          <m:t>h</m:t>
        </m:r>
      </m:oMath>
      <w:r w:rsidRPr="00CC6CA3">
        <w:t xml:space="preserve"> using Equation (4-13). The histogram of the system feature (presented in terms of </w:t>
      </w:r>
      <w:proofErr w:type="gramStart"/>
      <w:r w:rsidRPr="00CC6CA3">
        <w:rPr>
          <w:rFonts w:hint="eastAsia"/>
        </w:rPr>
        <w:t>l</w:t>
      </w:r>
      <w:r w:rsidRPr="00CC6CA3">
        <w:t>n(</w:t>
      </w:r>
      <w:proofErr w:type="gramEnd"/>
      <w:r w:rsidRPr="00CC6CA3">
        <w:t xml:space="preserve">MD)) can be seen in </w:t>
      </w:r>
      <w:r w:rsidR="006A68D6" w:rsidRPr="00CC6CA3">
        <w:fldChar w:fldCharType="begin"/>
      </w:r>
      <w:r w:rsidR="006A68D6" w:rsidRPr="00CC6CA3">
        <w:instrText xml:space="preserve"> REF _Ref63760217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21</w:t>
      </w:r>
      <w:r w:rsidR="006A68D6" w:rsidRPr="00CC6CA3">
        <w:fldChar w:fldCharType="end"/>
      </w:r>
      <w:r w:rsidR="006A68D6" w:rsidRPr="00CC6CA3">
        <w:t xml:space="preserve"> (a); </w:t>
      </w:r>
      <w:r w:rsidRPr="00CC6CA3">
        <w:t xml:space="preserve">the results of fitting distributions to the system feature of the training data in Case 2 can be seen in </w:t>
      </w:r>
      <w:r w:rsidR="006A68D6" w:rsidRPr="00CC6CA3">
        <w:fldChar w:fldCharType="begin"/>
      </w:r>
      <w:r w:rsidR="006A68D6" w:rsidRPr="00CC6CA3">
        <w:instrText xml:space="preserve"> REF _Ref63760217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21</w:t>
      </w:r>
      <w:r w:rsidR="006A68D6" w:rsidRPr="00CC6CA3">
        <w:fldChar w:fldCharType="end"/>
      </w:r>
      <w:r w:rsidR="006A68D6" w:rsidRPr="00CC6CA3">
        <w:t xml:space="preserve">  (b) and (c).</w:t>
      </w:r>
    </w:p>
    <w:p w14:paraId="68BD8243" w14:textId="235BB88D" w:rsidR="006A68D6" w:rsidRPr="00CC6CA3" w:rsidRDefault="00B30901" w:rsidP="006A68D6">
      <w:pPr>
        <w:keepNext/>
        <w:spacing w:before="120"/>
        <w:jc w:val="center"/>
      </w:pPr>
      <w:r w:rsidRPr="00CC6CA3">
        <w:object w:dxaOrig="8652" w:dyaOrig="11724" w14:anchorId="090AAC2A">
          <v:shape id="_x0000_i1098" type="#_x0000_t75" style="width:312pt;height:424pt" o:ole="">
            <v:imagedata r:id="rId215" o:title=""/>
          </v:shape>
          <o:OLEObject Type="Embed" ProgID="Visio.Drawing.15" ShapeID="_x0000_i1098" DrawAspect="Content" ObjectID="_1692500377" r:id="rId216"/>
        </w:object>
      </w:r>
    </w:p>
    <w:p w14:paraId="493B35B5" w14:textId="01649D58" w:rsidR="006A68D6" w:rsidRPr="00CC6CA3" w:rsidRDefault="006A68D6" w:rsidP="006A68D6">
      <w:pPr>
        <w:pStyle w:val="Caption"/>
        <w:jc w:val="center"/>
        <w:rPr>
          <w:lang w:val="en-US"/>
        </w:rPr>
      </w:pPr>
      <w:bookmarkStart w:id="540" w:name="_Ref63760217"/>
      <w:bookmarkStart w:id="541" w:name="_Toc8155344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w:instrText>
      </w:r>
      <w:r w:rsidR="00D62691" w:rsidRPr="00CC6CA3">
        <w:instrText xml:space="preserve"> 1 </w:instrText>
      </w:r>
      <w:r w:rsidR="00D62691" w:rsidRPr="00CC6CA3">
        <w:fldChar w:fldCharType="separate"/>
      </w:r>
      <w:r w:rsidR="001906D9" w:rsidRPr="00CC6CA3">
        <w:rPr>
          <w:noProof/>
        </w:rPr>
        <w:t>21</w:t>
      </w:r>
      <w:r w:rsidR="00D62691" w:rsidRPr="00CC6CA3">
        <w:rPr>
          <w:noProof/>
        </w:rPr>
        <w:fldChar w:fldCharType="end"/>
      </w:r>
      <w:bookmarkEnd w:id="540"/>
      <w:r w:rsidRPr="00CC6CA3">
        <w:t xml:space="preserve"> Distribution fitting of system feature using training data of </w:t>
      </w:r>
      <w:r w:rsidR="00B30901" w:rsidRPr="00CC6CA3">
        <w:t>C</w:t>
      </w:r>
      <w:r w:rsidRPr="00CC6CA3">
        <w:t>ase 2, (a) histogram (b) probability density functions (c) cumulative distribution function.</w:t>
      </w:r>
      <w:bookmarkEnd w:id="541"/>
    </w:p>
    <w:p w14:paraId="7F883F3C" w14:textId="0466FC37" w:rsidR="006A68D6" w:rsidRPr="00CC6CA3" w:rsidRDefault="00C11724" w:rsidP="006A68D6">
      <w:r w:rsidRPr="00CC6CA3">
        <w:lastRenderedPageBreak/>
        <w:t xml:space="preserve">The K-S test was applied to help select the best distribution among the four candidate distributions which, as above, were generalised extreme value, lognormal, normal and kernel distributions. The results of the K-S test for the four distributions are listed in </w:t>
      </w:r>
      <w:r w:rsidR="006A68D6" w:rsidRPr="00CC6CA3">
        <w:fldChar w:fldCharType="begin"/>
      </w:r>
      <w:r w:rsidR="006A68D6" w:rsidRPr="00CC6CA3">
        <w:instrText xml:space="preserve"> REF _Ref63760313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9</w:t>
      </w:r>
      <w:r w:rsidR="006A68D6" w:rsidRPr="00CC6CA3">
        <w:fldChar w:fldCharType="end"/>
      </w:r>
      <w:r w:rsidR="006A68D6" w:rsidRPr="00CC6CA3">
        <w:t>.</w:t>
      </w:r>
    </w:p>
    <w:p w14:paraId="28EEE2E0" w14:textId="1B10E385" w:rsidR="006A68D6" w:rsidRPr="00CC6CA3" w:rsidRDefault="006A68D6" w:rsidP="00116862">
      <w:pPr>
        <w:pStyle w:val="Caption"/>
        <w:keepNext/>
        <w:jc w:val="center"/>
      </w:pPr>
      <w:bookmarkStart w:id="542" w:name="_Ref63760313"/>
      <w:bookmarkStart w:id="543" w:name="_Toc81553486"/>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9</w:t>
      </w:r>
      <w:r w:rsidR="00D62691" w:rsidRPr="00CC6CA3">
        <w:rPr>
          <w:noProof/>
        </w:rPr>
        <w:fldChar w:fldCharType="end"/>
      </w:r>
      <w:bookmarkEnd w:id="542"/>
      <w:r w:rsidRPr="00CC6CA3">
        <w:t xml:space="preserve"> Results of the K-S test for </w:t>
      </w:r>
      <w:r w:rsidR="00C11724" w:rsidRPr="00CC6CA3">
        <w:t>C</w:t>
      </w:r>
      <w:r w:rsidRPr="00CC6CA3">
        <w:t>ase 2</w:t>
      </w:r>
      <w:bookmarkEnd w:id="543"/>
    </w:p>
    <w:tbl>
      <w:tblPr>
        <w:tblStyle w:val="PlainTable2"/>
        <w:tblW w:w="0" w:type="auto"/>
        <w:jc w:val="center"/>
        <w:tblLook w:val="04A0" w:firstRow="1" w:lastRow="0" w:firstColumn="1" w:lastColumn="0" w:noHBand="0" w:noVBand="1"/>
      </w:tblPr>
      <w:tblGrid>
        <w:gridCol w:w="2493"/>
        <w:gridCol w:w="665"/>
        <w:gridCol w:w="766"/>
      </w:tblGrid>
      <w:tr w:rsidR="00CC6CA3" w:rsidRPr="00CC6CA3" w14:paraId="6D9BC7BD" w14:textId="77777777" w:rsidTr="0011686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826B70" w14:textId="77777777" w:rsidR="006A68D6" w:rsidRPr="00CC6CA3" w:rsidRDefault="006A68D6" w:rsidP="00F632C0">
            <w:pPr>
              <w:pStyle w:val="Body"/>
              <w:spacing w:after="0"/>
              <w:rPr>
                <w:rFonts w:cs="Times New Roman"/>
                <w:sz w:val="20"/>
                <w:szCs w:val="20"/>
              </w:rPr>
            </w:pPr>
            <w:r w:rsidRPr="00CC6CA3">
              <w:rPr>
                <w:rFonts w:cs="Times New Roman"/>
                <w:sz w:val="20"/>
                <w:szCs w:val="20"/>
              </w:rPr>
              <w:t>Distribution</w:t>
            </w:r>
          </w:p>
        </w:tc>
        <w:tc>
          <w:tcPr>
            <w:tcW w:w="665" w:type="dxa"/>
          </w:tcPr>
          <w:p w14:paraId="79608D23" w14:textId="77777777" w:rsidR="006A68D6" w:rsidRPr="00CC6CA3" w:rsidRDefault="006A68D6" w:rsidP="00F632C0">
            <w:pPr>
              <w:pStyle w:val="Body"/>
              <w:spacing w:after="0"/>
              <w:cnfStyle w:val="100000000000" w:firstRow="1" w:lastRow="0" w:firstColumn="0" w:lastColumn="0" w:oddVBand="0" w:evenVBand="0" w:oddHBand="0" w:evenHBand="0" w:firstRowFirstColumn="0" w:firstRowLastColumn="0" w:lastRowFirstColumn="0" w:lastRowLastColumn="0"/>
              <w:rPr>
                <w:rFonts w:cs="Times New Roman"/>
                <w:sz w:val="20"/>
                <w:szCs w:val="20"/>
              </w:rPr>
            </w:pPr>
            <m:oMathPara>
              <m:oMath>
                <m:r>
                  <m:rPr>
                    <m:sty m:val="bi"/>
                  </m:rPr>
                  <w:rPr>
                    <w:rFonts w:ascii="Cambria Math" w:hAnsi="Cambria Math" w:cs="Times New Roman"/>
                    <w:sz w:val="20"/>
                    <w:szCs w:val="20"/>
                  </w:rPr>
                  <m:t>H</m:t>
                </m:r>
              </m:oMath>
            </m:oMathPara>
          </w:p>
        </w:tc>
        <w:tc>
          <w:tcPr>
            <w:tcW w:w="766" w:type="dxa"/>
          </w:tcPr>
          <w:p w14:paraId="081375D3" w14:textId="77777777" w:rsidR="006A68D6" w:rsidRPr="00CC6CA3" w:rsidRDefault="006A68D6" w:rsidP="00116862">
            <w:pPr>
              <w:pStyle w:val="Body"/>
              <w:spacing w:after="0"/>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p</w:t>
            </w:r>
          </w:p>
        </w:tc>
      </w:tr>
      <w:tr w:rsidR="00CC6CA3" w:rsidRPr="00CC6CA3" w14:paraId="482AE755" w14:textId="77777777" w:rsidTr="001168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C4A7E52" w14:textId="77777777" w:rsidR="006A68D6" w:rsidRPr="00CC6CA3" w:rsidRDefault="006A68D6" w:rsidP="00F632C0">
            <w:pPr>
              <w:pStyle w:val="Body"/>
              <w:spacing w:after="0"/>
              <w:rPr>
                <w:rFonts w:cs="Times New Roman"/>
                <w:sz w:val="20"/>
                <w:szCs w:val="20"/>
              </w:rPr>
            </w:pPr>
            <w:r w:rsidRPr="00CC6CA3">
              <w:rPr>
                <w:rFonts w:cs="Times New Roman"/>
                <w:sz w:val="20"/>
                <w:szCs w:val="20"/>
              </w:rPr>
              <w:t>Generalized extreme value</w:t>
            </w:r>
          </w:p>
        </w:tc>
        <w:tc>
          <w:tcPr>
            <w:tcW w:w="665" w:type="dxa"/>
          </w:tcPr>
          <w:p w14:paraId="20DCCF8E"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5213442A"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0.2406</w:t>
            </w:r>
          </w:p>
        </w:tc>
      </w:tr>
      <w:tr w:rsidR="00CC6CA3" w:rsidRPr="00CC6CA3" w14:paraId="3BA8735E" w14:textId="77777777" w:rsidTr="0011686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0F98D2F" w14:textId="77777777" w:rsidR="006A68D6" w:rsidRPr="00CC6CA3" w:rsidRDefault="006A68D6" w:rsidP="00F632C0">
            <w:pPr>
              <w:pStyle w:val="Body"/>
              <w:spacing w:after="0"/>
              <w:rPr>
                <w:rFonts w:cs="Times New Roman"/>
                <w:sz w:val="20"/>
                <w:szCs w:val="20"/>
              </w:rPr>
            </w:pPr>
            <w:r w:rsidRPr="00CC6CA3">
              <w:rPr>
                <w:rFonts w:cs="Times New Roman"/>
                <w:sz w:val="20"/>
                <w:szCs w:val="20"/>
              </w:rPr>
              <w:t>Lognormal</w:t>
            </w:r>
          </w:p>
        </w:tc>
        <w:tc>
          <w:tcPr>
            <w:tcW w:w="665" w:type="dxa"/>
          </w:tcPr>
          <w:p w14:paraId="70AA0DBA"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1</w:t>
            </w:r>
          </w:p>
        </w:tc>
        <w:tc>
          <w:tcPr>
            <w:tcW w:w="766" w:type="dxa"/>
          </w:tcPr>
          <w:p w14:paraId="46DD879D"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0.0000</w:t>
            </w:r>
          </w:p>
        </w:tc>
      </w:tr>
      <w:tr w:rsidR="00CC6CA3" w:rsidRPr="00CC6CA3" w14:paraId="1B0FA17A" w14:textId="77777777" w:rsidTr="001168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85EB51D" w14:textId="77777777" w:rsidR="006A68D6" w:rsidRPr="00CC6CA3" w:rsidRDefault="006A68D6" w:rsidP="00F632C0">
            <w:pPr>
              <w:pStyle w:val="Body"/>
              <w:spacing w:after="0"/>
              <w:rPr>
                <w:rFonts w:cs="Times New Roman"/>
                <w:sz w:val="20"/>
                <w:szCs w:val="20"/>
              </w:rPr>
            </w:pPr>
            <w:r w:rsidRPr="00CC6CA3">
              <w:rPr>
                <w:rFonts w:cs="Times New Roman"/>
                <w:sz w:val="20"/>
                <w:szCs w:val="20"/>
              </w:rPr>
              <w:t>Normal</w:t>
            </w:r>
          </w:p>
        </w:tc>
        <w:tc>
          <w:tcPr>
            <w:tcW w:w="665" w:type="dxa"/>
          </w:tcPr>
          <w:p w14:paraId="7456FCD0"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482DAB40"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0.5912</w:t>
            </w:r>
          </w:p>
        </w:tc>
      </w:tr>
      <w:tr w:rsidR="00CC6CA3" w:rsidRPr="00CC6CA3" w14:paraId="33256015" w14:textId="77777777" w:rsidTr="0011686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1B27606" w14:textId="77777777" w:rsidR="006A68D6" w:rsidRPr="00CC6CA3" w:rsidRDefault="006A68D6" w:rsidP="00F632C0">
            <w:pPr>
              <w:pStyle w:val="Body"/>
              <w:spacing w:after="0"/>
              <w:rPr>
                <w:rFonts w:cs="Times New Roman"/>
                <w:sz w:val="20"/>
                <w:szCs w:val="20"/>
              </w:rPr>
            </w:pPr>
            <w:r w:rsidRPr="00CC6CA3">
              <w:rPr>
                <w:rFonts w:cs="Times New Roman"/>
                <w:sz w:val="20"/>
                <w:szCs w:val="20"/>
              </w:rPr>
              <w:t>Kernel</w:t>
            </w:r>
          </w:p>
        </w:tc>
        <w:tc>
          <w:tcPr>
            <w:tcW w:w="665" w:type="dxa"/>
          </w:tcPr>
          <w:p w14:paraId="7666A090"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5A2AB317"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0.1833</w:t>
            </w:r>
          </w:p>
        </w:tc>
      </w:tr>
    </w:tbl>
    <w:p w14:paraId="302BEE54" w14:textId="12DF2D01" w:rsidR="006A68D6" w:rsidRPr="00CC6CA3" w:rsidRDefault="00C11724" w:rsidP="006A68D6">
      <w:r w:rsidRPr="00CC6CA3">
        <w:t xml:space="preserve">As can be seen in the table, the normal distribution satisfies the null hypothesis and had the highest </w:t>
      </w:r>
      <m:oMath>
        <m:r>
          <w:rPr>
            <w:rFonts w:ascii="Cambria Math" w:hAnsi="Cambria Math"/>
          </w:rPr>
          <m:t>p</m:t>
        </m:r>
      </m:oMath>
      <w:r w:rsidRPr="00CC6CA3">
        <w:t xml:space="preserve"> value among the four distributions. Hence, a normal distribution was selected with mean </w:t>
      </w:r>
      <m:oMath>
        <m:r>
          <w:rPr>
            <w:rFonts w:ascii="Cambria Math" w:hAnsi="Cambria Math"/>
          </w:rPr>
          <m:t>μ=1.2831</m:t>
        </m:r>
      </m:oMath>
      <w:r w:rsidRPr="00CC6CA3">
        <w:t xml:space="preserve"> and standard deviation </w:t>
      </w:r>
      <m:oMath>
        <m:r>
          <w:rPr>
            <w:rFonts w:ascii="Cambria Math" w:hAnsi="Cambria Math"/>
          </w:rPr>
          <m:t>σ=0.2617</m:t>
        </m:r>
      </m:oMath>
      <w:r w:rsidRPr="00CC6CA3">
        <w:t>. After the distribution was selected, the fault detection threshold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Pr="00CC6CA3">
        <w:t xml:space="preserve">) was calculated based on Equation (4-14) with confidence level </w:t>
      </w:r>
      <m:oMath>
        <m:r>
          <w:rPr>
            <w:rFonts w:ascii="Cambria Math" w:hAnsi="Cambria Math"/>
          </w:rPr>
          <m:t>α</m:t>
        </m:r>
        <m:r>
          <m:rPr>
            <m:sty m:val="p"/>
          </m:rPr>
          <w:rPr>
            <w:rFonts w:ascii="Cambria Math" w:hAnsi="Cambria Math"/>
          </w:rPr>
          <m:t>=0.99</m:t>
        </m:r>
      </m:oMath>
      <w:r w:rsidRPr="00CC6CA3">
        <w:t xml:space="preserve"> </w:t>
      </w:r>
      <w:r w:rsidR="006A68D6" w:rsidRPr="00CC6CA3">
        <w:fldChar w:fldCharType="begin"/>
      </w:r>
      <w:r w:rsidR="007D1BCC" w:rsidRPr="00CC6CA3">
        <w:instrText xml:space="preserve"> ADDIN ZOTERO_ITEM CSL_CITATION {"citationID":"406w90kC","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006A68D6" w:rsidRPr="00CC6CA3">
        <w:fldChar w:fldCharType="separate"/>
      </w:r>
      <w:r w:rsidR="007D1BCC" w:rsidRPr="00CC6CA3">
        <w:rPr>
          <w:rFonts w:cs="Times New Roman"/>
        </w:rPr>
        <w:t>[105]</w:t>
      </w:r>
      <w:r w:rsidR="006A68D6" w:rsidRPr="00CC6CA3">
        <w:fldChar w:fldCharType="end"/>
      </w:r>
      <w:r w:rsidR="006A68D6" w:rsidRPr="00CC6CA3">
        <w:t xml:space="preserve">. </w:t>
      </w:r>
      <w:r w:rsidRPr="00CC6CA3">
        <w:t xml:space="preserve">In other words, 99% of the training data was viewed as healthy data, and 1% was anomalous data. In this case, the calculated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Pr="00CC6CA3">
        <w:t xml:space="preserve"> was equal to 6.9850, with ln value 1.9440.</w:t>
      </w:r>
    </w:p>
    <w:p w14:paraId="2062CE74" w14:textId="4E226162" w:rsidR="006A68D6" w:rsidRPr="00CC6CA3" w:rsidRDefault="009D5F25" w:rsidP="006A68D6">
      <w:pPr>
        <w:keepNext/>
        <w:spacing w:before="120"/>
        <w:jc w:val="center"/>
      </w:pPr>
      <w:r w:rsidRPr="00CC6CA3">
        <w:rPr>
          <w:noProof/>
        </w:rPr>
        <w:drawing>
          <wp:inline distT="0" distB="0" distL="0" distR="0" wp14:anchorId="7F1149AB" wp14:editId="35786D87">
            <wp:extent cx="4737481" cy="1980000"/>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37481" cy="1980000"/>
                    </a:xfrm>
                    <a:prstGeom prst="rect">
                      <a:avLst/>
                    </a:prstGeom>
                    <a:noFill/>
                  </pic:spPr>
                </pic:pic>
              </a:graphicData>
            </a:graphic>
          </wp:inline>
        </w:drawing>
      </w:r>
    </w:p>
    <w:p w14:paraId="09970BFD" w14:textId="18B3A09F" w:rsidR="006A68D6" w:rsidRPr="00CC6CA3" w:rsidRDefault="006A68D6" w:rsidP="006A68D6">
      <w:pPr>
        <w:pStyle w:val="Caption"/>
        <w:jc w:val="center"/>
      </w:pPr>
      <w:bookmarkStart w:id="544" w:name="_Toc8155344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22</w:t>
      </w:r>
      <w:r w:rsidR="00D62691" w:rsidRPr="00CC6CA3">
        <w:rPr>
          <w:noProof/>
        </w:rPr>
        <w:fldChar w:fldCharType="end"/>
      </w:r>
      <w:r w:rsidRPr="00CC6CA3">
        <w:t xml:space="preserve"> Offline </w:t>
      </w:r>
      <w:r w:rsidR="00C11724" w:rsidRPr="00CC6CA3">
        <w:t>training process for SAE fault detection model and MD threshold calculation for Case 2. (</w:t>
      </w:r>
      <w:proofErr w:type="gramStart"/>
      <w:r w:rsidR="00C11724" w:rsidRPr="00CC6CA3">
        <w:t>blue</w:t>
      </w:r>
      <w:proofErr w:type="gramEnd"/>
      <w:r w:rsidR="00C11724" w:rsidRPr="00CC6CA3">
        <w:t xml:space="preserve"> points - healthy data; red points - anomalies; magenta line - reference MD thresholds</w:t>
      </w:r>
      <w:r w:rsidRPr="00CC6CA3">
        <w:t>)</w:t>
      </w:r>
      <w:bookmarkEnd w:id="544"/>
    </w:p>
    <w:p w14:paraId="02B3A635" w14:textId="1A779C60" w:rsidR="006A68D6" w:rsidRPr="00CC6CA3" w:rsidRDefault="00C11724" w:rsidP="006A68D6">
      <w:r w:rsidRPr="00CC6CA3">
        <w:t>The online monitoring data was from 12</w:t>
      </w:r>
      <w:r w:rsidRPr="00CC6CA3">
        <w:rPr>
          <w:vertAlign w:val="superscript"/>
        </w:rPr>
        <w:t>th</w:t>
      </w:r>
      <w:r w:rsidRPr="00CC6CA3">
        <w:t xml:space="preserve"> Jul to 23</w:t>
      </w:r>
      <w:r w:rsidRPr="00CC6CA3">
        <w:rPr>
          <w:vertAlign w:val="superscript"/>
        </w:rPr>
        <w:t>rd</w:t>
      </w:r>
      <w:r w:rsidRPr="00CC6CA3">
        <w:t xml:space="preserve"> Aug 2016. The system feature was calculated in real-time and was predicted via third-order polynomial regression (</w:t>
      </w: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1</m:t>
            </m:r>
          </m:sub>
        </m:sSub>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2</m:t>
            </m:r>
          </m:sub>
        </m:sSub>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3</m:t>
            </m:r>
          </m:sub>
        </m:sSub>
        <m:sSup>
          <m:sSupPr>
            <m:ctrlPr>
              <w:rPr>
                <w:rFonts w:ascii="Cambria Math" w:hAnsi="Cambria Math"/>
              </w:rPr>
            </m:ctrlPr>
          </m:sSupPr>
          <m:e>
            <m:r>
              <w:rPr>
                <w:rFonts w:ascii="Cambria Math" w:hAnsi="Cambria Math"/>
              </w:rPr>
              <m:t>x</m:t>
            </m:r>
          </m:e>
          <m:sup>
            <m:r>
              <m:rPr>
                <m:sty m:val="p"/>
              </m:rPr>
              <w:rPr>
                <w:rFonts w:ascii="Cambria Math" w:hAnsi="Cambria Math"/>
              </w:rPr>
              <m:t>3</m:t>
            </m:r>
          </m:sup>
        </m:sSup>
      </m:oMath>
      <w:r w:rsidRPr="00CC6CA3">
        <w:t>). As previously, fifty points backwards were used as training data to predict four points forward. RMSE was</w:t>
      </w:r>
      <w:r w:rsidRPr="00CC6CA3">
        <w:rPr>
          <w:szCs w:val="20"/>
        </w:rPr>
        <w:t xml:space="preserve"> calculated to assess the accuracy of the prediction method. The true values and the predicted results of the system feature can be seen in </w:t>
      </w:r>
      <w:r w:rsidR="006A68D6" w:rsidRPr="00CC6CA3">
        <w:rPr>
          <w:szCs w:val="20"/>
        </w:rPr>
        <w:fldChar w:fldCharType="begin"/>
      </w:r>
      <w:r w:rsidR="006A68D6" w:rsidRPr="00CC6CA3">
        <w:rPr>
          <w:szCs w:val="20"/>
        </w:rPr>
        <w:instrText xml:space="preserve"> REF _Ref63761408 \h </w:instrText>
      </w:r>
      <w:r w:rsidR="006A68D6" w:rsidRPr="00CC6CA3">
        <w:rPr>
          <w:szCs w:val="20"/>
        </w:rPr>
      </w:r>
      <w:r w:rsidR="006A68D6" w:rsidRPr="00CC6CA3">
        <w:rPr>
          <w:szCs w:val="20"/>
        </w:rPr>
        <w:fldChar w:fldCharType="separate"/>
      </w:r>
      <w:r w:rsidR="001906D9" w:rsidRPr="00CC6CA3">
        <w:t xml:space="preserve">Figure </w:t>
      </w:r>
      <w:r w:rsidR="001906D9" w:rsidRPr="00CC6CA3">
        <w:rPr>
          <w:noProof/>
        </w:rPr>
        <w:t>5</w:t>
      </w:r>
      <w:r w:rsidR="001906D9" w:rsidRPr="00CC6CA3">
        <w:t>.</w:t>
      </w:r>
      <w:r w:rsidR="001906D9" w:rsidRPr="00CC6CA3">
        <w:rPr>
          <w:noProof/>
        </w:rPr>
        <w:t>23</w:t>
      </w:r>
      <w:r w:rsidR="006A68D6" w:rsidRPr="00CC6CA3">
        <w:rPr>
          <w:szCs w:val="20"/>
        </w:rPr>
        <w:fldChar w:fldCharType="end"/>
      </w:r>
      <w:r w:rsidR="006A68D6" w:rsidRPr="00CC6CA3">
        <w:rPr>
          <w:szCs w:val="20"/>
        </w:rPr>
        <w:t xml:space="preserve">. </w:t>
      </w:r>
    </w:p>
    <w:p w14:paraId="40FBE2B2" w14:textId="2EED4CDD" w:rsidR="006A68D6" w:rsidRPr="00CC6CA3" w:rsidRDefault="00022184" w:rsidP="006A68D6">
      <w:pPr>
        <w:keepNext/>
        <w:spacing w:before="120"/>
        <w:jc w:val="center"/>
      </w:pPr>
      <w:r w:rsidRPr="00CC6CA3">
        <w:rPr>
          <w:noProof/>
        </w:rPr>
        <w:lastRenderedPageBreak/>
        <w:drawing>
          <wp:inline distT="0" distB="0" distL="0" distR="0" wp14:anchorId="4B64B615" wp14:editId="60B8101B">
            <wp:extent cx="4614528" cy="198000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614528" cy="1980000"/>
                    </a:xfrm>
                    <a:prstGeom prst="rect">
                      <a:avLst/>
                    </a:prstGeom>
                    <a:noFill/>
                  </pic:spPr>
                </pic:pic>
              </a:graphicData>
            </a:graphic>
          </wp:inline>
        </w:drawing>
      </w:r>
    </w:p>
    <w:p w14:paraId="1A349D49" w14:textId="3DE03544" w:rsidR="006A68D6" w:rsidRPr="00CC6CA3" w:rsidRDefault="006A68D6" w:rsidP="006A68D6">
      <w:pPr>
        <w:pStyle w:val="Caption"/>
        <w:jc w:val="center"/>
      </w:pPr>
      <w:bookmarkStart w:id="545" w:name="_Ref63761408"/>
      <w:bookmarkStart w:id="546" w:name="_Toc81553450"/>
      <w:r w:rsidRPr="00CC6CA3">
        <w:t xml:space="preserve">Figure </w:t>
      </w:r>
      <w:r w:rsidR="00D62691" w:rsidRPr="00CC6CA3">
        <w:fldChar w:fldCharType="begin"/>
      </w:r>
      <w:r w:rsidR="00D62691" w:rsidRPr="00CC6CA3">
        <w:instrText xml:space="preserve"> ST</w:instrText>
      </w:r>
      <w:r w:rsidR="00D62691" w:rsidRPr="00CC6CA3">
        <w:instrText xml:space="preserve">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23</w:t>
      </w:r>
      <w:r w:rsidR="00D62691" w:rsidRPr="00CC6CA3">
        <w:rPr>
          <w:noProof/>
        </w:rPr>
        <w:fldChar w:fldCharType="end"/>
      </w:r>
      <w:bookmarkEnd w:id="545"/>
      <w:r w:rsidRPr="00CC6CA3">
        <w:t xml:space="preserve"> T</w:t>
      </w:r>
      <w:r w:rsidRPr="00CC6CA3">
        <w:rPr>
          <w:szCs w:val="20"/>
        </w:rPr>
        <w:t xml:space="preserve">rue value and the prediction results of the system feature via </w:t>
      </w:r>
      <w:r w:rsidRPr="00CC6CA3">
        <w:t xml:space="preserve">three-order polynomial regression for </w:t>
      </w:r>
      <w:r w:rsidR="00C11724" w:rsidRPr="00CC6CA3">
        <w:t>C</w:t>
      </w:r>
      <w:r w:rsidRPr="00CC6CA3">
        <w:t>ase 2</w:t>
      </w:r>
      <w:bookmarkEnd w:id="546"/>
    </w:p>
    <w:p w14:paraId="6F82C319" w14:textId="7A3B4656" w:rsidR="006A68D6" w:rsidRPr="00CC6CA3" w:rsidRDefault="006A68D6" w:rsidP="006A68D6">
      <w:pPr>
        <w:spacing w:before="120"/>
      </w:pPr>
      <w:r w:rsidRPr="00CC6CA3">
        <w:t xml:space="preserve">Based on the predicted system feature, the POF can be calculated according to Equation </w:t>
      </w:r>
      <w:r w:rsidRPr="00CC6CA3">
        <w:fldChar w:fldCharType="begin"/>
      </w:r>
      <w:r w:rsidRPr="00CC6CA3">
        <w:instrText xml:space="preserve"> REF _Ref63718657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8</w:t>
      </w:r>
      <w:r w:rsidR="001906D9" w:rsidRPr="00CC6CA3">
        <w:t>)</w:t>
      </w:r>
      <w:r w:rsidRPr="00CC6CA3">
        <w:fldChar w:fldCharType="end"/>
      </w:r>
      <w:r w:rsidRPr="00CC6CA3">
        <w:t xml:space="preserve">. </w:t>
      </w:r>
      <w:r w:rsidR="00913F2C" w:rsidRPr="00CC6CA3">
        <w:t>The results are presented in</w:t>
      </w:r>
      <w:r w:rsidRPr="00CC6CA3">
        <w:t xml:space="preserve"> </w:t>
      </w:r>
      <w:r w:rsidRPr="00CC6CA3">
        <w:fldChar w:fldCharType="begin"/>
      </w:r>
      <w:r w:rsidRPr="00CC6CA3">
        <w:instrText xml:space="preserve"> REF _Ref63761427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24</w:t>
      </w:r>
      <w:r w:rsidRPr="00CC6CA3">
        <w:fldChar w:fldCharType="end"/>
      </w:r>
      <w:r w:rsidRPr="00CC6CA3">
        <w:t xml:space="preserve">. </w:t>
      </w:r>
      <w:r w:rsidR="00913F2C" w:rsidRPr="00CC6CA3">
        <w:t xml:space="preserve">The red line in the figure is the POF calculated using the fault detection threshold </w:t>
      </w:r>
      <w:r w:rsidR="00913F2C" w:rsidRPr="00CC6CA3">
        <w:rPr>
          <w:i/>
          <w:iCs/>
        </w:rPr>
        <w:t>d</w:t>
      </w:r>
      <w:r w:rsidR="00913F2C" w:rsidRPr="00CC6CA3">
        <w:rPr>
          <w:i/>
          <w:iCs/>
          <w:vertAlign w:val="subscript"/>
        </w:rPr>
        <w:t>1</w:t>
      </w:r>
      <w:r w:rsidR="00913F2C" w:rsidRPr="00CC6CA3">
        <w:t xml:space="preserve">. Here </w:t>
      </w:r>
      <m:oMath>
        <m:r>
          <w:rPr>
            <w:rFonts w:ascii="Cambria Math" w:hAnsi="Cambria Math"/>
          </w:rPr>
          <m:t>POF</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=0.5</m:t>
        </m:r>
      </m:oMath>
      <w:r w:rsidR="00913F2C" w:rsidRPr="00CC6CA3">
        <w:t>. The values below this line were regarded as normal, and above the line were viewed as anomalies. As can be seen in the figure the POF was below the threshold from 12</w:t>
      </w:r>
      <w:r w:rsidR="00913F2C" w:rsidRPr="00CC6CA3">
        <w:rPr>
          <w:vertAlign w:val="superscript"/>
        </w:rPr>
        <w:t>th</w:t>
      </w:r>
      <w:r w:rsidR="00913F2C" w:rsidRPr="00CC6CA3">
        <w:t xml:space="preserve"> Jul to 06:00 3</w:t>
      </w:r>
      <w:r w:rsidR="00913F2C" w:rsidRPr="00CC6CA3">
        <w:rPr>
          <w:vertAlign w:val="superscript"/>
        </w:rPr>
        <w:t>rd</w:t>
      </w:r>
      <w:r w:rsidR="00913F2C" w:rsidRPr="00CC6CA3">
        <w:t xml:space="preserve"> Jul 2016, which indicates that the pump was in a healthy condition during this period. The POF value crossed the threshold at 06:00 on 3</w:t>
      </w:r>
      <w:r w:rsidR="00913F2C" w:rsidRPr="00CC6CA3">
        <w:rPr>
          <w:vertAlign w:val="superscript"/>
        </w:rPr>
        <w:t>rd</w:t>
      </w:r>
      <w:r w:rsidR="00913F2C" w:rsidRPr="00CC6CA3">
        <w:t xml:space="preserve"> Jul 2016, and after this time the POF fluctuated above 0.5 and increased to 1, leading to a fault</w:t>
      </w:r>
      <w:r w:rsidRPr="00CC6CA3">
        <w:t>.</w:t>
      </w:r>
    </w:p>
    <w:p w14:paraId="06837E29" w14:textId="77777777" w:rsidR="006A68D6" w:rsidRPr="00CC6CA3" w:rsidRDefault="006A68D6" w:rsidP="006A68D6">
      <w:pPr>
        <w:keepNext/>
        <w:spacing w:before="120"/>
        <w:jc w:val="center"/>
      </w:pPr>
      <w:r w:rsidRPr="00CC6CA3">
        <w:rPr>
          <w:noProof/>
        </w:rPr>
        <w:drawing>
          <wp:inline distT="0" distB="0" distL="0" distR="0" wp14:anchorId="2998BF42" wp14:editId="63EDFECC">
            <wp:extent cx="4752000" cy="1975515"/>
            <wp:effectExtent l="0" t="0" r="0"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752000" cy="1975515"/>
                    </a:xfrm>
                    <a:prstGeom prst="rect">
                      <a:avLst/>
                    </a:prstGeom>
                    <a:noFill/>
                  </pic:spPr>
                </pic:pic>
              </a:graphicData>
            </a:graphic>
          </wp:inline>
        </w:drawing>
      </w:r>
    </w:p>
    <w:p w14:paraId="7D8BA9E8" w14:textId="1026EA83" w:rsidR="006A68D6" w:rsidRPr="00CC6CA3" w:rsidRDefault="006A68D6" w:rsidP="006A68D6">
      <w:pPr>
        <w:pStyle w:val="Caption"/>
        <w:jc w:val="center"/>
      </w:pPr>
      <w:bookmarkStart w:id="547" w:name="_Ref63761427"/>
      <w:bookmarkStart w:id="548" w:name="_Toc8155345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24</w:t>
      </w:r>
      <w:r w:rsidR="00D62691" w:rsidRPr="00CC6CA3">
        <w:rPr>
          <w:noProof/>
        </w:rPr>
        <w:fldChar w:fldCharType="end"/>
      </w:r>
      <w:bookmarkEnd w:id="547"/>
      <w:r w:rsidRPr="00CC6CA3">
        <w:t xml:space="preserve"> POF </w:t>
      </w:r>
      <w:r w:rsidR="00913F2C" w:rsidRPr="00CC6CA3">
        <w:rPr>
          <w:szCs w:val="20"/>
        </w:rPr>
        <w:t xml:space="preserve">calculated by the system feature in the online phase for Case 2 (red line - POF calculated for the fault detection threshold </w:t>
      </w:r>
      <m:oMath>
        <m:sSub>
          <m:sSubPr>
            <m:ctrlPr>
              <w:rPr>
                <w:rFonts w:ascii="Cambria Math" w:hAnsi="Cambria Math"/>
                <w:szCs w:val="20"/>
              </w:rPr>
            </m:ctrlPr>
          </m:sSubPr>
          <m:e>
            <m:r>
              <w:rPr>
                <w:rFonts w:ascii="Cambria Math" w:hAnsi="Cambria Math"/>
                <w:szCs w:val="20"/>
              </w:rPr>
              <m:t>d</m:t>
            </m:r>
          </m:e>
          <m:sub>
            <m:r>
              <w:rPr>
                <w:rFonts w:ascii="Cambria Math" w:hAnsi="Cambria Math"/>
                <w:szCs w:val="20"/>
              </w:rPr>
              <m:t>1</m:t>
            </m:r>
          </m:sub>
        </m:sSub>
      </m:oMath>
      <w:r w:rsidRPr="00CC6CA3">
        <w:t>)</w:t>
      </w:r>
      <w:bookmarkEnd w:id="548"/>
    </w:p>
    <w:p w14:paraId="72022044" w14:textId="048D6A91" w:rsidR="006A68D6" w:rsidRPr="00CC6CA3" w:rsidRDefault="00913F2C" w:rsidP="006A68D6">
      <w:pPr>
        <w:spacing w:before="120"/>
      </w:pPr>
      <w:r w:rsidRPr="00CC6CA3">
        <w:t xml:space="preserve">When the system feature exceeded the threshold </w:t>
      </w:r>
      <m:oMath>
        <m:sSub>
          <m:sSubPr>
            <m:ctrlPr>
              <w:rPr>
                <w:rFonts w:ascii="Cambria Math" w:hAnsi="Cambria Math"/>
                <w:i/>
              </w:rPr>
            </m:ctrlPr>
          </m:sSubPr>
          <m:e>
            <m:r>
              <w:rPr>
                <w:rFonts w:ascii="Cambria Math" w:hAnsi="Cambria Math"/>
              </w:rPr>
              <m:t>d</m:t>
            </m:r>
          </m:e>
          <m:sub>
            <m:r>
              <w:rPr>
                <w:rFonts w:ascii="Cambria Math" w:hAnsi="Cambria Math"/>
              </w:rPr>
              <m:t>1</m:t>
            </m:r>
          </m:sub>
        </m:sSub>
      </m:oMath>
      <w:r w:rsidRPr="00CC6CA3">
        <w:t xml:space="preserve">, concurrently, the POF value would exceed the threshold </w:t>
      </w:r>
      <m:oMath>
        <m:r>
          <w:rPr>
            <w:rFonts w:ascii="Cambria Math" w:hAnsi="Cambria Math"/>
          </w:rPr>
          <m:t>POF=0.5</m:t>
        </m:r>
      </m:oMath>
      <w:r w:rsidRPr="00CC6CA3">
        <w:t xml:space="preserve">. After the system feature exceeded the threshold </w:t>
      </w:r>
      <m:oMath>
        <m:sSub>
          <m:sSubPr>
            <m:ctrlPr>
              <w:rPr>
                <w:rFonts w:ascii="Cambria Math" w:hAnsi="Cambria Math"/>
                <w:i/>
              </w:rPr>
            </m:ctrlPr>
          </m:sSubPr>
          <m:e>
            <m:r>
              <w:rPr>
                <w:rFonts w:ascii="Cambria Math" w:hAnsi="Cambria Math"/>
              </w:rPr>
              <m:t>d</m:t>
            </m:r>
          </m:e>
          <m:sub>
            <m:r>
              <w:rPr>
                <w:rFonts w:ascii="Cambria Math" w:hAnsi="Cambria Math"/>
              </w:rPr>
              <m:t>1</m:t>
            </m:r>
          </m:sub>
        </m:sSub>
      </m:oMath>
      <w:r w:rsidRPr="00CC6CA3">
        <w:t xml:space="preserve">, the fault analysis module deduced the possible fault type, and then, calculated the COF value of </w:t>
      </w:r>
      <w:r w:rsidRPr="00CC6CA3">
        <w:lastRenderedPageBreak/>
        <w:t xml:space="preserve">the fault. In our methodology, a two-dimensional Q statistic contribution map was calculated (for details see Chapter 4). The results of the analysis are presented in </w:t>
      </w:r>
      <w:r w:rsidR="006A68D6" w:rsidRPr="00CC6CA3">
        <w:fldChar w:fldCharType="begin"/>
      </w:r>
      <w:r w:rsidR="006A68D6" w:rsidRPr="00CC6CA3">
        <w:instrText xml:space="preserve"> REF _Ref63801902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25</w:t>
      </w:r>
      <w:r w:rsidR="006A68D6" w:rsidRPr="00CC6CA3">
        <w:fldChar w:fldCharType="end"/>
      </w:r>
      <w:r w:rsidR="006A68D6" w:rsidRPr="00CC6CA3">
        <w:t>.</w:t>
      </w:r>
    </w:p>
    <w:p w14:paraId="569CBBA0" w14:textId="77777777" w:rsidR="006A68D6" w:rsidRPr="00CC6CA3" w:rsidRDefault="006A68D6" w:rsidP="006A68D6">
      <w:pPr>
        <w:keepNext/>
        <w:jc w:val="center"/>
      </w:pPr>
      <w:r w:rsidRPr="00CC6CA3">
        <w:object w:dxaOrig="12313" w:dyaOrig="7680" w14:anchorId="2D2119F8">
          <v:shape id="_x0000_i1099" type="#_x0000_t75" style="width:438pt;height:276pt" o:ole="">
            <v:imagedata r:id="rId152" o:title=""/>
          </v:shape>
          <o:OLEObject Type="Embed" ProgID="Visio.Drawing.15" ShapeID="_x0000_i1099" DrawAspect="Content" ObjectID="_1692500378" r:id="rId220"/>
        </w:object>
      </w:r>
    </w:p>
    <w:p w14:paraId="55D6CAC1" w14:textId="171AA26A" w:rsidR="006A68D6" w:rsidRPr="00CC6CA3" w:rsidRDefault="006A68D6" w:rsidP="006A68D6">
      <w:pPr>
        <w:pStyle w:val="Caption"/>
        <w:jc w:val="center"/>
      </w:pPr>
      <w:bookmarkStart w:id="549" w:name="_Ref63801902"/>
      <w:bookmarkStart w:id="550" w:name="_Toc8155345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25</w:t>
      </w:r>
      <w:r w:rsidR="00D62691" w:rsidRPr="00CC6CA3">
        <w:rPr>
          <w:noProof/>
        </w:rPr>
        <w:fldChar w:fldCharType="end"/>
      </w:r>
      <w:bookmarkEnd w:id="549"/>
      <w:r w:rsidRPr="00CC6CA3">
        <w:t xml:space="preserve"> Contribution </w:t>
      </w:r>
      <w:r w:rsidR="00913F2C" w:rsidRPr="00CC6CA3">
        <w:rPr>
          <w:szCs w:val="20"/>
        </w:rPr>
        <w:t>for SAE model for Case</w:t>
      </w:r>
      <w:r w:rsidR="00913F2C" w:rsidRPr="00CC6CA3">
        <w:t xml:space="preserve"> </w:t>
      </w:r>
      <w:r w:rsidRPr="00CC6CA3">
        <w:t>2</w:t>
      </w:r>
      <w:bookmarkEnd w:id="550"/>
    </w:p>
    <w:p w14:paraId="10047AB1" w14:textId="5E6ECBAF" w:rsidR="00913F2C" w:rsidRPr="00CC6CA3" w:rsidRDefault="006A68D6" w:rsidP="00913F2C">
      <w:pPr>
        <w:spacing w:before="120"/>
      </w:pPr>
      <w:r w:rsidRPr="00CC6CA3">
        <w:t xml:space="preserve">As can be seen in </w:t>
      </w:r>
      <w:r w:rsidRPr="00CC6CA3">
        <w:fldChar w:fldCharType="begin"/>
      </w:r>
      <w:r w:rsidRPr="00CC6CA3">
        <w:instrText xml:space="preserve"> REF _Ref63801902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25</w:t>
      </w:r>
      <w:r w:rsidRPr="00CC6CA3">
        <w:fldChar w:fldCharType="end"/>
      </w:r>
      <w:r w:rsidR="00913F2C" w:rsidRPr="00CC6CA3">
        <w:t xml:space="preserve">, from </w:t>
      </w:r>
      <w:r w:rsidR="00913F2C" w:rsidRPr="00CC6CA3">
        <w:rPr>
          <w:rFonts w:hint="eastAsia"/>
        </w:rPr>
        <w:t>1</w:t>
      </w:r>
      <w:r w:rsidR="00913F2C" w:rsidRPr="00CC6CA3">
        <w:t>6</w:t>
      </w:r>
      <w:r w:rsidR="00913F2C" w:rsidRPr="00CC6CA3">
        <w:rPr>
          <w:rFonts w:hint="eastAsia"/>
        </w:rPr>
        <w:t>:</w:t>
      </w:r>
      <w:r w:rsidR="00913F2C" w:rsidRPr="00CC6CA3">
        <w:t>00 on 17</w:t>
      </w:r>
      <w:r w:rsidR="00913F2C" w:rsidRPr="00CC6CA3">
        <w:rPr>
          <w:vertAlign w:val="superscript"/>
        </w:rPr>
        <w:t>th</w:t>
      </w:r>
      <w:r w:rsidR="00913F2C" w:rsidRPr="00CC6CA3">
        <w:t xml:space="preserve"> to 14:00 on 19</w:t>
      </w:r>
      <w:r w:rsidR="00913F2C" w:rsidRPr="00CC6CA3">
        <w:rPr>
          <w:vertAlign w:val="superscript"/>
        </w:rPr>
        <w:t>th</w:t>
      </w:r>
      <w:r w:rsidR="00913F2C" w:rsidRPr="00CC6CA3">
        <w:t xml:space="preserve"> Jul 2016, the increase of the system feature was caused by anomalies in the temperatures of four bearings. The results gave the maintenance staff a clear indication of bearing related faults, such as misalignment. </w:t>
      </w:r>
      <w:bookmarkStart w:id="551" w:name="_Hlk70705451"/>
      <w:r w:rsidR="00913F2C" w:rsidRPr="00CC6CA3">
        <w:t>After the misalignment fault was remedied, from 14:00 on 19</w:t>
      </w:r>
      <w:r w:rsidR="00913F2C" w:rsidRPr="00CC6CA3">
        <w:rPr>
          <w:vertAlign w:val="superscript"/>
        </w:rPr>
        <w:t>th</w:t>
      </w:r>
      <w:r w:rsidR="00913F2C" w:rsidRPr="00CC6CA3">
        <w:t xml:space="preserve"> Jul 2016, it was the overall vibration X </w:t>
      </w:r>
      <w:r w:rsidR="00913F2C" w:rsidRPr="00CC6CA3">
        <w:rPr>
          <w:rFonts w:hint="eastAsia"/>
        </w:rPr>
        <w:t>o</w:t>
      </w:r>
      <w:r w:rsidR="00913F2C" w:rsidRPr="00CC6CA3">
        <w:t>f radial bearing 2 that contributed most to the increase of the system feature. The results gave the maintenance staff a clear indication that bearing 2 was faulty.</w:t>
      </w:r>
    </w:p>
    <w:bookmarkEnd w:id="551"/>
    <w:p w14:paraId="5F48006F" w14:textId="240F691C" w:rsidR="006A68D6" w:rsidRPr="00CC6CA3" w:rsidRDefault="00913F2C" w:rsidP="006A68D6">
      <w:pPr>
        <w:spacing w:before="120"/>
      </w:pPr>
      <w:r w:rsidRPr="00CC6CA3">
        <w:t xml:space="preserve">After the fault type had been inferred, the financial factors used in estimating the </w:t>
      </w:r>
      <m:oMath>
        <m:r>
          <w:rPr>
            <w:rFonts w:ascii="Cambria Math" w:hAnsi="Cambria Math"/>
          </w:rPr>
          <m:t>EML</m:t>
        </m:r>
      </m:oMath>
      <w:r w:rsidRPr="00CC6CA3">
        <w:t xml:space="preserve"> were updated. The financial factors and their values are listed in</w:t>
      </w:r>
      <w:r w:rsidR="006A68D6" w:rsidRPr="00CC6CA3">
        <w:t xml:space="preserve"> </w:t>
      </w:r>
      <w:r w:rsidR="006A68D6" w:rsidRPr="00CC6CA3">
        <w:fldChar w:fldCharType="begin"/>
      </w:r>
      <w:r w:rsidR="006A68D6" w:rsidRPr="00CC6CA3">
        <w:instrText xml:space="preserve"> REF _Ref63723649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8</w:t>
      </w:r>
      <w:r w:rsidR="006A68D6" w:rsidRPr="00CC6CA3">
        <w:fldChar w:fldCharType="end"/>
      </w:r>
      <w:r w:rsidR="006A68D6" w:rsidRPr="00CC6CA3">
        <w:t xml:space="preserve">. The COF at the online phase can be found in </w:t>
      </w:r>
      <w:r w:rsidR="006A68D6" w:rsidRPr="00CC6CA3">
        <w:fldChar w:fldCharType="begin"/>
      </w:r>
      <w:r w:rsidR="006A68D6" w:rsidRPr="00CC6CA3">
        <w:instrText xml:space="preserve"> REF _Ref63761876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26</w:t>
      </w:r>
      <w:r w:rsidR="006A68D6" w:rsidRPr="00CC6CA3">
        <w:fldChar w:fldCharType="end"/>
      </w:r>
      <w:r w:rsidR="006A68D6" w:rsidRPr="00CC6CA3">
        <w:t>.</w:t>
      </w:r>
    </w:p>
    <w:p w14:paraId="68459783" w14:textId="77777777" w:rsidR="006A68D6" w:rsidRPr="00CC6CA3" w:rsidRDefault="006A68D6" w:rsidP="006A68D6">
      <w:pPr>
        <w:pStyle w:val="Body"/>
        <w:keepNext/>
        <w:jc w:val="center"/>
      </w:pPr>
      <w:r w:rsidRPr="00CC6CA3">
        <w:rPr>
          <w:noProof/>
        </w:rPr>
        <w:lastRenderedPageBreak/>
        <w:drawing>
          <wp:inline distT="0" distB="0" distL="0" distR="0" wp14:anchorId="3C54BE50" wp14:editId="1A15D39D">
            <wp:extent cx="4752000" cy="197551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752000" cy="1975515"/>
                    </a:xfrm>
                    <a:prstGeom prst="rect">
                      <a:avLst/>
                    </a:prstGeom>
                    <a:noFill/>
                  </pic:spPr>
                </pic:pic>
              </a:graphicData>
            </a:graphic>
          </wp:inline>
        </w:drawing>
      </w:r>
    </w:p>
    <w:p w14:paraId="50D259BA" w14:textId="34D56032" w:rsidR="006A68D6" w:rsidRPr="00CC6CA3" w:rsidRDefault="006A68D6" w:rsidP="006A68D6">
      <w:pPr>
        <w:pStyle w:val="Caption"/>
        <w:jc w:val="center"/>
      </w:pPr>
      <w:bookmarkStart w:id="552" w:name="_Ref63761876"/>
      <w:bookmarkStart w:id="553" w:name="_Toc81553453"/>
      <w:r w:rsidRPr="00CC6CA3">
        <w:t xml:space="preserve">Figure </w:t>
      </w:r>
      <w:r w:rsidR="00D62691" w:rsidRPr="00CC6CA3">
        <w:fldChar w:fldCharType="begin"/>
      </w:r>
      <w:r w:rsidR="00D62691" w:rsidRPr="00CC6CA3">
        <w:instrText xml:space="preserve"> S</w:instrText>
      </w:r>
      <w:r w:rsidR="00D62691" w:rsidRPr="00CC6CA3">
        <w:instrText xml:space="preserve">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26</w:t>
      </w:r>
      <w:r w:rsidR="00D62691" w:rsidRPr="00CC6CA3">
        <w:rPr>
          <w:noProof/>
        </w:rPr>
        <w:fldChar w:fldCharType="end"/>
      </w:r>
      <w:bookmarkEnd w:id="552"/>
      <w:r w:rsidRPr="00CC6CA3">
        <w:t xml:space="preserve"> Consequence of a fault in the online phase for </w:t>
      </w:r>
      <w:r w:rsidR="00913F2C" w:rsidRPr="00CC6CA3">
        <w:t>C</w:t>
      </w:r>
      <w:r w:rsidRPr="00CC6CA3">
        <w:t>ase 2</w:t>
      </w:r>
      <w:bookmarkEnd w:id="553"/>
    </w:p>
    <w:p w14:paraId="30C905F2" w14:textId="302D94F7" w:rsidR="006A68D6" w:rsidRPr="00CC6CA3" w:rsidRDefault="006A68D6" w:rsidP="006A68D6">
      <w:pPr>
        <w:spacing w:before="120"/>
      </w:pPr>
      <w:r w:rsidRPr="00CC6CA3">
        <w:t xml:space="preserve">The system health indicator was a dynamic risk profile of the pump. It was obtained by combining the COF with the POF in the online phase. </w:t>
      </w:r>
      <w:r w:rsidR="00913F2C" w:rsidRPr="00CC6CA3">
        <w:t>The system health indicator of the pump is shown in</w:t>
      </w:r>
      <w:r w:rsidRPr="00CC6CA3">
        <w:t xml:space="preserve"> </w:t>
      </w:r>
      <w:r w:rsidRPr="00CC6CA3">
        <w:fldChar w:fldCharType="begin"/>
      </w:r>
      <w:r w:rsidRPr="00CC6CA3">
        <w:instrText xml:space="preserve"> REF _Ref63761949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27</w:t>
      </w:r>
      <w:r w:rsidRPr="00CC6CA3">
        <w:fldChar w:fldCharType="end"/>
      </w:r>
      <w:r w:rsidRPr="00CC6CA3">
        <w:t>.</w:t>
      </w:r>
    </w:p>
    <w:p w14:paraId="2AF5D26F" w14:textId="77777777" w:rsidR="006A68D6" w:rsidRPr="00CC6CA3" w:rsidRDefault="006A68D6" w:rsidP="006A68D6">
      <w:pPr>
        <w:keepNext/>
        <w:jc w:val="center"/>
      </w:pPr>
      <w:r w:rsidRPr="00CC6CA3">
        <w:rPr>
          <w:noProof/>
        </w:rPr>
        <w:drawing>
          <wp:inline distT="0" distB="0" distL="0" distR="0" wp14:anchorId="5263EBA0" wp14:editId="5E533ECD">
            <wp:extent cx="4752000" cy="242665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52000" cy="2426654"/>
                    </a:xfrm>
                    <a:prstGeom prst="rect">
                      <a:avLst/>
                    </a:prstGeom>
                    <a:noFill/>
                  </pic:spPr>
                </pic:pic>
              </a:graphicData>
            </a:graphic>
          </wp:inline>
        </w:drawing>
      </w:r>
    </w:p>
    <w:p w14:paraId="3396A4AC" w14:textId="7074C8F7" w:rsidR="006A68D6" w:rsidRPr="00CC6CA3" w:rsidRDefault="006A68D6" w:rsidP="006A68D6">
      <w:pPr>
        <w:pStyle w:val="Caption"/>
        <w:jc w:val="center"/>
      </w:pPr>
      <w:bookmarkStart w:id="554" w:name="_Ref63761949"/>
      <w:bookmarkStart w:id="555" w:name="_Toc8155345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27</w:t>
      </w:r>
      <w:r w:rsidR="00D62691" w:rsidRPr="00CC6CA3">
        <w:rPr>
          <w:noProof/>
        </w:rPr>
        <w:fldChar w:fldCharType="end"/>
      </w:r>
      <w:bookmarkEnd w:id="554"/>
      <w:r w:rsidRPr="00CC6CA3">
        <w:t xml:space="preserve"> System health indicator presented by the risk profile of the pump for </w:t>
      </w:r>
      <w:r w:rsidR="00913F2C" w:rsidRPr="00CC6CA3">
        <w:t>C</w:t>
      </w:r>
      <w:r w:rsidRPr="00CC6CA3">
        <w:t>ase 2</w:t>
      </w:r>
      <w:bookmarkEnd w:id="555"/>
    </w:p>
    <w:p w14:paraId="353824BD" w14:textId="50139706" w:rsidR="006A68D6" w:rsidRPr="00CC6CA3" w:rsidRDefault="006A68D6" w:rsidP="006A68D6">
      <w:pPr>
        <w:spacing w:before="120"/>
      </w:pPr>
      <w:r w:rsidRPr="00CC6CA3">
        <w:t xml:space="preserve">In </w:t>
      </w:r>
      <w:r w:rsidRPr="00CC6CA3">
        <w:fldChar w:fldCharType="begin"/>
      </w:r>
      <w:r w:rsidRPr="00CC6CA3">
        <w:instrText xml:space="preserve"> REF _Ref63761949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27</w:t>
      </w:r>
      <w:r w:rsidRPr="00CC6CA3">
        <w:fldChar w:fldCharType="end"/>
      </w:r>
      <w:r w:rsidRPr="00CC6CA3">
        <w:t xml:space="preserve">, </w:t>
      </w:r>
      <w:r w:rsidR="00913F2C" w:rsidRPr="00CC6CA3">
        <w:t xml:space="preserve">the first threshold </w:t>
      </w:r>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r w:rsidR="00913F2C" w:rsidRPr="00CC6CA3">
        <w:t xml:space="preserve"> was used for fault detection. In this case, the health indicator gave a warning at 18:00, 17 Jul 2016. Comparing to the measured variables from the pump’s condition monitoring system in Figure 3-15, the health indicator successfully detected the fault at its incipient stage</w:t>
      </w:r>
      <w:r w:rsidRPr="00CC6CA3">
        <w:t xml:space="preserve">. </w:t>
      </w:r>
    </w:p>
    <w:p w14:paraId="05146D6A" w14:textId="10292295" w:rsidR="00913F2C" w:rsidRPr="00CC6CA3" w:rsidRDefault="006A68D6" w:rsidP="00913F2C">
      <w:pPr>
        <w:spacing w:before="120"/>
      </w:pPr>
      <w:r w:rsidRPr="00CC6CA3">
        <w:t xml:space="preserve">The second threshold </w:t>
      </w:r>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r w:rsidRPr="00CC6CA3">
        <w:t xml:space="preserve"> in </w:t>
      </w:r>
      <w:r w:rsidRPr="00CC6CA3">
        <w:fldChar w:fldCharType="begin"/>
      </w:r>
      <w:r w:rsidRPr="00CC6CA3">
        <w:instrText xml:space="preserve"> REF _Ref63761949 \h  \* MERGEFORMAT </w:instrText>
      </w:r>
      <w:r w:rsidRPr="00CC6CA3">
        <w:fldChar w:fldCharType="separate"/>
      </w:r>
      <w:r w:rsidR="001906D9" w:rsidRPr="00CC6CA3">
        <w:t xml:space="preserve">Figure </w:t>
      </w:r>
      <w:r w:rsidR="001906D9" w:rsidRPr="00CC6CA3">
        <w:rPr>
          <w:noProof/>
        </w:rPr>
        <w:t>5.27</w:t>
      </w:r>
      <w:r w:rsidRPr="00CC6CA3">
        <w:fldChar w:fldCharType="end"/>
      </w:r>
      <w:r w:rsidRPr="00CC6CA3">
        <w:t xml:space="preserve"> </w:t>
      </w:r>
      <w:r w:rsidR="00913F2C" w:rsidRPr="00CC6CA3">
        <w:t>was used for system protection. For the misalignment fault, the health indicator suggested shutting down for maintenance no later than 07:00 on 20</w:t>
      </w:r>
      <w:r w:rsidR="00913F2C" w:rsidRPr="00CC6CA3">
        <w:rPr>
          <w:vertAlign w:val="superscript"/>
        </w:rPr>
        <w:t>th</w:t>
      </w:r>
      <w:r w:rsidR="00913F2C" w:rsidRPr="00CC6CA3">
        <w:t xml:space="preserve"> July. As shown in Figure 3-15, the company shut down the pump at 15:00 on the </w:t>
      </w:r>
      <w:proofErr w:type="gramStart"/>
      <w:r w:rsidR="00913F2C" w:rsidRPr="00CC6CA3">
        <w:t>19</w:t>
      </w:r>
      <w:r w:rsidR="00913F2C" w:rsidRPr="00CC6CA3">
        <w:rPr>
          <w:vertAlign w:val="superscript"/>
        </w:rPr>
        <w:t>th</w:t>
      </w:r>
      <w:proofErr w:type="gramEnd"/>
      <w:r w:rsidR="00913F2C" w:rsidRPr="00CC6CA3">
        <w:t xml:space="preserve"> July, quite close to the time shown by the health indicator. </w:t>
      </w:r>
    </w:p>
    <w:p w14:paraId="2D4DDFC9" w14:textId="1ACA5669" w:rsidR="006A68D6" w:rsidRPr="00CC6CA3" w:rsidRDefault="00913F2C" w:rsidP="00913F2C">
      <w:pPr>
        <w:spacing w:before="120"/>
      </w:pPr>
      <w:r w:rsidRPr="00CC6CA3">
        <w:lastRenderedPageBreak/>
        <w:t xml:space="preserve">For the fault in radial bearing 2, the health indicator detected the presence of a fault at its </w:t>
      </w:r>
      <w:proofErr w:type="gramStart"/>
      <w:r w:rsidRPr="00CC6CA3">
        <w:t>start, and</w:t>
      </w:r>
      <w:proofErr w:type="gramEnd"/>
      <w:r w:rsidRPr="00CC6CA3">
        <w:t xml:space="preserve"> suggested shutting down for maintenance when the risk value reached threshold </w:t>
      </w:r>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r w:rsidRPr="00CC6CA3">
        <w:t>. The company shut down the pump on 23</w:t>
      </w:r>
      <w:r w:rsidRPr="00CC6CA3">
        <w:rPr>
          <w:vertAlign w:val="superscript"/>
        </w:rPr>
        <w:t>rd</w:t>
      </w:r>
      <w:r w:rsidRPr="00CC6CA3">
        <w:t xml:space="preserve"> Aug, see Figure 3-15, which is close to the time the risk approached the shutdown threshold</w:t>
      </w:r>
      <w:r w:rsidR="006A68D6" w:rsidRPr="00CC6CA3">
        <w:t>.</w:t>
      </w:r>
    </w:p>
    <w:p w14:paraId="1F8EEF0C" w14:textId="64680819" w:rsidR="006A68D6" w:rsidRPr="00CC6CA3" w:rsidRDefault="006A68D6" w:rsidP="000441CC">
      <w:pPr>
        <w:pStyle w:val="Heading4"/>
        <w:rPr>
          <w:lang w:val="en-US"/>
        </w:rPr>
      </w:pPr>
      <w:r w:rsidRPr="00CC6CA3">
        <w:rPr>
          <w:lang w:val="en-US"/>
        </w:rPr>
        <w:t>Case 3</w:t>
      </w:r>
      <w:r w:rsidR="005B2617" w:rsidRPr="00CC6CA3">
        <w:rPr>
          <w:lang w:val="en-US"/>
        </w:rPr>
        <w:t>: bearing faults in compressor</w:t>
      </w:r>
    </w:p>
    <w:p w14:paraId="02B816F6" w14:textId="77777777" w:rsidR="00913F2C" w:rsidRPr="00CC6CA3" w:rsidRDefault="00913F2C" w:rsidP="00913F2C">
      <w:pPr>
        <w:spacing w:before="120"/>
      </w:pPr>
      <w:r w:rsidRPr="00CC6CA3">
        <w:t xml:space="preserve">The data used in this </w:t>
      </w:r>
      <w:r w:rsidRPr="00CC6CA3">
        <w:rPr>
          <w:rFonts w:hint="eastAsia"/>
        </w:rPr>
        <w:t>case</w:t>
      </w:r>
      <w:r w:rsidRPr="00CC6CA3">
        <w:t xml:space="preserve"> study was obtained from a multistage compressor in a petrochemical plant. The dataset was condition-based process data, including the shaft speed, suction pressure and temperature for different stages, discharge pressure and temperature for different stages, bearing vibration and temperature. The measurements for the compressor are listed in Table 3-4. </w:t>
      </w:r>
    </w:p>
    <w:p w14:paraId="3924FD4E" w14:textId="6B558686" w:rsidR="006A68D6" w:rsidRPr="00CC6CA3" w:rsidRDefault="00913F2C" w:rsidP="00913F2C">
      <w:pPr>
        <w:spacing w:before="120"/>
      </w:pPr>
      <w:r w:rsidRPr="00CC6CA3">
        <w:t>In this case study, the training data was selected for the period from 1</w:t>
      </w:r>
      <w:r w:rsidRPr="00CC6CA3">
        <w:rPr>
          <w:vertAlign w:val="superscript"/>
        </w:rPr>
        <w:t>st</w:t>
      </w:r>
      <w:r w:rsidRPr="00CC6CA3">
        <w:t xml:space="preserve"> Feb 2014 to 22</w:t>
      </w:r>
      <w:r w:rsidRPr="00CC6CA3">
        <w:rPr>
          <w:vertAlign w:val="superscript"/>
        </w:rPr>
        <w:t>nd</w:t>
      </w:r>
      <w:r w:rsidRPr="00CC6CA3">
        <w:t xml:space="preserve"> Aug 2014, during which time the compressor was fault free. In the SAE model, the number of nodes in the hidden layer was 10, and sparsity regularisation was 1, the same as the parameters set in the first two cases</w:t>
      </w:r>
      <w:r w:rsidR="006A68D6" w:rsidRPr="00CC6CA3">
        <w:t>.</w:t>
      </w:r>
    </w:p>
    <w:p w14:paraId="5B167439" w14:textId="5D4C1B5A" w:rsidR="006A68D6" w:rsidRPr="00CC6CA3" w:rsidRDefault="006A68D6" w:rsidP="006A68D6">
      <w:pPr>
        <w:spacing w:before="120"/>
      </w:pPr>
      <w:r w:rsidRPr="00CC6CA3">
        <w:t xml:space="preserve">The system feature was calculated as </w:t>
      </w:r>
      <m:oMath>
        <m:r>
          <w:rPr>
            <w:rFonts w:ascii="Cambria Math" w:hAnsi="Cambria Math"/>
          </w:rPr>
          <m:t>h</m:t>
        </m:r>
      </m:oMath>
      <w:r w:rsidRPr="00CC6CA3">
        <w:t xml:space="preserve"> using Equation (4-13). </w:t>
      </w:r>
      <w:r w:rsidRPr="00CC6CA3">
        <w:fldChar w:fldCharType="begin"/>
      </w:r>
      <w:r w:rsidRPr="00CC6CA3">
        <w:instrText xml:space="preserve"> REF _Ref63804079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28</w:t>
      </w:r>
      <w:r w:rsidRPr="00CC6CA3">
        <w:fldChar w:fldCharType="end"/>
      </w:r>
      <w:r w:rsidRPr="00CC6CA3">
        <w:t xml:space="preserve"> (a)</w:t>
      </w:r>
      <w:r w:rsidR="00913F2C" w:rsidRPr="00CC6CA3">
        <w:t xml:space="preserve"> presents the histogram of the system feature (in terms of </w:t>
      </w:r>
      <w:proofErr w:type="gramStart"/>
      <w:r w:rsidR="00913F2C" w:rsidRPr="00CC6CA3">
        <w:t>ln(</w:t>
      </w:r>
      <w:proofErr w:type="gramEnd"/>
      <w:r w:rsidR="00913F2C" w:rsidRPr="00CC6CA3">
        <w:t>MD)). The results of fitting standard distributions to the system, featuring the training data in Case 3 are shown i</w:t>
      </w:r>
      <w:r w:rsidRPr="00CC6CA3">
        <w:t xml:space="preserve">n </w:t>
      </w:r>
      <w:r w:rsidRPr="00CC6CA3">
        <w:fldChar w:fldCharType="begin"/>
      </w:r>
      <w:r w:rsidRPr="00CC6CA3">
        <w:instrText xml:space="preserve"> REF _Ref63804079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28</w:t>
      </w:r>
      <w:r w:rsidRPr="00CC6CA3">
        <w:fldChar w:fldCharType="end"/>
      </w:r>
      <w:r w:rsidRPr="00CC6CA3">
        <w:t xml:space="preserve"> (b) and (c).</w:t>
      </w:r>
    </w:p>
    <w:p w14:paraId="07759536" w14:textId="00C43FF9" w:rsidR="006A68D6" w:rsidRPr="00CC6CA3" w:rsidRDefault="00116862" w:rsidP="006A68D6">
      <w:pPr>
        <w:keepNext/>
        <w:spacing w:before="120"/>
        <w:jc w:val="center"/>
      </w:pPr>
      <w:r w:rsidRPr="00CC6CA3">
        <w:object w:dxaOrig="8508" w:dyaOrig="11724" w14:anchorId="779CC227">
          <v:shape id="_x0000_i1100" type="#_x0000_t75" style="width:342pt;height:471pt" o:ole="">
            <v:imagedata r:id="rId223" o:title=""/>
          </v:shape>
          <o:OLEObject Type="Embed" ProgID="Visio.Drawing.15" ShapeID="_x0000_i1100" DrawAspect="Content" ObjectID="_1692500379" r:id="rId224"/>
        </w:object>
      </w:r>
    </w:p>
    <w:p w14:paraId="44E9FEAD" w14:textId="209FAA9E" w:rsidR="006A68D6" w:rsidRPr="00CC6CA3" w:rsidRDefault="006A68D6" w:rsidP="006A68D6">
      <w:pPr>
        <w:pStyle w:val="Caption"/>
        <w:jc w:val="center"/>
        <w:rPr>
          <w:lang w:val="en-US"/>
        </w:rPr>
      </w:pPr>
      <w:bookmarkStart w:id="556" w:name="_Ref63804079"/>
      <w:bookmarkStart w:id="557" w:name="_Toc8155345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28</w:t>
      </w:r>
      <w:r w:rsidR="00D62691" w:rsidRPr="00CC6CA3">
        <w:rPr>
          <w:noProof/>
        </w:rPr>
        <w:fldChar w:fldCharType="end"/>
      </w:r>
      <w:bookmarkEnd w:id="556"/>
      <w:r w:rsidRPr="00CC6CA3">
        <w:t xml:space="preserve"> Distribution fitting of system feature using training data of case 3, (a) histogram (b) probability density functions (c) cumulative distribution function.</w:t>
      </w:r>
      <w:bookmarkEnd w:id="557"/>
    </w:p>
    <w:p w14:paraId="5FDC0651" w14:textId="08EC661A" w:rsidR="006A68D6" w:rsidRPr="00CC6CA3" w:rsidRDefault="00913F2C" w:rsidP="006A68D6">
      <w:pPr>
        <w:spacing w:before="120"/>
      </w:pPr>
      <w:r w:rsidRPr="00CC6CA3">
        <w:t xml:space="preserve">The K-S test was applied to determine which of the four candidate distributions (generalised extreme value, lognormal, normal and kernel) best fitted the measured data. The results are listed in </w:t>
      </w:r>
      <w:r w:rsidR="006A68D6" w:rsidRPr="00CC6CA3">
        <w:fldChar w:fldCharType="begin"/>
      </w:r>
      <w:r w:rsidR="006A68D6" w:rsidRPr="00CC6CA3">
        <w:instrText xml:space="preserve"> REF _Ref63804344 \h </w:instrText>
      </w:r>
      <w:r w:rsidR="006A68D6" w:rsidRPr="00CC6CA3">
        <w:fldChar w:fldCharType="separate"/>
      </w:r>
      <w:r w:rsidR="001906D9" w:rsidRPr="00CC6CA3">
        <w:t xml:space="preserve">Table </w:t>
      </w:r>
      <w:r w:rsidR="001906D9" w:rsidRPr="00CC6CA3">
        <w:rPr>
          <w:noProof/>
        </w:rPr>
        <w:t>5</w:t>
      </w:r>
      <w:r w:rsidR="001906D9" w:rsidRPr="00CC6CA3">
        <w:t>.</w:t>
      </w:r>
      <w:r w:rsidR="001906D9" w:rsidRPr="00CC6CA3">
        <w:rPr>
          <w:noProof/>
        </w:rPr>
        <w:t>10</w:t>
      </w:r>
      <w:r w:rsidR="006A68D6" w:rsidRPr="00CC6CA3">
        <w:fldChar w:fldCharType="end"/>
      </w:r>
      <w:r w:rsidR="006A68D6" w:rsidRPr="00CC6CA3">
        <w:t xml:space="preserve">. </w:t>
      </w:r>
      <w:r w:rsidRPr="00CC6CA3">
        <w:t>T</w:t>
      </w:r>
      <w:r w:rsidR="006A68D6" w:rsidRPr="00CC6CA3">
        <w:t xml:space="preserve">he Kernel distribution had the highest </w:t>
      </w:r>
      <m:oMath>
        <m:r>
          <w:rPr>
            <w:rFonts w:ascii="Cambria Math" w:hAnsi="Cambria Math"/>
          </w:rPr>
          <m:t>p</m:t>
        </m:r>
      </m:oMath>
      <w:r w:rsidR="006A68D6" w:rsidRPr="00CC6CA3">
        <w:t xml:space="preserve"> value among the four distributions and its </w:t>
      </w:r>
      <m:oMath>
        <m:r>
          <w:rPr>
            <w:rFonts w:ascii="Cambria Math" w:hAnsi="Cambria Math"/>
          </w:rPr>
          <m:t>H</m:t>
        </m:r>
        <m:r>
          <m:rPr>
            <m:sty m:val="p"/>
          </m:rPr>
          <w:rPr>
            <w:rFonts w:ascii="Cambria Math" w:hAnsi="Cambria Math"/>
          </w:rPr>
          <m:t>=0</m:t>
        </m:r>
      </m:oMath>
      <w:r w:rsidR="006A68D6" w:rsidRPr="00CC6CA3">
        <w:t>. Hence, the Kernel distribution was selected. By maximum likelihood estimation, the parameters of the selected distribution were bandwidth = 0.0398, and kernel type was the normal kernel.</w:t>
      </w:r>
    </w:p>
    <w:p w14:paraId="187194A5" w14:textId="77777777" w:rsidR="00116862" w:rsidRPr="00CC6CA3" w:rsidRDefault="00116862" w:rsidP="006A68D6">
      <w:pPr>
        <w:spacing w:before="120"/>
      </w:pPr>
    </w:p>
    <w:p w14:paraId="16EB389B" w14:textId="58282515" w:rsidR="006A68D6" w:rsidRPr="00CC6CA3" w:rsidRDefault="006A68D6" w:rsidP="00116862">
      <w:pPr>
        <w:pStyle w:val="Caption"/>
        <w:keepNext/>
        <w:jc w:val="center"/>
      </w:pPr>
      <w:bookmarkStart w:id="558" w:name="_Ref63804344"/>
      <w:bookmarkStart w:id="559" w:name="_Toc81553487"/>
      <w:r w:rsidRPr="00CC6CA3">
        <w:lastRenderedPageBreak/>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10</w:t>
      </w:r>
      <w:r w:rsidR="00D62691" w:rsidRPr="00CC6CA3">
        <w:rPr>
          <w:noProof/>
        </w:rPr>
        <w:fldChar w:fldCharType="end"/>
      </w:r>
      <w:bookmarkEnd w:id="558"/>
      <w:r w:rsidRPr="00CC6CA3">
        <w:t xml:space="preserve"> Results of the K-S test for </w:t>
      </w:r>
      <w:r w:rsidR="00913F2C" w:rsidRPr="00CC6CA3">
        <w:t>C</w:t>
      </w:r>
      <w:r w:rsidRPr="00CC6CA3">
        <w:t>ase 3</w:t>
      </w:r>
      <w:bookmarkEnd w:id="559"/>
    </w:p>
    <w:tbl>
      <w:tblPr>
        <w:tblStyle w:val="PlainTable2"/>
        <w:tblW w:w="0" w:type="auto"/>
        <w:jc w:val="center"/>
        <w:tblLook w:val="04A0" w:firstRow="1" w:lastRow="0" w:firstColumn="1" w:lastColumn="0" w:noHBand="0" w:noVBand="1"/>
      </w:tblPr>
      <w:tblGrid>
        <w:gridCol w:w="2493"/>
        <w:gridCol w:w="665"/>
        <w:gridCol w:w="766"/>
      </w:tblGrid>
      <w:tr w:rsidR="00CC6CA3" w:rsidRPr="00CC6CA3" w14:paraId="7B10BCE4" w14:textId="77777777" w:rsidTr="00F632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8E74A5B" w14:textId="77777777" w:rsidR="006A68D6" w:rsidRPr="00CC6CA3" w:rsidRDefault="006A68D6" w:rsidP="00F632C0">
            <w:pPr>
              <w:pStyle w:val="Body"/>
              <w:spacing w:after="0"/>
              <w:rPr>
                <w:rFonts w:cs="Times New Roman"/>
                <w:sz w:val="20"/>
                <w:szCs w:val="20"/>
              </w:rPr>
            </w:pPr>
            <w:r w:rsidRPr="00CC6CA3">
              <w:rPr>
                <w:rFonts w:cs="Times New Roman"/>
                <w:sz w:val="20"/>
                <w:szCs w:val="20"/>
              </w:rPr>
              <w:t>Distribution</w:t>
            </w:r>
          </w:p>
        </w:tc>
        <w:tc>
          <w:tcPr>
            <w:tcW w:w="665" w:type="dxa"/>
          </w:tcPr>
          <w:p w14:paraId="3C1C59CE" w14:textId="77777777" w:rsidR="006A68D6" w:rsidRPr="00CC6CA3" w:rsidRDefault="006A68D6" w:rsidP="00F632C0">
            <w:pPr>
              <w:pStyle w:val="Body"/>
              <w:spacing w:after="0"/>
              <w:cnfStyle w:val="100000000000" w:firstRow="1" w:lastRow="0" w:firstColumn="0" w:lastColumn="0" w:oddVBand="0" w:evenVBand="0" w:oddHBand="0" w:evenHBand="0" w:firstRowFirstColumn="0" w:firstRowLastColumn="0" w:lastRowFirstColumn="0" w:lastRowLastColumn="0"/>
              <w:rPr>
                <w:rFonts w:cs="Times New Roman"/>
                <w:sz w:val="20"/>
                <w:szCs w:val="20"/>
              </w:rPr>
            </w:pPr>
            <m:oMathPara>
              <m:oMath>
                <m:r>
                  <m:rPr>
                    <m:sty m:val="bi"/>
                  </m:rPr>
                  <w:rPr>
                    <w:rFonts w:ascii="Cambria Math" w:hAnsi="Cambria Math" w:cs="Times New Roman"/>
                    <w:sz w:val="20"/>
                    <w:szCs w:val="20"/>
                  </w:rPr>
                  <m:t>H</m:t>
                </m:r>
              </m:oMath>
            </m:oMathPara>
          </w:p>
        </w:tc>
        <w:tc>
          <w:tcPr>
            <w:tcW w:w="766" w:type="dxa"/>
          </w:tcPr>
          <w:p w14:paraId="26ADF806" w14:textId="77777777" w:rsidR="006A68D6" w:rsidRPr="00CC6CA3" w:rsidRDefault="006A68D6" w:rsidP="00F632C0">
            <w:pPr>
              <w:pStyle w:val="Body"/>
              <w:spacing w:after="0"/>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p</w:t>
            </w:r>
          </w:p>
        </w:tc>
      </w:tr>
      <w:tr w:rsidR="00CC6CA3" w:rsidRPr="00CC6CA3" w14:paraId="7BAE2233"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C2B784E" w14:textId="77777777" w:rsidR="006A68D6" w:rsidRPr="00CC6CA3" w:rsidRDefault="006A68D6" w:rsidP="00F632C0">
            <w:pPr>
              <w:pStyle w:val="Body"/>
              <w:spacing w:after="0"/>
              <w:rPr>
                <w:rFonts w:cs="Times New Roman"/>
                <w:sz w:val="20"/>
                <w:szCs w:val="20"/>
              </w:rPr>
            </w:pPr>
            <w:r w:rsidRPr="00CC6CA3">
              <w:rPr>
                <w:rFonts w:cs="Times New Roman"/>
                <w:sz w:val="20"/>
                <w:szCs w:val="20"/>
              </w:rPr>
              <w:t>Generalized extreme value</w:t>
            </w:r>
          </w:p>
        </w:tc>
        <w:tc>
          <w:tcPr>
            <w:tcW w:w="665" w:type="dxa"/>
          </w:tcPr>
          <w:p w14:paraId="3AB31D61"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047AF24D"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0.8916</w:t>
            </w:r>
          </w:p>
        </w:tc>
      </w:tr>
      <w:tr w:rsidR="00CC6CA3" w:rsidRPr="00CC6CA3" w14:paraId="4B46E4C1"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2630180" w14:textId="77777777" w:rsidR="006A68D6" w:rsidRPr="00CC6CA3" w:rsidRDefault="006A68D6" w:rsidP="00F632C0">
            <w:pPr>
              <w:pStyle w:val="Body"/>
              <w:spacing w:after="0"/>
              <w:rPr>
                <w:rFonts w:cs="Times New Roman"/>
                <w:sz w:val="20"/>
                <w:szCs w:val="20"/>
              </w:rPr>
            </w:pPr>
            <w:r w:rsidRPr="00CC6CA3">
              <w:rPr>
                <w:rFonts w:cs="Times New Roman"/>
                <w:sz w:val="20"/>
                <w:szCs w:val="20"/>
              </w:rPr>
              <w:t>Lognormal</w:t>
            </w:r>
          </w:p>
        </w:tc>
        <w:tc>
          <w:tcPr>
            <w:tcW w:w="665" w:type="dxa"/>
          </w:tcPr>
          <w:p w14:paraId="0B3D78D3"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5050EAA7"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0.0524</w:t>
            </w:r>
          </w:p>
        </w:tc>
      </w:tr>
      <w:tr w:rsidR="00CC6CA3" w:rsidRPr="00CC6CA3" w14:paraId="2271A5C6"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9C2A304" w14:textId="77777777" w:rsidR="006A68D6" w:rsidRPr="00CC6CA3" w:rsidRDefault="006A68D6" w:rsidP="00F632C0">
            <w:pPr>
              <w:pStyle w:val="Body"/>
              <w:spacing w:after="0"/>
              <w:rPr>
                <w:rFonts w:cs="Times New Roman"/>
                <w:sz w:val="20"/>
                <w:szCs w:val="20"/>
              </w:rPr>
            </w:pPr>
            <w:r w:rsidRPr="00CC6CA3">
              <w:rPr>
                <w:rFonts w:cs="Times New Roman"/>
                <w:sz w:val="20"/>
                <w:szCs w:val="20"/>
              </w:rPr>
              <w:t>Normal</w:t>
            </w:r>
          </w:p>
        </w:tc>
        <w:tc>
          <w:tcPr>
            <w:tcW w:w="665" w:type="dxa"/>
          </w:tcPr>
          <w:p w14:paraId="3AF4C7AA"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5B9C9E4C" w14:textId="77777777" w:rsidR="006A68D6" w:rsidRPr="00CC6CA3" w:rsidRDefault="006A68D6" w:rsidP="00F632C0">
            <w:pPr>
              <w:pStyle w:val="Body"/>
              <w:spacing w:after="0"/>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CC6CA3">
              <w:rPr>
                <w:rFonts w:cs="Times New Roman"/>
                <w:sz w:val="20"/>
                <w:szCs w:val="20"/>
              </w:rPr>
              <w:t>0.3773</w:t>
            </w:r>
          </w:p>
        </w:tc>
      </w:tr>
      <w:tr w:rsidR="00CC6CA3" w:rsidRPr="00CC6CA3" w14:paraId="35381906"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CF16070" w14:textId="77777777" w:rsidR="006A68D6" w:rsidRPr="00CC6CA3" w:rsidRDefault="006A68D6" w:rsidP="00F632C0">
            <w:pPr>
              <w:pStyle w:val="Body"/>
              <w:spacing w:after="0"/>
              <w:rPr>
                <w:rFonts w:cs="Times New Roman"/>
                <w:sz w:val="20"/>
                <w:szCs w:val="20"/>
              </w:rPr>
            </w:pPr>
            <w:r w:rsidRPr="00CC6CA3">
              <w:rPr>
                <w:rFonts w:cs="Times New Roman"/>
                <w:sz w:val="20"/>
                <w:szCs w:val="20"/>
              </w:rPr>
              <w:t>Kernel</w:t>
            </w:r>
          </w:p>
        </w:tc>
        <w:tc>
          <w:tcPr>
            <w:tcW w:w="665" w:type="dxa"/>
          </w:tcPr>
          <w:p w14:paraId="530D9BC7"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w:t>
            </w:r>
          </w:p>
        </w:tc>
        <w:tc>
          <w:tcPr>
            <w:tcW w:w="766" w:type="dxa"/>
          </w:tcPr>
          <w:p w14:paraId="4C1DFB22" w14:textId="77777777" w:rsidR="006A68D6" w:rsidRPr="00CC6CA3" w:rsidRDefault="006A68D6" w:rsidP="00F632C0">
            <w:pPr>
              <w:pStyle w:val="Body"/>
              <w:spacing w:after="0"/>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6CA3">
              <w:rPr>
                <w:rFonts w:cs="Times New Roman"/>
                <w:sz w:val="20"/>
                <w:szCs w:val="20"/>
              </w:rPr>
              <w:t>0.9999</w:t>
            </w:r>
          </w:p>
        </w:tc>
      </w:tr>
    </w:tbl>
    <w:p w14:paraId="4424D492" w14:textId="052B74E2" w:rsidR="006A68D6" w:rsidRPr="00CC6CA3" w:rsidRDefault="006A68D6" w:rsidP="006A68D6">
      <w:pPr>
        <w:spacing w:before="120"/>
      </w:pPr>
      <w:r w:rsidRPr="00CC6CA3">
        <w:t>After the distribution was selected, the fault detection threshold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Pr="00CC6CA3">
        <w:t xml:space="preserve">) was calculated based on Equation (4-14) with confidence level </w:t>
      </w:r>
      <m:oMath>
        <m:r>
          <w:rPr>
            <w:rFonts w:ascii="Cambria Math" w:hAnsi="Cambria Math"/>
          </w:rPr>
          <m:t>α</m:t>
        </m:r>
        <m:r>
          <m:rPr>
            <m:sty m:val="p"/>
          </m:rPr>
          <w:rPr>
            <w:rFonts w:ascii="Cambria Math" w:hAnsi="Cambria Math"/>
          </w:rPr>
          <m:t>=0.99</m:t>
        </m:r>
      </m:oMath>
      <w:r w:rsidRPr="00CC6CA3">
        <w:t xml:space="preserve"> </w:t>
      </w:r>
      <w:r w:rsidRPr="00CC6CA3">
        <w:fldChar w:fldCharType="begin"/>
      </w:r>
      <w:r w:rsidR="007D1BCC" w:rsidRPr="00CC6CA3">
        <w:instrText xml:space="preserve"> ADDIN ZOTERO_ITEM CSL_CITATION {"citationID":"JiWKA8P2","properties":{"formattedCitation":"[105]","plainCitation":"[105]","noteIndex":0},"citationItems":[{"id":292,"uris":["http://zotero.org/users/3051968/items/E6ENJ9WR"],"uri":["http://zotero.org/users/3051968/items/E6ENJ9WR"],"itemData":{"id":292,"type":"article-journal","abstract":"Gearbox has proven to be a major contributor toward downtime in wind turbines. The majority of failures in the gearbox originate from the gearbox bearings. An early indication of possible wear and tear in the gearbox bearings may be used for effective predictive maintenance, thereby reducing the overall cost of maintenance. This paper introduces a selfevolving maintenance scheduler framework for maintenance management of wind turbines. Furthermore, an artiﬁcial neural network (ANN)-based condition monitoring approach using data from supervisory control and data acquisition system is proposed. The ANN-based condition monitoring approach is applied to gearbox bearings with real data from onshore wind turbines, rated 2 MW, and located in the south of Sweden. The results demonstrate that the proposed ANN-based condition monitoring approach is capable of indicating severe damage in the components being monitored in advance.","container-title":"IEEE Transactions on Smart Grid","DOI":"10.1109/TSG.2014.2386305","ISSN":"1949-3053, 1949-3061","issue":"2","journalAbbreviation":"IEEE Trans. Smart Grid","language":"en","page":"980-987","source":"DOI.org (Crossref)","title":"An Artificial Neural Network Approach for Early Fault Detection of Gearbox Bearings","volume":"6","author":[{"family":"Bangalore","given":"Pramod"},{"family":"Tjernberg","given":"Lina Bertling"}],"issued":{"date-parts":[["2015",3]]}}}],"schema":"https://github.com/citation-style-language/schema/raw/master/csl-citation.json"} </w:instrText>
      </w:r>
      <w:r w:rsidRPr="00CC6CA3">
        <w:fldChar w:fldCharType="separate"/>
      </w:r>
      <w:r w:rsidR="007D1BCC" w:rsidRPr="00CC6CA3">
        <w:rPr>
          <w:rFonts w:cs="Times New Roman"/>
        </w:rPr>
        <w:t>[105]</w:t>
      </w:r>
      <w:r w:rsidRPr="00CC6CA3">
        <w:fldChar w:fldCharType="end"/>
      </w:r>
      <w:r w:rsidRPr="00CC6CA3">
        <w:t xml:space="preserve">. In this case, the calculated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Pr="00CC6CA3">
        <w:t xml:space="preserve"> was equal to 9.7380, </w:t>
      </w:r>
      <w:r w:rsidR="00913F2C" w:rsidRPr="00CC6CA3">
        <w:t xml:space="preserve">with ln value </w:t>
      </w:r>
      <w:r w:rsidRPr="00CC6CA3">
        <w:t>2.276.</w:t>
      </w:r>
    </w:p>
    <w:p w14:paraId="53FBB343" w14:textId="7081FD87" w:rsidR="006A68D6" w:rsidRPr="00CC6CA3" w:rsidRDefault="009D5F25" w:rsidP="00116862">
      <w:pPr>
        <w:keepNext/>
        <w:spacing w:before="120" w:line="240" w:lineRule="auto"/>
        <w:jc w:val="center"/>
      </w:pPr>
      <w:r w:rsidRPr="00CC6CA3">
        <w:rPr>
          <w:noProof/>
        </w:rPr>
        <w:drawing>
          <wp:inline distT="0" distB="0" distL="0" distR="0" wp14:anchorId="33F83C5F" wp14:editId="2527878F">
            <wp:extent cx="4318000" cy="179509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326415" cy="1798589"/>
                    </a:xfrm>
                    <a:prstGeom prst="rect">
                      <a:avLst/>
                    </a:prstGeom>
                    <a:noFill/>
                  </pic:spPr>
                </pic:pic>
              </a:graphicData>
            </a:graphic>
          </wp:inline>
        </w:drawing>
      </w:r>
    </w:p>
    <w:p w14:paraId="7A190374" w14:textId="3011AD9F" w:rsidR="006A68D6" w:rsidRPr="00CC6CA3" w:rsidRDefault="006A68D6" w:rsidP="006A68D6">
      <w:pPr>
        <w:pStyle w:val="Caption"/>
        <w:jc w:val="center"/>
      </w:pPr>
      <w:bookmarkStart w:id="560" w:name="_Toc81553456"/>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29</w:t>
      </w:r>
      <w:r w:rsidR="00D62691" w:rsidRPr="00CC6CA3">
        <w:rPr>
          <w:noProof/>
        </w:rPr>
        <w:fldChar w:fldCharType="end"/>
      </w:r>
      <w:r w:rsidRPr="00CC6CA3">
        <w:t xml:space="preserve"> Offline </w:t>
      </w:r>
      <w:r w:rsidR="00913F2C" w:rsidRPr="00CC6CA3">
        <w:t>training process for SAE fault detection model and MD threshold calculation. (</w:t>
      </w:r>
      <w:proofErr w:type="gramStart"/>
      <w:r w:rsidR="00913F2C" w:rsidRPr="00CC6CA3">
        <w:t>blue</w:t>
      </w:r>
      <w:proofErr w:type="gramEnd"/>
      <w:r w:rsidR="00913F2C" w:rsidRPr="00CC6CA3">
        <w:t xml:space="preserve"> points - healthy data; red point - anomalies; magenta line - reference MD threshold</w:t>
      </w:r>
      <w:r w:rsidRPr="00CC6CA3">
        <w:t>)</w:t>
      </w:r>
      <w:bookmarkEnd w:id="560"/>
    </w:p>
    <w:p w14:paraId="2CA66B7C" w14:textId="049D56C3" w:rsidR="006A68D6" w:rsidRPr="00CC6CA3" w:rsidRDefault="00913F2C" w:rsidP="006A68D6">
      <w:pPr>
        <w:spacing w:before="120"/>
      </w:pPr>
      <w:r w:rsidRPr="00CC6CA3">
        <w:t>The online monitoring data was from 23</w:t>
      </w:r>
      <w:r w:rsidRPr="00CC6CA3">
        <w:rPr>
          <w:vertAlign w:val="superscript"/>
        </w:rPr>
        <w:t>rd</w:t>
      </w:r>
      <w:r w:rsidRPr="00CC6CA3">
        <w:t xml:space="preserve"> Aug to 23</w:t>
      </w:r>
      <w:r w:rsidRPr="00CC6CA3">
        <w:rPr>
          <w:vertAlign w:val="superscript"/>
        </w:rPr>
        <w:t>rd</w:t>
      </w:r>
      <w:r w:rsidRPr="00CC6CA3">
        <w:t xml:space="preserve"> Oct 2014. The system feature was calculated in real-time and predicted via a third-order polynomial regression (</w:t>
      </w: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1</m:t>
            </m:r>
          </m:sub>
        </m:sSub>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2</m:t>
            </m:r>
          </m:sub>
        </m:sSub>
        <m:sSup>
          <m:sSupPr>
            <m:ctrlPr>
              <w:rPr>
                <w:rFonts w:ascii="Cambria Math" w:hAnsi="Cambria Math"/>
              </w:rPr>
            </m:ctrlPr>
          </m:sSupPr>
          <m:e>
            <m:r>
              <w:rPr>
                <w:rFonts w:ascii="Cambria Math" w:hAnsi="Cambria Math"/>
              </w:rPr>
              <m:t>x</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3</m:t>
            </m:r>
          </m:sub>
        </m:sSub>
        <m:sSup>
          <m:sSupPr>
            <m:ctrlPr>
              <w:rPr>
                <w:rFonts w:ascii="Cambria Math" w:hAnsi="Cambria Math"/>
              </w:rPr>
            </m:ctrlPr>
          </m:sSupPr>
          <m:e>
            <m:r>
              <w:rPr>
                <w:rFonts w:ascii="Cambria Math" w:hAnsi="Cambria Math"/>
              </w:rPr>
              <m:t>x</m:t>
            </m:r>
          </m:e>
          <m:sup>
            <m:r>
              <m:rPr>
                <m:sty m:val="p"/>
              </m:rPr>
              <w:rPr>
                <w:rFonts w:ascii="Cambria Math" w:hAnsi="Cambria Math"/>
              </w:rPr>
              <m:t>3</m:t>
            </m:r>
          </m:sup>
        </m:sSup>
      </m:oMath>
      <w:r w:rsidRPr="00CC6CA3">
        <w:t>). Again, fifty points backwards were used as training data to predict four points forward. RMSE was</w:t>
      </w:r>
      <w:r w:rsidRPr="00CC6CA3">
        <w:rPr>
          <w:szCs w:val="20"/>
        </w:rPr>
        <w:t xml:space="preserve"> calculated to assess the accuracy of the prediction method. The true value and the prediction results of the system feature (presented in terms of ln MD) can be seen in</w:t>
      </w:r>
      <w:r w:rsidR="006A68D6" w:rsidRPr="00CC6CA3">
        <w:rPr>
          <w:szCs w:val="20"/>
        </w:rPr>
        <w:t xml:space="preserve"> </w:t>
      </w:r>
      <w:r w:rsidR="006A68D6" w:rsidRPr="00CC6CA3">
        <w:rPr>
          <w:szCs w:val="20"/>
        </w:rPr>
        <w:fldChar w:fldCharType="begin"/>
      </w:r>
      <w:r w:rsidR="006A68D6" w:rsidRPr="00CC6CA3">
        <w:rPr>
          <w:szCs w:val="20"/>
        </w:rPr>
        <w:instrText xml:space="preserve"> REF _Ref63804514 \h </w:instrText>
      </w:r>
      <w:r w:rsidR="006A68D6" w:rsidRPr="00CC6CA3">
        <w:rPr>
          <w:szCs w:val="20"/>
        </w:rPr>
      </w:r>
      <w:r w:rsidR="006A68D6" w:rsidRPr="00CC6CA3">
        <w:rPr>
          <w:szCs w:val="20"/>
        </w:rPr>
        <w:fldChar w:fldCharType="separate"/>
      </w:r>
      <w:r w:rsidR="001906D9" w:rsidRPr="00CC6CA3">
        <w:t xml:space="preserve">Figure </w:t>
      </w:r>
      <w:r w:rsidR="001906D9" w:rsidRPr="00CC6CA3">
        <w:rPr>
          <w:noProof/>
        </w:rPr>
        <w:t>5</w:t>
      </w:r>
      <w:r w:rsidR="001906D9" w:rsidRPr="00CC6CA3">
        <w:t>.</w:t>
      </w:r>
      <w:r w:rsidR="001906D9" w:rsidRPr="00CC6CA3">
        <w:rPr>
          <w:noProof/>
        </w:rPr>
        <w:t>30</w:t>
      </w:r>
      <w:r w:rsidR="006A68D6" w:rsidRPr="00CC6CA3">
        <w:rPr>
          <w:szCs w:val="20"/>
        </w:rPr>
        <w:fldChar w:fldCharType="end"/>
      </w:r>
      <w:r w:rsidR="006A68D6" w:rsidRPr="00CC6CA3">
        <w:rPr>
          <w:szCs w:val="20"/>
        </w:rPr>
        <w:t xml:space="preserve">. </w:t>
      </w:r>
    </w:p>
    <w:p w14:paraId="07762EB8" w14:textId="72BB4D58" w:rsidR="006A68D6" w:rsidRPr="00CC6CA3" w:rsidRDefault="00022184" w:rsidP="00116862">
      <w:pPr>
        <w:keepNext/>
        <w:spacing w:before="120" w:line="240" w:lineRule="auto"/>
        <w:jc w:val="center"/>
      </w:pPr>
      <w:r w:rsidRPr="00CC6CA3">
        <w:rPr>
          <w:noProof/>
        </w:rPr>
        <w:drawing>
          <wp:inline distT="0" distB="0" distL="0" distR="0" wp14:anchorId="256853BA" wp14:editId="228BDDBB">
            <wp:extent cx="4578350" cy="190332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581372" cy="1904581"/>
                    </a:xfrm>
                    <a:prstGeom prst="rect">
                      <a:avLst/>
                    </a:prstGeom>
                    <a:noFill/>
                  </pic:spPr>
                </pic:pic>
              </a:graphicData>
            </a:graphic>
          </wp:inline>
        </w:drawing>
      </w:r>
    </w:p>
    <w:p w14:paraId="5BEB04EF" w14:textId="5CAFAD18" w:rsidR="006A68D6" w:rsidRPr="00CC6CA3" w:rsidRDefault="006A68D6" w:rsidP="006A68D6">
      <w:pPr>
        <w:pStyle w:val="Caption"/>
        <w:jc w:val="center"/>
      </w:pPr>
      <w:bookmarkStart w:id="561" w:name="_Ref63804514"/>
      <w:bookmarkStart w:id="562" w:name="_Toc81553457"/>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30</w:t>
      </w:r>
      <w:r w:rsidR="00D62691" w:rsidRPr="00CC6CA3">
        <w:rPr>
          <w:noProof/>
        </w:rPr>
        <w:fldChar w:fldCharType="end"/>
      </w:r>
      <w:bookmarkEnd w:id="561"/>
      <w:r w:rsidRPr="00CC6CA3">
        <w:t xml:space="preserve"> T</w:t>
      </w:r>
      <w:r w:rsidRPr="00CC6CA3">
        <w:rPr>
          <w:szCs w:val="20"/>
        </w:rPr>
        <w:t xml:space="preserve">rue value and the prediction results of the system feature </w:t>
      </w:r>
      <w:r w:rsidR="00913F2C" w:rsidRPr="00CC6CA3">
        <w:rPr>
          <w:szCs w:val="22"/>
        </w:rPr>
        <w:t xml:space="preserve">via </w:t>
      </w:r>
      <w:r w:rsidR="00913F2C" w:rsidRPr="00CC6CA3">
        <w:rPr>
          <w:szCs w:val="20"/>
        </w:rPr>
        <w:t xml:space="preserve">third-order </w:t>
      </w:r>
      <w:r w:rsidRPr="00CC6CA3">
        <w:t xml:space="preserve">polynomial regression for </w:t>
      </w:r>
      <w:r w:rsidR="00913F2C" w:rsidRPr="00CC6CA3">
        <w:t>C</w:t>
      </w:r>
      <w:r w:rsidRPr="00CC6CA3">
        <w:t>ase 3</w:t>
      </w:r>
      <w:bookmarkEnd w:id="562"/>
    </w:p>
    <w:p w14:paraId="62293896" w14:textId="018C2273" w:rsidR="006A68D6" w:rsidRPr="00CC6CA3" w:rsidRDefault="006A68D6" w:rsidP="006A68D6">
      <w:pPr>
        <w:spacing w:before="120"/>
      </w:pPr>
      <w:r w:rsidRPr="00CC6CA3">
        <w:lastRenderedPageBreak/>
        <w:t xml:space="preserve">Based on the predicted system feature, the POF can be calculated according to Equation </w:t>
      </w:r>
      <w:r w:rsidRPr="00CC6CA3">
        <w:fldChar w:fldCharType="begin"/>
      </w:r>
      <w:r w:rsidRPr="00CC6CA3">
        <w:instrText xml:space="preserve"> REF _Ref63718657 \h </w:instrText>
      </w:r>
      <w:r w:rsidRPr="00CC6CA3">
        <w:fldChar w:fldCharType="separate"/>
      </w:r>
      <w:r w:rsidR="001906D9" w:rsidRPr="00CC6CA3">
        <w:t>(</w:t>
      </w:r>
      <w:r w:rsidR="001906D9" w:rsidRPr="00CC6CA3">
        <w:rPr>
          <w:noProof/>
        </w:rPr>
        <w:t>5</w:t>
      </w:r>
      <w:r w:rsidR="001906D9" w:rsidRPr="00CC6CA3">
        <w:noBreakHyphen/>
      </w:r>
      <w:r w:rsidR="001906D9" w:rsidRPr="00CC6CA3">
        <w:rPr>
          <w:noProof/>
        </w:rPr>
        <w:t>8</w:t>
      </w:r>
      <w:r w:rsidR="001906D9" w:rsidRPr="00CC6CA3">
        <w:t>)</w:t>
      </w:r>
      <w:r w:rsidRPr="00CC6CA3">
        <w:fldChar w:fldCharType="end"/>
      </w:r>
      <w:r w:rsidRPr="00CC6CA3">
        <w:t xml:space="preserve">. </w:t>
      </w:r>
      <w:r w:rsidR="00913F2C" w:rsidRPr="00CC6CA3">
        <w:t xml:space="preserve">The results are presented in </w:t>
      </w:r>
      <w:r w:rsidRPr="00CC6CA3">
        <w:fldChar w:fldCharType="begin"/>
      </w:r>
      <w:r w:rsidRPr="00CC6CA3">
        <w:instrText xml:space="preserve"> REF _Ref63804579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31</w:t>
      </w:r>
      <w:r w:rsidRPr="00CC6CA3">
        <w:fldChar w:fldCharType="end"/>
      </w:r>
      <w:r w:rsidRPr="00CC6CA3">
        <w:t xml:space="preserve">. </w:t>
      </w:r>
      <w:r w:rsidR="00913F2C" w:rsidRPr="00CC6CA3">
        <w:t xml:space="preserve">The red line in the figure is the POF calculated using the fault detection threshold </w:t>
      </w:r>
      <m:oMath>
        <m:sSub>
          <m:sSubPr>
            <m:ctrlPr>
              <w:rPr>
                <w:rFonts w:ascii="Cambria Math" w:hAnsi="Cambria Math"/>
                <w:i/>
              </w:rPr>
            </m:ctrlPr>
          </m:sSubPr>
          <m:e>
            <m:r>
              <w:rPr>
                <w:rFonts w:ascii="Cambria Math" w:hAnsi="Cambria Math"/>
              </w:rPr>
              <m:t>d</m:t>
            </m:r>
          </m:e>
          <m:sub>
            <m:r>
              <w:rPr>
                <w:rFonts w:ascii="Cambria Math" w:hAnsi="Cambria Math"/>
              </w:rPr>
              <m:t>1</m:t>
            </m:r>
          </m:sub>
        </m:sSub>
      </m:oMath>
      <w:r w:rsidR="00913F2C" w:rsidRPr="00CC6CA3">
        <w:t xml:space="preserve">. Here </w:t>
      </w:r>
      <m:oMath>
        <m:r>
          <w:rPr>
            <w:rFonts w:ascii="Cambria Math" w:hAnsi="Cambria Math"/>
          </w:rPr>
          <m:t>POF</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=0.5</m:t>
        </m:r>
      </m:oMath>
      <w:r w:rsidR="00913F2C" w:rsidRPr="00CC6CA3">
        <w:t>. The values below this line were regarded as normal, and above the line were viewed as anomalies. As can be seen in the figure the POF was below the threshold from 23</w:t>
      </w:r>
      <w:r w:rsidR="00913F2C" w:rsidRPr="00CC6CA3">
        <w:rPr>
          <w:vertAlign w:val="superscript"/>
        </w:rPr>
        <w:t>rd</w:t>
      </w:r>
      <w:r w:rsidR="00913F2C" w:rsidRPr="00CC6CA3">
        <w:t xml:space="preserve"> Aug to 04:00 16</w:t>
      </w:r>
      <w:r w:rsidR="00913F2C" w:rsidRPr="00CC6CA3">
        <w:rPr>
          <w:vertAlign w:val="superscript"/>
        </w:rPr>
        <w:t>th</w:t>
      </w:r>
      <w:r w:rsidR="00913F2C" w:rsidRPr="00CC6CA3">
        <w:t xml:space="preserve"> Sep 2014, which indicates that the pump was in a healthy condition during this period. The POF value crossed the threshold at 04:00 on 16</w:t>
      </w:r>
      <w:r w:rsidR="00913F2C" w:rsidRPr="00CC6CA3">
        <w:rPr>
          <w:vertAlign w:val="superscript"/>
        </w:rPr>
        <w:t>th</w:t>
      </w:r>
      <w:r w:rsidR="00913F2C" w:rsidRPr="00CC6CA3">
        <w:t xml:space="preserve"> Sept, and it fluctuated mostly in the normal range until 13:00 on 23</w:t>
      </w:r>
      <w:r w:rsidR="00913F2C" w:rsidRPr="00CC6CA3">
        <w:rPr>
          <w:vertAlign w:val="superscript"/>
        </w:rPr>
        <w:t>rd</w:t>
      </w:r>
      <w:r w:rsidR="00913F2C" w:rsidRPr="00CC6CA3">
        <w:t xml:space="preserve"> Sep. After that, the POF continuously increased to 1, leading to a fault</w:t>
      </w:r>
      <w:r w:rsidRPr="00CC6CA3">
        <w:t>.</w:t>
      </w:r>
    </w:p>
    <w:p w14:paraId="626CC4AE" w14:textId="77777777" w:rsidR="006A68D6" w:rsidRPr="00CC6CA3" w:rsidRDefault="006A68D6" w:rsidP="00116862">
      <w:pPr>
        <w:keepNext/>
        <w:spacing w:before="120" w:line="240" w:lineRule="auto"/>
        <w:jc w:val="center"/>
      </w:pPr>
      <w:r w:rsidRPr="00CC6CA3">
        <w:object w:dxaOrig="9049" w:dyaOrig="3805" w14:anchorId="6DF34B5E">
          <v:shape id="_x0000_i1101" type="#_x0000_t75" style="width:372pt;height:156pt" o:ole="">
            <v:imagedata r:id="rId227" o:title=""/>
          </v:shape>
          <o:OLEObject Type="Embed" ProgID="Visio.Drawing.15" ShapeID="_x0000_i1101" DrawAspect="Content" ObjectID="_1692500380" r:id="rId228"/>
        </w:object>
      </w:r>
    </w:p>
    <w:p w14:paraId="01C24086" w14:textId="30BAC190" w:rsidR="006A68D6" w:rsidRPr="00CC6CA3" w:rsidRDefault="006A68D6" w:rsidP="006A68D6">
      <w:pPr>
        <w:pStyle w:val="Caption"/>
        <w:jc w:val="center"/>
      </w:pPr>
      <w:bookmarkStart w:id="563" w:name="_Ref63804579"/>
      <w:bookmarkStart w:id="564" w:name="_Toc81553458"/>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31</w:t>
      </w:r>
      <w:r w:rsidR="00D62691" w:rsidRPr="00CC6CA3">
        <w:rPr>
          <w:noProof/>
        </w:rPr>
        <w:fldChar w:fldCharType="end"/>
      </w:r>
      <w:bookmarkEnd w:id="563"/>
      <w:r w:rsidRPr="00CC6CA3">
        <w:t xml:space="preserve"> POF </w:t>
      </w:r>
      <w:r w:rsidR="00DA0E83" w:rsidRPr="00CC6CA3">
        <w:rPr>
          <w:szCs w:val="20"/>
        </w:rPr>
        <w:t xml:space="preserve">calculated from the system feature in the online phase for Case 3 (red line - POF calculated from the fault detection threshold </w:t>
      </w:r>
      <m:oMath>
        <m:sSub>
          <m:sSubPr>
            <m:ctrlPr>
              <w:rPr>
                <w:rFonts w:ascii="Cambria Math" w:hAnsi="Cambria Math"/>
                <w:szCs w:val="20"/>
              </w:rPr>
            </m:ctrlPr>
          </m:sSubPr>
          <m:e>
            <m:r>
              <w:rPr>
                <w:rFonts w:ascii="Cambria Math" w:hAnsi="Cambria Math"/>
                <w:szCs w:val="20"/>
              </w:rPr>
              <m:t>d</m:t>
            </m:r>
          </m:e>
          <m:sub>
            <m:r>
              <w:rPr>
                <w:rFonts w:ascii="Cambria Math" w:hAnsi="Cambria Math"/>
                <w:szCs w:val="20"/>
              </w:rPr>
              <m:t>1</m:t>
            </m:r>
          </m:sub>
        </m:sSub>
      </m:oMath>
      <w:r w:rsidRPr="00CC6CA3">
        <w:t>)</w:t>
      </w:r>
      <w:bookmarkEnd w:id="564"/>
    </w:p>
    <w:p w14:paraId="5EDFD329" w14:textId="77777777" w:rsidR="006A68D6" w:rsidRPr="00CC6CA3" w:rsidRDefault="006A68D6" w:rsidP="00116862">
      <w:pPr>
        <w:keepNext/>
        <w:spacing w:line="240" w:lineRule="auto"/>
        <w:jc w:val="center"/>
      </w:pPr>
      <w:r w:rsidRPr="00CC6CA3">
        <w:rPr>
          <w:noProof/>
        </w:rPr>
        <w:drawing>
          <wp:inline distT="0" distB="0" distL="0" distR="0" wp14:anchorId="4C4CB276" wp14:editId="5FBEDC0D">
            <wp:extent cx="5264150" cy="301961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66830" cy="3021153"/>
                    </a:xfrm>
                    <a:prstGeom prst="rect">
                      <a:avLst/>
                    </a:prstGeom>
                    <a:noFill/>
                  </pic:spPr>
                </pic:pic>
              </a:graphicData>
            </a:graphic>
          </wp:inline>
        </w:drawing>
      </w:r>
    </w:p>
    <w:p w14:paraId="4BB4B505" w14:textId="3844B9F5" w:rsidR="006A68D6" w:rsidRPr="00CC6CA3" w:rsidRDefault="006A68D6" w:rsidP="006A68D6">
      <w:pPr>
        <w:pStyle w:val="Caption"/>
        <w:jc w:val="center"/>
      </w:pPr>
      <w:bookmarkStart w:id="565" w:name="_Ref63804596"/>
      <w:bookmarkStart w:id="566" w:name="_Toc81553459"/>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w:instrText>
      </w:r>
      <w:r w:rsidR="00D62691" w:rsidRPr="00CC6CA3">
        <w:instrText xml:space="preserve">s 1 </w:instrText>
      </w:r>
      <w:r w:rsidR="00D62691" w:rsidRPr="00CC6CA3">
        <w:fldChar w:fldCharType="separate"/>
      </w:r>
      <w:r w:rsidR="001906D9" w:rsidRPr="00CC6CA3">
        <w:rPr>
          <w:noProof/>
        </w:rPr>
        <w:t>32</w:t>
      </w:r>
      <w:r w:rsidR="00D62691" w:rsidRPr="00CC6CA3">
        <w:rPr>
          <w:noProof/>
        </w:rPr>
        <w:fldChar w:fldCharType="end"/>
      </w:r>
      <w:bookmarkEnd w:id="565"/>
      <w:r w:rsidRPr="00CC6CA3">
        <w:t xml:space="preserve"> </w:t>
      </w:r>
      <w:r w:rsidR="00DA0E83" w:rsidRPr="00CC6CA3">
        <w:t xml:space="preserve">Contribution map for SAE model for Case </w:t>
      </w:r>
      <w:r w:rsidRPr="00CC6CA3">
        <w:t>3</w:t>
      </w:r>
      <w:bookmarkEnd w:id="566"/>
    </w:p>
    <w:p w14:paraId="51C9E1F2" w14:textId="1604D831" w:rsidR="00116862" w:rsidRPr="00CC6CA3" w:rsidRDefault="00116862" w:rsidP="00116862">
      <w:pPr>
        <w:spacing w:before="120"/>
      </w:pPr>
      <w:r w:rsidRPr="00CC6CA3">
        <w:t xml:space="preserve">When the POF value exceeded the threshold </w:t>
      </w:r>
      <m:oMath>
        <m:r>
          <w:rPr>
            <w:rFonts w:ascii="Cambria Math" w:hAnsi="Cambria Math"/>
          </w:rPr>
          <m:t>POF=0.5</m:t>
        </m:r>
      </m:oMath>
      <w:r w:rsidRPr="00CC6CA3">
        <w:t xml:space="preserve"> at 13:00 on 23</w:t>
      </w:r>
      <w:r w:rsidRPr="00CC6CA3">
        <w:rPr>
          <w:vertAlign w:val="superscript"/>
        </w:rPr>
        <w:t>rd</w:t>
      </w:r>
      <w:r w:rsidRPr="00CC6CA3">
        <w:t xml:space="preserve"> Sep, the fault analysis module deduced the possible fault type, and calculated the COF value of the fault. </w:t>
      </w:r>
      <w:r w:rsidRPr="00CC6CA3">
        <w:lastRenderedPageBreak/>
        <w:t xml:space="preserve">In our methodology, a two-dimensional Q statistic contribution map was determined (for details see Chapter 4). The results of the analysis are presented in </w:t>
      </w:r>
      <w:r w:rsidRPr="00CC6CA3">
        <w:fldChar w:fldCharType="begin"/>
      </w:r>
      <w:r w:rsidRPr="00CC6CA3">
        <w:instrText xml:space="preserve"> REF _Ref63804596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32</w:t>
      </w:r>
      <w:r w:rsidRPr="00CC6CA3">
        <w:fldChar w:fldCharType="end"/>
      </w:r>
      <w:r w:rsidRPr="00CC6CA3">
        <w:t>.</w:t>
      </w:r>
    </w:p>
    <w:p w14:paraId="5866DB2D" w14:textId="4B4379E8" w:rsidR="006A68D6" w:rsidRPr="00CC6CA3" w:rsidRDefault="006A68D6" w:rsidP="00DA0E83">
      <w:r w:rsidRPr="00CC6CA3">
        <w:fldChar w:fldCharType="begin"/>
      </w:r>
      <w:r w:rsidRPr="00CC6CA3">
        <w:instrText xml:space="preserve"> REF _Ref63804596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32</w:t>
      </w:r>
      <w:r w:rsidRPr="00CC6CA3">
        <w:fldChar w:fldCharType="end"/>
      </w:r>
      <w:r w:rsidRPr="00CC6CA3">
        <w:t xml:space="preserve"> </w:t>
      </w:r>
      <w:r w:rsidR="00DA0E83" w:rsidRPr="00CC6CA3">
        <w:t>clearly showed that it was the overall vibration X and Y of the radial DE bearing at the 3</w:t>
      </w:r>
      <w:r w:rsidR="00DA0E83" w:rsidRPr="00CC6CA3">
        <w:rPr>
          <w:vertAlign w:val="superscript"/>
        </w:rPr>
        <w:t>rd</w:t>
      </w:r>
      <w:r w:rsidR="00DA0E83" w:rsidRPr="00CC6CA3">
        <w:t xml:space="preserve"> stage of the compressor that contributed most to the increase of the system feature. The results gave maintenance staff a clear indication that the radial DE bearing at the 3</w:t>
      </w:r>
      <w:r w:rsidR="00DA0E83" w:rsidRPr="00CC6CA3">
        <w:rPr>
          <w:vertAlign w:val="superscript"/>
        </w:rPr>
        <w:t>rd</w:t>
      </w:r>
      <w:r w:rsidR="00DA0E83" w:rsidRPr="00CC6CA3">
        <w:t xml:space="preserve"> stage of the compressor had suffered a fault. After the fault type was inferred, the financial factors in </w:t>
      </w:r>
      <m:oMath>
        <m:r>
          <w:rPr>
            <w:rFonts w:ascii="Cambria Math" w:hAnsi="Cambria Math"/>
          </w:rPr>
          <m:t>EML</m:t>
        </m:r>
      </m:oMath>
      <w:r w:rsidR="00DA0E83" w:rsidRPr="00CC6CA3">
        <w:t xml:space="preserve"> were updated for bearing related faults. The financial factors and their values are listed in </w:t>
      </w:r>
      <w:r w:rsidRPr="00CC6CA3">
        <w:fldChar w:fldCharType="begin"/>
      </w:r>
      <w:r w:rsidRPr="00CC6CA3">
        <w:instrText xml:space="preserve"> REF _Ref63772608 \h </w:instrText>
      </w:r>
      <w:r w:rsidRPr="00CC6CA3">
        <w:fldChar w:fldCharType="separate"/>
      </w:r>
      <w:r w:rsidR="001906D9" w:rsidRPr="00CC6CA3">
        <w:t xml:space="preserve">Table </w:t>
      </w:r>
      <w:r w:rsidR="001906D9" w:rsidRPr="00CC6CA3">
        <w:rPr>
          <w:noProof/>
        </w:rPr>
        <w:t>5</w:t>
      </w:r>
      <w:r w:rsidR="001906D9" w:rsidRPr="00CC6CA3">
        <w:t>.</w:t>
      </w:r>
      <w:r w:rsidR="001906D9" w:rsidRPr="00CC6CA3">
        <w:rPr>
          <w:noProof/>
        </w:rPr>
        <w:t>11</w:t>
      </w:r>
      <w:r w:rsidRPr="00CC6CA3">
        <w:fldChar w:fldCharType="end"/>
      </w:r>
      <w:r w:rsidRPr="00CC6CA3">
        <w:t xml:space="preserve">. The COF at the online phase can be found in </w:t>
      </w:r>
      <w:r w:rsidRPr="00CC6CA3">
        <w:fldChar w:fldCharType="begin"/>
      </w:r>
      <w:r w:rsidRPr="00CC6CA3">
        <w:instrText xml:space="preserve"> REF _Ref63772627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33</w:t>
      </w:r>
      <w:r w:rsidRPr="00CC6CA3">
        <w:fldChar w:fldCharType="end"/>
      </w:r>
      <w:r w:rsidRPr="00CC6CA3">
        <w:t>.</w:t>
      </w:r>
    </w:p>
    <w:p w14:paraId="7CF341B5" w14:textId="17260200" w:rsidR="006A68D6" w:rsidRPr="00CC6CA3" w:rsidRDefault="006A68D6" w:rsidP="006A68D6">
      <w:pPr>
        <w:pStyle w:val="Caption"/>
        <w:keepNext/>
      </w:pPr>
      <w:bookmarkStart w:id="567" w:name="_Ref63772608"/>
      <w:bookmarkStart w:id="568" w:name="_Toc81553488"/>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11</w:t>
      </w:r>
      <w:r w:rsidR="00D62691" w:rsidRPr="00CC6CA3">
        <w:rPr>
          <w:noProof/>
        </w:rPr>
        <w:fldChar w:fldCharType="end"/>
      </w:r>
      <w:bookmarkEnd w:id="567"/>
      <w:r w:rsidRPr="00CC6CA3">
        <w:t xml:space="preserve"> Financial factors and their values updated </w:t>
      </w:r>
      <w:r w:rsidR="00DA0E83" w:rsidRPr="00CC6CA3">
        <w:t>for</w:t>
      </w:r>
      <w:r w:rsidRPr="00CC6CA3">
        <w:t xml:space="preserve"> bearing related fault in the compressor</w:t>
      </w:r>
      <w:bookmarkEnd w:id="568"/>
    </w:p>
    <w:tbl>
      <w:tblPr>
        <w:tblStyle w:val="PlainTable2"/>
        <w:tblW w:w="0" w:type="auto"/>
        <w:jc w:val="center"/>
        <w:tblLook w:val="04A0" w:firstRow="1" w:lastRow="0" w:firstColumn="1" w:lastColumn="0" w:noHBand="0" w:noVBand="1"/>
      </w:tblPr>
      <w:tblGrid>
        <w:gridCol w:w="3214"/>
        <w:gridCol w:w="1572"/>
      </w:tblGrid>
      <w:tr w:rsidR="00CC6CA3" w:rsidRPr="00CC6CA3" w14:paraId="59A16751" w14:textId="77777777" w:rsidTr="00F632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1B2CC055"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Financial factors</w:t>
            </w:r>
          </w:p>
        </w:tc>
        <w:tc>
          <w:tcPr>
            <w:tcW w:w="1572" w:type="dxa"/>
          </w:tcPr>
          <w:p w14:paraId="1EDB2EDC" w14:textId="77777777" w:rsidR="006A68D6" w:rsidRPr="00CC6CA3" w:rsidRDefault="006A68D6" w:rsidP="00F632C0">
            <w:pPr>
              <w:cnfStyle w:val="100000000000" w:firstRow="1" w:lastRow="0" w:firstColumn="0" w:lastColumn="0" w:oddVBand="0" w:evenVBand="0" w:oddHBand="0"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Values ($)</w:t>
            </w:r>
          </w:p>
        </w:tc>
      </w:tr>
      <w:tr w:rsidR="00CC6CA3" w:rsidRPr="00CC6CA3" w14:paraId="3E0A929C"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20056D83"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Downtime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D</m:t>
                  </m:r>
                </m:sub>
              </m:sSub>
            </m:oMath>
            <w:r w:rsidRPr="00CC6CA3">
              <w:rPr>
                <w:rFonts w:ascii="Palatino Linotype" w:hAnsi="Palatino Linotype"/>
                <w:sz w:val="18"/>
                <w:szCs w:val="18"/>
              </w:rPr>
              <w:t xml:space="preserve">) </w:t>
            </w:r>
          </w:p>
        </w:tc>
        <w:tc>
          <w:tcPr>
            <w:tcW w:w="1572" w:type="dxa"/>
          </w:tcPr>
          <w:p w14:paraId="0B470153" w14:textId="77777777" w:rsidR="006A68D6" w:rsidRPr="00CC6CA3" w:rsidRDefault="006A68D6" w:rsidP="00F632C0">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62,500</w:t>
            </w:r>
          </w:p>
        </w:tc>
      </w:tr>
      <w:tr w:rsidR="00CC6CA3" w:rsidRPr="00CC6CA3" w14:paraId="691DB768"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3214" w:type="dxa"/>
          </w:tcPr>
          <w:p w14:paraId="36A7531F"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Material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M</m:t>
                  </m:r>
                </m:sub>
              </m:sSub>
            </m:oMath>
            <w:r w:rsidRPr="00CC6CA3">
              <w:rPr>
                <w:rFonts w:ascii="Palatino Linotype" w:hAnsi="Palatino Linotype"/>
                <w:sz w:val="18"/>
                <w:szCs w:val="18"/>
              </w:rPr>
              <w:t>)</w:t>
            </w:r>
          </w:p>
        </w:tc>
        <w:tc>
          <w:tcPr>
            <w:tcW w:w="1572" w:type="dxa"/>
          </w:tcPr>
          <w:p w14:paraId="4C2CAE0B" w14:textId="77777777" w:rsidR="006A68D6" w:rsidRPr="00CC6CA3" w:rsidRDefault="006A68D6" w:rsidP="00F632C0">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1,000</w:t>
            </w:r>
          </w:p>
        </w:tc>
      </w:tr>
      <w:tr w:rsidR="00CC6CA3" w:rsidRPr="00CC6CA3" w14:paraId="46758D0A"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341201B3"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Labour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L</m:t>
                  </m:r>
                </m:sub>
              </m:sSub>
            </m:oMath>
            <w:r w:rsidRPr="00CC6CA3">
              <w:rPr>
                <w:rFonts w:ascii="Palatino Linotype" w:hAnsi="Palatino Linotype"/>
                <w:sz w:val="18"/>
                <w:szCs w:val="18"/>
              </w:rPr>
              <w:t>)</w:t>
            </w:r>
          </w:p>
        </w:tc>
        <w:tc>
          <w:tcPr>
            <w:tcW w:w="1572" w:type="dxa"/>
          </w:tcPr>
          <w:p w14:paraId="31D7FF9A" w14:textId="77777777" w:rsidR="006A68D6" w:rsidRPr="00CC6CA3" w:rsidRDefault="006A68D6" w:rsidP="00F632C0">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720</w:t>
            </w:r>
          </w:p>
        </w:tc>
      </w:tr>
      <w:tr w:rsidR="00CC6CA3" w:rsidRPr="00CC6CA3" w14:paraId="2C596D64" w14:textId="77777777" w:rsidTr="00F632C0">
        <w:trPr>
          <w:jc w:val="center"/>
        </w:trPr>
        <w:tc>
          <w:tcPr>
            <w:cnfStyle w:val="001000000000" w:firstRow="0" w:lastRow="0" w:firstColumn="1" w:lastColumn="0" w:oddVBand="0" w:evenVBand="0" w:oddHBand="0" w:evenHBand="0" w:firstRowFirstColumn="0" w:firstRowLastColumn="0" w:lastRowFirstColumn="0" w:lastRowLastColumn="0"/>
            <w:tcW w:w="3214" w:type="dxa"/>
          </w:tcPr>
          <w:p w14:paraId="26B08729" w14:textId="77777777" w:rsidR="006A68D6" w:rsidRPr="00CC6CA3" w:rsidRDefault="006A68D6" w:rsidP="00F632C0">
            <w:pPr>
              <w:rPr>
                <w:rFonts w:ascii="Palatino Linotype" w:hAnsi="Palatino Linotype"/>
                <w:sz w:val="18"/>
                <w:szCs w:val="18"/>
              </w:rPr>
            </w:pPr>
            <w:r w:rsidRPr="00CC6CA3">
              <w:rPr>
                <w:rFonts w:ascii="Palatino Linotype" w:hAnsi="Palatino Linotype"/>
                <w:sz w:val="18"/>
                <w:szCs w:val="18"/>
              </w:rPr>
              <w:t>Technical support cost (</w:t>
            </w: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TS</m:t>
                  </m:r>
                </m:sub>
              </m:sSub>
            </m:oMath>
            <w:r w:rsidRPr="00CC6CA3">
              <w:rPr>
                <w:rFonts w:ascii="Palatino Linotype" w:hAnsi="Palatino Linotype"/>
                <w:sz w:val="18"/>
                <w:szCs w:val="18"/>
              </w:rPr>
              <w:t>)</w:t>
            </w:r>
          </w:p>
        </w:tc>
        <w:tc>
          <w:tcPr>
            <w:tcW w:w="1572" w:type="dxa"/>
          </w:tcPr>
          <w:p w14:paraId="5D3DF128" w14:textId="77777777" w:rsidR="006A68D6" w:rsidRPr="00CC6CA3" w:rsidRDefault="006A68D6" w:rsidP="00F632C0">
            <w:pPr>
              <w:cnfStyle w:val="000000000000" w:firstRow="0" w:lastRow="0" w:firstColumn="0" w:lastColumn="0" w:oddVBand="0" w:evenVBand="0" w:oddHBand="0"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3,000</w:t>
            </w:r>
          </w:p>
        </w:tc>
      </w:tr>
      <w:tr w:rsidR="00CC6CA3" w:rsidRPr="00CC6CA3" w14:paraId="6D50F426" w14:textId="77777777" w:rsidTr="00F632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4" w:type="dxa"/>
          </w:tcPr>
          <w:p w14:paraId="7DC65158" w14:textId="77777777" w:rsidR="006A68D6" w:rsidRPr="00CC6CA3" w:rsidRDefault="00D62691" w:rsidP="00F632C0">
            <w:pPr>
              <w:rPr>
                <w:rFonts w:ascii="Palatino Linotype" w:hAnsi="Palatino Linotype"/>
                <w:sz w:val="18"/>
                <w:szCs w:val="18"/>
              </w:rPr>
            </w:pPr>
            <m:oMathPara>
              <m:oMathParaPr>
                <m:jc m:val="left"/>
              </m:oMathParaPr>
              <m:oMath>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AL</m:t>
                    </m:r>
                  </m:sub>
                </m:sSub>
                <m:r>
                  <m:rPr>
                    <m:sty m:val="bi"/>
                  </m:rPr>
                  <w:rPr>
                    <w:rFonts w:ascii="Cambria Math" w:hAnsi="Cambria Math"/>
                    <w:sz w:val="18"/>
                    <w:szCs w:val="18"/>
                  </w:rPr>
                  <m:t xml:space="preserve">+ </m:t>
                </m:r>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HL</m:t>
                    </m:r>
                  </m:sub>
                </m:sSub>
                <m:r>
                  <m:rPr>
                    <m:sty m:val="bi"/>
                  </m:rPr>
                  <w:rPr>
                    <w:rFonts w:ascii="Cambria Math" w:hAnsi="Cambria Math"/>
                    <w:sz w:val="18"/>
                    <w:szCs w:val="18"/>
                  </w:rPr>
                  <m:t>+</m:t>
                </m:r>
                <m:sSub>
                  <m:sSubPr>
                    <m:ctrlPr>
                      <w:rPr>
                        <w:rFonts w:ascii="Cambria Math" w:hAnsi="Cambria Math"/>
                        <w:sz w:val="18"/>
                        <w:szCs w:val="18"/>
                      </w:rPr>
                    </m:ctrlPr>
                  </m:sSubPr>
                  <m:e>
                    <m:r>
                      <m:rPr>
                        <m:sty m:val="bi"/>
                      </m:rPr>
                      <w:rPr>
                        <w:rFonts w:ascii="Cambria Math" w:hAnsi="Cambria Math"/>
                        <w:sz w:val="18"/>
                        <w:szCs w:val="18"/>
                      </w:rPr>
                      <m:t>C</m:t>
                    </m:r>
                  </m:e>
                  <m:sub>
                    <m:r>
                      <m:rPr>
                        <m:sty m:val="bi"/>
                      </m:rPr>
                      <w:rPr>
                        <w:rFonts w:ascii="Cambria Math" w:hAnsi="Cambria Math"/>
                        <w:sz w:val="18"/>
                        <w:szCs w:val="18"/>
                      </w:rPr>
                      <m:t>others</m:t>
                    </m:r>
                  </m:sub>
                </m:sSub>
              </m:oMath>
            </m:oMathPara>
          </w:p>
        </w:tc>
        <w:tc>
          <w:tcPr>
            <w:tcW w:w="1572" w:type="dxa"/>
          </w:tcPr>
          <w:p w14:paraId="3C2B89C4" w14:textId="77777777" w:rsidR="006A68D6" w:rsidRPr="00CC6CA3" w:rsidRDefault="006A68D6" w:rsidP="00F632C0">
            <w:pPr>
              <w:cnfStyle w:val="000000100000" w:firstRow="0" w:lastRow="0" w:firstColumn="0" w:lastColumn="0" w:oddVBand="0" w:evenVBand="0" w:oddHBand="1" w:evenHBand="0" w:firstRowFirstColumn="0" w:firstRowLastColumn="0" w:lastRowFirstColumn="0" w:lastRowLastColumn="0"/>
              <w:rPr>
                <w:rFonts w:ascii="Palatino Linotype" w:hAnsi="Palatino Linotype"/>
                <w:sz w:val="18"/>
                <w:szCs w:val="18"/>
              </w:rPr>
            </w:pPr>
            <w:r w:rsidRPr="00CC6CA3">
              <w:rPr>
                <w:rFonts w:ascii="Palatino Linotype" w:hAnsi="Palatino Linotype"/>
                <w:sz w:val="18"/>
                <w:szCs w:val="18"/>
              </w:rPr>
              <w:t>33,048</w:t>
            </w:r>
          </w:p>
        </w:tc>
      </w:tr>
    </w:tbl>
    <w:p w14:paraId="55B34EBD" w14:textId="77777777" w:rsidR="006A68D6" w:rsidRPr="00CC6CA3" w:rsidRDefault="006A68D6" w:rsidP="006A68D6"/>
    <w:p w14:paraId="5AE08917" w14:textId="77777777" w:rsidR="006A68D6" w:rsidRPr="00CC6CA3" w:rsidRDefault="006A68D6" w:rsidP="006A68D6">
      <w:pPr>
        <w:pStyle w:val="Body"/>
        <w:keepNext/>
        <w:jc w:val="center"/>
      </w:pPr>
      <w:r w:rsidRPr="00CC6CA3">
        <w:rPr>
          <w:noProof/>
        </w:rPr>
        <w:drawing>
          <wp:inline distT="0" distB="0" distL="0" distR="0" wp14:anchorId="53CED2E4" wp14:editId="407D4AC5">
            <wp:extent cx="4752000" cy="197551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52000" cy="1975515"/>
                    </a:xfrm>
                    <a:prstGeom prst="rect">
                      <a:avLst/>
                    </a:prstGeom>
                    <a:noFill/>
                  </pic:spPr>
                </pic:pic>
              </a:graphicData>
            </a:graphic>
          </wp:inline>
        </w:drawing>
      </w:r>
    </w:p>
    <w:p w14:paraId="72F82ECA" w14:textId="4D32FFE9" w:rsidR="006A68D6" w:rsidRPr="00CC6CA3" w:rsidRDefault="006A68D6" w:rsidP="00DA0E83">
      <w:pPr>
        <w:pStyle w:val="Caption"/>
        <w:jc w:val="center"/>
      </w:pPr>
      <w:bookmarkStart w:id="569" w:name="_Ref63772627"/>
      <w:bookmarkStart w:id="570" w:name="_Toc81553460"/>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33</w:t>
      </w:r>
      <w:r w:rsidR="00D62691" w:rsidRPr="00CC6CA3">
        <w:rPr>
          <w:noProof/>
        </w:rPr>
        <w:fldChar w:fldCharType="end"/>
      </w:r>
      <w:bookmarkEnd w:id="569"/>
      <w:r w:rsidRPr="00CC6CA3">
        <w:t xml:space="preserve"> Consequence of a fault in the online phase for </w:t>
      </w:r>
      <w:r w:rsidR="00DA0E83" w:rsidRPr="00CC6CA3">
        <w:t>C</w:t>
      </w:r>
      <w:r w:rsidRPr="00CC6CA3">
        <w:t>ase 3</w:t>
      </w:r>
      <w:bookmarkEnd w:id="570"/>
    </w:p>
    <w:p w14:paraId="3627E9C1" w14:textId="73760100" w:rsidR="006A68D6" w:rsidRPr="00CC6CA3" w:rsidRDefault="006A68D6" w:rsidP="006A68D6">
      <w:r w:rsidRPr="00CC6CA3">
        <w:t xml:space="preserve">The system health indicator was a dynamic risk profile of the compressor. It was obtained by combining the COF with the POF in the online phase. </w:t>
      </w:r>
      <w:r w:rsidR="00DA0E83" w:rsidRPr="00CC6CA3">
        <w:t>The system health indicator of the compressor is shown in</w:t>
      </w:r>
      <w:r w:rsidRPr="00CC6CA3">
        <w:t xml:space="preserve"> </w:t>
      </w:r>
      <w:r w:rsidRPr="00CC6CA3">
        <w:fldChar w:fldCharType="begin"/>
      </w:r>
      <w:r w:rsidRPr="00CC6CA3">
        <w:instrText xml:space="preserve"> REF _Ref63772639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34</w:t>
      </w:r>
      <w:r w:rsidRPr="00CC6CA3">
        <w:fldChar w:fldCharType="end"/>
      </w:r>
      <w:r w:rsidRPr="00CC6CA3">
        <w:t>.</w:t>
      </w:r>
    </w:p>
    <w:p w14:paraId="343F5A05" w14:textId="77777777" w:rsidR="006A68D6" w:rsidRPr="00CC6CA3" w:rsidRDefault="006A68D6" w:rsidP="006A68D6">
      <w:pPr>
        <w:keepNext/>
        <w:jc w:val="center"/>
      </w:pPr>
      <w:r w:rsidRPr="00CC6CA3">
        <w:rPr>
          <w:noProof/>
        </w:rPr>
        <w:lastRenderedPageBreak/>
        <w:drawing>
          <wp:inline distT="0" distB="0" distL="0" distR="0" wp14:anchorId="21AA4E85" wp14:editId="1D930DD3">
            <wp:extent cx="4752000" cy="2376000"/>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52000" cy="2376000"/>
                    </a:xfrm>
                    <a:prstGeom prst="rect">
                      <a:avLst/>
                    </a:prstGeom>
                    <a:noFill/>
                  </pic:spPr>
                </pic:pic>
              </a:graphicData>
            </a:graphic>
          </wp:inline>
        </w:drawing>
      </w:r>
    </w:p>
    <w:p w14:paraId="7D6D4189" w14:textId="651A9FCB" w:rsidR="006A68D6" w:rsidRPr="00CC6CA3" w:rsidRDefault="006A68D6" w:rsidP="006A68D6">
      <w:pPr>
        <w:pStyle w:val="Caption"/>
        <w:jc w:val="center"/>
      </w:pPr>
      <w:bookmarkStart w:id="571" w:name="_Ref63772639"/>
      <w:bookmarkStart w:id="572" w:name="_Toc81553461"/>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34</w:t>
      </w:r>
      <w:r w:rsidR="00D62691" w:rsidRPr="00CC6CA3">
        <w:rPr>
          <w:noProof/>
        </w:rPr>
        <w:fldChar w:fldCharType="end"/>
      </w:r>
      <w:bookmarkEnd w:id="571"/>
      <w:r w:rsidRPr="00CC6CA3">
        <w:t xml:space="preserve"> System health indicator presented by the risk profile of the compressor for </w:t>
      </w:r>
      <w:r w:rsidR="00DA0E83" w:rsidRPr="00CC6CA3">
        <w:t>C</w:t>
      </w:r>
      <w:r w:rsidRPr="00CC6CA3">
        <w:t>ase 3</w:t>
      </w:r>
      <w:bookmarkEnd w:id="572"/>
    </w:p>
    <w:p w14:paraId="415723B1" w14:textId="1212BFBD" w:rsidR="00DA0E83" w:rsidRPr="00CC6CA3" w:rsidRDefault="006A68D6" w:rsidP="00DA0E83">
      <w:r w:rsidRPr="00CC6CA3">
        <w:t xml:space="preserve">In </w:t>
      </w:r>
      <w:r w:rsidRPr="00CC6CA3">
        <w:fldChar w:fldCharType="begin"/>
      </w:r>
      <w:r w:rsidRPr="00CC6CA3">
        <w:instrText xml:space="preserve"> REF _Ref63772639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34</w:t>
      </w:r>
      <w:r w:rsidRPr="00CC6CA3">
        <w:fldChar w:fldCharType="end"/>
      </w:r>
      <w:r w:rsidRPr="00CC6CA3">
        <w:t xml:space="preserve">, </w:t>
      </w:r>
      <w:r w:rsidR="00DA0E83" w:rsidRPr="00CC6CA3">
        <w:t xml:space="preserve">the health indicator firstly crossed the fault detection threshold </w:t>
      </w:r>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r w:rsidR="00DA0E83" w:rsidRPr="00CC6CA3">
        <w:t xml:space="preserve"> at 04:00 on 16</w:t>
      </w:r>
      <w:r w:rsidR="00DA0E83" w:rsidRPr="00CC6CA3">
        <w:rPr>
          <w:vertAlign w:val="superscript"/>
        </w:rPr>
        <w:t>th</w:t>
      </w:r>
      <w:r w:rsidR="00DA0E83" w:rsidRPr="00CC6CA3">
        <w:t xml:space="preserve"> Sep 2014, which meant that the compressor was healthy before this time. From 04:00 on 16</w:t>
      </w:r>
      <w:r w:rsidR="00DA0E83" w:rsidRPr="00CC6CA3">
        <w:rPr>
          <w:vertAlign w:val="superscript"/>
        </w:rPr>
        <w:t>th</w:t>
      </w:r>
      <w:r w:rsidR="00DA0E83" w:rsidRPr="00CC6CA3">
        <w:t xml:space="preserve"> Sep to 13:00 23</w:t>
      </w:r>
      <w:r w:rsidR="00DA0E83" w:rsidRPr="00CC6CA3">
        <w:rPr>
          <w:vertAlign w:val="superscript"/>
        </w:rPr>
        <w:t>rd</w:t>
      </w:r>
      <w:r w:rsidR="00DA0E83" w:rsidRPr="00CC6CA3">
        <w:t xml:space="preserve"> Sep, the indicator fluctuated but most of its values remained below the threshold </w:t>
      </w:r>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r w:rsidR="00DA0E83" w:rsidRPr="00CC6CA3">
        <w:t>. After 13:00 23</w:t>
      </w:r>
      <w:r w:rsidR="00DA0E83" w:rsidRPr="00CC6CA3">
        <w:rPr>
          <w:vertAlign w:val="superscript"/>
        </w:rPr>
        <w:t>rd</w:t>
      </w:r>
      <w:r w:rsidR="00DA0E83" w:rsidRPr="00CC6CA3">
        <w:t xml:space="preserve"> Sep, the magnitude of the indicator rose above </w:t>
      </w:r>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r w:rsidR="00DA0E83" w:rsidRPr="00CC6CA3">
        <w:t xml:space="preserve">, which indicated that a fault had been detected. This indicated that the proposed health indicator had successfully detected the fault at its incipient stage. When comparing with the measured parameters of the compressor’s condition monitoring system, Figure 3-21, we see that only slight changes appeared in the measurements made on the compressor. </w:t>
      </w:r>
    </w:p>
    <w:p w14:paraId="14B6249E" w14:textId="3D1B9239" w:rsidR="006A68D6" w:rsidRPr="00CC6CA3" w:rsidRDefault="00DA0E83" w:rsidP="006A68D6">
      <w:r w:rsidRPr="00CC6CA3">
        <w:t xml:space="preserve">The proposed health indicator exceeded the shutdown threshold </w:t>
      </w:r>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r w:rsidRPr="00CC6CA3">
        <w:t xml:space="preserve"> at 17:00 on 16</w:t>
      </w:r>
      <w:r w:rsidRPr="00CC6CA3">
        <w:rPr>
          <w:vertAlign w:val="superscript"/>
        </w:rPr>
        <w:t>th</w:t>
      </w:r>
      <w:r w:rsidRPr="00CC6CA3">
        <w:t xml:space="preserve"> Oct 2014. In this case, the company shut down the compressor on 23</w:t>
      </w:r>
      <w:r w:rsidRPr="00CC6CA3">
        <w:rPr>
          <w:vertAlign w:val="superscript"/>
        </w:rPr>
        <w:t>rd</w:t>
      </w:r>
      <w:r w:rsidRPr="00CC6CA3">
        <w:t xml:space="preserve"> Oct, which is seven days later.</w:t>
      </w:r>
      <w:r w:rsidR="006A68D6" w:rsidRPr="00CC6CA3">
        <w:t xml:space="preserve"> As can be seen in </w:t>
      </w:r>
      <w:r w:rsidR="006A68D6" w:rsidRPr="00CC6CA3">
        <w:fldChar w:fldCharType="begin"/>
      </w:r>
      <w:r w:rsidR="006A68D6" w:rsidRPr="00CC6CA3">
        <w:instrText xml:space="preserve"> REF _Ref63804596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32</w:t>
      </w:r>
      <w:r w:rsidR="006A68D6" w:rsidRPr="00CC6CA3">
        <w:fldChar w:fldCharType="end"/>
      </w:r>
      <w:r w:rsidR="006A68D6" w:rsidRPr="00CC6CA3">
        <w:t xml:space="preserve"> and Figure 3-21, </w:t>
      </w:r>
      <w:r w:rsidRPr="00CC6CA3">
        <w:t>from 22</w:t>
      </w:r>
      <w:r w:rsidRPr="00CC6CA3">
        <w:rPr>
          <w:vertAlign w:val="superscript"/>
        </w:rPr>
        <w:t>nd</w:t>
      </w:r>
      <w:r w:rsidRPr="00CC6CA3">
        <w:t xml:space="preserve"> Sep to 16</w:t>
      </w:r>
      <w:r w:rsidRPr="00CC6CA3">
        <w:rPr>
          <w:vertAlign w:val="superscript"/>
        </w:rPr>
        <w:t>th</w:t>
      </w:r>
      <w:r w:rsidRPr="00CC6CA3">
        <w:t xml:space="preserve"> Oct, it was the measurements made on the stage 3 DE bearing that were clearly abnormal. However, after 16</w:t>
      </w:r>
      <w:r w:rsidRPr="00CC6CA3">
        <w:rPr>
          <w:vertAlign w:val="superscript"/>
        </w:rPr>
        <w:t>th</w:t>
      </w:r>
      <w:r w:rsidRPr="00CC6CA3">
        <w:t xml:space="preserve"> Oct, many other measurements (i.e., the vibration levels of the stage 1-2 DE bearing and the stage 3 NDE bearing, and the suction temperature of stage 2) were affected by the faulty bearing, which indicated the system had deteriorated and was in a dangerous condition</w:t>
      </w:r>
      <w:r w:rsidR="006A68D6" w:rsidRPr="00CC6CA3">
        <w:t xml:space="preserve">. As can be seen in </w:t>
      </w:r>
      <w:r w:rsidR="006A68D6" w:rsidRPr="00CC6CA3">
        <w:fldChar w:fldCharType="begin"/>
      </w:r>
      <w:r w:rsidR="006A68D6" w:rsidRPr="00CC6CA3">
        <w:instrText xml:space="preserve"> REF _Ref63772639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34</w:t>
      </w:r>
      <w:r w:rsidR="006A68D6" w:rsidRPr="00CC6CA3">
        <w:fldChar w:fldCharType="end"/>
      </w:r>
      <w:r w:rsidRPr="00CC6CA3">
        <w:t>,</w:t>
      </w:r>
      <w:r w:rsidR="006A68D6" w:rsidRPr="00CC6CA3">
        <w:t xml:space="preserve"> </w:t>
      </w:r>
      <w:r w:rsidRPr="00CC6CA3">
        <w:t>the developed health indicator, no later than 16</w:t>
      </w:r>
      <w:r w:rsidRPr="00CC6CA3">
        <w:rPr>
          <w:vertAlign w:val="superscript"/>
        </w:rPr>
        <w:t>th</w:t>
      </w:r>
      <w:r w:rsidRPr="00CC6CA3">
        <w:t xml:space="preserve"> Oct, suggested the compressor be shut down to avoid operating in a dangerous condition</w:t>
      </w:r>
      <w:r w:rsidR="006A68D6" w:rsidRPr="00CC6CA3">
        <w:t>.</w:t>
      </w:r>
    </w:p>
    <w:p w14:paraId="2AA78A61" w14:textId="77777777" w:rsidR="006A68D6" w:rsidRPr="00CC6CA3" w:rsidRDefault="006A68D6" w:rsidP="006A68D6">
      <w:pPr>
        <w:pStyle w:val="Heading2"/>
      </w:pPr>
      <w:bookmarkStart w:id="573" w:name="_Toc81553311"/>
      <w:r w:rsidRPr="00CC6CA3">
        <w:lastRenderedPageBreak/>
        <w:t>Methodology and results comparison</w:t>
      </w:r>
      <w:bookmarkEnd w:id="573"/>
    </w:p>
    <w:p w14:paraId="787481ED" w14:textId="77777777" w:rsidR="006A68D6" w:rsidRPr="00CC6CA3" w:rsidRDefault="006A68D6" w:rsidP="006A68D6">
      <w:pPr>
        <w:pStyle w:val="Heading3"/>
        <w:rPr>
          <w:lang w:val="en-US"/>
        </w:rPr>
      </w:pPr>
      <w:bookmarkStart w:id="574" w:name="_Toc81553312"/>
      <w:r w:rsidRPr="00CC6CA3">
        <w:rPr>
          <w:lang w:val="en-US"/>
        </w:rPr>
        <w:t>Methodology comparison</w:t>
      </w:r>
      <w:bookmarkEnd w:id="574"/>
    </w:p>
    <w:p w14:paraId="28A9675F" w14:textId="28ED75A4" w:rsidR="006A68D6" w:rsidRPr="00CC6CA3" w:rsidRDefault="00974D32" w:rsidP="006A68D6">
      <w:r w:rsidRPr="00CC6CA3">
        <w:t xml:space="preserve">Sections 5.1.1 and 5.2.1 described two methodologies for obtaining a condition-based system health indicator. In Section 5.1.1, the condition-based risk assessment proposed by </w:t>
      </w:r>
      <w:r w:rsidRPr="00CC6CA3">
        <w:rPr>
          <w:rFonts w:cs="Times New Roman"/>
        </w:rPr>
        <w:t>Zadakbar</w:t>
      </w:r>
      <w:r w:rsidRPr="00CC6CA3">
        <w:t xml:space="preserve"> et al., </w:t>
      </w:r>
      <w:r w:rsidR="006A68D6" w:rsidRPr="00CC6CA3">
        <w:fldChar w:fldCharType="begin"/>
      </w:r>
      <w:r w:rsidR="007D1BCC" w:rsidRPr="00CC6CA3">
        <w:instrText xml:space="preserve"> ADDIN ZOTERO_ITEM CSL_CITATION {"citationID":"objaLish","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6A68D6" w:rsidRPr="00CC6CA3">
        <w:fldChar w:fldCharType="separate"/>
      </w:r>
      <w:r w:rsidR="007D1BCC" w:rsidRPr="00CC6CA3">
        <w:rPr>
          <w:rFonts w:cs="Times New Roman"/>
        </w:rPr>
        <w:t>[94]</w:t>
      </w:r>
      <w:r w:rsidR="006A68D6" w:rsidRPr="00CC6CA3">
        <w:fldChar w:fldCharType="end"/>
      </w:r>
      <w:r w:rsidR="006A68D6" w:rsidRPr="00CC6CA3">
        <w:t xml:space="preserve"> </w:t>
      </w:r>
      <w:r w:rsidRPr="00CC6CA3">
        <w:t>used a PCA approach</w:t>
      </w:r>
      <w:r w:rsidR="006A68D6" w:rsidRPr="00CC6CA3">
        <w:t xml:space="preserve">. Based on their work, a general approach was proposed </w:t>
      </w:r>
      <w:r w:rsidRPr="00CC6CA3">
        <w:t xml:space="preserve">SAE based approach </w:t>
      </w:r>
      <w:r w:rsidR="006A68D6" w:rsidRPr="00CC6CA3">
        <w:t xml:space="preserve">in Section 5.2.1. Three case studies were carried out to demonstrate the effectiveness of the proposed methodology using the SAE fault detection model. The differences between the two methodologies are listed in </w:t>
      </w:r>
      <w:r w:rsidR="006A68D6" w:rsidRPr="00CC6CA3">
        <w:fldChar w:fldCharType="begin"/>
      </w:r>
      <w:r w:rsidR="006A68D6" w:rsidRPr="00CC6CA3">
        <w:instrText xml:space="preserve"> REF _Ref41437136 \h  \* MERGEFORMAT </w:instrText>
      </w:r>
      <w:r w:rsidR="006A68D6" w:rsidRPr="00CC6CA3">
        <w:fldChar w:fldCharType="separate"/>
      </w:r>
      <w:r w:rsidR="001906D9" w:rsidRPr="00CC6CA3">
        <w:t>Table 5.12</w:t>
      </w:r>
      <w:r w:rsidR="006A68D6" w:rsidRPr="00CC6CA3">
        <w:fldChar w:fldCharType="end"/>
      </w:r>
      <w:r w:rsidR="006A68D6" w:rsidRPr="00CC6CA3">
        <w:t xml:space="preserve">. Case studies applying both methodologies are compared in Section 5.3.2 to 5.3.4. </w:t>
      </w:r>
    </w:p>
    <w:p w14:paraId="05EF6E2C" w14:textId="02C04E96" w:rsidR="006A68D6" w:rsidRPr="00CC6CA3" w:rsidRDefault="006A68D6" w:rsidP="006A68D6">
      <w:pPr>
        <w:pStyle w:val="Caption"/>
        <w:keepNext/>
      </w:pPr>
      <w:bookmarkStart w:id="575" w:name="_Ref41437136"/>
      <w:bookmarkStart w:id="576" w:name="_Toc81553489"/>
      <w:r w:rsidRPr="00CC6CA3">
        <w:t xml:space="preserve">Table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8C1E80" w:rsidRPr="00CC6CA3">
        <w:t>.</w:t>
      </w:r>
      <w:r w:rsidR="00D62691" w:rsidRPr="00CC6CA3">
        <w:fldChar w:fldCharType="begin"/>
      </w:r>
      <w:r w:rsidR="00D62691" w:rsidRPr="00CC6CA3">
        <w:instrText xml:space="preserve"> SEQ Table \* ARABIC \s 1 </w:instrText>
      </w:r>
      <w:r w:rsidR="00D62691" w:rsidRPr="00CC6CA3">
        <w:fldChar w:fldCharType="separate"/>
      </w:r>
      <w:r w:rsidR="001906D9" w:rsidRPr="00CC6CA3">
        <w:rPr>
          <w:noProof/>
        </w:rPr>
        <w:t>12</w:t>
      </w:r>
      <w:r w:rsidR="00D62691" w:rsidRPr="00CC6CA3">
        <w:rPr>
          <w:noProof/>
        </w:rPr>
        <w:fldChar w:fldCharType="end"/>
      </w:r>
      <w:bookmarkEnd w:id="575"/>
      <w:r w:rsidRPr="00CC6CA3">
        <w:t xml:space="preserve"> The difference between the </w:t>
      </w:r>
      <w:r w:rsidR="00B52881" w:rsidRPr="00CC6CA3">
        <w:t>PCA based and SAE based</w:t>
      </w:r>
      <w:r w:rsidRPr="00CC6CA3">
        <w:t xml:space="preserve"> methodologies</w:t>
      </w:r>
      <w:bookmarkEnd w:id="576"/>
    </w:p>
    <w:tbl>
      <w:tblPr>
        <w:tblStyle w:val="TableGrid1"/>
        <w:tblW w:w="5000" w:type="pct"/>
        <w:tblLook w:val="04A0" w:firstRow="1" w:lastRow="0" w:firstColumn="1" w:lastColumn="0" w:noHBand="0" w:noVBand="1"/>
      </w:tblPr>
      <w:tblGrid>
        <w:gridCol w:w="1129"/>
        <w:gridCol w:w="3828"/>
        <w:gridCol w:w="3798"/>
      </w:tblGrid>
      <w:tr w:rsidR="00CC6CA3" w:rsidRPr="00CC6CA3" w14:paraId="7D50C0B5" w14:textId="77777777" w:rsidTr="00116862">
        <w:trPr>
          <w:trHeight w:val="678"/>
        </w:trPr>
        <w:tc>
          <w:tcPr>
            <w:tcW w:w="645" w:type="pct"/>
          </w:tcPr>
          <w:p w14:paraId="4D624C79" w14:textId="77777777" w:rsidR="006A68D6" w:rsidRPr="00CC6CA3" w:rsidRDefault="006A68D6" w:rsidP="00F632C0">
            <w:pPr>
              <w:spacing w:line="240" w:lineRule="auto"/>
              <w:jc w:val="left"/>
              <w:rPr>
                <w:rFonts w:eastAsia="Times New Roman" w:cs="Times New Roman"/>
                <w:b/>
                <w:bCs/>
                <w:sz w:val="20"/>
                <w:szCs w:val="20"/>
              </w:rPr>
            </w:pPr>
          </w:p>
        </w:tc>
        <w:tc>
          <w:tcPr>
            <w:tcW w:w="2186" w:type="pct"/>
            <w:hideMark/>
          </w:tcPr>
          <w:p w14:paraId="4F1CAA87" w14:textId="66DE5CFF" w:rsidR="006A68D6" w:rsidRPr="00CC6CA3" w:rsidRDefault="00B52881" w:rsidP="007D1A0E">
            <w:pPr>
              <w:spacing w:before="80" w:line="240" w:lineRule="auto"/>
              <w:jc w:val="left"/>
              <w:rPr>
                <w:rFonts w:eastAsia="Times New Roman" w:cs="Times New Roman"/>
                <w:b/>
                <w:bCs/>
                <w:sz w:val="20"/>
                <w:szCs w:val="20"/>
              </w:rPr>
            </w:pPr>
            <w:r w:rsidRPr="00CC6CA3">
              <w:rPr>
                <w:rFonts w:eastAsia="Times New Roman" w:cs="Times New Roman"/>
                <w:b/>
                <w:bCs/>
                <w:sz w:val="20"/>
                <w:szCs w:val="20"/>
              </w:rPr>
              <w:t>PCA based</w:t>
            </w:r>
            <w:r w:rsidRPr="00CC6CA3">
              <w:t xml:space="preserve"> </w:t>
            </w:r>
            <w:r w:rsidR="006A68D6" w:rsidRPr="00CC6CA3">
              <w:rPr>
                <w:rFonts w:eastAsia="Times New Roman" w:cs="Times New Roman"/>
                <w:b/>
                <w:bCs/>
                <w:sz w:val="20"/>
                <w:szCs w:val="20"/>
              </w:rPr>
              <w:t>Methodology</w:t>
            </w:r>
            <w:r w:rsidR="006A68D6" w:rsidRPr="00CC6CA3">
              <w:rPr>
                <w:rFonts w:eastAsia="Times New Roman" w:cs="Times New Roman"/>
                <w:b/>
                <w:bCs/>
                <w:sz w:val="20"/>
                <w:szCs w:val="20"/>
              </w:rPr>
              <w:br/>
              <w:t xml:space="preserve">(proposed by Khan et al. </w:t>
            </w:r>
            <w:r w:rsidR="006A68D6" w:rsidRPr="00CC6CA3">
              <w:rPr>
                <w:rFonts w:eastAsia="Times New Roman" w:cs="Times New Roman"/>
                <w:b/>
                <w:bCs/>
                <w:sz w:val="20"/>
                <w:szCs w:val="20"/>
              </w:rPr>
              <w:fldChar w:fldCharType="begin"/>
            </w:r>
            <w:r w:rsidR="007D1BCC" w:rsidRPr="00CC6CA3">
              <w:rPr>
                <w:rFonts w:eastAsia="Times New Roman" w:cs="Times New Roman"/>
                <w:b/>
                <w:bCs/>
                <w:sz w:val="20"/>
                <w:szCs w:val="20"/>
              </w:rPr>
              <w:instrText xml:space="preserve"> ADDIN ZOTERO_ITEM CSL_CITATION {"citationID":"eh6GWbyQ","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6A68D6" w:rsidRPr="00CC6CA3">
              <w:rPr>
                <w:rFonts w:eastAsia="Times New Roman" w:cs="Times New Roman"/>
                <w:b/>
                <w:bCs/>
                <w:sz w:val="20"/>
                <w:szCs w:val="20"/>
              </w:rPr>
              <w:fldChar w:fldCharType="separate"/>
            </w:r>
            <w:r w:rsidR="007D1BCC" w:rsidRPr="00CC6CA3">
              <w:rPr>
                <w:rFonts w:cs="Times New Roman"/>
                <w:sz w:val="20"/>
              </w:rPr>
              <w:t>[94]</w:t>
            </w:r>
            <w:r w:rsidR="006A68D6" w:rsidRPr="00CC6CA3">
              <w:rPr>
                <w:rFonts w:eastAsia="Times New Roman" w:cs="Times New Roman"/>
                <w:b/>
                <w:bCs/>
                <w:sz w:val="20"/>
                <w:szCs w:val="20"/>
              </w:rPr>
              <w:fldChar w:fldCharType="end"/>
            </w:r>
            <w:r w:rsidR="006A68D6" w:rsidRPr="00CC6CA3">
              <w:rPr>
                <w:rFonts w:eastAsia="Times New Roman" w:cs="Times New Roman"/>
                <w:b/>
                <w:bCs/>
                <w:sz w:val="20"/>
                <w:szCs w:val="20"/>
              </w:rPr>
              <w:t>)</w:t>
            </w:r>
          </w:p>
        </w:tc>
        <w:tc>
          <w:tcPr>
            <w:tcW w:w="2169" w:type="pct"/>
            <w:hideMark/>
          </w:tcPr>
          <w:p w14:paraId="630B2D62" w14:textId="4C50C9F2" w:rsidR="00B52881" w:rsidRPr="00CC6CA3" w:rsidRDefault="00474C42" w:rsidP="007D1A0E">
            <w:pPr>
              <w:spacing w:before="80" w:line="240" w:lineRule="auto"/>
              <w:jc w:val="left"/>
              <w:rPr>
                <w:rFonts w:eastAsia="Times New Roman" w:cs="Times New Roman"/>
                <w:b/>
                <w:bCs/>
                <w:sz w:val="20"/>
                <w:szCs w:val="20"/>
              </w:rPr>
            </w:pPr>
            <w:r w:rsidRPr="00CC6CA3">
              <w:rPr>
                <w:rFonts w:cs="Times New Roman"/>
                <w:b/>
                <w:bCs/>
                <w:sz w:val="20"/>
                <w:szCs w:val="20"/>
              </w:rPr>
              <w:t>SAE</w:t>
            </w:r>
            <w:r w:rsidR="00B52881" w:rsidRPr="00CC6CA3">
              <w:rPr>
                <w:rFonts w:cs="Times New Roman"/>
                <w:b/>
                <w:bCs/>
                <w:sz w:val="20"/>
                <w:szCs w:val="20"/>
              </w:rPr>
              <w:t xml:space="preserve"> based </w:t>
            </w:r>
            <w:r w:rsidR="006A68D6" w:rsidRPr="00CC6CA3">
              <w:rPr>
                <w:rFonts w:cs="Times New Roman"/>
                <w:b/>
                <w:bCs/>
                <w:sz w:val="20"/>
                <w:szCs w:val="20"/>
              </w:rPr>
              <w:t xml:space="preserve">Methodology </w:t>
            </w:r>
          </w:p>
          <w:p w14:paraId="19C6DE74" w14:textId="7EFA4A8E" w:rsidR="006A68D6" w:rsidRPr="00CC6CA3" w:rsidRDefault="006A68D6" w:rsidP="007D1A0E">
            <w:pPr>
              <w:spacing w:before="80" w:line="240" w:lineRule="auto"/>
              <w:jc w:val="left"/>
              <w:rPr>
                <w:rFonts w:eastAsia="微软雅黑" w:cs="Times New Roman"/>
                <w:b/>
                <w:bCs/>
                <w:sz w:val="20"/>
                <w:szCs w:val="20"/>
              </w:rPr>
            </w:pPr>
            <w:r w:rsidRPr="00CC6CA3">
              <w:rPr>
                <w:rFonts w:eastAsia="Times New Roman" w:cs="Times New Roman"/>
                <w:b/>
                <w:bCs/>
                <w:sz w:val="20"/>
                <w:szCs w:val="20"/>
              </w:rPr>
              <w:t>(proposed)</w:t>
            </w:r>
          </w:p>
        </w:tc>
      </w:tr>
      <w:tr w:rsidR="00CC6CA3" w:rsidRPr="00CC6CA3" w14:paraId="1CC01591" w14:textId="77777777" w:rsidTr="00116862">
        <w:tc>
          <w:tcPr>
            <w:tcW w:w="645" w:type="pct"/>
          </w:tcPr>
          <w:p w14:paraId="1DFDE547" w14:textId="77777777" w:rsidR="00B52881" w:rsidRPr="00CC6CA3" w:rsidRDefault="00B52881" w:rsidP="007D1A0E">
            <w:pPr>
              <w:spacing w:before="80" w:line="240" w:lineRule="auto"/>
              <w:jc w:val="left"/>
              <w:rPr>
                <w:rFonts w:eastAsia="Times New Roman" w:cs="Times New Roman"/>
                <w:sz w:val="20"/>
                <w:szCs w:val="20"/>
              </w:rPr>
            </w:pPr>
            <w:r w:rsidRPr="00CC6CA3">
              <w:rPr>
                <w:rFonts w:eastAsia="微软雅黑" w:cs="Times New Roman"/>
                <w:sz w:val="20"/>
                <w:szCs w:val="20"/>
              </w:rPr>
              <w:t>Similarity</w:t>
            </w:r>
          </w:p>
        </w:tc>
        <w:tc>
          <w:tcPr>
            <w:tcW w:w="4355" w:type="pct"/>
            <w:gridSpan w:val="2"/>
          </w:tcPr>
          <w:p w14:paraId="37DF86EB" w14:textId="77777777" w:rsidR="00B52881" w:rsidRPr="00CC6CA3" w:rsidRDefault="00B52881" w:rsidP="00B52881">
            <w:pPr>
              <w:spacing w:beforeLines="40" w:before="96" w:line="240" w:lineRule="auto"/>
              <w:jc w:val="left"/>
              <w:rPr>
                <w:rFonts w:eastAsia="微软雅黑" w:cs="Times New Roman"/>
                <w:sz w:val="20"/>
                <w:szCs w:val="20"/>
              </w:rPr>
            </w:pPr>
            <w:r w:rsidRPr="00CC6CA3">
              <w:rPr>
                <w:rFonts w:eastAsia="微软雅黑" w:cs="Times New Roman"/>
                <w:sz w:val="20"/>
                <w:szCs w:val="20"/>
              </w:rPr>
              <w:t>Health indicator at a system level.</w:t>
            </w:r>
          </w:p>
          <w:p w14:paraId="6379D0F5" w14:textId="77777777" w:rsidR="00B52881" w:rsidRPr="00CC6CA3" w:rsidRDefault="00B52881" w:rsidP="00B52881">
            <w:pPr>
              <w:spacing w:beforeLines="40" w:before="96" w:line="240" w:lineRule="auto"/>
              <w:jc w:val="left"/>
              <w:rPr>
                <w:rFonts w:eastAsia="微软雅黑" w:cs="Times New Roman"/>
                <w:sz w:val="20"/>
                <w:szCs w:val="20"/>
              </w:rPr>
            </w:pPr>
            <w:r w:rsidRPr="00CC6CA3">
              <w:rPr>
                <w:rFonts w:eastAsia="微软雅黑" w:cs="Times New Roman"/>
                <w:sz w:val="20"/>
                <w:szCs w:val="20"/>
              </w:rPr>
              <w:t>Both system health indicators were obtained by dynamic risk assessment using condition monitoring data.</w:t>
            </w:r>
          </w:p>
          <w:p w14:paraId="46D96337" w14:textId="116825AB" w:rsidR="003B46FA" w:rsidRPr="00CC6CA3" w:rsidRDefault="003B46FA" w:rsidP="00B52881">
            <w:pPr>
              <w:spacing w:beforeLines="40" w:before="96" w:line="240" w:lineRule="auto"/>
              <w:jc w:val="left"/>
              <w:rPr>
                <w:rFonts w:eastAsia="微软雅黑" w:cs="Times New Roman"/>
                <w:sz w:val="20"/>
                <w:szCs w:val="20"/>
              </w:rPr>
            </w:pPr>
          </w:p>
        </w:tc>
      </w:tr>
      <w:tr w:rsidR="00CC6CA3" w:rsidRPr="00CC6CA3" w14:paraId="26E29D5B" w14:textId="77777777" w:rsidTr="00116862">
        <w:trPr>
          <w:trHeight w:val="620"/>
        </w:trPr>
        <w:tc>
          <w:tcPr>
            <w:tcW w:w="645" w:type="pct"/>
            <w:vMerge w:val="restart"/>
          </w:tcPr>
          <w:p w14:paraId="10081453" w14:textId="77777777" w:rsidR="00B52881" w:rsidRPr="00CC6CA3" w:rsidRDefault="00B52881" w:rsidP="007D1A0E">
            <w:pPr>
              <w:spacing w:before="80" w:line="240" w:lineRule="auto"/>
              <w:jc w:val="left"/>
              <w:rPr>
                <w:rFonts w:eastAsia="微软雅黑" w:cs="Times New Roman"/>
                <w:sz w:val="20"/>
                <w:szCs w:val="20"/>
              </w:rPr>
            </w:pPr>
            <w:r w:rsidRPr="00CC6CA3">
              <w:rPr>
                <w:rFonts w:eastAsia="微软雅黑" w:cs="Times New Roman"/>
                <w:sz w:val="20"/>
                <w:szCs w:val="20"/>
              </w:rPr>
              <w:t>Difference</w:t>
            </w:r>
          </w:p>
        </w:tc>
        <w:tc>
          <w:tcPr>
            <w:tcW w:w="2186" w:type="pct"/>
          </w:tcPr>
          <w:p w14:paraId="210073EB" w14:textId="7C7E4781"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Designed for PCA</w:t>
            </w:r>
          </w:p>
        </w:tc>
        <w:tc>
          <w:tcPr>
            <w:tcW w:w="2169" w:type="pct"/>
          </w:tcPr>
          <w:p w14:paraId="296BC7F4" w14:textId="4BBA9598"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Proposed a general reconstruction approach</w:t>
            </w:r>
            <w:r w:rsidR="00474C42" w:rsidRPr="00CC6CA3">
              <w:rPr>
                <w:rFonts w:ascii="Times New Roman" w:eastAsia="微软雅黑" w:hAnsi="Times New Roman"/>
                <w:sz w:val="20"/>
                <w:szCs w:val="20"/>
              </w:rPr>
              <w:t xml:space="preserve"> (applied SAE)</w:t>
            </w:r>
          </w:p>
        </w:tc>
      </w:tr>
      <w:tr w:rsidR="00CC6CA3" w:rsidRPr="00CC6CA3" w14:paraId="3500104D" w14:textId="77777777" w:rsidTr="00116862">
        <w:trPr>
          <w:trHeight w:val="490"/>
        </w:trPr>
        <w:tc>
          <w:tcPr>
            <w:tcW w:w="645" w:type="pct"/>
            <w:vMerge/>
          </w:tcPr>
          <w:p w14:paraId="5EBB6AFF" w14:textId="77777777" w:rsidR="00B52881" w:rsidRPr="00CC6CA3" w:rsidRDefault="00B52881" w:rsidP="00B52881">
            <w:pPr>
              <w:spacing w:line="240" w:lineRule="auto"/>
              <w:jc w:val="left"/>
              <w:rPr>
                <w:rFonts w:eastAsia="微软雅黑" w:cs="Times New Roman"/>
                <w:sz w:val="20"/>
                <w:szCs w:val="20"/>
              </w:rPr>
            </w:pPr>
          </w:p>
        </w:tc>
        <w:tc>
          <w:tcPr>
            <w:tcW w:w="2186" w:type="pct"/>
          </w:tcPr>
          <w:p w14:paraId="5704A8A7" w14:textId="2C17BA19" w:rsidR="003B46FA" w:rsidRPr="00CC6CA3" w:rsidRDefault="00B52881" w:rsidP="00116862">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Used a selected principal component for fault detection and POF calculation; However, some faults are a combination of several principal components, and one principal component is unable to encompass the entire process of fault deterioration. It is hard to select the principal component in this situation.</w:t>
            </w:r>
          </w:p>
        </w:tc>
        <w:tc>
          <w:tcPr>
            <w:tcW w:w="2169" w:type="pct"/>
          </w:tcPr>
          <w:p w14:paraId="68C6FDB6" w14:textId="77777777"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Developed a system feature, which integrated the outputs from the fault detection model. Thus, there is no requirement to select the most sensitive variable or feature to calculate the POF.</w:t>
            </w:r>
          </w:p>
        </w:tc>
      </w:tr>
      <w:tr w:rsidR="00CC6CA3" w:rsidRPr="00CC6CA3" w14:paraId="03A8A3E2" w14:textId="77777777" w:rsidTr="00116862">
        <w:trPr>
          <w:trHeight w:val="1180"/>
        </w:trPr>
        <w:tc>
          <w:tcPr>
            <w:tcW w:w="645" w:type="pct"/>
            <w:vMerge/>
          </w:tcPr>
          <w:p w14:paraId="5E7E2400" w14:textId="77777777" w:rsidR="00B52881" w:rsidRPr="00CC6CA3" w:rsidRDefault="00B52881" w:rsidP="00B52881">
            <w:pPr>
              <w:spacing w:line="240" w:lineRule="auto"/>
              <w:jc w:val="left"/>
              <w:rPr>
                <w:rFonts w:eastAsia="微软雅黑" w:cs="Times New Roman"/>
                <w:sz w:val="20"/>
                <w:szCs w:val="20"/>
              </w:rPr>
            </w:pPr>
          </w:p>
        </w:tc>
        <w:tc>
          <w:tcPr>
            <w:tcW w:w="2186" w:type="pct"/>
          </w:tcPr>
          <w:p w14:paraId="2837FF86" w14:textId="3869D064"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 xml:space="preserve">POF was assumed to fit a normal distribution; however, the normal distribution may not be the best-fitted distribution for some datasets. </w:t>
            </w:r>
          </w:p>
        </w:tc>
        <w:tc>
          <w:tcPr>
            <w:tcW w:w="2169" w:type="pct"/>
          </w:tcPr>
          <w:p w14:paraId="07528443" w14:textId="2C2B5F9A"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bookmarkStart w:id="577" w:name="_Hlk80294122"/>
            <w:r w:rsidRPr="00CC6CA3">
              <w:rPr>
                <w:rFonts w:ascii="Times New Roman" w:eastAsia="微软雅黑" w:hAnsi="Times New Roman"/>
                <w:sz w:val="20"/>
                <w:szCs w:val="20"/>
              </w:rPr>
              <w:t>K-S test automatically selected the best-fitted distribution among various candidate distributions</w:t>
            </w:r>
            <w:r w:rsidR="00FA6874" w:rsidRPr="00CC6CA3">
              <w:rPr>
                <w:rFonts w:ascii="Times New Roman" w:eastAsia="微软雅黑" w:hAnsi="Times New Roman" w:hint="eastAsia"/>
                <w:sz w:val="20"/>
                <w:szCs w:val="20"/>
                <w:lang w:eastAsia="zh-CN"/>
              </w:rPr>
              <w:t>.</w:t>
            </w:r>
            <w:bookmarkEnd w:id="577"/>
          </w:p>
        </w:tc>
      </w:tr>
      <w:tr w:rsidR="00CC6CA3" w:rsidRPr="00CC6CA3" w14:paraId="665EF690" w14:textId="77777777" w:rsidTr="00116862">
        <w:trPr>
          <w:trHeight w:val="790"/>
        </w:trPr>
        <w:tc>
          <w:tcPr>
            <w:tcW w:w="645" w:type="pct"/>
            <w:vMerge/>
          </w:tcPr>
          <w:p w14:paraId="77A3C8A6" w14:textId="77777777" w:rsidR="00B52881" w:rsidRPr="00CC6CA3" w:rsidRDefault="00B52881" w:rsidP="00B52881">
            <w:pPr>
              <w:spacing w:line="240" w:lineRule="auto"/>
              <w:jc w:val="left"/>
              <w:rPr>
                <w:rFonts w:eastAsia="微软雅黑" w:cs="Times New Roman"/>
                <w:sz w:val="20"/>
                <w:szCs w:val="20"/>
              </w:rPr>
            </w:pPr>
          </w:p>
        </w:tc>
        <w:tc>
          <w:tcPr>
            <w:tcW w:w="2186" w:type="pct"/>
          </w:tcPr>
          <w:p w14:paraId="6155874E" w14:textId="72D07523"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COF was defined as a severity score and not related to maintenance costs.</w:t>
            </w:r>
          </w:p>
        </w:tc>
        <w:tc>
          <w:tcPr>
            <w:tcW w:w="2169" w:type="pct"/>
          </w:tcPr>
          <w:p w14:paraId="2934B70B" w14:textId="6787F569" w:rsidR="00B52881" w:rsidRPr="00CC6CA3" w:rsidRDefault="00B52881" w:rsidP="00B52881">
            <w:pPr>
              <w:pStyle w:val="ListParagraph"/>
              <w:numPr>
                <w:ilvl w:val="0"/>
                <w:numId w:val="16"/>
              </w:numPr>
              <w:spacing w:beforeLines="40" w:before="96" w:line="240" w:lineRule="auto"/>
              <w:ind w:left="414" w:hanging="357"/>
              <w:jc w:val="left"/>
              <w:rPr>
                <w:rFonts w:ascii="Times New Roman" w:eastAsia="微软雅黑" w:hAnsi="Times New Roman"/>
                <w:sz w:val="20"/>
                <w:szCs w:val="20"/>
              </w:rPr>
            </w:pPr>
            <w:r w:rsidRPr="00CC6CA3">
              <w:rPr>
                <w:rFonts w:ascii="Times New Roman" w:eastAsia="微软雅黑" w:hAnsi="Times New Roman"/>
                <w:sz w:val="20"/>
                <w:szCs w:val="20"/>
              </w:rPr>
              <w:t>COF model was built relative to maintenance costs.</w:t>
            </w:r>
          </w:p>
        </w:tc>
      </w:tr>
      <w:tr w:rsidR="00B52881" w:rsidRPr="00CC6CA3" w14:paraId="46BB3D60" w14:textId="77777777" w:rsidTr="00116862">
        <w:trPr>
          <w:trHeight w:val="363"/>
        </w:trPr>
        <w:tc>
          <w:tcPr>
            <w:tcW w:w="645" w:type="pct"/>
            <w:vMerge/>
          </w:tcPr>
          <w:p w14:paraId="6425DCC9" w14:textId="77777777" w:rsidR="00B52881" w:rsidRPr="00CC6CA3" w:rsidRDefault="00B52881" w:rsidP="00B52881">
            <w:pPr>
              <w:spacing w:line="240" w:lineRule="auto"/>
              <w:jc w:val="left"/>
              <w:rPr>
                <w:rFonts w:eastAsia="微软雅黑" w:cs="Times New Roman"/>
                <w:sz w:val="20"/>
                <w:szCs w:val="20"/>
              </w:rPr>
            </w:pPr>
          </w:p>
        </w:tc>
        <w:tc>
          <w:tcPr>
            <w:tcW w:w="2186" w:type="pct"/>
          </w:tcPr>
          <w:p w14:paraId="1B93E922" w14:textId="7C1197B3"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 xml:space="preserve">The health indicator was unitless. It was hard for end-users to define the acceptable risk and shutdown threshold. </w:t>
            </w:r>
          </w:p>
        </w:tc>
        <w:tc>
          <w:tcPr>
            <w:tcW w:w="2169" w:type="pct"/>
          </w:tcPr>
          <w:p w14:paraId="1463763A" w14:textId="298679DF" w:rsidR="00B52881" w:rsidRPr="00CC6CA3" w:rsidRDefault="00B52881" w:rsidP="00B52881">
            <w:pPr>
              <w:pStyle w:val="ListParagraph"/>
              <w:numPr>
                <w:ilvl w:val="0"/>
                <w:numId w:val="16"/>
              </w:numPr>
              <w:spacing w:beforeLines="40" w:before="96" w:line="240" w:lineRule="auto"/>
              <w:ind w:left="414" w:hanging="357"/>
              <w:rPr>
                <w:rFonts w:ascii="Times New Roman" w:eastAsia="微软雅黑" w:hAnsi="Times New Roman"/>
                <w:sz w:val="20"/>
                <w:szCs w:val="20"/>
              </w:rPr>
            </w:pPr>
            <w:r w:rsidRPr="00CC6CA3">
              <w:rPr>
                <w:rFonts w:ascii="Times New Roman" w:eastAsia="微软雅黑" w:hAnsi="Times New Roman"/>
                <w:sz w:val="20"/>
                <w:szCs w:val="20"/>
              </w:rPr>
              <w:t>The proposed health indicator presents the system’s risk in $, making it easier for operators to make maintenance decisions.</w:t>
            </w:r>
          </w:p>
        </w:tc>
      </w:tr>
    </w:tbl>
    <w:p w14:paraId="182E6F75" w14:textId="77777777" w:rsidR="006A68D6" w:rsidRPr="00CC6CA3" w:rsidRDefault="006A68D6" w:rsidP="006A68D6">
      <w:pPr>
        <w:pStyle w:val="Body"/>
        <w:rPr>
          <w:rFonts w:cs="Times New Roman"/>
          <w:szCs w:val="20"/>
        </w:rPr>
      </w:pPr>
    </w:p>
    <w:p w14:paraId="48769E57" w14:textId="5F7E757E" w:rsidR="006A68D6" w:rsidRPr="00CC6CA3" w:rsidRDefault="006A68D6" w:rsidP="006A68D6">
      <w:pPr>
        <w:pStyle w:val="Heading3"/>
        <w:rPr>
          <w:lang w:val="en-US"/>
        </w:rPr>
      </w:pPr>
      <w:bookmarkStart w:id="578" w:name="_Toc81553313"/>
      <w:r w:rsidRPr="00CC6CA3">
        <w:rPr>
          <w:lang w:val="en-US"/>
        </w:rPr>
        <w:lastRenderedPageBreak/>
        <w:t>Case 1</w:t>
      </w:r>
      <w:r w:rsidR="005B2617" w:rsidRPr="00CC6CA3">
        <w:t>: misalignment fault in a pump</w:t>
      </w:r>
      <w:bookmarkEnd w:id="578"/>
    </w:p>
    <w:p w14:paraId="09A54A59" w14:textId="4BF5B47B" w:rsidR="006A68D6" w:rsidRPr="00CC6CA3" w:rsidRDefault="00B52881" w:rsidP="006A68D6">
      <w:pPr>
        <w:rPr>
          <w:lang w:val="en-US"/>
        </w:rPr>
      </w:pPr>
      <w:r w:rsidRPr="00CC6CA3">
        <w:rPr>
          <w:lang w:val="en-US"/>
        </w:rPr>
        <w:t xml:space="preserve">The system health </w:t>
      </w:r>
      <w:r w:rsidRPr="00CC6CA3">
        <w:t xml:space="preserve">indicators for Case 1 obtained by the two methods can be seen in </w:t>
      </w:r>
      <w:r w:rsidR="006A68D6" w:rsidRPr="00CC6CA3">
        <w:fldChar w:fldCharType="begin"/>
      </w:r>
      <w:r w:rsidR="006A68D6" w:rsidRPr="00CC6CA3">
        <w:instrText xml:space="preserve"> REF _Ref63844722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35</w:t>
      </w:r>
      <w:r w:rsidR="006A68D6" w:rsidRPr="00CC6CA3">
        <w:fldChar w:fldCharType="end"/>
      </w:r>
      <w:r w:rsidR="006A68D6" w:rsidRPr="00CC6CA3">
        <w:t xml:space="preserve">. </w:t>
      </w:r>
      <w:r w:rsidRPr="00CC6CA3">
        <w:t xml:space="preserve">Clearly, the proposed </w:t>
      </w:r>
      <w:r w:rsidR="00474C42" w:rsidRPr="00CC6CA3">
        <w:t>SAE</w:t>
      </w:r>
      <w:r w:rsidR="00DD09F6" w:rsidRPr="00CC6CA3">
        <w:t xml:space="preserve"> based </w:t>
      </w:r>
      <w:r w:rsidRPr="00CC6CA3">
        <w:t xml:space="preserve">health indicator, described in Section </w:t>
      </w:r>
      <w:r w:rsidR="00DD09F6" w:rsidRPr="00CC6CA3">
        <w:t>5.2.1</w:t>
      </w:r>
      <w:r w:rsidRPr="00CC6CA3">
        <w:t xml:space="preserve">, detected the fault nearly two days earlier than the PCA method proposed by </w:t>
      </w:r>
      <w:r w:rsidRPr="00CC6CA3">
        <w:rPr>
          <w:rFonts w:cs="Times New Roman"/>
        </w:rPr>
        <w:t>Zadakbar</w:t>
      </w:r>
      <w:r w:rsidRPr="00CC6CA3">
        <w:t xml:space="preserve"> et al., </w:t>
      </w:r>
      <w:r w:rsidRPr="00CC6CA3">
        <w:fldChar w:fldCharType="begin"/>
      </w:r>
      <w:r w:rsidR="007D1BCC" w:rsidRPr="00CC6CA3">
        <w:instrText xml:space="preserve"> ADDIN ZOTERO_ITEM CSL_CITATION {"citationID":"ojhxBCH0","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007D1BCC" w:rsidRPr="00CC6CA3">
        <w:rPr>
          <w:rFonts w:cs="Times New Roman"/>
        </w:rPr>
        <w:t>[94]</w:t>
      </w:r>
      <w:r w:rsidRPr="00CC6CA3">
        <w:fldChar w:fldCharType="end"/>
      </w:r>
      <w:r w:rsidRPr="00CC6CA3">
        <w:t xml:space="preserve">, and described in Section 5.1.1. </w:t>
      </w:r>
      <w:r w:rsidR="006A68D6" w:rsidRPr="00CC6CA3">
        <w:t xml:space="preserve"> </w:t>
      </w:r>
    </w:p>
    <w:p w14:paraId="2521EA89" w14:textId="77777777" w:rsidR="006A68D6" w:rsidRPr="00CC6CA3" w:rsidRDefault="006A68D6" w:rsidP="007D1A0E">
      <w:pPr>
        <w:keepNext/>
        <w:spacing w:after="0" w:line="240" w:lineRule="auto"/>
        <w:jc w:val="center"/>
      </w:pPr>
      <w:r w:rsidRPr="00CC6CA3">
        <w:rPr>
          <w:noProof/>
          <w:lang w:val="en-US"/>
        </w:rPr>
        <w:drawing>
          <wp:inline distT="0" distB="0" distL="0" distR="0" wp14:anchorId="2D861266" wp14:editId="7B968C92">
            <wp:extent cx="4504058" cy="45085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520373" cy="4524831"/>
                    </a:xfrm>
                    <a:prstGeom prst="rect">
                      <a:avLst/>
                    </a:prstGeom>
                    <a:noFill/>
                  </pic:spPr>
                </pic:pic>
              </a:graphicData>
            </a:graphic>
          </wp:inline>
        </w:drawing>
      </w:r>
    </w:p>
    <w:p w14:paraId="212F5812" w14:textId="71FC100F" w:rsidR="006A68D6" w:rsidRPr="00CC6CA3" w:rsidRDefault="006A68D6" w:rsidP="006A68D6">
      <w:pPr>
        <w:pStyle w:val="Caption"/>
        <w:jc w:val="center"/>
      </w:pPr>
      <w:bookmarkStart w:id="579" w:name="_Ref63844722"/>
      <w:bookmarkStart w:id="580" w:name="_Toc81553462"/>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35</w:t>
      </w:r>
      <w:r w:rsidR="00D62691" w:rsidRPr="00CC6CA3">
        <w:rPr>
          <w:noProof/>
        </w:rPr>
        <w:fldChar w:fldCharType="end"/>
      </w:r>
      <w:bookmarkEnd w:id="579"/>
      <w:r w:rsidRPr="00CC6CA3">
        <w:t xml:space="preserve"> </w:t>
      </w:r>
      <w:r w:rsidR="00DD09F6" w:rsidRPr="00CC6CA3">
        <w:rPr>
          <w:szCs w:val="20"/>
        </w:rPr>
        <w:t xml:space="preserve">The system health indicators obtained by two methodologies for Case 1, (a) system health indicator obtained using PCA method proposed by </w:t>
      </w:r>
      <w:r w:rsidR="00DD09F6" w:rsidRPr="00CC6CA3">
        <w:rPr>
          <w:rFonts w:cs="Times New Roman"/>
          <w:szCs w:val="20"/>
        </w:rPr>
        <w:t>Zadakbar</w:t>
      </w:r>
      <w:r w:rsidR="00DD09F6" w:rsidRPr="00CC6CA3">
        <w:rPr>
          <w:szCs w:val="20"/>
        </w:rPr>
        <w:t xml:space="preserve"> et al.,</w:t>
      </w:r>
      <w:r w:rsidR="00DD09F6" w:rsidRPr="00CC6CA3">
        <w:t xml:space="preserve"> </w:t>
      </w:r>
      <w:r w:rsidR="00DD09F6" w:rsidRPr="00CC6CA3">
        <w:fldChar w:fldCharType="begin"/>
      </w:r>
      <w:r w:rsidR="007D1BCC" w:rsidRPr="00CC6CA3">
        <w:instrText xml:space="preserve"> ADDIN ZOTERO_ITEM CSL_CITATION {"citationID":"i3cXkldL","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DD09F6" w:rsidRPr="00CC6CA3">
        <w:fldChar w:fldCharType="separate"/>
      </w:r>
      <w:r w:rsidR="007D1BCC" w:rsidRPr="00CC6CA3">
        <w:rPr>
          <w:rFonts w:cs="Times New Roman"/>
        </w:rPr>
        <w:t>[94]</w:t>
      </w:r>
      <w:r w:rsidR="00DD09F6" w:rsidRPr="00CC6CA3">
        <w:fldChar w:fldCharType="end"/>
      </w:r>
      <w:r w:rsidRPr="00CC6CA3">
        <w:t xml:space="preserve">, (b) </w:t>
      </w:r>
      <w:r w:rsidR="00DB1E6E" w:rsidRPr="00CC6CA3">
        <w:t>system health indicator obtained by the proposed SAE based method.</w:t>
      </w:r>
      <w:bookmarkEnd w:id="580"/>
    </w:p>
    <w:p w14:paraId="30527D43" w14:textId="26299AD6" w:rsidR="006A68D6" w:rsidRPr="00CC6CA3" w:rsidRDefault="006A68D6" w:rsidP="006A68D6">
      <w:pPr>
        <w:rPr>
          <w:lang w:val="en-US"/>
        </w:rPr>
      </w:pPr>
      <w:r w:rsidRPr="00CC6CA3">
        <w:t xml:space="preserve">The shutdown threshold in </w:t>
      </w:r>
      <w:r w:rsidRPr="00CC6CA3">
        <w:fldChar w:fldCharType="begin"/>
      </w:r>
      <w:r w:rsidRPr="00CC6CA3">
        <w:instrText xml:space="preserve"> REF _Ref63844722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35</w:t>
      </w:r>
      <w:r w:rsidRPr="00CC6CA3">
        <w:fldChar w:fldCharType="end"/>
      </w:r>
      <w:r w:rsidRPr="00CC6CA3">
        <w:t xml:space="preserve"> (a) was set ten times higher than the fault detection threshold. The company shut down the pump 6 hours later than the suggested time. While in </w:t>
      </w:r>
      <w:r w:rsidRPr="00CC6CA3">
        <w:fldChar w:fldCharType="begin"/>
      </w:r>
      <w:r w:rsidRPr="00CC6CA3">
        <w:instrText xml:space="preserve"> REF _Ref63844722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35</w:t>
      </w:r>
      <w:r w:rsidRPr="00CC6CA3">
        <w:fldChar w:fldCharType="end"/>
      </w:r>
      <w:r w:rsidRPr="00CC6CA3">
        <w:t xml:space="preserve"> (b), the shutdown threshold was calculated in the online stage using Equation </w:t>
      </w:r>
      <w:r w:rsidRPr="00CC6CA3">
        <w:fldChar w:fldCharType="begin"/>
      </w:r>
      <w:r w:rsidRPr="00CC6CA3">
        <w:instrText xml:space="preserve"> REF _Ref63724668 \h </w:instrText>
      </w:r>
      <w:r w:rsidRPr="00CC6CA3">
        <w:fldChar w:fldCharType="separate"/>
      </w:r>
      <w:r w:rsidR="001906D9" w:rsidRPr="00CC6CA3">
        <w:rPr>
          <w:lang w:val="en-US"/>
        </w:rPr>
        <w:t>(</w:t>
      </w:r>
      <w:r w:rsidR="001906D9" w:rsidRPr="00CC6CA3">
        <w:rPr>
          <w:noProof/>
          <w:lang w:val="en-US"/>
        </w:rPr>
        <w:t>5</w:t>
      </w:r>
      <w:r w:rsidR="001906D9" w:rsidRPr="00CC6CA3">
        <w:rPr>
          <w:lang w:val="en-US"/>
        </w:rPr>
        <w:noBreakHyphen/>
      </w:r>
      <w:r w:rsidR="001906D9" w:rsidRPr="00CC6CA3">
        <w:rPr>
          <w:noProof/>
          <w:lang w:val="en-US"/>
        </w:rPr>
        <w:t>15</w:t>
      </w:r>
      <w:r w:rsidR="001906D9" w:rsidRPr="00CC6CA3">
        <w:rPr>
          <w:lang w:val="en-US"/>
        </w:rPr>
        <w:t>)</w:t>
      </w:r>
      <w:r w:rsidRPr="00CC6CA3">
        <w:fldChar w:fldCharType="end"/>
      </w:r>
      <w:r w:rsidRPr="00CC6CA3">
        <w:t xml:space="preserve">. The company shut down the pump several hours before the suggested time (exceeded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CC6CA3">
        <w:t xml:space="preserve">). </w:t>
      </w:r>
      <w:proofErr w:type="gramStart"/>
      <w:r w:rsidRPr="00CC6CA3">
        <w:t>In reality, the</w:t>
      </w:r>
      <w:proofErr w:type="gramEnd"/>
      <w:r w:rsidRPr="00CC6CA3">
        <w:t xml:space="preserve"> value of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CC6CA3">
        <w:t xml:space="preserve"> </w:t>
      </w:r>
      <w:r w:rsidR="00DD09F6" w:rsidRPr="00CC6CA3">
        <w:t>can be set by operators according to the specific conditions in their plants</w:t>
      </w:r>
      <w:r w:rsidRPr="00CC6CA3">
        <w:t xml:space="preserve">. As can be seen in </w:t>
      </w:r>
      <w:r w:rsidRPr="00CC6CA3">
        <w:fldChar w:fldCharType="begin"/>
      </w:r>
      <w:r w:rsidRPr="00CC6CA3">
        <w:instrText xml:space="preserve"> REF _Ref63844722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35</w:t>
      </w:r>
      <w:r w:rsidRPr="00CC6CA3">
        <w:fldChar w:fldCharType="end"/>
      </w:r>
      <w:r w:rsidRPr="00CC6CA3">
        <w:t xml:space="preserve"> (a), the health indicator was unitless</w:t>
      </w:r>
      <w:r w:rsidR="00DD09F6" w:rsidRPr="00CC6CA3">
        <w:t xml:space="preserve"> making it hard for end-users to define the acceptable risk and shutdown threshold</w:t>
      </w:r>
      <w:r w:rsidRPr="00CC6CA3">
        <w:t xml:space="preserve">. In contrast, in </w:t>
      </w:r>
      <w:r w:rsidRPr="00CC6CA3">
        <w:lastRenderedPageBreak/>
        <w:fldChar w:fldCharType="begin"/>
      </w:r>
      <w:r w:rsidRPr="00CC6CA3">
        <w:instrText xml:space="preserve"> REF _Ref63844722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35</w:t>
      </w:r>
      <w:r w:rsidRPr="00CC6CA3">
        <w:fldChar w:fldCharType="end"/>
      </w:r>
      <w:r w:rsidRPr="00CC6CA3">
        <w:t xml:space="preserve"> (b), the </w:t>
      </w:r>
      <w:r w:rsidRPr="00CC6CA3">
        <w:rPr>
          <w:lang w:val="en-US"/>
        </w:rPr>
        <w:t>proposed health indicator presented the system’s risk in $, making it easier for operators to set their own shutdown threshold and planning for maintenance.</w:t>
      </w:r>
    </w:p>
    <w:p w14:paraId="679C3B32" w14:textId="32391C3E" w:rsidR="006A68D6" w:rsidRPr="00CC6CA3" w:rsidRDefault="006A68D6" w:rsidP="006A68D6">
      <w:pPr>
        <w:pStyle w:val="Heading3"/>
        <w:rPr>
          <w:lang w:val="en-US"/>
        </w:rPr>
      </w:pPr>
      <w:bookmarkStart w:id="581" w:name="_Toc81553314"/>
      <w:r w:rsidRPr="00CC6CA3">
        <w:rPr>
          <w:lang w:val="en-US"/>
        </w:rPr>
        <w:t>Case 2</w:t>
      </w:r>
      <w:r w:rsidR="005B2617" w:rsidRPr="00CC6CA3">
        <w:t>: misalignment fault and pump bearing fault</w:t>
      </w:r>
      <w:bookmarkEnd w:id="581"/>
    </w:p>
    <w:p w14:paraId="6F97CE6B" w14:textId="1284CFF6" w:rsidR="006A68D6" w:rsidRPr="00CC6CA3" w:rsidRDefault="00DD09F6" w:rsidP="006A68D6">
      <w:pPr>
        <w:rPr>
          <w:lang w:val="en-US"/>
        </w:rPr>
      </w:pPr>
      <w:r w:rsidRPr="00CC6CA3">
        <w:rPr>
          <w:lang w:val="en-US"/>
        </w:rPr>
        <w:t xml:space="preserve">Case 2 has two faults occurring in the pump. The results for the system health </w:t>
      </w:r>
      <w:r w:rsidRPr="00CC6CA3">
        <w:t>indicators obtained by the two methods for the misalignment fault in Case 2 can be seen in</w:t>
      </w:r>
      <w:r w:rsidR="006A68D6" w:rsidRPr="00CC6CA3">
        <w:t xml:space="preserve"> </w:t>
      </w:r>
      <w:r w:rsidR="006A68D6" w:rsidRPr="00CC6CA3">
        <w:fldChar w:fldCharType="begin"/>
      </w:r>
      <w:r w:rsidR="006A68D6" w:rsidRPr="00CC6CA3">
        <w:instrText xml:space="preserve"> REF _Ref63846632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36</w:t>
      </w:r>
      <w:r w:rsidR="006A68D6" w:rsidRPr="00CC6CA3">
        <w:fldChar w:fldCharType="end"/>
      </w:r>
      <w:r w:rsidR="006A68D6" w:rsidRPr="00CC6CA3">
        <w:t xml:space="preserve">. </w:t>
      </w:r>
    </w:p>
    <w:p w14:paraId="2DD6D63C" w14:textId="77777777" w:rsidR="006A68D6" w:rsidRPr="00CC6CA3" w:rsidRDefault="006A68D6" w:rsidP="007D1A0E">
      <w:pPr>
        <w:keepNext/>
        <w:spacing w:after="0" w:line="240" w:lineRule="auto"/>
        <w:jc w:val="center"/>
      </w:pPr>
      <w:r w:rsidRPr="00CC6CA3">
        <w:rPr>
          <w:noProof/>
          <w:lang w:val="en-US"/>
        </w:rPr>
        <w:drawing>
          <wp:inline distT="0" distB="0" distL="0" distR="0" wp14:anchorId="4597C62E" wp14:editId="6A9A9EE9">
            <wp:extent cx="4392000" cy="4606612"/>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392000" cy="4606612"/>
                    </a:xfrm>
                    <a:prstGeom prst="rect">
                      <a:avLst/>
                    </a:prstGeom>
                    <a:noFill/>
                  </pic:spPr>
                </pic:pic>
              </a:graphicData>
            </a:graphic>
          </wp:inline>
        </w:drawing>
      </w:r>
    </w:p>
    <w:p w14:paraId="25E57CE9" w14:textId="44129B55" w:rsidR="006A68D6" w:rsidRPr="00CC6CA3" w:rsidRDefault="006A68D6" w:rsidP="006A68D6">
      <w:pPr>
        <w:pStyle w:val="Caption"/>
        <w:jc w:val="center"/>
      </w:pPr>
      <w:bookmarkStart w:id="582" w:name="_Ref63846632"/>
      <w:bookmarkStart w:id="583" w:name="_Toc81553463"/>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36</w:t>
      </w:r>
      <w:r w:rsidR="00D62691" w:rsidRPr="00CC6CA3">
        <w:rPr>
          <w:noProof/>
        </w:rPr>
        <w:fldChar w:fldCharType="end"/>
      </w:r>
      <w:bookmarkEnd w:id="582"/>
      <w:r w:rsidRPr="00CC6CA3">
        <w:t xml:space="preserve"> The system health indicators obtained by two methodologies for the misalignment fault in </w:t>
      </w:r>
      <w:r w:rsidR="00DD09F6" w:rsidRPr="00CC6CA3">
        <w:t>C</w:t>
      </w:r>
      <w:r w:rsidRPr="00CC6CA3">
        <w:t xml:space="preserve">ase 2, (a) </w:t>
      </w:r>
      <w:r w:rsidR="00DD09F6" w:rsidRPr="00CC6CA3">
        <w:rPr>
          <w:szCs w:val="20"/>
        </w:rPr>
        <w:t xml:space="preserve">system health indicator obtained using PCA method proposed by </w:t>
      </w:r>
      <w:r w:rsidR="00DD09F6" w:rsidRPr="00CC6CA3">
        <w:rPr>
          <w:rFonts w:cs="Times New Roman"/>
          <w:szCs w:val="20"/>
        </w:rPr>
        <w:t>Zadakbar</w:t>
      </w:r>
      <w:r w:rsidR="00DD09F6" w:rsidRPr="00CC6CA3">
        <w:rPr>
          <w:szCs w:val="20"/>
        </w:rPr>
        <w:t xml:space="preserve"> et al.,</w:t>
      </w:r>
      <w:r w:rsidR="00DD09F6" w:rsidRPr="00CC6CA3">
        <w:t xml:space="preserve"> </w:t>
      </w:r>
      <w:r w:rsidR="00DD09F6" w:rsidRPr="00CC6CA3">
        <w:fldChar w:fldCharType="begin"/>
      </w:r>
      <w:r w:rsidR="007D1BCC" w:rsidRPr="00CC6CA3">
        <w:instrText xml:space="preserve"> ADDIN ZOTERO_ITEM CSL_CITATION {"citationID":"QZCx4cTN","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DD09F6" w:rsidRPr="00CC6CA3">
        <w:fldChar w:fldCharType="separate"/>
      </w:r>
      <w:r w:rsidR="007D1BCC" w:rsidRPr="00CC6CA3">
        <w:rPr>
          <w:rFonts w:cs="Times New Roman"/>
        </w:rPr>
        <w:t>[94]</w:t>
      </w:r>
      <w:r w:rsidR="00DD09F6" w:rsidRPr="00CC6CA3">
        <w:fldChar w:fldCharType="end"/>
      </w:r>
      <w:r w:rsidRPr="00CC6CA3">
        <w:t xml:space="preserve">, (b) </w:t>
      </w:r>
      <w:r w:rsidR="00DB1E6E" w:rsidRPr="00CC6CA3">
        <w:t>system health indicator obtained by the proposed SAE based method.</w:t>
      </w:r>
      <w:bookmarkEnd w:id="583"/>
    </w:p>
    <w:p w14:paraId="6FF5CA90" w14:textId="049550E4" w:rsidR="006A68D6" w:rsidRPr="00CC6CA3" w:rsidRDefault="006A68D6" w:rsidP="006A68D6">
      <w:pPr>
        <w:spacing w:before="120"/>
      </w:pPr>
      <w:r w:rsidRPr="00CC6CA3">
        <w:t xml:space="preserve">In </w:t>
      </w:r>
      <w:r w:rsidRPr="00CC6CA3">
        <w:fldChar w:fldCharType="begin"/>
      </w:r>
      <w:r w:rsidRPr="00CC6CA3">
        <w:instrText xml:space="preserve"> REF _Ref63846632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36</w:t>
      </w:r>
      <w:r w:rsidRPr="00CC6CA3">
        <w:fldChar w:fldCharType="end"/>
      </w:r>
      <w:r w:rsidRPr="00CC6CA3">
        <w:t xml:space="preserve"> (a), the health indicator was calculated </w:t>
      </w:r>
      <w:r w:rsidR="006A0D17" w:rsidRPr="00CC6CA3">
        <w:t>using</w:t>
      </w:r>
      <w:r w:rsidRPr="00CC6CA3">
        <w:t xml:space="preserve"> the 5</w:t>
      </w:r>
      <w:r w:rsidRPr="00CC6CA3">
        <w:rPr>
          <w:vertAlign w:val="superscript"/>
        </w:rPr>
        <w:t>th</w:t>
      </w:r>
      <w:r w:rsidRPr="00CC6CA3">
        <w:t xml:space="preserve"> principal component. It detected the fault at 22:00 on 18</w:t>
      </w:r>
      <w:r w:rsidRPr="00CC6CA3">
        <w:rPr>
          <w:vertAlign w:val="superscript"/>
        </w:rPr>
        <w:t>th</w:t>
      </w:r>
      <w:r w:rsidRPr="00CC6CA3">
        <w:t xml:space="preserve"> Jul, and suggested the downtime at 7:00 on 20</w:t>
      </w:r>
      <w:r w:rsidRPr="00CC6CA3">
        <w:rPr>
          <w:vertAlign w:val="superscript"/>
        </w:rPr>
        <w:t>th</w:t>
      </w:r>
      <w:r w:rsidRPr="00CC6CA3">
        <w:t xml:space="preserve"> Jul. In comparison, in </w:t>
      </w:r>
      <w:r w:rsidRPr="00CC6CA3">
        <w:fldChar w:fldCharType="begin"/>
      </w:r>
      <w:r w:rsidRPr="00CC6CA3">
        <w:instrText xml:space="preserve"> REF _Ref63846632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36</w:t>
      </w:r>
      <w:r w:rsidRPr="00CC6CA3">
        <w:fldChar w:fldCharType="end"/>
      </w:r>
      <w:r w:rsidRPr="00CC6CA3">
        <w:t xml:space="preserve"> (b), the proposed health indicator detected the fault at 18:00 on 17</w:t>
      </w:r>
      <w:r w:rsidRPr="00CC6CA3">
        <w:rPr>
          <w:vertAlign w:val="superscript"/>
        </w:rPr>
        <w:t>th</w:t>
      </w:r>
      <w:r w:rsidRPr="00CC6CA3">
        <w:t xml:space="preserve"> Jul, which was about one day earlier. The suggested downtime by the two methodologies was the same.</w:t>
      </w:r>
    </w:p>
    <w:p w14:paraId="4368E0F0" w14:textId="61129DD8" w:rsidR="006A68D6" w:rsidRPr="00CC6CA3" w:rsidRDefault="006A68D6" w:rsidP="006A68D6">
      <w:pPr>
        <w:spacing w:before="120"/>
      </w:pPr>
      <w:r w:rsidRPr="00CC6CA3">
        <w:t xml:space="preserve">In addition, in </w:t>
      </w:r>
      <w:r w:rsidRPr="00CC6CA3">
        <w:fldChar w:fldCharType="begin"/>
      </w:r>
      <w:r w:rsidRPr="00CC6CA3">
        <w:instrText xml:space="preserve"> REF _Ref63846632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36</w:t>
      </w:r>
      <w:r w:rsidRPr="00CC6CA3">
        <w:fldChar w:fldCharType="end"/>
      </w:r>
      <w:r w:rsidRPr="00CC6CA3">
        <w:t xml:space="preserve"> (a), the 5</w:t>
      </w:r>
      <w:r w:rsidRPr="00CC6CA3">
        <w:rPr>
          <w:vertAlign w:val="superscript"/>
        </w:rPr>
        <w:t>th</w:t>
      </w:r>
      <w:r w:rsidRPr="00CC6CA3">
        <w:t xml:space="preserve"> principal </w:t>
      </w:r>
      <w:r w:rsidR="006A0D17" w:rsidRPr="00CC6CA3">
        <w:t>component was unable to detect radial bearing 2’s fault which was reflected in another principal component</w:t>
      </w:r>
      <w:r w:rsidRPr="00CC6CA3">
        <w:t xml:space="preserve">. In contrast, in </w:t>
      </w:r>
      <w:r w:rsidRPr="00CC6CA3">
        <w:fldChar w:fldCharType="begin"/>
      </w:r>
      <w:r w:rsidRPr="00CC6CA3">
        <w:instrText xml:space="preserve"> REF _Ref63846632 \h </w:instrText>
      </w:r>
      <w:r w:rsidRPr="00CC6CA3">
        <w:fldChar w:fldCharType="separate"/>
      </w:r>
      <w:r w:rsidR="001906D9" w:rsidRPr="00CC6CA3">
        <w:t xml:space="preserve">Figure </w:t>
      </w:r>
      <w:r w:rsidR="001906D9" w:rsidRPr="00CC6CA3">
        <w:rPr>
          <w:noProof/>
        </w:rPr>
        <w:lastRenderedPageBreak/>
        <w:t>5</w:t>
      </w:r>
      <w:r w:rsidR="001906D9" w:rsidRPr="00CC6CA3">
        <w:t>.</w:t>
      </w:r>
      <w:r w:rsidR="001906D9" w:rsidRPr="00CC6CA3">
        <w:rPr>
          <w:noProof/>
        </w:rPr>
        <w:t>36</w:t>
      </w:r>
      <w:r w:rsidRPr="00CC6CA3">
        <w:fldChar w:fldCharType="end"/>
      </w:r>
      <w:r w:rsidRPr="00CC6CA3">
        <w:t xml:space="preserve"> (b), the proposed health indicator was able to detect </w:t>
      </w:r>
      <w:r w:rsidR="006A0D17" w:rsidRPr="00CC6CA3">
        <w:t>both misalignment and bearing faults.</w:t>
      </w:r>
    </w:p>
    <w:p w14:paraId="298A1CF3" w14:textId="7B78BDBE" w:rsidR="006A68D6" w:rsidRPr="00CC6CA3" w:rsidRDefault="006A0D17" w:rsidP="006A68D6">
      <w:pPr>
        <w:spacing w:before="120"/>
      </w:pPr>
      <w:r w:rsidRPr="00CC6CA3">
        <w:rPr>
          <w:lang w:val="en-US"/>
        </w:rPr>
        <w:t xml:space="preserve">The results for the system </w:t>
      </w:r>
      <w:r w:rsidRPr="00CC6CA3">
        <w:t>health</w:t>
      </w:r>
      <w:r w:rsidRPr="00CC6CA3">
        <w:rPr>
          <w:lang w:val="en-US"/>
        </w:rPr>
        <w:t xml:space="preserve"> </w:t>
      </w:r>
      <w:r w:rsidRPr="00CC6CA3">
        <w:t xml:space="preserve">indicators obtained by the two methods for the bearing fault in Case 2 can be found in </w:t>
      </w:r>
      <w:r w:rsidR="006A68D6" w:rsidRPr="00CC6CA3">
        <w:fldChar w:fldCharType="begin"/>
      </w:r>
      <w:r w:rsidR="006A68D6" w:rsidRPr="00CC6CA3">
        <w:instrText xml:space="preserve"> REF _Ref63847785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37</w:t>
      </w:r>
      <w:r w:rsidR="006A68D6" w:rsidRPr="00CC6CA3">
        <w:fldChar w:fldCharType="end"/>
      </w:r>
      <w:r w:rsidR="006A68D6" w:rsidRPr="00CC6CA3">
        <w:t>.</w:t>
      </w:r>
    </w:p>
    <w:p w14:paraId="32854DE0" w14:textId="77777777" w:rsidR="006A68D6" w:rsidRPr="00CC6CA3" w:rsidRDefault="006A68D6" w:rsidP="006A68D6">
      <w:pPr>
        <w:keepNext/>
        <w:jc w:val="center"/>
      </w:pPr>
      <w:r w:rsidRPr="00CC6CA3">
        <w:rPr>
          <w:noProof/>
        </w:rPr>
        <w:drawing>
          <wp:inline distT="0" distB="0" distL="0" distR="0" wp14:anchorId="48CF466E" wp14:editId="52CDD87B">
            <wp:extent cx="4392000" cy="473424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92000" cy="4734240"/>
                    </a:xfrm>
                    <a:prstGeom prst="rect">
                      <a:avLst/>
                    </a:prstGeom>
                    <a:noFill/>
                  </pic:spPr>
                </pic:pic>
              </a:graphicData>
            </a:graphic>
          </wp:inline>
        </w:drawing>
      </w:r>
    </w:p>
    <w:p w14:paraId="3F095BAC" w14:textId="1B13E84C" w:rsidR="006A68D6" w:rsidRPr="00CC6CA3" w:rsidRDefault="006A68D6" w:rsidP="006A68D6">
      <w:pPr>
        <w:pStyle w:val="Caption"/>
        <w:jc w:val="center"/>
      </w:pPr>
      <w:bookmarkStart w:id="584" w:name="_Ref63847785"/>
      <w:bookmarkStart w:id="585" w:name="_Toc81553464"/>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37</w:t>
      </w:r>
      <w:r w:rsidR="00D62691" w:rsidRPr="00CC6CA3">
        <w:rPr>
          <w:noProof/>
        </w:rPr>
        <w:fldChar w:fldCharType="end"/>
      </w:r>
      <w:bookmarkEnd w:id="584"/>
      <w:r w:rsidRPr="00CC6CA3">
        <w:t xml:space="preserve"> The system health indicators obtained by two methodologies for the bearing fault in </w:t>
      </w:r>
      <w:r w:rsidR="00DB1E6E" w:rsidRPr="00CC6CA3">
        <w:t xml:space="preserve">Case 2, (a) </w:t>
      </w:r>
      <w:r w:rsidR="00DB1E6E" w:rsidRPr="00CC6CA3">
        <w:rPr>
          <w:szCs w:val="20"/>
        </w:rPr>
        <w:t xml:space="preserve">system health indicator obtained using PCA method proposed by </w:t>
      </w:r>
      <w:r w:rsidR="00DB1E6E" w:rsidRPr="00CC6CA3">
        <w:rPr>
          <w:rFonts w:cs="Times New Roman"/>
          <w:szCs w:val="20"/>
        </w:rPr>
        <w:t>Zadakbar</w:t>
      </w:r>
      <w:r w:rsidR="00DB1E6E" w:rsidRPr="00CC6CA3">
        <w:rPr>
          <w:szCs w:val="20"/>
        </w:rPr>
        <w:t xml:space="preserve"> et al.,</w:t>
      </w:r>
      <w:r w:rsidR="00DB1E6E" w:rsidRPr="00CC6CA3">
        <w:t xml:space="preserve"> </w:t>
      </w:r>
      <w:r w:rsidR="00DB1E6E" w:rsidRPr="00CC6CA3">
        <w:fldChar w:fldCharType="begin"/>
      </w:r>
      <w:r w:rsidR="007D1BCC" w:rsidRPr="00CC6CA3">
        <w:instrText xml:space="preserve"> ADDIN ZOTERO_ITEM CSL_CITATION {"citationID":"PogFBWLk","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DB1E6E" w:rsidRPr="00CC6CA3">
        <w:fldChar w:fldCharType="separate"/>
      </w:r>
      <w:r w:rsidR="007D1BCC" w:rsidRPr="00CC6CA3">
        <w:rPr>
          <w:rFonts w:cs="Times New Roman"/>
        </w:rPr>
        <w:t>[94]</w:t>
      </w:r>
      <w:r w:rsidR="00DB1E6E" w:rsidRPr="00CC6CA3">
        <w:fldChar w:fldCharType="end"/>
      </w:r>
      <w:r w:rsidRPr="00CC6CA3">
        <w:t>, (b) system health indicator obtained by the proposed</w:t>
      </w:r>
      <w:r w:rsidR="00DB1E6E" w:rsidRPr="00CC6CA3">
        <w:t xml:space="preserve"> SAE based method</w:t>
      </w:r>
      <w:r w:rsidRPr="00CC6CA3">
        <w:t>.</w:t>
      </w:r>
      <w:bookmarkEnd w:id="585"/>
    </w:p>
    <w:p w14:paraId="650EB265" w14:textId="5A6D5850" w:rsidR="006A68D6" w:rsidRPr="00CC6CA3" w:rsidRDefault="006A68D6" w:rsidP="006A68D6">
      <w:pPr>
        <w:spacing w:before="120"/>
      </w:pPr>
      <w:r w:rsidRPr="00CC6CA3">
        <w:t xml:space="preserve">In </w:t>
      </w:r>
      <w:r w:rsidRPr="00CC6CA3">
        <w:fldChar w:fldCharType="begin"/>
      </w:r>
      <w:r w:rsidRPr="00CC6CA3">
        <w:instrText xml:space="preserve"> REF _Ref63847785 \h  \* MERGEFORMAT </w:instrText>
      </w:r>
      <w:r w:rsidRPr="00CC6CA3">
        <w:fldChar w:fldCharType="separate"/>
      </w:r>
      <w:r w:rsidR="001906D9" w:rsidRPr="00CC6CA3">
        <w:t>Figure 5.37</w:t>
      </w:r>
      <w:r w:rsidRPr="00CC6CA3">
        <w:fldChar w:fldCharType="end"/>
      </w:r>
      <w:r w:rsidRPr="00CC6CA3">
        <w:t xml:space="preserve"> (a), the health indicator was calculated </w:t>
      </w:r>
      <w:r w:rsidR="006A0D17" w:rsidRPr="00CC6CA3">
        <w:t>using</w:t>
      </w:r>
      <w:r w:rsidRPr="00CC6CA3">
        <w:t xml:space="preserve"> the 9</w:t>
      </w:r>
      <w:r w:rsidRPr="00CC6CA3">
        <w:rPr>
          <w:vertAlign w:val="superscript"/>
        </w:rPr>
        <w:t>th</w:t>
      </w:r>
      <w:r w:rsidRPr="00CC6CA3">
        <w:t xml:space="preserve"> principal component. It detected the bearing fault at 11:00 on 22</w:t>
      </w:r>
      <w:r w:rsidRPr="00CC6CA3">
        <w:rPr>
          <w:vertAlign w:val="superscript"/>
        </w:rPr>
        <w:t>nd</w:t>
      </w:r>
      <w:r w:rsidRPr="00CC6CA3">
        <w:t xml:space="preserve"> Jul. In comparison, </w:t>
      </w:r>
      <w:r w:rsidRPr="00CC6CA3">
        <w:fldChar w:fldCharType="begin"/>
      </w:r>
      <w:r w:rsidRPr="00CC6CA3">
        <w:instrText xml:space="preserve"> REF _Ref63847785 \h  \* MERGEFORMAT </w:instrText>
      </w:r>
      <w:r w:rsidRPr="00CC6CA3">
        <w:fldChar w:fldCharType="separate"/>
      </w:r>
      <w:r w:rsidR="001906D9" w:rsidRPr="00CC6CA3">
        <w:t>Figure 5.37</w:t>
      </w:r>
      <w:r w:rsidRPr="00CC6CA3">
        <w:fldChar w:fldCharType="end"/>
      </w:r>
      <w:r w:rsidRPr="00CC6CA3">
        <w:t xml:space="preserve"> (b) </w:t>
      </w:r>
      <w:r w:rsidR="006A0D17" w:rsidRPr="00CC6CA3">
        <w:t xml:space="preserve">shows </w:t>
      </w:r>
      <w:r w:rsidRPr="00CC6CA3">
        <w:t xml:space="preserve">that the proposed health indicator detected the fault </w:t>
      </w:r>
      <w:r w:rsidR="006A0D17" w:rsidRPr="00CC6CA3">
        <w:t xml:space="preserve">soon </w:t>
      </w:r>
      <w:r w:rsidRPr="00CC6CA3">
        <w:t xml:space="preserve">after the misalignment fault, which was about two days earlier. </w:t>
      </w:r>
      <w:r w:rsidRPr="00CC6CA3">
        <w:rPr>
          <w:rFonts w:hint="eastAsia"/>
        </w:rPr>
        <w:t>As</w:t>
      </w:r>
      <w:r w:rsidRPr="00CC6CA3">
        <w:t xml:space="preserve"> can be seen in the original measured signals in Figure 3-15, the overall vibration X of bearing 2 started to increase just after the misalignment fault. </w:t>
      </w:r>
      <w:r w:rsidRPr="00CC6CA3">
        <w:rPr>
          <w:rFonts w:hint="eastAsia"/>
        </w:rPr>
        <w:t>There</w:t>
      </w:r>
      <w:r w:rsidRPr="00CC6CA3">
        <w:t>fore, the proposed health indicator successfully detected the bearing fault at the earliest time.</w:t>
      </w:r>
    </w:p>
    <w:p w14:paraId="111BAD71" w14:textId="3D4CB418" w:rsidR="006A0D17" w:rsidRPr="00CC6CA3" w:rsidRDefault="006A68D6" w:rsidP="006A68D6">
      <w:pPr>
        <w:spacing w:before="120"/>
      </w:pPr>
      <w:r w:rsidRPr="00CC6CA3">
        <w:lastRenderedPageBreak/>
        <w:t xml:space="preserve">In </w:t>
      </w:r>
      <w:r w:rsidRPr="00CC6CA3">
        <w:fldChar w:fldCharType="begin"/>
      </w:r>
      <w:r w:rsidRPr="00CC6CA3">
        <w:instrText xml:space="preserve"> REF _Ref63847785 \h  \* MERGEFORMAT </w:instrText>
      </w:r>
      <w:r w:rsidRPr="00CC6CA3">
        <w:fldChar w:fldCharType="separate"/>
      </w:r>
      <w:r w:rsidR="001906D9" w:rsidRPr="00CC6CA3">
        <w:t>Figure 5.37</w:t>
      </w:r>
      <w:r w:rsidRPr="00CC6CA3">
        <w:fldChar w:fldCharType="end"/>
      </w:r>
      <w:r w:rsidRPr="00CC6CA3">
        <w:t xml:space="preserve"> (a), </w:t>
      </w:r>
      <w:r w:rsidR="006A0D17" w:rsidRPr="00CC6CA3">
        <w:t>the PCA health indicator suggested shutdown at 12:00 on 27</w:t>
      </w:r>
      <w:r w:rsidR="006A0D17" w:rsidRPr="00CC6CA3">
        <w:rPr>
          <w:vertAlign w:val="superscript"/>
        </w:rPr>
        <w:t>th</w:t>
      </w:r>
      <w:r w:rsidR="006A0D17" w:rsidRPr="00CC6CA3">
        <w:t xml:space="preserve"> Jul, which was 27 days earlier than the company </w:t>
      </w:r>
      <w:proofErr w:type="gramStart"/>
      <w:r w:rsidR="006A0D17" w:rsidRPr="00CC6CA3">
        <w:t>actually shut</w:t>
      </w:r>
      <w:proofErr w:type="gramEnd"/>
      <w:r w:rsidR="006A0D17" w:rsidRPr="00CC6CA3">
        <w:t xml:space="preserve"> the pump down. This might have avoided unplanned downtime but could have been at the cost of the bearing being run to destruction</w:t>
      </w:r>
      <w:r w:rsidRPr="00CC6CA3">
        <w:t>.</w:t>
      </w:r>
    </w:p>
    <w:p w14:paraId="7FDEAF85" w14:textId="0F328D87" w:rsidR="006A68D6" w:rsidRPr="00CC6CA3" w:rsidRDefault="006A68D6" w:rsidP="006A68D6">
      <w:pPr>
        <w:spacing w:before="120"/>
      </w:pPr>
      <w:r w:rsidRPr="00CC6CA3">
        <w:t xml:space="preserve">In contrast, in </w:t>
      </w:r>
      <w:r w:rsidRPr="00CC6CA3">
        <w:fldChar w:fldCharType="begin"/>
      </w:r>
      <w:r w:rsidRPr="00CC6CA3">
        <w:instrText xml:space="preserve"> REF _Ref63847785 \h  \* MERGEFORMAT </w:instrText>
      </w:r>
      <w:r w:rsidRPr="00CC6CA3">
        <w:fldChar w:fldCharType="separate"/>
      </w:r>
      <w:r w:rsidR="001906D9" w:rsidRPr="00CC6CA3">
        <w:t>Figure 5.37</w:t>
      </w:r>
      <w:r w:rsidRPr="00CC6CA3">
        <w:fldChar w:fldCharType="end"/>
      </w:r>
      <w:r w:rsidRPr="00CC6CA3">
        <w:t xml:space="preserve"> (b), the proposed </w:t>
      </w:r>
      <w:r w:rsidR="006A0D17" w:rsidRPr="00CC6CA3">
        <w:t xml:space="preserve">health indicator suggested a shutdown time that is very close to the time that the company </w:t>
      </w:r>
      <w:proofErr w:type="gramStart"/>
      <w:r w:rsidR="006A0D17" w:rsidRPr="00CC6CA3">
        <w:t>took action</w:t>
      </w:r>
      <w:proofErr w:type="gramEnd"/>
      <w:r w:rsidR="006A0D17" w:rsidRPr="00CC6CA3">
        <w:t xml:space="preserve">. As with Case 1, the value of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006A0D17" w:rsidRPr="00CC6CA3">
        <w:t xml:space="preserve"> can be set by operators according to the specific conditions of their plants. Again the health indicator in </w:t>
      </w:r>
      <w:r w:rsidRPr="00CC6CA3">
        <w:fldChar w:fldCharType="begin"/>
      </w:r>
      <w:r w:rsidRPr="00CC6CA3">
        <w:instrText xml:space="preserve"> REF _Ref63847785 \h  \* MERGEFORMAT </w:instrText>
      </w:r>
      <w:r w:rsidRPr="00CC6CA3">
        <w:fldChar w:fldCharType="separate"/>
      </w:r>
      <w:r w:rsidR="001906D9" w:rsidRPr="00CC6CA3">
        <w:t>Figure 5.37</w:t>
      </w:r>
      <w:r w:rsidRPr="00CC6CA3">
        <w:fldChar w:fldCharType="end"/>
      </w:r>
      <w:r w:rsidRPr="00CC6CA3">
        <w:t xml:space="preserve"> (a) </w:t>
      </w:r>
      <w:r w:rsidR="006A0D17" w:rsidRPr="00CC6CA3">
        <w:t>is</w:t>
      </w:r>
      <w:r w:rsidRPr="00CC6CA3">
        <w:t xml:space="preserve"> unitless, while in </w:t>
      </w:r>
      <w:r w:rsidRPr="00CC6CA3">
        <w:fldChar w:fldCharType="begin"/>
      </w:r>
      <w:r w:rsidRPr="00CC6CA3">
        <w:instrText xml:space="preserve"> REF _Ref63847785 \h  \* MERGEFORMAT </w:instrText>
      </w:r>
      <w:r w:rsidRPr="00CC6CA3">
        <w:fldChar w:fldCharType="separate"/>
      </w:r>
      <w:r w:rsidR="001906D9" w:rsidRPr="00CC6CA3">
        <w:t>Figure 5.37</w:t>
      </w:r>
      <w:r w:rsidRPr="00CC6CA3">
        <w:fldChar w:fldCharType="end"/>
      </w:r>
      <w:r w:rsidRPr="00CC6CA3">
        <w:t xml:space="preserve"> (b), </w:t>
      </w:r>
      <w:r w:rsidR="006A0D17" w:rsidRPr="00CC6CA3">
        <w:t xml:space="preserve">the </w:t>
      </w:r>
      <w:r w:rsidR="006A0D17" w:rsidRPr="00CC6CA3">
        <w:rPr>
          <w:lang w:val="en-US"/>
        </w:rPr>
        <w:t>proposed health indicator presents system risk in $, making it easier for operators to set their own shutdown threshold and planning for maintenance</w:t>
      </w:r>
      <w:r w:rsidRPr="00CC6CA3">
        <w:rPr>
          <w:lang w:val="en-US"/>
        </w:rPr>
        <w:t>.</w:t>
      </w:r>
    </w:p>
    <w:p w14:paraId="1D007190" w14:textId="417F9F40" w:rsidR="006A68D6" w:rsidRPr="00CC6CA3" w:rsidRDefault="006A68D6" w:rsidP="006A68D6">
      <w:pPr>
        <w:pStyle w:val="Heading3"/>
        <w:rPr>
          <w:lang w:val="en-US"/>
        </w:rPr>
      </w:pPr>
      <w:bookmarkStart w:id="586" w:name="_Toc81553315"/>
      <w:r w:rsidRPr="00CC6CA3">
        <w:rPr>
          <w:lang w:val="en-US"/>
        </w:rPr>
        <w:t>Case 3</w:t>
      </w:r>
      <w:r w:rsidR="005B2617" w:rsidRPr="00CC6CA3">
        <w:rPr>
          <w:lang w:val="en-US"/>
        </w:rPr>
        <w:t>: bearing faults in compressor</w:t>
      </w:r>
      <w:bookmarkEnd w:id="586"/>
    </w:p>
    <w:p w14:paraId="351158AF" w14:textId="4FF921C8" w:rsidR="006A68D6" w:rsidRPr="00CC6CA3" w:rsidRDefault="00474C42" w:rsidP="006A68D6">
      <w:pPr>
        <w:spacing w:before="120"/>
      </w:pPr>
      <w:r w:rsidRPr="00CC6CA3">
        <w:rPr>
          <w:lang w:val="en-US"/>
        </w:rPr>
        <w:t xml:space="preserve">The results of the system health </w:t>
      </w:r>
      <w:r w:rsidRPr="00CC6CA3">
        <w:t xml:space="preserve">indicators obtained by the two methods for Case 3 can be seen in </w:t>
      </w:r>
      <w:r w:rsidR="006A68D6" w:rsidRPr="00CC6CA3">
        <w:fldChar w:fldCharType="begin"/>
      </w:r>
      <w:r w:rsidR="006A68D6" w:rsidRPr="00CC6CA3">
        <w:instrText xml:space="preserve"> REF _Ref63850672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38</w:t>
      </w:r>
      <w:r w:rsidR="006A68D6" w:rsidRPr="00CC6CA3">
        <w:fldChar w:fldCharType="end"/>
      </w:r>
      <w:r w:rsidR="006A68D6" w:rsidRPr="00CC6CA3">
        <w:t xml:space="preserve">. In </w:t>
      </w:r>
      <w:r w:rsidR="006A68D6" w:rsidRPr="00CC6CA3">
        <w:fldChar w:fldCharType="begin"/>
      </w:r>
      <w:r w:rsidR="006A68D6" w:rsidRPr="00CC6CA3">
        <w:instrText xml:space="preserve"> REF _Ref63850672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38</w:t>
      </w:r>
      <w:r w:rsidR="006A68D6" w:rsidRPr="00CC6CA3">
        <w:fldChar w:fldCharType="end"/>
      </w:r>
      <w:r w:rsidR="006A68D6" w:rsidRPr="00CC6CA3">
        <w:t xml:space="preserve"> (a) and (b), both health indicators continuously stayed above the fault detection threshold after 23</w:t>
      </w:r>
      <w:r w:rsidR="006A68D6" w:rsidRPr="00CC6CA3">
        <w:rPr>
          <w:vertAlign w:val="superscript"/>
        </w:rPr>
        <w:t>rd</w:t>
      </w:r>
      <w:r w:rsidR="006A68D6" w:rsidRPr="00CC6CA3">
        <w:t xml:space="preserve"> Sep. The </w:t>
      </w:r>
      <w:r w:rsidRPr="00CC6CA3">
        <w:t xml:space="preserve">PCA </w:t>
      </w:r>
      <w:r w:rsidR="006A68D6" w:rsidRPr="00CC6CA3">
        <w:t xml:space="preserve">indicator showed significant fluctuations in </w:t>
      </w:r>
      <w:r w:rsidR="006A68D6" w:rsidRPr="00CC6CA3">
        <w:fldChar w:fldCharType="begin"/>
      </w:r>
      <w:r w:rsidR="006A68D6" w:rsidRPr="00CC6CA3">
        <w:instrText xml:space="preserve"> REF _Ref63850672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38</w:t>
      </w:r>
      <w:r w:rsidR="006A68D6" w:rsidRPr="00CC6CA3">
        <w:fldChar w:fldCharType="end"/>
      </w:r>
      <w:r w:rsidR="006A68D6" w:rsidRPr="00CC6CA3">
        <w:t xml:space="preserve"> (a), while the proposed indicator presented a relatively stable increase trend in </w:t>
      </w:r>
      <w:r w:rsidR="006A68D6" w:rsidRPr="00CC6CA3">
        <w:fldChar w:fldCharType="begin"/>
      </w:r>
      <w:r w:rsidR="006A68D6" w:rsidRPr="00CC6CA3">
        <w:instrText xml:space="preserve"> REF _Ref63850672 \h </w:instrText>
      </w:r>
      <w:r w:rsidR="006A68D6"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38</w:t>
      </w:r>
      <w:r w:rsidR="006A68D6" w:rsidRPr="00CC6CA3">
        <w:fldChar w:fldCharType="end"/>
      </w:r>
      <w:r w:rsidR="006A68D6" w:rsidRPr="00CC6CA3">
        <w:t xml:space="preserve"> (b).</w:t>
      </w:r>
    </w:p>
    <w:p w14:paraId="75841454" w14:textId="15B845AC" w:rsidR="006A68D6" w:rsidRPr="00CC6CA3" w:rsidRDefault="006A68D6" w:rsidP="006A68D6">
      <w:pPr>
        <w:spacing w:before="120"/>
      </w:pPr>
      <w:r w:rsidRPr="00CC6CA3">
        <w:t xml:space="preserve">In </w:t>
      </w:r>
      <w:r w:rsidRPr="00CC6CA3">
        <w:fldChar w:fldCharType="begin"/>
      </w:r>
      <w:r w:rsidRPr="00CC6CA3">
        <w:instrText xml:space="preserve"> REF _Ref63850672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38</w:t>
      </w:r>
      <w:r w:rsidRPr="00CC6CA3">
        <w:fldChar w:fldCharType="end"/>
      </w:r>
      <w:r w:rsidRPr="00CC6CA3">
        <w:t xml:space="preserve"> (a), </w:t>
      </w:r>
      <w:r w:rsidR="00474C42" w:rsidRPr="00CC6CA3">
        <w:t>the PCA health indicator reached the shutdown threshold 08:00 on 14</w:t>
      </w:r>
      <w:r w:rsidR="00474C42" w:rsidRPr="00CC6CA3">
        <w:rPr>
          <w:vertAlign w:val="superscript"/>
        </w:rPr>
        <w:t>th</w:t>
      </w:r>
      <w:r w:rsidR="00474C42" w:rsidRPr="00CC6CA3">
        <w:t xml:space="preserve"> Oct, which was nearly two days earlier than suggested by those variables influenced by the bearing fault </w:t>
      </w:r>
      <w:r w:rsidRPr="00CC6CA3">
        <w:t xml:space="preserve">(see </w:t>
      </w:r>
      <w:r w:rsidRPr="00CC6CA3">
        <w:fldChar w:fldCharType="begin"/>
      </w:r>
      <w:r w:rsidRPr="00CC6CA3">
        <w:instrText xml:space="preserve"> REF _Ref63801902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25</w:t>
      </w:r>
      <w:r w:rsidRPr="00CC6CA3">
        <w:fldChar w:fldCharType="end"/>
      </w:r>
      <w:r w:rsidRPr="00CC6CA3">
        <w:t xml:space="preserve"> and Figure 3-21). In comparison, in </w:t>
      </w:r>
      <w:r w:rsidRPr="00CC6CA3">
        <w:fldChar w:fldCharType="begin"/>
      </w:r>
      <w:r w:rsidRPr="00CC6CA3">
        <w:instrText xml:space="preserve"> REF _Ref63850672 \h </w:instrText>
      </w:r>
      <w:r w:rsidRPr="00CC6CA3">
        <w:fldChar w:fldCharType="separate"/>
      </w:r>
      <w:r w:rsidR="001906D9" w:rsidRPr="00CC6CA3">
        <w:t xml:space="preserve">Figure </w:t>
      </w:r>
      <w:r w:rsidR="001906D9" w:rsidRPr="00CC6CA3">
        <w:rPr>
          <w:noProof/>
        </w:rPr>
        <w:t>5</w:t>
      </w:r>
      <w:r w:rsidR="001906D9" w:rsidRPr="00CC6CA3">
        <w:t>.</w:t>
      </w:r>
      <w:r w:rsidR="001906D9" w:rsidRPr="00CC6CA3">
        <w:rPr>
          <w:noProof/>
        </w:rPr>
        <w:t>38</w:t>
      </w:r>
      <w:r w:rsidRPr="00CC6CA3">
        <w:fldChar w:fldCharType="end"/>
      </w:r>
      <w:r w:rsidRPr="00CC6CA3">
        <w:t xml:space="preserve"> (b), the proposed health indicator </w:t>
      </w:r>
      <w:r w:rsidR="00474C42" w:rsidRPr="00CC6CA3">
        <w:t>reached the shutdown threshold on 16th Oct, which matched the time indicated by those variables influenced by the bearing fault. Both methods can protect the compressor system from an unplanned shutdown, but the proposed SAE based method was better, because it allowed the system to fully use its remaining life</w:t>
      </w:r>
      <w:r w:rsidRPr="00CC6CA3">
        <w:t>.</w:t>
      </w:r>
    </w:p>
    <w:p w14:paraId="35FA6CD6" w14:textId="77777777" w:rsidR="00116862" w:rsidRPr="00CC6CA3" w:rsidRDefault="00116862" w:rsidP="006A68D6">
      <w:pPr>
        <w:spacing w:before="120"/>
      </w:pPr>
    </w:p>
    <w:p w14:paraId="670CC3CA" w14:textId="77777777" w:rsidR="006A68D6" w:rsidRPr="00CC6CA3" w:rsidRDefault="006A68D6" w:rsidP="006A68D6">
      <w:pPr>
        <w:keepNext/>
        <w:jc w:val="center"/>
      </w:pPr>
      <w:r w:rsidRPr="00CC6CA3">
        <w:rPr>
          <w:noProof/>
          <w:lang w:val="en-US"/>
        </w:rPr>
        <w:lastRenderedPageBreak/>
        <w:drawing>
          <wp:inline distT="0" distB="0" distL="0" distR="0" wp14:anchorId="3DF6BD73" wp14:editId="4E3E8A52">
            <wp:extent cx="4392000" cy="4551159"/>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392000" cy="4551159"/>
                    </a:xfrm>
                    <a:prstGeom prst="rect">
                      <a:avLst/>
                    </a:prstGeom>
                    <a:noFill/>
                  </pic:spPr>
                </pic:pic>
              </a:graphicData>
            </a:graphic>
          </wp:inline>
        </w:drawing>
      </w:r>
    </w:p>
    <w:p w14:paraId="6FBFFE29" w14:textId="04E57144" w:rsidR="006A68D6" w:rsidRPr="00CC6CA3" w:rsidRDefault="006A68D6" w:rsidP="006A68D6">
      <w:pPr>
        <w:pStyle w:val="Caption"/>
        <w:jc w:val="center"/>
        <w:rPr>
          <w:lang w:val="en-US"/>
        </w:rPr>
      </w:pPr>
      <w:bookmarkStart w:id="587" w:name="_Ref63850672"/>
      <w:bookmarkStart w:id="588" w:name="_Toc81553465"/>
      <w:r w:rsidRPr="00CC6CA3">
        <w:t xml:space="preserve">Figure </w:t>
      </w:r>
      <w:r w:rsidR="00D62691" w:rsidRPr="00CC6CA3">
        <w:fldChar w:fldCharType="begin"/>
      </w:r>
      <w:r w:rsidR="00D62691" w:rsidRPr="00CC6CA3">
        <w:instrText xml:space="preserve"> STYLEREF 1 \s </w:instrText>
      </w:r>
      <w:r w:rsidR="00D62691" w:rsidRPr="00CC6CA3">
        <w:fldChar w:fldCharType="separate"/>
      </w:r>
      <w:r w:rsidR="001906D9" w:rsidRPr="00CC6CA3">
        <w:rPr>
          <w:noProof/>
        </w:rPr>
        <w:t>5</w:t>
      </w:r>
      <w:r w:rsidR="00D62691" w:rsidRPr="00CC6CA3">
        <w:rPr>
          <w:noProof/>
        </w:rPr>
        <w:fldChar w:fldCharType="end"/>
      </w:r>
      <w:r w:rsidR="00FB19C9" w:rsidRPr="00CC6CA3">
        <w:t>.</w:t>
      </w:r>
      <w:r w:rsidR="00D62691" w:rsidRPr="00CC6CA3">
        <w:fldChar w:fldCharType="begin"/>
      </w:r>
      <w:r w:rsidR="00D62691" w:rsidRPr="00CC6CA3">
        <w:instrText xml:space="preserve"> SEQ Figure \* ARABIC \s 1 </w:instrText>
      </w:r>
      <w:r w:rsidR="00D62691" w:rsidRPr="00CC6CA3">
        <w:fldChar w:fldCharType="separate"/>
      </w:r>
      <w:r w:rsidR="001906D9" w:rsidRPr="00CC6CA3">
        <w:rPr>
          <w:noProof/>
        </w:rPr>
        <w:t>38</w:t>
      </w:r>
      <w:r w:rsidR="00D62691" w:rsidRPr="00CC6CA3">
        <w:rPr>
          <w:noProof/>
        </w:rPr>
        <w:fldChar w:fldCharType="end"/>
      </w:r>
      <w:bookmarkEnd w:id="587"/>
      <w:r w:rsidRPr="00CC6CA3">
        <w:t xml:space="preserve"> The system health indicators obtained by two methodologies for </w:t>
      </w:r>
      <w:r w:rsidR="00DB1E6E" w:rsidRPr="00CC6CA3">
        <w:t xml:space="preserve">Case 3, (a) </w:t>
      </w:r>
      <w:r w:rsidR="00DB1E6E" w:rsidRPr="00CC6CA3">
        <w:rPr>
          <w:szCs w:val="20"/>
        </w:rPr>
        <w:t xml:space="preserve">system health indicator obtained using PCA method proposed by </w:t>
      </w:r>
      <w:r w:rsidR="00DB1E6E" w:rsidRPr="00CC6CA3">
        <w:rPr>
          <w:rFonts w:cs="Times New Roman"/>
          <w:szCs w:val="20"/>
        </w:rPr>
        <w:t>Zadakbar</w:t>
      </w:r>
      <w:r w:rsidR="00DB1E6E" w:rsidRPr="00CC6CA3">
        <w:rPr>
          <w:szCs w:val="20"/>
        </w:rPr>
        <w:t xml:space="preserve"> et al.,</w:t>
      </w:r>
      <w:r w:rsidR="00DB1E6E" w:rsidRPr="00CC6CA3">
        <w:t xml:space="preserve"> </w:t>
      </w:r>
      <w:r w:rsidR="00DB1E6E" w:rsidRPr="00CC6CA3">
        <w:fldChar w:fldCharType="begin"/>
      </w:r>
      <w:r w:rsidR="007D1BCC" w:rsidRPr="00CC6CA3">
        <w:instrText xml:space="preserve"> ADDIN ZOTERO_ITEM CSL_CITATION {"citationID":"AZA6ckbp","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DB1E6E" w:rsidRPr="00CC6CA3">
        <w:fldChar w:fldCharType="separate"/>
      </w:r>
      <w:r w:rsidR="007D1BCC" w:rsidRPr="00CC6CA3">
        <w:rPr>
          <w:rFonts w:cs="Times New Roman"/>
        </w:rPr>
        <w:t>[94]</w:t>
      </w:r>
      <w:r w:rsidR="00DB1E6E" w:rsidRPr="00CC6CA3">
        <w:fldChar w:fldCharType="end"/>
      </w:r>
      <w:r w:rsidR="00DB1E6E" w:rsidRPr="00CC6CA3">
        <w:t>, (b) system health indicator obtained by the proposed SAE based method.</w:t>
      </w:r>
      <w:bookmarkEnd w:id="588"/>
    </w:p>
    <w:p w14:paraId="33866CAC" w14:textId="77777777" w:rsidR="006A68D6" w:rsidRPr="00CC6CA3" w:rsidRDefault="006A68D6" w:rsidP="006A68D6">
      <w:pPr>
        <w:pStyle w:val="Heading2"/>
      </w:pPr>
      <w:bookmarkStart w:id="589" w:name="_Toc81553316"/>
      <w:r w:rsidRPr="00CC6CA3">
        <w:t>Summary</w:t>
      </w:r>
      <w:bookmarkEnd w:id="589"/>
    </w:p>
    <w:p w14:paraId="4703CD0A" w14:textId="5868D8A3" w:rsidR="006A68D6" w:rsidRPr="00CC6CA3" w:rsidRDefault="00AE15D7" w:rsidP="006A68D6">
      <w:pPr>
        <w:spacing w:before="120"/>
      </w:pPr>
      <w:r w:rsidRPr="00CC6CA3">
        <w:t xml:space="preserve">A health indicator targets the safety issues of a process system. It is obtained by condition-based risk assessment methodology. It indicates the need for maintenance based on real-time health monitoring of assets. In this chapter, two methodologies for obtaining a condition-based system health indicator are described, in Sections 5.1.1 and 5.2.1. Both methodologies are demonstrated on a pump and a compressor system, using industrial process data. Comparing the case studies, the proposed </w:t>
      </w:r>
      <w:r w:rsidR="00EB22E1" w:rsidRPr="00CC6CA3">
        <w:t>SAE</w:t>
      </w:r>
      <w:r w:rsidRPr="00CC6CA3">
        <w:t xml:space="preserve"> based methodology (described in Section 5.2.1) outperformed the PCA methodology described Section 5.1.1 in four ways</w:t>
      </w:r>
      <w:r w:rsidR="006A68D6" w:rsidRPr="00CC6CA3">
        <w:t>:</w:t>
      </w:r>
    </w:p>
    <w:p w14:paraId="77DDC834" w14:textId="3D886F87" w:rsidR="006A68D6" w:rsidRPr="00CC6CA3" w:rsidRDefault="00FD4489" w:rsidP="00720314">
      <w:pPr>
        <w:pStyle w:val="Body"/>
        <w:numPr>
          <w:ilvl w:val="0"/>
          <w:numId w:val="17"/>
        </w:numPr>
      </w:pPr>
      <w:r w:rsidRPr="00CC6CA3">
        <w:t>High performance and easy to apply</w:t>
      </w:r>
      <w:r w:rsidR="00FD4827" w:rsidRPr="00CC6CA3">
        <w:t>.</w:t>
      </w:r>
    </w:p>
    <w:p w14:paraId="12566F5A" w14:textId="48251BF8" w:rsidR="006A68D6" w:rsidRPr="00CC6CA3" w:rsidRDefault="009B07C4" w:rsidP="00720314">
      <w:pPr>
        <w:pStyle w:val="Body"/>
        <w:numPr>
          <w:ilvl w:val="0"/>
          <w:numId w:val="19"/>
        </w:numPr>
      </w:pPr>
      <w:r w:rsidRPr="00CC6CA3">
        <w:t>In Case 1 the proposed SAE based health indicator detected the misalignment fault one day earlier, and the bearing fault two days earlier than the PCA method</w:t>
      </w:r>
      <w:r w:rsidR="006A68D6" w:rsidRPr="00CC6CA3">
        <w:t xml:space="preserve">. </w:t>
      </w:r>
    </w:p>
    <w:p w14:paraId="18FA77EF" w14:textId="35D91812" w:rsidR="006A68D6" w:rsidRPr="00CC6CA3" w:rsidRDefault="006A68D6" w:rsidP="00720314">
      <w:pPr>
        <w:pStyle w:val="Body"/>
        <w:numPr>
          <w:ilvl w:val="0"/>
          <w:numId w:val="19"/>
        </w:numPr>
      </w:pPr>
      <w:r w:rsidRPr="00CC6CA3">
        <w:lastRenderedPageBreak/>
        <w:t xml:space="preserve">In </w:t>
      </w:r>
      <w:r w:rsidR="009B07C4" w:rsidRPr="00CC6CA3">
        <w:t>C</w:t>
      </w:r>
      <w:r w:rsidRPr="00CC6CA3">
        <w:t xml:space="preserve">ase </w:t>
      </w:r>
      <w:r w:rsidR="009B07C4" w:rsidRPr="00CC6CA3">
        <w:t>2</w:t>
      </w:r>
      <w:r w:rsidRPr="00CC6CA3">
        <w:t xml:space="preserve">, the proposed health indicator was able to detect both the misalignment fault and the bearing fault. While </w:t>
      </w:r>
      <w:r w:rsidR="009B07C4" w:rsidRPr="00CC6CA3">
        <w:t>PCA health indicator could detect only misalignment using the 5</w:t>
      </w:r>
      <w:r w:rsidR="009B07C4" w:rsidRPr="00CC6CA3">
        <w:rPr>
          <w:vertAlign w:val="superscript"/>
        </w:rPr>
        <w:t>th</w:t>
      </w:r>
      <w:r w:rsidR="009B07C4" w:rsidRPr="00CC6CA3">
        <w:t xml:space="preserve"> principal component and detected only the bearing fault using the 9</w:t>
      </w:r>
      <w:r w:rsidR="009B07C4" w:rsidRPr="00CC6CA3">
        <w:rPr>
          <w:vertAlign w:val="superscript"/>
        </w:rPr>
        <w:t>th</w:t>
      </w:r>
      <w:r w:rsidR="009B07C4" w:rsidRPr="00CC6CA3">
        <w:t xml:space="preserve"> principal component</w:t>
      </w:r>
      <w:r w:rsidRPr="00CC6CA3">
        <w:t>.</w:t>
      </w:r>
    </w:p>
    <w:p w14:paraId="5BD7D40E" w14:textId="4C06D78F" w:rsidR="006A68D6" w:rsidRPr="00CC6CA3" w:rsidRDefault="00FD4489" w:rsidP="00720314">
      <w:pPr>
        <w:pStyle w:val="Body"/>
        <w:numPr>
          <w:ilvl w:val="0"/>
          <w:numId w:val="17"/>
        </w:numPr>
        <w:rPr>
          <w:rFonts w:cs="Times New Roman"/>
          <w:szCs w:val="20"/>
          <w:lang w:eastAsia="zh-CN"/>
        </w:rPr>
      </w:pPr>
      <w:bookmarkStart w:id="590" w:name="_Hlk80294252"/>
      <w:r w:rsidRPr="00CC6CA3">
        <w:t>No</w:t>
      </w:r>
      <w:r w:rsidR="006A68D6" w:rsidRPr="00CC6CA3">
        <w:t xml:space="preserve"> requirement for human intervention</w:t>
      </w:r>
      <w:r w:rsidR="00FD4827" w:rsidRPr="00CC6CA3">
        <w:t>.</w:t>
      </w:r>
    </w:p>
    <w:p w14:paraId="01EEFAD3" w14:textId="1B3FD386" w:rsidR="006A68D6" w:rsidRPr="00CC6CA3" w:rsidRDefault="009B07C4" w:rsidP="00720314">
      <w:pPr>
        <w:pStyle w:val="Body"/>
        <w:numPr>
          <w:ilvl w:val="0"/>
          <w:numId w:val="19"/>
        </w:numPr>
        <w:rPr>
          <w:rFonts w:cs="Times New Roman"/>
          <w:szCs w:val="20"/>
        </w:rPr>
      </w:pPr>
      <w:r w:rsidRPr="00CC6CA3">
        <w:t>The PCA method</w:t>
      </w:r>
      <w:r w:rsidRPr="00CC6CA3">
        <w:rPr>
          <w:rFonts w:cs="Times New Roman"/>
          <w:szCs w:val="20"/>
        </w:rPr>
        <w:t xml:space="preserve"> used a selected principal component as input, which needed human </w:t>
      </w:r>
      <w:r w:rsidRPr="00CC6CA3">
        <w:t xml:space="preserve">intervention. Careful selection of a </w:t>
      </w:r>
      <w:r w:rsidRPr="00CC6CA3">
        <w:rPr>
          <w:rFonts w:cs="Times New Roman"/>
          <w:szCs w:val="20"/>
        </w:rPr>
        <w:t xml:space="preserve">principal component that reflects a fault is needed. However, the </w:t>
      </w:r>
      <w:r w:rsidRPr="00CC6CA3">
        <w:t>proposed SAE based method</w:t>
      </w:r>
      <w:r w:rsidRPr="00CC6CA3">
        <w:rPr>
          <w:rFonts w:cs="Times New Roman"/>
          <w:szCs w:val="20"/>
        </w:rPr>
        <w:t xml:space="preserve"> calculates a system feature that integrates the outputs from the fault detection model with no requirement to select the most sensitive variable or feature to calculate the POF</w:t>
      </w:r>
      <w:r w:rsidR="006A68D6" w:rsidRPr="00CC6CA3">
        <w:rPr>
          <w:rFonts w:cs="Times New Roman"/>
          <w:szCs w:val="20"/>
        </w:rPr>
        <w:t>.</w:t>
      </w:r>
    </w:p>
    <w:bookmarkEnd w:id="590"/>
    <w:p w14:paraId="48192D0B" w14:textId="28B53D8B" w:rsidR="006A68D6" w:rsidRPr="00CC6CA3" w:rsidRDefault="006A68D6" w:rsidP="00720314">
      <w:pPr>
        <w:pStyle w:val="Body"/>
        <w:numPr>
          <w:ilvl w:val="0"/>
          <w:numId w:val="17"/>
        </w:numPr>
      </w:pPr>
      <w:r w:rsidRPr="00CC6CA3">
        <w:t xml:space="preserve">More </w:t>
      </w:r>
      <w:r w:rsidR="00FD4489" w:rsidRPr="00CC6CA3">
        <w:t xml:space="preserve">options for </w:t>
      </w:r>
      <w:r w:rsidRPr="00CC6CA3">
        <w:t>accurate POF calculation</w:t>
      </w:r>
      <w:r w:rsidR="00FD4827" w:rsidRPr="00CC6CA3">
        <w:t>.</w:t>
      </w:r>
    </w:p>
    <w:p w14:paraId="08E1E847" w14:textId="7199C2ED" w:rsidR="006A68D6" w:rsidRPr="00CC6CA3" w:rsidRDefault="009B07C4" w:rsidP="00720314">
      <w:pPr>
        <w:pStyle w:val="Body"/>
        <w:numPr>
          <w:ilvl w:val="0"/>
          <w:numId w:val="19"/>
        </w:numPr>
      </w:pPr>
      <w:bookmarkStart w:id="591" w:name="_Hlk80294220"/>
      <w:r w:rsidRPr="00CC6CA3">
        <w:t>In the PCA method, the training and predicted data was assumed to fit the normal distribution, but many data sets follow a non-normal distribution. In the proposed SAE based method, the end-user can add a variety of distributions, with the K-S test selecting the best-fit. Therefore, the POF obtained using the proposed methodology is likely to be more accurate</w:t>
      </w:r>
      <w:r w:rsidR="006A68D6" w:rsidRPr="00CC6CA3">
        <w:t>.</w:t>
      </w:r>
    </w:p>
    <w:bookmarkEnd w:id="591"/>
    <w:p w14:paraId="5D9897C6" w14:textId="4FC737D1" w:rsidR="006A68D6" w:rsidRPr="00CC6CA3" w:rsidRDefault="00FD4489" w:rsidP="00720314">
      <w:pPr>
        <w:pStyle w:val="Body"/>
        <w:numPr>
          <w:ilvl w:val="0"/>
          <w:numId w:val="17"/>
        </w:numPr>
        <w:rPr>
          <w:rFonts w:cs="Times New Roman"/>
          <w:szCs w:val="20"/>
          <w:lang w:eastAsia="zh-CN"/>
        </w:rPr>
      </w:pPr>
      <w:r w:rsidRPr="00CC6CA3">
        <w:rPr>
          <w:rFonts w:cs="Times New Roman"/>
          <w:szCs w:val="20"/>
          <w:lang w:eastAsia="zh-CN"/>
        </w:rPr>
        <w:t>Consideration of financial loss</w:t>
      </w:r>
      <w:r w:rsidR="00FD4827" w:rsidRPr="00CC6CA3">
        <w:rPr>
          <w:rFonts w:cs="Times New Roman"/>
          <w:szCs w:val="20"/>
          <w:lang w:eastAsia="zh-CN"/>
        </w:rPr>
        <w:t xml:space="preserve"> </w:t>
      </w:r>
      <w:r w:rsidR="00FD4827" w:rsidRPr="00CC6CA3">
        <w:t>and easy to set thresholds of the health indicator.</w:t>
      </w:r>
    </w:p>
    <w:p w14:paraId="5E188D95" w14:textId="77777777" w:rsidR="0079226D" w:rsidRPr="00CC6CA3" w:rsidRDefault="006A68D6" w:rsidP="0079226D">
      <w:pPr>
        <w:pStyle w:val="Body"/>
        <w:numPr>
          <w:ilvl w:val="0"/>
          <w:numId w:val="19"/>
        </w:numPr>
      </w:pPr>
      <w:r w:rsidRPr="00CC6CA3">
        <w:t xml:space="preserve">In the </w:t>
      </w:r>
      <w:r w:rsidR="0079226D" w:rsidRPr="00CC6CA3">
        <w:t xml:space="preserve">PCA </w:t>
      </w:r>
      <w:r w:rsidRPr="00CC6CA3">
        <w:t xml:space="preserve">methodology described in Section 5.1.1, the ‘consequence’ in the risk model </w:t>
      </w:r>
      <w:r w:rsidR="0079226D" w:rsidRPr="00CC6CA3">
        <w:t>is</w:t>
      </w:r>
      <w:r w:rsidRPr="00CC6CA3">
        <w:t xml:space="preserve"> replaced by a severity score for a fault designed for PCA. </w:t>
      </w:r>
      <w:r w:rsidR="0079226D" w:rsidRPr="00CC6CA3">
        <w:t xml:space="preserve">The risk value is unitless and greatly influenced by the value of the intensity coefficient </w:t>
      </w:r>
      <m:oMath>
        <m:sSub>
          <m:sSubPr>
            <m:ctrlPr>
              <w:rPr>
                <w:rFonts w:ascii="Cambria Math" w:hAnsi="Cambria Math"/>
              </w:rPr>
            </m:ctrlPr>
          </m:sSubPr>
          <m:e>
            <m:r>
              <w:rPr>
                <w:rFonts w:ascii="Cambria Math" w:hAnsi="Cambria Math"/>
              </w:rPr>
              <m:t>a</m:t>
            </m:r>
          </m:e>
          <m:sub>
            <m:r>
              <w:rPr>
                <w:rFonts w:ascii="Cambria Math" w:hAnsi="Cambria Math"/>
              </w:rPr>
              <m:t>k</m:t>
            </m:r>
          </m:sub>
        </m:sSub>
      </m:oMath>
      <w:r w:rsidR="0079226D" w:rsidRPr="00CC6CA3">
        <w:t>, which is defined based on process knowledge and experiences. Thereafter, it is difficult to set up the second alarm threshold, which is used for system protection.</w:t>
      </w:r>
    </w:p>
    <w:p w14:paraId="1A392DFC" w14:textId="4DF63D82" w:rsidR="006A68D6" w:rsidRPr="00CC6CA3" w:rsidRDefault="0079226D" w:rsidP="0079226D">
      <w:pPr>
        <w:pStyle w:val="Body"/>
        <w:numPr>
          <w:ilvl w:val="0"/>
          <w:numId w:val="19"/>
        </w:numPr>
      </w:pPr>
      <w:r w:rsidRPr="00CC6CA3">
        <w:t>In the proposed SAE methodology, the consequence model was related to unplanned downtime cost, including production loss, material, labour, technical support cost, etc. The risk value was related to cost, which made it easier for operators to set the second alarm threshold considering the specific situation of their company or plant</w:t>
      </w:r>
      <w:r w:rsidR="006A68D6" w:rsidRPr="00CC6CA3">
        <w:t>.</w:t>
      </w:r>
    </w:p>
    <w:p w14:paraId="60021F48" w14:textId="77777777" w:rsidR="006A68D6" w:rsidRPr="00CC6CA3" w:rsidRDefault="006A68D6">
      <w:pPr>
        <w:spacing w:line="259" w:lineRule="auto"/>
        <w:jc w:val="left"/>
      </w:pPr>
      <w:r w:rsidRPr="00CC6CA3">
        <w:br w:type="page"/>
      </w:r>
    </w:p>
    <w:p w14:paraId="283CAC91" w14:textId="77777777" w:rsidR="00A61614" w:rsidRPr="00CC6CA3" w:rsidRDefault="00A61614" w:rsidP="00A61614">
      <w:pPr>
        <w:pStyle w:val="Title"/>
        <w:spacing w:line="360" w:lineRule="auto"/>
        <w:rPr>
          <w:sz w:val="44"/>
          <w:szCs w:val="44"/>
          <w:u w:val="thick"/>
        </w:rPr>
      </w:pPr>
    </w:p>
    <w:p w14:paraId="3AB4F338" w14:textId="77777777" w:rsidR="00A61614" w:rsidRPr="00CC6CA3" w:rsidRDefault="00A61614" w:rsidP="00A61614">
      <w:pPr>
        <w:pStyle w:val="Title"/>
        <w:spacing w:line="360" w:lineRule="auto"/>
        <w:rPr>
          <w:sz w:val="44"/>
          <w:szCs w:val="44"/>
          <w:u w:val="thick"/>
        </w:rPr>
      </w:pPr>
      <w:r w:rsidRPr="00CC6CA3">
        <w:rPr>
          <w:sz w:val="44"/>
          <w:szCs w:val="44"/>
          <w:u w:val="thick"/>
        </w:rPr>
        <w:t xml:space="preserve">                             </w:t>
      </w:r>
    </w:p>
    <w:p w14:paraId="433C3401"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77A3F32F" w14:textId="52943F3D" w:rsidR="005710C8" w:rsidRPr="00CC6CA3" w:rsidRDefault="005710C8" w:rsidP="00AA17F5">
      <w:pPr>
        <w:pStyle w:val="Heading1"/>
        <w:rPr>
          <w:sz w:val="32"/>
          <w:szCs w:val="36"/>
        </w:rPr>
      </w:pPr>
      <w:r w:rsidRPr="00CC6CA3">
        <w:br/>
      </w:r>
      <w:bookmarkStart w:id="592" w:name="_Toc529370846"/>
      <w:bookmarkStart w:id="593" w:name="_Toc531629375"/>
      <w:bookmarkStart w:id="594" w:name="_Toc81553317"/>
      <w:r w:rsidR="00AA17F5" w:rsidRPr="00CC6CA3">
        <w:rPr>
          <w:sz w:val="32"/>
          <w:szCs w:val="36"/>
        </w:rPr>
        <w:t>Conclusions and Future Work</w:t>
      </w:r>
      <w:bookmarkEnd w:id="592"/>
      <w:bookmarkEnd w:id="593"/>
      <w:bookmarkEnd w:id="594"/>
      <w:r w:rsidR="00AA17F5" w:rsidRPr="00CC6CA3">
        <w:rPr>
          <w:sz w:val="32"/>
          <w:szCs w:val="36"/>
        </w:rPr>
        <w:t xml:space="preserve"> </w:t>
      </w:r>
    </w:p>
    <w:p w14:paraId="67B556B2" w14:textId="77777777" w:rsidR="005710C8" w:rsidRPr="00CC6CA3" w:rsidRDefault="005710C8" w:rsidP="005710C8">
      <w:pPr>
        <w:pStyle w:val="Title"/>
        <w:spacing w:line="360" w:lineRule="auto"/>
        <w:rPr>
          <w:rFonts w:cs="Times New Roman"/>
          <w:sz w:val="24"/>
          <w:szCs w:val="24"/>
        </w:rPr>
      </w:pPr>
      <w:r w:rsidRPr="00CC6CA3">
        <w:rPr>
          <w:sz w:val="44"/>
          <w:szCs w:val="44"/>
          <w:u w:val="thick"/>
        </w:rPr>
        <w:t xml:space="preserve">                   </w:t>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r>
      <w:r w:rsidRPr="00CC6CA3">
        <w:rPr>
          <w:sz w:val="44"/>
          <w:szCs w:val="44"/>
          <w:u w:val="thick"/>
        </w:rPr>
        <w:tab/>
        <w:t xml:space="preserve"> </w:t>
      </w:r>
    </w:p>
    <w:p w14:paraId="32CBD7FC" w14:textId="77777777" w:rsidR="005710C8" w:rsidRPr="00CC6CA3" w:rsidRDefault="005710C8" w:rsidP="005710C8"/>
    <w:p w14:paraId="5129B8E9" w14:textId="7F7E5C17" w:rsidR="005710C8" w:rsidRPr="00CC6CA3" w:rsidRDefault="0071159F" w:rsidP="00945A0A">
      <w:pPr>
        <w:rPr>
          <w:i/>
        </w:rPr>
      </w:pPr>
      <w:r w:rsidRPr="00CC6CA3">
        <w:t xml:space="preserve">This chapter reviews the research aim and objectives. The corresponding achievements are summarised. On this basis, </w:t>
      </w:r>
      <w:bookmarkStart w:id="595" w:name="_Hlk47303989"/>
      <w:r w:rsidRPr="00CC6CA3">
        <w:t xml:space="preserve">conclusions for the entire thesis are drawn, and a summary </w:t>
      </w:r>
      <w:r w:rsidRPr="00CC6CA3">
        <w:rPr>
          <w:lang w:val="en-US"/>
        </w:rPr>
        <w:t>of</w:t>
      </w:r>
      <w:r w:rsidRPr="00CC6CA3">
        <w:t xml:space="preserve"> the contributions to knowledge of this research are listed</w:t>
      </w:r>
      <w:bookmarkEnd w:id="595"/>
      <w:r w:rsidRPr="00CC6CA3">
        <w:t>. Finally, suggestions are given for future work</w:t>
      </w:r>
      <w:r w:rsidR="005710C8" w:rsidRPr="00CC6CA3">
        <w:rPr>
          <w:i/>
        </w:rPr>
        <w:t>.</w:t>
      </w:r>
    </w:p>
    <w:p w14:paraId="48A79EBB" w14:textId="77777777" w:rsidR="005710C8" w:rsidRPr="00CC6CA3" w:rsidRDefault="005710C8" w:rsidP="005710C8"/>
    <w:p w14:paraId="3677958F" w14:textId="77777777" w:rsidR="00D23CA7" w:rsidRPr="00CC6CA3" w:rsidRDefault="00D23CA7" w:rsidP="008E3920"/>
    <w:p w14:paraId="011D20AB" w14:textId="641F8C91" w:rsidR="002424DF" w:rsidRPr="00CC6CA3" w:rsidRDefault="002424DF" w:rsidP="002424DF">
      <w:r w:rsidRPr="00CC6CA3">
        <w:t>.</w:t>
      </w:r>
    </w:p>
    <w:p w14:paraId="77F34159" w14:textId="77777777" w:rsidR="00BB450A" w:rsidRPr="00CC6CA3" w:rsidRDefault="00BB450A" w:rsidP="00BB450A">
      <w:pPr>
        <w:widowControl w:val="0"/>
        <w:spacing w:after="0"/>
      </w:pPr>
    </w:p>
    <w:p w14:paraId="79B509E4" w14:textId="77777777" w:rsidR="00E959A0" w:rsidRPr="00CC6CA3" w:rsidRDefault="00924E25" w:rsidP="00E959A0">
      <w:pPr>
        <w:pStyle w:val="Heading2"/>
      </w:pPr>
      <w:r w:rsidRPr="00CC6CA3">
        <w:br w:type="page"/>
      </w:r>
      <w:bookmarkStart w:id="596" w:name="_Toc446420539"/>
      <w:bookmarkStart w:id="597" w:name="_Toc452300313"/>
      <w:bookmarkStart w:id="598" w:name="_Toc465934492"/>
      <w:bookmarkStart w:id="599" w:name="_Toc529370847"/>
      <w:bookmarkStart w:id="600" w:name="_Toc531629376"/>
      <w:bookmarkStart w:id="601" w:name="_Toc81553318"/>
      <w:r w:rsidR="00E959A0" w:rsidRPr="00CC6CA3">
        <w:lastRenderedPageBreak/>
        <w:t>Review of research objectives and achievements</w:t>
      </w:r>
      <w:bookmarkEnd w:id="596"/>
      <w:bookmarkEnd w:id="597"/>
      <w:bookmarkEnd w:id="598"/>
      <w:bookmarkEnd w:id="599"/>
      <w:bookmarkEnd w:id="600"/>
      <w:bookmarkEnd w:id="601"/>
    </w:p>
    <w:p w14:paraId="314974AD" w14:textId="33B9173B" w:rsidR="00E959A0" w:rsidRPr="00CC6CA3" w:rsidRDefault="0071159F" w:rsidP="00E959A0">
      <w:r w:rsidRPr="00CC6CA3">
        <w:t>The thesis has accomplished the aim of the project and have successfully developed a comprehensive health indicator for rotating machinery, which can assess the health condition of the equipment by merging risk assessment, condition monitoring data, and financial factors. To achieve the aim, the project also successfully met the objectives listed in Section 1.2, as presented below</w:t>
      </w:r>
      <w:r w:rsidR="00E959A0" w:rsidRPr="00CC6CA3">
        <w:t>:</w:t>
      </w:r>
    </w:p>
    <w:p w14:paraId="3FD697D3" w14:textId="1F033925" w:rsidR="00736C84" w:rsidRPr="00CC6CA3" w:rsidRDefault="00736C84" w:rsidP="00736C84">
      <w:pPr>
        <w:rPr>
          <w:sz w:val="22"/>
        </w:rPr>
      </w:pPr>
      <w:r w:rsidRPr="00CC6CA3">
        <w:rPr>
          <w:b/>
          <w:bCs/>
        </w:rPr>
        <w:t>Objective one:</w:t>
      </w:r>
      <w:r w:rsidRPr="00CC6CA3">
        <w:t xml:space="preserve"> </w:t>
      </w:r>
      <w:r w:rsidR="00E84759" w:rsidRPr="00CC6CA3">
        <w:t>Develop an effective fault detection model, which can detect anomalies at its incipient stage in the system via condition monitoring data captured from industrial gas compressors and pumps</w:t>
      </w:r>
      <w:r w:rsidRPr="00CC6CA3">
        <w:t>.</w:t>
      </w:r>
    </w:p>
    <w:p w14:paraId="268B4C73" w14:textId="419D4250" w:rsidR="00736C84" w:rsidRPr="00CC6CA3" w:rsidRDefault="00736C84" w:rsidP="00736C84">
      <w:r w:rsidRPr="00CC6CA3">
        <w:rPr>
          <w:b/>
        </w:rPr>
        <w:t>Achievement One:</w:t>
      </w:r>
      <w:r w:rsidRPr="00CC6CA3">
        <w:t xml:space="preserve"> </w:t>
      </w:r>
      <w:r w:rsidR="00770ADB" w:rsidRPr="00CC6CA3">
        <w:rPr>
          <w:rFonts w:cs="Times New Roman"/>
          <w:szCs w:val="24"/>
        </w:rPr>
        <w:t xml:space="preserve">In Section 1.2, </w:t>
      </w:r>
      <w:r w:rsidR="00770ADB" w:rsidRPr="00CC6CA3">
        <w:t xml:space="preserve">the condition monitoring system that is applied in the sponsor’s refineries is introduced. In Section 2.3.1, multivariate fault detection methods that are commonly used in fault detection of rotating machinery are reviewed, with emphasis on data-driven methods. </w:t>
      </w:r>
      <w:r w:rsidR="00770ADB" w:rsidRPr="00CC6CA3">
        <w:rPr>
          <w:rFonts w:cs="Times New Roman"/>
          <w:szCs w:val="24"/>
        </w:rPr>
        <w:t xml:space="preserve">Chapter 3 provides a brief introduction of the pump and multi-stage compressor from which the data are collected. The overview of original datasets </w:t>
      </w:r>
      <w:proofErr w:type="gramStart"/>
      <w:r w:rsidR="00770ADB" w:rsidRPr="00CC6CA3">
        <w:rPr>
          <w:rFonts w:cs="Times New Roman"/>
          <w:szCs w:val="24"/>
        </w:rPr>
        <w:t>are</w:t>
      </w:r>
      <w:proofErr w:type="gramEnd"/>
      <w:r w:rsidR="00770ADB" w:rsidRPr="00CC6CA3">
        <w:rPr>
          <w:rFonts w:cs="Times New Roman"/>
          <w:szCs w:val="24"/>
        </w:rPr>
        <w:t xml:space="preserve"> presented. In addition, the faults in the pump and compressor data sets are described and explained</w:t>
      </w:r>
      <w:r w:rsidRPr="00CC6CA3">
        <w:rPr>
          <w:rFonts w:cs="Times New Roman"/>
          <w:szCs w:val="24"/>
        </w:rPr>
        <w:t>.</w:t>
      </w:r>
    </w:p>
    <w:p w14:paraId="4900A69A" w14:textId="77777777" w:rsidR="00736C84" w:rsidRPr="00CC6CA3" w:rsidRDefault="00736C84" w:rsidP="00736C84">
      <w:pPr>
        <w:rPr>
          <w:b/>
          <w:bCs/>
        </w:rPr>
      </w:pPr>
      <w:r w:rsidRPr="00CC6CA3">
        <w:rPr>
          <w:rFonts w:cs="Times New Roman"/>
          <w:szCs w:val="24"/>
        </w:rPr>
        <w:t xml:space="preserve">In Chapter 4, the methodologies of </w:t>
      </w:r>
      <w:r w:rsidRPr="00CC6CA3">
        <w:rPr>
          <w:shd w:val="clear" w:color="auto" w:fill="FFFFFF"/>
        </w:rPr>
        <w:t xml:space="preserve">three data-driven fault detection models – PCA, NARX, and SAE are described in </w:t>
      </w:r>
      <w:r w:rsidRPr="00CC6CA3">
        <w:t>detail</w:t>
      </w:r>
      <w:r w:rsidRPr="00CC6CA3">
        <w:rPr>
          <w:shd w:val="clear" w:color="auto" w:fill="FFFFFF"/>
        </w:rPr>
        <w:t>. These methods are applied to determine the presence of anomalies (faults) in industrial multivariate data for three case studies using condition monitoring data from a pump and a compressor used in the petrochemical industry. Parameters influencing the fault detection models are explored. The performance of models is evaluated via three aspects, which are fault detection, the ability to show the main signals that contributed to fault detection on a contribution map, and fault detection rate and false alarm rate statistics via ROC curves and AUC values.</w:t>
      </w:r>
    </w:p>
    <w:p w14:paraId="39043F15" w14:textId="4905C8F5" w:rsidR="00736C84" w:rsidRPr="00CC6CA3" w:rsidRDefault="00736C84" w:rsidP="00736C84">
      <w:r w:rsidRPr="00CC6CA3">
        <w:rPr>
          <w:b/>
          <w:bCs/>
        </w:rPr>
        <w:t xml:space="preserve">Objective two: </w:t>
      </w:r>
      <w:r w:rsidR="00E84759" w:rsidRPr="00CC6CA3">
        <w:t>Develop a probability of fault (POF) model based on the selected fault detection model (Objective one) to describe the degradation of the system</w:t>
      </w:r>
      <w:r w:rsidRPr="00CC6CA3">
        <w:t>.</w:t>
      </w:r>
    </w:p>
    <w:p w14:paraId="72F4DA00" w14:textId="734A92B1" w:rsidR="00736C84" w:rsidRPr="00CC6CA3" w:rsidRDefault="00736C84" w:rsidP="00736C84">
      <w:r w:rsidRPr="00CC6CA3">
        <w:t xml:space="preserve">In Chapter 5, firstly, the a </w:t>
      </w:r>
      <w:r w:rsidR="00770ADB" w:rsidRPr="00CC6CA3">
        <w:t>POF</w:t>
      </w:r>
      <w:r w:rsidR="00770ADB" w:rsidRPr="00CC6CA3" w:rsidDel="00770ADB">
        <w:t xml:space="preserve"> </w:t>
      </w:r>
      <w:r w:rsidRPr="00CC6CA3">
        <w:t xml:space="preserve">model based on the PCA approach, as proposed by </w:t>
      </w:r>
      <w:r w:rsidRPr="00CC6CA3">
        <w:rPr>
          <w:rFonts w:cs="Times New Roman"/>
        </w:rPr>
        <w:t>Zadakbar</w:t>
      </w:r>
      <w:r w:rsidRPr="00CC6CA3">
        <w:t xml:space="preserve"> et al., </w:t>
      </w:r>
      <w:r w:rsidRPr="00CC6CA3">
        <w:fldChar w:fldCharType="begin"/>
      </w:r>
      <w:r w:rsidRPr="00CC6CA3">
        <w:instrText xml:space="preserve"> ADDIN ZOTERO_ITEM CSL_CITATION {"citationID":"T3OXI7e9","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Pr="00CC6CA3">
        <w:fldChar w:fldCharType="separate"/>
      </w:r>
      <w:r w:rsidRPr="00CC6CA3">
        <w:rPr>
          <w:rFonts w:cs="Times New Roman"/>
        </w:rPr>
        <w:t>[94]</w:t>
      </w:r>
      <w:r w:rsidRPr="00CC6CA3">
        <w:fldChar w:fldCharType="end"/>
      </w:r>
      <w:r w:rsidRPr="00CC6CA3">
        <w:t xml:space="preserve">, is developed. Next, based on their work, a general probability of fault model is proposed using the extracted system feature from Chapter 4. Compared with the PCA based probability model, the proposed SAE based method calculates a system feature that </w:t>
      </w:r>
      <w:r w:rsidRPr="00CC6CA3">
        <w:lastRenderedPageBreak/>
        <w:t>integrates the outputs from the fault detection model with</w:t>
      </w:r>
      <w:r w:rsidR="00770ADB" w:rsidRPr="00CC6CA3">
        <w:t>out the</w:t>
      </w:r>
      <w:r w:rsidRPr="00CC6CA3">
        <w:t xml:space="preserve"> requirement to select the most sensitive variable or feature to calculate the </w:t>
      </w:r>
      <w:bookmarkStart w:id="602" w:name="_Hlk80390187"/>
      <w:r w:rsidRPr="00CC6CA3">
        <w:t>POF</w:t>
      </w:r>
      <w:bookmarkEnd w:id="602"/>
      <w:r w:rsidRPr="00CC6CA3">
        <w:t>. In addition, in the proposed method, the POF result is more accurate, because instead of assuming of the data sets follow a normal distribution, our method applies the K-S test to select the best-fitted distribution among a variety of candidate distributions.</w:t>
      </w:r>
    </w:p>
    <w:p w14:paraId="365C15E1" w14:textId="5518B4D1" w:rsidR="00736C84" w:rsidRPr="00CC6CA3" w:rsidRDefault="00736C84" w:rsidP="00736C84">
      <w:r w:rsidRPr="00CC6CA3">
        <w:rPr>
          <w:b/>
          <w:bCs/>
        </w:rPr>
        <w:t xml:space="preserve">Objective three: </w:t>
      </w:r>
      <w:r w:rsidR="00E84759" w:rsidRPr="00CC6CA3">
        <w:t>Develop a financial loss model to describe the consequences of faults in the system. Financial data collected from the operational sector is used in the proposed model</w:t>
      </w:r>
      <w:r w:rsidRPr="00CC6CA3">
        <w:t>.</w:t>
      </w:r>
    </w:p>
    <w:p w14:paraId="05C03787" w14:textId="77777777" w:rsidR="00736C84" w:rsidRPr="00CC6CA3" w:rsidRDefault="00736C84" w:rsidP="00736C84">
      <w:pPr>
        <w:rPr>
          <w:b/>
          <w:bCs/>
        </w:rPr>
      </w:pPr>
      <w:r w:rsidRPr="00CC6CA3">
        <w:rPr>
          <w:b/>
        </w:rPr>
        <w:t>Achievement three:</w:t>
      </w:r>
      <w:r w:rsidRPr="00CC6CA3">
        <w:t xml:space="preserve"> This thesis proposed a condition-based risk assessment method using system features. In the proposed method, the consequence model in Section 5.2.3 is expanded to include unplanned downtime cost, production loss, material, labour, technical support costs, economic consequences of asset loss and human health losses. It quantifies the system deterioration into financial loss. </w:t>
      </w:r>
    </w:p>
    <w:p w14:paraId="3A1EE0E7" w14:textId="6411AAA8" w:rsidR="00736C84" w:rsidRPr="00CC6CA3" w:rsidRDefault="00736C84" w:rsidP="00736C84">
      <w:r w:rsidRPr="00CC6CA3">
        <w:rPr>
          <w:b/>
          <w:bCs/>
        </w:rPr>
        <w:t xml:space="preserve">Objective four: </w:t>
      </w:r>
      <w:r w:rsidR="00E84759" w:rsidRPr="00CC6CA3">
        <w:t xml:space="preserve">Develop an integrated system health indicator for rotating machinery considering the POF model (Objective two) and the financial model (Objective three). The indicator </w:t>
      </w:r>
      <w:proofErr w:type="gramStart"/>
      <w:r w:rsidR="00E84759" w:rsidRPr="00CC6CA3">
        <w:t>is able to</w:t>
      </w:r>
      <w:proofErr w:type="gramEnd"/>
      <w:r w:rsidR="00E84759" w:rsidRPr="00CC6CA3">
        <w:t xml:space="preserve"> alert the operators on any detected fault and suggest a proper maintenance time to minimize the operational and maintenance costs</w:t>
      </w:r>
      <w:r w:rsidRPr="00CC6CA3">
        <w:t>.</w:t>
      </w:r>
    </w:p>
    <w:p w14:paraId="1D8F223F" w14:textId="4A56536C" w:rsidR="00E959A0" w:rsidRPr="00CC6CA3" w:rsidRDefault="00736C84" w:rsidP="00E959A0">
      <w:r w:rsidRPr="00CC6CA3">
        <w:rPr>
          <w:b/>
          <w:bCs/>
        </w:rPr>
        <w:t>Achievement four:</w:t>
      </w:r>
      <w:r w:rsidRPr="00CC6CA3">
        <w:t xml:space="preserve"> Chapter 5 develops a comprehensive system health indicator from a dynamic risk assessment methodology using condition monitoring data. This indicator is calculated in four steps: fault detection, POF calculation, COF calculation and dynamic risk calculation. The financial factors are considered in the COF model. The system health indicator </w:t>
      </w:r>
      <w:proofErr w:type="gramStart"/>
      <w:r w:rsidRPr="00CC6CA3">
        <w:t>is able to</w:t>
      </w:r>
      <w:proofErr w:type="gramEnd"/>
      <w:r w:rsidRPr="00CC6CA3">
        <w:t xml:space="preserve"> identify the faults and show the degradation of the system with process risk dynamically updated at each sampling instant. The application of this dynamic risk-based health indicator provides early warnings prior to the fault threatening the system so that the operators have </w:t>
      </w:r>
      <w:r w:rsidR="00770ADB" w:rsidRPr="00CC6CA3">
        <w:t xml:space="preserve">sufficient </w:t>
      </w:r>
      <w:r w:rsidRPr="00CC6CA3">
        <w:t>time to analyse and select the best maintenance procedure considering the specific situation of their plants.</w:t>
      </w:r>
    </w:p>
    <w:p w14:paraId="6CCB2847" w14:textId="067481C4" w:rsidR="00116862" w:rsidRPr="00CC6CA3" w:rsidRDefault="00116862" w:rsidP="00E959A0"/>
    <w:p w14:paraId="3EA2E32B" w14:textId="683D8822" w:rsidR="00946915" w:rsidRPr="00CC6CA3" w:rsidRDefault="00946915" w:rsidP="00E959A0"/>
    <w:p w14:paraId="1B9C7F22" w14:textId="77777777" w:rsidR="00946915" w:rsidRPr="00CC6CA3" w:rsidRDefault="00946915" w:rsidP="00E959A0"/>
    <w:p w14:paraId="17219059" w14:textId="77777777" w:rsidR="00E959A0" w:rsidRPr="00CC6CA3" w:rsidRDefault="00E959A0" w:rsidP="00E959A0">
      <w:pPr>
        <w:pStyle w:val="Heading2"/>
      </w:pPr>
      <w:bookmarkStart w:id="603" w:name="_Toc465934493"/>
      <w:bookmarkStart w:id="604" w:name="_Toc529370848"/>
      <w:bookmarkStart w:id="605" w:name="_Toc531629377"/>
      <w:bookmarkStart w:id="606" w:name="_Toc81553319"/>
      <w:r w:rsidRPr="00CC6CA3">
        <w:lastRenderedPageBreak/>
        <w:t>Conclusions</w:t>
      </w:r>
      <w:bookmarkEnd w:id="603"/>
      <w:bookmarkEnd w:id="604"/>
      <w:bookmarkEnd w:id="605"/>
      <w:bookmarkEnd w:id="606"/>
    </w:p>
    <w:p w14:paraId="7DAB686A" w14:textId="77777777" w:rsidR="00E959A0" w:rsidRPr="00CC6CA3" w:rsidRDefault="00E959A0" w:rsidP="00E959A0">
      <w:r w:rsidRPr="00CC6CA3">
        <w:t>In this thesis, the key findings are summarised as follows:</w:t>
      </w:r>
    </w:p>
    <w:p w14:paraId="33D1B2A7" w14:textId="77777777" w:rsidR="00E959A0" w:rsidRPr="00CC6CA3" w:rsidRDefault="00E959A0" w:rsidP="00E959A0">
      <w:r w:rsidRPr="00CC6CA3">
        <w:rPr>
          <w:b/>
        </w:rPr>
        <w:t>Conclusion 1</w:t>
      </w:r>
      <w:r w:rsidRPr="00CC6CA3">
        <w:t>:</w:t>
      </w:r>
    </w:p>
    <w:p w14:paraId="77F16AB0" w14:textId="77777777" w:rsidR="002005AA" w:rsidRPr="00CC6CA3" w:rsidRDefault="002005AA" w:rsidP="002005AA">
      <w:pPr>
        <w:spacing w:before="120" w:after="0"/>
      </w:pPr>
      <w:r w:rsidRPr="00CC6CA3">
        <w:t>According to our sponsor (SHELL) and the comparison of reviewed maintenance strategies in Section 2.2, the major limitations of the currently applied maintenance strategies are summarised as follows:</w:t>
      </w:r>
    </w:p>
    <w:p w14:paraId="0396D28F" w14:textId="109118D4" w:rsidR="002005AA" w:rsidRPr="00CC6CA3" w:rsidRDefault="002005AA" w:rsidP="002005AA">
      <w:pPr>
        <w:pStyle w:val="Body"/>
        <w:numPr>
          <w:ilvl w:val="0"/>
          <w:numId w:val="11"/>
        </w:numPr>
      </w:pPr>
      <w:r w:rsidRPr="00CC6CA3">
        <w:t xml:space="preserve">Many strategies (i.e., </w:t>
      </w:r>
      <w:r w:rsidR="000D5D62" w:rsidRPr="00CC6CA3">
        <w:t>PPM</w:t>
      </w:r>
      <w:r w:rsidRPr="00CC6CA3">
        <w:t xml:space="preserve"> and RBM) are ineffective for detecting faults at their incipient stages.</w:t>
      </w:r>
    </w:p>
    <w:p w14:paraId="4C186BB9" w14:textId="77777777" w:rsidR="002005AA" w:rsidRPr="00CC6CA3" w:rsidRDefault="002005AA" w:rsidP="002005AA">
      <w:pPr>
        <w:pStyle w:val="Body"/>
        <w:numPr>
          <w:ilvl w:val="0"/>
          <w:numId w:val="11"/>
        </w:numPr>
      </w:pPr>
      <w:r w:rsidRPr="00CC6CA3">
        <w:t>Sometimes, making maintenance decisions is overly complex due to too many alarms activated at one time.</w:t>
      </w:r>
    </w:p>
    <w:p w14:paraId="5FE985C0" w14:textId="77777777" w:rsidR="002005AA" w:rsidRPr="00CC6CA3" w:rsidRDefault="002005AA" w:rsidP="002005AA">
      <w:pPr>
        <w:pStyle w:val="Body"/>
        <w:numPr>
          <w:ilvl w:val="0"/>
          <w:numId w:val="11"/>
        </w:numPr>
      </w:pPr>
      <w:r w:rsidRPr="00CC6CA3">
        <w:t xml:space="preserve">Maintenance cost can be high, due to system degradation, unplanned </w:t>
      </w:r>
      <w:proofErr w:type="gramStart"/>
      <w:r w:rsidRPr="00CC6CA3">
        <w:t>shutdowns</w:t>
      </w:r>
      <w:proofErr w:type="gramEnd"/>
      <w:r w:rsidRPr="00CC6CA3">
        <w:t xml:space="preserve"> or over-maintenance.</w:t>
      </w:r>
    </w:p>
    <w:p w14:paraId="4F6C4763" w14:textId="77777777" w:rsidR="002005AA" w:rsidRPr="00CC6CA3" w:rsidRDefault="002005AA" w:rsidP="002005AA">
      <w:r w:rsidRPr="00CC6CA3">
        <w:rPr>
          <w:rFonts w:hint="eastAsia"/>
        </w:rPr>
        <w:t xml:space="preserve">The limitations of traditional and current maintenance strategies make it necessary to seek effective and cost-saving maintenance strategies to deal with the increasingly complex problems </w:t>
      </w:r>
      <w:r w:rsidRPr="00CC6CA3">
        <w:t xml:space="preserve">posed by </w:t>
      </w:r>
      <w:r w:rsidRPr="00CC6CA3">
        <w:rPr>
          <w:rFonts w:hint="eastAsia"/>
        </w:rPr>
        <w:t>modern industrial systems</w:t>
      </w:r>
      <w:r w:rsidRPr="00CC6CA3">
        <w:t xml:space="preserve"> </w:t>
      </w:r>
      <w:r w:rsidR="00E959A0" w:rsidRPr="00CC6CA3">
        <w:t xml:space="preserve">[3], [20]. </w:t>
      </w:r>
      <w:r w:rsidRPr="00CC6CA3">
        <w:t>Intelligent and integrated maintenance strategies, which apply state-of-the-art diagnosis algorisms, or utilise the advantages of different strategies, to achieve higher efficiency and lower life cycle cost, can be a solution for the above problems. These, therefore, are becoming a feature of new maintenance strategies.</w:t>
      </w:r>
    </w:p>
    <w:p w14:paraId="07FB812D" w14:textId="77777777" w:rsidR="002005AA" w:rsidRPr="00CC6CA3" w:rsidRDefault="002005AA" w:rsidP="002005AA">
      <w:r w:rsidRPr="00CC6CA3">
        <w:rPr>
          <w:b/>
        </w:rPr>
        <w:t>Conclusion 2</w:t>
      </w:r>
      <w:r w:rsidRPr="00CC6CA3">
        <w:t>:</w:t>
      </w:r>
    </w:p>
    <w:p w14:paraId="56975784" w14:textId="77777777" w:rsidR="002005AA" w:rsidRPr="00CC6CA3" w:rsidRDefault="002005AA" w:rsidP="002005AA">
      <w:r w:rsidRPr="00CC6CA3">
        <w:rPr>
          <w:rFonts w:hint="eastAsia"/>
        </w:rPr>
        <w:t>C</w:t>
      </w:r>
      <w:r w:rsidRPr="00CC6CA3">
        <w:t xml:space="preserve">hapter </w:t>
      </w:r>
      <w:r w:rsidRPr="00CC6CA3">
        <w:rPr>
          <w:rFonts w:hint="eastAsia"/>
        </w:rPr>
        <w:t>4</w:t>
      </w:r>
      <w:r w:rsidRPr="00CC6CA3">
        <w:t xml:space="preserve"> develops three fault detection models based on PCA, NARX, and SAE, respectively. An integrated system feature in terms of MD value is calculated for each fault detection model. The two-dimensional Q statists contribution map, which stacks multiple observations into one image, is applied to illustrate the contribution of the different variables over the entire fault data times series. Three case studies are carried out for each model using condition monitoring data from a pump and a compressor in a petrochemical plant. The results show that, compared with the PCA and the NARX models, the SAE model is a more efficient method for early anomaly detection. The SAE model outperforms the NARX and PCA model in three ways: </w:t>
      </w:r>
    </w:p>
    <w:p w14:paraId="07053754" w14:textId="77777777" w:rsidR="002005AA" w:rsidRPr="00CC6CA3" w:rsidRDefault="002005AA" w:rsidP="002005AA">
      <w:pPr>
        <w:pStyle w:val="Body"/>
        <w:numPr>
          <w:ilvl w:val="0"/>
          <w:numId w:val="20"/>
        </w:numPr>
      </w:pPr>
      <w:r w:rsidRPr="00CC6CA3">
        <w:t>The obviousness of a detected fault.</w:t>
      </w:r>
    </w:p>
    <w:p w14:paraId="6E2832DB" w14:textId="77777777" w:rsidR="002005AA" w:rsidRPr="00CC6CA3" w:rsidRDefault="002005AA" w:rsidP="002005AA">
      <w:r w:rsidRPr="00CC6CA3">
        <w:lastRenderedPageBreak/>
        <w:t>The system feature was obtained from each model’s detection of a fault. Especially in Case 1, the maximum value of the system feature for the SAE model was 109.7, much higher than the NARX (system feature value: 37.49) and PCA model (system feature value: 37.49).</w:t>
      </w:r>
    </w:p>
    <w:p w14:paraId="1733F53F" w14:textId="77777777" w:rsidR="002005AA" w:rsidRPr="00CC6CA3" w:rsidRDefault="002005AA" w:rsidP="002005AA">
      <w:pPr>
        <w:pStyle w:val="Body"/>
        <w:numPr>
          <w:ilvl w:val="0"/>
          <w:numId w:val="20"/>
        </w:numPr>
      </w:pPr>
      <w:r w:rsidRPr="00CC6CA3">
        <w:t>The effectiveness of isolating abnormal variables.</w:t>
      </w:r>
    </w:p>
    <w:p w14:paraId="3F5424C3" w14:textId="77777777" w:rsidR="002005AA" w:rsidRPr="00CC6CA3" w:rsidRDefault="002005AA" w:rsidP="002005AA">
      <w:r w:rsidRPr="00CC6CA3">
        <w:t>The SAE and NARX were able to create clearer contribution maps in all three fault cases to show which signal(s) contributed most to the detection of the anomalies. The PCA model was unable to correctly show the abnormal variables for the pump misalignment fault in both Case 1 and Case 2, and the bearing fault in Case 3.</w:t>
      </w:r>
    </w:p>
    <w:p w14:paraId="1A13337F" w14:textId="77777777" w:rsidR="002005AA" w:rsidRPr="00CC6CA3" w:rsidRDefault="002005AA" w:rsidP="002005AA">
      <w:pPr>
        <w:pStyle w:val="Body"/>
        <w:numPr>
          <w:ilvl w:val="0"/>
          <w:numId w:val="20"/>
        </w:numPr>
        <w:rPr>
          <w:lang w:eastAsia="zh-CN"/>
        </w:rPr>
      </w:pPr>
      <w:r w:rsidRPr="00CC6CA3">
        <w:t>A higher value of the maximum AUC.</w:t>
      </w:r>
    </w:p>
    <w:p w14:paraId="7AE0DFBB" w14:textId="6DAB3CC4" w:rsidR="00E959A0" w:rsidRPr="00CC6CA3" w:rsidRDefault="002005AA" w:rsidP="002005AA">
      <w:r w:rsidRPr="00CC6CA3">
        <w:t>The ROC curves and AUC values were calculated for the three fault detection models to assess the models’ performance. The results showed that the SAE model yielded relatively higher AUC values in all cases when compared with the PCA and NARX models. The PCA model was the weakest among the three models</w:t>
      </w:r>
      <w:r w:rsidR="00E959A0" w:rsidRPr="00CC6CA3">
        <w:t>.</w:t>
      </w:r>
    </w:p>
    <w:p w14:paraId="1FF40FBB" w14:textId="77777777" w:rsidR="00E959A0" w:rsidRPr="00CC6CA3" w:rsidRDefault="00E959A0" w:rsidP="00E959A0">
      <w:r w:rsidRPr="00CC6CA3">
        <w:rPr>
          <w:b/>
        </w:rPr>
        <w:t>Conclusion 3</w:t>
      </w:r>
      <w:r w:rsidRPr="00CC6CA3">
        <w:t>:</w:t>
      </w:r>
    </w:p>
    <w:p w14:paraId="710C4A14" w14:textId="630EF1E2" w:rsidR="00E959A0" w:rsidRPr="00CC6CA3" w:rsidRDefault="00640E35" w:rsidP="00E959A0">
      <w:r w:rsidRPr="00CC6CA3">
        <w:t xml:space="preserve">In Chapter 5, a comprehensive health indicator is proposed, calculated using a general condition-based dynamic risk assessment methodology. The proposed methodology (described in Section 5.2.1) is based on the work of Zadakbar et al., </w:t>
      </w:r>
      <w:r w:rsidR="00E959A0" w:rsidRPr="00CC6CA3">
        <w:fldChar w:fldCharType="begin"/>
      </w:r>
      <w:r w:rsidR="007D1BCC" w:rsidRPr="00CC6CA3">
        <w:instrText xml:space="preserve"> ADDIN ZOTERO_ITEM CSL_CITATION {"citationID":"ONIxKulx","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E959A0" w:rsidRPr="00CC6CA3">
        <w:fldChar w:fldCharType="separate"/>
      </w:r>
      <w:r w:rsidR="007D1BCC" w:rsidRPr="00CC6CA3">
        <w:rPr>
          <w:rFonts w:cs="Times New Roman"/>
        </w:rPr>
        <w:t>[94]</w:t>
      </w:r>
      <w:r w:rsidR="00E959A0" w:rsidRPr="00CC6CA3">
        <w:fldChar w:fldCharType="end"/>
      </w:r>
      <w:r w:rsidRPr="00CC6CA3">
        <w:rPr>
          <w:rFonts w:hint="eastAsia"/>
        </w:rPr>
        <w:t xml:space="preserve"> </w:t>
      </w:r>
      <w:r w:rsidRPr="00CC6CA3">
        <w:rPr>
          <w:rFonts w:hint="eastAsia"/>
        </w:rPr>
        <w:t>’</w:t>
      </w:r>
      <w:r w:rsidRPr="00CC6CA3">
        <w:t>s (described in Section 5.1.1). Three case studies are carried out with both methods applied to industrial process data from Shell Global Solutions. Comparing the case studies, the proposed methodology outperforms the existed methodology in four ways</w:t>
      </w:r>
      <w:r w:rsidR="00E959A0" w:rsidRPr="00CC6CA3">
        <w:t xml:space="preserve">: </w:t>
      </w:r>
    </w:p>
    <w:p w14:paraId="3C45B34B" w14:textId="4483684B" w:rsidR="00640E35" w:rsidRPr="00CC6CA3" w:rsidRDefault="00FD4827" w:rsidP="00640E35">
      <w:pPr>
        <w:pStyle w:val="Body"/>
        <w:numPr>
          <w:ilvl w:val="0"/>
          <w:numId w:val="20"/>
        </w:numPr>
      </w:pPr>
      <w:r w:rsidRPr="00CC6CA3">
        <w:t>High performance and easy to apply</w:t>
      </w:r>
      <w:r w:rsidR="00640E35" w:rsidRPr="00CC6CA3">
        <w:t>.</w:t>
      </w:r>
    </w:p>
    <w:p w14:paraId="596FBD2B" w14:textId="2953EE5A" w:rsidR="00E959A0" w:rsidRPr="00CC6CA3" w:rsidRDefault="00640E35" w:rsidP="00640E35">
      <w:r w:rsidRPr="00CC6CA3">
        <w:rPr>
          <w:rFonts w:cs="Arial"/>
          <w:lang w:eastAsia="en-US"/>
        </w:rPr>
        <w:t xml:space="preserve">Compared to the existing PCA method, the proposed </w:t>
      </w:r>
      <w:r w:rsidR="00690F3D" w:rsidRPr="00CC6CA3">
        <w:rPr>
          <w:rFonts w:cs="Arial"/>
          <w:lang w:eastAsia="en-US"/>
        </w:rPr>
        <w:t>SAE based risk assessment</w:t>
      </w:r>
      <w:r w:rsidRPr="00CC6CA3">
        <w:rPr>
          <w:rFonts w:cs="Arial"/>
          <w:lang w:eastAsia="en-US"/>
        </w:rPr>
        <w:t xml:space="preserve"> method detected faults nearly two days earlier in Case 1, one day earlier for the misalignment fault, and two days earlier for the bearing fault</w:t>
      </w:r>
      <w:r w:rsidR="00E959A0" w:rsidRPr="00CC6CA3">
        <w:t xml:space="preserve">.  </w:t>
      </w:r>
    </w:p>
    <w:p w14:paraId="2EB8F1C4" w14:textId="293E0AED" w:rsidR="00E959A0" w:rsidRPr="00CC6CA3" w:rsidRDefault="00690F3D" w:rsidP="00E959A0">
      <w:r w:rsidRPr="00CC6CA3">
        <w:t>In Case two, the proposed health indicator was able to detect both the misalignment fault and the bearing fault. The PCA health indicator detected the misalignment using the 5th principal component, and the bearing fault using the 9th principal component</w:t>
      </w:r>
      <w:r w:rsidR="00E959A0" w:rsidRPr="00CC6CA3">
        <w:t>.</w:t>
      </w:r>
    </w:p>
    <w:p w14:paraId="081FA933" w14:textId="0AE4F508" w:rsidR="00E959A0" w:rsidRPr="00CC6CA3" w:rsidRDefault="00FD4827" w:rsidP="00720314">
      <w:pPr>
        <w:pStyle w:val="Body"/>
        <w:numPr>
          <w:ilvl w:val="0"/>
          <w:numId w:val="20"/>
        </w:numPr>
      </w:pPr>
      <w:r w:rsidRPr="00CC6CA3">
        <w:t>No requirement for human intervention</w:t>
      </w:r>
      <w:r w:rsidR="00690F3D" w:rsidRPr="00CC6CA3">
        <w:t>.</w:t>
      </w:r>
    </w:p>
    <w:p w14:paraId="41AAB775" w14:textId="7AFD1F08" w:rsidR="00E959A0" w:rsidRPr="00CC6CA3" w:rsidRDefault="00690F3D" w:rsidP="00E959A0">
      <w:pPr>
        <w:rPr>
          <w:rFonts w:cs="Arial"/>
          <w:lang w:eastAsia="en-US"/>
        </w:rPr>
      </w:pPr>
      <w:r w:rsidRPr="00CC6CA3">
        <w:rPr>
          <w:rFonts w:cs="Arial"/>
          <w:lang w:eastAsia="en-US"/>
        </w:rPr>
        <w:lastRenderedPageBreak/>
        <w:t xml:space="preserve">The existed PCA method used selected principal component as input, which needed human intervention to select the principal component relevant to the fault. However, the proposed SAE based risk assessment method used the calculated system feature, which </w:t>
      </w:r>
      <w:r w:rsidRPr="00CC6CA3">
        <w:rPr>
          <w:rFonts w:cs="Arial" w:hint="eastAsia"/>
          <w:lang w:eastAsia="en-US"/>
        </w:rPr>
        <w:t>is</w:t>
      </w:r>
      <w:r w:rsidRPr="00CC6CA3">
        <w:rPr>
          <w:rFonts w:cs="Arial"/>
          <w:lang w:eastAsia="en-US"/>
        </w:rPr>
        <w:t xml:space="preserve"> an integrated value and there is no requirement for human intervention</w:t>
      </w:r>
      <w:r w:rsidR="00E959A0" w:rsidRPr="00CC6CA3">
        <w:rPr>
          <w:rFonts w:cs="Arial"/>
          <w:lang w:eastAsia="en-US"/>
        </w:rPr>
        <w:t>.</w:t>
      </w:r>
    </w:p>
    <w:p w14:paraId="4D4CEA9B" w14:textId="41131E57" w:rsidR="00E959A0" w:rsidRPr="00CC6CA3" w:rsidRDefault="00FD4827" w:rsidP="00720314">
      <w:pPr>
        <w:pStyle w:val="Body"/>
        <w:numPr>
          <w:ilvl w:val="0"/>
          <w:numId w:val="20"/>
        </w:numPr>
      </w:pPr>
      <w:r w:rsidRPr="00CC6CA3">
        <w:t>More options for accurate POF calculation</w:t>
      </w:r>
      <w:r w:rsidR="00690F3D" w:rsidRPr="00CC6CA3">
        <w:t>.</w:t>
      </w:r>
    </w:p>
    <w:p w14:paraId="1AD113C1" w14:textId="3CA065A6" w:rsidR="00E959A0" w:rsidRPr="00CC6CA3" w:rsidRDefault="00690F3D" w:rsidP="00E959A0">
      <w:pPr>
        <w:rPr>
          <w:rFonts w:cs="Arial"/>
          <w:lang w:eastAsia="en-US"/>
        </w:rPr>
      </w:pPr>
      <w:r w:rsidRPr="00CC6CA3">
        <w:rPr>
          <w:rFonts w:cs="Arial"/>
          <w:lang w:eastAsia="en-US"/>
        </w:rPr>
        <w:t xml:space="preserve">In the proposed </w:t>
      </w:r>
      <w:r w:rsidR="00692175" w:rsidRPr="00CC6CA3">
        <w:rPr>
          <w:rFonts w:cs="Arial"/>
          <w:lang w:eastAsia="en-US"/>
        </w:rPr>
        <w:t xml:space="preserve">SAE based risk assessment </w:t>
      </w:r>
      <w:r w:rsidRPr="00CC6CA3">
        <w:rPr>
          <w:rFonts w:cs="Arial"/>
          <w:lang w:eastAsia="en-US"/>
        </w:rPr>
        <w:t xml:space="preserve">method, four candidate distributions were provided, though the end-user can add more distributions according to their requirements. The K-S test was applied to select the best-fit distribution. In the existing PCA method, the training and predicted data was assumed to fit the normal distribution. Therefore, with a better-fitted distribution the POF will be more accurate when using the proposed </w:t>
      </w:r>
      <w:r w:rsidR="00692175" w:rsidRPr="00CC6CA3">
        <w:rPr>
          <w:rFonts w:cs="Arial"/>
          <w:lang w:eastAsia="en-US"/>
        </w:rPr>
        <w:t>SAE based risk assessment</w:t>
      </w:r>
      <w:r w:rsidRPr="00CC6CA3">
        <w:rPr>
          <w:rFonts w:cs="Arial"/>
          <w:lang w:eastAsia="en-US"/>
        </w:rPr>
        <w:t xml:space="preserve"> method</w:t>
      </w:r>
      <w:r w:rsidR="00E959A0" w:rsidRPr="00CC6CA3">
        <w:rPr>
          <w:rFonts w:cs="Arial"/>
          <w:lang w:eastAsia="en-US"/>
        </w:rPr>
        <w:t xml:space="preserve">. </w:t>
      </w:r>
    </w:p>
    <w:p w14:paraId="61EF859D" w14:textId="19074728" w:rsidR="00E959A0" w:rsidRPr="00CC6CA3" w:rsidRDefault="00FD4827" w:rsidP="00720314">
      <w:pPr>
        <w:pStyle w:val="Body"/>
        <w:numPr>
          <w:ilvl w:val="0"/>
          <w:numId w:val="20"/>
        </w:numPr>
      </w:pPr>
      <w:r w:rsidRPr="00CC6CA3">
        <w:t xml:space="preserve">Consideration of financial loss and easy to set </w:t>
      </w:r>
      <w:r w:rsidR="00E959A0" w:rsidRPr="00CC6CA3">
        <w:t>threshold</w:t>
      </w:r>
      <w:r w:rsidRPr="00CC6CA3">
        <w:t xml:space="preserve">s </w:t>
      </w:r>
      <w:r w:rsidR="00E959A0" w:rsidRPr="00CC6CA3">
        <w:t>of the health indicator</w:t>
      </w:r>
      <w:r w:rsidRPr="00CC6CA3">
        <w:t>.</w:t>
      </w:r>
      <w:r w:rsidR="00E959A0" w:rsidRPr="00CC6CA3">
        <w:t xml:space="preserve"> </w:t>
      </w:r>
    </w:p>
    <w:p w14:paraId="02E028E6" w14:textId="77777777" w:rsidR="00690F3D" w:rsidRPr="00CC6CA3" w:rsidRDefault="00690F3D" w:rsidP="00690F3D">
      <w:r w:rsidRPr="00CC6CA3">
        <w:t xml:space="preserve">In the existed method, the ‘consequence’ in the risk model was a unitless severity score designed for PCA. Accordingly, the calculated health indicator was unitless, and the indicator value (risk value) was greatly influenced by the value of the intensity coefficient </w:t>
      </w:r>
      <m:oMath>
        <m:sSub>
          <m:sSubPr>
            <m:ctrlPr>
              <w:rPr>
                <w:rFonts w:ascii="Cambria Math" w:hAnsi="Cambria Math"/>
              </w:rPr>
            </m:ctrlPr>
          </m:sSubPr>
          <m:e>
            <m:r>
              <w:rPr>
                <w:rFonts w:ascii="Cambria Math" w:hAnsi="Cambria Math"/>
              </w:rPr>
              <m:t>a</m:t>
            </m:r>
          </m:e>
          <m:sub>
            <m:r>
              <w:rPr>
                <w:rFonts w:ascii="Cambria Math" w:hAnsi="Cambria Math"/>
              </w:rPr>
              <m:t>k</m:t>
            </m:r>
          </m:sub>
        </m:sSub>
      </m:oMath>
      <w:r w:rsidRPr="00CC6CA3">
        <w:t xml:space="preserve">, which was defined based on process knowledge and experiences. Thereafter, it is difficult to set up the second alarm threshold, which is used for system protection. </w:t>
      </w:r>
    </w:p>
    <w:p w14:paraId="555853DA" w14:textId="04CF25B5" w:rsidR="00E959A0" w:rsidRPr="00CC6CA3" w:rsidRDefault="00690F3D" w:rsidP="00690F3D">
      <w:r w:rsidRPr="00CC6CA3">
        <w:t xml:space="preserve">In contrast, in the proposed </w:t>
      </w:r>
      <w:r w:rsidR="00692175" w:rsidRPr="00CC6CA3">
        <w:t xml:space="preserve">SAE based risk assessment </w:t>
      </w:r>
      <w:r w:rsidRPr="00CC6CA3">
        <w:t>method, the consequence model quantified the system deterioration into financial loss, so that the risk value is related to financial loss, which makes it easier for operators to set the second alarm threshold considering the specific situation of their companies or plants</w:t>
      </w:r>
      <w:r w:rsidR="00E959A0" w:rsidRPr="00CC6CA3">
        <w:t>.</w:t>
      </w:r>
    </w:p>
    <w:p w14:paraId="19E6352C" w14:textId="77777777" w:rsidR="00CB31E9" w:rsidRPr="00CC6CA3" w:rsidRDefault="00CB31E9" w:rsidP="00690F3D"/>
    <w:p w14:paraId="3895C1EA" w14:textId="77777777" w:rsidR="00E959A0" w:rsidRPr="00CC6CA3" w:rsidRDefault="00E959A0" w:rsidP="00E959A0">
      <w:pPr>
        <w:pStyle w:val="Heading2"/>
      </w:pPr>
      <w:bookmarkStart w:id="607" w:name="_Toc465934494"/>
      <w:bookmarkStart w:id="608" w:name="_Toc529370849"/>
      <w:bookmarkStart w:id="609" w:name="_Toc531629378"/>
      <w:bookmarkStart w:id="610" w:name="_Toc81553320"/>
      <w:r w:rsidRPr="00CC6CA3">
        <w:t>Contributions to knowledge</w:t>
      </w:r>
      <w:bookmarkEnd w:id="607"/>
      <w:bookmarkEnd w:id="608"/>
      <w:bookmarkEnd w:id="609"/>
      <w:bookmarkEnd w:id="610"/>
    </w:p>
    <w:p w14:paraId="7EB0920A" w14:textId="71782C26" w:rsidR="00690F3D" w:rsidRPr="00CC6CA3" w:rsidRDefault="00690F3D" w:rsidP="00690F3D">
      <w:proofErr w:type="gramStart"/>
      <w:r w:rsidRPr="00CC6CA3">
        <w:t>A number of</w:t>
      </w:r>
      <w:proofErr w:type="gramEnd"/>
      <w:r w:rsidRPr="00CC6CA3">
        <w:t xml:space="preserve"> practical analyses have been performed for the purpose of developing a comprehensive health indicator for use in an advanced maintenance strategy to ensure plant performance, maximising the safety of the plant whilst minimising operational costs and extending the life of industrial machines. The contributions to knowledge of this research are summarised as follows:</w:t>
      </w:r>
    </w:p>
    <w:p w14:paraId="2A42961B" w14:textId="28FA40F5" w:rsidR="00CB31E9" w:rsidRPr="00CC6CA3" w:rsidRDefault="00CB31E9" w:rsidP="00690F3D"/>
    <w:p w14:paraId="56DF76E1" w14:textId="77777777" w:rsidR="00690F3D" w:rsidRPr="00CC6CA3" w:rsidRDefault="00690F3D" w:rsidP="00690F3D">
      <w:pPr>
        <w:rPr>
          <w:rFonts w:cs="Times New Roman"/>
          <w:szCs w:val="24"/>
        </w:rPr>
      </w:pPr>
      <w:r w:rsidRPr="00CC6CA3">
        <w:rPr>
          <w:rFonts w:cs="Times New Roman"/>
          <w:b/>
          <w:szCs w:val="24"/>
        </w:rPr>
        <w:lastRenderedPageBreak/>
        <w:t>First contribution</w:t>
      </w:r>
      <w:r w:rsidRPr="00CC6CA3">
        <w:rPr>
          <w:rFonts w:cs="Times New Roman"/>
          <w:szCs w:val="24"/>
        </w:rPr>
        <w:t>:</w:t>
      </w:r>
    </w:p>
    <w:p w14:paraId="55E06948" w14:textId="77777777" w:rsidR="00690F3D" w:rsidRPr="00CC6CA3" w:rsidRDefault="00690F3D" w:rsidP="00690F3D">
      <w:r w:rsidRPr="00CC6CA3">
        <w:t>The health indicators for popular maintenance strategies are reviewed and summarised. A condition-based risk assessment is introduced, with its key processes (condition-based fault detection, probability of fault calculation, consequence of fault calculation, and risk calculation) reviewed and described in detail. It can be used as a useful reference for researchers working on maintenance optimisation.</w:t>
      </w:r>
    </w:p>
    <w:p w14:paraId="1D33DD4E" w14:textId="77777777" w:rsidR="00690F3D" w:rsidRPr="00CC6CA3" w:rsidRDefault="00690F3D" w:rsidP="00690F3D">
      <w:pPr>
        <w:rPr>
          <w:rFonts w:cs="Times New Roman"/>
          <w:szCs w:val="24"/>
        </w:rPr>
      </w:pPr>
      <w:r w:rsidRPr="00CC6CA3">
        <w:rPr>
          <w:rFonts w:cs="Times New Roman"/>
          <w:b/>
          <w:szCs w:val="24"/>
        </w:rPr>
        <w:t>Second contribution</w:t>
      </w:r>
      <w:r w:rsidRPr="00CC6CA3">
        <w:rPr>
          <w:rFonts w:cs="Times New Roman"/>
          <w:szCs w:val="24"/>
        </w:rPr>
        <w:t>:</w:t>
      </w:r>
    </w:p>
    <w:p w14:paraId="69BDAD42" w14:textId="77777777" w:rsidR="00690F3D" w:rsidRPr="00CC6CA3" w:rsidRDefault="00690F3D" w:rsidP="00690F3D">
      <w:r w:rsidRPr="00CC6CA3">
        <w:t>An efficient fault detection method is developed based on the unsupervised machine learning method SAE and is evaluated via condition-based multivariate process data obtained from a pump and a compressor used in petrochemical plant. Instead of selecting a key variable, or a single feature from numerous varying features, for fault detection the proposed methodology merges multiple variables into one system-wide feature. Fault identification can be achieved by a reconstruction-based calculation. A two-dimensional Q statistics contribution map is used to stack multiple observations into one image to clearly illustrate the contribution of the different variables over the entire fault data times series.</w:t>
      </w:r>
    </w:p>
    <w:p w14:paraId="2CACB876" w14:textId="77777777" w:rsidR="00690F3D" w:rsidRPr="00CC6CA3" w:rsidRDefault="00690F3D" w:rsidP="00690F3D">
      <w:pPr>
        <w:rPr>
          <w:rFonts w:cs="Times New Roman"/>
          <w:b/>
          <w:szCs w:val="24"/>
        </w:rPr>
      </w:pPr>
      <w:r w:rsidRPr="00CC6CA3">
        <w:rPr>
          <w:rFonts w:cs="Times New Roman"/>
          <w:b/>
          <w:szCs w:val="24"/>
        </w:rPr>
        <w:t>Third contribution:</w:t>
      </w:r>
    </w:p>
    <w:p w14:paraId="15913650" w14:textId="2F92971A" w:rsidR="00CB31E9" w:rsidRPr="00CC6CA3" w:rsidRDefault="00690F3D" w:rsidP="00690F3D">
      <w:r w:rsidRPr="00CC6CA3">
        <w:t xml:space="preserve">A comprehensive system health indicator is proposed calculated using a general condition-based dynamic risk assessment methodology using real-time health monitoring of assets. In this method, the consequence model and risk value are quantified in terms of financial loss, (production loss, material, labour, technical support cost, etc.). This makes it easier for operators to set the shutdown threshold after considering the specific situation of their companies or plant. The proposed </w:t>
      </w:r>
      <w:r w:rsidR="00692175" w:rsidRPr="00CC6CA3">
        <w:t xml:space="preserve">SAE based risk assessment </w:t>
      </w:r>
      <w:r w:rsidRPr="00CC6CA3">
        <w:t>method is demonstrated on an industrial pump and compressor, using condition-based multivariate process data. Compared to the existed PCA method developed in</w:t>
      </w:r>
      <w:r w:rsidR="00E959A0" w:rsidRPr="00CC6CA3">
        <w:t xml:space="preserve"> </w:t>
      </w:r>
      <w:r w:rsidR="00E959A0" w:rsidRPr="00CC6CA3">
        <w:fldChar w:fldCharType="begin"/>
      </w:r>
      <w:r w:rsidR="007D1BCC" w:rsidRPr="00CC6CA3">
        <w:instrText xml:space="preserve"> ADDIN ZOTERO_ITEM CSL_CITATION {"citationID":"iwlX3faN","properties":{"formattedCitation":"[94]","plainCitation":"[94]","noteIndex":0},"citationItems":[{"id":844,"uris":["http://zotero.org/users/3051968/items/G28KKBIP"],"uri":["http://zotero.org/users/3051968/items/G28KKBIP"],"itemData":{"id":844,"type":"article-journal","container-title":"Industrial &amp; Engineering Chemistry Research","issue":"2","note":"publisher: ACS Publications","page":"809–816","source":"Google Scholar","title":"Dynamic risk assessment and fault detection using principal component analysis","volume":"52","author":[{"family":"Zadakbar","given":"O."},{"family":"Imtiaz","given":"S."},{"family":"Khan","given":"F."}],"issued":{"date-parts":[["2013"]]}}}],"schema":"https://github.com/citation-style-language/schema/raw/master/csl-citation.json"} </w:instrText>
      </w:r>
      <w:r w:rsidR="00E959A0" w:rsidRPr="00CC6CA3">
        <w:fldChar w:fldCharType="separate"/>
      </w:r>
      <w:r w:rsidR="007D1BCC" w:rsidRPr="00CC6CA3">
        <w:rPr>
          <w:rFonts w:cs="Times New Roman"/>
        </w:rPr>
        <w:t>[94]</w:t>
      </w:r>
      <w:r w:rsidR="00E959A0" w:rsidRPr="00CC6CA3">
        <w:fldChar w:fldCharType="end"/>
      </w:r>
      <w:r w:rsidR="00E959A0" w:rsidRPr="00CC6CA3">
        <w:t xml:space="preserve">, </w:t>
      </w:r>
      <w:r w:rsidRPr="00CC6CA3">
        <w:t>the proposed method had the advantages of 1) early fault detection, 2) no requirement for human intervention for selection of variable or feature, 3) more accurate POF calculation due to the automatic selection of the best-fitted distribution among the candidate distributions, 4) the value of the health indicator was related to financial loss, which makes it easier for operators to select the optimum time for maintenance.</w:t>
      </w:r>
    </w:p>
    <w:p w14:paraId="0A20C10F" w14:textId="77777777" w:rsidR="00CB31E9" w:rsidRPr="00CC6CA3" w:rsidRDefault="00CB31E9" w:rsidP="00690F3D"/>
    <w:p w14:paraId="1768B1ED" w14:textId="77777777" w:rsidR="00690F3D" w:rsidRPr="00CC6CA3" w:rsidRDefault="00690F3D" w:rsidP="00690F3D">
      <w:pPr>
        <w:pStyle w:val="Heading2"/>
        <w:widowControl w:val="0"/>
        <w:spacing w:before="260" w:after="120"/>
        <w:ind w:left="480" w:hanging="480"/>
        <w:jc w:val="left"/>
      </w:pPr>
      <w:bookmarkStart w:id="611" w:name="_Toc432325392"/>
      <w:bookmarkStart w:id="612" w:name="_Toc452300316"/>
      <w:bookmarkStart w:id="613" w:name="_Toc465934495"/>
      <w:bookmarkStart w:id="614" w:name="_Toc529370850"/>
      <w:bookmarkStart w:id="615" w:name="_Toc531629379"/>
      <w:bookmarkStart w:id="616" w:name="_Toc81553321"/>
      <w:r w:rsidRPr="00CC6CA3">
        <w:lastRenderedPageBreak/>
        <w:t>Future work</w:t>
      </w:r>
      <w:bookmarkEnd w:id="611"/>
      <w:bookmarkEnd w:id="612"/>
      <w:bookmarkEnd w:id="613"/>
      <w:bookmarkEnd w:id="614"/>
      <w:bookmarkEnd w:id="615"/>
      <w:bookmarkEnd w:id="616"/>
    </w:p>
    <w:p w14:paraId="267E937C" w14:textId="77777777" w:rsidR="00690F3D" w:rsidRPr="00CC6CA3" w:rsidRDefault="00690F3D" w:rsidP="00690F3D">
      <w:r w:rsidRPr="00CC6CA3">
        <w:t>The recommendations for the continuation of this research are summarised as follows:</w:t>
      </w:r>
    </w:p>
    <w:p w14:paraId="60ECD356" w14:textId="77777777" w:rsidR="00690F3D" w:rsidRPr="00CC6CA3" w:rsidRDefault="00690F3D" w:rsidP="00690F3D">
      <w:bookmarkStart w:id="617" w:name="OLE_LINK331"/>
      <w:bookmarkStart w:id="618" w:name="OLE_LINK332"/>
      <w:bookmarkStart w:id="619" w:name="OLE_LINK333"/>
      <w:r w:rsidRPr="00CC6CA3">
        <w:rPr>
          <w:b/>
        </w:rPr>
        <w:t>Recommendation 1</w:t>
      </w:r>
      <w:r w:rsidRPr="00CC6CA3">
        <w:t>:</w:t>
      </w:r>
      <w:bookmarkEnd w:id="617"/>
      <w:bookmarkEnd w:id="618"/>
      <w:bookmarkEnd w:id="619"/>
    </w:p>
    <w:p w14:paraId="78747B88" w14:textId="77777777" w:rsidR="00690F3D" w:rsidRPr="00CC6CA3" w:rsidRDefault="00690F3D" w:rsidP="00690F3D">
      <w:r w:rsidRPr="00CC6CA3">
        <w:t xml:space="preserve">Apply imputation techniques when dealing with missing and erroneous data. Examine the performance of different imputation techniques, especially when more than one variable exhibit missing data at the same time. </w:t>
      </w:r>
    </w:p>
    <w:p w14:paraId="27B402D3" w14:textId="77777777" w:rsidR="00690F3D" w:rsidRPr="00CC6CA3" w:rsidRDefault="00690F3D" w:rsidP="00690F3D">
      <w:r w:rsidRPr="00CC6CA3">
        <w:rPr>
          <w:b/>
        </w:rPr>
        <w:t>Recommendation 2</w:t>
      </w:r>
      <w:r w:rsidRPr="00CC6CA3">
        <w:t>:</w:t>
      </w:r>
    </w:p>
    <w:p w14:paraId="7D79500C" w14:textId="0C4312BA" w:rsidR="00E959A0" w:rsidRPr="00CC6CA3" w:rsidRDefault="00690F3D" w:rsidP="00690F3D">
      <w:r w:rsidRPr="00CC6CA3">
        <w:t xml:space="preserve">Due to sensor or measuring equipment faults, some measured variables may be completely unusable for training. Capturing only a limited number of signals could be considered for the fault detection and fault isolation model. </w:t>
      </w:r>
    </w:p>
    <w:p w14:paraId="49E62352" w14:textId="77777777" w:rsidR="00690F3D" w:rsidRPr="00CC6CA3" w:rsidRDefault="00690F3D" w:rsidP="00690F3D">
      <w:r w:rsidRPr="00CC6CA3">
        <w:rPr>
          <w:b/>
        </w:rPr>
        <w:t>Recommendation 3</w:t>
      </w:r>
      <w:r w:rsidRPr="00CC6CA3">
        <w:t>:</w:t>
      </w:r>
    </w:p>
    <w:p w14:paraId="1CE5D3F6" w14:textId="04323195" w:rsidR="00690F3D" w:rsidRPr="00CC6CA3" w:rsidRDefault="00690F3D" w:rsidP="00690F3D">
      <w:r w:rsidRPr="00CC6CA3">
        <w:rPr>
          <w:lang w:val="en-US"/>
        </w:rPr>
        <w:t>Explore more time series machine learning methods to better predict the health condition of compressors and pumps. For example, compare the performance of the SAE and NARX method used in this thesis with</w:t>
      </w:r>
      <w:r w:rsidRPr="00CC6CA3">
        <w:t xml:space="preserve"> long short-term memory, which is a powerful learning model that has shown extraordinary capability in a wide range of machine learning tasks such as machine remaining useful life prediction and visual object recognition. </w:t>
      </w:r>
    </w:p>
    <w:p w14:paraId="38014FAC" w14:textId="77777777" w:rsidR="00690F3D" w:rsidRPr="00CC6CA3" w:rsidRDefault="00690F3D" w:rsidP="00690F3D">
      <w:r w:rsidRPr="00CC6CA3">
        <w:rPr>
          <w:b/>
        </w:rPr>
        <w:t>Recommendation 4</w:t>
      </w:r>
      <w:r w:rsidRPr="00CC6CA3">
        <w:t>:</w:t>
      </w:r>
    </w:p>
    <w:p w14:paraId="16739655" w14:textId="50652322" w:rsidR="00E959A0" w:rsidRPr="00CC6CA3" w:rsidRDefault="00690F3D" w:rsidP="00690F3D">
      <w:r w:rsidRPr="00CC6CA3">
        <w:t>Apply transformations (frequency, time-frequency, etc.)</w:t>
      </w:r>
      <w:r w:rsidR="00C52258" w:rsidRPr="00CC6CA3">
        <w:t xml:space="preserve"> on vibration data</w:t>
      </w:r>
      <w:r w:rsidRPr="00CC6CA3">
        <w:t>, and use feature extraction from these domains for condition-based maintenance, and prognostics and health management.</w:t>
      </w:r>
    </w:p>
    <w:p w14:paraId="62551217" w14:textId="7B1C7607" w:rsidR="00F53EBE" w:rsidRPr="00CC6CA3" w:rsidRDefault="00F53EBE">
      <w:pPr>
        <w:spacing w:line="259" w:lineRule="auto"/>
        <w:jc w:val="left"/>
      </w:pPr>
      <w:r w:rsidRPr="00CC6CA3">
        <w:br w:type="page"/>
      </w:r>
    </w:p>
    <w:p w14:paraId="7B629010" w14:textId="32B3FAA3" w:rsidR="00924E25" w:rsidRPr="00CC6CA3" w:rsidRDefault="006D47CF" w:rsidP="00C07F6E">
      <w:pPr>
        <w:outlineLvl w:val="0"/>
        <w:rPr>
          <w:b/>
        </w:rPr>
      </w:pPr>
      <w:bookmarkStart w:id="620" w:name="_Toc81553322"/>
      <w:r w:rsidRPr="00CC6CA3">
        <w:rPr>
          <w:b/>
        </w:rPr>
        <w:lastRenderedPageBreak/>
        <w:t xml:space="preserve">List of </w:t>
      </w:r>
      <w:r w:rsidR="00924E25" w:rsidRPr="00CC6CA3">
        <w:rPr>
          <w:b/>
        </w:rPr>
        <w:t>Publication</w:t>
      </w:r>
      <w:r w:rsidR="00634B18" w:rsidRPr="00CC6CA3">
        <w:rPr>
          <w:b/>
        </w:rPr>
        <w:t>s</w:t>
      </w:r>
      <w:bookmarkEnd w:id="620"/>
    </w:p>
    <w:p w14:paraId="1CB2F68A" w14:textId="3D010D5D" w:rsidR="00384C6A" w:rsidRPr="00CC6CA3" w:rsidRDefault="00384C6A" w:rsidP="00384C6A">
      <w:r w:rsidRPr="00CC6CA3">
        <w:t>As a result of the innovative work carried out in this investigation</w:t>
      </w:r>
      <w:r w:rsidR="00F45B7E" w:rsidRPr="00CC6CA3">
        <w:t>,</w:t>
      </w:r>
      <w:r w:rsidRPr="00CC6CA3">
        <w:t xml:space="preserve"> the following papers have been </w:t>
      </w:r>
      <w:r w:rsidR="00FB3197" w:rsidRPr="00CC6CA3">
        <w:t>published</w:t>
      </w:r>
      <w:r w:rsidRPr="00CC6CA3">
        <w:t xml:space="preserve"> in </w:t>
      </w:r>
      <w:bookmarkStart w:id="621" w:name="OLE_LINK85"/>
      <w:r w:rsidRPr="00CC6CA3">
        <w:t xml:space="preserve">specialized </w:t>
      </w:r>
      <w:bookmarkEnd w:id="621"/>
      <w:r w:rsidRPr="00CC6CA3">
        <w:t>journals:</w:t>
      </w:r>
    </w:p>
    <w:p w14:paraId="02607076" w14:textId="207B3841" w:rsidR="00B825CF" w:rsidRPr="00CC6CA3" w:rsidRDefault="00B825CF" w:rsidP="00B825CF">
      <w:pPr>
        <w:widowControl w:val="0"/>
        <w:numPr>
          <w:ilvl w:val="0"/>
          <w:numId w:val="3"/>
        </w:numPr>
        <w:spacing w:after="0"/>
      </w:pPr>
      <w:r w:rsidRPr="00CC6CA3">
        <w:t>Liang, X., Duan, F., Bennett, I., &amp; Mba, D. (2021). A Comprehensive Health Indicator Integrated by the Dynamic Risk Profile from Condition Monitoring Data and the Function of Financial Losses</w:t>
      </w:r>
      <w:r w:rsidR="00EA1A1D" w:rsidRPr="00CC6CA3">
        <w:t xml:space="preserve">. </w:t>
      </w:r>
      <w:r w:rsidRPr="00CC6CA3">
        <w:t>Energies</w:t>
      </w:r>
      <w:r w:rsidR="00EA1A1D" w:rsidRPr="00CC6CA3">
        <w:t xml:space="preserve">, </w:t>
      </w:r>
      <w:r w:rsidRPr="00CC6CA3">
        <w:t>14(1), 28.</w:t>
      </w:r>
    </w:p>
    <w:p w14:paraId="3C47C8D1" w14:textId="08B541CA" w:rsidR="00B825CF" w:rsidRPr="00CC6CA3" w:rsidRDefault="00B825CF" w:rsidP="00B825CF">
      <w:pPr>
        <w:widowControl w:val="0"/>
        <w:numPr>
          <w:ilvl w:val="0"/>
          <w:numId w:val="3"/>
        </w:numPr>
        <w:spacing w:after="0"/>
      </w:pPr>
      <w:r w:rsidRPr="00CC6CA3">
        <w:t>Liang, X., Duan, F., Bennett, I., &amp; Mba, D. (2020). A Sparse Autoencoder-Based Unsupervised Scheme for Pump Fault Detection and Isolation.</w:t>
      </w:r>
      <w:r w:rsidR="00EA1A1D" w:rsidRPr="00CC6CA3">
        <w:t xml:space="preserve"> </w:t>
      </w:r>
      <w:r w:rsidRPr="00CC6CA3">
        <w:t>Applied Sciences,</w:t>
      </w:r>
      <w:r w:rsidR="00EA1A1D" w:rsidRPr="00CC6CA3">
        <w:t xml:space="preserve"> </w:t>
      </w:r>
      <w:r w:rsidRPr="00CC6CA3">
        <w:t>10(19), 6789.</w:t>
      </w:r>
    </w:p>
    <w:p w14:paraId="259804E4" w14:textId="2CA994D0" w:rsidR="00B825CF" w:rsidRPr="00CC6CA3" w:rsidRDefault="00B825CF" w:rsidP="0036396E">
      <w:pPr>
        <w:widowControl w:val="0"/>
        <w:numPr>
          <w:ilvl w:val="0"/>
          <w:numId w:val="3"/>
        </w:numPr>
        <w:spacing w:after="0"/>
      </w:pPr>
      <w:r w:rsidRPr="00CC6CA3">
        <w:t>Liang, X., Duan, F., Mba, D., &amp; Ian, B. (2017). Condition Indicators for Centrifugal Compressor A Review. International Journal of COMADEM,</w:t>
      </w:r>
      <w:r w:rsidR="00EA1A1D" w:rsidRPr="00CC6CA3">
        <w:t xml:space="preserve"> </w:t>
      </w:r>
      <w:r w:rsidRPr="00CC6CA3">
        <w:t>20(2).</w:t>
      </w:r>
    </w:p>
    <w:p w14:paraId="7C59F252" w14:textId="5BA1E373" w:rsidR="00617369" w:rsidRPr="00CC6CA3" w:rsidRDefault="009336FE" w:rsidP="009336FE">
      <w:r w:rsidRPr="00CC6CA3">
        <w:t xml:space="preserve">Additionally, this work has been presented </w:t>
      </w:r>
      <w:r w:rsidR="00DB671E" w:rsidRPr="00CC6CA3">
        <w:t>at</w:t>
      </w:r>
      <w:r w:rsidRPr="00CC6CA3">
        <w:t xml:space="preserve"> the following international conferences:</w:t>
      </w:r>
    </w:p>
    <w:p w14:paraId="64E74D5B" w14:textId="77777777" w:rsidR="00F632C0" w:rsidRPr="00CC6CA3" w:rsidRDefault="00F632C0" w:rsidP="0036396E">
      <w:pPr>
        <w:widowControl w:val="0"/>
        <w:numPr>
          <w:ilvl w:val="0"/>
          <w:numId w:val="3"/>
        </w:numPr>
        <w:spacing w:after="0"/>
      </w:pPr>
      <w:r w:rsidRPr="00CC6CA3">
        <w:t>Liang, X.; Duan, F.; Ian, B.; Mba, D. A Case Study of Anomaly Detection based on Industrial Monitoring Data in Petrochemical Process [M], In Proceedings of the Fifth International Conference on Maintenance Engineering and the CEPE Network (IncoME-V&amp; CEPE 2020), Zhuhai, China, 23-25 Oct 2020.</w:t>
      </w:r>
    </w:p>
    <w:p w14:paraId="79A4BE29" w14:textId="60FDA507" w:rsidR="0038284F" w:rsidRPr="00CC6CA3" w:rsidRDefault="00F632C0" w:rsidP="0036396E">
      <w:pPr>
        <w:widowControl w:val="0"/>
        <w:numPr>
          <w:ilvl w:val="0"/>
          <w:numId w:val="3"/>
        </w:numPr>
        <w:spacing w:after="0"/>
      </w:pPr>
      <w:r w:rsidRPr="00CC6CA3">
        <w:t>Liang X, Duan F, Mba D, et al. Centrifugal Compressor Diagnosis Using Kernel PCA and Fuzzy Clustering[M]//Asset Intelligence through Integration and Interoperability and Contemporary Vibration Engineering Technologies. Springer, Cham, 2019: 373-381</w:t>
      </w:r>
      <w:r w:rsidR="0038284F" w:rsidRPr="00CC6CA3">
        <w:t>.</w:t>
      </w:r>
    </w:p>
    <w:p w14:paraId="40202BFF" w14:textId="77777777" w:rsidR="0038284F" w:rsidRPr="00CC6CA3" w:rsidRDefault="0038284F" w:rsidP="0036396E">
      <w:pPr>
        <w:widowControl w:val="0"/>
        <w:numPr>
          <w:ilvl w:val="0"/>
          <w:numId w:val="3"/>
        </w:numPr>
        <w:spacing w:after="0"/>
      </w:pPr>
      <w:r w:rsidRPr="00CC6CA3">
        <w:t>X. Liang, F. Duan, D. Mba, B. Ian. (2017). ‘Value-Based Management in Centrifugal Compressors Maintenance’, in 30th International Congress of Condition Monitoring and Diagnostic Engineering Management (COMADEM), University of Central Lancashire, Preston, UK. 10 – 13 July 2017.</w:t>
      </w:r>
    </w:p>
    <w:p w14:paraId="2D44AE47" w14:textId="44128AD5" w:rsidR="0038284F" w:rsidRPr="00CC6CA3" w:rsidRDefault="0038284F" w:rsidP="0036396E">
      <w:pPr>
        <w:widowControl w:val="0"/>
        <w:numPr>
          <w:ilvl w:val="0"/>
          <w:numId w:val="3"/>
        </w:numPr>
        <w:spacing w:after="0"/>
      </w:pPr>
      <w:r w:rsidRPr="00CC6CA3">
        <w:t>X. Liang, F. Duan, D. Mba, B. Ian. (2017). ‘A Cost-eff</w:t>
      </w:r>
      <w:r w:rsidR="00DB671E" w:rsidRPr="00CC6CA3">
        <w:t>ec</w:t>
      </w:r>
      <w:r w:rsidRPr="00CC6CA3">
        <w:t>tive Condition-based Predictive Maintenance Strategy for Centrifugal Compressor’, in 2nd International Conference on Maintenance Engineering (IncoME), The University of Manchester, UK. 5 – 6 September 2017.</w:t>
      </w:r>
    </w:p>
    <w:p w14:paraId="3EDEAF10" w14:textId="77777777" w:rsidR="0038284F" w:rsidRPr="00CC6CA3" w:rsidRDefault="0038284F" w:rsidP="0036396E">
      <w:pPr>
        <w:widowControl w:val="0"/>
        <w:numPr>
          <w:ilvl w:val="0"/>
          <w:numId w:val="3"/>
        </w:numPr>
        <w:spacing w:after="0"/>
      </w:pPr>
      <w:r w:rsidRPr="00CC6CA3">
        <w:t xml:space="preserve">X. Liang, F. Duan, D. Mba, B. Ian. (2017). ‘Advanced Fault Diagnostic Techniques for Centrifugal Compressor’, in 29th International Congress of Condition Monitoring and Diagnostic Engineering Management (COMADEM), Xi'an Jiaotong </w:t>
      </w:r>
      <w:r w:rsidRPr="00CC6CA3">
        <w:lastRenderedPageBreak/>
        <w:t xml:space="preserve">University, Shaanxi, P.R. China. 20 – 24 </w:t>
      </w:r>
      <w:bookmarkStart w:id="622" w:name="OLE_LINK5"/>
      <w:bookmarkStart w:id="623" w:name="OLE_LINK6"/>
      <w:r w:rsidRPr="00CC6CA3">
        <w:t xml:space="preserve">August </w:t>
      </w:r>
      <w:bookmarkEnd w:id="622"/>
      <w:bookmarkEnd w:id="623"/>
      <w:r w:rsidRPr="00CC6CA3">
        <w:t>2016.</w:t>
      </w:r>
    </w:p>
    <w:p w14:paraId="7FEEC769" w14:textId="37942631" w:rsidR="0038284F" w:rsidRPr="00CC6CA3" w:rsidRDefault="0038284F" w:rsidP="0036396E">
      <w:pPr>
        <w:widowControl w:val="0"/>
        <w:numPr>
          <w:ilvl w:val="0"/>
          <w:numId w:val="3"/>
        </w:numPr>
        <w:spacing w:after="0"/>
      </w:pPr>
      <w:r w:rsidRPr="00CC6CA3">
        <w:t>X. Liang, F. Duan, D. Mba, B. Ian. (2017). ‘Investigation of Cost</w:t>
      </w:r>
      <w:r w:rsidR="00DB671E" w:rsidRPr="00CC6CA3">
        <w:t>-</w:t>
      </w:r>
      <w:r w:rsidRPr="00CC6CA3">
        <w:t>Effective Maintenance Framework for Centrifugal Compressors’, in 1st International Conference on Maintenance Engineering (IncoME), The University of Manchester, UK. 30 – 31 August 2016.</w:t>
      </w:r>
    </w:p>
    <w:p w14:paraId="464D07A7" w14:textId="11201589" w:rsidR="0038284F" w:rsidRPr="00CC6CA3" w:rsidRDefault="0038284F">
      <w:pPr>
        <w:spacing w:line="259" w:lineRule="auto"/>
        <w:jc w:val="left"/>
        <w:rPr>
          <w:highlight w:val="yellow"/>
        </w:rPr>
      </w:pPr>
      <w:r w:rsidRPr="00CC6CA3">
        <w:rPr>
          <w:highlight w:val="yellow"/>
        </w:rPr>
        <w:br w:type="page"/>
      </w:r>
    </w:p>
    <w:p w14:paraId="241A78E3" w14:textId="7F7D39D1" w:rsidR="00F32DCA" w:rsidRPr="00CC6CA3" w:rsidRDefault="00C9792E" w:rsidP="00BD7C79">
      <w:pPr>
        <w:pStyle w:val="Heading1"/>
        <w:numPr>
          <w:ilvl w:val="0"/>
          <w:numId w:val="0"/>
        </w:numPr>
        <w:ind w:left="360" w:hanging="360"/>
      </w:pPr>
      <w:bookmarkStart w:id="624" w:name="_Toc81553323"/>
      <w:r w:rsidRPr="00CC6CA3">
        <w:lastRenderedPageBreak/>
        <w:t>References</w:t>
      </w:r>
      <w:bookmarkEnd w:id="624"/>
    </w:p>
    <w:p w14:paraId="06A887E0" w14:textId="77777777" w:rsidR="007D1BCC" w:rsidRPr="00CC6CA3" w:rsidRDefault="00394508" w:rsidP="007D1BCC">
      <w:pPr>
        <w:pStyle w:val="Bibliography"/>
      </w:pPr>
      <w:r w:rsidRPr="00CC6CA3">
        <w:fldChar w:fldCharType="begin"/>
      </w:r>
      <w:r w:rsidR="001D27B1" w:rsidRPr="00CC6CA3">
        <w:instrText xml:space="preserve"> ADDIN ZOTERO_BIBL {"uncited":[],"omitted":[],"custom":[]} CSL_BIBLIOGRAPHY </w:instrText>
      </w:r>
      <w:r w:rsidRPr="00CC6CA3">
        <w:fldChar w:fldCharType="separate"/>
      </w:r>
      <w:r w:rsidR="007D1BCC" w:rsidRPr="00CC6CA3">
        <w:t>[1]</w:t>
      </w:r>
      <w:r w:rsidR="007D1BCC" w:rsidRPr="00CC6CA3">
        <w:tab/>
        <w:t xml:space="preserve">V. Venkatasubramanian, ‘Abnormal events management in complex process plants: Challenges and opportunities in intelligent supervisory control’, in </w:t>
      </w:r>
      <w:r w:rsidR="007D1BCC" w:rsidRPr="00CC6CA3">
        <w:rPr>
          <w:i/>
          <w:iCs/>
        </w:rPr>
        <w:t>Proceedings FOCAPO</w:t>
      </w:r>
      <w:r w:rsidR="007D1BCC" w:rsidRPr="00CC6CA3">
        <w:t>, 2003, p. 117ff.</w:t>
      </w:r>
    </w:p>
    <w:p w14:paraId="0A71570C" w14:textId="77777777" w:rsidR="007D1BCC" w:rsidRPr="00CC6CA3" w:rsidRDefault="007D1BCC" w:rsidP="007D1BCC">
      <w:pPr>
        <w:pStyle w:val="Bibliography"/>
      </w:pPr>
      <w:r w:rsidRPr="00CC6CA3">
        <w:t>[2]</w:t>
      </w:r>
      <w:r w:rsidRPr="00CC6CA3">
        <w:tab/>
        <w:t>NASA Safety Center, ‘The Case for Safety. The North Sea Piper Alpha Disaster.’, May 2013.</w:t>
      </w:r>
    </w:p>
    <w:p w14:paraId="39252374" w14:textId="77777777" w:rsidR="007D1BCC" w:rsidRPr="00CC6CA3" w:rsidRDefault="007D1BCC" w:rsidP="007D1BCC">
      <w:pPr>
        <w:pStyle w:val="Bibliography"/>
      </w:pPr>
      <w:r w:rsidRPr="00CC6CA3">
        <w:t>[3]</w:t>
      </w:r>
      <w:r w:rsidRPr="00CC6CA3">
        <w:tab/>
        <w:t>New Zealand transport accident commission, ‘Rail Inquiry 07-114 Derailment caused by a wheel-bearing failure, Huntly, 19 October 2007, and, 11 subsequent wheel-bearing failures at various locations during the following 12 month period’, 2007. [Online]. Available: https://taic.org.nz/sites/default/files/inquiry/documents/07-114%20Final.pdf</w:t>
      </w:r>
    </w:p>
    <w:p w14:paraId="60CDE68A" w14:textId="77777777" w:rsidR="007D1BCC" w:rsidRPr="00CC6CA3" w:rsidRDefault="007D1BCC" w:rsidP="007D1BCC">
      <w:pPr>
        <w:pStyle w:val="Bibliography"/>
      </w:pPr>
      <w:r w:rsidRPr="00CC6CA3">
        <w:t>[4]</w:t>
      </w:r>
      <w:r w:rsidRPr="00CC6CA3">
        <w:tab/>
        <w:t xml:space="preserve">E. Gosden, ‘Wind turbine collapses in Northern Ireland’, </w:t>
      </w:r>
      <w:r w:rsidRPr="00CC6CA3">
        <w:rPr>
          <w:i/>
          <w:iCs/>
        </w:rPr>
        <w:t>www.telegraph.co.uk</w:t>
      </w:r>
      <w:r w:rsidRPr="00CC6CA3">
        <w:t>, Jan. 04, 2015. [Online]. Available: https://www.telegraph.co.uk/news/earth/energy/windpower/11324119/Wind-turbine-collapses-in-Northern-Ireland.html</w:t>
      </w:r>
    </w:p>
    <w:p w14:paraId="56122E53" w14:textId="77777777" w:rsidR="007D1BCC" w:rsidRPr="00CC6CA3" w:rsidRDefault="007D1BCC" w:rsidP="007D1BCC">
      <w:pPr>
        <w:pStyle w:val="Bibliography"/>
      </w:pPr>
      <w:r w:rsidRPr="00CC6CA3">
        <w:t>[5]</w:t>
      </w:r>
      <w:r w:rsidRPr="00CC6CA3">
        <w:tab/>
        <w:t>‘American Airlines Boeing 767-300ER’, Aviation Safety Network. [Online]. Available: https://aviation-safety.net/database/record.php?id=20161028-2</w:t>
      </w:r>
    </w:p>
    <w:p w14:paraId="1287F91A" w14:textId="77777777" w:rsidR="007D1BCC" w:rsidRPr="00CC6CA3" w:rsidRDefault="007D1BCC" w:rsidP="007D1BCC">
      <w:pPr>
        <w:pStyle w:val="Bibliography"/>
      </w:pPr>
      <w:r w:rsidRPr="00CC6CA3">
        <w:t>[6]</w:t>
      </w:r>
      <w:r w:rsidRPr="00CC6CA3">
        <w:tab/>
        <w:t>NTSB, ‘Photo of Boeing 767-323ER (WL) N345AN’. Oct. 28, 2016. [Online]. Available: https://aviation-safety.net/photo/8893/Boeing-767-323ER-N345AN</w:t>
      </w:r>
    </w:p>
    <w:p w14:paraId="056C10D9" w14:textId="77777777" w:rsidR="007D1BCC" w:rsidRPr="00CC6CA3" w:rsidRDefault="007D1BCC" w:rsidP="007D1BCC">
      <w:pPr>
        <w:pStyle w:val="Bibliography"/>
      </w:pPr>
      <w:r w:rsidRPr="00CC6CA3">
        <w:t>[7]</w:t>
      </w:r>
      <w:r w:rsidRPr="00CC6CA3">
        <w:tab/>
        <w:t xml:space="preserve">‘Turbine engine failure’, </w:t>
      </w:r>
      <w:r w:rsidRPr="00CC6CA3">
        <w:rPr>
          <w:i/>
          <w:iCs/>
        </w:rPr>
        <w:t>wikipedia</w:t>
      </w:r>
      <w:r w:rsidRPr="00CC6CA3">
        <w:t>. [Online]. Available: https://en.wikipedia.org/wiki/Turbine_engine_failure#cite_note-22</w:t>
      </w:r>
    </w:p>
    <w:p w14:paraId="1DCF035D" w14:textId="77777777" w:rsidR="007D1BCC" w:rsidRPr="00CC6CA3" w:rsidRDefault="007D1BCC" w:rsidP="007D1BCC">
      <w:pPr>
        <w:pStyle w:val="Bibliography"/>
      </w:pPr>
      <w:r w:rsidRPr="00CC6CA3">
        <w:t>[8]</w:t>
      </w:r>
      <w:r w:rsidRPr="00CC6CA3">
        <w:tab/>
        <w:t>NTSB, ‘Photo of Boeing 737-7H4 (WL) N772SW’. Apr. 17, 2018. [Online]. Available: https://aviation-safety.net/photo/9424/Boeing-737-7H4-N772SW</w:t>
      </w:r>
    </w:p>
    <w:p w14:paraId="29C0D8E9" w14:textId="77777777" w:rsidR="007D1BCC" w:rsidRPr="00CC6CA3" w:rsidRDefault="007D1BCC" w:rsidP="007D1BCC">
      <w:pPr>
        <w:pStyle w:val="Bibliography"/>
      </w:pPr>
      <w:r w:rsidRPr="00CC6CA3">
        <w:t>[9]</w:t>
      </w:r>
      <w:r w:rsidRPr="00CC6CA3">
        <w:tab/>
        <w:t xml:space="preserve">V. Venkatasubramanian, R. Rengaswamy, K. Yin, and S. N. Kavuri, ‘A review of process fault detection and diagnosis: Part I: Quantitative model-based methods’, </w:t>
      </w:r>
      <w:r w:rsidRPr="00CC6CA3">
        <w:rPr>
          <w:i/>
          <w:iCs/>
        </w:rPr>
        <w:t>Comput. Chem. Eng.</w:t>
      </w:r>
      <w:r w:rsidRPr="00CC6CA3">
        <w:t>, vol. 27, no. 3, pp. 293–311, 2003.</w:t>
      </w:r>
    </w:p>
    <w:p w14:paraId="664E191E" w14:textId="77777777" w:rsidR="007D1BCC" w:rsidRPr="00CC6CA3" w:rsidRDefault="007D1BCC" w:rsidP="007D1BCC">
      <w:pPr>
        <w:pStyle w:val="Bibliography"/>
      </w:pPr>
      <w:r w:rsidRPr="00CC6CA3">
        <w:t>[10]</w:t>
      </w:r>
      <w:r w:rsidRPr="00CC6CA3">
        <w:tab/>
        <w:t xml:space="preserve">J. D. Campbell, J. V. Reyes-Picknell, and H. S. Kim, </w:t>
      </w:r>
      <w:r w:rsidRPr="00CC6CA3">
        <w:rPr>
          <w:i/>
          <w:iCs/>
        </w:rPr>
        <w:t>Uptime: Strategies for excellence in maintenance management</w:t>
      </w:r>
      <w:r w:rsidRPr="00CC6CA3">
        <w:t>. CRC Press, 2015.</w:t>
      </w:r>
    </w:p>
    <w:p w14:paraId="5D266FC2" w14:textId="77777777" w:rsidR="007D1BCC" w:rsidRPr="00CC6CA3" w:rsidRDefault="007D1BCC" w:rsidP="007D1BCC">
      <w:pPr>
        <w:pStyle w:val="Bibliography"/>
      </w:pPr>
      <w:r w:rsidRPr="00CC6CA3">
        <w:t>[11]</w:t>
      </w:r>
      <w:r w:rsidRPr="00CC6CA3">
        <w:tab/>
        <w:t xml:space="preserve">Clarence W. de Silva, </w:t>
      </w:r>
      <w:r w:rsidRPr="00CC6CA3">
        <w:rPr>
          <w:i/>
          <w:iCs/>
        </w:rPr>
        <w:t>Vibration Monitoring, Testing, and Instrumentation</w:t>
      </w:r>
      <w:r w:rsidRPr="00CC6CA3">
        <w:t>. Taylor &amp; Francis Group, LLC, 2007. Accessed: Aug. 04, 2013. [Online]. Available: http://www.crcpress.com/product/isbn/9781420053197</w:t>
      </w:r>
    </w:p>
    <w:p w14:paraId="269A59D8" w14:textId="77777777" w:rsidR="007D1BCC" w:rsidRPr="00CC6CA3" w:rsidRDefault="007D1BCC" w:rsidP="007D1BCC">
      <w:pPr>
        <w:pStyle w:val="Bibliography"/>
      </w:pPr>
      <w:r w:rsidRPr="00CC6CA3">
        <w:t>[12]</w:t>
      </w:r>
      <w:r w:rsidRPr="00CC6CA3">
        <w:tab/>
        <w:t xml:space="preserve">G. O. Allgood, W. W. Manges, and S. F. Smith, ‘It’s time for sensors to go wireless. Part 2: Take a good technology and make it an economic success’, </w:t>
      </w:r>
      <w:r w:rsidRPr="00CC6CA3">
        <w:rPr>
          <w:i/>
          <w:iCs/>
        </w:rPr>
        <w:t>Sens. Peterb. NH</w:t>
      </w:r>
      <w:r w:rsidRPr="00CC6CA3">
        <w:t>, vol. 16, no. 5, 1999.</w:t>
      </w:r>
    </w:p>
    <w:p w14:paraId="0A756A52" w14:textId="77777777" w:rsidR="007D1BCC" w:rsidRPr="00CC6CA3" w:rsidRDefault="007D1BCC" w:rsidP="007D1BCC">
      <w:pPr>
        <w:pStyle w:val="Bibliography"/>
      </w:pPr>
      <w:r w:rsidRPr="00CC6CA3">
        <w:t>[13]</w:t>
      </w:r>
      <w:r w:rsidRPr="00CC6CA3">
        <w:tab/>
        <w:t xml:space="preserve">G.-L. Liao, ‘Optimal economic production quantity policy for randomly failing process with minimal repair, backorder and preventive maintenance’, </w:t>
      </w:r>
      <w:r w:rsidRPr="00CC6CA3">
        <w:rPr>
          <w:i/>
          <w:iCs/>
        </w:rPr>
        <w:t>Int. J. Syst. Sci.</w:t>
      </w:r>
      <w:r w:rsidRPr="00CC6CA3">
        <w:t>, vol. 44, no. 9, pp. 1602–1612, Sep. 2013, doi: 10.1080/00207721.2012.659702.</w:t>
      </w:r>
    </w:p>
    <w:p w14:paraId="557C7DC4" w14:textId="77777777" w:rsidR="007D1BCC" w:rsidRPr="00CC6CA3" w:rsidRDefault="007D1BCC" w:rsidP="007D1BCC">
      <w:pPr>
        <w:pStyle w:val="Bibliography"/>
      </w:pPr>
      <w:r w:rsidRPr="00CC6CA3">
        <w:t>[14]</w:t>
      </w:r>
      <w:r w:rsidRPr="00CC6CA3">
        <w:tab/>
        <w:t xml:space="preserve">A. K. S. Jardine, D. Lin, and D. Banjevic, ‘A review on machinery diagnostics and prognostics implementing condition-based maintenance’, </w:t>
      </w:r>
      <w:r w:rsidRPr="00CC6CA3">
        <w:rPr>
          <w:i/>
          <w:iCs/>
        </w:rPr>
        <w:t>Mech. Syst. Signal Process.</w:t>
      </w:r>
      <w:r w:rsidRPr="00CC6CA3">
        <w:t>, vol. 20, no. 7, pp. 1483–1510, Oct. 2006, doi: 10.1016/j.ymssp.2005.09.012.</w:t>
      </w:r>
    </w:p>
    <w:p w14:paraId="23F1A7F7" w14:textId="77777777" w:rsidR="007D1BCC" w:rsidRPr="00CC6CA3" w:rsidRDefault="007D1BCC" w:rsidP="007D1BCC">
      <w:pPr>
        <w:pStyle w:val="Bibliography"/>
      </w:pPr>
      <w:r w:rsidRPr="00CC6CA3">
        <w:t>[15]</w:t>
      </w:r>
      <w:r w:rsidRPr="00CC6CA3">
        <w:tab/>
        <w:t xml:space="preserve">R. Ahmad and S. Kamaruddin, ‘An overview of time-based and condition-based maintenance in industrial application’, </w:t>
      </w:r>
      <w:r w:rsidRPr="00CC6CA3">
        <w:rPr>
          <w:i/>
          <w:iCs/>
        </w:rPr>
        <w:t>Comput. Ind. Eng.</w:t>
      </w:r>
      <w:r w:rsidRPr="00CC6CA3">
        <w:t>, vol. 63, no. 1, pp. 135–149, 2012.</w:t>
      </w:r>
    </w:p>
    <w:p w14:paraId="08C56774" w14:textId="77777777" w:rsidR="007D1BCC" w:rsidRPr="00CC6CA3" w:rsidRDefault="007D1BCC" w:rsidP="007D1BCC">
      <w:pPr>
        <w:pStyle w:val="Bibliography"/>
      </w:pPr>
      <w:r w:rsidRPr="00CC6CA3">
        <w:t>[16]</w:t>
      </w:r>
      <w:r w:rsidRPr="00CC6CA3">
        <w:tab/>
        <w:t xml:space="preserve">R. Barlow and L. Hunter, ‘Optimum preventive maintenance policies’, </w:t>
      </w:r>
      <w:r w:rsidRPr="00CC6CA3">
        <w:rPr>
          <w:i/>
          <w:iCs/>
        </w:rPr>
        <w:t>Oper. Res.</w:t>
      </w:r>
      <w:r w:rsidRPr="00CC6CA3">
        <w:t>, vol. 8, no. 1, pp. 90–100, 1960.</w:t>
      </w:r>
    </w:p>
    <w:p w14:paraId="181E93E0" w14:textId="77777777" w:rsidR="007D1BCC" w:rsidRPr="00CC6CA3" w:rsidRDefault="007D1BCC" w:rsidP="007D1BCC">
      <w:pPr>
        <w:pStyle w:val="Bibliography"/>
      </w:pPr>
      <w:r w:rsidRPr="00CC6CA3">
        <w:t>[17]</w:t>
      </w:r>
      <w:r w:rsidRPr="00CC6CA3">
        <w:tab/>
        <w:t xml:space="preserve">N. S. Arunraj and J. Maiti, ‘Risk-based maintenance—Techniques and applications’, </w:t>
      </w:r>
      <w:r w:rsidRPr="00CC6CA3">
        <w:rPr>
          <w:i/>
          <w:iCs/>
        </w:rPr>
        <w:t>J. Hazard. Mater.</w:t>
      </w:r>
      <w:r w:rsidRPr="00CC6CA3">
        <w:t>, vol. 142, no. 3, pp. 653–661, 2007.</w:t>
      </w:r>
    </w:p>
    <w:p w14:paraId="681BBDD5" w14:textId="77777777" w:rsidR="007D1BCC" w:rsidRPr="00CC6CA3" w:rsidRDefault="007D1BCC" w:rsidP="007D1BCC">
      <w:pPr>
        <w:pStyle w:val="Bibliography"/>
      </w:pPr>
      <w:r w:rsidRPr="00CC6CA3">
        <w:t>[18]</w:t>
      </w:r>
      <w:r w:rsidRPr="00CC6CA3">
        <w:tab/>
        <w:t xml:space="preserve">J. B. Wintle, Great Britain, Health and Safety Commission, and Royal &amp; SunAlliance, </w:t>
      </w:r>
      <w:r w:rsidRPr="00CC6CA3">
        <w:rPr>
          <w:i/>
          <w:iCs/>
        </w:rPr>
        <w:t>Best practice for risk based inspection as a part of plant integrity management</w:t>
      </w:r>
      <w:r w:rsidRPr="00CC6CA3">
        <w:t>. Sudbury: HSE Books, 2001.</w:t>
      </w:r>
    </w:p>
    <w:p w14:paraId="0B4E7CD5" w14:textId="77777777" w:rsidR="007D1BCC" w:rsidRPr="00CC6CA3" w:rsidRDefault="007D1BCC" w:rsidP="007D1BCC">
      <w:pPr>
        <w:pStyle w:val="Bibliography"/>
      </w:pPr>
      <w:r w:rsidRPr="00CC6CA3">
        <w:t>[19]</w:t>
      </w:r>
      <w:r w:rsidRPr="00CC6CA3">
        <w:tab/>
        <w:t xml:space="preserve">U. R. Bharadwaj, V. V. Silberschmidt, and J. B. Wintle, ‘RISK BASED OPTIMISATION OF SPARES INVENTORY MANAGEMENT.’, </w:t>
      </w:r>
      <w:r w:rsidRPr="00CC6CA3">
        <w:rPr>
          <w:i/>
          <w:iCs/>
        </w:rPr>
        <w:t>Adv. Prod. Eng. Manag.</w:t>
      </w:r>
      <w:r w:rsidRPr="00CC6CA3">
        <w:t>, vol. 6, no. 3, 2011.</w:t>
      </w:r>
    </w:p>
    <w:p w14:paraId="5D17B2CC" w14:textId="77777777" w:rsidR="007D1BCC" w:rsidRPr="00CC6CA3" w:rsidRDefault="007D1BCC" w:rsidP="007D1BCC">
      <w:pPr>
        <w:pStyle w:val="Bibliography"/>
      </w:pPr>
      <w:r w:rsidRPr="00CC6CA3">
        <w:t>[20]</w:t>
      </w:r>
      <w:r w:rsidRPr="00CC6CA3">
        <w:tab/>
        <w:t xml:space="preserve">U. R. Bharadwaj, V. V. Silberschmidt, and J. B. Wintle, ‘A risk based approach to asset integrity management’, </w:t>
      </w:r>
      <w:r w:rsidRPr="00CC6CA3">
        <w:rPr>
          <w:i/>
          <w:iCs/>
        </w:rPr>
        <w:t>J. Qual. Maint. Eng.</w:t>
      </w:r>
      <w:r w:rsidRPr="00CC6CA3">
        <w:t>, vol. 18, no. 4, pp. 417–431, 2012.</w:t>
      </w:r>
    </w:p>
    <w:p w14:paraId="71331785" w14:textId="77777777" w:rsidR="007D1BCC" w:rsidRPr="00CC6CA3" w:rsidRDefault="007D1BCC" w:rsidP="007D1BCC">
      <w:pPr>
        <w:pStyle w:val="Bibliography"/>
      </w:pPr>
      <w:r w:rsidRPr="00CC6CA3">
        <w:t>[21]</w:t>
      </w:r>
      <w:r w:rsidRPr="00CC6CA3">
        <w:tab/>
        <w:t xml:space="preserve">U. Bharadwaj and J. Wintle, ‘Risk-based optimization of inspection planning in ships’, </w:t>
      </w:r>
      <w:r w:rsidRPr="00CC6CA3">
        <w:rPr>
          <w:i/>
          <w:iCs/>
        </w:rPr>
        <w:t>J. Ship Prod. Des.</w:t>
      </w:r>
      <w:r w:rsidRPr="00CC6CA3">
        <w:t>, vol. 27, no. 3, pp. 111–117, 2011.</w:t>
      </w:r>
    </w:p>
    <w:p w14:paraId="501A3A3C" w14:textId="77777777" w:rsidR="007D1BCC" w:rsidRPr="00CC6CA3" w:rsidRDefault="007D1BCC" w:rsidP="007D1BCC">
      <w:pPr>
        <w:pStyle w:val="Bibliography"/>
      </w:pPr>
      <w:r w:rsidRPr="00CC6CA3">
        <w:t>[22]</w:t>
      </w:r>
      <w:r w:rsidRPr="00CC6CA3">
        <w:tab/>
        <w:t>U. R. Bharadwaj, ‘Risk based life management of offshore structures and equipment’, PhD Thesis, \copyright Ujjwal Ramakant Bharadwaj, 2010.</w:t>
      </w:r>
    </w:p>
    <w:p w14:paraId="1938DF73" w14:textId="77777777" w:rsidR="007D1BCC" w:rsidRPr="00CC6CA3" w:rsidRDefault="007D1BCC" w:rsidP="007D1BCC">
      <w:pPr>
        <w:pStyle w:val="Bibliography"/>
      </w:pPr>
      <w:r w:rsidRPr="00CC6CA3">
        <w:t>[23]</w:t>
      </w:r>
      <w:r w:rsidRPr="00CC6CA3">
        <w:tab/>
        <w:t>M. Brown, ‘The Pros and Cons of Risk Based Inspection (RBI)’, Jan. 16, 2017. https://www.britishengineeringservices.co.uk/blog/the-pros-and-cons-of-risk-based-inspection-rbi (accessed May 06, 2019).</w:t>
      </w:r>
    </w:p>
    <w:p w14:paraId="35E0F57A" w14:textId="77777777" w:rsidR="007D1BCC" w:rsidRPr="00CC6CA3" w:rsidRDefault="007D1BCC" w:rsidP="007D1BCC">
      <w:pPr>
        <w:pStyle w:val="Bibliography"/>
      </w:pPr>
      <w:r w:rsidRPr="00CC6CA3">
        <w:t>[24]</w:t>
      </w:r>
      <w:r w:rsidRPr="00CC6CA3">
        <w:tab/>
        <w:t xml:space="preserve">American Petroleum Institute, </w:t>
      </w:r>
      <w:r w:rsidRPr="00CC6CA3">
        <w:rPr>
          <w:i/>
          <w:iCs/>
        </w:rPr>
        <w:t>API Recommended Practice 581 - Risk-Based Inspection Technology</w:t>
      </w:r>
      <w:r w:rsidRPr="00CC6CA3">
        <w:t>, 2nd ed. 2008.</w:t>
      </w:r>
    </w:p>
    <w:p w14:paraId="123613BA" w14:textId="77777777" w:rsidR="007D1BCC" w:rsidRPr="00CC6CA3" w:rsidRDefault="007D1BCC" w:rsidP="007D1BCC">
      <w:pPr>
        <w:pStyle w:val="Bibliography"/>
      </w:pPr>
      <w:r w:rsidRPr="00CC6CA3">
        <w:lastRenderedPageBreak/>
        <w:t>[25]</w:t>
      </w:r>
      <w:r w:rsidRPr="00CC6CA3">
        <w:tab/>
        <w:t xml:space="preserve">J. Veldman, W. Klingenberg, and H. Wortmann, ‘Managing condition-based maintenance technology’, </w:t>
      </w:r>
      <w:r w:rsidRPr="00CC6CA3">
        <w:rPr>
          <w:i/>
          <w:iCs/>
        </w:rPr>
        <w:t>J. Qual. Maint. Eng.</w:t>
      </w:r>
      <w:r w:rsidRPr="00CC6CA3">
        <w:t>, vol. 17, no. 1, pp. 40–62, 2011, doi: 10.1108/13552511111116240.</w:t>
      </w:r>
    </w:p>
    <w:p w14:paraId="3F9F8835" w14:textId="77777777" w:rsidR="007D1BCC" w:rsidRPr="00CC6CA3" w:rsidRDefault="007D1BCC" w:rsidP="007D1BCC">
      <w:pPr>
        <w:pStyle w:val="Bibliography"/>
      </w:pPr>
      <w:r w:rsidRPr="00CC6CA3">
        <w:t>[26]</w:t>
      </w:r>
      <w:r w:rsidRPr="00CC6CA3">
        <w:tab/>
        <w:t xml:space="preserve">R. Ahmad and S. Kamaruddin, ‘A review of condition-based maintenance decision-making’, </w:t>
      </w:r>
      <w:r w:rsidRPr="00CC6CA3">
        <w:rPr>
          <w:i/>
          <w:iCs/>
        </w:rPr>
        <w:t>Eur. J Ind. Eng.</w:t>
      </w:r>
      <w:r w:rsidRPr="00CC6CA3">
        <w:t>, vol. 6, no. 5, p. 519, 2012, doi: 10.1504/EJIE.2012.048854.</w:t>
      </w:r>
    </w:p>
    <w:p w14:paraId="66393796" w14:textId="77777777" w:rsidR="007D1BCC" w:rsidRPr="00CC6CA3" w:rsidRDefault="007D1BCC" w:rsidP="007D1BCC">
      <w:pPr>
        <w:pStyle w:val="Bibliography"/>
      </w:pPr>
      <w:r w:rsidRPr="00CC6CA3">
        <w:t>[27]</w:t>
      </w:r>
      <w:r w:rsidRPr="00CC6CA3">
        <w:tab/>
        <w:t xml:space="preserve">H. Wang, F. Khan, S. Ahmed, and S. Imtiaz, ‘Dynamic quantitative operational risk assessment of chemical processes’, </w:t>
      </w:r>
      <w:r w:rsidRPr="00CC6CA3">
        <w:rPr>
          <w:i/>
          <w:iCs/>
        </w:rPr>
        <w:t>Chem. Eng. Sci.</w:t>
      </w:r>
      <w:r w:rsidRPr="00CC6CA3">
        <w:t>, vol. 142, pp. 62–78, Mar. 2016, doi: 10.1016/j.ces.2015.11.034.</w:t>
      </w:r>
    </w:p>
    <w:p w14:paraId="3C1669A2" w14:textId="77777777" w:rsidR="007D1BCC" w:rsidRPr="00CC6CA3" w:rsidRDefault="007D1BCC" w:rsidP="007D1BCC">
      <w:pPr>
        <w:pStyle w:val="Bibliography"/>
      </w:pPr>
      <w:r w:rsidRPr="00CC6CA3">
        <w:t>[28]</w:t>
      </w:r>
      <w:r w:rsidRPr="00CC6CA3">
        <w:tab/>
        <w:t xml:space="preserve">G. Zhou, </w:t>
      </w:r>
      <w:r w:rsidRPr="00CC6CA3">
        <w:rPr>
          <w:i/>
          <w:iCs/>
        </w:rPr>
        <w:t>The compressor maintenance manuals</w:t>
      </w:r>
      <w:r w:rsidRPr="00CC6CA3">
        <w:t>. Beijing: Chemical Industry Press, 2010.</w:t>
      </w:r>
    </w:p>
    <w:p w14:paraId="42DF3428" w14:textId="77777777" w:rsidR="007D1BCC" w:rsidRPr="00CC6CA3" w:rsidRDefault="007D1BCC" w:rsidP="007D1BCC">
      <w:pPr>
        <w:pStyle w:val="Bibliography"/>
      </w:pPr>
      <w:r w:rsidRPr="00CC6CA3">
        <w:t>[29]</w:t>
      </w:r>
      <w:r w:rsidRPr="00CC6CA3">
        <w:tab/>
        <w:t>R. Salamat, ‘Gas path diagnostics for compressors’, 2012. Accessed: Apr. 08, 2017. [Online]. Available: https://dspace.lib.cranfield.ac.uk/handle/1826/7889</w:t>
      </w:r>
    </w:p>
    <w:p w14:paraId="07E0C73D" w14:textId="77777777" w:rsidR="007D1BCC" w:rsidRPr="00CC6CA3" w:rsidRDefault="007D1BCC" w:rsidP="007D1BCC">
      <w:pPr>
        <w:pStyle w:val="Bibliography"/>
      </w:pPr>
      <w:r w:rsidRPr="00CC6CA3">
        <w:t>[30]</w:t>
      </w:r>
      <w:r w:rsidRPr="00CC6CA3">
        <w:tab/>
        <w:t xml:space="preserve">H. Li, X. Zhang, and F. Xu, ‘Experimental Investigation on Centrifugal Compressor Blade Crack Classification Using the Squared Envelope Spectrum’, </w:t>
      </w:r>
      <w:r w:rsidRPr="00CC6CA3">
        <w:rPr>
          <w:i/>
          <w:iCs/>
        </w:rPr>
        <w:t>Sensors</w:t>
      </w:r>
      <w:r w:rsidRPr="00CC6CA3">
        <w:t>, vol. 13, no. 9, pp. 12548–12563, Sep. 2013, doi: 10.3390/s130912548.</w:t>
      </w:r>
    </w:p>
    <w:p w14:paraId="5548276E" w14:textId="77777777" w:rsidR="007D1BCC" w:rsidRPr="00CC6CA3" w:rsidRDefault="007D1BCC" w:rsidP="007D1BCC">
      <w:pPr>
        <w:pStyle w:val="Bibliography"/>
      </w:pPr>
      <w:r w:rsidRPr="00CC6CA3">
        <w:t>[31]</w:t>
      </w:r>
      <w:r w:rsidRPr="00CC6CA3">
        <w:tab/>
        <w:t xml:space="preserve">J. M. M. e Silva and F. P. da Silva, </w:t>
      </w:r>
      <w:r w:rsidRPr="00CC6CA3">
        <w:rPr>
          <w:i/>
          <w:iCs/>
        </w:rPr>
        <w:t>Vibration and Wear in High Speed Rotating Machinery</w:t>
      </w:r>
      <w:r w:rsidRPr="00CC6CA3">
        <w:t>. Springer Science &amp; Business Media, 2012.</w:t>
      </w:r>
    </w:p>
    <w:p w14:paraId="4C1D909C" w14:textId="77777777" w:rsidR="007D1BCC" w:rsidRPr="00CC6CA3" w:rsidRDefault="007D1BCC" w:rsidP="007D1BCC">
      <w:pPr>
        <w:pStyle w:val="Bibliography"/>
      </w:pPr>
      <w:r w:rsidRPr="00CC6CA3">
        <w:t>[32]</w:t>
      </w:r>
      <w:r w:rsidRPr="00CC6CA3">
        <w:tab/>
        <w:t xml:space="preserve">H. Y. Zhu, C. L. Zhang, and B. J. Yang, ‘Fault Diagnosis of Rotating Machineries and its Development Trend’, </w:t>
      </w:r>
      <w:r w:rsidRPr="00CC6CA3">
        <w:rPr>
          <w:i/>
          <w:iCs/>
        </w:rPr>
        <w:t>Adv. Mater. Res.</w:t>
      </w:r>
      <w:r w:rsidRPr="00CC6CA3">
        <w:t>, vol. 591–593, pp. 2118–2122, 2012, doi: 10.4028/www.scientific.net/AMR.591-593.2118.</w:t>
      </w:r>
    </w:p>
    <w:p w14:paraId="25418EDC" w14:textId="77777777" w:rsidR="007D1BCC" w:rsidRPr="00CC6CA3" w:rsidRDefault="007D1BCC" w:rsidP="007D1BCC">
      <w:pPr>
        <w:pStyle w:val="Bibliography"/>
      </w:pPr>
      <w:r w:rsidRPr="00CC6CA3">
        <w:t>[33]</w:t>
      </w:r>
      <w:r w:rsidRPr="00CC6CA3">
        <w:tab/>
        <w:t xml:space="preserve">A. Rama Rao and B. K. Dutta, ‘Vibration analysis for detecting failure of compressor blade’, </w:t>
      </w:r>
      <w:r w:rsidRPr="00CC6CA3">
        <w:rPr>
          <w:i/>
          <w:iCs/>
        </w:rPr>
        <w:t>Eng. Fail. Anal.</w:t>
      </w:r>
      <w:r w:rsidRPr="00CC6CA3">
        <w:t>, vol. 25, pp. 211–218, Oct. 2012, doi: 10.1016/j.engfailanal.2012.05.012.</w:t>
      </w:r>
    </w:p>
    <w:p w14:paraId="5F124DC2" w14:textId="77777777" w:rsidR="007D1BCC" w:rsidRPr="00CC6CA3" w:rsidRDefault="007D1BCC" w:rsidP="007D1BCC">
      <w:pPr>
        <w:pStyle w:val="Bibliography"/>
      </w:pPr>
      <w:r w:rsidRPr="00CC6CA3">
        <w:t>[34]</w:t>
      </w:r>
      <w:r w:rsidRPr="00CC6CA3">
        <w:tab/>
        <w:t xml:space="preserve">R. Walker, S. Perinpanayagam, and I. K. Jennions, ‘Rotordynamic Faults: Recent Advances in Diagnosis and Prognosis’, </w:t>
      </w:r>
      <w:r w:rsidRPr="00CC6CA3">
        <w:rPr>
          <w:i/>
          <w:iCs/>
        </w:rPr>
        <w:t>Int. J. Rotating Mach.</w:t>
      </w:r>
      <w:r w:rsidRPr="00CC6CA3">
        <w:t>, vol. 2013, pp. 1–12, 2013, doi: 10.1155/2013/856865.</w:t>
      </w:r>
    </w:p>
    <w:p w14:paraId="5C3E0263" w14:textId="77777777" w:rsidR="007D1BCC" w:rsidRPr="00CC6CA3" w:rsidRDefault="007D1BCC" w:rsidP="007D1BCC">
      <w:pPr>
        <w:pStyle w:val="Bibliography"/>
      </w:pPr>
      <w:r w:rsidRPr="00CC6CA3">
        <w:t>[35]</w:t>
      </w:r>
      <w:r w:rsidRPr="00CC6CA3">
        <w:tab/>
        <w:t>D. N. Dewangan, Y. P. Banjare, and M. K. Jha, ‘Genetically Tuned Dual-ANFIS Model for Steam Turbine Fault Diagnosis and Treatment’.</w:t>
      </w:r>
    </w:p>
    <w:p w14:paraId="51EE73EB" w14:textId="77777777" w:rsidR="007D1BCC" w:rsidRPr="00CC6CA3" w:rsidRDefault="007D1BCC" w:rsidP="007D1BCC">
      <w:pPr>
        <w:pStyle w:val="Bibliography"/>
      </w:pPr>
      <w:r w:rsidRPr="00CC6CA3">
        <w:t>[36]</w:t>
      </w:r>
      <w:r w:rsidRPr="00CC6CA3">
        <w:tab/>
        <w:t xml:space="preserve">E. Cabrera, V. Espert, and F. Martínez, </w:t>
      </w:r>
      <w:r w:rsidRPr="00CC6CA3">
        <w:rPr>
          <w:i/>
          <w:iCs/>
        </w:rPr>
        <w:t>Hydraulic Machinery and Cavitation: Proceedings of the XVIII IAHR Symposium on Hydraulic Machinery and Cavitation</w:t>
      </w:r>
      <w:r w:rsidRPr="00CC6CA3">
        <w:t>. Springer, 2015.</w:t>
      </w:r>
    </w:p>
    <w:p w14:paraId="43E1E40D" w14:textId="77777777" w:rsidR="007D1BCC" w:rsidRPr="00CC6CA3" w:rsidRDefault="007D1BCC" w:rsidP="007D1BCC">
      <w:pPr>
        <w:pStyle w:val="Bibliography"/>
      </w:pPr>
      <w:r w:rsidRPr="00CC6CA3">
        <w:t>[37]</w:t>
      </w:r>
      <w:r w:rsidRPr="00CC6CA3">
        <w:tab/>
        <w:t xml:space="preserve">L. Saidi, J. Ben Ali, E. Bechhoefer, and M. Benbouzid, ‘Wind turbine high-speed shaft bearings health prognosis through a spectral Kurtosis-derived indices and SVR’, </w:t>
      </w:r>
      <w:r w:rsidRPr="00CC6CA3">
        <w:rPr>
          <w:i/>
          <w:iCs/>
        </w:rPr>
        <w:t>Appl. Acoust.</w:t>
      </w:r>
      <w:r w:rsidRPr="00CC6CA3">
        <w:t>, vol. 120, pp. 1–8, May 2017, doi: 10.1016/j.apacoust.2017.01.005.</w:t>
      </w:r>
    </w:p>
    <w:p w14:paraId="4BF68CDB" w14:textId="77777777" w:rsidR="007D1BCC" w:rsidRPr="00CC6CA3" w:rsidRDefault="007D1BCC" w:rsidP="007D1BCC">
      <w:pPr>
        <w:pStyle w:val="Bibliography"/>
      </w:pPr>
      <w:r w:rsidRPr="00CC6CA3">
        <w:t>[38]</w:t>
      </w:r>
      <w:r w:rsidRPr="00CC6CA3">
        <w:tab/>
        <w:t xml:space="preserve">D. Tóth, A. Szilágyi, and G. Takács, ‘Investigation of Rolling Element Bearings Using Time Domain Features’, in </w:t>
      </w:r>
      <w:r w:rsidRPr="00CC6CA3">
        <w:rPr>
          <w:i/>
          <w:iCs/>
        </w:rPr>
        <w:t>Vehicle and Automotive Engineering</w:t>
      </w:r>
      <w:r w:rsidRPr="00CC6CA3">
        <w:t>, Springer, Cham, 2017, pp. 3–12. doi: 10.1007/978-3-319-51189-4_1.</w:t>
      </w:r>
    </w:p>
    <w:p w14:paraId="4C8687FF" w14:textId="77777777" w:rsidR="007D1BCC" w:rsidRPr="00CC6CA3" w:rsidRDefault="007D1BCC" w:rsidP="007D1BCC">
      <w:pPr>
        <w:pStyle w:val="Bibliography"/>
      </w:pPr>
      <w:r w:rsidRPr="00CC6CA3">
        <w:t>[39]</w:t>
      </w:r>
      <w:r w:rsidRPr="00CC6CA3">
        <w:tab/>
        <w:t xml:space="preserve">B. Y. Kosasih, W. Caesarendra, K. Tieu, A. Widodo, C. A. S. Moodie, and A. K. Tieu, ‘Degradation Trend Estimation and Prognosis of Large Low Speed Slewing Bearing Lifetime’, </w:t>
      </w:r>
      <w:r w:rsidRPr="00CC6CA3">
        <w:rPr>
          <w:i/>
          <w:iCs/>
        </w:rPr>
        <w:t>Appl. Mech. Mater.</w:t>
      </w:r>
      <w:r w:rsidRPr="00CC6CA3">
        <w:t>, vol. 493, pp. 343–348, 2014, doi: 10.4028/www.scientific.net/AMM.493.343.</w:t>
      </w:r>
    </w:p>
    <w:p w14:paraId="601C24B1" w14:textId="77777777" w:rsidR="007D1BCC" w:rsidRPr="00CC6CA3" w:rsidRDefault="007D1BCC" w:rsidP="007D1BCC">
      <w:pPr>
        <w:pStyle w:val="Bibliography"/>
      </w:pPr>
      <w:r w:rsidRPr="00CC6CA3">
        <w:t>[40]</w:t>
      </w:r>
      <w:r w:rsidRPr="00CC6CA3">
        <w:tab/>
        <w:t xml:space="preserve">M. S. Safizadeh and S. K. Latifi, ‘Using multi-sensor data fusion for vibration fault diagnosis of rolling element bearings by accelerometer and load cell’, </w:t>
      </w:r>
      <w:r w:rsidRPr="00CC6CA3">
        <w:rPr>
          <w:i/>
          <w:iCs/>
        </w:rPr>
        <w:t>Inf. Fusion</w:t>
      </w:r>
      <w:r w:rsidRPr="00CC6CA3">
        <w:t>, vol. 18, pp. 1–8, Jul. 2014, doi: 10.1016/j.inffus.2013.10.002.</w:t>
      </w:r>
    </w:p>
    <w:p w14:paraId="32B87916" w14:textId="77777777" w:rsidR="007D1BCC" w:rsidRPr="00CC6CA3" w:rsidRDefault="007D1BCC" w:rsidP="007D1BCC">
      <w:pPr>
        <w:pStyle w:val="Bibliography"/>
      </w:pPr>
      <w:r w:rsidRPr="00CC6CA3">
        <w:t>[41]</w:t>
      </w:r>
      <w:r w:rsidRPr="00CC6CA3">
        <w:tab/>
        <w:t xml:space="preserve">R. B. Randall and J. Antoni, ‘Rolling element bearing diagnostics—A tutorial’, </w:t>
      </w:r>
      <w:r w:rsidRPr="00CC6CA3">
        <w:rPr>
          <w:i/>
          <w:iCs/>
        </w:rPr>
        <w:t>Mech. Syst. Signal Process.</w:t>
      </w:r>
      <w:r w:rsidRPr="00CC6CA3">
        <w:t>, vol. 25, no. 2, pp. 485–520, Feb. 2011, doi: 10.1016/j.ymssp.2010.07.017.</w:t>
      </w:r>
    </w:p>
    <w:p w14:paraId="6A0A1236" w14:textId="77777777" w:rsidR="007D1BCC" w:rsidRPr="00CC6CA3" w:rsidRDefault="007D1BCC" w:rsidP="007D1BCC">
      <w:pPr>
        <w:pStyle w:val="Bibliography"/>
      </w:pPr>
      <w:r w:rsidRPr="00CC6CA3">
        <w:t>[42]</w:t>
      </w:r>
      <w:r w:rsidRPr="00CC6CA3">
        <w:tab/>
        <w:t xml:space="preserve">N. Bachschmid, P. Pennacchi, and E. Tanzi, </w:t>
      </w:r>
      <w:r w:rsidRPr="00CC6CA3">
        <w:rPr>
          <w:i/>
          <w:iCs/>
        </w:rPr>
        <w:t>Cracked Rotors: A Survey on Static and Dynamic Behaviour Including Modelling and Diagnosis</w:t>
      </w:r>
      <w:r w:rsidRPr="00CC6CA3">
        <w:t>. Springer Science &amp; Business Media, 2010.</w:t>
      </w:r>
    </w:p>
    <w:p w14:paraId="1F699DED" w14:textId="77777777" w:rsidR="007D1BCC" w:rsidRPr="00CC6CA3" w:rsidRDefault="007D1BCC" w:rsidP="007D1BCC">
      <w:pPr>
        <w:pStyle w:val="Bibliography"/>
      </w:pPr>
      <w:r w:rsidRPr="00CC6CA3">
        <w:t>[43]</w:t>
      </w:r>
      <w:r w:rsidRPr="00CC6CA3">
        <w:tab/>
        <w:t xml:space="preserve">K. P. Maynard and M. Trethewey, ‘Blade and Shaft Crack Detection Using Torsional Vibration Measurements Part 2: Resampling to Improve Effective Dynamic Range’, </w:t>
      </w:r>
      <w:r w:rsidRPr="00CC6CA3">
        <w:rPr>
          <w:i/>
          <w:iCs/>
        </w:rPr>
        <w:t>Noise Vib. Worldw.</w:t>
      </w:r>
      <w:r w:rsidRPr="00CC6CA3">
        <w:t>, vol. 32, no. 2, pp. 23–26, Feb. 2001, doi: 10.1260/0957456011498281.</w:t>
      </w:r>
    </w:p>
    <w:p w14:paraId="31DC4DB0" w14:textId="77777777" w:rsidR="007D1BCC" w:rsidRPr="00CC6CA3" w:rsidRDefault="007D1BCC" w:rsidP="007D1BCC">
      <w:pPr>
        <w:pStyle w:val="Bibliography"/>
      </w:pPr>
      <w:r w:rsidRPr="00CC6CA3">
        <w:t>[44]</w:t>
      </w:r>
      <w:r w:rsidRPr="00CC6CA3">
        <w:tab/>
        <w:t xml:space="preserve">A. Vania and P. Pennacchi, ‘Shaft crack detection in a steam turbine: experimental evidences and model-based investigations’, in </w:t>
      </w:r>
      <w:r w:rsidRPr="00CC6CA3">
        <w:rPr>
          <w:i/>
          <w:iCs/>
        </w:rPr>
        <w:t>Proceedings of the ISMA 2010 Int. Conf. on Noise and Vibration Engineering</w:t>
      </w:r>
      <w:r w:rsidRPr="00CC6CA3">
        <w:t>, 2010, pp. 20–22.</w:t>
      </w:r>
    </w:p>
    <w:p w14:paraId="6B9D2271" w14:textId="77777777" w:rsidR="007D1BCC" w:rsidRPr="00CC6CA3" w:rsidRDefault="007D1BCC" w:rsidP="007D1BCC">
      <w:pPr>
        <w:pStyle w:val="Bibliography"/>
      </w:pPr>
      <w:r w:rsidRPr="00CC6CA3">
        <w:t>[45]</w:t>
      </w:r>
      <w:r w:rsidRPr="00CC6CA3">
        <w:tab/>
        <w:t xml:space="preserve">D. Bently and A. Muszynska, ‘Early detection of shaft cracks on fluid-handling machines’, in </w:t>
      </w:r>
      <w:r w:rsidRPr="00CC6CA3">
        <w:rPr>
          <w:i/>
          <w:iCs/>
        </w:rPr>
        <w:t>Proceedings of ASME International Symposium on Fluid Machinery Trouble Shooting, 1986 Winter Annual Meeting, Anaheim, CA, December</w:t>
      </w:r>
      <w:r w:rsidRPr="00CC6CA3">
        <w:t>, 1986, vol. 7, pp. 53–58.</w:t>
      </w:r>
    </w:p>
    <w:p w14:paraId="063F2A29" w14:textId="77777777" w:rsidR="007D1BCC" w:rsidRPr="00CC6CA3" w:rsidRDefault="007D1BCC" w:rsidP="007D1BCC">
      <w:pPr>
        <w:pStyle w:val="Bibliography"/>
      </w:pPr>
      <w:r w:rsidRPr="00CC6CA3">
        <w:t>[46]</w:t>
      </w:r>
      <w:r w:rsidRPr="00CC6CA3">
        <w:tab/>
        <w:t>J. W. Allen and J. S. Bohanick, ‘Cracked shaft diagnosis and detection on reactor recirculation pumps at Grand Gulf nuclear station’, 1991. Accessed: Apr. 08, 2017. [Online]. Available: https://inis.iaea.org/search/search.aspx?orig_q=RN:23011936</w:t>
      </w:r>
    </w:p>
    <w:p w14:paraId="404129F5" w14:textId="77777777" w:rsidR="007D1BCC" w:rsidRPr="00CC6CA3" w:rsidRDefault="007D1BCC" w:rsidP="007D1BCC">
      <w:pPr>
        <w:pStyle w:val="Bibliography"/>
      </w:pPr>
      <w:r w:rsidRPr="00CC6CA3">
        <w:t>[47]</w:t>
      </w:r>
      <w:r w:rsidRPr="00CC6CA3">
        <w:tab/>
        <w:t xml:space="preserve">A. Dimarogonas and G. Massouros, ‘Torsional vibration of a shaft with a circumferential crack’, </w:t>
      </w:r>
      <w:r w:rsidRPr="00CC6CA3">
        <w:rPr>
          <w:i/>
          <w:iCs/>
        </w:rPr>
        <w:t>Eng. Fract. Mech.</w:t>
      </w:r>
      <w:r w:rsidRPr="00CC6CA3">
        <w:t>, vol. 15, no. 3, pp. 439–444, Jan. 1981, doi: 10.1016/0013-7944(81)90069-2.</w:t>
      </w:r>
    </w:p>
    <w:p w14:paraId="1EF36549" w14:textId="77777777" w:rsidR="007D1BCC" w:rsidRPr="00CC6CA3" w:rsidRDefault="007D1BCC" w:rsidP="007D1BCC">
      <w:pPr>
        <w:pStyle w:val="Bibliography"/>
      </w:pPr>
      <w:r w:rsidRPr="00CC6CA3">
        <w:t>[48]</w:t>
      </w:r>
      <w:r w:rsidRPr="00CC6CA3">
        <w:tab/>
        <w:t xml:space="preserve">A. P. Bovsunovsky, ‘Efficiency analysis of vibration based crack diagnostics in rotating shafts’, </w:t>
      </w:r>
      <w:r w:rsidRPr="00CC6CA3">
        <w:rPr>
          <w:i/>
          <w:iCs/>
        </w:rPr>
        <w:t xml:space="preserve">Eng. </w:t>
      </w:r>
      <w:r w:rsidRPr="00CC6CA3">
        <w:rPr>
          <w:i/>
          <w:iCs/>
        </w:rPr>
        <w:lastRenderedPageBreak/>
        <w:t>Fract. Mech.</w:t>
      </w:r>
      <w:r w:rsidRPr="00CC6CA3">
        <w:t>, vol. 173, pp. 118–129, Mar. 2017, doi: 10.1016/j.engfracmech.2017.01.014.</w:t>
      </w:r>
    </w:p>
    <w:p w14:paraId="7A816DB8" w14:textId="77777777" w:rsidR="007D1BCC" w:rsidRPr="00CC6CA3" w:rsidRDefault="007D1BCC" w:rsidP="007D1BCC">
      <w:pPr>
        <w:pStyle w:val="Bibliography"/>
      </w:pPr>
      <w:r w:rsidRPr="00CC6CA3">
        <w:t>[49]</w:t>
      </w:r>
      <w:r w:rsidRPr="00CC6CA3">
        <w:tab/>
        <w:t xml:space="preserve">G. Sabnavis, R. G. Kirk, M. Kasarda, and D. Quinn, ‘Cracked Shaft Detection and Diagnostics: A Literature Review’, </w:t>
      </w:r>
      <w:r w:rsidRPr="00CC6CA3">
        <w:rPr>
          <w:i/>
          <w:iCs/>
        </w:rPr>
        <w:t>Shock Vib. Dig.</w:t>
      </w:r>
      <w:r w:rsidRPr="00CC6CA3">
        <w:t>, vol. 36, no. 4, pp. 287–296, Jul. 2004, doi: 10.1177/0583102404045439.</w:t>
      </w:r>
    </w:p>
    <w:p w14:paraId="525B21A1" w14:textId="77777777" w:rsidR="007D1BCC" w:rsidRPr="00CC6CA3" w:rsidRDefault="007D1BCC" w:rsidP="007D1BCC">
      <w:pPr>
        <w:pStyle w:val="Bibliography"/>
      </w:pPr>
      <w:r w:rsidRPr="00CC6CA3">
        <w:t>[50]</w:t>
      </w:r>
      <w:r w:rsidRPr="00CC6CA3">
        <w:tab/>
        <w:t xml:space="preserve">N. Fujisawa, S. Hara, and Y. Ohta, ‘Unsteady behavior of leading-edge vortex and diffuser stall in a centrifugal compressor with vaned diffuser’, </w:t>
      </w:r>
      <w:r w:rsidRPr="00CC6CA3">
        <w:rPr>
          <w:i/>
          <w:iCs/>
        </w:rPr>
        <w:t>J. Therm. Sci.</w:t>
      </w:r>
      <w:r w:rsidRPr="00CC6CA3">
        <w:t>, vol. 25, no. 1, pp. 13–21, Feb. 2016, doi: 10.1007/s11630-016-0829-z.</w:t>
      </w:r>
    </w:p>
    <w:p w14:paraId="0D260C03" w14:textId="77777777" w:rsidR="007D1BCC" w:rsidRPr="00CC6CA3" w:rsidRDefault="007D1BCC" w:rsidP="007D1BCC">
      <w:pPr>
        <w:pStyle w:val="Bibliography"/>
      </w:pPr>
      <w:r w:rsidRPr="00CC6CA3">
        <w:t>[51]</w:t>
      </w:r>
      <w:r w:rsidRPr="00CC6CA3">
        <w:tab/>
        <w:t>‘Haupt, U., Seidel, U., Abdel-Hamid, A. N., and Rautenberg, M., (1988), Unsteady Flow in a Centrifugal Compressor with Different Types of Vaned Diffusers, ASME Journal of Turbomachinery, vol.110, pp.293‒303.’.</w:t>
      </w:r>
    </w:p>
    <w:p w14:paraId="07A77F7F" w14:textId="77777777" w:rsidR="007D1BCC" w:rsidRPr="00CC6CA3" w:rsidRDefault="007D1BCC" w:rsidP="007D1BCC">
      <w:pPr>
        <w:pStyle w:val="Bibliography"/>
      </w:pPr>
      <w:r w:rsidRPr="00CC6CA3">
        <w:t>[52]</w:t>
      </w:r>
      <w:r w:rsidRPr="00CC6CA3">
        <w:tab/>
        <w:t xml:space="preserve">S. Teramoto, ‘Analysis of the entire surge cycle of a multi-stage high-speed compressor’, </w:t>
      </w:r>
      <w:r w:rsidRPr="00CC6CA3">
        <w:rPr>
          <w:i/>
          <w:iCs/>
        </w:rPr>
        <w:t>Cent. Turbul. Res. Annu. Res. Briefs Stanf. Univ. Stanf. CA</w:t>
      </w:r>
      <w:r w:rsidRPr="00CC6CA3">
        <w:t>, pp. 205–218, 2008.</w:t>
      </w:r>
    </w:p>
    <w:p w14:paraId="3FD2EBA6" w14:textId="77777777" w:rsidR="007D1BCC" w:rsidRPr="00CC6CA3" w:rsidRDefault="007D1BCC" w:rsidP="007D1BCC">
      <w:pPr>
        <w:pStyle w:val="Bibliography"/>
      </w:pPr>
      <w:r w:rsidRPr="00CC6CA3">
        <w:t>[53]</w:t>
      </w:r>
      <w:r w:rsidRPr="00CC6CA3">
        <w:tab/>
        <w:t xml:space="preserve">H. Nguyen-Schäfer, </w:t>
      </w:r>
      <w:r w:rsidRPr="00CC6CA3">
        <w:rPr>
          <w:i/>
          <w:iCs/>
        </w:rPr>
        <w:t>Aero and Vibroacoustics of Automotive Turbochargers</w:t>
      </w:r>
      <w:r w:rsidRPr="00CC6CA3">
        <w:t>. Springer Science &amp; Business Media, 2013.</w:t>
      </w:r>
    </w:p>
    <w:p w14:paraId="19A72835" w14:textId="77777777" w:rsidR="007D1BCC" w:rsidRPr="00CC6CA3" w:rsidRDefault="007D1BCC" w:rsidP="007D1BCC">
      <w:pPr>
        <w:pStyle w:val="Bibliography"/>
      </w:pPr>
      <w:r w:rsidRPr="00CC6CA3">
        <w:t>[54]</w:t>
      </w:r>
      <w:r w:rsidRPr="00CC6CA3">
        <w:tab/>
        <w:t xml:space="preserve">M. Vagani, A. Engeda, and M. J. Cave, ‘Prediction of impeller rotating stall onset using numerical simulations of a centrifugal compressor. Part 2: Evaluation of mass-flow fluctuations at rotor–stator interfaces’, </w:t>
      </w:r>
      <w:r w:rsidRPr="00CC6CA3">
        <w:rPr>
          <w:i/>
          <w:iCs/>
        </w:rPr>
        <w:t>Proc. Inst. Mech. Eng. Part J. Power Energy</w:t>
      </w:r>
      <w:r w:rsidRPr="00CC6CA3">
        <w:t>, vol. 227, no. 4, pp. 415–425, Jun. 2013, doi: 10.1177/0957650912474387.</w:t>
      </w:r>
    </w:p>
    <w:p w14:paraId="3CBE381F" w14:textId="77777777" w:rsidR="007D1BCC" w:rsidRPr="00CC6CA3" w:rsidRDefault="007D1BCC" w:rsidP="007D1BCC">
      <w:pPr>
        <w:pStyle w:val="Bibliography"/>
      </w:pPr>
      <w:r w:rsidRPr="00CC6CA3">
        <w:t>[55]</w:t>
      </w:r>
      <w:r w:rsidRPr="00CC6CA3">
        <w:tab/>
        <w:t xml:space="preserve">E. L. Jr, </w:t>
      </w:r>
      <w:r w:rsidRPr="00CC6CA3">
        <w:rPr>
          <w:i/>
          <w:iCs/>
        </w:rPr>
        <w:t>Handbook of Turbomachinery</w:t>
      </w:r>
      <w:r w:rsidRPr="00CC6CA3">
        <w:t>. CRC Press, 2003.</w:t>
      </w:r>
    </w:p>
    <w:p w14:paraId="687BBFF2" w14:textId="77777777" w:rsidR="007D1BCC" w:rsidRPr="00CC6CA3" w:rsidRDefault="007D1BCC" w:rsidP="007D1BCC">
      <w:pPr>
        <w:pStyle w:val="Bibliography"/>
      </w:pPr>
      <w:r w:rsidRPr="00CC6CA3">
        <w:t>[56]</w:t>
      </w:r>
      <w:r w:rsidRPr="00CC6CA3">
        <w:tab/>
        <w:t xml:space="preserve">B. Höss, D. Leinhos, and L. Fottner, ‘Stall inception in the compressor system of a turbofan engine’, in </w:t>
      </w:r>
      <w:r w:rsidRPr="00CC6CA3">
        <w:rPr>
          <w:i/>
          <w:iCs/>
        </w:rPr>
        <w:t>ASME 1998 International Gas Turbine and Aeroengine Congress and Exhibition</w:t>
      </w:r>
      <w:r w:rsidRPr="00CC6CA3">
        <w:t>, 1998, p. V001T01A113-V001T01A113. Accessed: Apr. 08, 2017. [Online]. Available: http://proceedings.asmedigitalcollection.asme.org/proceeding.aspx?articleid=2087343</w:t>
      </w:r>
    </w:p>
    <w:p w14:paraId="6E7F9A14" w14:textId="77777777" w:rsidR="007D1BCC" w:rsidRPr="00CC6CA3" w:rsidRDefault="007D1BCC" w:rsidP="007D1BCC">
      <w:pPr>
        <w:pStyle w:val="Bibliography"/>
      </w:pPr>
      <w:r w:rsidRPr="00CC6CA3">
        <w:t>[57]</w:t>
      </w:r>
      <w:r w:rsidRPr="00CC6CA3">
        <w:tab/>
        <w:t xml:space="preserve">K. B. M. Q. Zaman, D. J. Mckinzie, and C. L. Rumsey, ‘A natural low-frequency oscillation of the flow over an airfoil near stalling conditions’, </w:t>
      </w:r>
      <w:r w:rsidRPr="00CC6CA3">
        <w:rPr>
          <w:i/>
          <w:iCs/>
        </w:rPr>
        <w:t>J. Fluid Mech.</w:t>
      </w:r>
      <w:r w:rsidRPr="00CC6CA3">
        <w:t>, vol. 202, pp. 403–442, May 1989, doi: 10.1017/S0022112089001230.</w:t>
      </w:r>
    </w:p>
    <w:p w14:paraId="3046D213" w14:textId="77777777" w:rsidR="007D1BCC" w:rsidRPr="00CC6CA3" w:rsidRDefault="007D1BCC" w:rsidP="007D1BCC">
      <w:pPr>
        <w:pStyle w:val="Bibliography"/>
      </w:pPr>
      <w:r w:rsidRPr="00CC6CA3">
        <w:t>[58]</w:t>
      </w:r>
      <w:r w:rsidRPr="00CC6CA3">
        <w:tab/>
        <w:t>S. Bianchi, A. Corsini, and A. G. Sheard, ‘Stall Control and Recovery in a Low-Speed Axial Fan Through the Use of Variable Pitch in Motion Blades’, pp. 705–716, Jun. 2012, doi: 10.1115/GT2012-69042.</w:t>
      </w:r>
    </w:p>
    <w:p w14:paraId="27F5F074" w14:textId="77777777" w:rsidR="007D1BCC" w:rsidRPr="00CC6CA3" w:rsidRDefault="007D1BCC" w:rsidP="007D1BCC">
      <w:pPr>
        <w:pStyle w:val="Bibliography"/>
      </w:pPr>
      <w:r w:rsidRPr="00CC6CA3">
        <w:t>[59]</w:t>
      </w:r>
      <w:r w:rsidRPr="00CC6CA3">
        <w:tab/>
        <w:t xml:space="preserve">A. Bianchini </w:t>
      </w:r>
      <w:r w:rsidRPr="00CC6CA3">
        <w:rPr>
          <w:i/>
          <w:iCs/>
        </w:rPr>
        <w:t>et al.</w:t>
      </w:r>
      <w:r w:rsidRPr="00CC6CA3">
        <w:t xml:space="preserve">, ‘A Systematic Approach to Estimate the Impact of the Aerodynamic Force Induced by Rotating Stall in a Vaneless Diffuser on the Rotordynamic Behavior of Centrifugal Compressors’, </w:t>
      </w:r>
      <w:r w:rsidRPr="00CC6CA3">
        <w:rPr>
          <w:i/>
          <w:iCs/>
        </w:rPr>
        <w:t>J. Eng. Gas Turbines Power</w:t>
      </w:r>
      <w:r w:rsidRPr="00CC6CA3">
        <w:t>, vol. 135, no. 11, pp. 112502-112502–9, Sep. 2013, doi: 10.1115/1.4025065.</w:t>
      </w:r>
    </w:p>
    <w:p w14:paraId="21166BE8" w14:textId="77777777" w:rsidR="007D1BCC" w:rsidRPr="00CC6CA3" w:rsidRDefault="007D1BCC" w:rsidP="007D1BCC">
      <w:pPr>
        <w:pStyle w:val="Bibliography"/>
      </w:pPr>
      <w:r w:rsidRPr="00CC6CA3">
        <w:t>[60]</w:t>
      </w:r>
      <w:r w:rsidRPr="00CC6CA3">
        <w:tab/>
        <w:t>D. R. Smith and J. C. Wachel, ‘Experiences with nonsynchronous forced vibration in centrifugal compressors’, Dec. 1984. Accessed: Apr. 08, 2017. [Online]. Available: https://ntrs.nasa.gov/search.jsp?R=19850005810</w:t>
      </w:r>
    </w:p>
    <w:p w14:paraId="74366DFB" w14:textId="77777777" w:rsidR="007D1BCC" w:rsidRPr="00CC6CA3" w:rsidRDefault="007D1BCC" w:rsidP="007D1BCC">
      <w:pPr>
        <w:pStyle w:val="Bibliography"/>
      </w:pPr>
      <w:r w:rsidRPr="00CC6CA3">
        <w:t>[61]</w:t>
      </w:r>
      <w:r w:rsidRPr="00CC6CA3">
        <w:tab/>
        <w:t xml:space="preserve">J. T. Gravdahl and O. Egeland, </w:t>
      </w:r>
      <w:r w:rsidRPr="00CC6CA3">
        <w:rPr>
          <w:i/>
          <w:iCs/>
        </w:rPr>
        <w:t>Compressor Surge and Rotating Stall: Modeling and Control</w:t>
      </w:r>
      <w:r w:rsidRPr="00CC6CA3">
        <w:t>. Springer Science &amp; Business Media, 2012.</w:t>
      </w:r>
    </w:p>
    <w:p w14:paraId="67263A0E" w14:textId="77777777" w:rsidR="007D1BCC" w:rsidRPr="00CC6CA3" w:rsidRDefault="007D1BCC" w:rsidP="007D1BCC">
      <w:pPr>
        <w:pStyle w:val="Bibliography"/>
      </w:pPr>
      <w:r w:rsidRPr="00CC6CA3">
        <w:t>[62]</w:t>
      </w:r>
      <w:r w:rsidRPr="00CC6CA3">
        <w:tab/>
        <w:t xml:space="preserve">M. Waarli, </w:t>
      </w:r>
      <w:r w:rsidRPr="00CC6CA3">
        <w:rPr>
          <w:i/>
          <w:iCs/>
        </w:rPr>
        <w:t>Performance monitoring of compressors with electrical drive</w:t>
      </w:r>
      <w:r w:rsidRPr="00CC6CA3">
        <w:t>. 2010. Accessed: Apr. 08, 2017. [Online]. Available: http://www.diva-portal.org/smash/record.jsf?pid=diva2:375823</w:t>
      </w:r>
    </w:p>
    <w:p w14:paraId="408E1F4D" w14:textId="77777777" w:rsidR="007D1BCC" w:rsidRPr="00CC6CA3" w:rsidRDefault="007D1BCC" w:rsidP="007D1BCC">
      <w:pPr>
        <w:pStyle w:val="Bibliography"/>
      </w:pPr>
      <w:r w:rsidRPr="00CC6CA3">
        <w:t>[63]</w:t>
      </w:r>
      <w:r w:rsidRPr="00CC6CA3">
        <w:tab/>
        <w:t xml:space="preserve">X. Wu, Y. Liu, R. Liu, and L. Zhao, ‘Surge detection methods using empirical mode decomposition and continuous wavelet transform for a centrifugal compressor’, </w:t>
      </w:r>
      <w:r w:rsidRPr="00CC6CA3">
        <w:rPr>
          <w:i/>
          <w:iCs/>
        </w:rPr>
        <w:t>J. Mech. Sci. Technol.</w:t>
      </w:r>
      <w:r w:rsidRPr="00CC6CA3">
        <w:t>, vol. 30, no. 4, pp. 1533–1536, Apr. 2016, doi: 10.1007/s12206-016-0307-2.</w:t>
      </w:r>
    </w:p>
    <w:p w14:paraId="27539C40" w14:textId="77777777" w:rsidR="007D1BCC" w:rsidRPr="00CC6CA3" w:rsidRDefault="007D1BCC" w:rsidP="007D1BCC">
      <w:pPr>
        <w:pStyle w:val="Bibliography"/>
      </w:pPr>
      <w:r w:rsidRPr="00CC6CA3">
        <w:t>[64]</w:t>
      </w:r>
      <w:r w:rsidRPr="00CC6CA3">
        <w:tab/>
        <w:t xml:space="preserve">A. Ghanbariannaeeni and G. Ghazanfarihashemi, ‘Protecting a centrifugal compressor from surge’, </w:t>
      </w:r>
      <w:r w:rsidRPr="00CC6CA3">
        <w:rPr>
          <w:i/>
          <w:iCs/>
        </w:rPr>
        <w:t>Pipeline Gas J.</w:t>
      </w:r>
      <w:r w:rsidRPr="00CC6CA3">
        <w:t>, vol. 239, no. 3, pp. 60–66, 2012.</w:t>
      </w:r>
    </w:p>
    <w:p w14:paraId="4D9DFD78" w14:textId="77777777" w:rsidR="007D1BCC" w:rsidRPr="00CC6CA3" w:rsidRDefault="007D1BCC" w:rsidP="007D1BCC">
      <w:pPr>
        <w:pStyle w:val="Bibliography"/>
      </w:pPr>
      <w:r w:rsidRPr="00CC6CA3">
        <w:t>[65]</w:t>
      </w:r>
      <w:r w:rsidRPr="00CC6CA3">
        <w:tab/>
        <w:t xml:space="preserve">K. Brun </w:t>
      </w:r>
      <w:r w:rsidRPr="00CC6CA3">
        <w:rPr>
          <w:i/>
          <w:iCs/>
        </w:rPr>
        <w:t>et al.</w:t>
      </w:r>
      <w:r w:rsidRPr="00CC6CA3">
        <w:t xml:space="preserve">, ‘Application guideline for centrifugal compressor surge control systems’, </w:t>
      </w:r>
      <w:r w:rsidRPr="00CC6CA3">
        <w:rPr>
          <w:i/>
          <w:iCs/>
        </w:rPr>
        <w:t>Gas Mach. Res. Couns. Southwest Res. Inst. Release Version</w:t>
      </w:r>
      <w:r w:rsidRPr="00CC6CA3">
        <w:t>, vol. 4, 2008.</w:t>
      </w:r>
    </w:p>
    <w:p w14:paraId="4111C39A" w14:textId="77777777" w:rsidR="007D1BCC" w:rsidRPr="00CC6CA3" w:rsidRDefault="007D1BCC" w:rsidP="007D1BCC">
      <w:pPr>
        <w:pStyle w:val="Bibliography"/>
      </w:pPr>
      <w:r w:rsidRPr="00CC6CA3">
        <w:t>[66]</w:t>
      </w:r>
      <w:r w:rsidRPr="00CC6CA3">
        <w:tab/>
        <w:t xml:space="preserve">J. T. Gravdahl and O. Egeland, ‘Centrifugal compressor surge and speed control’, </w:t>
      </w:r>
      <w:r w:rsidRPr="00CC6CA3">
        <w:rPr>
          <w:i/>
          <w:iCs/>
        </w:rPr>
        <w:t>IEEE Trans. Control Syst. Technol.</w:t>
      </w:r>
      <w:r w:rsidRPr="00CC6CA3">
        <w:t>, vol. 7, no. 5, pp. 567–579, Sep. 1999, doi: 10.1109/87.784420.</w:t>
      </w:r>
    </w:p>
    <w:p w14:paraId="6189D112" w14:textId="77777777" w:rsidR="007D1BCC" w:rsidRPr="00CC6CA3" w:rsidRDefault="007D1BCC" w:rsidP="007D1BCC">
      <w:pPr>
        <w:pStyle w:val="Bibliography"/>
      </w:pPr>
      <w:r w:rsidRPr="00CC6CA3">
        <w:t>[67]</w:t>
      </w:r>
      <w:r w:rsidRPr="00CC6CA3">
        <w:tab/>
        <w:t>E. Sundström, ‘Centrifugal compressor flow instabilities at lowmass flow rate’, KTH Royal Institute of Technology, 2016. Accessed: Apr. 08, 2017. [Online]. Available: http://www.diva-portal.org/smash/record.jsf?pid=diva2:917199</w:t>
      </w:r>
    </w:p>
    <w:p w14:paraId="7F268F7A" w14:textId="77777777" w:rsidR="007D1BCC" w:rsidRPr="00CC6CA3" w:rsidRDefault="007D1BCC" w:rsidP="007D1BCC">
      <w:pPr>
        <w:pStyle w:val="Bibliography"/>
      </w:pPr>
      <w:r w:rsidRPr="00CC6CA3">
        <w:t>[68]</w:t>
      </w:r>
      <w:r w:rsidRPr="00CC6CA3">
        <w:tab/>
        <w:t xml:space="preserve">G. K. McMillan, </w:t>
      </w:r>
      <w:r w:rsidRPr="00CC6CA3">
        <w:rPr>
          <w:i/>
          <w:iCs/>
        </w:rPr>
        <w:t>Centrifugal and Axial Compressor Control</w:t>
      </w:r>
      <w:r w:rsidRPr="00CC6CA3">
        <w:t>. Momentum Press, 2010.</w:t>
      </w:r>
    </w:p>
    <w:p w14:paraId="055B49C3" w14:textId="77777777" w:rsidR="007D1BCC" w:rsidRPr="00CC6CA3" w:rsidRDefault="007D1BCC" w:rsidP="007D1BCC">
      <w:pPr>
        <w:pStyle w:val="Bibliography"/>
      </w:pPr>
      <w:r w:rsidRPr="00CC6CA3">
        <w:t>[69]</w:t>
      </w:r>
      <w:r w:rsidRPr="00CC6CA3">
        <w:tab/>
        <w:t>I. Haq and H. I. H. Saravanamuttoo, ‘Detection of Axial Compressor Fouling in High Ambient Temperature Conditions’, p. V003T07A006, Jun. 1991, doi: 10.1115/91-GT-067.</w:t>
      </w:r>
    </w:p>
    <w:p w14:paraId="1A297CDB" w14:textId="77777777" w:rsidR="007D1BCC" w:rsidRPr="00CC6CA3" w:rsidRDefault="007D1BCC" w:rsidP="007D1BCC">
      <w:pPr>
        <w:pStyle w:val="Bibliography"/>
      </w:pPr>
      <w:r w:rsidRPr="00CC6CA3">
        <w:t>[70]</w:t>
      </w:r>
      <w:r w:rsidRPr="00CC6CA3">
        <w:tab/>
        <w:t>M. O. Vigueras Zuniga, ‘Analysis of gas turbine compressor fouling and washing on line’, 2007. Accessed: Apr. 08, 2017. [Online]. Available: https://dspace.lib.cranfield.ac.uk/handle/1826/2448</w:t>
      </w:r>
    </w:p>
    <w:p w14:paraId="44A7AE2E" w14:textId="77777777" w:rsidR="007D1BCC" w:rsidRPr="00CC6CA3" w:rsidRDefault="007D1BCC" w:rsidP="007D1BCC">
      <w:pPr>
        <w:pStyle w:val="Bibliography"/>
      </w:pPr>
      <w:r w:rsidRPr="00CC6CA3">
        <w:t>[71]</w:t>
      </w:r>
      <w:r w:rsidRPr="00CC6CA3">
        <w:tab/>
        <w:t xml:space="preserve">C. B. Meher-Homji, M. Chaker, and A. F. Bromley, ‘The Fouling of Axial Flow Compressors: </w:t>
      </w:r>
      <w:r w:rsidRPr="00CC6CA3">
        <w:lastRenderedPageBreak/>
        <w:t>Causes, Effects, Susceptibility, and Sensitivity’, pp. 571–590, Jan. 2009, doi: 10.1115/GT2009-59239.</w:t>
      </w:r>
    </w:p>
    <w:p w14:paraId="6FD205A2" w14:textId="77777777" w:rsidR="007D1BCC" w:rsidRPr="00CC6CA3" w:rsidRDefault="007D1BCC" w:rsidP="007D1BCC">
      <w:pPr>
        <w:pStyle w:val="Bibliography"/>
      </w:pPr>
      <w:r w:rsidRPr="00CC6CA3">
        <w:t>[72]</w:t>
      </w:r>
      <w:r w:rsidRPr="00CC6CA3">
        <w:tab/>
        <w:t xml:space="preserve">M. E. Cottrell </w:t>
      </w:r>
      <w:r w:rsidRPr="00CC6CA3">
        <w:rPr>
          <w:i/>
          <w:iCs/>
        </w:rPr>
        <w:t>et al.</w:t>
      </w:r>
      <w:r w:rsidRPr="00CC6CA3">
        <w:t>, ‘Framework and method for monitoring equipment’, US20100257410 A1, Oct. 07, 2010 Accessed: Apr. 08, 2017. [Online]. Available: http://www.google.ch/patents/US20100257410</w:t>
      </w:r>
    </w:p>
    <w:p w14:paraId="672EF968" w14:textId="77777777" w:rsidR="007D1BCC" w:rsidRPr="00CC6CA3" w:rsidRDefault="007D1BCC" w:rsidP="007D1BCC">
      <w:pPr>
        <w:pStyle w:val="Bibliography"/>
      </w:pPr>
      <w:r w:rsidRPr="00CC6CA3">
        <w:t>[73]</w:t>
      </w:r>
      <w:r w:rsidRPr="00CC6CA3">
        <w:tab/>
        <w:t xml:space="preserve">C. B. Meher-Homji, ‘Blading vibration and failures in gas turbines: part B—compressor and turbine airfoil distress’, in </w:t>
      </w:r>
      <w:r w:rsidRPr="00CC6CA3">
        <w:rPr>
          <w:i/>
          <w:iCs/>
        </w:rPr>
        <w:t>ASME 1995 International Gas Turbine and Aeroengine Congress and Exposition</w:t>
      </w:r>
      <w:r w:rsidRPr="00CC6CA3">
        <w:t>, 1995, p. V004T11A015-V004T11A015. Accessed: Apr. 08, 2017. [Online]. Available: http://proceedings.asmedigitalcollection.asme.org/proceeding.aspx?articleid=2130420</w:t>
      </w:r>
    </w:p>
    <w:p w14:paraId="1022F7CE" w14:textId="77777777" w:rsidR="007D1BCC" w:rsidRPr="00CC6CA3" w:rsidRDefault="007D1BCC" w:rsidP="007D1BCC">
      <w:pPr>
        <w:pStyle w:val="Bibliography"/>
      </w:pPr>
      <w:r w:rsidRPr="00CC6CA3">
        <w:t>[74]</w:t>
      </w:r>
      <w:r w:rsidRPr="00CC6CA3">
        <w:tab/>
        <w:t>K. Kuechler, D. Lumgair, N. Coute, P. Chisholm, and C. V. Egmond, ‘Process and apparatus for mitigating compressor fouling in a compressor system’, US20040079392 A1, Apr. 29, 2004 Accessed: Apr. 08, 2017. [Online]. Available: http://www.google.ch/patents/US20040079392</w:t>
      </w:r>
    </w:p>
    <w:p w14:paraId="28895854" w14:textId="77777777" w:rsidR="007D1BCC" w:rsidRPr="00CC6CA3" w:rsidRDefault="007D1BCC" w:rsidP="007D1BCC">
      <w:pPr>
        <w:pStyle w:val="Bibliography"/>
      </w:pPr>
      <w:r w:rsidRPr="00CC6CA3">
        <w:t>[75]</w:t>
      </w:r>
      <w:r w:rsidRPr="00CC6CA3">
        <w:tab/>
        <w:t xml:space="preserve">T. Kourti and J. F. J. F. MacGregor, ‘Process analysis, monitoring and diagnosis, using multivariate projection methods’, </w:t>
      </w:r>
      <w:r w:rsidRPr="00CC6CA3">
        <w:rPr>
          <w:i/>
          <w:iCs/>
        </w:rPr>
        <w:t>Chemom. Intell. Lab. Syst.</w:t>
      </w:r>
      <w:r w:rsidRPr="00CC6CA3">
        <w:t>, vol. 28, pp. 3–21, 1995, doi: 10.1016/0169-7439(95)80036-9.</w:t>
      </w:r>
    </w:p>
    <w:p w14:paraId="380E54B9" w14:textId="77777777" w:rsidR="007D1BCC" w:rsidRPr="00CC6CA3" w:rsidRDefault="007D1BCC" w:rsidP="007D1BCC">
      <w:pPr>
        <w:pStyle w:val="Bibliography"/>
      </w:pPr>
      <w:r w:rsidRPr="00CC6CA3">
        <w:t>[76]</w:t>
      </w:r>
      <w:r w:rsidRPr="00CC6CA3">
        <w:tab/>
        <w:t xml:space="preserve">T. Kourti, ‘Application of latent variable methods to process control and multivariate statistical process control in industry’, </w:t>
      </w:r>
      <w:r w:rsidRPr="00CC6CA3">
        <w:rPr>
          <w:i/>
          <w:iCs/>
        </w:rPr>
        <w:t>Int. J. Adapt. Control Signal Process.</w:t>
      </w:r>
      <w:r w:rsidRPr="00CC6CA3">
        <w:t>, vol. 19, no. 4, pp. 213–246, 2005, doi: 10.1002/acs.859.</w:t>
      </w:r>
    </w:p>
    <w:p w14:paraId="18D51E9E" w14:textId="77777777" w:rsidR="007D1BCC" w:rsidRPr="00CC6CA3" w:rsidRDefault="007D1BCC" w:rsidP="007D1BCC">
      <w:pPr>
        <w:pStyle w:val="Bibliography"/>
      </w:pPr>
      <w:r w:rsidRPr="00CC6CA3">
        <w:t>[77]</w:t>
      </w:r>
      <w:r w:rsidRPr="00CC6CA3">
        <w:tab/>
        <w:t xml:space="preserve">B. D. E. Ketelaere, M. I. A. Hubert, and E. Schmitt, ‘Overview of PCA-Based Statistical Process-Monitoring Methods for Time-Dependent , High-Dimensional Data’, </w:t>
      </w:r>
      <w:r w:rsidRPr="00CC6CA3">
        <w:rPr>
          <w:i/>
          <w:iCs/>
        </w:rPr>
        <w:t>J. Qual. Technol.</w:t>
      </w:r>
      <w:r w:rsidRPr="00CC6CA3">
        <w:t>, vol. 47, no. 4, pp. 318–335, 2015.</w:t>
      </w:r>
    </w:p>
    <w:p w14:paraId="43044BF8" w14:textId="77777777" w:rsidR="007D1BCC" w:rsidRPr="00CC6CA3" w:rsidRDefault="007D1BCC" w:rsidP="007D1BCC">
      <w:pPr>
        <w:pStyle w:val="Bibliography"/>
      </w:pPr>
      <w:r w:rsidRPr="00CC6CA3">
        <w:t>[78]</w:t>
      </w:r>
      <w:r w:rsidRPr="00CC6CA3">
        <w:tab/>
        <w:t xml:space="preserve">S. J. Qin, ‘Survey on data-driven industrial process monitoring and diagnosis’, </w:t>
      </w:r>
      <w:r w:rsidRPr="00CC6CA3">
        <w:rPr>
          <w:i/>
          <w:iCs/>
        </w:rPr>
        <w:t>Annu. Rev. Control</w:t>
      </w:r>
      <w:r w:rsidRPr="00CC6CA3">
        <w:t>, vol. 36, no. 2, pp. 220–234, 2012, doi: 10.1016/j.arcontrol.2012.09.004.</w:t>
      </w:r>
    </w:p>
    <w:p w14:paraId="16E34841" w14:textId="77777777" w:rsidR="007D1BCC" w:rsidRPr="00CC6CA3" w:rsidRDefault="007D1BCC" w:rsidP="007D1BCC">
      <w:pPr>
        <w:pStyle w:val="Bibliography"/>
      </w:pPr>
      <w:r w:rsidRPr="00CC6CA3">
        <w:t>[79]</w:t>
      </w:r>
      <w:r w:rsidRPr="00CC6CA3">
        <w:tab/>
        <w:t xml:space="preserve">U. Kruger and L. Xie, </w:t>
      </w:r>
      <w:r w:rsidRPr="00CC6CA3">
        <w:rPr>
          <w:i/>
          <w:iCs/>
        </w:rPr>
        <w:t>Statistical Monitoring of Complex Multivariate Processes</w:t>
      </w:r>
      <w:r w:rsidRPr="00CC6CA3">
        <w:t>. Chichester, UK: John Wiley &amp; Sons, Ltd, 2012. doi: 10.1002/9780470517253.</w:t>
      </w:r>
    </w:p>
    <w:p w14:paraId="2857B351" w14:textId="77777777" w:rsidR="007D1BCC" w:rsidRPr="00CC6CA3" w:rsidRDefault="007D1BCC" w:rsidP="007D1BCC">
      <w:pPr>
        <w:pStyle w:val="Bibliography"/>
      </w:pPr>
      <w:r w:rsidRPr="00CC6CA3">
        <w:t>[80]</w:t>
      </w:r>
      <w:r w:rsidRPr="00CC6CA3">
        <w:tab/>
        <w:t xml:space="preserve">P. Nomikos and J. F. MacGregor, ‘Multivariate SPC Charts for Monitoring Batch Processes’, </w:t>
      </w:r>
      <w:r w:rsidRPr="00CC6CA3">
        <w:rPr>
          <w:i/>
          <w:iCs/>
        </w:rPr>
        <w:t>Technometrics</w:t>
      </w:r>
      <w:r w:rsidRPr="00CC6CA3">
        <w:t>, vol. 37, no. 1, pp. 41–59, Feb. 1995, doi: 10.1080/00401706.1995.10485888.</w:t>
      </w:r>
    </w:p>
    <w:p w14:paraId="4786EBC3" w14:textId="77777777" w:rsidR="007D1BCC" w:rsidRPr="00CC6CA3" w:rsidRDefault="007D1BCC" w:rsidP="007D1BCC">
      <w:pPr>
        <w:pStyle w:val="Bibliography"/>
      </w:pPr>
      <w:r w:rsidRPr="00CC6CA3">
        <w:t>[81]</w:t>
      </w:r>
      <w:r w:rsidRPr="00CC6CA3">
        <w:tab/>
        <w:t xml:space="preserve">S. Khatib and P. Daoutidis, ‘Multiple Hotelling’s T2 tests for distributed fault detection of large-scale systems’, </w:t>
      </w:r>
      <w:r w:rsidRPr="00CC6CA3">
        <w:rPr>
          <w:i/>
          <w:iCs/>
        </w:rPr>
        <w:t>Comput. Chem. Eng.</w:t>
      </w:r>
      <w:r w:rsidRPr="00CC6CA3">
        <w:t>, vol. 136, p. 106807, May 2020, doi: 10.1016/j.compchemeng.2020.106807.</w:t>
      </w:r>
    </w:p>
    <w:p w14:paraId="1E0F80AB" w14:textId="77777777" w:rsidR="007D1BCC" w:rsidRPr="00CC6CA3" w:rsidRDefault="007D1BCC" w:rsidP="007D1BCC">
      <w:pPr>
        <w:pStyle w:val="Bibliography"/>
      </w:pPr>
      <w:r w:rsidRPr="00CC6CA3">
        <w:t>[82]</w:t>
      </w:r>
      <w:r w:rsidRPr="00CC6CA3">
        <w:tab/>
        <w:t xml:space="preserve">X. Liang, F. Duan, I. Bennett, and D. Mba, ‘A Sparse Autoencoder-Based Unsupervised Scheme for Pump Fault Detection and Isolation’, </w:t>
      </w:r>
      <w:r w:rsidRPr="00CC6CA3">
        <w:rPr>
          <w:i/>
          <w:iCs/>
        </w:rPr>
        <w:t>Appl. Sci.</w:t>
      </w:r>
      <w:r w:rsidRPr="00CC6CA3">
        <w:t>, vol. 10, no. 19, p. 6789, 2020.</w:t>
      </w:r>
    </w:p>
    <w:p w14:paraId="53C7D804" w14:textId="77777777" w:rsidR="007D1BCC" w:rsidRPr="00CC6CA3" w:rsidRDefault="007D1BCC" w:rsidP="007D1BCC">
      <w:pPr>
        <w:pStyle w:val="Bibliography"/>
      </w:pPr>
      <w:r w:rsidRPr="00CC6CA3">
        <w:t>[83]</w:t>
      </w:r>
      <w:r w:rsidRPr="00CC6CA3">
        <w:tab/>
        <w:t xml:space="preserve">W. Qingfeng, L. Wenbin, Z. Xin, Y. Jianfeng, and Y. Qingbin, ‘Development and application of equipment maintenance and safety integrity management system’, </w:t>
      </w:r>
      <w:r w:rsidRPr="00CC6CA3">
        <w:rPr>
          <w:i/>
          <w:iCs/>
        </w:rPr>
        <w:t>J. Loss Prev. Process Ind.</w:t>
      </w:r>
      <w:r w:rsidRPr="00CC6CA3">
        <w:t>, vol. 24, no. 4, pp. 321–332, Jul. 2011, doi: 10.1016/j.jlp.2011.01.008.</w:t>
      </w:r>
    </w:p>
    <w:p w14:paraId="34B6FEA0" w14:textId="77777777" w:rsidR="007D1BCC" w:rsidRPr="00CC6CA3" w:rsidRDefault="007D1BCC" w:rsidP="007D1BCC">
      <w:pPr>
        <w:pStyle w:val="Bibliography"/>
      </w:pPr>
      <w:r w:rsidRPr="00CC6CA3">
        <w:t>[84]</w:t>
      </w:r>
      <w:r w:rsidRPr="00CC6CA3">
        <w:tab/>
        <w:t xml:space="preserve">T. Jin, Y. Ding, H. Guo, and N. Nalajala, ‘Managing wind turbine reliability and maintenance via performance-based contract’, in </w:t>
      </w:r>
      <w:r w:rsidRPr="00CC6CA3">
        <w:rPr>
          <w:i/>
          <w:iCs/>
        </w:rPr>
        <w:t>2012 IEEE Power and Energy Society General Meeting</w:t>
      </w:r>
      <w:r w:rsidRPr="00CC6CA3">
        <w:t>, Jul. 2012, pp. 1–6. doi: 10.1109/PESGM.2012.6344739.</w:t>
      </w:r>
    </w:p>
    <w:p w14:paraId="6B530C8D" w14:textId="77777777" w:rsidR="007D1BCC" w:rsidRPr="00CC6CA3" w:rsidRDefault="007D1BCC" w:rsidP="007D1BCC">
      <w:pPr>
        <w:pStyle w:val="Bibliography"/>
      </w:pPr>
      <w:r w:rsidRPr="00CC6CA3">
        <w:t>[85]</w:t>
      </w:r>
      <w:r w:rsidRPr="00CC6CA3">
        <w:tab/>
        <w:t>M. L. Holland, ‘Cost savings achievable through application of risk based inspection philosophies’, p. 8, 1998.</w:t>
      </w:r>
    </w:p>
    <w:p w14:paraId="6C15618D" w14:textId="77777777" w:rsidR="007D1BCC" w:rsidRPr="00CC6CA3" w:rsidRDefault="007D1BCC" w:rsidP="007D1BCC">
      <w:pPr>
        <w:pStyle w:val="Bibliography"/>
      </w:pPr>
      <w:r w:rsidRPr="00CC6CA3">
        <w:t>[86]</w:t>
      </w:r>
      <w:r w:rsidRPr="00CC6CA3">
        <w:tab/>
        <w:t xml:space="preserve">M. Kalantarnia, F. Khan, and K. Hawboldt, ‘Dynamic risk assessment using failure assessment and Bayesian theory’, </w:t>
      </w:r>
      <w:r w:rsidRPr="00CC6CA3">
        <w:rPr>
          <w:i/>
          <w:iCs/>
        </w:rPr>
        <w:t>J. Loss Prev. Process Ind.</w:t>
      </w:r>
      <w:r w:rsidRPr="00CC6CA3">
        <w:t>, vol. 22, no. 5, pp. 600–606, 2009.</w:t>
      </w:r>
    </w:p>
    <w:p w14:paraId="0B4C4075" w14:textId="77777777" w:rsidR="007D1BCC" w:rsidRPr="00CC6CA3" w:rsidRDefault="007D1BCC" w:rsidP="007D1BCC">
      <w:pPr>
        <w:pStyle w:val="Bibliography"/>
      </w:pPr>
      <w:r w:rsidRPr="00CC6CA3">
        <w:t>[87]</w:t>
      </w:r>
      <w:r w:rsidRPr="00CC6CA3">
        <w:tab/>
        <w:t xml:space="preserve">Y. Zhang and J. Jiang, ‘Bibliographical review on reconfigurable fault-tolerant control systems’, </w:t>
      </w:r>
      <w:r w:rsidRPr="00CC6CA3">
        <w:rPr>
          <w:i/>
          <w:iCs/>
        </w:rPr>
        <w:t>Annu. Rev. Control</w:t>
      </w:r>
      <w:r w:rsidRPr="00CC6CA3">
        <w:t>, vol. 32, no. 2, pp. 229–252, 2008.</w:t>
      </w:r>
    </w:p>
    <w:p w14:paraId="07518114" w14:textId="77777777" w:rsidR="007D1BCC" w:rsidRPr="00CC6CA3" w:rsidRDefault="007D1BCC" w:rsidP="007D1BCC">
      <w:pPr>
        <w:pStyle w:val="Bibliography"/>
      </w:pPr>
      <w:r w:rsidRPr="00CC6CA3">
        <w:t>[88]</w:t>
      </w:r>
      <w:r w:rsidRPr="00CC6CA3">
        <w:tab/>
        <w:t xml:space="preserve">C. S. Kallesoe, R. Izaili-Zamanabadi, H. Rasmussen, and V. Cocquempot, ‘Model based fault diagnosis in a centrifugal pump application using structural analysis’, in </w:t>
      </w:r>
      <w:r w:rsidRPr="00CC6CA3">
        <w:rPr>
          <w:i/>
          <w:iCs/>
        </w:rPr>
        <w:t>Proceedings of the 2004 IEEE International Conference on Control Applications, 2004.</w:t>
      </w:r>
      <w:r w:rsidRPr="00CC6CA3">
        <w:t>, 2004, vol. 2, pp. 1229–1235.</w:t>
      </w:r>
    </w:p>
    <w:p w14:paraId="5CD1950F" w14:textId="77777777" w:rsidR="007D1BCC" w:rsidRPr="00CC6CA3" w:rsidRDefault="007D1BCC" w:rsidP="007D1BCC">
      <w:pPr>
        <w:pStyle w:val="Bibliography"/>
      </w:pPr>
      <w:r w:rsidRPr="00CC6CA3">
        <w:t>[89]</w:t>
      </w:r>
      <w:r w:rsidRPr="00CC6CA3">
        <w:tab/>
        <w:t xml:space="preserve">R. Isermann, ‘Process fault detection based on modeling and estimation methods—A survey’, </w:t>
      </w:r>
      <w:r w:rsidRPr="00CC6CA3">
        <w:rPr>
          <w:i/>
          <w:iCs/>
        </w:rPr>
        <w:t>automatica</w:t>
      </w:r>
      <w:r w:rsidRPr="00CC6CA3">
        <w:t>, vol. 20, no. 4, pp. 387–404, 1984.</w:t>
      </w:r>
    </w:p>
    <w:p w14:paraId="6F505483" w14:textId="77777777" w:rsidR="007D1BCC" w:rsidRPr="00CC6CA3" w:rsidRDefault="007D1BCC" w:rsidP="007D1BCC">
      <w:pPr>
        <w:pStyle w:val="Bibliography"/>
      </w:pPr>
      <w:r w:rsidRPr="00CC6CA3">
        <w:t>[90]</w:t>
      </w:r>
      <w:r w:rsidRPr="00CC6CA3">
        <w:tab/>
        <w:t xml:space="preserve">P. M. Frank and X. Ding, ‘Survey of robust residual generation and evaluation methods in observer-based fault detection systems’, </w:t>
      </w:r>
      <w:r w:rsidRPr="00CC6CA3">
        <w:rPr>
          <w:i/>
          <w:iCs/>
        </w:rPr>
        <w:t>J. Process Control</w:t>
      </w:r>
      <w:r w:rsidRPr="00CC6CA3">
        <w:t>, vol. 7, no. 6, pp. 403–424, 1997.</w:t>
      </w:r>
    </w:p>
    <w:p w14:paraId="77C70D4A" w14:textId="77777777" w:rsidR="007D1BCC" w:rsidRPr="00CC6CA3" w:rsidRDefault="007D1BCC" w:rsidP="007D1BCC">
      <w:pPr>
        <w:pStyle w:val="Bibliography"/>
      </w:pPr>
      <w:r w:rsidRPr="00CC6CA3">
        <w:t>[91]</w:t>
      </w:r>
      <w:r w:rsidRPr="00CC6CA3">
        <w:tab/>
        <w:t xml:space="preserve">H. Ringberg, A. Soule, J. Rexford, and C. Diot, ‘Sensitivity of PCA for traffic anomaly detection’, in </w:t>
      </w:r>
      <w:r w:rsidRPr="00CC6CA3">
        <w:rPr>
          <w:i/>
          <w:iCs/>
        </w:rPr>
        <w:t>ACM SIGMETRICS Performance Evaluation Review</w:t>
      </w:r>
      <w:r w:rsidRPr="00CC6CA3">
        <w:t>, 2007, vol. 35, pp. 109–120.</w:t>
      </w:r>
    </w:p>
    <w:p w14:paraId="2A55B8B6" w14:textId="77777777" w:rsidR="007D1BCC" w:rsidRPr="00CC6CA3" w:rsidRDefault="007D1BCC" w:rsidP="007D1BCC">
      <w:pPr>
        <w:pStyle w:val="Bibliography"/>
      </w:pPr>
      <w:r w:rsidRPr="00CC6CA3">
        <w:t>[92]</w:t>
      </w:r>
      <w:r w:rsidRPr="00CC6CA3">
        <w:tab/>
        <w:t xml:space="preserve">M. Thottan and C. Ji, ‘Anomaly detection in IP networks’, </w:t>
      </w:r>
      <w:r w:rsidRPr="00CC6CA3">
        <w:rPr>
          <w:i/>
          <w:iCs/>
        </w:rPr>
        <w:t>IEEE Trans. Signal Process.</w:t>
      </w:r>
      <w:r w:rsidRPr="00CC6CA3">
        <w:t>, vol. 51, no. 8, pp. 2191–2204, 2003.</w:t>
      </w:r>
    </w:p>
    <w:p w14:paraId="359BD617" w14:textId="77777777" w:rsidR="007D1BCC" w:rsidRPr="00CC6CA3" w:rsidRDefault="007D1BCC" w:rsidP="007D1BCC">
      <w:pPr>
        <w:pStyle w:val="Bibliography"/>
      </w:pPr>
      <w:r w:rsidRPr="00CC6CA3">
        <w:t>[93]</w:t>
      </w:r>
      <w:r w:rsidRPr="00CC6CA3">
        <w:tab/>
        <w:t xml:space="preserve">J. S. Oakland, </w:t>
      </w:r>
      <w:r w:rsidRPr="00CC6CA3">
        <w:rPr>
          <w:i/>
          <w:iCs/>
        </w:rPr>
        <w:t>Statistical process control</w:t>
      </w:r>
      <w:r w:rsidRPr="00CC6CA3">
        <w:t>. Routledge, 2007.</w:t>
      </w:r>
    </w:p>
    <w:p w14:paraId="3670FE22" w14:textId="77777777" w:rsidR="007D1BCC" w:rsidRPr="00CC6CA3" w:rsidRDefault="007D1BCC" w:rsidP="007D1BCC">
      <w:pPr>
        <w:pStyle w:val="Bibliography"/>
      </w:pPr>
      <w:r w:rsidRPr="00CC6CA3">
        <w:t>[94]</w:t>
      </w:r>
      <w:r w:rsidRPr="00CC6CA3">
        <w:tab/>
        <w:t xml:space="preserve">O. Zadakbar, S. Imtiaz, and F. Khan, ‘Dynamic risk assessment and fault detection using principal component analysis’, </w:t>
      </w:r>
      <w:r w:rsidRPr="00CC6CA3">
        <w:rPr>
          <w:i/>
          <w:iCs/>
        </w:rPr>
        <w:t>Ind. Eng. Chem. Res.</w:t>
      </w:r>
      <w:r w:rsidRPr="00CC6CA3">
        <w:t>, vol. 52, no. 2, pp. 809–816, 2013.</w:t>
      </w:r>
    </w:p>
    <w:p w14:paraId="27D226A9" w14:textId="77777777" w:rsidR="007D1BCC" w:rsidRPr="00CC6CA3" w:rsidRDefault="007D1BCC" w:rsidP="007D1BCC">
      <w:pPr>
        <w:pStyle w:val="Bibliography"/>
      </w:pPr>
      <w:r w:rsidRPr="00CC6CA3">
        <w:lastRenderedPageBreak/>
        <w:t>[95]</w:t>
      </w:r>
      <w:r w:rsidRPr="00CC6CA3">
        <w:tab/>
        <w:t xml:space="preserve">H. Hoffmann, ‘Kernel PCA for novelty detection’, </w:t>
      </w:r>
      <w:r w:rsidRPr="00CC6CA3">
        <w:rPr>
          <w:i/>
          <w:iCs/>
        </w:rPr>
        <w:t>Pattern Recognit.</w:t>
      </w:r>
      <w:r w:rsidRPr="00CC6CA3">
        <w:t>, vol. 40, no. 3, pp. 863–874, Mar. 2007, doi: 10.1016/j.patcog.2006.07.009.</w:t>
      </w:r>
    </w:p>
    <w:p w14:paraId="4421DFBC" w14:textId="77777777" w:rsidR="007D1BCC" w:rsidRPr="00CC6CA3" w:rsidRDefault="007D1BCC" w:rsidP="007D1BCC">
      <w:pPr>
        <w:pStyle w:val="Bibliography"/>
      </w:pPr>
      <w:r w:rsidRPr="00CC6CA3">
        <w:t>[96]</w:t>
      </w:r>
      <w:r w:rsidRPr="00CC6CA3">
        <w:tab/>
        <w:t xml:space="preserve">L. J. Cao, K. S. Chua, W. K. Chong, H. P. Lee, and Q. M. Gu, ‘A comparison of PCA, KPCA and ICA for dimensionality reduction in support vector machine’, </w:t>
      </w:r>
      <w:r w:rsidRPr="00CC6CA3">
        <w:rPr>
          <w:i/>
          <w:iCs/>
        </w:rPr>
        <w:t>Neurocomputing</w:t>
      </w:r>
      <w:r w:rsidRPr="00CC6CA3">
        <w:t>, vol. 55, no. 1–2, pp. 321–336, Sep. 2003, doi: 10.1016/S0925-2312(03)00433-8.</w:t>
      </w:r>
    </w:p>
    <w:p w14:paraId="62910DEE" w14:textId="77777777" w:rsidR="007D1BCC" w:rsidRPr="00CC6CA3" w:rsidRDefault="007D1BCC" w:rsidP="007D1BCC">
      <w:pPr>
        <w:pStyle w:val="Bibliography"/>
      </w:pPr>
      <w:r w:rsidRPr="00CC6CA3">
        <w:t>[97]</w:t>
      </w:r>
      <w:r w:rsidRPr="00CC6CA3">
        <w:tab/>
        <w:t xml:space="preserve">B. Samanta, ‘Gear fault detection using artificial neural networks and support vector machines with genetic algorithms’, </w:t>
      </w:r>
      <w:r w:rsidRPr="00CC6CA3">
        <w:rPr>
          <w:i/>
          <w:iCs/>
        </w:rPr>
        <w:t>Mech. Syst. Signal Process.</w:t>
      </w:r>
      <w:r w:rsidRPr="00CC6CA3">
        <w:t>, vol. 18, no. 3, pp. 625–644, May 2004, doi: 10.1016/S0888-3270(03)00020-7.</w:t>
      </w:r>
    </w:p>
    <w:p w14:paraId="71D04D1B" w14:textId="77777777" w:rsidR="007D1BCC" w:rsidRPr="00CC6CA3" w:rsidRDefault="007D1BCC" w:rsidP="007D1BCC">
      <w:pPr>
        <w:pStyle w:val="Bibliography"/>
      </w:pPr>
      <w:r w:rsidRPr="00CC6CA3">
        <w:t>[98]</w:t>
      </w:r>
      <w:r w:rsidRPr="00CC6CA3">
        <w:tab/>
      </w:r>
      <w:r w:rsidRPr="00CC6CA3">
        <w:rPr>
          <w:i/>
          <w:iCs/>
        </w:rPr>
        <w:t>S. Haykin, Neural Networks: A Comprehensive Foundation, 2nd Edition, Prentice-Hall, NJ, USA, 1999</w:t>
      </w:r>
      <w:r w:rsidRPr="00CC6CA3">
        <w:t xml:space="preserve">. </w:t>
      </w:r>
    </w:p>
    <w:p w14:paraId="5F2B095B" w14:textId="77777777" w:rsidR="007D1BCC" w:rsidRPr="00CC6CA3" w:rsidRDefault="007D1BCC" w:rsidP="007D1BCC">
      <w:pPr>
        <w:pStyle w:val="Bibliography"/>
      </w:pPr>
      <w:r w:rsidRPr="00CC6CA3">
        <w:t>[99]</w:t>
      </w:r>
      <w:r w:rsidRPr="00CC6CA3">
        <w:tab/>
        <w:t xml:space="preserve">X. Wu, G. Jiang, X. Wang, P. Xie, and X. Li, ‘A Multi-Level-Denoising Autoencoder Approach for Wind Turbine Fault Detection’, </w:t>
      </w:r>
      <w:r w:rsidRPr="00CC6CA3">
        <w:rPr>
          <w:i/>
          <w:iCs/>
        </w:rPr>
        <w:t>IEEE Access</w:t>
      </w:r>
      <w:r w:rsidRPr="00CC6CA3">
        <w:t>, vol. 7, pp. 59376–59387, 2019, doi: 10.1109/ACCESS.2019.2914731.</w:t>
      </w:r>
    </w:p>
    <w:p w14:paraId="1112CE57" w14:textId="77777777" w:rsidR="007D1BCC" w:rsidRPr="00CC6CA3" w:rsidRDefault="007D1BCC" w:rsidP="007D1BCC">
      <w:pPr>
        <w:pStyle w:val="Bibliography"/>
      </w:pPr>
      <w:r w:rsidRPr="00CC6CA3">
        <w:t>[100]</w:t>
      </w:r>
      <w:r w:rsidRPr="00CC6CA3">
        <w:tab/>
        <w:t xml:space="preserve">N. Srivastava, G. Hinton, A. Krizhevsky, I. Sutskever, and R. Salakhutdinov, ‘Dropout: a simple way to prevent neural networks from overfitting’, </w:t>
      </w:r>
      <w:r w:rsidRPr="00CC6CA3">
        <w:rPr>
          <w:i/>
          <w:iCs/>
        </w:rPr>
        <w:t>J. Mach. Learn. Res.</w:t>
      </w:r>
      <w:r w:rsidRPr="00CC6CA3">
        <w:t>, vol. 15, no. 1, pp. 1929–1958, 2014.</w:t>
      </w:r>
    </w:p>
    <w:p w14:paraId="198290C3" w14:textId="77777777" w:rsidR="007D1BCC" w:rsidRPr="00CC6CA3" w:rsidRDefault="007D1BCC" w:rsidP="007D1BCC">
      <w:pPr>
        <w:pStyle w:val="Bibliography"/>
      </w:pPr>
      <w:r w:rsidRPr="00CC6CA3">
        <w:t>[101]</w:t>
      </w:r>
      <w:r w:rsidRPr="00CC6CA3">
        <w:tab/>
        <w:t xml:space="preserve">A. Ng, ‘Sparse autoencoder’, </w:t>
      </w:r>
      <w:r w:rsidRPr="00CC6CA3">
        <w:rPr>
          <w:i/>
          <w:iCs/>
        </w:rPr>
        <w:t>CS294A Lect. Notes</w:t>
      </w:r>
      <w:r w:rsidRPr="00CC6CA3">
        <w:t>, vol. 72, no. 2011, pp. 1–19, 2011.</w:t>
      </w:r>
    </w:p>
    <w:p w14:paraId="40F8424F" w14:textId="77777777" w:rsidR="007D1BCC" w:rsidRPr="00CC6CA3" w:rsidRDefault="007D1BCC" w:rsidP="007D1BCC">
      <w:pPr>
        <w:pStyle w:val="Bibliography"/>
      </w:pPr>
      <w:r w:rsidRPr="00CC6CA3">
        <w:t>[102]</w:t>
      </w:r>
      <w:r w:rsidRPr="00CC6CA3">
        <w:tab/>
        <w:t xml:space="preserve">A. Géron, </w:t>
      </w:r>
      <w:r w:rsidRPr="00CC6CA3">
        <w:rPr>
          <w:i/>
          <w:iCs/>
        </w:rPr>
        <w:t>Hands-on machine learning with Scikit-Learn and TensorFlow: concepts, tools, and techniques to build intelligent systems</w:t>
      </w:r>
      <w:r w:rsidRPr="00CC6CA3">
        <w:t>.  O’Reilly Media, Inc., 2017.</w:t>
      </w:r>
    </w:p>
    <w:p w14:paraId="0F14B6C1" w14:textId="77777777" w:rsidR="007D1BCC" w:rsidRPr="00CC6CA3" w:rsidRDefault="007D1BCC" w:rsidP="007D1BCC">
      <w:pPr>
        <w:pStyle w:val="Bibliography"/>
      </w:pPr>
      <w:r w:rsidRPr="00CC6CA3">
        <w:t>[103]</w:t>
      </w:r>
      <w:r w:rsidRPr="00CC6CA3">
        <w:tab/>
        <w:t>N. Gugulothu, P. Malhotra, L. Vig, and G. Shroff, ‘Sparse Neural Networks for Anomaly Detection in High-Dimensional Time Series’.</w:t>
      </w:r>
    </w:p>
    <w:p w14:paraId="28B3CCBA" w14:textId="77777777" w:rsidR="007D1BCC" w:rsidRPr="00CC6CA3" w:rsidRDefault="007D1BCC" w:rsidP="007D1BCC">
      <w:pPr>
        <w:pStyle w:val="Bibliography"/>
      </w:pPr>
      <w:r w:rsidRPr="00CC6CA3">
        <w:t>[104]</w:t>
      </w:r>
      <w:r w:rsidRPr="00CC6CA3">
        <w:tab/>
        <w:t xml:space="preserve">X. Liang, F. Duan, I. Bennett, and D. Mba, ‘A Comprehensive Health Indicator Integrated by the Dynamic Risk Profile from Condition Monitoring Data and the Function of Financial Losses’, </w:t>
      </w:r>
      <w:r w:rsidRPr="00CC6CA3">
        <w:rPr>
          <w:i/>
          <w:iCs/>
        </w:rPr>
        <w:t>Energies</w:t>
      </w:r>
      <w:r w:rsidRPr="00CC6CA3">
        <w:t>, vol. 14, no. 1, p. 28, 2021.</w:t>
      </w:r>
    </w:p>
    <w:p w14:paraId="14C1C168" w14:textId="77777777" w:rsidR="007D1BCC" w:rsidRPr="00CC6CA3" w:rsidRDefault="007D1BCC" w:rsidP="007D1BCC">
      <w:pPr>
        <w:pStyle w:val="Bibliography"/>
      </w:pPr>
      <w:r w:rsidRPr="00CC6CA3">
        <w:t>[105]</w:t>
      </w:r>
      <w:r w:rsidRPr="00CC6CA3">
        <w:tab/>
        <w:t xml:space="preserve">P. Bangalore and L. B. Tjernberg, ‘An Artificial Neural Network Approach for Early Fault Detection of Gearbox Bearings’, </w:t>
      </w:r>
      <w:r w:rsidRPr="00CC6CA3">
        <w:rPr>
          <w:i/>
          <w:iCs/>
        </w:rPr>
        <w:t>IEEE Trans. Smart Grid</w:t>
      </w:r>
      <w:r w:rsidRPr="00CC6CA3">
        <w:t>, vol. 6, no. 2, pp. 980–987, Mar. 2015, doi: 10.1109/TSG.2014.2386305.</w:t>
      </w:r>
    </w:p>
    <w:p w14:paraId="68257158" w14:textId="77777777" w:rsidR="007D1BCC" w:rsidRPr="00CC6CA3" w:rsidRDefault="007D1BCC" w:rsidP="007D1BCC">
      <w:pPr>
        <w:pStyle w:val="Bibliography"/>
      </w:pPr>
      <w:r w:rsidRPr="00CC6CA3">
        <w:t>[106]</w:t>
      </w:r>
      <w:r w:rsidRPr="00CC6CA3">
        <w:tab/>
        <w:t xml:space="preserve">P. Bangalore, S. Letzgus, D. Karlsson, and M. Patriksson, ‘An artificial neural network-based condition monitoring method for wind turbines, with application to the monitoring of the gearbox’, </w:t>
      </w:r>
      <w:r w:rsidRPr="00CC6CA3">
        <w:rPr>
          <w:i/>
          <w:iCs/>
        </w:rPr>
        <w:t>Wind Energy</w:t>
      </w:r>
      <w:r w:rsidRPr="00CC6CA3">
        <w:t>, vol. 20, no. 8, pp. 1421–1438, 2017.</w:t>
      </w:r>
    </w:p>
    <w:p w14:paraId="7F7A3081" w14:textId="77777777" w:rsidR="007D1BCC" w:rsidRPr="00CC6CA3" w:rsidRDefault="007D1BCC" w:rsidP="007D1BCC">
      <w:pPr>
        <w:pStyle w:val="Bibliography"/>
      </w:pPr>
      <w:r w:rsidRPr="00CC6CA3">
        <w:t>[107]</w:t>
      </w:r>
      <w:r w:rsidRPr="00CC6CA3">
        <w:tab/>
        <w:t xml:space="preserve">A. A. A. M. Amiruddin, H. Zabiri, S. A. A. Taqvi, and L. D. Tufa, ‘Neural network applications in fault diagnosis and detection: an overview of implementations in engineering-related systems’, </w:t>
      </w:r>
      <w:r w:rsidRPr="00CC6CA3">
        <w:rPr>
          <w:i/>
          <w:iCs/>
        </w:rPr>
        <w:t>Neural Comput. Appl.</w:t>
      </w:r>
      <w:r w:rsidRPr="00CC6CA3">
        <w:t>, vol. 32, no. 2, pp. 447–472, 2020.</w:t>
      </w:r>
    </w:p>
    <w:p w14:paraId="0DA3C884" w14:textId="77777777" w:rsidR="007D1BCC" w:rsidRPr="00CC6CA3" w:rsidRDefault="007D1BCC" w:rsidP="007D1BCC">
      <w:pPr>
        <w:pStyle w:val="Bibliography"/>
      </w:pPr>
      <w:r w:rsidRPr="00CC6CA3">
        <w:t>[108]</w:t>
      </w:r>
      <w:r w:rsidRPr="00CC6CA3">
        <w:tab/>
        <w:t xml:space="preserve">H. Xie, H. Tang, and Y.-H. Liao, ‘Time series prediction based on NARX neural networks: An advanced approach’, in </w:t>
      </w:r>
      <w:r w:rsidRPr="00CC6CA3">
        <w:rPr>
          <w:i/>
          <w:iCs/>
        </w:rPr>
        <w:t>2009 International conference on machine learning and cybernetics</w:t>
      </w:r>
      <w:r w:rsidRPr="00CC6CA3">
        <w:t>, 2009, vol. 3, pp. 1275–1279.</w:t>
      </w:r>
    </w:p>
    <w:p w14:paraId="5F5028F9" w14:textId="77777777" w:rsidR="007D1BCC" w:rsidRPr="00CC6CA3" w:rsidRDefault="007D1BCC" w:rsidP="007D1BCC">
      <w:pPr>
        <w:pStyle w:val="Bibliography"/>
      </w:pPr>
      <w:r w:rsidRPr="00CC6CA3">
        <w:t>[109]</w:t>
      </w:r>
      <w:r w:rsidRPr="00CC6CA3">
        <w:tab/>
        <w:t xml:space="preserve">S. Kiakojoori and K. Khorasani, ‘Dynamic neural networks for gas turbine engine degradation prediction, health monitoring and prognosis’, </w:t>
      </w:r>
      <w:r w:rsidRPr="00CC6CA3">
        <w:rPr>
          <w:i/>
          <w:iCs/>
        </w:rPr>
        <w:t>Neural Comput. Appl.</w:t>
      </w:r>
      <w:r w:rsidRPr="00CC6CA3">
        <w:t>, vol. 27, no. 8, pp. 2157–2192, 2016.</w:t>
      </w:r>
    </w:p>
    <w:p w14:paraId="2140BB11" w14:textId="77777777" w:rsidR="007D1BCC" w:rsidRPr="00CC6CA3" w:rsidRDefault="007D1BCC" w:rsidP="007D1BCC">
      <w:pPr>
        <w:pStyle w:val="Bibliography"/>
      </w:pPr>
      <w:r w:rsidRPr="00CC6CA3">
        <w:t>[110]</w:t>
      </w:r>
      <w:r w:rsidRPr="00CC6CA3">
        <w:tab/>
        <w:t xml:space="preserve">X.-X. Wang and L.-Y. Ma, ‘A compact K nearest neighbor classification for power plant fault diagnosis’, </w:t>
      </w:r>
      <w:r w:rsidRPr="00CC6CA3">
        <w:rPr>
          <w:i/>
          <w:iCs/>
        </w:rPr>
        <w:t>J Inf Hiding Multimed Signal Process</w:t>
      </w:r>
      <w:r w:rsidRPr="00CC6CA3">
        <w:t>, vol. 5, pp. 508–517, 2014.</w:t>
      </w:r>
    </w:p>
    <w:p w14:paraId="4B553026" w14:textId="77777777" w:rsidR="007D1BCC" w:rsidRPr="00CC6CA3" w:rsidRDefault="007D1BCC" w:rsidP="007D1BCC">
      <w:pPr>
        <w:pStyle w:val="Bibliography"/>
      </w:pPr>
      <w:r w:rsidRPr="00CC6CA3">
        <w:t>[111]</w:t>
      </w:r>
      <w:r w:rsidRPr="00CC6CA3">
        <w:tab/>
        <w:t xml:space="preserve">C. T. Yiakopoulos, K. C. Gryllias, and I. A. Antoniadis, ‘Rolling element bearing fault detection in industrial environments based on a K-means clustering approach’, </w:t>
      </w:r>
      <w:r w:rsidRPr="00CC6CA3">
        <w:rPr>
          <w:i/>
          <w:iCs/>
        </w:rPr>
        <w:t>Expert Syst. Appl.</w:t>
      </w:r>
      <w:r w:rsidRPr="00CC6CA3">
        <w:t>, vol. 38, no. 3, pp. 2888–2911, Mar. 2011, doi: 10.1016/j.eswa.2010.08.083.</w:t>
      </w:r>
    </w:p>
    <w:p w14:paraId="1E250BC1" w14:textId="77777777" w:rsidR="007D1BCC" w:rsidRPr="00CC6CA3" w:rsidRDefault="007D1BCC" w:rsidP="007D1BCC">
      <w:pPr>
        <w:pStyle w:val="Bibliography"/>
      </w:pPr>
      <w:r w:rsidRPr="00CC6CA3">
        <w:t>[112]</w:t>
      </w:r>
      <w:r w:rsidRPr="00CC6CA3">
        <w:tab/>
        <w:t xml:space="preserve">J. C. Bezdek, R. Ehrlich, and W. Full, ‘FCM: The fuzzy c-means clustering algorithm’, </w:t>
      </w:r>
      <w:r w:rsidRPr="00CC6CA3">
        <w:rPr>
          <w:i/>
          <w:iCs/>
        </w:rPr>
        <w:t>Comput. Geosci.</w:t>
      </w:r>
      <w:r w:rsidRPr="00CC6CA3">
        <w:t>, vol. 10, no. 2–3, pp. 191–203, 1984.</w:t>
      </w:r>
    </w:p>
    <w:p w14:paraId="0E40BED0" w14:textId="77777777" w:rsidR="007D1BCC" w:rsidRPr="00CC6CA3" w:rsidRDefault="007D1BCC" w:rsidP="007D1BCC">
      <w:pPr>
        <w:pStyle w:val="Bibliography"/>
      </w:pPr>
      <w:r w:rsidRPr="00CC6CA3">
        <w:t>[113]</w:t>
      </w:r>
      <w:r w:rsidRPr="00CC6CA3">
        <w:tab/>
        <w:t xml:space="preserve">N. K. Verma, A. Roy, and A. Salour, ‘An optimized fault diagnosis method for reciprocating air compressors based on SVM’, in </w:t>
      </w:r>
      <w:r w:rsidRPr="00CC6CA3">
        <w:rPr>
          <w:i/>
          <w:iCs/>
        </w:rPr>
        <w:t>System Engineering and Technology (ICSET), 2011 IEEE International Conference on</w:t>
      </w:r>
      <w:r w:rsidRPr="00CC6CA3">
        <w:t>, 2011, pp. 65–69.</w:t>
      </w:r>
    </w:p>
    <w:p w14:paraId="64E4E0EA" w14:textId="77777777" w:rsidR="007D1BCC" w:rsidRPr="00CC6CA3" w:rsidRDefault="007D1BCC" w:rsidP="007D1BCC">
      <w:pPr>
        <w:pStyle w:val="Bibliography"/>
      </w:pPr>
      <w:r w:rsidRPr="00CC6CA3">
        <w:t>[114]</w:t>
      </w:r>
      <w:r w:rsidRPr="00CC6CA3">
        <w:tab/>
        <w:t xml:space="preserve">Y. Zhang, C. Bingham, M. Martínez-García, and D. Cox, ‘Detection of Emerging Faults on Industrial Gas Turbines Using Extended Gaussian Mixture Models’, </w:t>
      </w:r>
      <w:r w:rsidRPr="00CC6CA3">
        <w:rPr>
          <w:i/>
          <w:iCs/>
        </w:rPr>
        <w:t>International Journal of Rotating Machinery</w:t>
      </w:r>
      <w:r w:rsidRPr="00CC6CA3">
        <w:t>, 2017. https://www.hindawi.com/journals/ijrm/2017/5435794/abs/ (accessed Oct. 15, 2018).</w:t>
      </w:r>
    </w:p>
    <w:p w14:paraId="3B95696B" w14:textId="77777777" w:rsidR="007D1BCC" w:rsidRPr="00CC6CA3" w:rsidRDefault="007D1BCC" w:rsidP="007D1BCC">
      <w:pPr>
        <w:pStyle w:val="Bibliography"/>
      </w:pPr>
      <w:r w:rsidRPr="00CC6CA3">
        <w:t>[115]</w:t>
      </w:r>
      <w:r w:rsidRPr="00CC6CA3">
        <w:tab/>
        <w:t xml:space="preserve">B. Krawczyk, M. Woźniak, and B. Cyganek, ‘Clustering-based ensembles for one-class classification’, </w:t>
      </w:r>
      <w:r w:rsidRPr="00CC6CA3">
        <w:rPr>
          <w:i/>
          <w:iCs/>
        </w:rPr>
        <w:t>Inf. Sci.</w:t>
      </w:r>
      <w:r w:rsidRPr="00CC6CA3">
        <w:t>, vol. 264, pp. 182–195, 2014.</w:t>
      </w:r>
    </w:p>
    <w:p w14:paraId="6DFA03BD" w14:textId="77777777" w:rsidR="007D1BCC" w:rsidRPr="00CC6CA3" w:rsidRDefault="007D1BCC" w:rsidP="007D1BCC">
      <w:pPr>
        <w:pStyle w:val="Bibliography"/>
      </w:pPr>
      <w:r w:rsidRPr="00CC6CA3">
        <w:t>[116]</w:t>
      </w:r>
      <w:r w:rsidRPr="00CC6CA3">
        <w:tab/>
        <w:t>L. Mosley, ‘A balanced approach to the multi-class imbalance problem’, 2013.</w:t>
      </w:r>
    </w:p>
    <w:p w14:paraId="2B6E49A5" w14:textId="77777777" w:rsidR="007D1BCC" w:rsidRPr="00CC6CA3" w:rsidRDefault="007D1BCC" w:rsidP="007D1BCC">
      <w:pPr>
        <w:pStyle w:val="Bibliography"/>
      </w:pPr>
      <w:r w:rsidRPr="00CC6CA3">
        <w:t>[117]</w:t>
      </w:r>
      <w:r w:rsidRPr="00CC6CA3">
        <w:tab/>
        <w:t xml:space="preserve">M. Zhang, Z. Jiang, and K. Feng, ‘Research on variational mode decomposition in rolling bearings fault diagnosis of the multistage centrifugal pump’, </w:t>
      </w:r>
      <w:r w:rsidRPr="00CC6CA3">
        <w:rPr>
          <w:i/>
          <w:iCs/>
        </w:rPr>
        <w:t>Mech. Syst. Signal Process.</w:t>
      </w:r>
      <w:r w:rsidRPr="00CC6CA3">
        <w:t>, vol. 93, pp. 460–</w:t>
      </w:r>
      <w:r w:rsidRPr="00CC6CA3">
        <w:lastRenderedPageBreak/>
        <w:t>493, 2017.</w:t>
      </w:r>
    </w:p>
    <w:p w14:paraId="410C0CA4" w14:textId="77777777" w:rsidR="007D1BCC" w:rsidRPr="00CC6CA3" w:rsidRDefault="007D1BCC" w:rsidP="007D1BCC">
      <w:pPr>
        <w:pStyle w:val="Bibliography"/>
      </w:pPr>
      <w:r w:rsidRPr="00CC6CA3">
        <w:t>[118]</w:t>
      </w:r>
      <w:r w:rsidRPr="00CC6CA3">
        <w:tab/>
        <w:t xml:space="preserve">W. T. Peter, Y. H. Peng, and R. and Yam, ‘Wavelet analysis and envelope detection for rolling element bearing fault diagnosis—their effectiveness and flexibilities’, </w:t>
      </w:r>
      <w:r w:rsidRPr="00CC6CA3">
        <w:rPr>
          <w:i/>
          <w:iCs/>
        </w:rPr>
        <w:t>J. Vib. Acoust.</w:t>
      </w:r>
      <w:r w:rsidRPr="00CC6CA3">
        <w:t>, vol. 123, no. 3, pp. 303–310, 2001.</w:t>
      </w:r>
    </w:p>
    <w:p w14:paraId="064DD748" w14:textId="77777777" w:rsidR="007D1BCC" w:rsidRPr="00CC6CA3" w:rsidRDefault="007D1BCC" w:rsidP="007D1BCC">
      <w:pPr>
        <w:pStyle w:val="Bibliography"/>
      </w:pPr>
      <w:r w:rsidRPr="00CC6CA3">
        <w:t>[119]</w:t>
      </w:r>
      <w:r w:rsidRPr="00CC6CA3">
        <w:tab/>
        <w:t xml:space="preserve">N. R. Sakthivel, V. Sugumaran, and S. Babudevasenapati, ‘Vibration based fault diagnosis of monoblock centrifugal pump using decision tree’, </w:t>
      </w:r>
      <w:r w:rsidRPr="00CC6CA3">
        <w:rPr>
          <w:i/>
          <w:iCs/>
        </w:rPr>
        <w:t>Expert Syst. Appl.</w:t>
      </w:r>
      <w:r w:rsidRPr="00CC6CA3">
        <w:t>, vol. 37, no. 6, pp. 4040–4049, 2010.</w:t>
      </w:r>
    </w:p>
    <w:p w14:paraId="7348A79D" w14:textId="77777777" w:rsidR="007D1BCC" w:rsidRPr="00CC6CA3" w:rsidRDefault="007D1BCC" w:rsidP="007D1BCC">
      <w:pPr>
        <w:pStyle w:val="Bibliography"/>
      </w:pPr>
      <w:r w:rsidRPr="00CC6CA3">
        <w:t>[120]</w:t>
      </w:r>
      <w:r w:rsidRPr="00CC6CA3">
        <w:tab/>
        <w:t xml:space="preserve">R. Zouari, S. Sieg-Zieba, and M. Sidahmed, ‘Fault detection system for centrifugal pumps using neural networks and neuro-fuzzy techniques’, </w:t>
      </w:r>
      <w:r w:rsidRPr="00CC6CA3">
        <w:rPr>
          <w:i/>
          <w:iCs/>
        </w:rPr>
        <w:t>Surveillance</w:t>
      </w:r>
      <w:r w:rsidRPr="00CC6CA3">
        <w:t>, vol. 5, pp. 11–13, 2004.</w:t>
      </w:r>
    </w:p>
    <w:p w14:paraId="455336A9" w14:textId="77777777" w:rsidR="007D1BCC" w:rsidRPr="00CC6CA3" w:rsidRDefault="007D1BCC" w:rsidP="007D1BCC">
      <w:pPr>
        <w:pStyle w:val="Bibliography"/>
      </w:pPr>
      <w:r w:rsidRPr="00CC6CA3">
        <w:t>[121]</w:t>
      </w:r>
      <w:r w:rsidRPr="00CC6CA3">
        <w:tab/>
        <w:t xml:space="preserve">H. Bao, F. Khan, T. Iqbal, and Y. Chang, ‘Risk-based fault diagnosis and safety management for process systems’, </w:t>
      </w:r>
      <w:r w:rsidRPr="00CC6CA3">
        <w:rPr>
          <w:i/>
          <w:iCs/>
        </w:rPr>
        <w:t>Process Saf. Prog.</w:t>
      </w:r>
      <w:r w:rsidRPr="00CC6CA3">
        <w:t>, vol. 30, no. 1, pp. 6–17, 2011.</w:t>
      </w:r>
    </w:p>
    <w:p w14:paraId="2464B85B" w14:textId="77777777" w:rsidR="007D1BCC" w:rsidRPr="00CC6CA3" w:rsidRDefault="007D1BCC" w:rsidP="007D1BCC">
      <w:pPr>
        <w:pStyle w:val="Bibliography"/>
      </w:pPr>
      <w:r w:rsidRPr="00CC6CA3">
        <w:t>[122]</w:t>
      </w:r>
      <w:r w:rsidRPr="00CC6CA3">
        <w:tab/>
        <w:t xml:space="preserve">O. Zadakbar, S. Imtiaz, and F. Khan, ‘Dynamic risk assessment and fault detection using a multivariate technique’, </w:t>
      </w:r>
      <w:r w:rsidRPr="00CC6CA3">
        <w:rPr>
          <w:i/>
          <w:iCs/>
        </w:rPr>
        <w:t>Process Saf. Prog.</w:t>
      </w:r>
      <w:r w:rsidRPr="00CC6CA3">
        <w:t>, vol. 32, no. 4, pp. 365–375, 2013.</w:t>
      </w:r>
    </w:p>
    <w:p w14:paraId="47012F0F" w14:textId="77777777" w:rsidR="007D1BCC" w:rsidRPr="00CC6CA3" w:rsidRDefault="007D1BCC" w:rsidP="007D1BCC">
      <w:pPr>
        <w:pStyle w:val="Bibliography"/>
      </w:pPr>
      <w:r w:rsidRPr="00CC6CA3">
        <w:t>[123]</w:t>
      </w:r>
      <w:r w:rsidRPr="00CC6CA3">
        <w:tab/>
        <w:t xml:space="preserve">H. Yu, F. Khan, V. Garaniya, and A. Ahmad, ‘Self-organizing map based fault diagnosis technique for non-Gaussian processes’, </w:t>
      </w:r>
      <w:r w:rsidRPr="00CC6CA3">
        <w:rPr>
          <w:i/>
          <w:iCs/>
        </w:rPr>
        <w:t>Ind. Eng. Chem. Res.</w:t>
      </w:r>
      <w:r w:rsidRPr="00CC6CA3">
        <w:t>, vol. 53, no. 21, pp. 8831–8843, 2014.</w:t>
      </w:r>
    </w:p>
    <w:p w14:paraId="13772E8A" w14:textId="77777777" w:rsidR="007D1BCC" w:rsidRPr="00CC6CA3" w:rsidRDefault="007D1BCC" w:rsidP="007D1BCC">
      <w:pPr>
        <w:pStyle w:val="Bibliography"/>
      </w:pPr>
      <w:r w:rsidRPr="00CC6CA3">
        <w:t>[124]</w:t>
      </w:r>
      <w:r w:rsidRPr="00CC6CA3">
        <w:tab/>
        <w:t xml:space="preserve">O. Zadakbar, F. Khan, and S. Imtiaz, ‘Dynamic risk assessment of a nonlinear non-Gaussian system using a particle filter and detailed consequence analysis’, </w:t>
      </w:r>
      <w:r w:rsidRPr="00CC6CA3">
        <w:rPr>
          <w:i/>
          <w:iCs/>
        </w:rPr>
        <w:t>Can. J. Chem. Eng.</w:t>
      </w:r>
      <w:r w:rsidRPr="00CC6CA3">
        <w:t>, vol. 93, no. 7, pp. 1201–1211, 2015.</w:t>
      </w:r>
    </w:p>
    <w:p w14:paraId="5E4120AC" w14:textId="77777777" w:rsidR="007D1BCC" w:rsidRPr="00CC6CA3" w:rsidRDefault="007D1BCC" w:rsidP="007D1BCC">
      <w:pPr>
        <w:pStyle w:val="Bibliography"/>
      </w:pPr>
      <w:r w:rsidRPr="00CC6CA3">
        <w:t>[125]</w:t>
      </w:r>
      <w:r w:rsidRPr="00CC6CA3">
        <w:tab/>
        <w:t xml:space="preserve">F. Khan, H. Wang, and M. Yang, ‘Application of loss functions in process economic risk assessment’, </w:t>
      </w:r>
      <w:r w:rsidRPr="00CC6CA3">
        <w:rPr>
          <w:i/>
          <w:iCs/>
        </w:rPr>
        <w:t>Chem. Eng. Res. Des.</w:t>
      </w:r>
      <w:r w:rsidRPr="00CC6CA3">
        <w:t>, vol. 111, pp. 371–386, 2016.</w:t>
      </w:r>
    </w:p>
    <w:p w14:paraId="038F5DB3" w14:textId="77777777" w:rsidR="007D1BCC" w:rsidRPr="00CC6CA3" w:rsidRDefault="007D1BCC" w:rsidP="007D1BCC">
      <w:pPr>
        <w:pStyle w:val="Bibliography"/>
      </w:pPr>
      <w:r w:rsidRPr="00CC6CA3">
        <w:t>[126]</w:t>
      </w:r>
      <w:r w:rsidRPr="00CC6CA3">
        <w:tab/>
        <w:t xml:space="preserve">H. Yu, F. Khan, and V. Garaniya, ‘Risk-based process system monitoring using self-organizing map integrated with loss functions’, </w:t>
      </w:r>
      <w:r w:rsidRPr="00CC6CA3">
        <w:rPr>
          <w:i/>
          <w:iCs/>
        </w:rPr>
        <w:t>Can. J. Chem. Eng.</w:t>
      </w:r>
      <w:r w:rsidRPr="00CC6CA3">
        <w:t>, vol. 94, no. 7, pp. 1295–1307, 2016.</w:t>
      </w:r>
    </w:p>
    <w:p w14:paraId="2E0A4F21" w14:textId="77777777" w:rsidR="007D1BCC" w:rsidRPr="00CC6CA3" w:rsidRDefault="007D1BCC" w:rsidP="007D1BCC">
      <w:pPr>
        <w:pStyle w:val="Bibliography"/>
      </w:pPr>
      <w:r w:rsidRPr="00CC6CA3">
        <w:t>[127]</w:t>
      </w:r>
      <w:r w:rsidRPr="00CC6CA3">
        <w:tab/>
        <w:t xml:space="preserve">S. J. Hashemi, S. Ahmed, and F. I. Khan, ‘Risk-based operational performance analysis using loss functions’, </w:t>
      </w:r>
      <w:r w:rsidRPr="00CC6CA3">
        <w:rPr>
          <w:i/>
          <w:iCs/>
        </w:rPr>
        <w:t>Chem. Eng. Sci.</w:t>
      </w:r>
      <w:r w:rsidRPr="00CC6CA3">
        <w:t>, vol. 116, pp. 99–108, 2014.</w:t>
      </w:r>
    </w:p>
    <w:p w14:paraId="5C8A7A2E" w14:textId="77777777" w:rsidR="007D1BCC" w:rsidRPr="00CC6CA3" w:rsidRDefault="007D1BCC" w:rsidP="007D1BCC">
      <w:pPr>
        <w:pStyle w:val="Bibliography"/>
      </w:pPr>
      <w:r w:rsidRPr="00CC6CA3">
        <w:t>[128]</w:t>
      </w:r>
      <w:r w:rsidRPr="00CC6CA3">
        <w:tab/>
        <w:t xml:space="preserve">S. J. Hashemi, S. Ahmed, and F. Khan, ‘Loss functions and their applications in process safety assessment’, </w:t>
      </w:r>
      <w:r w:rsidRPr="00CC6CA3">
        <w:rPr>
          <w:i/>
          <w:iCs/>
        </w:rPr>
        <w:t>Process Saf. Prog.</w:t>
      </w:r>
      <w:r w:rsidRPr="00CC6CA3">
        <w:t>, vol. 33, no. 3, pp. 285–291, 2014.</w:t>
      </w:r>
    </w:p>
    <w:p w14:paraId="477E24B5" w14:textId="77777777" w:rsidR="007D1BCC" w:rsidRPr="00CC6CA3" w:rsidRDefault="007D1BCC" w:rsidP="007D1BCC">
      <w:pPr>
        <w:pStyle w:val="Bibliography"/>
      </w:pPr>
      <w:r w:rsidRPr="00CC6CA3">
        <w:t>[129]</w:t>
      </w:r>
      <w:r w:rsidRPr="00CC6CA3">
        <w:tab/>
        <w:t xml:space="preserve">S. Rajakarunakaran, P. Venkumar, D. Devaraj, and K. S. P. Rao, ‘Artificial neural network approach for fault detection in rotary system’, </w:t>
      </w:r>
      <w:r w:rsidRPr="00CC6CA3">
        <w:rPr>
          <w:i/>
          <w:iCs/>
        </w:rPr>
        <w:t>Appl. Soft Comput.</w:t>
      </w:r>
      <w:r w:rsidRPr="00CC6CA3">
        <w:t>, vol. 8, no. 1, pp. 740–748, 2008.</w:t>
      </w:r>
    </w:p>
    <w:p w14:paraId="4D53001B" w14:textId="77777777" w:rsidR="007D1BCC" w:rsidRPr="00CC6CA3" w:rsidRDefault="007D1BCC" w:rsidP="007D1BCC">
      <w:pPr>
        <w:pStyle w:val="Bibliography"/>
      </w:pPr>
      <w:r w:rsidRPr="00CC6CA3">
        <w:t>[130]</w:t>
      </w:r>
      <w:r w:rsidRPr="00CC6CA3">
        <w:tab/>
        <w:t xml:space="preserve">Y. H. Eom, J. W. Yoo, S. B. Hong, and M. S. Kim, ‘Refrigerant charge fault detection method of air source heat pump system using convolutional neural network for energy saving’, </w:t>
      </w:r>
      <w:r w:rsidRPr="00CC6CA3">
        <w:rPr>
          <w:i/>
          <w:iCs/>
        </w:rPr>
        <w:t>Energy</w:t>
      </w:r>
      <w:r w:rsidRPr="00CC6CA3">
        <w:t>, vol. 187, p. 115877, 2019.</w:t>
      </w:r>
    </w:p>
    <w:p w14:paraId="0437E92C" w14:textId="77777777" w:rsidR="007D1BCC" w:rsidRPr="00CC6CA3" w:rsidRDefault="007D1BCC" w:rsidP="007D1BCC">
      <w:pPr>
        <w:pStyle w:val="Bibliography"/>
      </w:pPr>
      <w:r w:rsidRPr="00CC6CA3">
        <w:t>[131]</w:t>
      </w:r>
      <w:r w:rsidRPr="00CC6CA3">
        <w:tab/>
        <w:t xml:space="preserve">A. Azadeh, V. Ebrahimipour, and P. Bavar, ‘A pump FMEA approach to improve reliability centered maintenance procedure: the case of centrifugal pumps in onshore industry’, in </w:t>
      </w:r>
      <w:r w:rsidRPr="00CC6CA3">
        <w:rPr>
          <w:i/>
          <w:iCs/>
        </w:rPr>
        <w:t>Proceedings of the 6th WSEAS International Conference on FLUID MECHANICS (FLUIDS’09)</w:t>
      </w:r>
      <w:r w:rsidRPr="00CC6CA3">
        <w:t>, 2009, pp. 38–45.</w:t>
      </w:r>
    </w:p>
    <w:p w14:paraId="6FF8FCE5" w14:textId="77777777" w:rsidR="007D1BCC" w:rsidRPr="00CC6CA3" w:rsidRDefault="007D1BCC" w:rsidP="007D1BCC">
      <w:pPr>
        <w:pStyle w:val="Bibliography"/>
      </w:pPr>
      <w:r w:rsidRPr="00CC6CA3">
        <w:t>[132]</w:t>
      </w:r>
      <w:r w:rsidRPr="00CC6CA3">
        <w:tab/>
        <w:t xml:space="preserve">Siemens, ‘STC-SH Siemens Turbocompressor – Single Shaft, Horizontally split casing’. </w:t>
      </w:r>
    </w:p>
    <w:p w14:paraId="3E0ADB12" w14:textId="77777777" w:rsidR="007D1BCC" w:rsidRPr="00CC6CA3" w:rsidRDefault="007D1BCC" w:rsidP="007D1BCC">
      <w:pPr>
        <w:pStyle w:val="Bibliography"/>
      </w:pPr>
      <w:r w:rsidRPr="00CC6CA3">
        <w:t>[133]</w:t>
      </w:r>
      <w:r w:rsidRPr="00CC6CA3">
        <w:tab/>
        <w:t xml:space="preserve">Construction and civil engineering team, ‘How centrifugal pumps work - with video’, </w:t>
      </w:r>
      <w:r w:rsidRPr="00CC6CA3">
        <w:rPr>
          <w:i/>
          <w:iCs/>
        </w:rPr>
        <w:t>How centrifugal pumps work - with video</w:t>
      </w:r>
      <w:r w:rsidRPr="00CC6CA3">
        <w:t>, Feb. 20, 2020. https://cceonlinenews.com/2020/02/20/how-centrifugal-pumps-work-with-video/</w:t>
      </w:r>
    </w:p>
    <w:p w14:paraId="4183215F" w14:textId="77777777" w:rsidR="007D1BCC" w:rsidRPr="00CC6CA3" w:rsidRDefault="007D1BCC" w:rsidP="007D1BCC">
      <w:pPr>
        <w:pStyle w:val="Bibliography"/>
      </w:pPr>
      <w:r w:rsidRPr="00CC6CA3">
        <w:t>[134]</w:t>
      </w:r>
      <w:r w:rsidRPr="00CC6CA3">
        <w:tab/>
        <w:t>theprocesspiping, ‘Introduction to Pumps’, Sep. 10, 2017. [Online]. Available: https://www.theprocesspiping.com/introduction-to-pumps/</w:t>
      </w:r>
    </w:p>
    <w:p w14:paraId="5EA41F90" w14:textId="77777777" w:rsidR="007D1BCC" w:rsidRPr="00CC6CA3" w:rsidRDefault="007D1BCC" w:rsidP="007D1BCC">
      <w:pPr>
        <w:pStyle w:val="Bibliography"/>
      </w:pPr>
      <w:r w:rsidRPr="00CC6CA3">
        <w:t>[135]</w:t>
      </w:r>
      <w:r w:rsidRPr="00CC6CA3">
        <w:tab/>
        <w:t xml:space="preserve">J. W. Osborne and A. Overbay, ‘The power of outliers (and why researchers should always check for them)’, </w:t>
      </w:r>
      <w:r w:rsidRPr="00CC6CA3">
        <w:rPr>
          <w:i/>
          <w:iCs/>
        </w:rPr>
        <w:t>Pract. Assess. Res. Eval.</w:t>
      </w:r>
      <w:r w:rsidRPr="00CC6CA3">
        <w:t>, vol. 9, no. 1, p. 6, 2004.</w:t>
      </w:r>
    </w:p>
    <w:p w14:paraId="595BC049" w14:textId="77777777" w:rsidR="007D1BCC" w:rsidRPr="00CC6CA3" w:rsidRDefault="007D1BCC" w:rsidP="007D1BCC">
      <w:pPr>
        <w:pStyle w:val="Bibliography"/>
      </w:pPr>
      <w:r w:rsidRPr="00CC6CA3">
        <w:t>[136]</w:t>
      </w:r>
      <w:r w:rsidRPr="00CC6CA3">
        <w:tab/>
        <w:t xml:space="preserve">A. K. Sharma, </w:t>
      </w:r>
      <w:r w:rsidRPr="00CC6CA3">
        <w:rPr>
          <w:i/>
          <w:iCs/>
        </w:rPr>
        <w:t>Text book of correlations and regression</w:t>
      </w:r>
      <w:r w:rsidRPr="00CC6CA3">
        <w:t>. Discovery Publishing House, 2005.</w:t>
      </w:r>
    </w:p>
    <w:p w14:paraId="2FEC9CB8" w14:textId="77777777" w:rsidR="007D1BCC" w:rsidRPr="00CC6CA3" w:rsidRDefault="007D1BCC" w:rsidP="007D1BCC">
      <w:pPr>
        <w:pStyle w:val="Bibliography"/>
      </w:pPr>
      <w:r w:rsidRPr="00CC6CA3">
        <w:t>[137]</w:t>
      </w:r>
      <w:r w:rsidRPr="00CC6CA3">
        <w:tab/>
        <w:t xml:space="preserve">J. F. Gülich, </w:t>
      </w:r>
      <w:r w:rsidRPr="00CC6CA3">
        <w:rPr>
          <w:i/>
          <w:iCs/>
        </w:rPr>
        <w:t>Centrifugal Pumps</w:t>
      </w:r>
      <w:r w:rsidRPr="00CC6CA3">
        <w:t>. Springer Science &amp; Business Media, 2007.</w:t>
      </w:r>
    </w:p>
    <w:p w14:paraId="2344FD69" w14:textId="77777777" w:rsidR="007D1BCC" w:rsidRPr="00CC6CA3" w:rsidRDefault="007D1BCC" w:rsidP="007D1BCC">
      <w:pPr>
        <w:pStyle w:val="Bibliography"/>
      </w:pPr>
      <w:r w:rsidRPr="00CC6CA3">
        <w:t>[138]</w:t>
      </w:r>
      <w:r w:rsidRPr="00CC6CA3">
        <w:tab/>
        <w:t xml:space="preserve">A. B. Sharma, L. Golubchik, and R. Govindan, ‘Sensor faults: Detection methods and prevalence in real-world datasets’, </w:t>
      </w:r>
      <w:r w:rsidRPr="00CC6CA3">
        <w:rPr>
          <w:i/>
          <w:iCs/>
        </w:rPr>
        <w:t>ACM Trans. Sens. Netw. TOSN</w:t>
      </w:r>
      <w:r w:rsidRPr="00CC6CA3">
        <w:t>, vol. 6, no. 3, pp. 1–39, 2010.</w:t>
      </w:r>
    </w:p>
    <w:p w14:paraId="28BA7253" w14:textId="77777777" w:rsidR="007D1BCC" w:rsidRPr="00CC6CA3" w:rsidRDefault="007D1BCC" w:rsidP="007D1BCC">
      <w:pPr>
        <w:pStyle w:val="Bibliography"/>
      </w:pPr>
      <w:r w:rsidRPr="00CC6CA3">
        <w:t>[139]</w:t>
      </w:r>
      <w:r w:rsidRPr="00CC6CA3">
        <w:tab/>
        <w:t xml:space="preserve">P. N. Saavedra and D. E. Ramirez, ‘Vibration analysis of rotors for the identification of shaft misalignment Part 1: theoretical analysis’, </w:t>
      </w:r>
      <w:r w:rsidRPr="00CC6CA3">
        <w:rPr>
          <w:i/>
          <w:iCs/>
        </w:rPr>
        <w:t>Proc. Inst. Mech. Eng. Part C J. Mech. Eng. Sci.</w:t>
      </w:r>
      <w:r w:rsidRPr="00CC6CA3">
        <w:t>, vol. 218, no. 9, pp. 971–985, 2004.</w:t>
      </w:r>
    </w:p>
    <w:p w14:paraId="13C09114" w14:textId="77777777" w:rsidR="007D1BCC" w:rsidRPr="00CC6CA3" w:rsidRDefault="007D1BCC" w:rsidP="007D1BCC">
      <w:pPr>
        <w:pStyle w:val="Bibliography"/>
      </w:pPr>
      <w:r w:rsidRPr="00CC6CA3">
        <w:t>[140]</w:t>
      </w:r>
      <w:r w:rsidRPr="00CC6CA3">
        <w:tab/>
        <w:t xml:space="preserve">A. R. Mohanty and S. Fatima, ‘Shaft misalignment detection by thermal imaging of support bearings’, </w:t>
      </w:r>
      <w:r w:rsidRPr="00CC6CA3">
        <w:rPr>
          <w:i/>
          <w:iCs/>
        </w:rPr>
        <w:t>IFAC-Pap.</w:t>
      </w:r>
      <w:r w:rsidRPr="00CC6CA3">
        <w:t>, vol. 48, no. 21, pp. 554–559, 2015.</w:t>
      </w:r>
    </w:p>
    <w:p w14:paraId="5D8A6536" w14:textId="77777777" w:rsidR="007D1BCC" w:rsidRPr="00CC6CA3" w:rsidRDefault="007D1BCC" w:rsidP="007D1BCC">
      <w:pPr>
        <w:pStyle w:val="Bibliography"/>
      </w:pPr>
      <w:r w:rsidRPr="00CC6CA3">
        <w:t>[141]</w:t>
      </w:r>
      <w:r w:rsidRPr="00CC6CA3">
        <w:tab/>
        <w:t xml:space="preserve">T. Toutountzakis and D. Mba, ‘Observations of acoustic emission activity during gear defect diagnosis’, </w:t>
      </w:r>
      <w:r w:rsidRPr="00CC6CA3">
        <w:rPr>
          <w:i/>
          <w:iCs/>
        </w:rPr>
        <w:t>NDT E Int.</w:t>
      </w:r>
      <w:r w:rsidRPr="00CC6CA3">
        <w:t>, vol. 36, no. 7, pp. 471–477, Oct. 2003, doi: 10.1016/S0963-8695(03)00063-X.</w:t>
      </w:r>
    </w:p>
    <w:p w14:paraId="2159A442" w14:textId="77777777" w:rsidR="007D1BCC" w:rsidRPr="00CC6CA3" w:rsidRDefault="007D1BCC" w:rsidP="007D1BCC">
      <w:pPr>
        <w:pStyle w:val="Bibliography"/>
      </w:pPr>
      <w:r w:rsidRPr="00CC6CA3">
        <w:t>[142]</w:t>
      </w:r>
      <w:r w:rsidRPr="00CC6CA3">
        <w:tab/>
        <w:t xml:space="preserve">‘Variable-speed air compressor’, </w:t>
      </w:r>
      <w:r w:rsidRPr="00CC6CA3">
        <w:rPr>
          <w:i/>
          <w:iCs/>
        </w:rPr>
        <w:t>Wikipedia</w:t>
      </w:r>
      <w:r w:rsidRPr="00CC6CA3">
        <w:t>. Feb. 03, 2020. Accessed: Feb. 17, 2020. [Online]. Available: https://en.wikipedia.org/w/index.php?title=Variable-speed_air_compressor&amp;oldid=938890377</w:t>
      </w:r>
    </w:p>
    <w:p w14:paraId="06FF3113" w14:textId="77777777" w:rsidR="007D1BCC" w:rsidRPr="00CC6CA3" w:rsidRDefault="007D1BCC" w:rsidP="007D1BCC">
      <w:pPr>
        <w:pStyle w:val="Bibliography"/>
      </w:pPr>
      <w:r w:rsidRPr="00CC6CA3">
        <w:t>[143]</w:t>
      </w:r>
      <w:r w:rsidRPr="00CC6CA3">
        <w:tab/>
        <w:t xml:space="preserve">I. Jolliffe, </w:t>
      </w:r>
      <w:r w:rsidRPr="00CC6CA3">
        <w:rPr>
          <w:i/>
          <w:iCs/>
        </w:rPr>
        <w:t>Principal component analysis</w:t>
      </w:r>
      <w:r w:rsidRPr="00CC6CA3">
        <w:t>. Springer, 2011.</w:t>
      </w:r>
    </w:p>
    <w:p w14:paraId="070A691E" w14:textId="77777777" w:rsidR="007D1BCC" w:rsidRPr="00CC6CA3" w:rsidRDefault="007D1BCC" w:rsidP="007D1BCC">
      <w:pPr>
        <w:pStyle w:val="Bibliography"/>
      </w:pPr>
      <w:r w:rsidRPr="00CC6CA3">
        <w:lastRenderedPageBreak/>
        <w:t>[144]</w:t>
      </w:r>
      <w:r w:rsidRPr="00CC6CA3">
        <w:tab/>
        <w:t xml:space="preserve">W. Hou, Y. Wei, J. Guo, Y. Jin, and C. Zhu, ‘Automatic detection of welding defects using deep neural network’, in </w:t>
      </w:r>
      <w:r w:rsidRPr="00CC6CA3">
        <w:rPr>
          <w:i/>
          <w:iCs/>
        </w:rPr>
        <w:t>Journal of Physics: Conference Series</w:t>
      </w:r>
      <w:r w:rsidRPr="00CC6CA3">
        <w:t>, 2018, vol. 933, p. 012006.</w:t>
      </w:r>
    </w:p>
    <w:p w14:paraId="356F54C1" w14:textId="77777777" w:rsidR="007D1BCC" w:rsidRPr="00CC6CA3" w:rsidRDefault="007D1BCC" w:rsidP="007D1BCC">
      <w:pPr>
        <w:pStyle w:val="Bibliography"/>
      </w:pPr>
      <w:r w:rsidRPr="00CC6CA3">
        <w:t>[145]</w:t>
      </w:r>
      <w:r w:rsidRPr="00CC6CA3">
        <w:tab/>
        <w:t xml:space="preserve">G. Jiang, P. Xie, H. He, and J. Yan, ‘Wind turbine fault detection using a denoising autoencoder with temporal information’, </w:t>
      </w:r>
      <w:r w:rsidRPr="00CC6CA3">
        <w:rPr>
          <w:i/>
          <w:iCs/>
        </w:rPr>
        <w:t>IEEEAsme Trans. Mechatron.</w:t>
      </w:r>
      <w:r w:rsidRPr="00CC6CA3">
        <w:t>, vol. 23, no. 1, pp. 89–100, 2017.</w:t>
      </w:r>
    </w:p>
    <w:p w14:paraId="0B133414" w14:textId="77777777" w:rsidR="007D1BCC" w:rsidRPr="00CC6CA3" w:rsidRDefault="007D1BCC" w:rsidP="007D1BCC">
      <w:pPr>
        <w:pStyle w:val="Bibliography"/>
      </w:pPr>
      <w:r w:rsidRPr="00CC6CA3">
        <w:t>[146]</w:t>
      </w:r>
      <w:r w:rsidRPr="00CC6CA3">
        <w:tab/>
        <w:t xml:space="preserve">C. Leys, O. Klein, Y. Dominicy, and C. Ley, ‘Detecting multivariate outliers: Use a robust variant of the Mahalanobis distance’, </w:t>
      </w:r>
      <w:r w:rsidRPr="00CC6CA3">
        <w:rPr>
          <w:i/>
          <w:iCs/>
        </w:rPr>
        <w:t>J. Exp. Soc. Psychol.</w:t>
      </w:r>
      <w:r w:rsidRPr="00CC6CA3">
        <w:t>, vol. 74, pp. 150–156, 2018.</w:t>
      </w:r>
    </w:p>
    <w:p w14:paraId="7AC18D13" w14:textId="77777777" w:rsidR="007D1BCC" w:rsidRPr="00CC6CA3" w:rsidRDefault="007D1BCC" w:rsidP="007D1BCC">
      <w:pPr>
        <w:pStyle w:val="Bibliography"/>
      </w:pPr>
      <w:r w:rsidRPr="00CC6CA3">
        <w:t>[147]</w:t>
      </w:r>
      <w:r w:rsidRPr="00CC6CA3">
        <w:tab/>
        <w:t xml:space="preserve">S. Brown, R. Tauler, and B. Walczak, </w:t>
      </w:r>
      <w:r w:rsidRPr="00CC6CA3">
        <w:rPr>
          <w:i/>
          <w:iCs/>
        </w:rPr>
        <w:t>Comprehensive chemometrics: chemical and biochemical data analysis</w:t>
      </w:r>
      <w:r w:rsidRPr="00CC6CA3">
        <w:t>. Elsevier, 2020.</w:t>
      </w:r>
    </w:p>
    <w:p w14:paraId="6E4DF960" w14:textId="77777777" w:rsidR="007D1BCC" w:rsidRPr="00CC6CA3" w:rsidRDefault="007D1BCC" w:rsidP="007D1BCC">
      <w:pPr>
        <w:pStyle w:val="Bibliography"/>
      </w:pPr>
      <w:r w:rsidRPr="00CC6CA3">
        <w:t>[148]</w:t>
      </w:r>
      <w:r w:rsidRPr="00CC6CA3">
        <w:tab/>
        <w:t xml:space="preserve">X. Zhu and R. D. Braatz, ‘Two-dimensional contribution map for fault identification [focus on education]’, </w:t>
      </w:r>
      <w:r w:rsidRPr="00CC6CA3">
        <w:rPr>
          <w:i/>
          <w:iCs/>
        </w:rPr>
        <w:t>IEEE Control Syst. Mag.</w:t>
      </w:r>
      <w:r w:rsidRPr="00CC6CA3">
        <w:t>, vol. 34, no. 5, pp. 72–77, 2014.</w:t>
      </w:r>
    </w:p>
    <w:p w14:paraId="4064D23C" w14:textId="77777777" w:rsidR="007D1BCC" w:rsidRPr="00CC6CA3" w:rsidRDefault="007D1BCC" w:rsidP="007D1BCC">
      <w:pPr>
        <w:pStyle w:val="Bibliography"/>
      </w:pPr>
      <w:r w:rsidRPr="00CC6CA3">
        <w:t>[149]</w:t>
      </w:r>
      <w:r w:rsidRPr="00CC6CA3">
        <w:tab/>
        <w:t>‘Chen, Zhiwen, et al. “Comparison of two basic statistics for fault detection and process monitoring.” IFAC-PapersOnLine 50.1 (2017): 14776-14781.’.</w:t>
      </w:r>
    </w:p>
    <w:p w14:paraId="76E21319" w14:textId="77777777" w:rsidR="007D1BCC" w:rsidRPr="00CC6CA3" w:rsidRDefault="007D1BCC" w:rsidP="007D1BCC">
      <w:pPr>
        <w:pStyle w:val="Bibliography"/>
      </w:pPr>
      <w:r w:rsidRPr="00CC6CA3">
        <w:t>[150]</w:t>
      </w:r>
      <w:r w:rsidRPr="00CC6CA3">
        <w:tab/>
        <w:t xml:space="preserve">R. M. Feldman and C. Valdez-Flores, </w:t>
      </w:r>
      <w:r w:rsidRPr="00CC6CA3">
        <w:rPr>
          <w:i/>
          <w:iCs/>
        </w:rPr>
        <w:t>Applied Probability and Stochastic Processes</w:t>
      </w:r>
      <w:r w:rsidRPr="00CC6CA3">
        <w:t>. Springer Science &amp; Business Media, 2009.</w:t>
      </w:r>
    </w:p>
    <w:p w14:paraId="28FF35EC" w14:textId="30637473" w:rsidR="00F4384A" w:rsidRPr="00CC6CA3" w:rsidRDefault="00394508" w:rsidP="000F5EE0">
      <w:r w:rsidRPr="00CC6CA3">
        <w:fldChar w:fldCharType="end"/>
      </w:r>
    </w:p>
    <w:sectPr w:rsidR="00F4384A" w:rsidRPr="00CC6CA3" w:rsidSect="00245532">
      <w:footerReference w:type="default" r:id="rId236"/>
      <w:pgSz w:w="11906" w:h="16838"/>
      <w:pgMar w:top="1440" w:right="873"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50FA23" w14:textId="77777777" w:rsidR="00D62691" w:rsidRDefault="00D62691" w:rsidP="005B6E66">
      <w:pPr>
        <w:spacing w:after="0" w:line="240" w:lineRule="auto"/>
      </w:pPr>
      <w:r>
        <w:separator/>
      </w:r>
    </w:p>
  </w:endnote>
  <w:endnote w:type="continuationSeparator" w:id="0">
    <w:p w14:paraId="2378CC93" w14:textId="77777777" w:rsidR="00D62691" w:rsidRDefault="00D62691" w:rsidP="005B6E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Times">
    <w:altName w:val="Calibri"/>
    <w:panose1 w:val="00000000000000000000"/>
    <w:charset w:val="EE"/>
    <w:family w:val="auto"/>
    <w:notTrueType/>
    <w:pitch w:val="default"/>
    <w:sig w:usb0="00000005" w:usb1="00000000" w:usb2="00000000" w:usb3="00000000" w:csb0="00000002" w:csb1="00000000"/>
  </w:font>
  <w:font w:name="Roboto">
    <w:charset w:val="00"/>
    <w:family w:val="auto"/>
    <w:pitch w:val="variable"/>
    <w:sig w:usb0="E00002FF" w:usb1="5000205B" w:usb2="00000020" w:usb3="00000000" w:csb0="0000019F"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1FAB5" w14:textId="77777777" w:rsidR="002005AA" w:rsidRDefault="002005AA" w:rsidP="000C169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3372791"/>
      <w:docPartObj>
        <w:docPartGallery w:val="Page Numbers (Bottom of Page)"/>
        <w:docPartUnique/>
      </w:docPartObj>
    </w:sdtPr>
    <w:sdtEndPr>
      <w:rPr>
        <w:noProof/>
      </w:rPr>
    </w:sdtEndPr>
    <w:sdtContent>
      <w:p w14:paraId="0B34CAAF" w14:textId="021BBE96" w:rsidR="002005AA" w:rsidRDefault="002005AA">
        <w:pPr>
          <w:pStyle w:val="Footer"/>
          <w:jc w:val="right"/>
        </w:pPr>
        <w:r>
          <w:fldChar w:fldCharType="begin"/>
        </w:r>
        <w:r>
          <w:instrText xml:space="preserve"> PAGE   \* MERGEFORMAT </w:instrText>
        </w:r>
        <w:r>
          <w:fldChar w:fldCharType="separate"/>
        </w:r>
        <w:r>
          <w:rPr>
            <w:noProof/>
          </w:rPr>
          <w:t>17</w:t>
        </w:r>
        <w:r>
          <w:rPr>
            <w:noProof/>
          </w:rPr>
          <w:fldChar w:fldCharType="end"/>
        </w:r>
      </w:p>
    </w:sdtContent>
  </w:sdt>
  <w:p w14:paraId="793A61D4" w14:textId="77777777" w:rsidR="002005AA" w:rsidRDefault="002005AA" w:rsidP="000C169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FCA05" w14:textId="77777777" w:rsidR="00D62691" w:rsidRDefault="00D62691" w:rsidP="005B6E66">
      <w:pPr>
        <w:spacing w:after="0" w:line="240" w:lineRule="auto"/>
      </w:pPr>
      <w:r>
        <w:separator/>
      </w:r>
    </w:p>
  </w:footnote>
  <w:footnote w:type="continuationSeparator" w:id="0">
    <w:p w14:paraId="41008AFD" w14:textId="77777777" w:rsidR="00D62691" w:rsidRDefault="00D62691" w:rsidP="005B6E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3336FE"/>
    <w:multiLevelType w:val="hybridMultilevel"/>
    <w:tmpl w:val="CCD24F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1E5D7A"/>
    <w:multiLevelType w:val="hybridMultilevel"/>
    <w:tmpl w:val="A80209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7C97A80"/>
    <w:multiLevelType w:val="multilevel"/>
    <w:tmpl w:val="D6923316"/>
    <w:styleLink w:val="Chapter21"/>
    <w:lvl w:ilvl="0">
      <w:start w:val="1"/>
      <w:numFmt w:val="decimal"/>
      <w:lvlText w:val="Chapter %1"/>
      <w:lvlJc w:val="left"/>
      <w:pPr>
        <w:ind w:left="480" w:hanging="480"/>
      </w:pPr>
      <w:rPr>
        <w:rFonts w:eastAsiaTheme="minorEastAsia" w:hint="default"/>
      </w:rPr>
    </w:lvl>
    <w:lvl w:ilvl="1">
      <w:start w:val="2"/>
      <w:numFmt w:val="decimal"/>
      <w:lvlText w:val="%1.%2"/>
      <w:lvlJc w:val="left"/>
      <w:pPr>
        <w:ind w:left="480" w:hanging="48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3"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15:restartNumberingAfterBreak="0">
    <w:nsid w:val="2A996CED"/>
    <w:multiLevelType w:val="hybridMultilevel"/>
    <w:tmpl w:val="442820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FAB7217"/>
    <w:multiLevelType w:val="hybridMultilevel"/>
    <w:tmpl w:val="66A40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2FA6E97"/>
    <w:multiLevelType w:val="hybridMultilevel"/>
    <w:tmpl w:val="C2BACB78"/>
    <w:lvl w:ilvl="0" w:tplc="35CE7F5C">
      <w:start w:val="1"/>
      <w:numFmt w:val="bullet"/>
      <w:lvlText w:val=""/>
      <w:lvlJc w:val="left"/>
      <w:pPr>
        <w:tabs>
          <w:tab w:val="num" w:pos="720"/>
        </w:tabs>
        <w:ind w:left="720" w:hanging="360"/>
      </w:pPr>
      <w:rPr>
        <w:rFonts w:ascii="Symbol" w:hAnsi="Symbol" w:hint="default"/>
      </w:rPr>
    </w:lvl>
    <w:lvl w:ilvl="1" w:tplc="8E084934" w:tentative="1">
      <w:start w:val="1"/>
      <w:numFmt w:val="bullet"/>
      <w:lvlText w:val=""/>
      <w:lvlJc w:val="left"/>
      <w:pPr>
        <w:tabs>
          <w:tab w:val="num" w:pos="1440"/>
        </w:tabs>
        <w:ind w:left="1440" w:hanging="360"/>
      </w:pPr>
      <w:rPr>
        <w:rFonts w:ascii="Symbol" w:hAnsi="Symbol" w:hint="default"/>
      </w:rPr>
    </w:lvl>
    <w:lvl w:ilvl="2" w:tplc="DDFE0A8E" w:tentative="1">
      <w:start w:val="1"/>
      <w:numFmt w:val="bullet"/>
      <w:lvlText w:val=""/>
      <w:lvlJc w:val="left"/>
      <w:pPr>
        <w:tabs>
          <w:tab w:val="num" w:pos="2160"/>
        </w:tabs>
        <w:ind w:left="2160" w:hanging="360"/>
      </w:pPr>
      <w:rPr>
        <w:rFonts w:ascii="Symbol" w:hAnsi="Symbol" w:hint="default"/>
      </w:rPr>
    </w:lvl>
    <w:lvl w:ilvl="3" w:tplc="4E2454E8" w:tentative="1">
      <w:start w:val="1"/>
      <w:numFmt w:val="bullet"/>
      <w:lvlText w:val=""/>
      <w:lvlJc w:val="left"/>
      <w:pPr>
        <w:tabs>
          <w:tab w:val="num" w:pos="2880"/>
        </w:tabs>
        <w:ind w:left="2880" w:hanging="360"/>
      </w:pPr>
      <w:rPr>
        <w:rFonts w:ascii="Symbol" w:hAnsi="Symbol" w:hint="default"/>
      </w:rPr>
    </w:lvl>
    <w:lvl w:ilvl="4" w:tplc="AC827012" w:tentative="1">
      <w:start w:val="1"/>
      <w:numFmt w:val="bullet"/>
      <w:lvlText w:val=""/>
      <w:lvlJc w:val="left"/>
      <w:pPr>
        <w:tabs>
          <w:tab w:val="num" w:pos="3600"/>
        </w:tabs>
        <w:ind w:left="3600" w:hanging="360"/>
      </w:pPr>
      <w:rPr>
        <w:rFonts w:ascii="Symbol" w:hAnsi="Symbol" w:hint="default"/>
      </w:rPr>
    </w:lvl>
    <w:lvl w:ilvl="5" w:tplc="C586192A" w:tentative="1">
      <w:start w:val="1"/>
      <w:numFmt w:val="bullet"/>
      <w:lvlText w:val=""/>
      <w:lvlJc w:val="left"/>
      <w:pPr>
        <w:tabs>
          <w:tab w:val="num" w:pos="4320"/>
        </w:tabs>
        <w:ind w:left="4320" w:hanging="360"/>
      </w:pPr>
      <w:rPr>
        <w:rFonts w:ascii="Symbol" w:hAnsi="Symbol" w:hint="default"/>
      </w:rPr>
    </w:lvl>
    <w:lvl w:ilvl="6" w:tplc="DA8CB42C" w:tentative="1">
      <w:start w:val="1"/>
      <w:numFmt w:val="bullet"/>
      <w:lvlText w:val=""/>
      <w:lvlJc w:val="left"/>
      <w:pPr>
        <w:tabs>
          <w:tab w:val="num" w:pos="5040"/>
        </w:tabs>
        <w:ind w:left="5040" w:hanging="360"/>
      </w:pPr>
      <w:rPr>
        <w:rFonts w:ascii="Symbol" w:hAnsi="Symbol" w:hint="default"/>
      </w:rPr>
    </w:lvl>
    <w:lvl w:ilvl="7" w:tplc="A8E60990" w:tentative="1">
      <w:start w:val="1"/>
      <w:numFmt w:val="bullet"/>
      <w:lvlText w:val=""/>
      <w:lvlJc w:val="left"/>
      <w:pPr>
        <w:tabs>
          <w:tab w:val="num" w:pos="5760"/>
        </w:tabs>
        <w:ind w:left="5760" w:hanging="360"/>
      </w:pPr>
      <w:rPr>
        <w:rFonts w:ascii="Symbol" w:hAnsi="Symbol" w:hint="default"/>
      </w:rPr>
    </w:lvl>
    <w:lvl w:ilvl="8" w:tplc="4BE86E1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34A43D18"/>
    <w:multiLevelType w:val="multilevel"/>
    <w:tmpl w:val="08090029"/>
    <w:styleLink w:val="MyListStyle1"/>
    <w:lvl w:ilvl="0">
      <w:start w:val="1"/>
      <w:numFmt w:val="decimal"/>
      <w:suff w:val="space"/>
      <w:lvlText w:val="Chapter %1"/>
      <w:lvlJc w:val="left"/>
      <w:pPr>
        <w:ind w:left="0" w:firstLine="0"/>
      </w:pPr>
      <w:rPr>
        <w:rFonts w:hint="eastAsia"/>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15:restartNumberingAfterBreak="0">
    <w:nsid w:val="358F7E66"/>
    <w:multiLevelType w:val="hybridMultilevel"/>
    <w:tmpl w:val="A44C88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93026D5"/>
    <w:multiLevelType w:val="multilevel"/>
    <w:tmpl w:val="2632941E"/>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0"/>
        </w:tabs>
        <w:ind w:left="850" w:hanging="340"/>
      </w:pPr>
      <w:rPr>
        <w:rFonts w:hint="default"/>
      </w:rPr>
    </w:lvl>
    <w:lvl w:ilvl="3">
      <w:start w:val="1"/>
      <w:numFmt w:val="decimal"/>
      <w:lvlText w:val="(%4)"/>
      <w:lvlJc w:val="left"/>
      <w:pPr>
        <w:tabs>
          <w:tab w:val="num" w:pos="1191"/>
        </w:tabs>
        <w:ind w:left="1191" w:hanging="341"/>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4"/>
        </w:tabs>
        <w:ind w:left="2154" w:hanging="340"/>
      </w:pPr>
      <w:rPr>
        <w:rFonts w:hint="default"/>
      </w:rPr>
    </w:lvl>
    <w:lvl w:ilvl="7">
      <w:start w:val="1"/>
      <w:numFmt w:val="lowerLetter"/>
      <w:lvlText w:val="%8."/>
      <w:lvlJc w:val="left"/>
      <w:pPr>
        <w:tabs>
          <w:tab w:val="num" w:pos="2381"/>
        </w:tabs>
        <w:ind w:left="2381" w:hanging="227"/>
      </w:pPr>
      <w:rPr>
        <w:rFonts w:hint="default"/>
      </w:rPr>
    </w:lvl>
    <w:lvl w:ilvl="8">
      <w:start w:val="1"/>
      <w:numFmt w:val="lowerRoman"/>
      <w:lvlText w:val="%9."/>
      <w:lvlJc w:val="left"/>
      <w:pPr>
        <w:tabs>
          <w:tab w:val="num" w:pos="2721"/>
        </w:tabs>
        <w:ind w:left="2721" w:hanging="340"/>
      </w:pPr>
      <w:rPr>
        <w:rFonts w:hint="default"/>
      </w:rPr>
    </w:lvl>
  </w:abstractNum>
  <w:abstractNum w:abstractNumId="10" w15:restartNumberingAfterBreak="0">
    <w:nsid w:val="4B483BF9"/>
    <w:multiLevelType w:val="multilevel"/>
    <w:tmpl w:val="3AAE8148"/>
    <w:styleLink w:val="Chapter2"/>
    <w:lvl w:ilvl="0">
      <w:start w:val="2"/>
      <w:numFmt w:val="decimal"/>
      <w:suff w:val="space"/>
      <w:lvlText w:val="Chapter %1"/>
      <w:lvlJc w:val="left"/>
      <w:pPr>
        <w:ind w:left="0" w:firstLine="0"/>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1" w15:restartNumberingAfterBreak="0">
    <w:nsid w:val="5069112E"/>
    <w:multiLevelType w:val="multilevel"/>
    <w:tmpl w:val="5AFCD3BE"/>
    <w:lvl w:ilvl="0">
      <w:start w:val="1"/>
      <w:numFmt w:val="decimal"/>
      <w:pStyle w:val="ElsHeading1"/>
      <w:suff w:val="space"/>
      <w:lvlText w:val="%1."/>
      <w:lvlJc w:val="left"/>
      <w:pPr>
        <w:ind w:left="0" w:firstLine="0"/>
      </w:pPr>
      <w:rPr>
        <w:rFonts w:hint="default"/>
      </w:rPr>
    </w:lvl>
    <w:lvl w:ilvl="1">
      <w:start w:val="1"/>
      <w:numFmt w:val="decimal"/>
      <w:pStyle w:val="ElsHeading2"/>
      <w:suff w:val="space"/>
      <w:lvlText w:val="%1.%2."/>
      <w:lvlJc w:val="left"/>
      <w:pPr>
        <w:ind w:left="0" w:firstLine="0"/>
      </w:pPr>
      <w:rPr>
        <w:rFonts w:hint="default"/>
      </w:rPr>
    </w:lvl>
    <w:lvl w:ilvl="2">
      <w:start w:val="1"/>
      <w:numFmt w:val="decimal"/>
      <w:pStyle w:val="ElsHeading3"/>
      <w:suff w:val="space"/>
      <w:lvlText w:val="%1.%2.%3."/>
      <w:lvlJc w:val="left"/>
      <w:pPr>
        <w:ind w:left="0" w:firstLine="0"/>
      </w:pPr>
      <w:rPr>
        <w:rFonts w:hint="default"/>
      </w:rPr>
    </w:lvl>
    <w:lvl w:ilvl="3">
      <w:start w:val="1"/>
      <w:numFmt w:val="decimal"/>
      <w:pStyle w:val="ElsHeading4"/>
      <w:suff w:val="space"/>
      <w:lvlText w:val="%1.%2.%3.%4."/>
      <w:lvlJc w:val="left"/>
      <w:pPr>
        <w:ind w:left="0" w:firstLine="0"/>
      </w:pPr>
      <w:rPr>
        <w:rFonts w:hint="default"/>
      </w:rPr>
    </w:lvl>
    <w:lvl w:ilvl="4">
      <w:start w:val="1"/>
      <w:numFmt w:val="decimal"/>
      <w:pStyle w:val="ElsHeading5"/>
      <w:suff w:val="space"/>
      <w:lvlText w:val="%1.%2.%3.%4.%5."/>
      <w:lvlJc w:val="left"/>
      <w:pPr>
        <w:ind w:left="0" w:firstLine="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65DA1A42"/>
    <w:multiLevelType w:val="hybridMultilevel"/>
    <w:tmpl w:val="28A6D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7C94B50"/>
    <w:multiLevelType w:val="hybridMultilevel"/>
    <w:tmpl w:val="E208CA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A521664"/>
    <w:multiLevelType w:val="hybridMultilevel"/>
    <w:tmpl w:val="24D2E6A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DDD00E5"/>
    <w:multiLevelType w:val="hybridMultilevel"/>
    <w:tmpl w:val="06E623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28A5813"/>
    <w:multiLevelType w:val="multilevel"/>
    <w:tmpl w:val="991EA9E4"/>
    <w:styleLink w:val="MyListStyle"/>
    <w:lvl w:ilvl="0">
      <w:start w:val="1"/>
      <w:numFmt w:val="decimal"/>
      <w:lvlText w:val="Chapter %1"/>
      <w:lvlJc w:val="left"/>
      <w:pPr>
        <w:ind w:left="480" w:hanging="480"/>
      </w:pPr>
      <w:rPr>
        <w:rFonts w:eastAsiaTheme="minorEastAsia" w:hint="default"/>
      </w:rPr>
    </w:lvl>
    <w:lvl w:ilvl="1">
      <w:start w:val="1"/>
      <w:numFmt w:val="decimal"/>
      <w:suff w:val="space"/>
      <w:lvlText w:val="%1.%2"/>
      <w:lvlJc w:val="left"/>
      <w:pPr>
        <w:ind w:left="480" w:hanging="480"/>
      </w:pPr>
      <w:rPr>
        <w:rFonts w:eastAsiaTheme="minorEastAsia" w:hint="default"/>
      </w:rPr>
    </w:lvl>
    <w:lvl w:ilvl="2">
      <w:start w:val="1"/>
      <w:numFmt w:val="decimal"/>
      <w:suff w:val="space"/>
      <w:lvlText w:val="%1.%2.%3"/>
      <w:lvlJc w:val="left"/>
      <w:pPr>
        <w:ind w:left="720" w:hanging="720"/>
      </w:pPr>
      <w:rPr>
        <w:rFonts w:eastAsiaTheme="minorEastAsia" w:hint="default"/>
      </w:rPr>
    </w:lvl>
    <w:lvl w:ilvl="3">
      <w:start w:val="1"/>
      <w:numFmt w:val="decimal"/>
      <w:suff w:val="space"/>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17" w15:restartNumberingAfterBreak="0">
    <w:nsid w:val="739B4AA4"/>
    <w:multiLevelType w:val="multilevel"/>
    <w:tmpl w:val="8E1A0650"/>
    <w:lvl w:ilvl="0">
      <w:start w:val="1"/>
      <w:numFmt w:val="decimal"/>
      <w:pStyle w:val="Heading1"/>
      <w:lvlText w:val="Chapter %1."/>
      <w:lvlJc w:val="left"/>
      <w:pPr>
        <w:ind w:left="360" w:hanging="360"/>
      </w:pPr>
      <w:rPr>
        <w:rFonts w:hint="default"/>
        <w:sz w:val="32"/>
        <w:szCs w:val="36"/>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764C1689"/>
    <w:multiLevelType w:val="hybridMultilevel"/>
    <w:tmpl w:val="520061C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E8A5250"/>
    <w:multiLevelType w:val="hybridMultilevel"/>
    <w:tmpl w:val="F76A1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6"/>
  </w:num>
  <w:num w:numId="4">
    <w:abstractNumId w:val="18"/>
  </w:num>
  <w:num w:numId="5">
    <w:abstractNumId w:val="16"/>
  </w:num>
  <w:num w:numId="6">
    <w:abstractNumId w:val="10"/>
  </w:num>
  <w:num w:numId="7">
    <w:abstractNumId w:val="2"/>
  </w:num>
  <w:num w:numId="8">
    <w:abstractNumId w:val="7"/>
  </w:num>
  <w:num w:numId="9">
    <w:abstractNumId w:val="11"/>
  </w:num>
  <w:num w:numId="10">
    <w:abstractNumId w:val="9"/>
  </w:num>
  <w:num w:numId="11">
    <w:abstractNumId w:val="12"/>
  </w:num>
  <w:num w:numId="12">
    <w:abstractNumId w:val="15"/>
  </w:num>
  <w:num w:numId="13">
    <w:abstractNumId w:val="1"/>
  </w:num>
  <w:num w:numId="14">
    <w:abstractNumId w:val="13"/>
  </w:num>
  <w:num w:numId="15">
    <w:abstractNumId w:val="3"/>
  </w:num>
  <w:num w:numId="16">
    <w:abstractNumId w:val="4"/>
  </w:num>
  <w:num w:numId="17">
    <w:abstractNumId w:val="14"/>
  </w:num>
  <w:num w:numId="18">
    <w:abstractNumId w:val="8"/>
  </w:num>
  <w:num w:numId="19">
    <w:abstractNumId w:val="19"/>
  </w:num>
  <w:num w:numId="20">
    <w:abstractNumId w:val="5"/>
  </w:num>
  <w:num w:numId="21">
    <w:abstractNumId w:val="17"/>
  </w:num>
  <w:num w:numId="22">
    <w:abstractNumId w:val="17"/>
  </w:num>
  <w:num w:numId="23">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c0sDQwtTAzNTMyMDNQ0lEKTi0uzszPAykwMakFAOVMIg0tAAAA"/>
  </w:docVars>
  <w:rsids>
    <w:rsidRoot w:val="003F4F6E"/>
    <w:rsid w:val="0000011E"/>
    <w:rsid w:val="0000022E"/>
    <w:rsid w:val="00000398"/>
    <w:rsid w:val="00000B1C"/>
    <w:rsid w:val="000014F2"/>
    <w:rsid w:val="0000192A"/>
    <w:rsid w:val="00001B5B"/>
    <w:rsid w:val="00001C2F"/>
    <w:rsid w:val="00001D07"/>
    <w:rsid w:val="00001E8D"/>
    <w:rsid w:val="0000217A"/>
    <w:rsid w:val="00002A94"/>
    <w:rsid w:val="00002B81"/>
    <w:rsid w:val="00002FC9"/>
    <w:rsid w:val="0000301D"/>
    <w:rsid w:val="000040BB"/>
    <w:rsid w:val="00004F7C"/>
    <w:rsid w:val="0000541A"/>
    <w:rsid w:val="000054F1"/>
    <w:rsid w:val="00005922"/>
    <w:rsid w:val="000061C5"/>
    <w:rsid w:val="00006DE2"/>
    <w:rsid w:val="0000778A"/>
    <w:rsid w:val="00007A9F"/>
    <w:rsid w:val="00007B56"/>
    <w:rsid w:val="000106AB"/>
    <w:rsid w:val="00010E02"/>
    <w:rsid w:val="00011709"/>
    <w:rsid w:val="0001183A"/>
    <w:rsid w:val="000119F5"/>
    <w:rsid w:val="00012073"/>
    <w:rsid w:val="000131FD"/>
    <w:rsid w:val="00013519"/>
    <w:rsid w:val="000139EC"/>
    <w:rsid w:val="00013D39"/>
    <w:rsid w:val="00014C03"/>
    <w:rsid w:val="000154B8"/>
    <w:rsid w:val="00015A38"/>
    <w:rsid w:val="00015A85"/>
    <w:rsid w:val="000161FA"/>
    <w:rsid w:val="00017C69"/>
    <w:rsid w:val="000200F9"/>
    <w:rsid w:val="000204EE"/>
    <w:rsid w:val="00020C34"/>
    <w:rsid w:val="00021018"/>
    <w:rsid w:val="0002153D"/>
    <w:rsid w:val="00021CDA"/>
    <w:rsid w:val="0002209E"/>
    <w:rsid w:val="00022184"/>
    <w:rsid w:val="000224FB"/>
    <w:rsid w:val="000243E1"/>
    <w:rsid w:val="00024BF5"/>
    <w:rsid w:val="00024C1A"/>
    <w:rsid w:val="00024D03"/>
    <w:rsid w:val="00024EC4"/>
    <w:rsid w:val="0002500D"/>
    <w:rsid w:val="000252F4"/>
    <w:rsid w:val="000255F5"/>
    <w:rsid w:val="000266D7"/>
    <w:rsid w:val="00026C7D"/>
    <w:rsid w:val="000301AC"/>
    <w:rsid w:val="0003039B"/>
    <w:rsid w:val="000303AA"/>
    <w:rsid w:val="000315E7"/>
    <w:rsid w:val="000331E9"/>
    <w:rsid w:val="00033282"/>
    <w:rsid w:val="0003364B"/>
    <w:rsid w:val="00034377"/>
    <w:rsid w:val="0003463F"/>
    <w:rsid w:val="0003474E"/>
    <w:rsid w:val="00035332"/>
    <w:rsid w:val="000354D3"/>
    <w:rsid w:val="00035637"/>
    <w:rsid w:val="0003567C"/>
    <w:rsid w:val="00035785"/>
    <w:rsid w:val="00037005"/>
    <w:rsid w:val="0003744D"/>
    <w:rsid w:val="000402AE"/>
    <w:rsid w:val="00040BE3"/>
    <w:rsid w:val="000412E9"/>
    <w:rsid w:val="000414A2"/>
    <w:rsid w:val="00041679"/>
    <w:rsid w:val="00041E6A"/>
    <w:rsid w:val="0004216E"/>
    <w:rsid w:val="00042D32"/>
    <w:rsid w:val="00043724"/>
    <w:rsid w:val="0004382C"/>
    <w:rsid w:val="000438FC"/>
    <w:rsid w:val="00043CF9"/>
    <w:rsid w:val="00044074"/>
    <w:rsid w:val="000441CC"/>
    <w:rsid w:val="000443AB"/>
    <w:rsid w:val="000455BC"/>
    <w:rsid w:val="00045C15"/>
    <w:rsid w:val="000462A8"/>
    <w:rsid w:val="00046CA3"/>
    <w:rsid w:val="0004717C"/>
    <w:rsid w:val="00047602"/>
    <w:rsid w:val="0005012A"/>
    <w:rsid w:val="00050A6A"/>
    <w:rsid w:val="000515CC"/>
    <w:rsid w:val="00051673"/>
    <w:rsid w:val="00051C35"/>
    <w:rsid w:val="00051E21"/>
    <w:rsid w:val="00051E56"/>
    <w:rsid w:val="00051F97"/>
    <w:rsid w:val="00052755"/>
    <w:rsid w:val="00053246"/>
    <w:rsid w:val="00053BF1"/>
    <w:rsid w:val="0005411F"/>
    <w:rsid w:val="000544A5"/>
    <w:rsid w:val="00055EE2"/>
    <w:rsid w:val="000562E3"/>
    <w:rsid w:val="00057400"/>
    <w:rsid w:val="000602E5"/>
    <w:rsid w:val="00060348"/>
    <w:rsid w:val="00060458"/>
    <w:rsid w:val="00060BFA"/>
    <w:rsid w:val="000610B9"/>
    <w:rsid w:val="00062251"/>
    <w:rsid w:val="00062602"/>
    <w:rsid w:val="0006295B"/>
    <w:rsid w:val="00062C65"/>
    <w:rsid w:val="00063F03"/>
    <w:rsid w:val="00064042"/>
    <w:rsid w:val="00064406"/>
    <w:rsid w:val="00064B0B"/>
    <w:rsid w:val="000657D0"/>
    <w:rsid w:val="00065D28"/>
    <w:rsid w:val="0006606A"/>
    <w:rsid w:val="00066177"/>
    <w:rsid w:val="000673D5"/>
    <w:rsid w:val="00070EB8"/>
    <w:rsid w:val="000713D3"/>
    <w:rsid w:val="00071B3B"/>
    <w:rsid w:val="00071E75"/>
    <w:rsid w:val="00072107"/>
    <w:rsid w:val="00072817"/>
    <w:rsid w:val="000729B1"/>
    <w:rsid w:val="00072EC9"/>
    <w:rsid w:val="00073C12"/>
    <w:rsid w:val="000748C3"/>
    <w:rsid w:val="00074BD5"/>
    <w:rsid w:val="0007532B"/>
    <w:rsid w:val="000756E5"/>
    <w:rsid w:val="000757AD"/>
    <w:rsid w:val="000769E3"/>
    <w:rsid w:val="00076EA3"/>
    <w:rsid w:val="000775E2"/>
    <w:rsid w:val="00077631"/>
    <w:rsid w:val="0007776D"/>
    <w:rsid w:val="00080506"/>
    <w:rsid w:val="000806F6"/>
    <w:rsid w:val="00080B6C"/>
    <w:rsid w:val="000811D8"/>
    <w:rsid w:val="0008236E"/>
    <w:rsid w:val="0008268A"/>
    <w:rsid w:val="000829FD"/>
    <w:rsid w:val="00082C8A"/>
    <w:rsid w:val="00082EF0"/>
    <w:rsid w:val="00082F11"/>
    <w:rsid w:val="00083A61"/>
    <w:rsid w:val="00083FA9"/>
    <w:rsid w:val="00084090"/>
    <w:rsid w:val="00084A14"/>
    <w:rsid w:val="00084A15"/>
    <w:rsid w:val="0008510C"/>
    <w:rsid w:val="000851BE"/>
    <w:rsid w:val="00085E48"/>
    <w:rsid w:val="00085F8F"/>
    <w:rsid w:val="0008642F"/>
    <w:rsid w:val="000867BF"/>
    <w:rsid w:val="00087495"/>
    <w:rsid w:val="00087B56"/>
    <w:rsid w:val="00087B70"/>
    <w:rsid w:val="00087E74"/>
    <w:rsid w:val="000900AB"/>
    <w:rsid w:val="00090ACA"/>
    <w:rsid w:val="00090B9E"/>
    <w:rsid w:val="00091294"/>
    <w:rsid w:val="0009199F"/>
    <w:rsid w:val="0009222B"/>
    <w:rsid w:val="000929B8"/>
    <w:rsid w:val="00092A90"/>
    <w:rsid w:val="00092AFA"/>
    <w:rsid w:val="000944F2"/>
    <w:rsid w:val="0009476F"/>
    <w:rsid w:val="00094DF0"/>
    <w:rsid w:val="00095810"/>
    <w:rsid w:val="0009582E"/>
    <w:rsid w:val="00095D82"/>
    <w:rsid w:val="00095FB5"/>
    <w:rsid w:val="00096163"/>
    <w:rsid w:val="000962F0"/>
    <w:rsid w:val="000964D3"/>
    <w:rsid w:val="000969B4"/>
    <w:rsid w:val="000A01C7"/>
    <w:rsid w:val="000A140C"/>
    <w:rsid w:val="000A353A"/>
    <w:rsid w:val="000A361D"/>
    <w:rsid w:val="000A3695"/>
    <w:rsid w:val="000A3A71"/>
    <w:rsid w:val="000A3FB1"/>
    <w:rsid w:val="000A41C2"/>
    <w:rsid w:val="000A4CD3"/>
    <w:rsid w:val="000A6399"/>
    <w:rsid w:val="000A6460"/>
    <w:rsid w:val="000A674C"/>
    <w:rsid w:val="000A71FC"/>
    <w:rsid w:val="000A7400"/>
    <w:rsid w:val="000A766E"/>
    <w:rsid w:val="000A7685"/>
    <w:rsid w:val="000A7837"/>
    <w:rsid w:val="000A79EB"/>
    <w:rsid w:val="000A7CAA"/>
    <w:rsid w:val="000A7EA4"/>
    <w:rsid w:val="000B06C8"/>
    <w:rsid w:val="000B1E0C"/>
    <w:rsid w:val="000B2154"/>
    <w:rsid w:val="000B2514"/>
    <w:rsid w:val="000B290B"/>
    <w:rsid w:val="000B2935"/>
    <w:rsid w:val="000B2FB3"/>
    <w:rsid w:val="000B3A3E"/>
    <w:rsid w:val="000B3CFB"/>
    <w:rsid w:val="000B4AE4"/>
    <w:rsid w:val="000B4E82"/>
    <w:rsid w:val="000B553C"/>
    <w:rsid w:val="000B596C"/>
    <w:rsid w:val="000B5CE9"/>
    <w:rsid w:val="000B5ED4"/>
    <w:rsid w:val="000B6871"/>
    <w:rsid w:val="000B74CD"/>
    <w:rsid w:val="000B797E"/>
    <w:rsid w:val="000B7DAF"/>
    <w:rsid w:val="000C14A7"/>
    <w:rsid w:val="000C1690"/>
    <w:rsid w:val="000C1842"/>
    <w:rsid w:val="000C189C"/>
    <w:rsid w:val="000C1D46"/>
    <w:rsid w:val="000C2ABC"/>
    <w:rsid w:val="000C2B5D"/>
    <w:rsid w:val="000C2C62"/>
    <w:rsid w:val="000C5250"/>
    <w:rsid w:val="000C557C"/>
    <w:rsid w:val="000C5C7A"/>
    <w:rsid w:val="000C5F87"/>
    <w:rsid w:val="000C60B7"/>
    <w:rsid w:val="000C6385"/>
    <w:rsid w:val="000C6C48"/>
    <w:rsid w:val="000C75FC"/>
    <w:rsid w:val="000C7AB1"/>
    <w:rsid w:val="000D03C7"/>
    <w:rsid w:val="000D0923"/>
    <w:rsid w:val="000D0D47"/>
    <w:rsid w:val="000D16F2"/>
    <w:rsid w:val="000D1F0F"/>
    <w:rsid w:val="000D26D3"/>
    <w:rsid w:val="000D28A0"/>
    <w:rsid w:val="000D3B55"/>
    <w:rsid w:val="000D3DA4"/>
    <w:rsid w:val="000D4194"/>
    <w:rsid w:val="000D42A1"/>
    <w:rsid w:val="000D4AB6"/>
    <w:rsid w:val="000D4B7F"/>
    <w:rsid w:val="000D5D62"/>
    <w:rsid w:val="000D5D6E"/>
    <w:rsid w:val="000D5F5F"/>
    <w:rsid w:val="000D6023"/>
    <w:rsid w:val="000D7913"/>
    <w:rsid w:val="000D7958"/>
    <w:rsid w:val="000E0266"/>
    <w:rsid w:val="000E07B4"/>
    <w:rsid w:val="000E10D2"/>
    <w:rsid w:val="000E14E6"/>
    <w:rsid w:val="000E1D22"/>
    <w:rsid w:val="000E23DC"/>
    <w:rsid w:val="000E2612"/>
    <w:rsid w:val="000E291E"/>
    <w:rsid w:val="000E2A7B"/>
    <w:rsid w:val="000E2B60"/>
    <w:rsid w:val="000E31B4"/>
    <w:rsid w:val="000E3647"/>
    <w:rsid w:val="000E3E00"/>
    <w:rsid w:val="000E3F7C"/>
    <w:rsid w:val="000E4423"/>
    <w:rsid w:val="000E49B1"/>
    <w:rsid w:val="000E50C2"/>
    <w:rsid w:val="000E6567"/>
    <w:rsid w:val="000E66E7"/>
    <w:rsid w:val="000E691F"/>
    <w:rsid w:val="000E6B10"/>
    <w:rsid w:val="000F041E"/>
    <w:rsid w:val="000F0761"/>
    <w:rsid w:val="000F0B1E"/>
    <w:rsid w:val="000F0EDB"/>
    <w:rsid w:val="000F117F"/>
    <w:rsid w:val="000F1449"/>
    <w:rsid w:val="000F14D9"/>
    <w:rsid w:val="000F166A"/>
    <w:rsid w:val="000F190B"/>
    <w:rsid w:val="000F281F"/>
    <w:rsid w:val="000F2DBF"/>
    <w:rsid w:val="000F2EC6"/>
    <w:rsid w:val="000F30F4"/>
    <w:rsid w:val="000F33C3"/>
    <w:rsid w:val="000F3FB4"/>
    <w:rsid w:val="000F4058"/>
    <w:rsid w:val="000F477E"/>
    <w:rsid w:val="000F4B12"/>
    <w:rsid w:val="000F4E3E"/>
    <w:rsid w:val="000F5EE0"/>
    <w:rsid w:val="000F6674"/>
    <w:rsid w:val="000F7BF1"/>
    <w:rsid w:val="001002B2"/>
    <w:rsid w:val="0010044F"/>
    <w:rsid w:val="001007FF"/>
    <w:rsid w:val="00100B89"/>
    <w:rsid w:val="00100BA9"/>
    <w:rsid w:val="00100D5C"/>
    <w:rsid w:val="00101103"/>
    <w:rsid w:val="00101296"/>
    <w:rsid w:val="0010175C"/>
    <w:rsid w:val="00101C24"/>
    <w:rsid w:val="0010200C"/>
    <w:rsid w:val="001023CF"/>
    <w:rsid w:val="00102CE0"/>
    <w:rsid w:val="001030E6"/>
    <w:rsid w:val="00103275"/>
    <w:rsid w:val="00103C89"/>
    <w:rsid w:val="001043B9"/>
    <w:rsid w:val="00104749"/>
    <w:rsid w:val="00104BA8"/>
    <w:rsid w:val="00104E74"/>
    <w:rsid w:val="0010525D"/>
    <w:rsid w:val="0010563C"/>
    <w:rsid w:val="00105D16"/>
    <w:rsid w:val="00106358"/>
    <w:rsid w:val="00106C08"/>
    <w:rsid w:val="00106F6F"/>
    <w:rsid w:val="00106FF8"/>
    <w:rsid w:val="001072DD"/>
    <w:rsid w:val="00107CC3"/>
    <w:rsid w:val="0011058E"/>
    <w:rsid w:val="00110DFC"/>
    <w:rsid w:val="001112F7"/>
    <w:rsid w:val="00111A25"/>
    <w:rsid w:val="00114215"/>
    <w:rsid w:val="001156E7"/>
    <w:rsid w:val="00115A1C"/>
    <w:rsid w:val="00115C88"/>
    <w:rsid w:val="00116862"/>
    <w:rsid w:val="00116B23"/>
    <w:rsid w:val="00116BEB"/>
    <w:rsid w:val="00116CD2"/>
    <w:rsid w:val="00117081"/>
    <w:rsid w:val="001175E1"/>
    <w:rsid w:val="0012005B"/>
    <w:rsid w:val="00120498"/>
    <w:rsid w:val="00120CBF"/>
    <w:rsid w:val="00120F0E"/>
    <w:rsid w:val="00121548"/>
    <w:rsid w:val="001216C0"/>
    <w:rsid w:val="00121959"/>
    <w:rsid w:val="00121A94"/>
    <w:rsid w:val="00121FD8"/>
    <w:rsid w:val="00122431"/>
    <w:rsid w:val="00122F10"/>
    <w:rsid w:val="00122FA7"/>
    <w:rsid w:val="00123553"/>
    <w:rsid w:val="0012617E"/>
    <w:rsid w:val="00127353"/>
    <w:rsid w:val="001276D7"/>
    <w:rsid w:val="00127E95"/>
    <w:rsid w:val="001301AF"/>
    <w:rsid w:val="0013039D"/>
    <w:rsid w:val="00131B8C"/>
    <w:rsid w:val="00131D32"/>
    <w:rsid w:val="00131DCD"/>
    <w:rsid w:val="00132BA7"/>
    <w:rsid w:val="00133398"/>
    <w:rsid w:val="001334AB"/>
    <w:rsid w:val="0013381B"/>
    <w:rsid w:val="00133E21"/>
    <w:rsid w:val="001341F3"/>
    <w:rsid w:val="00134838"/>
    <w:rsid w:val="0013502F"/>
    <w:rsid w:val="00135509"/>
    <w:rsid w:val="00136714"/>
    <w:rsid w:val="00136A16"/>
    <w:rsid w:val="00137B9B"/>
    <w:rsid w:val="001401F9"/>
    <w:rsid w:val="001402D3"/>
    <w:rsid w:val="00140482"/>
    <w:rsid w:val="001404BF"/>
    <w:rsid w:val="001405FE"/>
    <w:rsid w:val="00141605"/>
    <w:rsid w:val="001423B8"/>
    <w:rsid w:val="001433ED"/>
    <w:rsid w:val="00143806"/>
    <w:rsid w:val="00143F88"/>
    <w:rsid w:val="001447D2"/>
    <w:rsid w:val="00144F6C"/>
    <w:rsid w:val="0014619F"/>
    <w:rsid w:val="0014714C"/>
    <w:rsid w:val="001472AC"/>
    <w:rsid w:val="00147820"/>
    <w:rsid w:val="00147BFE"/>
    <w:rsid w:val="00147D84"/>
    <w:rsid w:val="00150896"/>
    <w:rsid w:val="0015106B"/>
    <w:rsid w:val="00151242"/>
    <w:rsid w:val="00151373"/>
    <w:rsid w:val="00151388"/>
    <w:rsid w:val="001514DE"/>
    <w:rsid w:val="00151CE6"/>
    <w:rsid w:val="00152251"/>
    <w:rsid w:val="00152435"/>
    <w:rsid w:val="001524C6"/>
    <w:rsid w:val="00152EC1"/>
    <w:rsid w:val="00153FB9"/>
    <w:rsid w:val="0015464B"/>
    <w:rsid w:val="0015540E"/>
    <w:rsid w:val="001558E6"/>
    <w:rsid w:val="00156852"/>
    <w:rsid w:val="00157073"/>
    <w:rsid w:val="00157958"/>
    <w:rsid w:val="00160145"/>
    <w:rsid w:val="00160608"/>
    <w:rsid w:val="00160A92"/>
    <w:rsid w:val="00161612"/>
    <w:rsid w:val="00161CB5"/>
    <w:rsid w:val="0016203D"/>
    <w:rsid w:val="00162128"/>
    <w:rsid w:val="0016257B"/>
    <w:rsid w:val="00162872"/>
    <w:rsid w:val="00163E6E"/>
    <w:rsid w:val="00163FB3"/>
    <w:rsid w:val="001640E3"/>
    <w:rsid w:val="001645BB"/>
    <w:rsid w:val="00164FF0"/>
    <w:rsid w:val="00165AA3"/>
    <w:rsid w:val="00165D99"/>
    <w:rsid w:val="001665F6"/>
    <w:rsid w:val="001670A7"/>
    <w:rsid w:val="001671AB"/>
    <w:rsid w:val="00167241"/>
    <w:rsid w:val="001700C5"/>
    <w:rsid w:val="00171493"/>
    <w:rsid w:val="00171742"/>
    <w:rsid w:val="00171DA3"/>
    <w:rsid w:val="001744E9"/>
    <w:rsid w:val="00174718"/>
    <w:rsid w:val="00174AE0"/>
    <w:rsid w:val="00174B5C"/>
    <w:rsid w:val="00175073"/>
    <w:rsid w:val="001750EA"/>
    <w:rsid w:val="0017554E"/>
    <w:rsid w:val="00176755"/>
    <w:rsid w:val="0017714A"/>
    <w:rsid w:val="001778EB"/>
    <w:rsid w:val="001779C6"/>
    <w:rsid w:val="001809BC"/>
    <w:rsid w:val="00180AC2"/>
    <w:rsid w:val="00180CBA"/>
    <w:rsid w:val="00180D64"/>
    <w:rsid w:val="001817EB"/>
    <w:rsid w:val="00182066"/>
    <w:rsid w:val="00182166"/>
    <w:rsid w:val="001825F0"/>
    <w:rsid w:val="00182612"/>
    <w:rsid w:val="00182A3F"/>
    <w:rsid w:val="00182A56"/>
    <w:rsid w:val="0018354C"/>
    <w:rsid w:val="001835E0"/>
    <w:rsid w:val="00183703"/>
    <w:rsid w:val="00183ABD"/>
    <w:rsid w:val="00183F72"/>
    <w:rsid w:val="00184241"/>
    <w:rsid w:val="001848E7"/>
    <w:rsid w:val="00184BEE"/>
    <w:rsid w:val="00184C57"/>
    <w:rsid w:val="00184DB5"/>
    <w:rsid w:val="001851A3"/>
    <w:rsid w:val="001856E2"/>
    <w:rsid w:val="00186505"/>
    <w:rsid w:val="00187024"/>
    <w:rsid w:val="00187929"/>
    <w:rsid w:val="00187C37"/>
    <w:rsid w:val="001903C4"/>
    <w:rsid w:val="001906D9"/>
    <w:rsid w:val="00191191"/>
    <w:rsid w:val="001918C0"/>
    <w:rsid w:val="00191FF0"/>
    <w:rsid w:val="001922E8"/>
    <w:rsid w:val="0019271F"/>
    <w:rsid w:val="00192AE7"/>
    <w:rsid w:val="00192E56"/>
    <w:rsid w:val="001935C5"/>
    <w:rsid w:val="00193921"/>
    <w:rsid w:val="001946AA"/>
    <w:rsid w:val="00195517"/>
    <w:rsid w:val="001955B0"/>
    <w:rsid w:val="00195AF2"/>
    <w:rsid w:val="0019615A"/>
    <w:rsid w:val="001962CC"/>
    <w:rsid w:val="0019683C"/>
    <w:rsid w:val="00197416"/>
    <w:rsid w:val="00197587"/>
    <w:rsid w:val="00197FD0"/>
    <w:rsid w:val="001A014F"/>
    <w:rsid w:val="001A04FA"/>
    <w:rsid w:val="001A05ED"/>
    <w:rsid w:val="001A195F"/>
    <w:rsid w:val="001A1AB8"/>
    <w:rsid w:val="001A20C8"/>
    <w:rsid w:val="001A2C63"/>
    <w:rsid w:val="001A30D9"/>
    <w:rsid w:val="001A31C2"/>
    <w:rsid w:val="001A35D1"/>
    <w:rsid w:val="001A387F"/>
    <w:rsid w:val="001A41B1"/>
    <w:rsid w:val="001A4A69"/>
    <w:rsid w:val="001A4B60"/>
    <w:rsid w:val="001A5070"/>
    <w:rsid w:val="001A6740"/>
    <w:rsid w:val="001A6BB5"/>
    <w:rsid w:val="001A6D60"/>
    <w:rsid w:val="001A6D85"/>
    <w:rsid w:val="001B0D00"/>
    <w:rsid w:val="001B1123"/>
    <w:rsid w:val="001B122F"/>
    <w:rsid w:val="001B1A24"/>
    <w:rsid w:val="001B1DAD"/>
    <w:rsid w:val="001B2446"/>
    <w:rsid w:val="001B2851"/>
    <w:rsid w:val="001B36E1"/>
    <w:rsid w:val="001B38CE"/>
    <w:rsid w:val="001B3AE5"/>
    <w:rsid w:val="001B5216"/>
    <w:rsid w:val="001B5A09"/>
    <w:rsid w:val="001B5AAE"/>
    <w:rsid w:val="001B6F76"/>
    <w:rsid w:val="001B713A"/>
    <w:rsid w:val="001B71A0"/>
    <w:rsid w:val="001C00E6"/>
    <w:rsid w:val="001C01E5"/>
    <w:rsid w:val="001C086B"/>
    <w:rsid w:val="001C0EAB"/>
    <w:rsid w:val="001C0FB6"/>
    <w:rsid w:val="001C100B"/>
    <w:rsid w:val="001C21B1"/>
    <w:rsid w:val="001C23ED"/>
    <w:rsid w:val="001C2EDD"/>
    <w:rsid w:val="001C344C"/>
    <w:rsid w:val="001C3EC5"/>
    <w:rsid w:val="001C4316"/>
    <w:rsid w:val="001C45F5"/>
    <w:rsid w:val="001C4654"/>
    <w:rsid w:val="001C53BA"/>
    <w:rsid w:val="001C56A9"/>
    <w:rsid w:val="001C56BC"/>
    <w:rsid w:val="001C58C8"/>
    <w:rsid w:val="001C59B3"/>
    <w:rsid w:val="001C5AA4"/>
    <w:rsid w:val="001C68F9"/>
    <w:rsid w:val="001C6CCF"/>
    <w:rsid w:val="001C6F2E"/>
    <w:rsid w:val="001C6FB7"/>
    <w:rsid w:val="001C7282"/>
    <w:rsid w:val="001C7481"/>
    <w:rsid w:val="001C7ED1"/>
    <w:rsid w:val="001C7FAA"/>
    <w:rsid w:val="001C7FF2"/>
    <w:rsid w:val="001D01E7"/>
    <w:rsid w:val="001D067C"/>
    <w:rsid w:val="001D0859"/>
    <w:rsid w:val="001D0E38"/>
    <w:rsid w:val="001D10F6"/>
    <w:rsid w:val="001D118D"/>
    <w:rsid w:val="001D1488"/>
    <w:rsid w:val="001D14E7"/>
    <w:rsid w:val="001D153F"/>
    <w:rsid w:val="001D168D"/>
    <w:rsid w:val="001D2799"/>
    <w:rsid w:val="001D27B1"/>
    <w:rsid w:val="001D2D0C"/>
    <w:rsid w:val="001D3142"/>
    <w:rsid w:val="001D3F03"/>
    <w:rsid w:val="001D43B9"/>
    <w:rsid w:val="001D44AA"/>
    <w:rsid w:val="001D49D7"/>
    <w:rsid w:val="001D5C1F"/>
    <w:rsid w:val="001D5C4E"/>
    <w:rsid w:val="001D5FD4"/>
    <w:rsid w:val="001D6213"/>
    <w:rsid w:val="001D680D"/>
    <w:rsid w:val="001D6F98"/>
    <w:rsid w:val="001D7104"/>
    <w:rsid w:val="001D759F"/>
    <w:rsid w:val="001D76B5"/>
    <w:rsid w:val="001D78E9"/>
    <w:rsid w:val="001D7DCD"/>
    <w:rsid w:val="001D7FCA"/>
    <w:rsid w:val="001E022E"/>
    <w:rsid w:val="001E04D1"/>
    <w:rsid w:val="001E0C91"/>
    <w:rsid w:val="001E1142"/>
    <w:rsid w:val="001E1BAE"/>
    <w:rsid w:val="001E1CC3"/>
    <w:rsid w:val="001E2294"/>
    <w:rsid w:val="001E325F"/>
    <w:rsid w:val="001E3579"/>
    <w:rsid w:val="001E39B3"/>
    <w:rsid w:val="001E470F"/>
    <w:rsid w:val="001E53CB"/>
    <w:rsid w:val="001E5454"/>
    <w:rsid w:val="001E54F6"/>
    <w:rsid w:val="001E55A3"/>
    <w:rsid w:val="001E56AD"/>
    <w:rsid w:val="001E5820"/>
    <w:rsid w:val="001E59B3"/>
    <w:rsid w:val="001E5DC5"/>
    <w:rsid w:val="001E60D9"/>
    <w:rsid w:val="001E62D1"/>
    <w:rsid w:val="001E6B1D"/>
    <w:rsid w:val="001E6C4B"/>
    <w:rsid w:val="001E7CAD"/>
    <w:rsid w:val="001E7CCD"/>
    <w:rsid w:val="001E7CD0"/>
    <w:rsid w:val="001E7FE4"/>
    <w:rsid w:val="001F0942"/>
    <w:rsid w:val="001F0CC7"/>
    <w:rsid w:val="001F0DB4"/>
    <w:rsid w:val="001F0EF7"/>
    <w:rsid w:val="001F1033"/>
    <w:rsid w:val="001F1A1E"/>
    <w:rsid w:val="001F1B30"/>
    <w:rsid w:val="001F2755"/>
    <w:rsid w:val="001F2832"/>
    <w:rsid w:val="001F2A83"/>
    <w:rsid w:val="001F2AEB"/>
    <w:rsid w:val="001F2B13"/>
    <w:rsid w:val="001F38EF"/>
    <w:rsid w:val="001F3C1F"/>
    <w:rsid w:val="001F4914"/>
    <w:rsid w:val="001F4CAE"/>
    <w:rsid w:val="001F4F92"/>
    <w:rsid w:val="001F50C9"/>
    <w:rsid w:val="001F5F25"/>
    <w:rsid w:val="001F5FCD"/>
    <w:rsid w:val="001F6291"/>
    <w:rsid w:val="001F7205"/>
    <w:rsid w:val="001F7A49"/>
    <w:rsid w:val="001F7B3C"/>
    <w:rsid w:val="00200176"/>
    <w:rsid w:val="002005AA"/>
    <w:rsid w:val="0020121D"/>
    <w:rsid w:val="00201328"/>
    <w:rsid w:val="002017EE"/>
    <w:rsid w:val="00201E5F"/>
    <w:rsid w:val="00201E7D"/>
    <w:rsid w:val="0020226C"/>
    <w:rsid w:val="002024A4"/>
    <w:rsid w:val="00203850"/>
    <w:rsid w:val="00203B96"/>
    <w:rsid w:val="00203E98"/>
    <w:rsid w:val="0020415A"/>
    <w:rsid w:val="00204356"/>
    <w:rsid w:val="002045A9"/>
    <w:rsid w:val="00205281"/>
    <w:rsid w:val="00205283"/>
    <w:rsid w:val="002053C2"/>
    <w:rsid w:val="00205435"/>
    <w:rsid w:val="00205713"/>
    <w:rsid w:val="00206573"/>
    <w:rsid w:val="00206908"/>
    <w:rsid w:val="00206A8E"/>
    <w:rsid w:val="00206B94"/>
    <w:rsid w:val="00206D10"/>
    <w:rsid w:val="00207036"/>
    <w:rsid w:val="0020717E"/>
    <w:rsid w:val="00207200"/>
    <w:rsid w:val="002074DD"/>
    <w:rsid w:val="0020796E"/>
    <w:rsid w:val="00207996"/>
    <w:rsid w:val="00207A56"/>
    <w:rsid w:val="00207B78"/>
    <w:rsid w:val="00207BF2"/>
    <w:rsid w:val="00207DBA"/>
    <w:rsid w:val="00210039"/>
    <w:rsid w:val="002112DD"/>
    <w:rsid w:val="00211712"/>
    <w:rsid w:val="00211E66"/>
    <w:rsid w:val="0021208B"/>
    <w:rsid w:val="002122FA"/>
    <w:rsid w:val="0021291B"/>
    <w:rsid w:val="00213560"/>
    <w:rsid w:val="00213AF4"/>
    <w:rsid w:val="0021407C"/>
    <w:rsid w:val="002141D6"/>
    <w:rsid w:val="00214436"/>
    <w:rsid w:val="00214A09"/>
    <w:rsid w:val="00214E83"/>
    <w:rsid w:val="00215C41"/>
    <w:rsid w:val="00216199"/>
    <w:rsid w:val="002163A6"/>
    <w:rsid w:val="002163CD"/>
    <w:rsid w:val="002165E3"/>
    <w:rsid w:val="002166E5"/>
    <w:rsid w:val="00216A22"/>
    <w:rsid w:val="00216B58"/>
    <w:rsid w:val="00217324"/>
    <w:rsid w:val="00217DF8"/>
    <w:rsid w:val="00220A01"/>
    <w:rsid w:val="0022225A"/>
    <w:rsid w:val="0022240E"/>
    <w:rsid w:val="00222799"/>
    <w:rsid w:val="00222802"/>
    <w:rsid w:val="00222CAA"/>
    <w:rsid w:val="00222E6F"/>
    <w:rsid w:val="00223028"/>
    <w:rsid w:val="00223483"/>
    <w:rsid w:val="002237C3"/>
    <w:rsid w:val="0022392F"/>
    <w:rsid w:val="00223B8F"/>
    <w:rsid w:val="00223BBB"/>
    <w:rsid w:val="00224A6F"/>
    <w:rsid w:val="00224DF0"/>
    <w:rsid w:val="00224EF4"/>
    <w:rsid w:val="002250B5"/>
    <w:rsid w:val="00225565"/>
    <w:rsid w:val="00225A26"/>
    <w:rsid w:val="00227403"/>
    <w:rsid w:val="00227937"/>
    <w:rsid w:val="00227A84"/>
    <w:rsid w:val="00227F0C"/>
    <w:rsid w:val="0023061E"/>
    <w:rsid w:val="00231F8D"/>
    <w:rsid w:val="0023209B"/>
    <w:rsid w:val="00232128"/>
    <w:rsid w:val="00232C1F"/>
    <w:rsid w:val="00232C8E"/>
    <w:rsid w:val="002334F6"/>
    <w:rsid w:val="0023375E"/>
    <w:rsid w:val="00233AD2"/>
    <w:rsid w:val="00234968"/>
    <w:rsid w:val="00234AC0"/>
    <w:rsid w:val="0023551F"/>
    <w:rsid w:val="0023596A"/>
    <w:rsid w:val="00235CF7"/>
    <w:rsid w:val="00235E85"/>
    <w:rsid w:val="002361D0"/>
    <w:rsid w:val="00236249"/>
    <w:rsid w:val="0023741B"/>
    <w:rsid w:val="002376AD"/>
    <w:rsid w:val="00237E19"/>
    <w:rsid w:val="00240963"/>
    <w:rsid w:val="00240CA3"/>
    <w:rsid w:val="00240D0A"/>
    <w:rsid w:val="00240DAA"/>
    <w:rsid w:val="002418BD"/>
    <w:rsid w:val="002424D0"/>
    <w:rsid w:val="002424DF"/>
    <w:rsid w:val="00242772"/>
    <w:rsid w:val="00243668"/>
    <w:rsid w:val="002436CD"/>
    <w:rsid w:val="002437F7"/>
    <w:rsid w:val="00243D75"/>
    <w:rsid w:val="002445A8"/>
    <w:rsid w:val="0024504D"/>
    <w:rsid w:val="0024548E"/>
    <w:rsid w:val="002454A0"/>
    <w:rsid w:val="00245532"/>
    <w:rsid w:val="002465D1"/>
    <w:rsid w:val="00246854"/>
    <w:rsid w:val="00247019"/>
    <w:rsid w:val="002473F6"/>
    <w:rsid w:val="00251173"/>
    <w:rsid w:val="00251B24"/>
    <w:rsid w:val="00251B5F"/>
    <w:rsid w:val="002522B3"/>
    <w:rsid w:val="0025257B"/>
    <w:rsid w:val="00252869"/>
    <w:rsid w:val="002528A3"/>
    <w:rsid w:val="00253403"/>
    <w:rsid w:val="00253B0F"/>
    <w:rsid w:val="00253EEB"/>
    <w:rsid w:val="00254378"/>
    <w:rsid w:val="002560EE"/>
    <w:rsid w:val="002562A7"/>
    <w:rsid w:val="00256FBF"/>
    <w:rsid w:val="0025713E"/>
    <w:rsid w:val="002577EB"/>
    <w:rsid w:val="00257F51"/>
    <w:rsid w:val="0026033D"/>
    <w:rsid w:val="002605E2"/>
    <w:rsid w:val="00260ACF"/>
    <w:rsid w:val="00260C65"/>
    <w:rsid w:val="002611AE"/>
    <w:rsid w:val="00261350"/>
    <w:rsid w:val="00261487"/>
    <w:rsid w:val="00261BA2"/>
    <w:rsid w:val="00262881"/>
    <w:rsid w:val="002628CC"/>
    <w:rsid w:val="00262CB7"/>
    <w:rsid w:val="00262EBF"/>
    <w:rsid w:val="00262EF4"/>
    <w:rsid w:val="00263491"/>
    <w:rsid w:val="00263AFF"/>
    <w:rsid w:val="0026425C"/>
    <w:rsid w:val="00264814"/>
    <w:rsid w:val="00264A59"/>
    <w:rsid w:val="00265193"/>
    <w:rsid w:val="00265B89"/>
    <w:rsid w:val="00266ACE"/>
    <w:rsid w:val="00266E41"/>
    <w:rsid w:val="00266E7B"/>
    <w:rsid w:val="002678A9"/>
    <w:rsid w:val="00267D06"/>
    <w:rsid w:val="00267EA3"/>
    <w:rsid w:val="002702E5"/>
    <w:rsid w:val="002702FA"/>
    <w:rsid w:val="002709A6"/>
    <w:rsid w:val="002712C3"/>
    <w:rsid w:val="00273064"/>
    <w:rsid w:val="00273478"/>
    <w:rsid w:val="0027400E"/>
    <w:rsid w:val="00274258"/>
    <w:rsid w:val="002745E8"/>
    <w:rsid w:val="00274B6F"/>
    <w:rsid w:val="0027557C"/>
    <w:rsid w:val="002757BF"/>
    <w:rsid w:val="00275DEA"/>
    <w:rsid w:val="00275EEC"/>
    <w:rsid w:val="00275F03"/>
    <w:rsid w:val="002762F4"/>
    <w:rsid w:val="00276497"/>
    <w:rsid w:val="00276642"/>
    <w:rsid w:val="0027685B"/>
    <w:rsid w:val="0027765E"/>
    <w:rsid w:val="00280B6E"/>
    <w:rsid w:val="002817B5"/>
    <w:rsid w:val="00282218"/>
    <w:rsid w:val="0028292A"/>
    <w:rsid w:val="00282D98"/>
    <w:rsid w:val="00283A91"/>
    <w:rsid w:val="00283F79"/>
    <w:rsid w:val="002848D1"/>
    <w:rsid w:val="0028499C"/>
    <w:rsid w:val="00284D98"/>
    <w:rsid w:val="00284F34"/>
    <w:rsid w:val="00285645"/>
    <w:rsid w:val="00285B05"/>
    <w:rsid w:val="00285F94"/>
    <w:rsid w:val="0028700E"/>
    <w:rsid w:val="0028733E"/>
    <w:rsid w:val="0028747A"/>
    <w:rsid w:val="00287649"/>
    <w:rsid w:val="0028781F"/>
    <w:rsid w:val="00287D3A"/>
    <w:rsid w:val="00287FD9"/>
    <w:rsid w:val="00290837"/>
    <w:rsid w:val="00290EF6"/>
    <w:rsid w:val="0029177D"/>
    <w:rsid w:val="00291DA8"/>
    <w:rsid w:val="002920D5"/>
    <w:rsid w:val="00292231"/>
    <w:rsid w:val="00292CBF"/>
    <w:rsid w:val="00293670"/>
    <w:rsid w:val="00293959"/>
    <w:rsid w:val="00293E82"/>
    <w:rsid w:val="002943D7"/>
    <w:rsid w:val="00294D22"/>
    <w:rsid w:val="00294E97"/>
    <w:rsid w:val="002952C4"/>
    <w:rsid w:val="00295A4D"/>
    <w:rsid w:val="00295E61"/>
    <w:rsid w:val="00296E86"/>
    <w:rsid w:val="0029745B"/>
    <w:rsid w:val="002979C0"/>
    <w:rsid w:val="002979F6"/>
    <w:rsid w:val="00297FCA"/>
    <w:rsid w:val="002A09CD"/>
    <w:rsid w:val="002A1DCF"/>
    <w:rsid w:val="002A2443"/>
    <w:rsid w:val="002A269C"/>
    <w:rsid w:val="002A26EB"/>
    <w:rsid w:val="002A2727"/>
    <w:rsid w:val="002A27E0"/>
    <w:rsid w:val="002A2E93"/>
    <w:rsid w:val="002A370B"/>
    <w:rsid w:val="002A3B02"/>
    <w:rsid w:val="002A3CB9"/>
    <w:rsid w:val="002A4071"/>
    <w:rsid w:val="002A445B"/>
    <w:rsid w:val="002A48F7"/>
    <w:rsid w:val="002A4A35"/>
    <w:rsid w:val="002A509F"/>
    <w:rsid w:val="002A566C"/>
    <w:rsid w:val="002A57D9"/>
    <w:rsid w:val="002A5F82"/>
    <w:rsid w:val="002A61C1"/>
    <w:rsid w:val="002A67D9"/>
    <w:rsid w:val="002A68A8"/>
    <w:rsid w:val="002A7242"/>
    <w:rsid w:val="002A7276"/>
    <w:rsid w:val="002A72CC"/>
    <w:rsid w:val="002A75A9"/>
    <w:rsid w:val="002A7A15"/>
    <w:rsid w:val="002B0C38"/>
    <w:rsid w:val="002B0E1F"/>
    <w:rsid w:val="002B1D80"/>
    <w:rsid w:val="002B2CB5"/>
    <w:rsid w:val="002B2CE4"/>
    <w:rsid w:val="002B3C7F"/>
    <w:rsid w:val="002B3C97"/>
    <w:rsid w:val="002B4058"/>
    <w:rsid w:val="002B4EF1"/>
    <w:rsid w:val="002B57E1"/>
    <w:rsid w:val="002B593A"/>
    <w:rsid w:val="002B5F71"/>
    <w:rsid w:val="002B66FC"/>
    <w:rsid w:val="002B6C39"/>
    <w:rsid w:val="002B6C57"/>
    <w:rsid w:val="002B6DDB"/>
    <w:rsid w:val="002B6DEB"/>
    <w:rsid w:val="002B7579"/>
    <w:rsid w:val="002C02EF"/>
    <w:rsid w:val="002C044C"/>
    <w:rsid w:val="002C05C1"/>
    <w:rsid w:val="002C176E"/>
    <w:rsid w:val="002C1D07"/>
    <w:rsid w:val="002C1E0E"/>
    <w:rsid w:val="002C2452"/>
    <w:rsid w:val="002C2931"/>
    <w:rsid w:val="002C2A75"/>
    <w:rsid w:val="002C2D04"/>
    <w:rsid w:val="002C36C4"/>
    <w:rsid w:val="002C42DE"/>
    <w:rsid w:val="002C4464"/>
    <w:rsid w:val="002C463D"/>
    <w:rsid w:val="002C488A"/>
    <w:rsid w:val="002C4A9C"/>
    <w:rsid w:val="002C52C8"/>
    <w:rsid w:val="002C5546"/>
    <w:rsid w:val="002C5D5C"/>
    <w:rsid w:val="002C5FF0"/>
    <w:rsid w:val="002C63D1"/>
    <w:rsid w:val="002C67B3"/>
    <w:rsid w:val="002C69D7"/>
    <w:rsid w:val="002C71CD"/>
    <w:rsid w:val="002C7C37"/>
    <w:rsid w:val="002D09DB"/>
    <w:rsid w:val="002D11F4"/>
    <w:rsid w:val="002D291B"/>
    <w:rsid w:val="002D29E4"/>
    <w:rsid w:val="002D2F84"/>
    <w:rsid w:val="002D2F85"/>
    <w:rsid w:val="002D3115"/>
    <w:rsid w:val="002D3142"/>
    <w:rsid w:val="002D3435"/>
    <w:rsid w:val="002D3B99"/>
    <w:rsid w:val="002D3D71"/>
    <w:rsid w:val="002D3DB7"/>
    <w:rsid w:val="002D3EF7"/>
    <w:rsid w:val="002D480D"/>
    <w:rsid w:val="002D4AB8"/>
    <w:rsid w:val="002D5469"/>
    <w:rsid w:val="002D5480"/>
    <w:rsid w:val="002D5E8A"/>
    <w:rsid w:val="002D5F17"/>
    <w:rsid w:val="002D65FC"/>
    <w:rsid w:val="002D6726"/>
    <w:rsid w:val="002D6C00"/>
    <w:rsid w:val="002D6CF5"/>
    <w:rsid w:val="002D72B7"/>
    <w:rsid w:val="002D7929"/>
    <w:rsid w:val="002D7A70"/>
    <w:rsid w:val="002E00E7"/>
    <w:rsid w:val="002E09BB"/>
    <w:rsid w:val="002E0AD4"/>
    <w:rsid w:val="002E0AF8"/>
    <w:rsid w:val="002E0CB5"/>
    <w:rsid w:val="002E183D"/>
    <w:rsid w:val="002E1E28"/>
    <w:rsid w:val="002E254E"/>
    <w:rsid w:val="002E2AF6"/>
    <w:rsid w:val="002E3032"/>
    <w:rsid w:val="002E3195"/>
    <w:rsid w:val="002E3A0E"/>
    <w:rsid w:val="002E3D3D"/>
    <w:rsid w:val="002E3D79"/>
    <w:rsid w:val="002E4D45"/>
    <w:rsid w:val="002E51EB"/>
    <w:rsid w:val="002E5280"/>
    <w:rsid w:val="002E52B2"/>
    <w:rsid w:val="002E57F2"/>
    <w:rsid w:val="002E583C"/>
    <w:rsid w:val="002E5A2F"/>
    <w:rsid w:val="002E64EB"/>
    <w:rsid w:val="002F012A"/>
    <w:rsid w:val="002F0325"/>
    <w:rsid w:val="002F0597"/>
    <w:rsid w:val="002F09B4"/>
    <w:rsid w:val="002F0F08"/>
    <w:rsid w:val="002F17D7"/>
    <w:rsid w:val="002F2178"/>
    <w:rsid w:val="002F2FFB"/>
    <w:rsid w:val="002F3747"/>
    <w:rsid w:val="002F3F34"/>
    <w:rsid w:val="002F4326"/>
    <w:rsid w:val="002F4360"/>
    <w:rsid w:val="002F4950"/>
    <w:rsid w:val="002F53AC"/>
    <w:rsid w:val="002F570D"/>
    <w:rsid w:val="002F5D98"/>
    <w:rsid w:val="002F6532"/>
    <w:rsid w:val="002F68A4"/>
    <w:rsid w:val="002F695F"/>
    <w:rsid w:val="002F6F82"/>
    <w:rsid w:val="002F6FB3"/>
    <w:rsid w:val="003014CC"/>
    <w:rsid w:val="003018CF"/>
    <w:rsid w:val="003018FD"/>
    <w:rsid w:val="00301D4F"/>
    <w:rsid w:val="00301FD5"/>
    <w:rsid w:val="003023CD"/>
    <w:rsid w:val="003028D2"/>
    <w:rsid w:val="00302AAB"/>
    <w:rsid w:val="00302C59"/>
    <w:rsid w:val="003031DA"/>
    <w:rsid w:val="00303406"/>
    <w:rsid w:val="003046BB"/>
    <w:rsid w:val="00304BD3"/>
    <w:rsid w:val="00305110"/>
    <w:rsid w:val="003063A2"/>
    <w:rsid w:val="003063AF"/>
    <w:rsid w:val="003067F7"/>
    <w:rsid w:val="00307566"/>
    <w:rsid w:val="00307ABF"/>
    <w:rsid w:val="00310502"/>
    <w:rsid w:val="003115AE"/>
    <w:rsid w:val="00311909"/>
    <w:rsid w:val="00311E87"/>
    <w:rsid w:val="00311FCB"/>
    <w:rsid w:val="0031223D"/>
    <w:rsid w:val="00312DE6"/>
    <w:rsid w:val="0031345C"/>
    <w:rsid w:val="00313591"/>
    <w:rsid w:val="00313EC1"/>
    <w:rsid w:val="0031421E"/>
    <w:rsid w:val="00314653"/>
    <w:rsid w:val="003146FA"/>
    <w:rsid w:val="003147FB"/>
    <w:rsid w:val="00314F92"/>
    <w:rsid w:val="003155D3"/>
    <w:rsid w:val="00316722"/>
    <w:rsid w:val="003167B1"/>
    <w:rsid w:val="00316F07"/>
    <w:rsid w:val="00317DB1"/>
    <w:rsid w:val="00320276"/>
    <w:rsid w:val="00320382"/>
    <w:rsid w:val="00320A81"/>
    <w:rsid w:val="00321226"/>
    <w:rsid w:val="00321DB4"/>
    <w:rsid w:val="00321EF2"/>
    <w:rsid w:val="00321F2C"/>
    <w:rsid w:val="0032331E"/>
    <w:rsid w:val="0032395F"/>
    <w:rsid w:val="003240E4"/>
    <w:rsid w:val="00324404"/>
    <w:rsid w:val="0032463A"/>
    <w:rsid w:val="0032496F"/>
    <w:rsid w:val="00324B6B"/>
    <w:rsid w:val="00324C9D"/>
    <w:rsid w:val="00325063"/>
    <w:rsid w:val="003253D2"/>
    <w:rsid w:val="003254FD"/>
    <w:rsid w:val="00325BCB"/>
    <w:rsid w:val="00325DEE"/>
    <w:rsid w:val="00326853"/>
    <w:rsid w:val="00326D46"/>
    <w:rsid w:val="00326FA7"/>
    <w:rsid w:val="00327485"/>
    <w:rsid w:val="00327F83"/>
    <w:rsid w:val="00330117"/>
    <w:rsid w:val="00330B3D"/>
    <w:rsid w:val="00330DAF"/>
    <w:rsid w:val="00330E83"/>
    <w:rsid w:val="0033252B"/>
    <w:rsid w:val="003327EE"/>
    <w:rsid w:val="00333038"/>
    <w:rsid w:val="00333545"/>
    <w:rsid w:val="00333F17"/>
    <w:rsid w:val="00334D43"/>
    <w:rsid w:val="00335926"/>
    <w:rsid w:val="003366FE"/>
    <w:rsid w:val="00336E4D"/>
    <w:rsid w:val="003372BA"/>
    <w:rsid w:val="00337A5A"/>
    <w:rsid w:val="00340000"/>
    <w:rsid w:val="003404C8"/>
    <w:rsid w:val="00340A02"/>
    <w:rsid w:val="00341245"/>
    <w:rsid w:val="003412C1"/>
    <w:rsid w:val="00341B20"/>
    <w:rsid w:val="00342658"/>
    <w:rsid w:val="003429D2"/>
    <w:rsid w:val="003432C1"/>
    <w:rsid w:val="00343CB9"/>
    <w:rsid w:val="00344A87"/>
    <w:rsid w:val="00344D42"/>
    <w:rsid w:val="00345355"/>
    <w:rsid w:val="003457E7"/>
    <w:rsid w:val="00345B96"/>
    <w:rsid w:val="00345CAE"/>
    <w:rsid w:val="00346CB6"/>
    <w:rsid w:val="003472E8"/>
    <w:rsid w:val="00347B63"/>
    <w:rsid w:val="00347F16"/>
    <w:rsid w:val="00350838"/>
    <w:rsid w:val="00350EB8"/>
    <w:rsid w:val="00351A40"/>
    <w:rsid w:val="00351FE4"/>
    <w:rsid w:val="0035237E"/>
    <w:rsid w:val="00352892"/>
    <w:rsid w:val="00352DD8"/>
    <w:rsid w:val="00353317"/>
    <w:rsid w:val="00353B65"/>
    <w:rsid w:val="00353F6B"/>
    <w:rsid w:val="0035421E"/>
    <w:rsid w:val="00354602"/>
    <w:rsid w:val="003547DE"/>
    <w:rsid w:val="00355182"/>
    <w:rsid w:val="0035523B"/>
    <w:rsid w:val="00355F9C"/>
    <w:rsid w:val="003569CD"/>
    <w:rsid w:val="00356C64"/>
    <w:rsid w:val="00356EE8"/>
    <w:rsid w:val="00356F12"/>
    <w:rsid w:val="00356F55"/>
    <w:rsid w:val="00360007"/>
    <w:rsid w:val="003601C7"/>
    <w:rsid w:val="00360374"/>
    <w:rsid w:val="0036094A"/>
    <w:rsid w:val="00360E57"/>
    <w:rsid w:val="00361EA8"/>
    <w:rsid w:val="003621D0"/>
    <w:rsid w:val="00363321"/>
    <w:rsid w:val="003633DA"/>
    <w:rsid w:val="003636D3"/>
    <w:rsid w:val="003638E1"/>
    <w:rsid w:val="0036396E"/>
    <w:rsid w:val="00363B93"/>
    <w:rsid w:val="003641C4"/>
    <w:rsid w:val="003643FD"/>
    <w:rsid w:val="00364DB9"/>
    <w:rsid w:val="00364FB5"/>
    <w:rsid w:val="003654B3"/>
    <w:rsid w:val="003659ED"/>
    <w:rsid w:val="00366C2E"/>
    <w:rsid w:val="00367A9E"/>
    <w:rsid w:val="00367C59"/>
    <w:rsid w:val="003702C0"/>
    <w:rsid w:val="003709EC"/>
    <w:rsid w:val="00371DAE"/>
    <w:rsid w:val="00372B0B"/>
    <w:rsid w:val="00373294"/>
    <w:rsid w:val="00373538"/>
    <w:rsid w:val="0037363A"/>
    <w:rsid w:val="003737B5"/>
    <w:rsid w:val="00374DAD"/>
    <w:rsid w:val="00374EAF"/>
    <w:rsid w:val="003755B3"/>
    <w:rsid w:val="003756BE"/>
    <w:rsid w:val="00375B82"/>
    <w:rsid w:val="0037621D"/>
    <w:rsid w:val="00376AC8"/>
    <w:rsid w:val="00376AD0"/>
    <w:rsid w:val="00376B05"/>
    <w:rsid w:val="00376CE5"/>
    <w:rsid w:val="00377D6E"/>
    <w:rsid w:val="00377DD5"/>
    <w:rsid w:val="00380389"/>
    <w:rsid w:val="003806A9"/>
    <w:rsid w:val="003806CC"/>
    <w:rsid w:val="00380A45"/>
    <w:rsid w:val="00381616"/>
    <w:rsid w:val="003816FA"/>
    <w:rsid w:val="00381968"/>
    <w:rsid w:val="00381CED"/>
    <w:rsid w:val="003825AF"/>
    <w:rsid w:val="003826A9"/>
    <w:rsid w:val="0038284F"/>
    <w:rsid w:val="00383027"/>
    <w:rsid w:val="0038313C"/>
    <w:rsid w:val="00384452"/>
    <w:rsid w:val="003845C0"/>
    <w:rsid w:val="00384C6A"/>
    <w:rsid w:val="00384D96"/>
    <w:rsid w:val="003863B4"/>
    <w:rsid w:val="00386C8B"/>
    <w:rsid w:val="00386DFA"/>
    <w:rsid w:val="0038718E"/>
    <w:rsid w:val="00387843"/>
    <w:rsid w:val="0038787C"/>
    <w:rsid w:val="00387B83"/>
    <w:rsid w:val="00387C5C"/>
    <w:rsid w:val="00390142"/>
    <w:rsid w:val="00390E67"/>
    <w:rsid w:val="0039146E"/>
    <w:rsid w:val="00391E82"/>
    <w:rsid w:val="00393174"/>
    <w:rsid w:val="0039409D"/>
    <w:rsid w:val="00394508"/>
    <w:rsid w:val="0039476D"/>
    <w:rsid w:val="003947CB"/>
    <w:rsid w:val="00394C03"/>
    <w:rsid w:val="003962A8"/>
    <w:rsid w:val="00396F0B"/>
    <w:rsid w:val="00397048"/>
    <w:rsid w:val="00397C11"/>
    <w:rsid w:val="003A027B"/>
    <w:rsid w:val="003A0D39"/>
    <w:rsid w:val="003A15A6"/>
    <w:rsid w:val="003A171F"/>
    <w:rsid w:val="003A297D"/>
    <w:rsid w:val="003A2B00"/>
    <w:rsid w:val="003A2B5D"/>
    <w:rsid w:val="003A4B6B"/>
    <w:rsid w:val="003A50A3"/>
    <w:rsid w:val="003A647C"/>
    <w:rsid w:val="003A6841"/>
    <w:rsid w:val="003B05B6"/>
    <w:rsid w:val="003B0D1A"/>
    <w:rsid w:val="003B16CA"/>
    <w:rsid w:val="003B1BA8"/>
    <w:rsid w:val="003B2040"/>
    <w:rsid w:val="003B28A7"/>
    <w:rsid w:val="003B2EE6"/>
    <w:rsid w:val="003B3115"/>
    <w:rsid w:val="003B3DBD"/>
    <w:rsid w:val="003B3E85"/>
    <w:rsid w:val="003B455A"/>
    <w:rsid w:val="003B46FA"/>
    <w:rsid w:val="003B4BEB"/>
    <w:rsid w:val="003B4E48"/>
    <w:rsid w:val="003B539C"/>
    <w:rsid w:val="003B54F6"/>
    <w:rsid w:val="003B5DF2"/>
    <w:rsid w:val="003B6091"/>
    <w:rsid w:val="003B66A1"/>
    <w:rsid w:val="003B6720"/>
    <w:rsid w:val="003B72C4"/>
    <w:rsid w:val="003B781C"/>
    <w:rsid w:val="003B79F4"/>
    <w:rsid w:val="003C0CB7"/>
    <w:rsid w:val="003C0D82"/>
    <w:rsid w:val="003C160D"/>
    <w:rsid w:val="003C1A6C"/>
    <w:rsid w:val="003C2263"/>
    <w:rsid w:val="003C24F1"/>
    <w:rsid w:val="003C25EA"/>
    <w:rsid w:val="003C2A91"/>
    <w:rsid w:val="003C306F"/>
    <w:rsid w:val="003C3A5C"/>
    <w:rsid w:val="003C3C4E"/>
    <w:rsid w:val="003C400F"/>
    <w:rsid w:val="003C412C"/>
    <w:rsid w:val="003C41AD"/>
    <w:rsid w:val="003C4382"/>
    <w:rsid w:val="003C4C3C"/>
    <w:rsid w:val="003C4E84"/>
    <w:rsid w:val="003C54B2"/>
    <w:rsid w:val="003C59CE"/>
    <w:rsid w:val="003C5C5D"/>
    <w:rsid w:val="003C5F3F"/>
    <w:rsid w:val="003C6042"/>
    <w:rsid w:val="003C6B8B"/>
    <w:rsid w:val="003C6F61"/>
    <w:rsid w:val="003C7536"/>
    <w:rsid w:val="003C783B"/>
    <w:rsid w:val="003C796B"/>
    <w:rsid w:val="003D0620"/>
    <w:rsid w:val="003D0C8D"/>
    <w:rsid w:val="003D1481"/>
    <w:rsid w:val="003D150A"/>
    <w:rsid w:val="003D17B8"/>
    <w:rsid w:val="003D2B02"/>
    <w:rsid w:val="003D2CFF"/>
    <w:rsid w:val="003D312A"/>
    <w:rsid w:val="003D3F9B"/>
    <w:rsid w:val="003D4F08"/>
    <w:rsid w:val="003D5A49"/>
    <w:rsid w:val="003D5A97"/>
    <w:rsid w:val="003D6209"/>
    <w:rsid w:val="003D6569"/>
    <w:rsid w:val="003D67BF"/>
    <w:rsid w:val="003D6DD6"/>
    <w:rsid w:val="003D705A"/>
    <w:rsid w:val="003D79A4"/>
    <w:rsid w:val="003D7DD7"/>
    <w:rsid w:val="003E02B6"/>
    <w:rsid w:val="003E0443"/>
    <w:rsid w:val="003E07D1"/>
    <w:rsid w:val="003E08B8"/>
    <w:rsid w:val="003E08FE"/>
    <w:rsid w:val="003E0BE3"/>
    <w:rsid w:val="003E0E79"/>
    <w:rsid w:val="003E1928"/>
    <w:rsid w:val="003E1F4D"/>
    <w:rsid w:val="003E242B"/>
    <w:rsid w:val="003E28A7"/>
    <w:rsid w:val="003E62F1"/>
    <w:rsid w:val="003E7346"/>
    <w:rsid w:val="003E7A5C"/>
    <w:rsid w:val="003E7A6D"/>
    <w:rsid w:val="003E7CFD"/>
    <w:rsid w:val="003F07D6"/>
    <w:rsid w:val="003F0AA4"/>
    <w:rsid w:val="003F0D42"/>
    <w:rsid w:val="003F0DD0"/>
    <w:rsid w:val="003F19A5"/>
    <w:rsid w:val="003F1A0F"/>
    <w:rsid w:val="003F1DCA"/>
    <w:rsid w:val="003F1FD7"/>
    <w:rsid w:val="003F22CB"/>
    <w:rsid w:val="003F2B28"/>
    <w:rsid w:val="003F3BA0"/>
    <w:rsid w:val="003F3C49"/>
    <w:rsid w:val="003F3FF0"/>
    <w:rsid w:val="003F4540"/>
    <w:rsid w:val="003F4565"/>
    <w:rsid w:val="003F4F6E"/>
    <w:rsid w:val="003F52BB"/>
    <w:rsid w:val="003F5576"/>
    <w:rsid w:val="003F5DCE"/>
    <w:rsid w:val="003F6240"/>
    <w:rsid w:val="003F62B8"/>
    <w:rsid w:val="003F65BA"/>
    <w:rsid w:val="003F71A0"/>
    <w:rsid w:val="004004BD"/>
    <w:rsid w:val="00400875"/>
    <w:rsid w:val="00400F8A"/>
    <w:rsid w:val="00401C3C"/>
    <w:rsid w:val="00401C96"/>
    <w:rsid w:val="00401E13"/>
    <w:rsid w:val="00402854"/>
    <w:rsid w:val="004028DE"/>
    <w:rsid w:val="00402A02"/>
    <w:rsid w:val="00403329"/>
    <w:rsid w:val="00403672"/>
    <w:rsid w:val="00404B64"/>
    <w:rsid w:val="004050A5"/>
    <w:rsid w:val="004079EF"/>
    <w:rsid w:val="00407EEA"/>
    <w:rsid w:val="004102AB"/>
    <w:rsid w:val="00410D19"/>
    <w:rsid w:val="00410D83"/>
    <w:rsid w:val="00410F53"/>
    <w:rsid w:val="004117D4"/>
    <w:rsid w:val="00411F0D"/>
    <w:rsid w:val="00412879"/>
    <w:rsid w:val="00412BD8"/>
    <w:rsid w:val="00412EF9"/>
    <w:rsid w:val="00412F18"/>
    <w:rsid w:val="00413356"/>
    <w:rsid w:val="00414672"/>
    <w:rsid w:val="004147C5"/>
    <w:rsid w:val="00414B21"/>
    <w:rsid w:val="00414D57"/>
    <w:rsid w:val="0041667A"/>
    <w:rsid w:val="0041692A"/>
    <w:rsid w:val="00416935"/>
    <w:rsid w:val="0041776C"/>
    <w:rsid w:val="00420012"/>
    <w:rsid w:val="004200AA"/>
    <w:rsid w:val="0042062D"/>
    <w:rsid w:val="0042067F"/>
    <w:rsid w:val="00420BBD"/>
    <w:rsid w:val="00420F7B"/>
    <w:rsid w:val="00421344"/>
    <w:rsid w:val="00421B10"/>
    <w:rsid w:val="00421DF5"/>
    <w:rsid w:val="00422098"/>
    <w:rsid w:val="004237AC"/>
    <w:rsid w:val="00423D46"/>
    <w:rsid w:val="004240F2"/>
    <w:rsid w:val="004242B3"/>
    <w:rsid w:val="00424578"/>
    <w:rsid w:val="00424717"/>
    <w:rsid w:val="00425124"/>
    <w:rsid w:val="004252B4"/>
    <w:rsid w:val="00425ED1"/>
    <w:rsid w:val="00425F26"/>
    <w:rsid w:val="00425FD4"/>
    <w:rsid w:val="00426164"/>
    <w:rsid w:val="00427465"/>
    <w:rsid w:val="00427A04"/>
    <w:rsid w:val="004300BE"/>
    <w:rsid w:val="0043016E"/>
    <w:rsid w:val="0043090A"/>
    <w:rsid w:val="004315AD"/>
    <w:rsid w:val="00433533"/>
    <w:rsid w:val="0043379A"/>
    <w:rsid w:val="00433F2A"/>
    <w:rsid w:val="004340F2"/>
    <w:rsid w:val="00434936"/>
    <w:rsid w:val="0043536C"/>
    <w:rsid w:val="0043590B"/>
    <w:rsid w:val="00436C44"/>
    <w:rsid w:val="00436CD4"/>
    <w:rsid w:val="004374B1"/>
    <w:rsid w:val="004379EF"/>
    <w:rsid w:val="00437A7E"/>
    <w:rsid w:val="00440615"/>
    <w:rsid w:val="0044101D"/>
    <w:rsid w:val="0044279D"/>
    <w:rsid w:val="00443629"/>
    <w:rsid w:val="004438AB"/>
    <w:rsid w:val="00443DA2"/>
    <w:rsid w:val="00443DEC"/>
    <w:rsid w:val="004444EA"/>
    <w:rsid w:val="00444817"/>
    <w:rsid w:val="00444CF4"/>
    <w:rsid w:val="004453CC"/>
    <w:rsid w:val="00445829"/>
    <w:rsid w:val="0044625A"/>
    <w:rsid w:val="00446F97"/>
    <w:rsid w:val="0044763E"/>
    <w:rsid w:val="00447B8E"/>
    <w:rsid w:val="00450983"/>
    <w:rsid w:val="00450ADC"/>
    <w:rsid w:val="004512B1"/>
    <w:rsid w:val="004520E0"/>
    <w:rsid w:val="00452875"/>
    <w:rsid w:val="00452F7C"/>
    <w:rsid w:val="00453042"/>
    <w:rsid w:val="004533E5"/>
    <w:rsid w:val="004537CB"/>
    <w:rsid w:val="00453BA3"/>
    <w:rsid w:val="00453EC7"/>
    <w:rsid w:val="004545CE"/>
    <w:rsid w:val="00454B04"/>
    <w:rsid w:val="00455AD8"/>
    <w:rsid w:val="004567F2"/>
    <w:rsid w:val="00456D09"/>
    <w:rsid w:val="00456E87"/>
    <w:rsid w:val="00457B83"/>
    <w:rsid w:val="00457E24"/>
    <w:rsid w:val="0046128E"/>
    <w:rsid w:val="0046151B"/>
    <w:rsid w:val="00461B05"/>
    <w:rsid w:val="00462CAE"/>
    <w:rsid w:val="00463078"/>
    <w:rsid w:val="004642C4"/>
    <w:rsid w:val="00464864"/>
    <w:rsid w:val="004651B3"/>
    <w:rsid w:val="004656E4"/>
    <w:rsid w:val="00466292"/>
    <w:rsid w:val="004679D7"/>
    <w:rsid w:val="00467B39"/>
    <w:rsid w:val="00467BB8"/>
    <w:rsid w:val="0047059C"/>
    <w:rsid w:val="00471832"/>
    <w:rsid w:val="00471D21"/>
    <w:rsid w:val="00471D88"/>
    <w:rsid w:val="00472341"/>
    <w:rsid w:val="00472681"/>
    <w:rsid w:val="004727FB"/>
    <w:rsid w:val="004729B4"/>
    <w:rsid w:val="004742EE"/>
    <w:rsid w:val="004749D5"/>
    <w:rsid w:val="00474C42"/>
    <w:rsid w:val="00474CE7"/>
    <w:rsid w:val="00475141"/>
    <w:rsid w:val="00476A26"/>
    <w:rsid w:val="00476DBD"/>
    <w:rsid w:val="00477D38"/>
    <w:rsid w:val="00481247"/>
    <w:rsid w:val="00481485"/>
    <w:rsid w:val="00482007"/>
    <w:rsid w:val="0048286B"/>
    <w:rsid w:val="0048375F"/>
    <w:rsid w:val="0048376A"/>
    <w:rsid w:val="00483A78"/>
    <w:rsid w:val="004859D8"/>
    <w:rsid w:val="00485DAB"/>
    <w:rsid w:val="0048605B"/>
    <w:rsid w:val="004868A1"/>
    <w:rsid w:val="004869E3"/>
    <w:rsid w:val="00486A78"/>
    <w:rsid w:val="00486BE1"/>
    <w:rsid w:val="00486DC8"/>
    <w:rsid w:val="00486ED3"/>
    <w:rsid w:val="0048702D"/>
    <w:rsid w:val="00487890"/>
    <w:rsid w:val="00487C19"/>
    <w:rsid w:val="0049017F"/>
    <w:rsid w:val="00490380"/>
    <w:rsid w:val="00490D2C"/>
    <w:rsid w:val="00490FE6"/>
    <w:rsid w:val="00491611"/>
    <w:rsid w:val="00491BF5"/>
    <w:rsid w:val="00491EAB"/>
    <w:rsid w:val="004926BC"/>
    <w:rsid w:val="00492E5B"/>
    <w:rsid w:val="00493CF4"/>
    <w:rsid w:val="00493F7B"/>
    <w:rsid w:val="00494A50"/>
    <w:rsid w:val="004950E7"/>
    <w:rsid w:val="00495234"/>
    <w:rsid w:val="0049533B"/>
    <w:rsid w:val="004956C3"/>
    <w:rsid w:val="004958C9"/>
    <w:rsid w:val="004960A3"/>
    <w:rsid w:val="004960FB"/>
    <w:rsid w:val="004961DB"/>
    <w:rsid w:val="0049652D"/>
    <w:rsid w:val="004965B8"/>
    <w:rsid w:val="00496F45"/>
    <w:rsid w:val="004971C5"/>
    <w:rsid w:val="00497328"/>
    <w:rsid w:val="00497361"/>
    <w:rsid w:val="004976E9"/>
    <w:rsid w:val="004A019F"/>
    <w:rsid w:val="004A0486"/>
    <w:rsid w:val="004A0A7B"/>
    <w:rsid w:val="004A0E48"/>
    <w:rsid w:val="004A193D"/>
    <w:rsid w:val="004A28A0"/>
    <w:rsid w:val="004A35AF"/>
    <w:rsid w:val="004A35F5"/>
    <w:rsid w:val="004A36CC"/>
    <w:rsid w:val="004A37B0"/>
    <w:rsid w:val="004A3A98"/>
    <w:rsid w:val="004A3E86"/>
    <w:rsid w:val="004A505E"/>
    <w:rsid w:val="004A5FB0"/>
    <w:rsid w:val="004A61D1"/>
    <w:rsid w:val="004A62A4"/>
    <w:rsid w:val="004A6CA9"/>
    <w:rsid w:val="004A6E8B"/>
    <w:rsid w:val="004A7A0B"/>
    <w:rsid w:val="004A7F46"/>
    <w:rsid w:val="004B02A6"/>
    <w:rsid w:val="004B1483"/>
    <w:rsid w:val="004B18BF"/>
    <w:rsid w:val="004B30C8"/>
    <w:rsid w:val="004B37E4"/>
    <w:rsid w:val="004B387C"/>
    <w:rsid w:val="004B3BD8"/>
    <w:rsid w:val="004B4492"/>
    <w:rsid w:val="004B4833"/>
    <w:rsid w:val="004B6015"/>
    <w:rsid w:val="004B638E"/>
    <w:rsid w:val="004B6884"/>
    <w:rsid w:val="004B6F98"/>
    <w:rsid w:val="004C05FC"/>
    <w:rsid w:val="004C0BF5"/>
    <w:rsid w:val="004C0D20"/>
    <w:rsid w:val="004C1306"/>
    <w:rsid w:val="004C1D70"/>
    <w:rsid w:val="004C1EBB"/>
    <w:rsid w:val="004C1EF5"/>
    <w:rsid w:val="004C1EFF"/>
    <w:rsid w:val="004C1F00"/>
    <w:rsid w:val="004C20C0"/>
    <w:rsid w:val="004C2280"/>
    <w:rsid w:val="004C24B9"/>
    <w:rsid w:val="004C2514"/>
    <w:rsid w:val="004C2940"/>
    <w:rsid w:val="004C2AE9"/>
    <w:rsid w:val="004C3084"/>
    <w:rsid w:val="004C3960"/>
    <w:rsid w:val="004C3CD4"/>
    <w:rsid w:val="004C4528"/>
    <w:rsid w:val="004C47D5"/>
    <w:rsid w:val="004C4AF1"/>
    <w:rsid w:val="004C5D1D"/>
    <w:rsid w:val="004C6597"/>
    <w:rsid w:val="004C6B4D"/>
    <w:rsid w:val="004C6BD8"/>
    <w:rsid w:val="004C70F2"/>
    <w:rsid w:val="004C71DB"/>
    <w:rsid w:val="004C722A"/>
    <w:rsid w:val="004C761E"/>
    <w:rsid w:val="004D108B"/>
    <w:rsid w:val="004D119D"/>
    <w:rsid w:val="004D157B"/>
    <w:rsid w:val="004D176D"/>
    <w:rsid w:val="004D2074"/>
    <w:rsid w:val="004D246B"/>
    <w:rsid w:val="004D2582"/>
    <w:rsid w:val="004D2686"/>
    <w:rsid w:val="004D30FC"/>
    <w:rsid w:val="004D343E"/>
    <w:rsid w:val="004D4D3B"/>
    <w:rsid w:val="004D6E2B"/>
    <w:rsid w:val="004D7415"/>
    <w:rsid w:val="004D7435"/>
    <w:rsid w:val="004D7693"/>
    <w:rsid w:val="004E01A7"/>
    <w:rsid w:val="004E03A4"/>
    <w:rsid w:val="004E0D77"/>
    <w:rsid w:val="004E0E37"/>
    <w:rsid w:val="004E1060"/>
    <w:rsid w:val="004E1A66"/>
    <w:rsid w:val="004E1FA7"/>
    <w:rsid w:val="004E29AA"/>
    <w:rsid w:val="004E2EFC"/>
    <w:rsid w:val="004E49CC"/>
    <w:rsid w:val="004E4F20"/>
    <w:rsid w:val="004E50AE"/>
    <w:rsid w:val="004E549A"/>
    <w:rsid w:val="004E5733"/>
    <w:rsid w:val="004E5976"/>
    <w:rsid w:val="004E5B6E"/>
    <w:rsid w:val="004E5C16"/>
    <w:rsid w:val="004E5E78"/>
    <w:rsid w:val="004E68A1"/>
    <w:rsid w:val="004F0B60"/>
    <w:rsid w:val="004F0CC6"/>
    <w:rsid w:val="004F10C2"/>
    <w:rsid w:val="004F10D3"/>
    <w:rsid w:val="004F13F1"/>
    <w:rsid w:val="004F2CE8"/>
    <w:rsid w:val="004F3EF6"/>
    <w:rsid w:val="004F49DE"/>
    <w:rsid w:val="004F5100"/>
    <w:rsid w:val="004F515D"/>
    <w:rsid w:val="004F5181"/>
    <w:rsid w:val="004F529C"/>
    <w:rsid w:val="004F58D0"/>
    <w:rsid w:val="004F7019"/>
    <w:rsid w:val="00500946"/>
    <w:rsid w:val="00500AFE"/>
    <w:rsid w:val="00500E92"/>
    <w:rsid w:val="00500F40"/>
    <w:rsid w:val="00501274"/>
    <w:rsid w:val="005029AD"/>
    <w:rsid w:val="00502CA6"/>
    <w:rsid w:val="005035E9"/>
    <w:rsid w:val="0050366A"/>
    <w:rsid w:val="0050386B"/>
    <w:rsid w:val="00503996"/>
    <w:rsid w:val="00503F99"/>
    <w:rsid w:val="0050461E"/>
    <w:rsid w:val="00504F2E"/>
    <w:rsid w:val="005060B0"/>
    <w:rsid w:val="005073D8"/>
    <w:rsid w:val="00507AE5"/>
    <w:rsid w:val="00507CFB"/>
    <w:rsid w:val="00507EA8"/>
    <w:rsid w:val="00507FBA"/>
    <w:rsid w:val="0051016A"/>
    <w:rsid w:val="00511994"/>
    <w:rsid w:val="00511A7A"/>
    <w:rsid w:val="005127DB"/>
    <w:rsid w:val="00512D99"/>
    <w:rsid w:val="00513518"/>
    <w:rsid w:val="00513AD4"/>
    <w:rsid w:val="00514BA6"/>
    <w:rsid w:val="00514F69"/>
    <w:rsid w:val="005154CE"/>
    <w:rsid w:val="005158DC"/>
    <w:rsid w:val="00515D6F"/>
    <w:rsid w:val="00515D70"/>
    <w:rsid w:val="00515E6F"/>
    <w:rsid w:val="00515E7D"/>
    <w:rsid w:val="00516559"/>
    <w:rsid w:val="005172F5"/>
    <w:rsid w:val="0051757B"/>
    <w:rsid w:val="00517586"/>
    <w:rsid w:val="00517639"/>
    <w:rsid w:val="0051794A"/>
    <w:rsid w:val="00517E02"/>
    <w:rsid w:val="00517EE0"/>
    <w:rsid w:val="005201AA"/>
    <w:rsid w:val="005204E7"/>
    <w:rsid w:val="00520569"/>
    <w:rsid w:val="00520AC7"/>
    <w:rsid w:val="00521095"/>
    <w:rsid w:val="00521969"/>
    <w:rsid w:val="00521EBB"/>
    <w:rsid w:val="00521ED6"/>
    <w:rsid w:val="0052211A"/>
    <w:rsid w:val="00522446"/>
    <w:rsid w:val="00522DB1"/>
    <w:rsid w:val="00523CBE"/>
    <w:rsid w:val="00524E21"/>
    <w:rsid w:val="00524E46"/>
    <w:rsid w:val="00525009"/>
    <w:rsid w:val="00525038"/>
    <w:rsid w:val="00525457"/>
    <w:rsid w:val="005261DC"/>
    <w:rsid w:val="0052690E"/>
    <w:rsid w:val="005269B2"/>
    <w:rsid w:val="00526C26"/>
    <w:rsid w:val="00526FD0"/>
    <w:rsid w:val="005270E1"/>
    <w:rsid w:val="005279E3"/>
    <w:rsid w:val="00527AB1"/>
    <w:rsid w:val="00527DFE"/>
    <w:rsid w:val="005301B0"/>
    <w:rsid w:val="005303E5"/>
    <w:rsid w:val="00530ACE"/>
    <w:rsid w:val="00530BD4"/>
    <w:rsid w:val="00530CCC"/>
    <w:rsid w:val="0053120E"/>
    <w:rsid w:val="00531277"/>
    <w:rsid w:val="005312DF"/>
    <w:rsid w:val="00532151"/>
    <w:rsid w:val="00532349"/>
    <w:rsid w:val="00532C9C"/>
    <w:rsid w:val="0053364B"/>
    <w:rsid w:val="00533E0F"/>
    <w:rsid w:val="005345E0"/>
    <w:rsid w:val="0053490A"/>
    <w:rsid w:val="0053498D"/>
    <w:rsid w:val="00534EF9"/>
    <w:rsid w:val="005358E7"/>
    <w:rsid w:val="00536A01"/>
    <w:rsid w:val="00537704"/>
    <w:rsid w:val="00537922"/>
    <w:rsid w:val="00537BBC"/>
    <w:rsid w:val="00540137"/>
    <w:rsid w:val="005406D6"/>
    <w:rsid w:val="00540A71"/>
    <w:rsid w:val="00540B06"/>
    <w:rsid w:val="005410EC"/>
    <w:rsid w:val="0054145F"/>
    <w:rsid w:val="005419B3"/>
    <w:rsid w:val="0054282D"/>
    <w:rsid w:val="00542F39"/>
    <w:rsid w:val="00543FE1"/>
    <w:rsid w:val="00544260"/>
    <w:rsid w:val="00544572"/>
    <w:rsid w:val="00544FBB"/>
    <w:rsid w:val="00544FE4"/>
    <w:rsid w:val="00545019"/>
    <w:rsid w:val="0054508F"/>
    <w:rsid w:val="00545515"/>
    <w:rsid w:val="00545FF8"/>
    <w:rsid w:val="0054626E"/>
    <w:rsid w:val="00546B30"/>
    <w:rsid w:val="00547321"/>
    <w:rsid w:val="005473DA"/>
    <w:rsid w:val="0054755A"/>
    <w:rsid w:val="00547689"/>
    <w:rsid w:val="00547B25"/>
    <w:rsid w:val="00547B83"/>
    <w:rsid w:val="0055027B"/>
    <w:rsid w:val="00550407"/>
    <w:rsid w:val="005506D9"/>
    <w:rsid w:val="00551559"/>
    <w:rsid w:val="00551CE3"/>
    <w:rsid w:val="00551E16"/>
    <w:rsid w:val="00551EC8"/>
    <w:rsid w:val="00551FE1"/>
    <w:rsid w:val="00552144"/>
    <w:rsid w:val="005524A9"/>
    <w:rsid w:val="005529C6"/>
    <w:rsid w:val="005530F7"/>
    <w:rsid w:val="00553D7F"/>
    <w:rsid w:val="00553DA7"/>
    <w:rsid w:val="00554BDB"/>
    <w:rsid w:val="00556B3A"/>
    <w:rsid w:val="00556FF1"/>
    <w:rsid w:val="0055744C"/>
    <w:rsid w:val="0055770D"/>
    <w:rsid w:val="005577C7"/>
    <w:rsid w:val="005577F0"/>
    <w:rsid w:val="0055782A"/>
    <w:rsid w:val="00557878"/>
    <w:rsid w:val="00557971"/>
    <w:rsid w:val="00557E35"/>
    <w:rsid w:val="005602D1"/>
    <w:rsid w:val="005602E1"/>
    <w:rsid w:val="00560AB2"/>
    <w:rsid w:val="00560B8A"/>
    <w:rsid w:val="00560BEB"/>
    <w:rsid w:val="00560C7F"/>
    <w:rsid w:val="00561083"/>
    <w:rsid w:val="005615D8"/>
    <w:rsid w:val="00561F2A"/>
    <w:rsid w:val="00561F4E"/>
    <w:rsid w:val="005624E9"/>
    <w:rsid w:val="005626AF"/>
    <w:rsid w:val="005631FF"/>
    <w:rsid w:val="00563D47"/>
    <w:rsid w:val="005644B0"/>
    <w:rsid w:val="0056455D"/>
    <w:rsid w:val="00564AE0"/>
    <w:rsid w:val="00564CB4"/>
    <w:rsid w:val="00565F1D"/>
    <w:rsid w:val="00566D62"/>
    <w:rsid w:val="00566EA8"/>
    <w:rsid w:val="0056721D"/>
    <w:rsid w:val="00567BE1"/>
    <w:rsid w:val="00570FA8"/>
    <w:rsid w:val="005710C8"/>
    <w:rsid w:val="00571673"/>
    <w:rsid w:val="00572FC4"/>
    <w:rsid w:val="00573514"/>
    <w:rsid w:val="00573677"/>
    <w:rsid w:val="00573C46"/>
    <w:rsid w:val="0057448E"/>
    <w:rsid w:val="00574B16"/>
    <w:rsid w:val="00574D41"/>
    <w:rsid w:val="005753AD"/>
    <w:rsid w:val="00575A5B"/>
    <w:rsid w:val="00575CD8"/>
    <w:rsid w:val="005765D5"/>
    <w:rsid w:val="0057721F"/>
    <w:rsid w:val="0057757F"/>
    <w:rsid w:val="00577854"/>
    <w:rsid w:val="00577DD4"/>
    <w:rsid w:val="005803DC"/>
    <w:rsid w:val="005807F3"/>
    <w:rsid w:val="005809AE"/>
    <w:rsid w:val="00580AA7"/>
    <w:rsid w:val="00580CAF"/>
    <w:rsid w:val="00580FFB"/>
    <w:rsid w:val="00581114"/>
    <w:rsid w:val="005817A9"/>
    <w:rsid w:val="00581804"/>
    <w:rsid w:val="00581D0C"/>
    <w:rsid w:val="00582243"/>
    <w:rsid w:val="005827C5"/>
    <w:rsid w:val="00583472"/>
    <w:rsid w:val="005838D8"/>
    <w:rsid w:val="00584154"/>
    <w:rsid w:val="0058486B"/>
    <w:rsid w:val="0058488D"/>
    <w:rsid w:val="00584B51"/>
    <w:rsid w:val="00584DF8"/>
    <w:rsid w:val="00584F08"/>
    <w:rsid w:val="005852D5"/>
    <w:rsid w:val="0058574F"/>
    <w:rsid w:val="005857DB"/>
    <w:rsid w:val="00585813"/>
    <w:rsid w:val="00585C9F"/>
    <w:rsid w:val="005861A4"/>
    <w:rsid w:val="00586251"/>
    <w:rsid w:val="00586687"/>
    <w:rsid w:val="00586C70"/>
    <w:rsid w:val="00586EAD"/>
    <w:rsid w:val="00587DC5"/>
    <w:rsid w:val="0059010D"/>
    <w:rsid w:val="00590AA7"/>
    <w:rsid w:val="00590B18"/>
    <w:rsid w:val="00590C6D"/>
    <w:rsid w:val="00590D3A"/>
    <w:rsid w:val="005911F3"/>
    <w:rsid w:val="0059167F"/>
    <w:rsid w:val="00591A3B"/>
    <w:rsid w:val="00591FEB"/>
    <w:rsid w:val="00592622"/>
    <w:rsid w:val="00592C7E"/>
    <w:rsid w:val="00594757"/>
    <w:rsid w:val="00595490"/>
    <w:rsid w:val="00595719"/>
    <w:rsid w:val="005959CD"/>
    <w:rsid w:val="00595A32"/>
    <w:rsid w:val="00596606"/>
    <w:rsid w:val="005967F3"/>
    <w:rsid w:val="0059688A"/>
    <w:rsid w:val="005969BB"/>
    <w:rsid w:val="00597503"/>
    <w:rsid w:val="005A0A74"/>
    <w:rsid w:val="005A0E2D"/>
    <w:rsid w:val="005A298B"/>
    <w:rsid w:val="005A2B81"/>
    <w:rsid w:val="005A2E28"/>
    <w:rsid w:val="005A391B"/>
    <w:rsid w:val="005A3B33"/>
    <w:rsid w:val="005A3C56"/>
    <w:rsid w:val="005A3DF3"/>
    <w:rsid w:val="005A3EFF"/>
    <w:rsid w:val="005A40D9"/>
    <w:rsid w:val="005A433B"/>
    <w:rsid w:val="005A4D01"/>
    <w:rsid w:val="005A60F8"/>
    <w:rsid w:val="005A6A3D"/>
    <w:rsid w:val="005A6ADB"/>
    <w:rsid w:val="005A7345"/>
    <w:rsid w:val="005A7670"/>
    <w:rsid w:val="005A76C7"/>
    <w:rsid w:val="005A7A8F"/>
    <w:rsid w:val="005B01BD"/>
    <w:rsid w:val="005B0386"/>
    <w:rsid w:val="005B0F2D"/>
    <w:rsid w:val="005B1067"/>
    <w:rsid w:val="005B185B"/>
    <w:rsid w:val="005B1B42"/>
    <w:rsid w:val="005B1F42"/>
    <w:rsid w:val="005B1F7F"/>
    <w:rsid w:val="005B2491"/>
    <w:rsid w:val="005B2617"/>
    <w:rsid w:val="005B2C7A"/>
    <w:rsid w:val="005B3676"/>
    <w:rsid w:val="005B3B71"/>
    <w:rsid w:val="005B4495"/>
    <w:rsid w:val="005B4D87"/>
    <w:rsid w:val="005B504B"/>
    <w:rsid w:val="005B523E"/>
    <w:rsid w:val="005B526D"/>
    <w:rsid w:val="005B536B"/>
    <w:rsid w:val="005B5A01"/>
    <w:rsid w:val="005B5BC0"/>
    <w:rsid w:val="005B5E74"/>
    <w:rsid w:val="005B6106"/>
    <w:rsid w:val="005B6909"/>
    <w:rsid w:val="005B6C1D"/>
    <w:rsid w:val="005B6D9D"/>
    <w:rsid w:val="005B6E66"/>
    <w:rsid w:val="005C0600"/>
    <w:rsid w:val="005C0746"/>
    <w:rsid w:val="005C083D"/>
    <w:rsid w:val="005C0D2B"/>
    <w:rsid w:val="005C0FC5"/>
    <w:rsid w:val="005C1002"/>
    <w:rsid w:val="005C11B4"/>
    <w:rsid w:val="005C11CB"/>
    <w:rsid w:val="005C18B3"/>
    <w:rsid w:val="005C1C69"/>
    <w:rsid w:val="005C22DF"/>
    <w:rsid w:val="005C24DA"/>
    <w:rsid w:val="005C2835"/>
    <w:rsid w:val="005C337C"/>
    <w:rsid w:val="005C4BD2"/>
    <w:rsid w:val="005C4F01"/>
    <w:rsid w:val="005C4F54"/>
    <w:rsid w:val="005C5709"/>
    <w:rsid w:val="005C5CF2"/>
    <w:rsid w:val="005C651B"/>
    <w:rsid w:val="005C676C"/>
    <w:rsid w:val="005D075C"/>
    <w:rsid w:val="005D0C01"/>
    <w:rsid w:val="005D0F40"/>
    <w:rsid w:val="005D2CBD"/>
    <w:rsid w:val="005D2F6F"/>
    <w:rsid w:val="005D3437"/>
    <w:rsid w:val="005D3AEE"/>
    <w:rsid w:val="005D4366"/>
    <w:rsid w:val="005D440A"/>
    <w:rsid w:val="005D5349"/>
    <w:rsid w:val="005D5A5A"/>
    <w:rsid w:val="005D5C8D"/>
    <w:rsid w:val="005D60A5"/>
    <w:rsid w:val="005D65A3"/>
    <w:rsid w:val="005D660D"/>
    <w:rsid w:val="005D677D"/>
    <w:rsid w:val="005D6986"/>
    <w:rsid w:val="005D6DD9"/>
    <w:rsid w:val="005D7069"/>
    <w:rsid w:val="005D764A"/>
    <w:rsid w:val="005D79A4"/>
    <w:rsid w:val="005D7BA5"/>
    <w:rsid w:val="005D7D11"/>
    <w:rsid w:val="005D7FFD"/>
    <w:rsid w:val="005E0A26"/>
    <w:rsid w:val="005E1850"/>
    <w:rsid w:val="005E1878"/>
    <w:rsid w:val="005E1C7C"/>
    <w:rsid w:val="005E1E5C"/>
    <w:rsid w:val="005E1F0C"/>
    <w:rsid w:val="005E364F"/>
    <w:rsid w:val="005E4298"/>
    <w:rsid w:val="005E4635"/>
    <w:rsid w:val="005E6074"/>
    <w:rsid w:val="005E62DA"/>
    <w:rsid w:val="005E66C8"/>
    <w:rsid w:val="005E6B5B"/>
    <w:rsid w:val="005E71DB"/>
    <w:rsid w:val="005E751D"/>
    <w:rsid w:val="005E768E"/>
    <w:rsid w:val="005E7ADC"/>
    <w:rsid w:val="005F0789"/>
    <w:rsid w:val="005F0875"/>
    <w:rsid w:val="005F0AB3"/>
    <w:rsid w:val="005F0DCC"/>
    <w:rsid w:val="005F11BB"/>
    <w:rsid w:val="005F2A6A"/>
    <w:rsid w:val="005F2B34"/>
    <w:rsid w:val="005F2BE0"/>
    <w:rsid w:val="005F3BBE"/>
    <w:rsid w:val="005F43D8"/>
    <w:rsid w:val="005F457E"/>
    <w:rsid w:val="005F49A5"/>
    <w:rsid w:val="005F4C53"/>
    <w:rsid w:val="005F5220"/>
    <w:rsid w:val="005F52B4"/>
    <w:rsid w:val="005F5CDF"/>
    <w:rsid w:val="005F626F"/>
    <w:rsid w:val="005F6A18"/>
    <w:rsid w:val="005F6E25"/>
    <w:rsid w:val="005F78F3"/>
    <w:rsid w:val="005F7D80"/>
    <w:rsid w:val="005F7F0B"/>
    <w:rsid w:val="005F7F11"/>
    <w:rsid w:val="0060004C"/>
    <w:rsid w:val="00600326"/>
    <w:rsid w:val="0060065A"/>
    <w:rsid w:val="0060103E"/>
    <w:rsid w:val="006017BB"/>
    <w:rsid w:val="006019EE"/>
    <w:rsid w:val="006030B8"/>
    <w:rsid w:val="006042B2"/>
    <w:rsid w:val="006044BE"/>
    <w:rsid w:val="00604B8C"/>
    <w:rsid w:val="00605045"/>
    <w:rsid w:val="0060553F"/>
    <w:rsid w:val="006058D0"/>
    <w:rsid w:val="0060597C"/>
    <w:rsid w:val="00605CC4"/>
    <w:rsid w:val="0060626B"/>
    <w:rsid w:val="0060686D"/>
    <w:rsid w:val="00606D43"/>
    <w:rsid w:val="0060717A"/>
    <w:rsid w:val="0060770A"/>
    <w:rsid w:val="00607DC2"/>
    <w:rsid w:val="00607E57"/>
    <w:rsid w:val="006105F9"/>
    <w:rsid w:val="0061072B"/>
    <w:rsid w:val="00610D4C"/>
    <w:rsid w:val="00611718"/>
    <w:rsid w:val="00611763"/>
    <w:rsid w:val="00612028"/>
    <w:rsid w:val="00612195"/>
    <w:rsid w:val="00612ADE"/>
    <w:rsid w:val="00612B91"/>
    <w:rsid w:val="00612C62"/>
    <w:rsid w:val="006132EF"/>
    <w:rsid w:val="00613BF4"/>
    <w:rsid w:val="00613D7F"/>
    <w:rsid w:val="00614E46"/>
    <w:rsid w:val="00615A6A"/>
    <w:rsid w:val="006162E3"/>
    <w:rsid w:val="00617369"/>
    <w:rsid w:val="00617A7B"/>
    <w:rsid w:val="00620775"/>
    <w:rsid w:val="00620A37"/>
    <w:rsid w:val="00620B74"/>
    <w:rsid w:val="00620EAB"/>
    <w:rsid w:val="00620FE8"/>
    <w:rsid w:val="006210C5"/>
    <w:rsid w:val="00621AEE"/>
    <w:rsid w:val="00621D8A"/>
    <w:rsid w:val="00621F98"/>
    <w:rsid w:val="00622048"/>
    <w:rsid w:val="0062225C"/>
    <w:rsid w:val="006227EC"/>
    <w:rsid w:val="00622AE0"/>
    <w:rsid w:val="00624D33"/>
    <w:rsid w:val="006251B3"/>
    <w:rsid w:val="00625258"/>
    <w:rsid w:val="0062565F"/>
    <w:rsid w:val="00625A38"/>
    <w:rsid w:val="00625B44"/>
    <w:rsid w:val="00626091"/>
    <w:rsid w:val="006261F2"/>
    <w:rsid w:val="00626FA3"/>
    <w:rsid w:val="00626FAD"/>
    <w:rsid w:val="00627246"/>
    <w:rsid w:val="00627611"/>
    <w:rsid w:val="00627DA3"/>
    <w:rsid w:val="00627E4F"/>
    <w:rsid w:val="00630341"/>
    <w:rsid w:val="00630BC0"/>
    <w:rsid w:val="0063137B"/>
    <w:rsid w:val="00631A26"/>
    <w:rsid w:val="00631A4F"/>
    <w:rsid w:val="00631B52"/>
    <w:rsid w:val="0063273E"/>
    <w:rsid w:val="00632DF7"/>
    <w:rsid w:val="00633001"/>
    <w:rsid w:val="006336DC"/>
    <w:rsid w:val="00633987"/>
    <w:rsid w:val="00633A9D"/>
    <w:rsid w:val="00633BC2"/>
    <w:rsid w:val="0063438F"/>
    <w:rsid w:val="00634AD6"/>
    <w:rsid w:val="00634B18"/>
    <w:rsid w:val="00635080"/>
    <w:rsid w:val="00635188"/>
    <w:rsid w:val="006353F3"/>
    <w:rsid w:val="0063549C"/>
    <w:rsid w:val="00635D59"/>
    <w:rsid w:val="00636384"/>
    <w:rsid w:val="0063643D"/>
    <w:rsid w:val="006375FB"/>
    <w:rsid w:val="00637662"/>
    <w:rsid w:val="00637BE3"/>
    <w:rsid w:val="00640E35"/>
    <w:rsid w:val="00640F44"/>
    <w:rsid w:val="00641A80"/>
    <w:rsid w:val="00641AE2"/>
    <w:rsid w:val="00641D0A"/>
    <w:rsid w:val="006428ED"/>
    <w:rsid w:val="006434E0"/>
    <w:rsid w:val="00643A34"/>
    <w:rsid w:val="00643B39"/>
    <w:rsid w:val="006443FF"/>
    <w:rsid w:val="0064452B"/>
    <w:rsid w:val="0064567A"/>
    <w:rsid w:val="0064579F"/>
    <w:rsid w:val="00645AEC"/>
    <w:rsid w:val="00645C8F"/>
    <w:rsid w:val="00645D5D"/>
    <w:rsid w:val="006465C5"/>
    <w:rsid w:val="0064692D"/>
    <w:rsid w:val="00646FE1"/>
    <w:rsid w:val="0064730E"/>
    <w:rsid w:val="006476F6"/>
    <w:rsid w:val="00651DD9"/>
    <w:rsid w:val="00651FD0"/>
    <w:rsid w:val="00652182"/>
    <w:rsid w:val="006531A8"/>
    <w:rsid w:val="00653538"/>
    <w:rsid w:val="00653BE9"/>
    <w:rsid w:val="00654210"/>
    <w:rsid w:val="00654FD3"/>
    <w:rsid w:val="0065516A"/>
    <w:rsid w:val="00655D9F"/>
    <w:rsid w:val="00655DAF"/>
    <w:rsid w:val="0065687D"/>
    <w:rsid w:val="00657A7C"/>
    <w:rsid w:val="00661B7A"/>
    <w:rsid w:val="00662426"/>
    <w:rsid w:val="00662914"/>
    <w:rsid w:val="0066385E"/>
    <w:rsid w:val="006638A1"/>
    <w:rsid w:val="00663F31"/>
    <w:rsid w:val="0066428D"/>
    <w:rsid w:val="006643C0"/>
    <w:rsid w:val="00664459"/>
    <w:rsid w:val="0066483D"/>
    <w:rsid w:val="00664AE6"/>
    <w:rsid w:val="00664B85"/>
    <w:rsid w:val="00664C3A"/>
    <w:rsid w:val="0066500D"/>
    <w:rsid w:val="006650E5"/>
    <w:rsid w:val="00665632"/>
    <w:rsid w:val="006663AC"/>
    <w:rsid w:val="00666A1C"/>
    <w:rsid w:val="00666DC6"/>
    <w:rsid w:val="006670B4"/>
    <w:rsid w:val="00667171"/>
    <w:rsid w:val="0066749E"/>
    <w:rsid w:val="006676B0"/>
    <w:rsid w:val="00667845"/>
    <w:rsid w:val="0067045E"/>
    <w:rsid w:val="00670840"/>
    <w:rsid w:val="00671851"/>
    <w:rsid w:val="00671CF7"/>
    <w:rsid w:val="00672945"/>
    <w:rsid w:val="00672C66"/>
    <w:rsid w:val="006733E2"/>
    <w:rsid w:val="00673E2B"/>
    <w:rsid w:val="00674588"/>
    <w:rsid w:val="0067459F"/>
    <w:rsid w:val="00674EE3"/>
    <w:rsid w:val="00674F41"/>
    <w:rsid w:val="0067596D"/>
    <w:rsid w:val="00676063"/>
    <w:rsid w:val="00676B63"/>
    <w:rsid w:val="00677730"/>
    <w:rsid w:val="00680408"/>
    <w:rsid w:val="00680585"/>
    <w:rsid w:val="00681AD0"/>
    <w:rsid w:val="00681DEB"/>
    <w:rsid w:val="00682B98"/>
    <w:rsid w:val="00682BE7"/>
    <w:rsid w:val="00683699"/>
    <w:rsid w:val="006839A0"/>
    <w:rsid w:val="00684537"/>
    <w:rsid w:val="00684A8D"/>
    <w:rsid w:val="00684CB8"/>
    <w:rsid w:val="00684DBC"/>
    <w:rsid w:val="006855AA"/>
    <w:rsid w:val="006856D5"/>
    <w:rsid w:val="006858D3"/>
    <w:rsid w:val="006861BD"/>
    <w:rsid w:val="006862CE"/>
    <w:rsid w:val="0068662E"/>
    <w:rsid w:val="00686AB1"/>
    <w:rsid w:val="00686CB7"/>
    <w:rsid w:val="006873A3"/>
    <w:rsid w:val="00687400"/>
    <w:rsid w:val="00687B05"/>
    <w:rsid w:val="0069015C"/>
    <w:rsid w:val="0069069B"/>
    <w:rsid w:val="00690F3D"/>
    <w:rsid w:val="00691BFD"/>
    <w:rsid w:val="00692175"/>
    <w:rsid w:val="00692518"/>
    <w:rsid w:val="00692B18"/>
    <w:rsid w:val="00692C65"/>
    <w:rsid w:val="00692E2A"/>
    <w:rsid w:val="00693025"/>
    <w:rsid w:val="00693ED5"/>
    <w:rsid w:val="00694225"/>
    <w:rsid w:val="006942C4"/>
    <w:rsid w:val="006951E6"/>
    <w:rsid w:val="006955ED"/>
    <w:rsid w:val="00695721"/>
    <w:rsid w:val="00695810"/>
    <w:rsid w:val="0069585C"/>
    <w:rsid w:val="00695967"/>
    <w:rsid w:val="00695B63"/>
    <w:rsid w:val="006965F5"/>
    <w:rsid w:val="00696689"/>
    <w:rsid w:val="0069693D"/>
    <w:rsid w:val="006971CD"/>
    <w:rsid w:val="00697F37"/>
    <w:rsid w:val="006A0A07"/>
    <w:rsid w:val="006A0BB4"/>
    <w:rsid w:val="006A0C36"/>
    <w:rsid w:val="006A0D17"/>
    <w:rsid w:val="006A1281"/>
    <w:rsid w:val="006A1E38"/>
    <w:rsid w:val="006A2704"/>
    <w:rsid w:val="006A2FDB"/>
    <w:rsid w:val="006A3353"/>
    <w:rsid w:val="006A396B"/>
    <w:rsid w:val="006A420C"/>
    <w:rsid w:val="006A4321"/>
    <w:rsid w:val="006A4719"/>
    <w:rsid w:val="006A4D58"/>
    <w:rsid w:val="006A5522"/>
    <w:rsid w:val="006A5769"/>
    <w:rsid w:val="006A5BE3"/>
    <w:rsid w:val="006A603A"/>
    <w:rsid w:val="006A68BF"/>
    <w:rsid w:val="006A68D6"/>
    <w:rsid w:val="006B020C"/>
    <w:rsid w:val="006B0327"/>
    <w:rsid w:val="006B0473"/>
    <w:rsid w:val="006B155A"/>
    <w:rsid w:val="006B2E04"/>
    <w:rsid w:val="006B39FB"/>
    <w:rsid w:val="006B4392"/>
    <w:rsid w:val="006B44AA"/>
    <w:rsid w:val="006B4675"/>
    <w:rsid w:val="006B4A8B"/>
    <w:rsid w:val="006B4E78"/>
    <w:rsid w:val="006B5958"/>
    <w:rsid w:val="006B5F64"/>
    <w:rsid w:val="006B704B"/>
    <w:rsid w:val="006B74AA"/>
    <w:rsid w:val="006B78E6"/>
    <w:rsid w:val="006C009D"/>
    <w:rsid w:val="006C1B62"/>
    <w:rsid w:val="006C1E24"/>
    <w:rsid w:val="006C2062"/>
    <w:rsid w:val="006C2209"/>
    <w:rsid w:val="006C2277"/>
    <w:rsid w:val="006C2ACB"/>
    <w:rsid w:val="006C2DF2"/>
    <w:rsid w:val="006C30FA"/>
    <w:rsid w:val="006C399A"/>
    <w:rsid w:val="006C3F4D"/>
    <w:rsid w:val="006C48CF"/>
    <w:rsid w:val="006C621E"/>
    <w:rsid w:val="006C6556"/>
    <w:rsid w:val="006C760A"/>
    <w:rsid w:val="006C764E"/>
    <w:rsid w:val="006C7787"/>
    <w:rsid w:val="006C7E8E"/>
    <w:rsid w:val="006D01DA"/>
    <w:rsid w:val="006D021E"/>
    <w:rsid w:val="006D0507"/>
    <w:rsid w:val="006D0AE5"/>
    <w:rsid w:val="006D10E8"/>
    <w:rsid w:val="006D14BB"/>
    <w:rsid w:val="006D18D1"/>
    <w:rsid w:val="006D2665"/>
    <w:rsid w:val="006D2AE9"/>
    <w:rsid w:val="006D2EDC"/>
    <w:rsid w:val="006D386E"/>
    <w:rsid w:val="006D3CC5"/>
    <w:rsid w:val="006D3E33"/>
    <w:rsid w:val="006D40D8"/>
    <w:rsid w:val="006D47CF"/>
    <w:rsid w:val="006D4808"/>
    <w:rsid w:val="006D4E9F"/>
    <w:rsid w:val="006D5CFD"/>
    <w:rsid w:val="006D630C"/>
    <w:rsid w:val="006D6A44"/>
    <w:rsid w:val="006D6DA1"/>
    <w:rsid w:val="006D7513"/>
    <w:rsid w:val="006D75A4"/>
    <w:rsid w:val="006D7B02"/>
    <w:rsid w:val="006D7D6F"/>
    <w:rsid w:val="006E02AC"/>
    <w:rsid w:val="006E0CD6"/>
    <w:rsid w:val="006E1529"/>
    <w:rsid w:val="006E1E68"/>
    <w:rsid w:val="006E22A5"/>
    <w:rsid w:val="006E24EA"/>
    <w:rsid w:val="006E2DA6"/>
    <w:rsid w:val="006E33AB"/>
    <w:rsid w:val="006E3A2E"/>
    <w:rsid w:val="006E44DD"/>
    <w:rsid w:val="006E4DAB"/>
    <w:rsid w:val="006E5B28"/>
    <w:rsid w:val="006E624A"/>
    <w:rsid w:val="006E632A"/>
    <w:rsid w:val="006E6986"/>
    <w:rsid w:val="006E7525"/>
    <w:rsid w:val="006E7923"/>
    <w:rsid w:val="006F02C8"/>
    <w:rsid w:val="006F0CB8"/>
    <w:rsid w:val="006F0E04"/>
    <w:rsid w:val="006F1041"/>
    <w:rsid w:val="006F21D1"/>
    <w:rsid w:val="006F2552"/>
    <w:rsid w:val="006F2CA5"/>
    <w:rsid w:val="006F3B49"/>
    <w:rsid w:val="006F400A"/>
    <w:rsid w:val="006F4739"/>
    <w:rsid w:val="006F4B48"/>
    <w:rsid w:val="006F4E2E"/>
    <w:rsid w:val="006F5080"/>
    <w:rsid w:val="006F5184"/>
    <w:rsid w:val="006F5338"/>
    <w:rsid w:val="006F6E6E"/>
    <w:rsid w:val="006F6E77"/>
    <w:rsid w:val="006F7B8D"/>
    <w:rsid w:val="006F7E8D"/>
    <w:rsid w:val="00700637"/>
    <w:rsid w:val="00700DEF"/>
    <w:rsid w:val="007016E3"/>
    <w:rsid w:val="00702596"/>
    <w:rsid w:val="007025DF"/>
    <w:rsid w:val="00702716"/>
    <w:rsid w:val="00702C1F"/>
    <w:rsid w:val="00702E52"/>
    <w:rsid w:val="00702F52"/>
    <w:rsid w:val="007030EE"/>
    <w:rsid w:val="00703785"/>
    <w:rsid w:val="00703890"/>
    <w:rsid w:val="007054D9"/>
    <w:rsid w:val="007057AA"/>
    <w:rsid w:val="007057FC"/>
    <w:rsid w:val="00705924"/>
    <w:rsid w:val="00706BDC"/>
    <w:rsid w:val="00706CCB"/>
    <w:rsid w:val="00706FCA"/>
    <w:rsid w:val="00706FDB"/>
    <w:rsid w:val="007070B0"/>
    <w:rsid w:val="00707112"/>
    <w:rsid w:val="00707EC7"/>
    <w:rsid w:val="00710E0E"/>
    <w:rsid w:val="00711239"/>
    <w:rsid w:val="00711387"/>
    <w:rsid w:val="0071155F"/>
    <w:rsid w:val="0071159F"/>
    <w:rsid w:val="007115D1"/>
    <w:rsid w:val="00711852"/>
    <w:rsid w:val="007129C0"/>
    <w:rsid w:val="00712A5A"/>
    <w:rsid w:val="007139F7"/>
    <w:rsid w:val="007147D9"/>
    <w:rsid w:val="007153B5"/>
    <w:rsid w:val="00715F39"/>
    <w:rsid w:val="00715F6C"/>
    <w:rsid w:val="0071654B"/>
    <w:rsid w:val="0071673F"/>
    <w:rsid w:val="0071683F"/>
    <w:rsid w:val="00717139"/>
    <w:rsid w:val="0071719A"/>
    <w:rsid w:val="007175AD"/>
    <w:rsid w:val="00717753"/>
    <w:rsid w:val="00720314"/>
    <w:rsid w:val="0072051C"/>
    <w:rsid w:val="007206D5"/>
    <w:rsid w:val="00720A3D"/>
    <w:rsid w:val="007211AF"/>
    <w:rsid w:val="007215B7"/>
    <w:rsid w:val="0072236F"/>
    <w:rsid w:val="0072321A"/>
    <w:rsid w:val="0072369E"/>
    <w:rsid w:val="00723817"/>
    <w:rsid w:val="007238F4"/>
    <w:rsid w:val="00723F26"/>
    <w:rsid w:val="0072437F"/>
    <w:rsid w:val="00724415"/>
    <w:rsid w:val="00724953"/>
    <w:rsid w:val="00726573"/>
    <w:rsid w:val="0072665E"/>
    <w:rsid w:val="0072690D"/>
    <w:rsid w:val="007270F4"/>
    <w:rsid w:val="007279F5"/>
    <w:rsid w:val="00727B7D"/>
    <w:rsid w:val="00730E35"/>
    <w:rsid w:val="00731CC4"/>
    <w:rsid w:val="007332C1"/>
    <w:rsid w:val="00733447"/>
    <w:rsid w:val="00733A8A"/>
    <w:rsid w:val="00733CE2"/>
    <w:rsid w:val="00733E93"/>
    <w:rsid w:val="00734B38"/>
    <w:rsid w:val="0073601A"/>
    <w:rsid w:val="00736171"/>
    <w:rsid w:val="00736A6D"/>
    <w:rsid w:val="00736C84"/>
    <w:rsid w:val="00736E53"/>
    <w:rsid w:val="00736F01"/>
    <w:rsid w:val="007371E2"/>
    <w:rsid w:val="007379C2"/>
    <w:rsid w:val="00740E3B"/>
    <w:rsid w:val="00740E59"/>
    <w:rsid w:val="00741A1E"/>
    <w:rsid w:val="007429DA"/>
    <w:rsid w:val="00742A0B"/>
    <w:rsid w:val="00743768"/>
    <w:rsid w:val="00743BF5"/>
    <w:rsid w:val="007448CF"/>
    <w:rsid w:val="00745561"/>
    <w:rsid w:val="00745938"/>
    <w:rsid w:val="007460A5"/>
    <w:rsid w:val="007463A6"/>
    <w:rsid w:val="00746976"/>
    <w:rsid w:val="00747519"/>
    <w:rsid w:val="00747A2F"/>
    <w:rsid w:val="00747D1A"/>
    <w:rsid w:val="00750710"/>
    <w:rsid w:val="00751775"/>
    <w:rsid w:val="00751C35"/>
    <w:rsid w:val="00751EE2"/>
    <w:rsid w:val="00751FED"/>
    <w:rsid w:val="00752258"/>
    <w:rsid w:val="007524A8"/>
    <w:rsid w:val="00752639"/>
    <w:rsid w:val="007526A9"/>
    <w:rsid w:val="00752941"/>
    <w:rsid w:val="00752CE7"/>
    <w:rsid w:val="00752D80"/>
    <w:rsid w:val="00752FE5"/>
    <w:rsid w:val="00754E13"/>
    <w:rsid w:val="00755337"/>
    <w:rsid w:val="0075663A"/>
    <w:rsid w:val="007569DE"/>
    <w:rsid w:val="007574EA"/>
    <w:rsid w:val="007578A1"/>
    <w:rsid w:val="00757987"/>
    <w:rsid w:val="00757F71"/>
    <w:rsid w:val="00760506"/>
    <w:rsid w:val="00760E33"/>
    <w:rsid w:val="00760E88"/>
    <w:rsid w:val="00761469"/>
    <w:rsid w:val="007626D0"/>
    <w:rsid w:val="00762D98"/>
    <w:rsid w:val="00763769"/>
    <w:rsid w:val="00764167"/>
    <w:rsid w:val="007646F7"/>
    <w:rsid w:val="0076472B"/>
    <w:rsid w:val="0076514D"/>
    <w:rsid w:val="00765330"/>
    <w:rsid w:val="00765528"/>
    <w:rsid w:val="007659CB"/>
    <w:rsid w:val="00765FD8"/>
    <w:rsid w:val="00766022"/>
    <w:rsid w:val="00766357"/>
    <w:rsid w:val="007669F4"/>
    <w:rsid w:val="00766BBA"/>
    <w:rsid w:val="007679B3"/>
    <w:rsid w:val="00767FE3"/>
    <w:rsid w:val="007700C7"/>
    <w:rsid w:val="0077011F"/>
    <w:rsid w:val="00770635"/>
    <w:rsid w:val="00770A1F"/>
    <w:rsid w:val="00770A3F"/>
    <w:rsid w:val="00770ADB"/>
    <w:rsid w:val="00770BAF"/>
    <w:rsid w:val="00770BCB"/>
    <w:rsid w:val="00771887"/>
    <w:rsid w:val="00771CA2"/>
    <w:rsid w:val="007727B3"/>
    <w:rsid w:val="00772BDE"/>
    <w:rsid w:val="00773B57"/>
    <w:rsid w:val="007741E0"/>
    <w:rsid w:val="0077475F"/>
    <w:rsid w:val="007748D5"/>
    <w:rsid w:val="0077499B"/>
    <w:rsid w:val="00774B15"/>
    <w:rsid w:val="00774FCB"/>
    <w:rsid w:val="007752DA"/>
    <w:rsid w:val="00775ADB"/>
    <w:rsid w:val="00775B59"/>
    <w:rsid w:val="00775F16"/>
    <w:rsid w:val="00775F60"/>
    <w:rsid w:val="007761B1"/>
    <w:rsid w:val="007767A4"/>
    <w:rsid w:val="00776E37"/>
    <w:rsid w:val="007771AF"/>
    <w:rsid w:val="00777B1F"/>
    <w:rsid w:val="007809ED"/>
    <w:rsid w:val="00780E0D"/>
    <w:rsid w:val="00780FAB"/>
    <w:rsid w:val="007810CA"/>
    <w:rsid w:val="0078151E"/>
    <w:rsid w:val="007823FE"/>
    <w:rsid w:val="00782E99"/>
    <w:rsid w:val="00782FF1"/>
    <w:rsid w:val="00783107"/>
    <w:rsid w:val="007838A3"/>
    <w:rsid w:val="00784523"/>
    <w:rsid w:val="00784885"/>
    <w:rsid w:val="0078545D"/>
    <w:rsid w:val="007855C8"/>
    <w:rsid w:val="00786103"/>
    <w:rsid w:val="0078693A"/>
    <w:rsid w:val="007869AD"/>
    <w:rsid w:val="00787AAE"/>
    <w:rsid w:val="00787CEC"/>
    <w:rsid w:val="00790155"/>
    <w:rsid w:val="007902B9"/>
    <w:rsid w:val="007906A1"/>
    <w:rsid w:val="007906BC"/>
    <w:rsid w:val="00790758"/>
    <w:rsid w:val="00790EDA"/>
    <w:rsid w:val="00791218"/>
    <w:rsid w:val="0079151D"/>
    <w:rsid w:val="007915D8"/>
    <w:rsid w:val="0079173D"/>
    <w:rsid w:val="00791A10"/>
    <w:rsid w:val="00791AA5"/>
    <w:rsid w:val="00791B39"/>
    <w:rsid w:val="0079226D"/>
    <w:rsid w:val="0079266D"/>
    <w:rsid w:val="0079276E"/>
    <w:rsid w:val="00792923"/>
    <w:rsid w:val="0079337D"/>
    <w:rsid w:val="00793C85"/>
    <w:rsid w:val="007946F7"/>
    <w:rsid w:val="00794896"/>
    <w:rsid w:val="0079533A"/>
    <w:rsid w:val="00795D5B"/>
    <w:rsid w:val="00796ECB"/>
    <w:rsid w:val="00796F8A"/>
    <w:rsid w:val="00797E30"/>
    <w:rsid w:val="007A06E8"/>
    <w:rsid w:val="007A129D"/>
    <w:rsid w:val="007A1370"/>
    <w:rsid w:val="007A1562"/>
    <w:rsid w:val="007A1590"/>
    <w:rsid w:val="007A1890"/>
    <w:rsid w:val="007A238B"/>
    <w:rsid w:val="007A2CF4"/>
    <w:rsid w:val="007A2EAE"/>
    <w:rsid w:val="007A3ABB"/>
    <w:rsid w:val="007A3CA5"/>
    <w:rsid w:val="007A3CDD"/>
    <w:rsid w:val="007A3FC5"/>
    <w:rsid w:val="007A475A"/>
    <w:rsid w:val="007A4CD2"/>
    <w:rsid w:val="007A5241"/>
    <w:rsid w:val="007A68B1"/>
    <w:rsid w:val="007A70F8"/>
    <w:rsid w:val="007A7523"/>
    <w:rsid w:val="007A79EF"/>
    <w:rsid w:val="007B08A8"/>
    <w:rsid w:val="007B1012"/>
    <w:rsid w:val="007B1208"/>
    <w:rsid w:val="007B26F7"/>
    <w:rsid w:val="007B29E2"/>
    <w:rsid w:val="007B5716"/>
    <w:rsid w:val="007B57BE"/>
    <w:rsid w:val="007B581E"/>
    <w:rsid w:val="007B5ACF"/>
    <w:rsid w:val="007B5AF3"/>
    <w:rsid w:val="007B5DD4"/>
    <w:rsid w:val="007B6F72"/>
    <w:rsid w:val="007B70FE"/>
    <w:rsid w:val="007B7BFF"/>
    <w:rsid w:val="007B7FF6"/>
    <w:rsid w:val="007C03C9"/>
    <w:rsid w:val="007C042A"/>
    <w:rsid w:val="007C0896"/>
    <w:rsid w:val="007C0B42"/>
    <w:rsid w:val="007C0BD6"/>
    <w:rsid w:val="007C0DC4"/>
    <w:rsid w:val="007C11A2"/>
    <w:rsid w:val="007C1454"/>
    <w:rsid w:val="007C1739"/>
    <w:rsid w:val="007C17F4"/>
    <w:rsid w:val="007C1C6F"/>
    <w:rsid w:val="007C1D72"/>
    <w:rsid w:val="007C1FFF"/>
    <w:rsid w:val="007C343E"/>
    <w:rsid w:val="007C3528"/>
    <w:rsid w:val="007C453C"/>
    <w:rsid w:val="007C46EE"/>
    <w:rsid w:val="007C4E49"/>
    <w:rsid w:val="007C53EC"/>
    <w:rsid w:val="007C556E"/>
    <w:rsid w:val="007C576F"/>
    <w:rsid w:val="007C579E"/>
    <w:rsid w:val="007C581A"/>
    <w:rsid w:val="007C592B"/>
    <w:rsid w:val="007C5FCD"/>
    <w:rsid w:val="007C6BD9"/>
    <w:rsid w:val="007C6E86"/>
    <w:rsid w:val="007C7149"/>
    <w:rsid w:val="007C72AB"/>
    <w:rsid w:val="007C763A"/>
    <w:rsid w:val="007C7A62"/>
    <w:rsid w:val="007D0773"/>
    <w:rsid w:val="007D1037"/>
    <w:rsid w:val="007D12D0"/>
    <w:rsid w:val="007D1A0E"/>
    <w:rsid w:val="007D1BCC"/>
    <w:rsid w:val="007D3A61"/>
    <w:rsid w:val="007D3F13"/>
    <w:rsid w:val="007D4A13"/>
    <w:rsid w:val="007D4FD0"/>
    <w:rsid w:val="007D7AD4"/>
    <w:rsid w:val="007E0082"/>
    <w:rsid w:val="007E0726"/>
    <w:rsid w:val="007E09E6"/>
    <w:rsid w:val="007E0B3F"/>
    <w:rsid w:val="007E1314"/>
    <w:rsid w:val="007E203A"/>
    <w:rsid w:val="007E22C7"/>
    <w:rsid w:val="007E25A4"/>
    <w:rsid w:val="007E28F4"/>
    <w:rsid w:val="007E344A"/>
    <w:rsid w:val="007E367D"/>
    <w:rsid w:val="007E3F98"/>
    <w:rsid w:val="007E4002"/>
    <w:rsid w:val="007E4744"/>
    <w:rsid w:val="007E4C6E"/>
    <w:rsid w:val="007E53E4"/>
    <w:rsid w:val="007E5651"/>
    <w:rsid w:val="007E619F"/>
    <w:rsid w:val="007E630F"/>
    <w:rsid w:val="007E68B8"/>
    <w:rsid w:val="007E7397"/>
    <w:rsid w:val="007E7FA3"/>
    <w:rsid w:val="007F02B1"/>
    <w:rsid w:val="007F0638"/>
    <w:rsid w:val="007F0A36"/>
    <w:rsid w:val="007F11A1"/>
    <w:rsid w:val="007F13A0"/>
    <w:rsid w:val="007F233F"/>
    <w:rsid w:val="007F284D"/>
    <w:rsid w:val="007F30A3"/>
    <w:rsid w:val="007F318C"/>
    <w:rsid w:val="007F3B5F"/>
    <w:rsid w:val="007F3D78"/>
    <w:rsid w:val="007F3E8D"/>
    <w:rsid w:val="007F42B3"/>
    <w:rsid w:val="007F42EE"/>
    <w:rsid w:val="007F4CDF"/>
    <w:rsid w:val="007F4DFA"/>
    <w:rsid w:val="007F5993"/>
    <w:rsid w:val="007F6F5C"/>
    <w:rsid w:val="007F7082"/>
    <w:rsid w:val="007F7252"/>
    <w:rsid w:val="007F7454"/>
    <w:rsid w:val="007F76FD"/>
    <w:rsid w:val="007F7C58"/>
    <w:rsid w:val="0080057E"/>
    <w:rsid w:val="00800720"/>
    <w:rsid w:val="00800E49"/>
    <w:rsid w:val="0080197D"/>
    <w:rsid w:val="00803479"/>
    <w:rsid w:val="0080364F"/>
    <w:rsid w:val="008038CB"/>
    <w:rsid w:val="00803B88"/>
    <w:rsid w:val="00803D89"/>
    <w:rsid w:val="00803F80"/>
    <w:rsid w:val="008043B0"/>
    <w:rsid w:val="0080466D"/>
    <w:rsid w:val="008046F8"/>
    <w:rsid w:val="00804804"/>
    <w:rsid w:val="00804E9F"/>
    <w:rsid w:val="00805127"/>
    <w:rsid w:val="00805657"/>
    <w:rsid w:val="008060A3"/>
    <w:rsid w:val="00806267"/>
    <w:rsid w:val="00806383"/>
    <w:rsid w:val="00806F4A"/>
    <w:rsid w:val="00807F5B"/>
    <w:rsid w:val="008106F8"/>
    <w:rsid w:val="0081077F"/>
    <w:rsid w:val="00810D44"/>
    <w:rsid w:val="00811B89"/>
    <w:rsid w:val="0081205F"/>
    <w:rsid w:val="0081356E"/>
    <w:rsid w:val="00813F47"/>
    <w:rsid w:val="008143FD"/>
    <w:rsid w:val="00814C6C"/>
    <w:rsid w:val="00814F66"/>
    <w:rsid w:val="00815324"/>
    <w:rsid w:val="0081572A"/>
    <w:rsid w:val="00815C1E"/>
    <w:rsid w:val="00816246"/>
    <w:rsid w:val="008172DE"/>
    <w:rsid w:val="008174FE"/>
    <w:rsid w:val="00817A82"/>
    <w:rsid w:val="00817BDA"/>
    <w:rsid w:val="0082000D"/>
    <w:rsid w:val="008205D9"/>
    <w:rsid w:val="008216A9"/>
    <w:rsid w:val="00821A69"/>
    <w:rsid w:val="00821BF5"/>
    <w:rsid w:val="008223C0"/>
    <w:rsid w:val="00822549"/>
    <w:rsid w:val="00822AD3"/>
    <w:rsid w:val="00823377"/>
    <w:rsid w:val="00824587"/>
    <w:rsid w:val="00824744"/>
    <w:rsid w:val="0082502C"/>
    <w:rsid w:val="0082682A"/>
    <w:rsid w:val="00827009"/>
    <w:rsid w:val="008278AE"/>
    <w:rsid w:val="00827990"/>
    <w:rsid w:val="00827DB6"/>
    <w:rsid w:val="00830A61"/>
    <w:rsid w:val="00830F67"/>
    <w:rsid w:val="00831397"/>
    <w:rsid w:val="00831798"/>
    <w:rsid w:val="00831CF2"/>
    <w:rsid w:val="00832486"/>
    <w:rsid w:val="00832998"/>
    <w:rsid w:val="00832B6D"/>
    <w:rsid w:val="0083337E"/>
    <w:rsid w:val="00833D72"/>
    <w:rsid w:val="0083423D"/>
    <w:rsid w:val="00834728"/>
    <w:rsid w:val="00835509"/>
    <w:rsid w:val="00835908"/>
    <w:rsid w:val="00836385"/>
    <w:rsid w:val="008364A0"/>
    <w:rsid w:val="0083659C"/>
    <w:rsid w:val="00836A7F"/>
    <w:rsid w:val="00836F6B"/>
    <w:rsid w:val="008370CB"/>
    <w:rsid w:val="008371AF"/>
    <w:rsid w:val="00837920"/>
    <w:rsid w:val="00837991"/>
    <w:rsid w:val="00837D64"/>
    <w:rsid w:val="00837FC0"/>
    <w:rsid w:val="008400F2"/>
    <w:rsid w:val="00840494"/>
    <w:rsid w:val="008412E0"/>
    <w:rsid w:val="008414A2"/>
    <w:rsid w:val="00841790"/>
    <w:rsid w:val="00841DD6"/>
    <w:rsid w:val="008424B8"/>
    <w:rsid w:val="00843673"/>
    <w:rsid w:val="00843884"/>
    <w:rsid w:val="00843ABA"/>
    <w:rsid w:val="00843DDB"/>
    <w:rsid w:val="00844430"/>
    <w:rsid w:val="0084446B"/>
    <w:rsid w:val="00845719"/>
    <w:rsid w:val="00845F43"/>
    <w:rsid w:val="0084685A"/>
    <w:rsid w:val="00846CBB"/>
    <w:rsid w:val="0084751B"/>
    <w:rsid w:val="00847EED"/>
    <w:rsid w:val="00847F68"/>
    <w:rsid w:val="00850459"/>
    <w:rsid w:val="00852DCA"/>
    <w:rsid w:val="00853025"/>
    <w:rsid w:val="0085359A"/>
    <w:rsid w:val="0085382C"/>
    <w:rsid w:val="00853F42"/>
    <w:rsid w:val="00854024"/>
    <w:rsid w:val="008540DD"/>
    <w:rsid w:val="00854229"/>
    <w:rsid w:val="00854B0F"/>
    <w:rsid w:val="00854E3A"/>
    <w:rsid w:val="00855DD4"/>
    <w:rsid w:val="00856442"/>
    <w:rsid w:val="0085655C"/>
    <w:rsid w:val="008573A0"/>
    <w:rsid w:val="0085752F"/>
    <w:rsid w:val="00857546"/>
    <w:rsid w:val="008575C6"/>
    <w:rsid w:val="008576A6"/>
    <w:rsid w:val="008608FE"/>
    <w:rsid w:val="0086117A"/>
    <w:rsid w:val="008625AF"/>
    <w:rsid w:val="008625C4"/>
    <w:rsid w:val="0086346D"/>
    <w:rsid w:val="00863686"/>
    <w:rsid w:val="00863F6E"/>
    <w:rsid w:val="0086430C"/>
    <w:rsid w:val="0086448F"/>
    <w:rsid w:val="0086472C"/>
    <w:rsid w:val="00864757"/>
    <w:rsid w:val="00864DEC"/>
    <w:rsid w:val="00864E74"/>
    <w:rsid w:val="00865499"/>
    <w:rsid w:val="0086564D"/>
    <w:rsid w:val="0086575B"/>
    <w:rsid w:val="008662D3"/>
    <w:rsid w:val="00866EFA"/>
    <w:rsid w:val="008671CD"/>
    <w:rsid w:val="008679E8"/>
    <w:rsid w:val="008701DC"/>
    <w:rsid w:val="00870939"/>
    <w:rsid w:val="00870A0E"/>
    <w:rsid w:val="00870C13"/>
    <w:rsid w:val="008715DF"/>
    <w:rsid w:val="00871D2F"/>
    <w:rsid w:val="00872A10"/>
    <w:rsid w:val="00873402"/>
    <w:rsid w:val="00873B10"/>
    <w:rsid w:val="00873FD9"/>
    <w:rsid w:val="00874104"/>
    <w:rsid w:val="0087428A"/>
    <w:rsid w:val="0087569A"/>
    <w:rsid w:val="008756B7"/>
    <w:rsid w:val="00875886"/>
    <w:rsid w:val="00875AB9"/>
    <w:rsid w:val="008776A0"/>
    <w:rsid w:val="00877F25"/>
    <w:rsid w:val="0088030A"/>
    <w:rsid w:val="00880313"/>
    <w:rsid w:val="008803B2"/>
    <w:rsid w:val="008807ED"/>
    <w:rsid w:val="0088092A"/>
    <w:rsid w:val="008809BE"/>
    <w:rsid w:val="00880A7F"/>
    <w:rsid w:val="0088109E"/>
    <w:rsid w:val="0088156E"/>
    <w:rsid w:val="0088199E"/>
    <w:rsid w:val="008819EB"/>
    <w:rsid w:val="00881C3D"/>
    <w:rsid w:val="00881C77"/>
    <w:rsid w:val="00881DA1"/>
    <w:rsid w:val="00882AD8"/>
    <w:rsid w:val="00882D32"/>
    <w:rsid w:val="00883047"/>
    <w:rsid w:val="00883379"/>
    <w:rsid w:val="0088373D"/>
    <w:rsid w:val="0088378C"/>
    <w:rsid w:val="00883F8E"/>
    <w:rsid w:val="00885972"/>
    <w:rsid w:val="0088656B"/>
    <w:rsid w:val="008868CE"/>
    <w:rsid w:val="00886D47"/>
    <w:rsid w:val="00887616"/>
    <w:rsid w:val="008901EB"/>
    <w:rsid w:val="00890E59"/>
    <w:rsid w:val="00890F3B"/>
    <w:rsid w:val="00891468"/>
    <w:rsid w:val="00891640"/>
    <w:rsid w:val="00892128"/>
    <w:rsid w:val="00892496"/>
    <w:rsid w:val="00892DDB"/>
    <w:rsid w:val="00893125"/>
    <w:rsid w:val="00893392"/>
    <w:rsid w:val="00893945"/>
    <w:rsid w:val="008940B3"/>
    <w:rsid w:val="0089445E"/>
    <w:rsid w:val="0089480D"/>
    <w:rsid w:val="00894994"/>
    <w:rsid w:val="00895117"/>
    <w:rsid w:val="008952E5"/>
    <w:rsid w:val="00895BDA"/>
    <w:rsid w:val="00895F96"/>
    <w:rsid w:val="008963D7"/>
    <w:rsid w:val="00896503"/>
    <w:rsid w:val="00896976"/>
    <w:rsid w:val="008978EC"/>
    <w:rsid w:val="008A0075"/>
    <w:rsid w:val="008A01DC"/>
    <w:rsid w:val="008A099E"/>
    <w:rsid w:val="008A09B7"/>
    <w:rsid w:val="008A0A19"/>
    <w:rsid w:val="008A1788"/>
    <w:rsid w:val="008A2618"/>
    <w:rsid w:val="008A2E09"/>
    <w:rsid w:val="008A3389"/>
    <w:rsid w:val="008A347B"/>
    <w:rsid w:val="008A371C"/>
    <w:rsid w:val="008A3A73"/>
    <w:rsid w:val="008A3CE6"/>
    <w:rsid w:val="008A4070"/>
    <w:rsid w:val="008A5164"/>
    <w:rsid w:val="008A54D6"/>
    <w:rsid w:val="008A57DE"/>
    <w:rsid w:val="008A5906"/>
    <w:rsid w:val="008A5C76"/>
    <w:rsid w:val="008A6CE7"/>
    <w:rsid w:val="008A6E9A"/>
    <w:rsid w:val="008A6F87"/>
    <w:rsid w:val="008A7C31"/>
    <w:rsid w:val="008A7CDB"/>
    <w:rsid w:val="008A7E6B"/>
    <w:rsid w:val="008A7EEB"/>
    <w:rsid w:val="008B0077"/>
    <w:rsid w:val="008B02C6"/>
    <w:rsid w:val="008B0C23"/>
    <w:rsid w:val="008B172B"/>
    <w:rsid w:val="008B19D2"/>
    <w:rsid w:val="008B24D3"/>
    <w:rsid w:val="008B266B"/>
    <w:rsid w:val="008B3834"/>
    <w:rsid w:val="008B41B7"/>
    <w:rsid w:val="008B44DD"/>
    <w:rsid w:val="008B487E"/>
    <w:rsid w:val="008B4AA7"/>
    <w:rsid w:val="008B4DCC"/>
    <w:rsid w:val="008B51E9"/>
    <w:rsid w:val="008B5245"/>
    <w:rsid w:val="008B529F"/>
    <w:rsid w:val="008B5336"/>
    <w:rsid w:val="008B53C3"/>
    <w:rsid w:val="008B5A81"/>
    <w:rsid w:val="008B5B1F"/>
    <w:rsid w:val="008B6858"/>
    <w:rsid w:val="008B732C"/>
    <w:rsid w:val="008C0582"/>
    <w:rsid w:val="008C123A"/>
    <w:rsid w:val="008C192D"/>
    <w:rsid w:val="008C1E80"/>
    <w:rsid w:val="008C20E0"/>
    <w:rsid w:val="008C22C9"/>
    <w:rsid w:val="008C2648"/>
    <w:rsid w:val="008C34FF"/>
    <w:rsid w:val="008C35FD"/>
    <w:rsid w:val="008C407F"/>
    <w:rsid w:val="008C40BA"/>
    <w:rsid w:val="008C63FA"/>
    <w:rsid w:val="008C64DA"/>
    <w:rsid w:val="008C711C"/>
    <w:rsid w:val="008C74A1"/>
    <w:rsid w:val="008C7AA0"/>
    <w:rsid w:val="008C7BF5"/>
    <w:rsid w:val="008D0562"/>
    <w:rsid w:val="008D0A8B"/>
    <w:rsid w:val="008D0F44"/>
    <w:rsid w:val="008D113E"/>
    <w:rsid w:val="008D1244"/>
    <w:rsid w:val="008D13B2"/>
    <w:rsid w:val="008D1627"/>
    <w:rsid w:val="008D1959"/>
    <w:rsid w:val="008D24A3"/>
    <w:rsid w:val="008D2765"/>
    <w:rsid w:val="008D2846"/>
    <w:rsid w:val="008D2964"/>
    <w:rsid w:val="008D2DDD"/>
    <w:rsid w:val="008D33D4"/>
    <w:rsid w:val="008D397C"/>
    <w:rsid w:val="008D41F0"/>
    <w:rsid w:val="008D48E3"/>
    <w:rsid w:val="008D5A13"/>
    <w:rsid w:val="008D5D1A"/>
    <w:rsid w:val="008D668F"/>
    <w:rsid w:val="008D6705"/>
    <w:rsid w:val="008D67A1"/>
    <w:rsid w:val="008D7001"/>
    <w:rsid w:val="008D73C5"/>
    <w:rsid w:val="008D7879"/>
    <w:rsid w:val="008D7B78"/>
    <w:rsid w:val="008D7F96"/>
    <w:rsid w:val="008E0330"/>
    <w:rsid w:val="008E063F"/>
    <w:rsid w:val="008E06F1"/>
    <w:rsid w:val="008E0B6E"/>
    <w:rsid w:val="008E0E45"/>
    <w:rsid w:val="008E1264"/>
    <w:rsid w:val="008E126E"/>
    <w:rsid w:val="008E15EB"/>
    <w:rsid w:val="008E1D2E"/>
    <w:rsid w:val="008E2154"/>
    <w:rsid w:val="008E2D1D"/>
    <w:rsid w:val="008E342C"/>
    <w:rsid w:val="008E3601"/>
    <w:rsid w:val="008E3606"/>
    <w:rsid w:val="008E3920"/>
    <w:rsid w:val="008E3E67"/>
    <w:rsid w:val="008E52A5"/>
    <w:rsid w:val="008E5CA1"/>
    <w:rsid w:val="008E5D10"/>
    <w:rsid w:val="008E67D9"/>
    <w:rsid w:val="008E7064"/>
    <w:rsid w:val="008E7195"/>
    <w:rsid w:val="008F0019"/>
    <w:rsid w:val="008F09B4"/>
    <w:rsid w:val="008F0D82"/>
    <w:rsid w:val="008F0E38"/>
    <w:rsid w:val="008F0E9D"/>
    <w:rsid w:val="008F1664"/>
    <w:rsid w:val="008F17B0"/>
    <w:rsid w:val="008F1E74"/>
    <w:rsid w:val="008F1EE0"/>
    <w:rsid w:val="008F2422"/>
    <w:rsid w:val="008F313F"/>
    <w:rsid w:val="008F34EB"/>
    <w:rsid w:val="008F3E15"/>
    <w:rsid w:val="008F5B5F"/>
    <w:rsid w:val="008F5C26"/>
    <w:rsid w:val="008F609E"/>
    <w:rsid w:val="008F64FB"/>
    <w:rsid w:val="008F6C53"/>
    <w:rsid w:val="008F7302"/>
    <w:rsid w:val="008F738D"/>
    <w:rsid w:val="008F7529"/>
    <w:rsid w:val="008F7ADB"/>
    <w:rsid w:val="008F7DFD"/>
    <w:rsid w:val="008F7E97"/>
    <w:rsid w:val="00900596"/>
    <w:rsid w:val="00900A63"/>
    <w:rsid w:val="009012AF"/>
    <w:rsid w:val="00901601"/>
    <w:rsid w:val="00901C87"/>
    <w:rsid w:val="00902326"/>
    <w:rsid w:val="00903552"/>
    <w:rsid w:val="0090365A"/>
    <w:rsid w:val="00903C54"/>
    <w:rsid w:val="00903F41"/>
    <w:rsid w:val="0090400E"/>
    <w:rsid w:val="009044CD"/>
    <w:rsid w:val="00904785"/>
    <w:rsid w:val="00904832"/>
    <w:rsid w:val="00904A48"/>
    <w:rsid w:val="00905608"/>
    <w:rsid w:val="00905BA9"/>
    <w:rsid w:val="00905D61"/>
    <w:rsid w:val="0090621A"/>
    <w:rsid w:val="009063D4"/>
    <w:rsid w:val="00906766"/>
    <w:rsid w:val="00906E63"/>
    <w:rsid w:val="00907655"/>
    <w:rsid w:val="00907862"/>
    <w:rsid w:val="00907B84"/>
    <w:rsid w:val="00907D6A"/>
    <w:rsid w:val="00907E40"/>
    <w:rsid w:val="00910314"/>
    <w:rsid w:val="0091077A"/>
    <w:rsid w:val="00910B83"/>
    <w:rsid w:val="00910E04"/>
    <w:rsid w:val="00911832"/>
    <w:rsid w:val="009122CD"/>
    <w:rsid w:val="009123D8"/>
    <w:rsid w:val="00912672"/>
    <w:rsid w:val="00912941"/>
    <w:rsid w:val="00912C5F"/>
    <w:rsid w:val="00912CB0"/>
    <w:rsid w:val="00913210"/>
    <w:rsid w:val="009133E2"/>
    <w:rsid w:val="00913C49"/>
    <w:rsid w:val="00913DAB"/>
    <w:rsid w:val="00913F2C"/>
    <w:rsid w:val="00913FA5"/>
    <w:rsid w:val="009145DD"/>
    <w:rsid w:val="00914A87"/>
    <w:rsid w:val="00915202"/>
    <w:rsid w:val="0091522D"/>
    <w:rsid w:val="0091645A"/>
    <w:rsid w:val="00916D54"/>
    <w:rsid w:val="00917DEC"/>
    <w:rsid w:val="0092040D"/>
    <w:rsid w:val="0092128E"/>
    <w:rsid w:val="0092198E"/>
    <w:rsid w:val="009219EB"/>
    <w:rsid w:val="00922422"/>
    <w:rsid w:val="00922A24"/>
    <w:rsid w:val="00922A97"/>
    <w:rsid w:val="00922B5F"/>
    <w:rsid w:val="00922D09"/>
    <w:rsid w:val="00922FA2"/>
    <w:rsid w:val="00923570"/>
    <w:rsid w:val="009239DA"/>
    <w:rsid w:val="00924681"/>
    <w:rsid w:val="0092474E"/>
    <w:rsid w:val="00924848"/>
    <w:rsid w:val="00924E25"/>
    <w:rsid w:val="0092581C"/>
    <w:rsid w:val="00925F73"/>
    <w:rsid w:val="00926278"/>
    <w:rsid w:val="009263C8"/>
    <w:rsid w:val="0092674D"/>
    <w:rsid w:val="0092681C"/>
    <w:rsid w:val="00926FC4"/>
    <w:rsid w:val="009276C8"/>
    <w:rsid w:val="00927AD9"/>
    <w:rsid w:val="00927E6E"/>
    <w:rsid w:val="00930145"/>
    <w:rsid w:val="009304D8"/>
    <w:rsid w:val="0093078B"/>
    <w:rsid w:val="00930A09"/>
    <w:rsid w:val="0093133A"/>
    <w:rsid w:val="00931563"/>
    <w:rsid w:val="00931820"/>
    <w:rsid w:val="00931B34"/>
    <w:rsid w:val="00931BCD"/>
    <w:rsid w:val="00932064"/>
    <w:rsid w:val="009320DB"/>
    <w:rsid w:val="009320F0"/>
    <w:rsid w:val="009327E3"/>
    <w:rsid w:val="00932B15"/>
    <w:rsid w:val="0093317E"/>
    <w:rsid w:val="009336FE"/>
    <w:rsid w:val="00933A57"/>
    <w:rsid w:val="009345CD"/>
    <w:rsid w:val="00934E2B"/>
    <w:rsid w:val="009351DC"/>
    <w:rsid w:val="0093558D"/>
    <w:rsid w:val="009358A1"/>
    <w:rsid w:val="00936187"/>
    <w:rsid w:val="0093640E"/>
    <w:rsid w:val="0093682E"/>
    <w:rsid w:val="00936865"/>
    <w:rsid w:val="009369A5"/>
    <w:rsid w:val="00937172"/>
    <w:rsid w:val="009376E4"/>
    <w:rsid w:val="009377FC"/>
    <w:rsid w:val="00937BF2"/>
    <w:rsid w:val="00940A40"/>
    <w:rsid w:val="009412D2"/>
    <w:rsid w:val="009426A4"/>
    <w:rsid w:val="0094317C"/>
    <w:rsid w:val="009431CF"/>
    <w:rsid w:val="009438DD"/>
    <w:rsid w:val="00943B25"/>
    <w:rsid w:val="009440B0"/>
    <w:rsid w:val="009441B3"/>
    <w:rsid w:val="00944416"/>
    <w:rsid w:val="009447AE"/>
    <w:rsid w:val="00944C80"/>
    <w:rsid w:val="0094549A"/>
    <w:rsid w:val="00945531"/>
    <w:rsid w:val="009457A7"/>
    <w:rsid w:val="00945A0A"/>
    <w:rsid w:val="00946217"/>
    <w:rsid w:val="00946915"/>
    <w:rsid w:val="00946C67"/>
    <w:rsid w:val="0094735C"/>
    <w:rsid w:val="009476F4"/>
    <w:rsid w:val="0094778A"/>
    <w:rsid w:val="009506B0"/>
    <w:rsid w:val="0095162C"/>
    <w:rsid w:val="00951E99"/>
    <w:rsid w:val="00952037"/>
    <w:rsid w:val="009534A4"/>
    <w:rsid w:val="00953706"/>
    <w:rsid w:val="00953DFA"/>
    <w:rsid w:val="00953E4B"/>
    <w:rsid w:val="00954374"/>
    <w:rsid w:val="009556BB"/>
    <w:rsid w:val="00955E94"/>
    <w:rsid w:val="00956573"/>
    <w:rsid w:val="009566DF"/>
    <w:rsid w:val="00957516"/>
    <w:rsid w:val="009577C3"/>
    <w:rsid w:val="009579CB"/>
    <w:rsid w:val="00957F29"/>
    <w:rsid w:val="00957F90"/>
    <w:rsid w:val="00960E2F"/>
    <w:rsid w:val="00960ECB"/>
    <w:rsid w:val="00960F26"/>
    <w:rsid w:val="00961694"/>
    <w:rsid w:val="009617B2"/>
    <w:rsid w:val="00961981"/>
    <w:rsid w:val="00961B77"/>
    <w:rsid w:val="00961D4C"/>
    <w:rsid w:val="00961E4F"/>
    <w:rsid w:val="00961EDB"/>
    <w:rsid w:val="0096235C"/>
    <w:rsid w:val="009624FE"/>
    <w:rsid w:val="0096283F"/>
    <w:rsid w:val="0096293C"/>
    <w:rsid w:val="00962EF7"/>
    <w:rsid w:val="00962F84"/>
    <w:rsid w:val="009633CE"/>
    <w:rsid w:val="00963492"/>
    <w:rsid w:val="00963666"/>
    <w:rsid w:val="009636DA"/>
    <w:rsid w:val="00963B9B"/>
    <w:rsid w:val="00963E90"/>
    <w:rsid w:val="00963FC9"/>
    <w:rsid w:val="009641A0"/>
    <w:rsid w:val="00964743"/>
    <w:rsid w:val="0096477E"/>
    <w:rsid w:val="00964D12"/>
    <w:rsid w:val="00965590"/>
    <w:rsid w:val="009659B5"/>
    <w:rsid w:val="00966505"/>
    <w:rsid w:val="00966D5A"/>
    <w:rsid w:val="00966E00"/>
    <w:rsid w:val="00967456"/>
    <w:rsid w:val="00967589"/>
    <w:rsid w:val="009702AB"/>
    <w:rsid w:val="009704BC"/>
    <w:rsid w:val="009715C5"/>
    <w:rsid w:val="009715E7"/>
    <w:rsid w:val="0097161E"/>
    <w:rsid w:val="009716DB"/>
    <w:rsid w:val="00971E63"/>
    <w:rsid w:val="00972205"/>
    <w:rsid w:val="009727CC"/>
    <w:rsid w:val="00972DDA"/>
    <w:rsid w:val="009734A6"/>
    <w:rsid w:val="009741B1"/>
    <w:rsid w:val="00974D32"/>
    <w:rsid w:val="00976110"/>
    <w:rsid w:val="009762AE"/>
    <w:rsid w:val="009766B9"/>
    <w:rsid w:val="00976997"/>
    <w:rsid w:val="00976FEC"/>
    <w:rsid w:val="0097786A"/>
    <w:rsid w:val="00977E52"/>
    <w:rsid w:val="009812ED"/>
    <w:rsid w:val="00981360"/>
    <w:rsid w:val="00981717"/>
    <w:rsid w:val="00981DA8"/>
    <w:rsid w:val="0098274F"/>
    <w:rsid w:val="009827C6"/>
    <w:rsid w:val="00982F00"/>
    <w:rsid w:val="0098316F"/>
    <w:rsid w:val="0098392F"/>
    <w:rsid w:val="00983C08"/>
    <w:rsid w:val="00984224"/>
    <w:rsid w:val="00984B8A"/>
    <w:rsid w:val="00984E68"/>
    <w:rsid w:val="0098500D"/>
    <w:rsid w:val="0098543B"/>
    <w:rsid w:val="0098564E"/>
    <w:rsid w:val="009856AE"/>
    <w:rsid w:val="00985720"/>
    <w:rsid w:val="009858D5"/>
    <w:rsid w:val="00985BEE"/>
    <w:rsid w:val="00985D06"/>
    <w:rsid w:val="0098616C"/>
    <w:rsid w:val="00986655"/>
    <w:rsid w:val="0098674F"/>
    <w:rsid w:val="0098693E"/>
    <w:rsid w:val="009900AB"/>
    <w:rsid w:val="0099042E"/>
    <w:rsid w:val="00990451"/>
    <w:rsid w:val="00991267"/>
    <w:rsid w:val="00991F9A"/>
    <w:rsid w:val="00992592"/>
    <w:rsid w:val="00992988"/>
    <w:rsid w:val="0099299E"/>
    <w:rsid w:val="00993607"/>
    <w:rsid w:val="009938C1"/>
    <w:rsid w:val="0099395B"/>
    <w:rsid w:val="00993A21"/>
    <w:rsid w:val="00993B49"/>
    <w:rsid w:val="00993EB7"/>
    <w:rsid w:val="00993F54"/>
    <w:rsid w:val="009946E1"/>
    <w:rsid w:val="00994EDF"/>
    <w:rsid w:val="0099546D"/>
    <w:rsid w:val="00995818"/>
    <w:rsid w:val="0099664C"/>
    <w:rsid w:val="00996974"/>
    <w:rsid w:val="00996DFC"/>
    <w:rsid w:val="00997AC5"/>
    <w:rsid w:val="00997CB1"/>
    <w:rsid w:val="009A1036"/>
    <w:rsid w:val="009A14A5"/>
    <w:rsid w:val="009A15C6"/>
    <w:rsid w:val="009A22D9"/>
    <w:rsid w:val="009A2D80"/>
    <w:rsid w:val="009A3080"/>
    <w:rsid w:val="009A329F"/>
    <w:rsid w:val="009A3679"/>
    <w:rsid w:val="009A43C3"/>
    <w:rsid w:val="009A47B1"/>
    <w:rsid w:val="009A4A8C"/>
    <w:rsid w:val="009A4C18"/>
    <w:rsid w:val="009A5349"/>
    <w:rsid w:val="009A63F9"/>
    <w:rsid w:val="009A716E"/>
    <w:rsid w:val="009A72D9"/>
    <w:rsid w:val="009A7A5F"/>
    <w:rsid w:val="009A7BAC"/>
    <w:rsid w:val="009A7CB0"/>
    <w:rsid w:val="009B0200"/>
    <w:rsid w:val="009B07C4"/>
    <w:rsid w:val="009B097D"/>
    <w:rsid w:val="009B10D2"/>
    <w:rsid w:val="009B156D"/>
    <w:rsid w:val="009B1DFD"/>
    <w:rsid w:val="009B1F7E"/>
    <w:rsid w:val="009B25F5"/>
    <w:rsid w:val="009B3054"/>
    <w:rsid w:val="009B388E"/>
    <w:rsid w:val="009B44FF"/>
    <w:rsid w:val="009B5305"/>
    <w:rsid w:val="009B5407"/>
    <w:rsid w:val="009B5EDF"/>
    <w:rsid w:val="009B619F"/>
    <w:rsid w:val="009B7109"/>
    <w:rsid w:val="009C0475"/>
    <w:rsid w:val="009C10C0"/>
    <w:rsid w:val="009C1AD5"/>
    <w:rsid w:val="009C1ECB"/>
    <w:rsid w:val="009C212B"/>
    <w:rsid w:val="009C2898"/>
    <w:rsid w:val="009C2CF9"/>
    <w:rsid w:val="009C31F7"/>
    <w:rsid w:val="009C47A3"/>
    <w:rsid w:val="009C4EE6"/>
    <w:rsid w:val="009C50A0"/>
    <w:rsid w:val="009C5160"/>
    <w:rsid w:val="009C51F3"/>
    <w:rsid w:val="009C5759"/>
    <w:rsid w:val="009C592F"/>
    <w:rsid w:val="009C5FFF"/>
    <w:rsid w:val="009C6985"/>
    <w:rsid w:val="009C69D0"/>
    <w:rsid w:val="009C6B39"/>
    <w:rsid w:val="009C7BCE"/>
    <w:rsid w:val="009C7E0F"/>
    <w:rsid w:val="009D02E8"/>
    <w:rsid w:val="009D0FE7"/>
    <w:rsid w:val="009D16AF"/>
    <w:rsid w:val="009D1C3D"/>
    <w:rsid w:val="009D21DA"/>
    <w:rsid w:val="009D225A"/>
    <w:rsid w:val="009D2EFC"/>
    <w:rsid w:val="009D36D3"/>
    <w:rsid w:val="009D395E"/>
    <w:rsid w:val="009D5423"/>
    <w:rsid w:val="009D556B"/>
    <w:rsid w:val="009D5F25"/>
    <w:rsid w:val="009D60DD"/>
    <w:rsid w:val="009D702E"/>
    <w:rsid w:val="009D7304"/>
    <w:rsid w:val="009D750E"/>
    <w:rsid w:val="009D7B22"/>
    <w:rsid w:val="009D7D1D"/>
    <w:rsid w:val="009D7F5E"/>
    <w:rsid w:val="009E0089"/>
    <w:rsid w:val="009E00D3"/>
    <w:rsid w:val="009E03AF"/>
    <w:rsid w:val="009E08FB"/>
    <w:rsid w:val="009E103F"/>
    <w:rsid w:val="009E121B"/>
    <w:rsid w:val="009E1306"/>
    <w:rsid w:val="009E1662"/>
    <w:rsid w:val="009E2993"/>
    <w:rsid w:val="009E2C57"/>
    <w:rsid w:val="009E2E9D"/>
    <w:rsid w:val="009E3ABB"/>
    <w:rsid w:val="009E47B8"/>
    <w:rsid w:val="009E5631"/>
    <w:rsid w:val="009E588C"/>
    <w:rsid w:val="009E59C6"/>
    <w:rsid w:val="009E5D7F"/>
    <w:rsid w:val="009E5DEC"/>
    <w:rsid w:val="009F07D5"/>
    <w:rsid w:val="009F0878"/>
    <w:rsid w:val="009F0B89"/>
    <w:rsid w:val="009F0FCE"/>
    <w:rsid w:val="009F184D"/>
    <w:rsid w:val="009F1989"/>
    <w:rsid w:val="009F2E6E"/>
    <w:rsid w:val="009F3EE3"/>
    <w:rsid w:val="009F4E3C"/>
    <w:rsid w:val="009F52F4"/>
    <w:rsid w:val="009F5785"/>
    <w:rsid w:val="009F5924"/>
    <w:rsid w:val="009F5E18"/>
    <w:rsid w:val="009F5FFB"/>
    <w:rsid w:val="009F676F"/>
    <w:rsid w:val="009F75CA"/>
    <w:rsid w:val="009F7ABB"/>
    <w:rsid w:val="00A011CB"/>
    <w:rsid w:val="00A013EB"/>
    <w:rsid w:val="00A017B2"/>
    <w:rsid w:val="00A0248D"/>
    <w:rsid w:val="00A03260"/>
    <w:rsid w:val="00A03559"/>
    <w:rsid w:val="00A03B9A"/>
    <w:rsid w:val="00A041FF"/>
    <w:rsid w:val="00A04227"/>
    <w:rsid w:val="00A0468A"/>
    <w:rsid w:val="00A048F9"/>
    <w:rsid w:val="00A04C15"/>
    <w:rsid w:val="00A04E7E"/>
    <w:rsid w:val="00A05900"/>
    <w:rsid w:val="00A05A1D"/>
    <w:rsid w:val="00A06578"/>
    <w:rsid w:val="00A06A14"/>
    <w:rsid w:val="00A06BD0"/>
    <w:rsid w:val="00A06E46"/>
    <w:rsid w:val="00A06EAE"/>
    <w:rsid w:val="00A072A5"/>
    <w:rsid w:val="00A075FB"/>
    <w:rsid w:val="00A07925"/>
    <w:rsid w:val="00A07F2F"/>
    <w:rsid w:val="00A10C7F"/>
    <w:rsid w:val="00A11241"/>
    <w:rsid w:val="00A11349"/>
    <w:rsid w:val="00A11B24"/>
    <w:rsid w:val="00A11CBF"/>
    <w:rsid w:val="00A11F79"/>
    <w:rsid w:val="00A11FED"/>
    <w:rsid w:val="00A121E0"/>
    <w:rsid w:val="00A125C5"/>
    <w:rsid w:val="00A12CD2"/>
    <w:rsid w:val="00A135E3"/>
    <w:rsid w:val="00A13B31"/>
    <w:rsid w:val="00A13C09"/>
    <w:rsid w:val="00A1442F"/>
    <w:rsid w:val="00A14E96"/>
    <w:rsid w:val="00A15225"/>
    <w:rsid w:val="00A1553F"/>
    <w:rsid w:val="00A15BA0"/>
    <w:rsid w:val="00A15D7B"/>
    <w:rsid w:val="00A1621E"/>
    <w:rsid w:val="00A1630C"/>
    <w:rsid w:val="00A172F9"/>
    <w:rsid w:val="00A17BBB"/>
    <w:rsid w:val="00A17C85"/>
    <w:rsid w:val="00A20444"/>
    <w:rsid w:val="00A2044F"/>
    <w:rsid w:val="00A207ED"/>
    <w:rsid w:val="00A20C08"/>
    <w:rsid w:val="00A20E5E"/>
    <w:rsid w:val="00A212A7"/>
    <w:rsid w:val="00A213A9"/>
    <w:rsid w:val="00A2195A"/>
    <w:rsid w:val="00A21E24"/>
    <w:rsid w:val="00A23025"/>
    <w:rsid w:val="00A2306A"/>
    <w:rsid w:val="00A2358A"/>
    <w:rsid w:val="00A23773"/>
    <w:rsid w:val="00A251D8"/>
    <w:rsid w:val="00A251F4"/>
    <w:rsid w:val="00A263A8"/>
    <w:rsid w:val="00A271D2"/>
    <w:rsid w:val="00A275AF"/>
    <w:rsid w:val="00A27D03"/>
    <w:rsid w:val="00A30227"/>
    <w:rsid w:val="00A302F3"/>
    <w:rsid w:val="00A3036E"/>
    <w:rsid w:val="00A3083B"/>
    <w:rsid w:val="00A30B93"/>
    <w:rsid w:val="00A31079"/>
    <w:rsid w:val="00A3145E"/>
    <w:rsid w:val="00A31468"/>
    <w:rsid w:val="00A31BC6"/>
    <w:rsid w:val="00A32887"/>
    <w:rsid w:val="00A32E10"/>
    <w:rsid w:val="00A335A6"/>
    <w:rsid w:val="00A339F1"/>
    <w:rsid w:val="00A341EA"/>
    <w:rsid w:val="00A34851"/>
    <w:rsid w:val="00A349F7"/>
    <w:rsid w:val="00A34D2D"/>
    <w:rsid w:val="00A34E65"/>
    <w:rsid w:val="00A35022"/>
    <w:rsid w:val="00A3527D"/>
    <w:rsid w:val="00A3600D"/>
    <w:rsid w:val="00A36DD7"/>
    <w:rsid w:val="00A375A5"/>
    <w:rsid w:val="00A37C61"/>
    <w:rsid w:val="00A37F91"/>
    <w:rsid w:val="00A4006A"/>
    <w:rsid w:val="00A402FB"/>
    <w:rsid w:val="00A4096D"/>
    <w:rsid w:val="00A40D09"/>
    <w:rsid w:val="00A41569"/>
    <w:rsid w:val="00A41AC8"/>
    <w:rsid w:val="00A41B88"/>
    <w:rsid w:val="00A41BC8"/>
    <w:rsid w:val="00A41BF9"/>
    <w:rsid w:val="00A41F03"/>
    <w:rsid w:val="00A42175"/>
    <w:rsid w:val="00A428A5"/>
    <w:rsid w:val="00A438B2"/>
    <w:rsid w:val="00A449FC"/>
    <w:rsid w:val="00A44EFE"/>
    <w:rsid w:val="00A45FEE"/>
    <w:rsid w:val="00A46E06"/>
    <w:rsid w:val="00A46FB2"/>
    <w:rsid w:val="00A47996"/>
    <w:rsid w:val="00A479FD"/>
    <w:rsid w:val="00A50250"/>
    <w:rsid w:val="00A50BC3"/>
    <w:rsid w:val="00A50CD8"/>
    <w:rsid w:val="00A50D78"/>
    <w:rsid w:val="00A51334"/>
    <w:rsid w:val="00A51448"/>
    <w:rsid w:val="00A51932"/>
    <w:rsid w:val="00A5220F"/>
    <w:rsid w:val="00A52CD2"/>
    <w:rsid w:val="00A5300D"/>
    <w:rsid w:val="00A5361B"/>
    <w:rsid w:val="00A53641"/>
    <w:rsid w:val="00A53796"/>
    <w:rsid w:val="00A53F91"/>
    <w:rsid w:val="00A54266"/>
    <w:rsid w:val="00A54656"/>
    <w:rsid w:val="00A54BAC"/>
    <w:rsid w:val="00A558CF"/>
    <w:rsid w:val="00A55D3D"/>
    <w:rsid w:val="00A5774E"/>
    <w:rsid w:val="00A5791F"/>
    <w:rsid w:val="00A60B40"/>
    <w:rsid w:val="00A60CB2"/>
    <w:rsid w:val="00A60EB6"/>
    <w:rsid w:val="00A61614"/>
    <w:rsid w:val="00A61913"/>
    <w:rsid w:val="00A61DC2"/>
    <w:rsid w:val="00A62884"/>
    <w:rsid w:val="00A62F04"/>
    <w:rsid w:val="00A62FFA"/>
    <w:rsid w:val="00A63E8A"/>
    <w:rsid w:val="00A63EE8"/>
    <w:rsid w:val="00A64525"/>
    <w:rsid w:val="00A64ECC"/>
    <w:rsid w:val="00A651E0"/>
    <w:rsid w:val="00A65A95"/>
    <w:rsid w:val="00A65FC8"/>
    <w:rsid w:val="00A66B37"/>
    <w:rsid w:val="00A66D30"/>
    <w:rsid w:val="00A66E95"/>
    <w:rsid w:val="00A66FDF"/>
    <w:rsid w:val="00A67C5F"/>
    <w:rsid w:val="00A67C97"/>
    <w:rsid w:val="00A70249"/>
    <w:rsid w:val="00A7069C"/>
    <w:rsid w:val="00A70871"/>
    <w:rsid w:val="00A70EDC"/>
    <w:rsid w:val="00A7102F"/>
    <w:rsid w:val="00A714A5"/>
    <w:rsid w:val="00A71739"/>
    <w:rsid w:val="00A71B5C"/>
    <w:rsid w:val="00A71D3A"/>
    <w:rsid w:val="00A72529"/>
    <w:rsid w:val="00A727BC"/>
    <w:rsid w:val="00A72EB0"/>
    <w:rsid w:val="00A7355E"/>
    <w:rsid w:val="00A73F86"/>
    <w:rsid w:val="00A74101"/>
    <w:rsid w:val="00A74294"/>
    <w:rsid w:val="00A747DD"/>
    <w:rsid w:val="00A74BFF"/>
    <w:rsid w:val="00A75555"/>
    <w:rsid w:val="00A7555C"/>
    <w:rsid w:val="00A7672F"/>
    <w:rsid w:val="00A769D2"/>
    <w:rsid w:val="00A76F6A"/>
    <w:rsid w:val="00A77434"/>
    <w:rsid w:val="00A775E3"/>
    <w:rsid w:val="00A77CFC"/>
    <w:rsid w:val="00A80A94"/>
    <w:rsid w:val="00A80B53"/>
    <w:rsid w:val="00A80ED1"/>
    <w:rsid w:val="00A8157A"/>
    <w:rsid w:val="00A81813"/>
    <w:rsid w:val="00A824B9"/>
    <w:rsid w:val="00A8268B"/>
    <w:rsid w:val="00A82866"/>
    <w:rsid w:val="00A833C2"/>
    <w:rsid w:val="00A8363F"/>
    <w:rsid w:val="00A84F05"/>
    <w:rsid w:val="00A8553D"/>
    <w:rsid w:val="00A85A7C"/>
    <w:rsid w:val="00A85B5D"/>
    <w:rsid w:val="00A872B3"/>
    <w:rsid w:val="00A873A2"/>
    <w:rsid w:val="00A90090"/>
    <w:rsid w:val="00A90678"/>
    <w:rsid w:val="00A90724"/>
    <w:rsid w:val="00A90858"/>
    <w:rsid w:val="00A9093D"/>
    <w:rsid w:val="00A90957"/>
    <w:rsid w:val="00A91197"/>
    <w:rsid w:val="00A91475"/>
    <w:rsid w:val="00A91510"/>
    <w:rsid w:val="00A9171F"/>
    <w:rsid w:val="00A92E30"/>
    <w:rsid w:val="00A92EED"/>
    <w:rsid w:val="00A9368C"/>
    <w:rsid w:val="00A93929"/>
    <w:rsid w:val="00A93CFA"/>
    <w:rsid w:val="00A93D30"/>
    <w:rsid w:val="00A94098"/>
    <w:rsid w:val="00A94B0C"/>
    <w:rsid w:val="00A94FEB"/>
    <w:rsid w:val="00A952B0"/>
    <w:rsid w:val="00A9588F"/>
    <w:rsid w:val="00A958A6"/>
    <w:rsid w:val="00A96584"/>
    <w:rsid w:val="00A968FE"/>
    <w:rsid w:val="00A96C79"/>
    <w:rsid w:val="00A96FD9"/>
    <w:rsid w:val="00A97400"/>
    <w:rsid w:val="00A97EBF"/>
    <w:rsid w:val="00AA00C7"/>
    <w:rsid w:val="00AA06A5"/>
    <w:rsid w:val="00AA0980"/>
    <w:rsid w:val="00AA0B17"/>
    <w:rsid w:val="00AA109C"/>
    <w:rsid w:val="00AA1661"/>
    <w:rsid w:val="00AA176F"/>
    <w:rsid w:val="00AA178C"/>
    <w:rsid w:val="00AA17F5"/>
    <w:rsid w:val="00AA3F9E"/>
    <w:rsid w:val="00AA68D4"/>
    <w:rsid w:val="00AA6987"/>
    <w:rsid w:val="00AA6AB3"/>
    <w:rsid w:val="00AA6C36"/>
    <w:rsid w:val="00AA7267"/>
    <w:rsid w:val="00AA72FC"/>
    <w:rsid w:val="00AB01D0"/>
    <w:rsid w:val="00AB092A"/>
    <w:rsid w:val="00AB0C75"/>
    <w:rsid w:val="00AB12BD"/>
    <w:rsid w:val="00AB210A"/>
    <w:rsid w:val="00AB2B4F"/>
    <w:rsid w:val="00AB2D22"/>
    <w:rsid w:val="00AB4D21"/>
    <w:rsid w:val="00AB5363"/>
    <w:rsid w:val="00AB5AFF"/>
    <w:rsid w:val="00AB5D0F"/>
    <w:rsid w:val="00AB5D54"/>
    <w:rsid w:val="00AB6610"/>
    <w:rsid w:val="00AB6828"/>
    <w:rsid w:val="00AB6D96"/>
    <w:rsid w:val="00AB6E52"/>
    <w:rsid w:val="00AB7E08"/>
    <w:rsid w:val="00AB7EE4"/>
    <w:rsid w:val="00AC0804"/>
    <w:rsid w:val="00AC0CB0"/>
    <w:rsid w:val="00AC1373"/>
    <w:rsid w:val="00AC1416"/>
    <w:rsid w:val="00AC1656"/>
    <w:rsid w:val="00AC277D"/>
    <w:rsid w:val="00AC2930"/>
    <w:rsid w:val="00AC2E60"/>
    <w:rsid w:val="00AC39E3"/>
    <w:rsid w:val="00AC3F74"/>
    <w:rsid w:val="00AC44A8"/>
    <w:rsid w:val="00AC47E7"/>
    <w:rsid w:val="00AC4C49"/>
    <w:rsid w:val="00AC5873"/>
    <w:rsid w:val="00AC5B72"/>
    <w:rsid w:val="00AC5DE9"/>
    <w:rsid w:val="00AC604C"/>
    <w:rsid w:val="00AC655A"/>
    <w:rsid w:val="00AC6F24"/>
    <w:rsid w:val="00AC74A4"/>
    <w:rsid w:val="00AC74BC"/>
    <w:rsid w:val="00AC7EDB"/>
    <w:rsid w:val="00AD186E"/>
    <w:rsid w:val="00AD1EC2"/>
    <w:rsid w:val="00AD2559"/>
    <w:rsid w:val="00AD2FA5"/>
    <w:rsid w:val="00AD3894"/>
    <w:rsid w:val="00AD3E28"/>
    <w:rsid w:val="00AD5848"/>
    <w:rsid w:val="00AD6074"/>
    <w:rsid w:val="00AD649F"/>
    <w:rsid w:val="00AD6725"/>
    <w:rsid w:val="00AD6F01"/>
    <w:rsid w:val="00AD7076"/>
    <w:rsid w:val="00AD78C6"/>
    <w:rsid w:val="00AD7ACE"/>
    <w:rsid w:val="00AD7ECF"/>
    <w:rsid w:val="00AE0375"/>
    <w:rsid w:val="00AE15D7"/>
    <w:rsid w:val="00AE1911"/>
    <w:rsid w:val="00AE1E06"/>
    <w:rsid w:val="00AE21B7"/>
    <w:rsid w:val="00AE29E3"/>
    <w:rsid w:val="00AE2C83"/>
    <w:rsid w:val="00AE4441"/>
    <w:rsid w:val="00AE4E65"/>
    <w:rsid w:val="00AE53F5"/>
    <w:rsid w:val="00AE569F"/>
    <w:rsid w:val="00AE63CE"/>
    <w:rsid w:val="00AE63F3"/>
    <w:rsid w:val="00AE6BD6"/>
    <w:rsid w:val="00AE7EA1"/>
    <w:rsid w:val="00AF024B"/>
    <w:rsid w:val="00AF063E"/>
    <w:rsid w:val="00AF0D02"/>
    <w:rsid w:val="00AF1A87"/>
    <w:rsid w:val="00AF1FE5"/>
    <w:rsid w:val="00AF20A0"/>
    <w:rsid w:val="00AF2EC9"/>
    <w:rsid w:val="00AF3955"/>
    <w:rsid w:val="00AF39E3"/>
    <w:rsid w:val="00AF43A9"/>
    <w:rsid w:val="00AF57FD"/>
    <w:rsid w:val="00AF5B0F"/>
    <w:rsid w:val="00AF6089"/>
    <w:rsid w:val="00AF6CE4"/>
    <w:rsid w:val="00AF6E54"/>
    <w:rsid w:val="00B005BD"/>
    <w:rsid w:val="00B00A16"/>
    <w:rsid w:val="00B00CB7"/>
    <w:rsid w:val="00B00D61"/>
    <w:rsid w:val="00B00F44"/>
    <w:rsid w:val="00B00F84"/>
    <w:rsid w:val="00B029DB"/>
    <w:rsid w:val="00B02AE9"/>
    <w:rsid w:val="00B02BCC"/>
    <w:rsid w:val="00B02F7B"/>
    <w:rsid w:val="00B0476F"/>
    <w:rsid w:val="00B049EA"/>
    <w:rsid w:val="00B04D1C"/>
    <w:rsid w:val="00B04EC5"/>
    <w:rsid w:val="00B04F29"/>
    <w:rsid w:val="00B05590"/>
    <w:rsid w:val="00B057C8"/>
    <w:rsid w:val="00B05B5C"/>
    <w:rsid w:val="00B062FF"/>
    <w:rsid w:val="00B07143"/>
    <w:rsid w:val="00B07D20"/>
    <w:rsid w:val="00B07E1A"/>
    <w:rsid w:val="00B07E82"/>
    <w:rsid w:val="00B105F1"/>
    <w:rsid w:val="00B10E23"/>
    <w:rsid w:val="00B11C91"/>
    <w:rsid w:val="00B12278"/>
    <w:rsid w:val="00B1283A"/>
    <w:rsid w:val="00B1355D"/>
    <w:rsid w:val="00B142CB"/>
    <w:rsid w:val="00B14628"/>
    <w:rsid w:val="00B15594"/>
    <w:rsid w:val="00B15653"/>
    <w:rsid w:val="00B156F1"/>
    <w:rsid w:val="00B15FFB"/>
    <w:rsid w:val="00B1600D"/>
    <w:rsid w:val="00B165F7"/>
    <w:rsid w:val="00B16AD7"/>
    <w:rsid w:val="00B17D2E"/>
    <w:rsid w:val="00B20337"/>
    <w:rsid w:val="00B20B3C"/>
    <w:rsid w:val="00B20C58"/>
    <w:rsid w:val="00B20D79"/>
    <w:rsid w:val="00B224E2"/>
    <w:rsid w:val="00B22746"/>
    <w:rsid w:val="00B22E21"/>
    <w:rsid w:val="00B2317B"/>
    <w:rsid w:val="00B23703"/>
    <w:rsid w:val="00B23755"/>
    <w:rsid w:val="00B23ACB"/>
    <w:rsid w:val="00B23C3D"/>
    <w:rsid w:val="00B23EF1"/>
    <w:rsid w:val="00B2412C"/>
    <w:rsid w:val="00B24155"/>
    <w:rsid w:val="00B241AF"/>
    <w:rsid w:val="00B2488C"/>
    <w:rsid w:val="00B25352"/>
    <w:rsid w:val="00B25477"/>
    <w:rsid w:val="00B255E3"/>
    <w:rsid w:val="00B2587F"/>
    <w:rsid w:val="00B25913"/>
    <w:rsid w:val="00B26200"/>
    <w:rsid w:val="00B264E4"/>
    <w:rsid w:val="00B26884"/>
    <w:rsid w:val="00B26CBE"/>
    <w:rsid w:val="00B27282"/>
    <w:rsid w:val="00B27A06"/>
    <w:rsid w:val="00B27CAC"/>
    <w:rsid w:val="00B27DE9"/>
    <w:rsid w:val="00B30745"/>
    <w:rsid w:val="00B30901"/>
    <w:rsid w:val="00B3098D"/>
    <w:rsid w:val="00B3110C"/>
    <w:rsid w:val="00B3178D"/>
    <w:rsid w:val="00B31D0B"/>
    <w:rsid w:val="00B326F5"/>
    <w:rsid w:val="00B32CF5"/>
    <w:rsid w:val="00B32D64"/>
    <w:rsid w:val="00B32D9B"/>
    <w:rsid w:val="00B337D7"/>
    <w:rsid w:val="00B3381E"/>
    <w:rsid w:val="00B33B0E"/>
    <w:rsid w:val="00B34203"/>
    <w:rsid w:val="00B344DA"/>
    <w:rsid w:val="00B34A9F"/>
    <w:rsid w:val="00B34E3B"/>
    <w:rsid w:val="00B3551A"/>
    <w:rsid w:val="00B3591B"/>
    <w:rsid w:val="00B35945"/>
    <w:rsid w:val="00B35CF3"/>
    <w:rsid w:val="00B368C1"/>
    <w:rsid w:val="00B36E8A"/>
    <w:rsid w:val="00B375A5"/>
    <w:rsid w:val="00B376C4"/>
    <w:rsid w:val="00B379F6"/>
    <w:rsid w:val="00B37E51"/>
    <w:rsid w:val="00B4035F"/>
    <w:rsid w:val="00B410AA"/>
    <w:rsid w:val="00B4118A"/>
    <w:rsid w:val="00B412CB"/>
    <w:rsid w:val="00B4163F"/>
    <w:rsid w:val="00B41938"/>
    <w:rsid w:val="00B41C34"/>
    <w:rsid w:val="00B41C9B"/>
    <w:rsid w:val="00B41EA1"/>
    <w:rsid w:val="00B4204D"/>
    <w:rsid w:val="00B425DD"/>
    <w:rsid w:val="00B42661"/>
    <w:rsid w:val="00B428AE"/>
    <w:rsid w:val="00B44175"/>
    <w:rsid w:val="00B44FF9"/>
    <w:rsid w:val="00B45652"/>
    <w:rsid w:val="00B460D0"/>
    <w:rsid w:val="00B46F49"/>
    <w:rsid w:val="00B47240"/>
    <w:rsid w:val="00B47B11"/>
    <w:rsid w:val="00B47D37"/>
    <w:rsid w:val="00B50296"/>
    <w:rsid w:val="00B50889"/>
    <w:rsid w:val="00B508C6"/>
    <w:rsid w:val="00B50A62"/>
    <w:rsid w:val="00B515A8"/>
    <w:rsid w:val="00B51674"/>
    <w:rsid w:val="00B51F79"/>
    <w:rsid w:val="00B52386"/>
    <w:rsid w:val="00B523F4"/>
    <w:rsid w:val="00B52881"/>
    <w:rsid w:val="00B52917"/>
    <w:rsid w:val="00B52FF6"/>
    <w:rsid w:val="00B532C2"/>
    <w:rsid w:val="00B53BBD"/>
    <w:rsid w:val="00B53CB3"/>
    <w:rsid w:val="00B53D91"/>
    <w:rsid w:val="00B5405B"/>
    <w:rsid w:val="00B54366"/>
    <w:rsid w:val="00B54664"/>
    <w:rsid w:val="00B54CE0"/>
    <w:rsid w:val="00B5513C"/>
    <w:rsid w:val="00B55682"/>
    <w:rsid w:val="00B558B9"/>
    <w:rsid w:val="00B55A3C"/>
    <w:rsid w:val="00B55DCD"/>
    <w:rsid w:val="00B55E1A"/>
    <w:rsid w:val="00B55E5A"/>
    <w:rsid w:val="00B565E0"/>
    <w:rsid w:val="00B56E02"/>
    <w:rsid w:val="00B56F91"/>
    <w:rsid w:val="00B571C5"/>
    <w:rsid w:val="00B601D6"/>
    <w:rsid w:val="00B60D8B"/>
    <w:rsid w:val="00B616B9"/>
    <w:rsid w:val="00B617E6"/>
    <w:rsid w:val="00B628DA"/>
    <w:rsid w:val="00B63C91"/>
    <w:rsid w:val="00B643AA"/>
    <w:rsid w:val="00B64594"/>
    <w:rsid w:val="00B64C37"/>
    <w:rsid w:val="00B64F2B"/>
    <w:rsid w:val="00B653DC"/>
    <w:rsid w:val="00B659B7"/>
    <w:rsid w:val="00B66150"/>
    <w:rsid w:val="00B66276"/>
    <w:rsid w:val="00B66E23"/>
    <w:rsid w:val="00B67066"/>
    <w:rsid w:val="00B67293"/>
    <w:rsid w:val="00B67C0F"/>
    <w:rsid w:val="00B67C2F"/>
    <w:rsid w:val="00B701B8"/>
    <w:rsid w:val="00B7068F"/>
    <w:rsid w:val="00B70798"/>
    <w:rsid w:val="00B716C2"/>
    <w:rsid w:val="00B71853"/>
    <w:rsid w:val="00B71B77"/>
    <w:rsid w:val="00B72309"/>
    <w:rsid w:val="00B72728"/>
    <w:rsid w:val="00B72C53"/>
    <w:rsid w:val="00B72DEC"/>
    <w:rsid w:val="00B72E92"/>
    <w:rsid w:val="00B73124"/>
    <w:rsid w:val="00B7315D"/>
    <w:rsid w:val="00B7377E"/>
    <w:rsid w:val="00B74350"/>
    <w:rsid w:val="00B747E2"/>
    <w:rsid w:val="00B74A39"/>
    <w:rsid w:val="00B74A3A"/>
    <w:rsid w:val="00B74D05"/>
    <w:rsid w:val="00B7541C"/>
    <w:rsid w:val="00B75EF4"/>
    <w:rsid w:val="00B75F0E"/>
    <w:rsid w:val="00B76367"/>
    <w:rsid w:val="00B772F1"/>
    <w:rsid w:val="00B77486"/>
    <w:rsid w:val="00B7777F"/>
    <w:rsid w:val="00B779C2"/>
    <w:rsid w:val="00B77D25"/>
    <w:rsid w:val="00B8009B"/>
    <w:rsid w:val="00B813C7"/>
    <w:rsid w:val="00B817C9"/>
    <w:rsid w:val="00B8199E"/>
    <w:rsid w:val="00B81AC2"/>
    <w:rsid w:val="00B81D5B"/>
    <w:rsid w:val="00B8232F"/>
    <w:rsid w:val="00B8238F"/>
    <w:rsid w:val="00B825CF"/>
    <w:rsid w:val="00B83CED"/>
    <w:rsid w:val="00B841B7"/>
    <w:rsid w:val="00B84207"/>
    <w:rsid w:val="00B846D0"/>
    <w:rsid w:val="00B849A6"/>
    <w:rsid w:val="00B84E41"/>
    <w:rsid w:val="00B85375"/>
    <w:rsid w:val="00B856C9"/>
    <w:rsid w:val="00B8571A"/>
    <w:rsid w:val="00B85B84"/>
    <w:rsid w:val="00B861D0"/>
    <w:rsid w:val="00B86AE7"/>
    <w:rsid w:val="00B86E3C"/>
    <w:rsid w:val="00B86E9D"/>
    <w:rsid w:val="00B8790E"/>
    <w:rsid w:val="00B87E49"/>
    <w:rsid w:val="00B90655"/>
    <w:rsid w:val="00B906D5"/>
    <w:rsid w:val="00B91675"/>
    <w:rsid w:val="00B916B2"/>
    <w:rsid w:val="00B91771"/>
    <w:rsid w:val="00B91E31"/>
    <w:rsid w:val="00B92259"/>
    <w:rsid w:val="00B9249B"/>
    <w:rsid w:val="00B9292D"/>
    <w:rsid w:val="00B929B8"/>
    <w:rsid w:val="00B93782"/>
    <w:rsid w:val="00B93AB5"/>
    <w:rsid w:val="00B94133"/>
    <w:rsid w:val="00B947CD"/>
    <w:rsid w:val="00B94F3D"/>
    <w:rsid w:val="00B95871"/>
    <w:rsid w:val="00B9589C"/>
    <w:rsid w:val="00B9592E"/>
    <w:rsid w:val="00B96100"/>
    <w:rsid w:val="00B96200"/>
    <w:rsid w:val="00B96E4C"/>
    <w:rsid w:val="00B97146"/>
    <w:rsid w:val="00B971C8"/>
    <w:rsid w:val="00B97CFF"/>
    <w:rsid w:val="00BA0300"/>
    <w:rsid w:val="00BA170D"/>
    <w:rsid w:val="00BA1CF7"/>
    <w:rsid w:val="00BA2322"/>
    <w:rsid w:val="00BA2ABF"/>
    <w:rsid w:val="00BA33E1"/>
    <w:rsid w:val="00BA3495"/>
    <w:rsid w:val="00BA3A08"/>
    <w:rsid w:val="00BA403C"/>
    <w:rsid w:val="00BA4512"/>
    <w:rsid w:val="00BA4ACE"/>
    <w:rsid w:val="00BA4DDD"/>
    <w:rsid w:val="00BA584B"/>
    <w:rsid w:val="00BA5DB5"/>
    <w:rsid w:val="00BA605D"/>
    <w:rsid w:val="00BA6851"/>
    <w:rsid w:val="00BA6887"/>
    <w:rsid w:val="00BA6CCB"/>
    <w:rsid w:val="00BA6F3B"/>
    <w:rsid w:val="00BA73D7"/>
    <w:rsid w:val="00BA7A86"/>
    <w:rsid w:val="00BA7DEE"/>
    <w:rsid w:val="00BB08C3"/>
    <w:rsid w:val="00BB0AF6"/>
    <w:rsid w:val="00BB0E60"/>
    <w:rsid w:val="00BB0ECF"/>
    <w:rsid w:val="00BB1248"/>
    <w:rsid w:val="00BB1303"/>
    <w:rsid w:val="00BB1915"/>
    <w:rsid w:val="00BB1CEA"/>
    <w:rsid w:val="00BB1D23"/>
    <w:rsid w:val="00BB1FC4"/>
    <w:rsid w:val="00BB22D8"/>
    <w:rsid w:val="00BB2442"/>
    <w:rsid w:val="00BB257E"/>
    <w:rsid w:val="00BB261A"/>
    <w:rsid w:val="00BB29BD"/>
    <w:rsid w:val="00BB2DAB"/>
    <w:rsid w:val="00BB2EDA"/>
    <w:rsid w:val="00BB3294"/>
    <w:rsid w:val="00BB32AB"/>
    <w:rsid w:val="00BB32E7"/>
    <w:rsid w:val="00BB3661"/>
    <w:rsid w:val="00BB3CF7"/>
    <w:rsid w:val="00BB450A"/>
    <w:rsid w:val="00BB5238"/>
    <w:rsid w:val="00BB58AF"/>
    <w:rsid w:val="00BB5D06"/>
    <w:rsid w:val="00BB5F3B"/>
    <w:rsid w:val="00BB6531"/>
    <w:rsid w:val="00BB6A16"/>
    <w:rsid w:val="00BB7181"/>
    <w:rsid w:val="00BB7428"/>
    <w:rsid w:val="00BB7705"/>
    <w:rsid w:val="00BB78BF"/>
    <w:rsid w:val="00BB792A"/>
    <w:rsid w:val="00BB7CDC"/>
    <w:rsid w:val="00BB7D35"/>
    <w:rsid w:val="00BB7D42"/>
    <w:rsid w:val="00BC005E"/>
    <w:rsid w:val="00BC07F7"/>
    <w:rsid w:val="00BC0B0F"/>
    <w:rsid w:val="00BC101C"/>
    <w:rsid w:val="00BC1078"/>
    <w:rsid w:val="00BC1BA2"/>
    <w:rsid w:val="00BC2417"/>
    <w:rsid w:val="00BC26B9"/>
    <w:rsid w:val="00BC34AD"/>
    <w:rsid w:val="00BC3CF0"/>
    <w:rsid w:val="00BC3E0B"/>
    <w:rsid w:val="00BC49F8"/>
    <w:rsid w:val="00BC4A14"/>
    <w:rsid w:val="00BC5CB6"/>
    <w:rsid w:val="00BC60B4"/>
    <w:rsid w:val="00BC738B"/>
    <w:rsid w:val="00BC7725"/>
    <w:rsid w:val="00BC780E"/>
    <w:rsid w:val="00BD014C"/>
    <w:rsid w:val="00BD0383"/>
    <w:rsid w:val="00BD067E"/>
    <w:rsid w:val="00BD10D4"/>
    <w:rsid w:val="00BD141F"/>
    <w:rsid w:val="00BD16CF"/>
    <w:rsid w:val="00BD18D3"/>
    <w:rsid w:val="00BD22C9"/>
    <w:rsid w:val="00BD24AD"/>
    <w:rsid w:val="00BD27AC"/>
    <w:rsid w:val="00BD27D4"/>
    <w:rsid w:val="00BD2D7C"/>
    <w:rsid w:val="00BD344A"/>
    <w:rsid w:val="00BD3621"/>
    <w:rsid w:val="00BD36C6"/>
    <w:rsid w:val="00BD3EBF"/>
    <w:rsid w:val="00BD4535"/>
    <w:rsid w:val="00BD4834"/>
    <w:rsid w:val="00BD4942"/>
    <w:rsid w:val="00BD52AB"/>
    <w:rsid w:val="00BD579B"/>
    <w:rsid w:val="00BD6C92"/>
    <w:rsid w:val="00BD71CB"/>
    <w:rsid w:val="00BD721C"/>
    <w:rsid w:val="00BD7C79"/>
    <w:rsid w:val="00BE0590"/>
    <w:rsid w:val="00BE0759"/>
    <w:rsid w:val="00BE09B1"/>
    <w:rsid w:val="00BE1A09"/>
    <w:rsid w:val="00BE2645"/>
    <w:rsid w:val="00BE2A00"/>
    <w:rsid w:val="00BE2ABE"/>
    <w:rsid w:val="00BE2BEB"/>
    <w:rsid w:val="00BE42B7"/>
    <w:rsid w:val="00BE4397"/>
    <w:rsid w:val="00BE5245"/>
    <w:rsid w:val="00BE588B"/>
    <w:rsid w:val="00BE5CBE"/>
    <w:rsid w:val="00BE60F9"/>
    <w:rsid w:val="00BE610E"/>
    <w:rsid w:val="00BE6347"/>
    <w:rsid w:val="00BE650B"/>
    <w:rsid w:val="00BE65F5"/>
    <w:rsid w:val="00BE6748"/>
    <w:rsid w:val="00BE6C5E"/>
    <w:rsid w:val="00BE731B"/>
    <w:rsid w:val="00BF033E"/>
    <w:rsid w:val="00BF10F9"/>
    <w:rsid w:val="00BF202D"/>
    <w:rsid w:val="00BF2471"/>
    <w:rsid w:val="00BF29F8"/>
    <w:rsid w:val="00BF2EBC"/>
    <w:rsid w:val="00BF2FEF"/>
    <w:rsid w:val="00BF3C86"/>
    <w:rsid w:val="00BF472C"/>
    <w:rsid w:val="00BF4DFB"/>
    <w:rsid w:val="00BF5513"/>
    <w:rsid w:val="00BF567D"/>
    <w:rsid w:val="00BF6955"/>
    <w:rsid w:val="00BF70BA"/>
    <w:rsid w:val="00BF7B90"/>
    <w:rsid w:val="00BF7DF0"/>
    <w:rsid w:val="00C00671"/>
    <w:rsid w:val="00C00873"/>
    <w:rsid w:val="00C012EB"/>
    <w:rsid w:val="00C016F1"/>
    <w:rsid w:val="00C01FBF"/>
    <w:rsid w:val="00C024BB"/>
    <w:rsid w:val="00C02867"/>
    <w:rsid w:val="00C03697"/>
    <w:rsid w:val="00C038C1"/>
    <w:rsid w:val="00C03A4F"/>
    <w:rsid w:val="00C03CAB"/>
    <w:rsid w:val="00C03F1F"/>
    <w:rsid w:val="00C047F4"/>
    <w:rsid w:val="00C049C9"/>
    <w:rsid w:val="00C0575A"/>
    <w:rsid w:val="00C05876"/>
    <w:rsid w:val="00C061A9"/>
    <w:rsid w:val="00C074E5"/>
    <w:rsid w:val="00C07C0D"/>
    <w:rsid w:val="00C07F6E"/>
    <w:rsid w:val="00C10319"/>
    <w:rsid w:val="00C103D1"/>
    <w:rsid w:val="00C111C7"/>
    <w:rsid w:val="00C11261"/>
    <w:rsid w:val="00C114E9"/>
    <w:rsid w:val="00C11724"/>
    <w:rsid w:val="00C12030"/>
    <w:rsid w:val="00C12F7A"/>
    <w:rsid w:val="00C12FD6"/>
    <w:rsid w:val="00C1435E"/>
    <w:rsid w:val="00C14A78"/>
    <w:rsid w:val="00C15542"/>
    <w:rsid w:val="00C15881"/>
    <w:rsid w:val="00C15C4A"/>
    <w:rsid w:val="00C15FD4"/>
    <w:rsid w:val="00C16A9C"/>
    <w:rsid w:val="00C16E60"/>
    <w:rsid w:val="00C176EF"/>
    <w:rsid w:val="00C17BD5"/>
    <w:rsid w:val="00C2040F"/>
    <w:rsid w:val="00C20A05"/>
    <w:rsid w:val="00C20B71"/>
    <w:rsid w:val="00C20E14"/>
    <w:rsid w:val="00C20F61"/>
    <w:rsid w:val="00C21582"/>
    <w:rsid w:val="00C2172F"/>
    <w:rsid w:val="00C21A2B"/>
    <w:rsid w:val="00C22597"/>
    <w:rsid w:val="00C233B0"/>
    <w:rsid w:val="00C23990"/>
    <w:rsid w:val="00C23C03"/>
    <w:rsid w:val="00C248AE"/>
    <w:rsid w:val="00C24B00"/>
    <w:rsid w:val="00C259E8"/>
    <w:rsid w:val="00C26953"/>
    <w:rsid w:val="00C26FE0"/>
    <w:rsid w:val="00C275C2"/>
    <w:rsid w:val="00C279FB"/>
    <w:rsid w:val="00C305C5"/>
    <w:rsid w:val="00C3122B"/>
    <w:rsid w:val="00C31860"/>
    <w:rsid w:val="00C32CA1"/>
    <w:rsid w:val="00C33154"/>
    <w:rsid w:val="00C336BC"/>
    <w:rsid w:val="00C339CA"/>
    <w:rsid w:val="00C33A58"/>
    <w:rsid w:val="00C3463B"/>
    <w:rsid w:val="00C34818"/>
    <w:rsid w:val="00C34AE6"/>
    <w:rsid w:val="00C34D08"/>
    <w:rsid w:val="00C351AD"/>
    <w:rsid w:val="00C35BC9"/>
    <w:rsid w:val="00C35F70"/>
    <w:rsid w:val="00C36364"/>
    <w:rsid w:val="00C36656"/>
    <w:rsid w:val="00C36813"/>
    <w:rsid w:val="00C36E36"/>
    <w:rsid w:val="00C377AE"/>
    <w:rsid w:val="00C37B1B"/>
    <w:rsid w:val="00C41647"/>
    <w:rsid w:val="00C42203"/>
    <w:rsid w:val="00C43496"/>
    <w:rsid w:val="00C43608"/>
    <w:rsid w:val="00C44106"/>
    <w:rsid w:val="00C44826"/>
    <w:rsid w:val="00C44C8B"/>
    <w:rsid w:val="00C45053"/>
    <w:rsid w:val="00C45B29"/>
    <w:rsid w:val="00C45F4C"/>
    <w:rsid w:val="00C46D0D"/>
    <w:rsid w:val="00C474A1"/>
    <w:rsid w:val="00C474CE"/>
    <w:rsid w:val="00C5140A"/>
    <w:rsid w:val="00C52258"/>
    <w:rsid w:val="00C5234E"/>
    <w:rsid w:val="00C52990"/>
    <w:rsid w:val="00C52AA4"/>
    <w:rsid w:val="00C532A8"/>
    <w:rsid w:val="00C533C9"/>
    <w:rsid w:val="00C533E0"/>
    <w:rsid w:val="00C539BB"/>
    <w:rsid w:val="00C542E8"/>
    <w:rsid w:val="00C5444E"/>
    <w:rsid w:val="00C54BE1"/>
    <w:rsid w:val="00C54E5E"/>
    <w:rsid w:val="00C54EE0"/>
    <w:rsid w:val="00C54F7E"/>
    <w:rsid w:val="00C55121"/>
    <w:rsid w:val="00C55B2C"/>
    <w:rsid w:val="00C5627B"/>
    <w:rsid w:val="00C56593"/>
    <w:rsid w:val="00C57280"/>
    <w:rsid w:val="00C57315"/>
    <w:rsid w:val="00C579DD"/>
    <w:rsid w:val="00C57B1A"/>
    <w:rsid w:val="00C57B9C"/>
    <w:rsid w:val="00C57D8A"/>
    <w:rsid w:val="00C57EBB"/>
    <w:rsid w:val="00C60117"/>
    <w:rsid w:val="00C6040C"/>
    <w:rsid w:val="00C60839"/>
    <w:rsid w:val="00C60BC5"/>
    <w:rsid w:val="00C60C1C"/>
    <w:rsid w:val="00C6157B"/>
    <w:rsid w:val="00C61E71"/>
    <w:rsid w:val="00C622B7"/>
    <w:rsid w:val="00C6240A"/>
    <w:rsid w:val="00C627ED"/>
    <w:rsid w:val="00C6486A"/>
    <w:rsid w:val="00C65486"/>
    <w:rsid w:val="00C656C4"/>
    <w:rsid w:val="00C65706"/>
    <w:rsid w:val="00C65DD8"/>
    <w:rsid w:val="00C65ED5"/>
    <w:rsid w:val="00C66EA9"/>
    <w:rsid w:val="00C66F48"/>
    <w:rsid w:val="00C6794A"/>
    <w:rsid w:val="00C679E4"/>
    <w:rsid w:val="00C67A0B"/>
    <w:rsid w:val="00C67BE6"/>
    <w:rsid w:val="00C67E52"/>
    <w:rsid w:val="00C7085A"/>
    <w:rsid w:val="00C70AED"/>
    <w:rsid w:val="00C71201"/>
    <w:rsid w:val="00C71205"/>
    <w:rsid w:val="00C712DF"/>
    <w:rsid w:val="00C721CB"/>
    <w:rsid w:val="00C749E3"/>
    <w:rsid w:val="00C74B46"/>
    <w:rsid w:val="00C74E4E"/>
    <w:rsid w:val="00C751F3"/>
    <w:rsid w:val="00C75620"/>
    <w:rsid w:val="00C759AD"/>
    <w:rsid w:val="00C75B16"/>
    <w:rsid w:val="00C75F91"/>
    <w:rsid w:val="00C765F5"/>
    <w:rsid w:val="00C76755"/>
    <w:rsid w:val="00C767C3"/>
    <w:rsid w:val="00C7765B"/>
    <w:rsid w:val="00C7792E"/>
    <w:rsid w:val="00C80C3D"/>
    <w:rsid w:val="00C81439"/>
    <w:rsid w:val="00C82499"/>
    <w:rsid w:val="00C82865"/>
    <w:rsid w:val="00C83465"/>
    <w:rsid w:val="00C834F6"/>
    <w:rsid w:val="00C83DA0"/>
    <w:rsid w:val="00C84CA2"/>
    <w:rsid w:val="00C84D2F"/>
    <w:rsid w:val="00C84E15"/>
    <w:rsid w:val="00C8533A"/>
    <w:rsid w:val="00C85A8E"/>
    <w:rsid w:val="00C862CD"/>
    <w:rsid w:val="00C8689E"/>
    <w:rsid w:val="00C86F57"/>
    <w:rsid w:val="00C87892"/>
    <w:rsid w:val="00C87987"/>
    <w:rsid w:val="00C87EA7"/>
    <w:rsid w:val="00C87F0C"/>
    <w:rsid w:val="00C87F57"/>
    <w:rsid w:val="00C90445"/>
    <w:rsid w:val="00C90AA1"/>
    <w:rsid w:val="00C91B40"/>
    <w:rsid w:val="00C91BE9"/>
    <w:rsid w:val="00C92467"/>
    <w:rsid w:val="00C92ADC"/>
    <w:rsid w:val="00C92C13"/>
    <w:rsid w:val="00C937B2"/>
    <w:rsid w:val="00C93960"/>
    <w:rsid w:val="00C93E29"/>
    <w:rsid w:val="00C945C8"/>
    <w:rsid w:val="00C94960"/>
    <w:rsid w:val="00C95B71"/>
    <w:rsid w:val="00C95C19"/>
    <w:rsid w:val="00C95D0D"/>
    <w:rsid w:val="00C95EE9"/>
    <w:rsid w:val="00C95F33"/>
    <w:rsid w:val="00C97119"/>
    <w:rsid w:val="00C9792E"/>
    <w:rsid w:val="00C97B7B"/>
    <w:rsid w:val="00CA0B93"/>
    <w:rsid w:val="00CA1430"/>
    <w:rsid w:val="00CA1A27"/>
    <w:rsid w:val="00CA2410"/>
    <w:rsid w:val="00CA2581"/>
    <w:rsid w:val="00CA25AD"/>
    <w:rsid w:val="00CA3487"/>
    <w:rsid w:val="00CA3EA3"/>
    <w:rsid w:val="00CA415C"/>
    <w:rsid w:val="00CA41A5"/>
    <w:rsid w:val="00CA47B0"/>
    <w:rsid w:val="00CA68E6"/>
    <w:rsid w:val="00CA694B"/>
    <w:rsid w:val="00CA6C8D"/>
    <w:rsid w:val="00CA6DE5"/>
    <w:rsid w:val="00CA6EDB"/>
    <w:rsid w:val="00CA7897"/>
    <w:rsid w:val="00CB01C1"/>
    <w:rsid w:val="00CB12CF"/>
    <w:rsid w:val="00CB1A9B"/>
    <w:rsid w:val="00CB20B1"/>
    <w:rsid w:val="00CB2462"/>
    <w:rsid w:val="00CB25FD"/>
    <w:rsid w:val="00CB2C05"/>
    <w:rsid w:val="00CB2D0D"/>
    <w:rsid w:val="00CB31E9"/>
    <w:rsid w:val="00CB35CE"/>
    <w:rsid w:val="00CB3682"/>
    <w:rsid w:val="00CB39D9"/>
    <w:rsid w:val="00CB3EDD"/>
    <w:rsid w:val="00CB40DE"/>
    <w:rsid w:val="00CB43B5"/>
    <w:rsid w:val="00CB48A0"/>
    <w:rsid w:val="00CB5372"/>
    <w:rsid w:val="00CB55DA"/>
    <w:rsid w:val="00CB6817"/>
    <w:rsid w:val="00CB6996"/>
    <w:rsid w:val="00CB710B"/>
    <w:rsid w:val="00CB787D"/>
    <w:rsid w:val="00CB79DF"/>
    <w:rsid w:val="00CC0348"/>
    <w:rsid w:val="00CC0385"/>
    <w:rsid w:val="00CC0455"/>
    <w:rsid w:val="00CC0801"/>
    <w:rsid w:val="00CC0AF3"/>
    <w:rsid w:val="00CC0E82"/>
    <w:rsid w:val="00CC1384"/>
    <w:rsid w:val="00CC199B"/>
    <w:rsid w:val="00CC23B5"/>
    <w:rsid w:val="00CC23FA"/>
    <w:rsid w:val="00CC24B9"/>
    <w:rsid w:val="00CC251B"/>
    <w:rsid w:val="00CC275B"/>
    <w:rsid w:val="00CC28CA"/>
    <w:rsid w:val="00CC2A86"/>
    <w:rsid w:val="00CC2EA9"/>
    <w:rsid w:val="00CC304F"/>
    <w:rsid w:val="00CC31D6"/>
    <w:rsid w:val="00CC325E"/>
    <w:rsid w:val="00CC3959"/>
    <w:rsid w:val="00CC3E40"/>
    <w:rsid w:val="00CC3EC2"/>
    <w:rsid w:val="00CC40DE"/>
    <w:rsid w:val="00CC5AD9"/>
    <w:rsid w:val="00CC63D1"/>
    <w:rsid w:val="00CC6CA3"/>
    <w:rsid w:val="00CC7456"/>
    <w:rsid w:val="00CC7558"/>
    <w:rsid w:val="00CC7620"/>
    <w:rsid w:val="00CC7A27"/>
    <w:rsid w:val="00CD01FC"/>
    <w:rsid w:val="00CD03AE"/>
    <w:rsid w:val="00CD0835"/>
    <w:rsid w:val="00CD1A72"/>
    <w:rsid w:val="00CD1F11"/>
    <w:rsid w:val="00CD22E2"/>
    <w:rsid w:val="00CD259D"/>
    <w:rsid w:val="00CD26C9"/>
    <w:rsid w:val="00CD2E1C"/>
    <w:rsid w:val="00CD4084"/>
    <w:rsid w:val="00CD4145"/>
    <w:rsid w:val="00CD4329"/>
    <w:rsid w:val="00CD4534"/>
    <w:rsid w:val="00CD5442"/>
    <w:rsid w:val="00CD577D"/>
    <w:rsid w:val="00CD5A13"/>
    <w:rsid w:val="00CD5A48"/>
    <w:rsid w:val="00CD607E"/>
    <w:rsid w:val="00CD663F"/>
    <w:rsid w:val="00CD7068"/>
    <w:rsid w:val="00CD736F"/>
    <w:rsid w:val="00CD77D5"/>
    <w:rsid w:val="00CD796F"/>
    <w:rsid w:val="00CD7997"/>
    <w:rsid w:val="00CE0727"/>
    <w:rsid w:val="00CE0AFD"/>
    <w:rsid w:val="00CE14DB"/>
    <w:rsid w:val="00CE1506"/>
    <w:rsid w:val="00CE17CF"/>
    <w:rsid w:val="00CE206E"/>
    <w:rsid w:val="00CE2CFA"/>
    <w:rsid w:val="00CE2E10"/>
    <w:rsid w:val="00CE3392"/>
    <w:rsid w:val="00CE33EC"/>
    <w:rsid w:val="00CE35A5"/>
    <w:rsid w:val="00CE3BB1"/>
    <w:rsid w:val="00CE43C7"/>
    <w:rsid w:val="00CE4E09"/>
    <w:rsid w:val="00CE53D2"/>
    <w:rsid w:val="00CE55E0"/>
    <w:rsid w:val="00CE5EE2"/>
    <w:rsid w:val="00CE772B"/>
    <w:rsid w:val="00CF0545"/>
    <w:rsid w:val="00CF05F7"/>
    <w:rsid w:val="00CF3095"/>
    <w:rsid w:val="00CF3219"/>
    <w:rsid w:val="00CF3452"/>
    <w:rsid w:val="00CF36C9"/>
    <w:rsid w:val="00CF3B9D"/>
    <w:rsid w:val="00CF3D66"/>
    <w:rsid w:val="00CF3DF4"/>
    <w:rsid w:val="00CF45EC"/>
    <w:rsid w:val="00CF4642"/>
    <w:rsid w:val="00CF48A3"/>
    <w:rsid w:val="00CF52FF"/>
    <w:rsid w:val="00CF5362"/>
    <w:rsid w:val="00CF5633"/>
    <w:rsid w:val="00CF5A8A"/>
    <w:rsid w:val="00CF66C1"/>
    <w:rsid w:val="00CF7100"/>
    <w:rsid w:val="00D002D1"/>
    <w:rsid w:val="00D003B4"/>
    <w:rsid w:val="00D00A90"/>
    <w:rsid w:val="00D00ACD"/>
    <w:rsid w:val="00D0134C"/>
    <w:rsid w:val="00D01ADD"/>
    <w:rsid w:val="00D0325D"/>
    <w:rsid w:val="00D03DFD"/>
    <w:rsid w:val="00D03FA2"/>
    <w:rsid w:val="00D044FB"/>
    <w:rsid w:val="00D04B2D"/>
    <w:rsid w:val="00D059A7"/>
    <w:rsid w:val="00D070E9"/>
    <w:rsid w:val="00D0727F"/>
    <w:rsid w:val="00D073D3"/>
    <w:rsid w:val="00D07989"/>
    <w:rsid w:val="00D079DB"/>
    <w:rsid w:val="00D10063"/>
    <w:rsid w:val="00D10DE1"/>
    <w:rsid w:val="00D111A0"/>
    <w:rsid w:val="00D11272"/>
    <w:rsid w:val="00D11CD4"/>
    <w:rsid w:val="00D11D98"/>
    <w:rsid w:val="00D12383"/>
    <w:rsid w:val="00D123F8"/>
    <w:rsid w:val="00D128A1"/>
    <w:rsid w:val="00D13181"/>
    <w:rsid w:val="00D133A7"/>
    <w:rsid w:val="00D138BA"/>
    <w:rsid w:val="00D13D82"/>
    <w:rsid w:val="00D13F21"/>
    <w:rsid w:val="00D14057"/>
    <w:rsid w:val="00D1465D"/>
    <w:rsid w:val="00D14BB7"/>
    <w:rsid w:val="00D14E04"/>
    <w:rsid w:val="00D14FBA"/>
    <w:rsid w:val="00D1522E"/>
    <w:rsid w:val="00D15C5B"/>
    <w:rsid w:val="00D15D4D"/>
    <w:rsid w:val="00D160E8"/>
    <w:rsid w:val="00D162A7"/>
    <w:rsid w:val="00D16CE0"/>
    <w:rsid w:val="00D16EA8"/>
    <w:rsid w:val="00D1702E"/>
    <w:rsid w:val="00D2016F"/>
    <w:rsid w:val="00D20334"/>
    <w:rsid w:val="00D20891"/>
    <w:rsid w:val="00D2174C"/>
    <w:rsid w:val="00D21844"/>
    <w:rsid w:val="00D218EE"/>
    <w:rsid w:val="00D21909"/>
    <w:rsid w:val="00D21A70"/>
    <w:rsid w:val="00D21DD9"/>
    <w:rsid w:val="00D2354E"/>
    <w:rsid w:val="00D235E2"/>
    <w:rsid w:val="00D23910"/>
    <w:rsid w:val="00D23CA7"/>
    <w:rsid w:val="00D23F44"/>
    <w:rsid w:val="00D24620"/>
    <w:rsid w:val="00D246DA"/>
    <w:rsid w:val="00D24BF5"/>
    <w:rsid w:val="00D26056"/>
    <w:rsid w:val="00D2607C"/>
    <w:rsid w:val="00D268C9"/>
    <w:rsid w:val="00D26909"/>
    <w:rsid w:val="00D26C75"/>
    <w:rsid w:val="00D27E0A"/>
    <w:rsid w:val="00D27ED0"/>
    <w:rsid w:val="00D3009D"/>
    <w:rsid w:val="00D30419"/>
    <w:rsid w:val="00D31409"/>
    <w:rsid w:val="00D317A9"/>
    <w:rsid w:val="00D31ACE"/>
    <w:rsid w:val="00D320B5"/>
    <w:rsid w:val="00D32140"/>
    <w:rsid w:val="00D32927"/>
    <w:rsid w:val="00D32CA2"/>
    <w:rsid w:val="00D32F01"/>
    <w:rsid w:val="00D32FF4"/>
    <w:rsid w:val="00D3305B"/>
    <w:rsid w:val="00D330C8"/>
    <w:rsid w:val="00D336DC"/>
    <w:rsid w:val="00D33D31"/>
    <w:rsid w:val="00D34075"/>
    <w:rsid w:val="00D36900"/>
    <w:rsid w:val="00D36E70"/>
    <w:rsid w:val="00D37DBD"/>
    <w:rsid w:val="00D4017A"/>
    <w:rsid w:val="00D40209"/>
    <w:rsid w:val="00D40B07"/>
    <w:rsid w:val="00D41AF1"/>
    <w:rsid w:val="00D41CDB"/>
    <w:rsid w:val="00D423CB"/>
    <w:rsid w:val="00D42E15"/>
    <w:rsid w:val="00D42F92"/>
    <w:rsid w:val="00D4399C"/>
    <w:rsid w:val="00D43EB4"/>
    <w:rsid w:val="00D44496"/>
    <w:rsid w:val="00D44B3E"/>
    <w:rsid w:val="00D44FC6"/>
    <w:rsid w:val="00D4500F"/>
    <w:rsid w:val="00D4512E"/>
    <w:rsid w:val="00D4514D"/>
    <w:rsid w:val="00D45B4F"/>
    <w:rsid w:val="00D45CE7"/>
    <w:rsid w:val="00D4646C"/>
    <w:rsid w:val="00D47065"/>
    <w:rsid w:val="00D473C5"/>
    <w:rsid w:val="00D5151B"/>
    <w:rsid w:val="00D52856"/>
    <w:rsid w:val="00D52D72"/>
    <w:rsid w:val="00D5334A"/>
    <w:rsid w:val="00D54302"/>
    <w:rsid w:val="00D54541"/>
    <w:rsid w:val="00D54A30"/>
    <w:rsid w:val="00D55A23"/>
    <w:rsid w:val="00D55B01"/>
    <w:rsid w:val="00D560A1"/>
    <w:rsid w:val="00D56847"/>
    <w:rsid w:val="00D56A61"/>
    <w:rsid w:val="00D5714A"/>
    <w:rsid w:val="00D5774C"/>
    <w:rsid w:val="00D579B0"/>
    <w:rsid w:val="00D57A8C"/>
    <w:rsid w:val="00D57BA6"/>
    <w:rsid w:val="00D6001A"/>
    <w:rsid w:val="00D602DE"/>
    <w:rsid w:val="00D604D8"/>
    <w:rsid w:val="00D606DC"/>
    <w:rsid w:val="00D60731"/>
    <w:rsid w:val="00D60BF6"/>
    <w:rsid w:val="00D60EA3"/>
    <w:rsid w:val="00D61A52"/>
    <w:rsid w:val="00D61CCE"/>
    <w:rsid w:val="00D61ED3"/>
    <w:rsid w:val="00D62691"/>
    <w:rsid w:val="00D627DF"/>
    <w:rsid w:val="00D628C6"/>
    <w:rsid w:val="00D62EC3"/>
    <w:rsid w:val="00D63DBA"/>
    <w:rsid w:val="00D64C20"/>
    <w:rsid w:val="00D650E6"/>
    <w:rsid w:val="00D65B72"/>
    <w:rsid w:val="00D65DA1"/>
    <w:rsid w:val="00D65DE0"/>
    <w:rsid w:val="00D6622A"/>
    <w:rsid w:val="00D66406"/>
    <w:rsid w:val="00D66672"/>
    <w:rsid w:val="00D66C04"/>
    <w:rsid w:val="00D66DFC"/>
    <w:rsid w:val="00D66E06"/>
    <w:rsid w:val="00D678F7"/>
    <w:rsid w:val="00D67E5A"/>
    <w:rsid w:val="00D70671"/>
    <w:rsid w:val="00D70750"/>
    <w:rsid w:val="00D7092F"/>
    <w:rsid w:val="00D70BF5"/>
    <w:rsid w:val="00D7139F"/>
    <w:rsid w:val="00D7147A"/>
    <w:rsid w:val="00D7204B"/>
    <w:rsid w:val="00D723D0"/>
    <w:rsid w:val="00D72524"/>
    <w:rsid w:val="00D7342E"/>
    <w:rsid w:val="00D746C3"/>
    <w:rsid w:val="00D757CC"/>
    <w:rsid w:val="00D76244"/>
    <w:rsid w:val="00D76403"/>
    <w:rsid w:val="00D76B28"/>
    <w:rsid w:val="00D77420"/>
    <w:rsid w:val="00D77644"/>
    <w:rsid w:val="00D77648"/>
    <w:rsid w:val="00D80DD3"/>
    <w:rsid w:val="00D81763"/>
    <w:rsid w:val="00D81E05"/>
    <w:rsid w:val="00D83145"/>
    <w:rsid w:val="00D83219"/>
    <w:rsid w:val="00D83339"/>
    <w:rsid w:val="00D8333A"/>
    <w:rsid w:val="00D83786"/>
    <w:rsid w:val="00D841BD"/>
    <w:rsid w:val="00D8465F"/>
    <w:rsid w:val="00D84A6A"/>
    <w:rsid w:val="00D84B8D"/>
    <w:rsid w:val="00D84BAC"/>
    <w:rsid w:val="00D84F80"/>
    <w:rsid w:val="00D85445"/>
    <w:rsid w:val="00D85FCF"/>
    <w:rsid w:val="00D8649A"/>
    <w:rsid w:val="00D86608"/>
    <w:rsid w:val="00D86725"/>
    <w:rsid w:val="00D86774"/>
    <w:rsid w:val="00D86A13"/>
    <w:rsid w:val="00D90DAB"/>
    <w:rsid w:val="00D9197A"/>
    <w:rsid w:val="00D931DD"/>
    <w:rsid w:val="00D93592"/>
    <w:rsid w:val="00D935BA"/>
    <w:rsid w:val="00D938BB"/>
    <w:rsid w:val="00D93F94"/>
    <w:rsid w:val="00D9428A"/>
    <w:rsid w:val="00D94B69"/>
    <w:rsid w:val="00D94BC7"/>
    <w:rsid w:val="00D97379"/>
    <w:rsid w:val="00D97678"/>
    <w:rsid w:val="00D97A94"/>
    <w:rsid w:val="00DA037F"/>
    <w:rsid w:val="00DA0B16"/>
    <w:rsid w:val="00DA0D4E"/>
    <w:rsid w:val="00DA0E83"/>
    <w:rsid w:val="00DA1678"/>
    <w:rsid w:val="00DA1C7A"/>
    <w:rsid w:val="00DA2299"/>
    <w:rsid w:val="00DA276E"/>
    <w:rsid w:val="00DA3B0F"/>
    <w:rsid w:val="00DA42B5"/>
    <w:rsid w:val="00DA4B79"/>
    <w:rsid w:val="00DA514E"/>
    <w:rsid w:val="00DA53E3"/>
    <w:rsid w:val="00DA5602"/>
    <w:rsid w:val="00DA5609"/>
    <w:rsid w:val="00DA5F16"/>
    <w:rsid w:val="00DA6755"/>
    <w:rsid w:val="00DA6E45"/>
    <w:rsid w:val="00DA713F"/>
    <w:rsid w:val="00DA7216"/>
    <w:rsid w:val="00DA78BB"/>
    <w:rsid w:val="00DB02FA"/>
    <w:rsid w:val="00DB0939"/>
    <w:rsid w:val="00DB0A8E"/>
    <w:rsid w:val="00DB0AFC"/>
    <w:rsid w:val="00DB164A"/>
    <w:rsid w:val="00DB1890"/>
    <w:rsid w:val="00DB19E7"/>
    <w:rsid w:val="00DB1E6E"/>
    <w:rsid w:val="00DB2C14"/>
    <w:rsid w:val="00DB2F74"/>
    <w:rsid w:val="00DB3407"/>
    <w:rsid w:val="00DB35BD"/>
    <w:rsid w:val="00DB3B0C"/>
    <w:rsid w:val="00DB4451"/>
    <w:rsid w:val="00DB4C68"/>
    <w:rsid w:val="00DB4CB1"/>
    <w:rsid w:val="00DB4E82"/>
    <w:rsid w:val="00DB54BF"/>
    <w:rsid w:val="00DB5678"/>
    <w:rsid w:val="00DB5759"/>
    <w:rsid w:val="00DB575E"/>
    <w:rsid w:val="00DB5AFA"/>
    <w:rsid w:val="00DB5B0F"/>
    <w:rsid w:val="00DB6223"/>
    <w:rsid w:val="00DB658F"/>
    <w:rsid w:val="00DB671E"/>
    <w:rsid w:val="00DB71B3"/>
    <w:rsid w:val="00DC032D"/>
    <w:rsid w:val="00DC0396"/>
    <w:rsid w:val="00DC0456"/>
    <w:rsid w:val="00DC0B19"/>
    <w:rsid w:val="00DC1058"/>
    <w:rsid w:val="00DC13B5"/>
    <w:rsid w:val="00DC14A0"/>
    <w:rsid w:val="00DC190B"/>
    <w:rsid w:val="00DC1AD4"/>
    <w:rsid w:val="00DC2508"/>
    <w:rsid w:val="00DC2EF0"/>
    <w:rsid w:val="00DC2F28"/>
    <w:rsid w:val="00DC337A"/>
    <w:rsid w:val="00DC3426"/>
    <w:rsid w:val="00DC3B0B"/>
    <w:rsid w:val="00DC3D80"/>
    <w:rsid w:val="00DC3F59"/>
    <w:rsid w:val="00DC4691"/>
    <w:rsid w:val="00DC4917"/>
    <w:rsid w:val="00DC4BCE"/>
    <w:rsid w:val="00DC5C9A"/>
    <w:rsid w:val="00DC5FE1"/>
    <w:rsid w:val="00DC61A9"/>
    <w:rsid w:val="00DC6539"/>
    <w:rsid w:val="00DC7793"/>
    <w:rsid w:val="00DD0363"/>
    <w:rsid w:val="00DD09F6"/>
    <w:rsid w:val="00DD0CA2"/>
    <w:rsid w:val="00DD0D8A"/>
    <w:rsid w:val="00DD0E21"/>
    <w:rsid w:val="00DD10CD"/>
    <w:rsid w:val="00DD1576"/>
    <w:rsid w:val="00DD178E"/>
    <w:rsid w:val="00DD1B8A"/>
    <w:rsid w:val="00DD36D5"/>
    <w:rsid w:val="00DD3A4A"/>
    <w:rsid w:val="00DD4545"/>
    <w:rsid w:val="00DD4ACF"/>
    <w:rsid w:val="00DD4C47"/>
    <w:rsid w:val="00DD4FC1"/>
    <w:rsid w:val="00DD5050"/>
    <w:rsid w:val="00DD52E5"/>
    <w:rsid w:val="00DD5644"/>
    <w:rsid w:val="00DD5652"/>
    <w:rsid w:val="00DD5AB7"/>
    <w:rsid w:val="00DD63E1"/>
    <w:rsid w:val="00DD67CB"/>
    <w:rsid w:val="00DD6D79"/>
    <w:rsid w:val="00DD78FC"/>
    <w:rsid w:val="00DD7DB5"/>
    <w:rsid w:val="00DE018C"/>
    <w:rsid w:val="00DE05F9"/>
    <w:rsid w:val="00DE06A8"/>
    <w:rsid w:val="00DE08B5"/>
    <w:rsid w:val="00DE0AA3"/>
    <w:rsid w:val="00DE100A"/>
    <w:rsid w:val="00DE12E1"/>
    <w:rsid w:val="00DE183B"/>
    <w:rsid w:val="00DE18CC"/>
    <w:rsid w:val="00DE1A77"/>
    <w:rsid w:val="00DE22C6"/>
    <w:rsid w:val="00DE2339"/>
    <w:rsid w:val="00DE2B01"/>
    <w:rsid w:val="00DE2E8C"/>
    <w:rsid w:val="00DE303C"/>
    <w:rsid w:val="00DE3349"/>
    <w:rsid w:val="00DE357C"/>
    <w:rsid w:val="00DE3B7B"/>
    <w:rsid w:val="00DE473F"/>
    <w:rsid w:val="00DE4C88"/>
    <w:rsid w:val="00DE5D92"/>
    <w:rsid w:val="00DE6170"/>
    <w:rsid w:val="00DE6427"/>
    <w:rsid w:val="00DE674F"/>
    <w:rsid w:val="00DE7423"/>
    <w:rsid w:val="00DE756F"/>
    <w:rsid w:val="00DE773E"/>
    <w:rsid w:val="00DE7CD2"/>
    <w:rsid w:val="00DF05C8"/>
    <w:rsid w:val="00DF0683"/>
    <w:rsid w:val="00DF0E3E"/>
    <w:rsid w:val="00DF153C"/>
    <w:rsid w:val="00DF1B6E"/>
    <w:rsid w:val="00DF260D"/>
    <w:rsid w:val="00DF2C7A"/>
    <w:rsid w:val="00DF328A"/>
    <w:rsid w:val="00DF3635"/>
    <w:rsid w:val="00DF39A9"/>
    <w:rsid w:val="00DF4043"/>
    <w:rsid w:val="00DF45A8"/>
    <w:rsid w:val="00DF50A9"/>
    <w:rsid w:val="00DF566E"/>
    <w:rsid w:val="00DF6624"/>
    <w:rsid w:val="00DF69E0"/>
    <w:rsid w:val="00DF6A00"/>
    <w:rsid w:val="00DF6A33"/>
    <w:rsid w:val="00E00490"/>
    <w:rsid w:val="00E00A0F"/>
    <w:rsid w:val="00E00E9D"/>
    <w:rsid w:val="00E023B3"/>
    <w:rsid w:val="00E02CA0"/>
    <w:rsid w:val="00E0306D"/>
    <w:rsid w:val="00E031DB"/>
    <w:rsid w:val="00E03388"/>
    <w:rsid w:val="00E03CEB"/>
    <w:rsid w:val="00E03EB3"/>
    <w:rsid w:val="00E03FA9"/>
    <w:rsid w:val="00E03FE4"/>
    <w:rsid w:val="00E04312"/>
    <w:rsid w:val="00E0448E"/>
    <w:rsid w:val="00E048C5"/>
    <w:rsid w:val="00E049E0"/>
    <w:rsid w:val="00E04C0A"/>
    <w:rsid w:val="00E05AAF"/>
    <w:rsid w:val="00E0600A"/>
    <w:rsid w:val="00E06102"/>
    <w:rsid w:val="00E06351"/>
    <w:rsid w:val="00E0683A"/>
    <w:rsid w:val="00E06A10"/>
    <w:rsid w:val="00E06E15"/>
    <w:rsid w:val="00E0789C"/>
    <w:rsid w:val="00E1033F"/>
    <w:rsid w:val="00E109C2"/>
    <w:rsid w:val="00E10CB4"/>
    <w:rsid w:val="00E10ECE"/>
    <w:rsid w:val="00E1107B"/>
    <w:rsid w:val="00E112DD"/>
    <w:rsid w:val="00E11958"/>
    <w:rsid w:val="00E12BB8"/>
    <w:rsid w:val="00E13352"/>
    <w:rsid w:val="00E13576"/>
    <w:rsid w:val="00E13E58"/>
    <w:rsid w:val="00E14962"/>
    <w:rsid w:val="00E14CE0"/>
    <w:rsid w:val="00E1546B"/>
    <w:rsid w:val="00E15E7F"/>
    <w:rsid w:val="00E16173"/>
    <w:rsid w:val="00E16574"/>
    <w:rsid w:val="00E16C82"/>
    <w:rsid w:val="00E16CAC"/>
    <w:rsid w:val="00E178BC"/>
    <w:rsid w:val="00E17C77"/>
    <w:rsid w:val="00E17E2D"/>
    <w:rsid w:val="00E205C8"/>
    <w:rsid w:val="00E20F47"/>
    <w:rsid w:val="00E21AF6"/>
    <w:rsid w:val="00E21B41"/>
    <w:rsid w:val="00E22804"/>
    <w:rsid w:val="00E22C28"/>
    <w:rsid w:val="00E23119"/>
    <w:rsid w:val="00E23450"/>
    <w:rsid w:val="00E2359E"/>
    <w:rsid w:val="00E2366B"/>
    <w:rsid w:val="00E240EA"/>
    <w:rsid w:val="00E24466"/>
    <w:rsid w:val="00E245A9"/>
    <w:rsid w:val="00E248B6"/>
    <w:rsid w:val="00E24F35"/>
    <w:rsid w:val="00E2528C"/>
    <w:rsid w:val="00E2573C"/>
    <w:rsid w:val="00E25746"/>
    <w:rsid w:val="00E25924"/>
    <w:rsid w:val="00E26542"/>
    <w:rsid w:val="00E26623"/>
    <w:rsid w:val="00E26A12"/>
    <w:rsid w:val="00E27557"/>
    <w:rsid w:val="00E27AD5"/>
    <w:rsid w:val="00E27DAE"/>
    <w:rsid w:val="00E30E35"/>
    <w:rsid w:val="00E311F1"/>
    <w:rsid w:val="00E325E5"/>
    <w:rsid w:val="00E32F5E"/>
    <w:rsid w:val="00E32FAD"/>
    <w:rsid w:val="00E330FB"/>
    <w:rsid w:val="00E3315B"/>
    <w:rsid w:val="00E33CD2"/>
    <w:rsid w:val="00E344FD"/>
    <w:rsid w:val="00E3529F"/>
    <w:rsid w:val="00E35639"/>
    <w:rsid w:val="00E3579A"/>
    <w:rsid w:val="00E35DD4"/>
    <w:rsid w:val="00E36239"/>
    <w:rsid w:val="00E364BD"/>
    <w:rsid w:val="00E36E5E"/>
    <w:rsid w:val="00E377DF"/>
    <w:rsid w:val="00E37C7C"/>
    <w:rsid w:val="00E40740"/>
    <w:rsid w:val="00E41361"/>
    <w:rsid w:val="00E41409"/>
    <w:rsid w:val="00E41F33"/>
    <w:rsid w:val="00E42A6F"/>
    <w:rsid w:val="00E4322E"/>
    <w:rsid w:val="00E4353C"/>
    <w:rsid w:val="00E440FD"/>
    <w:rsid w:val="00E4443D"/>
    <w:rsid w:val="00E4464B"/>
    <w:rsid w:val="00E44D1F"/>
    <w:rsid w:val="00E44D35"/>
    <w:rsid w:val="00E45634"/>
    <w:rsid w:val="00E4572C"/>
    <w:rsid w:val="00E46A18"/>
    <w:rsid w:val="00E47241"/>
    <w:rsid w:val="00E47393"/>
    <w:rsid w:val="00E47B82"/>
    <w:rsid w:val="00E508C0"/>
    <w:rsid w:val="00E50B37"/>
    <w:rsid w:val="00E51EE7"/>
    <w:rsid w:val="00E5256D"/>
    <w:rsid w:val="00E52627"/>
    <w:rsid w:val="00E527A7"/>
    <w:rsid w:val="00E52DBE"/>
    <w:rsid w:val="00E5426A"/>
    <w:rsid w:val="00E544AA"/>
    <w:rsid w:val="00E5605D"/>
    <w:rsid w:val="00E56569"/>
    <w:rsid w:val="00E56661"/>
    <w:rsid w:val="00E5690C"/>
    <w:rsid w:val="00E56ACA"/>
    <w:rsid w:val="00E57853"/>
    <w:rsid w:val="00E60958"/>
    <w:rsid w:val="00E60B49"/>
    <w:rsid w:val="00E616BC"/>
    <w:rsid w:val="00E61EFB"/>
    <w:rsid w:val="00E62A40"/>
    <w:rsid w:val="00E62ACD"/>
    <w:rsid w:val="00E633D8"/>
    <w:rsid w:val="00E638F5"/>
    <w:rsid w:val="00E63949"/>
    <w:rsid w:val="00E63A77"/>
    <w:rsid w:val="00E65207"/>
    <w:rsid w:val="00E652FD"/>
    <w:rsid w:val="00E65579"/>
    <w:rsid w:val="00E65F83"/>
    <w:rsid w:val="00E6638F"/>
    <w:rsid w:val="00E666F7"/>
    <w:rsid w:val="00E705E4"/>
    <w:rsid w:val="00E70B34"/>
    <w:rsid w:val="00E7145B"/>
    <w:rsid w:val="00E7161B"/>
    <w:rsid w:val="00E71C6A"/>
    <w:rsid w:val="00E71CF0"/>
    <w:rsid w:val="00E72511"/>
    <w:rsid w:val="00E72D30"/>
    <w:rsid w:val="00E73034"/>
    <w:rsid w:val="00E7322B"/>
    <w:rsid w:val="00E73BE9"/>
    <w:rsid w:val="00E74074"/>
    <w:rsid w:val="00E74251"/>
    <w:rsid w:val="00E74588"/>
    <w:rsid w:val="00E74733"/>
    <w:rsid w:val="00E74A12"/>
    <w:rsid w:val="00E74A91"/>
    <w:rsid w:val="00E7579C"/>
    <w:rsid w:val="00E75B25"/>
    <w:rsid w:val="00E767BF"/>
    <w:rsid w:val="00E76EE2"/>
    <w:rsid w:val="00E778A0"/>
    <w:rsid w:val="00E77BCB"/>
    <w:rsid w:val="00E800CC"/>
    <w:rsid w:val="00E80653"/>
    <w:rsid w:val="00E80669"/>
    <w:rsid w:val="00E80CCB"/>
    <w:rsid w:val="00E8137B"/>
    <w:rsid w:val="00E81AAD"/>
    <w:rsid w:val="00E81CC0"/>
    <w:rsid w:val="00E82321"/>
    <w:rsid w:val="00E825FD"/>
    <w:rsid w:val="00E832E5"/>
    <w:rsid w:val="00E832F9"/>
    <w:rsid w:val="00E8346E"/>
    <w:rsid w:val="00E83528"/>
    <w:rsid w:val="00E84751"/>
    <w:rsid w:val="00E84759"/>
    <w:rsid w:val="00E85925"/>
    <w:rsid w:val="00E86714"/>
    <w:rsid w:val="00E86B1D"/>
    <w:rsid w:val="00E86F0B"/>
    <w:rsid w:val="00E86FFF"/>
    <w:rsid w:val="00E871B4"/>
    <w:rsid w:val="00E87212"/>
    <w:rsid w:val="00E87C74"/>
    <w:rsid w:val="00E9122F"/>
    <w:rsid w:val="00E913B7"/>
    <w:rsid w:val="00E91B97"/>
    <w:rsid w:val="00E91B98"/>
    <w:rsid w:val="00E92228"/>
    <w:rsid w:val="00E92343"/>
    <w:rsid w:val="00E9252D"/>
    <w:rsid w:val="00E925B1"/>
    <w:rsid w:val="00E92A3C"/>
    <w:rsid w:val="00E94295"/>
    <w:rsid w:val="00E94891"/>
    <w:rsid w:val="00E94D34"/>
    <w:rsid w:val="00E94FE6"/>
    <w:rsid w:val="00E95148"/>
    <w:rsid w:val="00E959A0"/>
    <w:rsid w:val="00E96106"/>
    <w:rsid w:val="00E96ED9"/>
    <w:rsid w:val="00E96FB0"/>
    <w:rsid w:val="00EA0194"/>
    <w:rsid w:val="00EA0507"/>
    <w:rsid w:val="00EA0B36"/>
    <w:rsid w:val="00EA114D"/>
    <w:rsid w:val="00EA1A1D"/>
    <w:rsid w:val="00EA1AF9"/>
    <w:rsid w:val="00EA1FC0"/>
    <w:rsid w:val="00EA2598"/>
    <w:rsid w:val="00EA3018"/>
    <w:rsid w:val="00EA3958"/>
    <w:rsid w:val="00EA3FC3"/>
    <w:rsid w:val="00EA408D"/>
    <w:rsid w:val="00EA484F"/>
    <w:rsid w:val="00EA5F4C"/>
    <w:rsid w:val="00EA5F74"/>
    <w:rsid w:val="00EA5FC2"/>
    <w:rsid w:val="00EA675B"/>
    <w:rsid w:val="00EA6F01"/>
    <w:rsid w:val="00EA744E"/>
    <w:rsid w:val="00EA7ADC"/>
    <w:rsid w:val="00EA7B5A"/>
    <w:rsid w:val="00EA7BA0"/>
    <w:rsid w:val="00EB03F7"/>
    <w:rsid w:val="00EB0479"/>
    <w:rsid w:val="00EB0CA2"/>
    <w:rsid w:val="00EB11EB"/>
    <w:rsid w:val="00EB14C6"/>
    <w:rsid w:val="00EB1C40"/>
    <w:rsid w:val="00EB22E1"/>
    <w:rsid w:val="00EB26AE"/>
    <w:rsid w:val="00EB3394"/>
    <w:rsid w:val="00EB3756"/>
    <w:rsid w:val="00EB4B1C"/>
    <w:rsid w:val="00EB51C4"/>
    <w:rsid w:val="00EB5288"/>
    <w:rsid w:val="00EB52DF"/>
    <w:rsid w:val="00EB560D"/>
    <w:rsid w:val="00EB59C5"/>
    <w:rsid w:val="00EB5EFD"/>
    <w:rsid w:val="00EB645D"/>
    <w:rsid w:val="00EB7035"/>
    <w:rsid w:val="00EB70C5"/>
    <w:rsid w:val="00EB71D7"/>
    <w:rsid w:val="00EC01F9"/>
    <w:rsid w:val="00EC02EB"/>
    <w:rsid w:val="00EC054D"/>
    <w:rsid w:val="00EC0807"/>
    <w:rsid w:val="00EC08FD"/>
    <w:rsid w:val="00EC0CE6"/>
    <w:rsid w:val="00EC1310"/>
    <w:rsid w:val="00EC1372"/>
    <w:rsid w:val="00EC1A75"/>
    <w:rsid w:val="00EC1CCE"/>
    <w:rsid w:val="00EC20D8"/>
    <w:rsid w:val="00EC2711"/>
    <w:rsid w:val="00EC2A53"/>
    <w:rsid w:val="00EC34A3"/>
    <w:rsid w:val="00EC482C"/>
    <w:rsid w:val="00EC4EB4"/>
    <w:rsid w:val="00EC5009"/>
    <w:rsid w:val="00EC5B9B"/>
    <w:rsid w:val="00EC61B5"/>
    <w:rsid w:val="00EC6AF2"/>
    <w:rsid w:val="00EC6D27"/>
    <w:rsid w:val="00EC70B7"/>
    <w:rsid w:val="00EC773B"/>
    <w:rsid w:val="00EC7A10"/>
    <w:rsid w:val="00EC7A61"/>
    <w:rsid w:val="00EC7E2A"/>
    <w:rsid w:val="00EC7FFB"/>
    <w:rsid w:val="00ED061E"/>
    <w:rsid w:val="00ED0C7A"/>
    <w:rsid w:val="00ED0CDC"/>
    <w:rsid w:val="00ED0DEA"/>
    <w:rsid w:val="00ED10D3"/>
    <w:rsid w:val="00ED13FE"/>
    <w:rsid w:val="00ED16AF"/>
    <w:rsid w:val="00ED1802"/>
    <w:rsid w:val="00ED1A69"/>
    <w:rsid w:val="00ED1AF4"/>
    <w:rsid w:val="00ED2B4D"/>
    <w:rsid w:val="00ED3727"/>
    <w:rsid w:val="00ED3989"/>
    <w:rsid w:val="00ED3B27"/>
    <w:rsid w:val="00ED4F12"/>
    <w:rsid w:val="00ED52F2"/>
    <w:rsid w:val="00ED5377"/>
    <w:rsid w:val="00ED6049"/>
    <w:rsid w:val="00ED7FB4"/>
    <w:rsid w:val="00EE0140"/>
    <w:rsid w:val="00EE0562"/>
    <w:rsid w:val="00EE0784"/>
    <w:rsid w:val="00EE0E2D"/>
    <w:rsid w:val="00EE2337"/>
    <w:rsid w:val="00EE251A"/>
    <w:rsid w:val="00EE2D31"/>
    <w:rsid w:val="00EE3283"/>
    <w:rsid w:val="00EE32F4"/>
    <w:rsid w:val="00EE3D59"/>
    <w:rsid w:val="00EE463D"/>
    <w:rsid w:val="00EE4985"/>
    <w:rsid w:val="00EE51FF"/>
    <w:rsid w:val="00EE5980"/>
    <w:rsid w:val="00EE6286"/>
    <w:rsid w:val="00EE70A9"/>
    <w:rsid w:val="00EF003B"/>
    <w:rsid w:val="00EF00F2"/>
    <w:rsid w:val="00EF04C1"/>
    <w:rsid w:val="00EF09E6"/>
    <w:rsid w:val="00EF0A36"/>
    <w:rsid w:val="00EF0E0C"/>
    <w:rsid w:val="00EF0E92"/>
    <w:rsid w:val="00EF138E"/>
    <w:rsid w:val="00EF1DBD"/>
    <w:rsid w:val="00EF2138"/>
    <w:rsid w:val="00EF2510"/>
    <w:rsid w:val="00EF2CB6"/>
    <w:rsid w:val="00EF324C"/>
    <w:rsid w:val="00EF3660"/>
    <w:rsid w:val="00EF4161"/>
    <w:rsid w:val="00EF461B"/>
    <w:rsid w:val="00EF4D5D"/>
    <w:rsid w:val="00EF5552"/>
    <w:rsid w:val="00EF55A7"/>
    <w:rsid w:val="00EF6192"/>
    <w:rsid w:val="00EF6529"/>
    <w:rsid w:val="00EF665F"/>
    <w:rsid w:val="00EF68F7"/>
    <w:rsid w:val="00EF73DC"/>
    <w:rsid w:val="00EF78F8"/>
    <w:rsid w:val="00F00D72"/>
    <w:rsid w:val="00F01986"/>
    <w:rsid w:val="00F0213B"/>
    <w:rsid w:val="00F0264E"/>
    <w:rsid w:val="00F0351B"/>
    <w:rsid w:val="00F0364E"/>
    <w:rsid w:val="00F039A6"/>
    <w:rsid w:val="00F039E4"/>
    <w:rsid w:val="00F03D8D"/>
    <w:rsid w:val="00F03F45"/>
    <w:rsid w:val="00F042CA"/>
    <w:rsid w:val="00F04E98"/>
    <w:rsid w:val="00F04F42"/>
    <w:rsid w:val="00F04F63"/>
    <w:rsid w:val="00F04FFB"/>
    <w:rsid w:val="00F05171"/>
    <w:rsid w:val="00F05DFB"/>
    <w:rsid w:val="00F06E2D"/>
    <w:rsid w:val="00F06E51"/>
    <w:rsid w:val="00F07089"/>
    <w:rsid w:val="00F075A9"/>
    <w:rsid w:val="00F0763D"/>
    <w:rsid w:val="00F07ED9"/>
    <w:rsid w:val="00F10074"/>
    <w:rsid w:val="00F10148"/>
    <w:rsid w:val="00F10B9C"/>
    <w:rsid w:val="00F11602"/>
    <w:rsid w:val="00F11622"/>
    <w:rsid w:val="00F11A74"/>
    <w:rsid w:val="00F11B29"/>
    <w:rsid w:val="00F11C23"/>
    <w:rsid w:val="00F12C2D"/>
    <w:rsid w:val="00F12CBA"/>
    <w:rsid w:val="00F12DFD"/>
    <w:rsid w:val="00F12FE9"/>
    <w:rsid w:val="00F13208"/>
    <w:rsid w:val="00F132AB"/>
    <w:rsid w:val="00F134B6"/>
    <w:rsid w:val="00F13728"/>
    <w:rsid w:val="00F13990"/>
    <w:rsid w:val="00F13C18"/>
    <w:rsid w:val="00F14111"/>
    <w:rsid w:val="00F142C8"/>
    <w:rsid w:val="00F14506"/>
    <w:rsid w:val="00F152DC"/>
    <w:rsid w:val="00F16273"/>
    <w:rsid w:val="00F16A90"/>
    <w:rsid w:val="00F17394"/>
    <w:rsid w:val="00F17653"/>
    <w:rsid w:val="00F17CE6"/>
    <w:rsid w:val="00F17DF9"/>
    <w:rsid w:val="00F20581"/>
    <w:rsid w:val="00F2068C"/>
    <w:rsid w:val="00F215D9"/>
    <w:rsid w:val="00F218FB"/>
    <w:rsid w:val="00F2297E"/>
    <w:rsid w:val="00F22C2D"/>
    <w:rsid w:val="00F23419"/>
    <w:rsid w:val="00F23AFB"/>
    <w:rsid w:val="00F243AC"/>
    <w:rsid w:val="00F24FA6"/>
    <w:rsid w:val="00F257E6"/>
    <w:rsid w:val="00F261EE"/>
    <w:rsid w:val="00F269FD"/>
    <w:rsid w:val="00F26BBE"/>
    <w:rsid w:val="00F26CE8"/>
    <w:rsid w:val="00F2719D"/>
    <w:rsid w:val="00F275CA"/>
    <w:rsid w:val="00F27644"/>
    <w:rsid w:val="00F303E0"/>
    <w:rsid w:val="00F307AE"/>
    <w:rsid w:val="00F309AD"/>
    <w:rsid w:val="00F309AE"/>
    <w:rsid w:val="00F311E3"/>
    <w:rsid w:val="00F314F0"/>
    <w:rsid w:val="00F316E1"/>
    <w:rsid w:val="00F31E6F"/>
    <w:rsid w:val="00F323C1"/>
    <w:rsid w:val="00F32DCA"/>
    <w:rsid w:val="00F33242"/>
    <w:rsid w:val="00F335DB"/>
    <w:rsid w:val="00F33F00"/>
    <w:rsid w:val="00F343A9"/>
    <w:rsid w:val="00F34887"/>
    <w:rsid w:val="00F34D62"/>
    <w:rsid w:val="00F34F35"/>
    <w:rsid w:val="00F359F4"/>
    <w:rsid w:val="00F35DCD"/>
    <w:rsid w:val="00F35F21"/>
    <w:rsid w:val="00F36153"/>
    <w:rsid w:val="00F36381"/>
    <w:rsid w:val="00F366AE"/>
    <w:rsid w:val="00F37DEC"/>
    <w:rsid w:val="00F402C7"/>
    <w:rsid w:val="00F40440"/>
    <w:rsid w:val="00F4082B"/>
    <w:rsid w:val="00F410B7"/>
    <w:rsid w:val="00F42A97"/>
    <w:rsid w:val="00F4371C"/>
    <w:rsid w:val="00F43740"/>
    <w:rsid w:val="00F4384A"/>
    <w:rsid w:val="00F438AF"/>
    <w:rsid w:val="00F43999"/>
    <w:rsid w:val="00F43DEE"/>
    <w:rsid w:val="00F44A7B"/>
    <w:rsid w:val="00F45B7E"/>
    <w:rsid w:val="00F46C89"/>
    <w:rsid w:val="00F46D3D"/>
    <w:rsid w:val="00F46DCB"/>
    <w:rsid w:val="00F47574"/>
    <w:rsid w:val="00F478EF"/>
    <w:rsid w:val="00F50525"/>
    <w:rsid w:val="00F508E9"/>
    <w:rsid w:val="00F50EF6"/>
    <w:rsid w:val="00F5106A"/>
    <w:rsid w:val="00F518B6"/>
    <w:rsid w:val="00F52424"/>
    <w:rsid w:val="00F524B4"/>
    <w:rsid w:val="00F531BD"/>
    <w:rsid w:val="00F53296"/>
    <w:rsid w:val="00F53EBE"/>
    <w:rsid w:val="00F54277"/>
    <w:rsid w:val="00F543C6"/>
    <w:rsid w:val="00F543EF"/>
    <w:rsid w:val="00F55102"/>
    <w:rsid w:val="00F55A40"/>
    <w:rsid w:val="00F55EE6"/>
    <w:rsid w:val="00F56B87"/>
    <w:rsid w:val="00F56F71"/>
    <w:rsid w:val="00F5752F"/>
    <w:rsid w:val="00F60DF8"/>
    <w:rsid w:val="00F615A3"/>
    <w:rsid w:val="00F62179"/>
    <w:rsid w:val="00F6283D"/>
    <w:rsid w:val="00F62E83"/>
    <w:rsid w:val="00F63104"/>
    <w:rsid w:val="00F632C0"/>
    <w:rsid w:val="00F638DD"/>
    <w:rsid w:val="00F63CE6"/>
    <w:rsid w:val="00F64890"/>
    <w:rsid w:val="00F6497D"/>
    <w:rsid w:val="00F64A05"/>
    <w:rsid w:val="00F64C8A"/>
    <w:rsid w:val="00F651C4"/>
    <w:rsid w:val="00F6531E"/>
    <w:rsid w:val="00F662F8"/>
    <w:rsid w:val="00F667B8"/>
    <w:rsid w:val="00F6696F"/>
    <w:rsid w:val="00F66B59"/>
    <w:rsid w:val="00F672D3"/>
    <w:rsid w:val="00F67E8E"/>
    <w:rsid w:val="00F7041C"/>
    <w:rsid w:val="00F7076C"/>
    <w:rsid w:val="00F70B24"/>
    <w:rsid w:val="00F721F1"/>
    <w:rsid w:val="00F72430"/>
    <w:rsid w:val="00F725C2"/>
    <w:rsid w:val="00F725F5"/>
    <w:rsid w:val="00F72E2E"/>
    <w:rsid w:val="00F73029"/>
    <w:rsid w:val="00F73202"/>
    <w:rsid w:val="00F734C9"/>
    <w:rsid w:val="00F73810"/>
    <w:rsid w:val="00F73A4C"/>
    <w:rsid w:val="00F73A7A"/>
    <w:rsid w:val="00F73BB6"/>
    <w:rsid w:val="00F74EA1"/>
    <w:rsid w:val="00F754F5"/>
    <w:rsid w:val="00F75A90"/>
    <w:rsid w:val="00F75CC0"/>
    <w:rsid w:val="00F763D2"/>
    <w:rsid w:val="00F76A58"/>
    <w:rsid w:val="00F76BD8"/>
    <w:rsid w:val="00F76F41"/>
    <w:rsid w:val="00F7713A"/>
    <w:rsid w:val="00F8038D"/>
    <w:rsid w:val="00F808F9"/>
    <w:rsid w:val="00F80ED9"/>
    <w:rsid w:val="00F80F04"/>
    <w:rsid w:val="00F81738"/>
    <w:rsid w:val="00F818F3"/>
    <w:rsid w:val="00F81CF3"/>
    <w:rsid w:val="00F82269"/>
    <w:rsid w:val="00F823A3"/>
    <w:rsid w:val="00F8248A"/>
    <w:rsid w:val="00F827ED"/>
    <w:rsid w:val="00F82993"/>
    <w:rsid w:val="00F82997"/>
    <w:rsid w:val="00F82AE0"/>
    <w:rsid w:val="00F82BAE"/>
    <w:rsid w:val="00F830F7"/>
    <w:rsid w:val="00F83275"/>
    <w:rsid w:val="00F8417B"/>
    <w:rsid w:val="00F84EA0"/>
    <w:rsid w:val="00F84EAE"/>
    <w:rsid w:val="00F85E8D"/>
    <w:rsid w:val="00F86004"/>
    <w:rsid w:val="00F8605A"/>
    <w:rsid w:val="00F869CF"/>
    <w:rsid w:val="00F86DDB"/>
    <w:rsid w:val="00F86F0F"/>
    <w:rsid w:val="00F8781E"/>
    <w:rsid w:val="00F87D09"/>
    <w:rsid w:val="00F87DA2"/>
    <w:rsid w:val="00F90543"/>
    <w:rsid w:val="00F90E2D"/>
    <w:rsid w:val="00F90E64"/>
    <w:rsid w:val="00F91868"/>
    <w:rsid w:val="00F922F1"/>
    <w:rsid w:val="00F924C5"/>
    <w:rsid w:val="00F93512"/>
    <w:rsid w:val="00F936E0"/>
    <w:rsid w:val="00F942E3"/>
    <w:rsid w:val="00F948E9"/>
    <w:rsid w:val="00F95793"/>
    <w:rsid w:val="00F96CBD"/>
    <w:rsid w:val="00F96D53"/>
    <w:rsid w:val="00F96F7A"/>
    <w:rsid w:val="00F97BA6"/>
    <w:rsid w:val="00F97EA0"/>
    <w:rsid w:val="00F97EB4"/>
    <w:rsid w:val="00FA002B"/>
    <w:rsid w:val="00FA055F"/>
    <w:rsid w:val="00FA1373"/>
    <w:rsid w:val="00FA17DF"/>
    <w:rsid w:val="00FA1843"/>
    <w:rsid w:val="00FA20BD"/>
    <w:rsid w:val="00FA273F"/>
    <w:rsid w:val="00FA2C4C"/>
    <w:rsid w:val="00FA4069"/>
    <w:rsid w:val="00FA42C7"/>
    <w:rsid w:val="00FA477F"/>
    <w:rsid w:val="00FA4B27"/>
    <w:rsid w:val="00FA5364"/>
    <w:rsid w:val="00FA6874"/>
    <w:rsid w:val="00FA6EBC"/>
    <w:rsid w:val="00FA7FD6"/>
    <w:rsid w:val="00FB1212"/>
    <w:rsid w:val="00FB1297"/>
    <w:rsid w:val="00FB17FB"/>
    <w:rsid w:val="00FB1802"/>
    <w:rsid w:val="00FB19C9"/>
    <w:rsid w:val="00FB1FAB"/>
    <w:rsid w:val="00FB240E"/>
    <w:rsid w:val="00FB3197"/>
    <w:rsid w:val="00FB33E4"/>
    <w:rsid w:val="00FB3BE0"/>
    <w:rsid w:val="00FB406F"/>
    <w:rsid w:val="00FB4C0E"/>
    <w:rsid w:val="00FB4DF7"/>
    <w:rsid w:val="00FB64EF"/>
    <w:rsid w:val="00FB74D1"/>
    <w:rsid w:val="00FB7756"/>
    <w:rsid w:val="00FB7F94"/>
    <w:rsid w:val="00FC085B"/>
    <w:rsid w:val="00FC0D19"/>
    <w:rsid w:val="00FC15DD"/>
    <w:rsid w:val="00FC1E35"/>
    <w:rsid w:val="00FC1F3D"/>
    <w:rsid w:val="00FC233B"/>
    <w:rsid w:val="00FC2AAD"/>
    <w:rsid w:val="00FC3835"/>
    <w:rsid w:val="00FC3F03"/>
    <w:rsid w:val="00FC41CF"/>
    <w:rsid w:val="00FC51C4"/>
    <w:rsid w:val="00FC55E9"/>
    <w:rsid w:val="00FC567D"/>
    <w:rsid w:val="00FC5D8B"/>
    <w:rsid w:val="00FC6299"/>
    <w:rsid w:val="00FC733D"/>
    <w:rsid w:val="00FC7575"/>
    <w:rsid w:val="00FC79D2"/>
    <w:rsid w:val="00FD0547"/>
    <w:rsid w:val="00FD0874"/>
    <w:rsid w:val="00FD097A"/>
    <w:rsid w:val="00FD0D7F"/>
    <w:rsid w:val="00FD1D7E"/>
    <w:rsid w:val="00FD2134"/>
    <w:rsid w:val="00FD29B3"/>
    <w:rsid w:val="00FD376E"/>
    <w:rsid w:val="00FD4012"/>
    <w:rsid w:val="00FD4486"/>
    <w:rsid w:val="00FD4489"/>
    <w:rsid w:val="00FD4827"/>
    <w:rsid w:val="00FD4847"/>
    <w:rsid w:val="00FD4D0B"/>
    <w:rsid w:val="00FD5304"/>
    <w:rsid w:val="00FD579D"/>
    <w:rsid w:val="00FD58AE"/>
    <w:rsid w:val="00FD5C96"/>
    <w:rsid w:val="00FD5FE9"/>
    <w:rsid w:val="00FD783F"/>
    <w:rsid w:val="00FD7901"/>
    <w:rsid w:val="00FD7A57"/>
    <w:rsid w:val="00FE091D"/>
    <w:rsid w:val="00FE145C"/>
    <w:rsid w:val="00FE17DF"/>
    <w:rsid w:val="00FE1918"/>
    <w:rsid w:val="00FE1D26"/>
    <w:rsid w:val="00FE20E6"/>
    <w:rsid w:val="00FE3454"/>
    <w:rsid w:val="00FE38D4"/>
    <w:rsid w:val="00FE3A8B"/>
    <w:rsid w:val="00FE412D"/>
    <w:rsid w:val="00FE41E0"/>
    <w:rsid w:val="00FE43FE"/>
    <w:rsid w:val="00FE482F"/>
    <w:rsid w:val="00FE5265"/>
    <w:rsid w:val="00FE551E"/>
    <w:rsid w:val="00FE5752"/>
    <w:rsid w:val="00FE5DE7"/>
    <w:rsid w:val="00FE5F69"/>
    <w:rsid w:val="00FE630D"/>
    <w:rsid w:val="00FE6E9B"/>
    <w:rsid w:val="00FE705F"/>
    <w:rsid w:val="00FE747A"/>
    <w:rsid w:val="00FE7B73"/>
    <w:rsid w:val="00FE7C26"/>
    <w:rsid w:val="00FF0948"/>
    <w:rsid w:val="00FF0D06"/>
    <w:rsid w:val="00FF185A"/>
    <w:rsid w:val="00FF228F"/>
    <w:rsid w:val="00FF3251"/>
    <w:rsid w:val="00FF3436"/>
    <w:rsid w:val="00FF34A0"/>
    <w:rsid w:val="00FF3D51"/>
    <w:rsid w:val="00FF4765"/>
    <w:rsid w:val="00FF4B0E"/>
    <w:rsid w:val="00FF4CA9"/>
    <w:rsid w:val="00FF5173"/>
    <w:rsid w:val="00FF56EF"/>
    <w:rsid w:val="00FF5F46"/>
    <w:rsid w:val="00FF6013"/>
    <w:rsid w:val="00FF669F"/>
    <w:rsid w:val="00FF6B28"/>
    <w:rsid w:val="00FF7667"/>
    <w:rsid w:val="00FF7BF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379880"/>
  <w14:defaultImageDpi w14:val="32767"/>
  <w15:docId w15:val="{46170873-1348-421E-B336-EC82B0BAF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25F"/>
    <w:pPr>
      <w:spacing w:line="360" w:lineRule="auto"/>
      <w:jc w:val="both"/>
    </w:pPr>
    <w:rPr>
      <w:rFonts w:ascii="Times New Roman" w:hAnsi="Times New Roman"/>
      <w:sz w:val="24"/>
    </w:rPr>
  </w:style>
  <w:style w:type="paragraph" w:styleId="Heading1">
    <w:name w:val="heading 1"/>
    <w:aliases w:val="Chapter"/>
    <w:basedOn w:val="Normal"/>
    <w:next w:val="Normal"/>
    <w:link w:val="Heading1Char"/>
    <w:uiPriority w:val="9"/>
    <w:qFormat/>
    <w:rsid w:val="00971E63"/>
    <w:pPr>
      <w:keepNext/>
      <w:keepLines/>
      <w:numPr>
        <w:numId w:val="1"/>
      </w:numPr>
      <w:spacing w:before="240" w:after="240"/>
      <w:outlineLvl w:val="0"/>
    </w:pPr>
    <w:rPr>
      <w:rFonts w:eastAsiaTheme="majorEastAsia" w:cstheme="majorBidi"/>
      <w:b/>
      <w:caps/>
      <w:sz w:val="28"/>
      <w:szCs w:val="32"/>
    </w:rPr>
  </w:style>
  <w:style w:type="paragraph" w:styleId="Heading2">
    <w:name w:val="heading 2"/>
    <w:basedOn w:val="Heading1"/>
    <w:next w:val="Normal"/>
    <w:link w:val="Heading2Char"/>
    <w:uiPriority w:val="9"/>
    <w:unhideWhenUsed/>
    <w:qFormat/>
    <w:rsid w:val="00A8553D"/>
    <w:pPr>
      <w:numPr>
        <w:ilvl w:val="1"/>
      </w:numPr>
      <w:outlineLvl w:val="1"/>
    </w:pPr>
    <w:rPr>
      <w:caps w:val="0"/>
      <w:sz w:val="24"/>
      <w:szCs w:val="26"/>
    </w:rPr>
  </w:style>
  <w:style w:type="paragraph" w:styleId="Heading3">
    <w:name w:val="heading 3"/>
    <w:basedOn w:val="Normal"/>
    <w:next w:val="Normal"/>
    <w:link w:val="Heading3Char"/>
    <w:uiPriority w:val="9"/>
    <w:unhideWhenUsed/>
    <w:qFormat/>
    <w:rsid w:val="00D7204B"/>
    <w:pPr>
      <w:keepNext/>
      <w:keepLines/>
      <w:numPr>
        <w:ilvl w:val="2"/>
        <w:numId w:val="1"/>
      </w:numPr>
      <w:spacing w:before="40" w:after="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4926BC"/>
    <w:pPr>
      <w:keepNext/>
      <w:keepLines/>
      <w:numPr>
        <w:ilvl w:val="3"/>
        <w:numId w:val="1"/>
      </w:numPr>
      <w:spacing w:before="240" w:after="0"/>
      <w:ind w:left="862" w:hanging="862"/>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4926BC"/>
    <w:pPr>
      <w:keepNext/>
      <w:keepLines/>
      <w:numPr>
        <w:ilvl w:val="4"/>
        <w:numId w:val="1"/>
      </w:numPr>
      <w:spacing w:before="40" w:after="0"/>
      <w:outlineLvl w:val="4"/>
    </w:pPr>
    <w:rPr>
      <w:rFonts w:eastAsiaTheme="majorEastAsia" w:cstheme="majorBidi"/>
      <w:i/>
    </w:rPr>
  </w:style>
  <w:style w:type="paragraph" w:styleId="Heading6">
    <w:name w:val="heading 6"/>
    <w:basedOn w:val="Normal"/>
    <w:next w:val="Normal"/>
    <w:link w:val="Heading6Char"/>
    <w:uiPriority w:val="9"/>
    <w:unhideWhenUsed/>
    <w:qFormat/>
    <w:rsid w:val="00FC41CF"/>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FC41CF"/>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FC41CF"/>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FC41CF"/>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Char"/>
    <w:basedOn w:val="DefaultParagraphFont"/>
    <w:link w:val="Heading1"/>
    <w:uiPriority w:val="9"/>
    <w:rsid w:val="00971E63"/>
    <w:rPr>
      <w:rFonts w:ascii="Times New Roman" w:eastAsiaTheme="majorEastAsia" w:hAnsi="Times New Roman" w:cstheme="majorBidi"/>
      <w:b/>
      <w:caps/>
      <w:sz w:val="28"/>
      <w:szCs w:val="32"/>
    </w:rPr>
  </w:style>
  <w:style w:type="character" w:customStyle="1" w:styleId="Heading2Char">
    <w:name w:val="Heading 2 Char"/>
    <w:basedOn w:val="DefaultParagraphFont"/>
    <w:link w:val="Heading2"/>
    <w:uiPriority w:val="9"/>
    <w:rsid w:val="00A8553D"/>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D7204B"/>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4926BC"/>
    <w:rPr>
      <w:rFonts w:ascii="Times New Roman" w:eastAsiaTheme="majorEastAsia" w:hAnsi="Times New Roman" w:cstheme="majorBidi"/>
      <w:b/>
      <w:i/>
      <w:iCs/>
      <w:sz w:val="24"/>
    </w:rPr>
  </w:style>
  <w:style w:type="character" w:customStyle="1" w:styleId="Heading5Char">
    <w:name w:val="Heading 5 Char"/>
    <w:basedOn w:val="DefaultParagraphFont"/>
    <w:link w:val="Heading5"/>
    <w:uiPriority w:val="9"/>
    <w:rsid w:val="004926BC"/>
    <w:rPr>
      <w:rFonts w:ascii="Times New Roman" w:eastAsiaTheme="majorEastAsia" w:hAnsi="Times New Roman" w:cstheme="majorBidi"/>
      <w:i/>
      <w:sz w:val="24"/>
    </w:rPr>
  </w:style>
  <w:style w:type="character" w:customStyle="1" w:styleId="Heading6Char">
    <w:name w:val="Heading 6 Char"/>
    <w:basedOn w:val="DefaultParagraphFont"/>
    <w:link w:val="Heading6"/>
    <w:uiPriority w:val="9"/>
    <w:rsid w:val="00FC41CF"/>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rsid w:val="00FC41CF"/>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rsid w:val="00FC41C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41CF"/>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B96100"/>
    <w:pPr>
      <w:spacing w:before="180" w:after="0"/>
      <w:ind w:left="720"/>
      <w:contextualSpacing/>
    </w:pPr>
    <w:rPr>
      <w:rFonts w:ascii="Arial" w:eastAsia="Times New Roman" w:hAnsi="Arial" w:cs="Times New Roman"/>
      <w:szCs w:val="24"/>
      <w:lang w:eastAsia="en-US"/>
    </w:rPr>
  </w:style>
  <w:style w:type="paragraph" w:styleId="Title">
    <w:name w:val="Title"/>
    <w:basedOn w:val="Normal"/>
    <w:next w:val="Normal"/>
    <w:link w:val="TitleChar"/>
    <w:uiPriority w:val="10"/>
    <w:qFormat/>
    <w:rsid w:val="00580FFB"/>
    <w:pPr>
      <w:spacing w:after="0" w:line="240" w:lineRule="auto"/>
      <w:contextualSpacing/>
    </w:pPr>
    <w:rPr>
      <w:rFonts w:eastAsiaTheme="majorEastAsia" w:cstheme="majorBidi"/>
      <w:b/>
      <w:spacing w:val="-10"/>
      <w:kern w:val="28"/>
      <w:sz w:val="28"/>
      <w:szCs w:val="56"/>
    </w:rPr>
  </w:style>
  <w:style w:type="character" w:customStyle="1" w:styleId="TitleChar">
    <w:name w:val="Title Char"/>
    <w:basedOn w:val="DefaultParagraphFont"/>
    <w:link w:val="Title"/>
    <w:uiPriority w:val="10"/>
    <w:rsid w:val="00580FFB"/>
    <w:rPr>
      <w:rFonts w:ascii="Times New Roman" w:eastAsiaTheme="majorEastAsia" w:hAnsi="Times New Roman" w:cstheme="majorBidi"/>
      <w:b/>
      <w:spacing w:val="-10"/>
      <w:kern w:val="28"/>
      <w:sz w:val="28"/>
      <w:szCs w:val="56"/>
    </w:rPr>
  </w:style>
  <w:style w:type="character" w:styleId="Emphasis">
    <w:name w:val="Emphasis"/>
    <w:basedOn w:val="DefaultParagraphFont"/>
    <w:uiPriority w:val="20"/>
    <w:qFormat/>
    <w:rsid w:val="00E86FFF"/>
    <w:rPr>
      <w:i/>
      <w:iCs/>
    </w:rPr>
  </w:style>
  <w:style w:type="paragraph" w:styleId="EndnoteText">
    <w:name w:val="endnote text"/>
    <w:basedOn w:val="Normal"/>
    <w:link w:val="EndnoteTextChar"/>
    <w:uiPriority w:val="99"/>
    <w:semiHidden/>
    <w:unhideWhenUsed/>
    <w:rsid w:val="005B6E6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B6E66"/>
    <w:rPr>
      <w:rFonts w:ascii="Times New Roman" w:hAnsi="Times New Roman"/>
      <w:sz w:val="20"/>
      <w:szCs w:val="20"/>
    </w:rPr>
  </w:style>
  <w:style w:type="character" w:styleId="EndnoteReference">
    <w:name w:val="endnote reference"/>
    <w:basedOn w:val="DefaultParagraphFont"/>
    <w:uiPriority w:val="99"/>
    <w:semiHidden/>
    <w:unhideWhenUsed/>
    <w:rsid w:val="005B6E66"/>
    <w:rPr>
      <w:vertAlign w:val="superscript"/>
    </w:rPr>
  </w:style>
  <w:style w:type="paragraph" w:styleId="BodyTextIndent">
    <w:name w:val="Body Text Indent"/>
    <w:basedOn w:val="Normal"/>
    <w:link w:val="BodyTextIndentChar"/>
    <w:uiPriority w:val="99"/>
    <w:rsid w:val="00FF3251"/>
    <w:pPr>
      <w:suppressAutoHyphens/>
      <w:spacing w:after="0" w:line="240" w:lineRule="auto"/>
      <w:ind w:firstLine="360"/>
    </w:pPr>
    <w:rPr>
      <w:rFonts w:eastAsia="Times New Roman" w:cs="Times New Roman"/>
      <w:kern w:val="14"/>
      <w:sz w:val="20"/>
      <w:szCs w:val="20"/>
      <w:lang w:val="en-US" w:eastAsia="en-US"/>
    </w:rPr>
  </w:style>
  <w:style w:type="character" w:customStyle="1" w:styleId="BodyTextIndentChar">
    <w:name w:val="Body Text Indent Char"/>
    <w:basedOn w:val="DefaultParagraphFont"/>
    <w:link w:val="BodyTextIndent"/>
    <w:uiPriority w:val="99"/>
    <w:semiHidden/>
    <w:rsid w:val="00FF3251"/>
    <w:rPr>
      <w:rFonts w:ascii="Times New Roman" w:eastAsia="Times New Roman" w:hAnsi="Times New Roman" w:cs="Times New Roman"/>
      <w:kern w:val="14"/>
      <w:sz w:val="20"/>
      <w:szCs w:val="20"/>
      <w:lang w:val="en-US" w:eastAsia="en-US"/>
    </w:rPr>
  </w:style>
  <w:style w:type="paragraph" w:styleId="FootnoteText">
    <w:name w:val="footnote text"/>
    <w:basedOn w:val="Normal"/>
    <w:link w:val="FootnoteTextChar"/>
    <w:uiPriority w:val="99"/>
    <w:semiHidden/>
    <w:unhideWhenUsed/>
    <w:rsid w:val="00FF325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F3251"/>
    <w:rPr>
      <w:rFonts w:ascii="Times New Roman" w:hAnsi="Times New Roman"/>
      <w:sz w:val="20"/>
      <w:szCs w:val="20"/>
    </w:rPr>
  </w:style>
  <w:style w:type="character" w:styleId="FootnoteReference">
    <w:name w:val="footnote reference"/>
    <w:basedOn w:val="DefaultParagraphFont"/>
    <w:uiPriority w:val="99"/>
    <w:semiHidden/>
    <w:unhideWhenUsed/>
    <w:rsid w:val="00FF3251"/>
    <w:rPr>
      <w:vertAlign w:val="superscript"/>
    </w:rPr>
  </w:style>
  <w:style w:type="paragraph" w:styleId="Caption">
    <w:name w:val="caption"/>
    <w:aliases w:val="Equation,Figure"/>
    <w:basedOn w:val="Normal"/>
    <w:next w:val="Normal"/>
    <w:unhideWhenUsed/>
    <w:qFormat/>
    <w:rsid w:val="00ED061E"/>
    <w:pPr>
      <w:spacing w:after="200" w:line="240" w:lineRule="auto"/>
    </w:pPr>
    <w:rPr>
      <w:i/>
      <w:iCs/>
      <w:sz w:val="20"/>
      <w:szCs w:val="18"/>
    </w:rPr>
  </w:style>
  <w:style w:type="character" w:styleId="PlaceholderText">
    <w:name w:val="Placeholder Text"/>
    <w:basedOn w:val="DefaultParagraphFont"/>
    <w:uiPriority w:val="99"/>
    <w:semiHidden/>
    <w:rsid w:val="00F40440"/>
    <w:rPr>
      <w:color w:val="808080"/>
    </w:rPr>
  </w:style>
  <w:style w:type="table" w:styleId="TableGrid">
    <w:name w:val="Table Grid"/>
    <w:basedOn w:val="TableNormal"/>
    <w:rsid w:val="009939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table-text">
    <w:name w:val="Els-table-text"/>
    <w:rsid w:val="0098392F"/>
    <w:pPr>
      <w:spacing w:after="80" w:line="200" w:lineRule="exact"/>
    </w:pPr>
    <w:rPr>
      <w:rFonts w:ascii="Times New Roman" w:eastAsia="宋体" w:hAnsi="Times New Roman" w:cs="Times New Roman"/>
      <w:sz w:val="16"/>
      <w:szCs w:val="20"/>
      <w:lang w:val="en-US" w:eastAsia="en-US"/>
    </w:rPr>
  </w:style>
  <w:style w:type="paragraph" w:styleId="BodyTextIndent2">
    <w:name w:val="Body Text Indent 2"/>
    <w:basedOn w:val="Normal"/>
    <w:link w:val="BodyTextIndent2Char"/>
    <w:uiPriority w:val="99"/>
    <w:unhideWhenUsed/>
    <w:rsid w:val="0098392F"/>
    <w:pPr>
      <w:widowControl w:val="0"/>
      <w:spacing w:after="120" w:line="480" w:lineRule="auto"/>
      <w:ind w:left="283"/>
      <w:jc w:val="left"/>
    </w:pPr>
    <w:rPr>
      <w:rFonts w:eastAsia="宋体" w:cs="Times New Roman"/>
      <w:sz w:val="20"/>
      <w:szCs w:val="20"/>
      <w:lang w:eastAsia="en-US"/>
    </w:rPr>
  </w:style>
  <w:style w:type="character" w:customStyle="1" w:styleId="BodyTextIndent2Char">
    <w:name w:val="Body Text Indent 2 Char"/>
    <w:basedOn w:val="DefaultParagraphFont"/>
    <w:link w:val="BodyTextIndent2"/>
    <w:uiPriority w:val="99"/>
    <w:rsid w:val="0098392F"/>
    <w:rPr>
      <w:rFonts w:ascii="Times New Roman" w:eastAsia="宋体" w:hAnsi="Times New Roman" w:cs="Times New Roman"/>
      <w:sz w:val="20"/>
      <w:szCs w:val="20"/>
      <w:lang w:eastAsia="en-US"/>
    </w:rPr>
  </w:style>
  <w:style w:type="paragraph" w:customStyle="1" w:styleId="fig">
    <w:name w:val="fig"/>
    <w:basedOn w:val="BodyTextIndent2"/>
    <w:rsid w:val="00F10148"/>
    <w:pPr>
      <w:widowControl/>
      <w:spacing w:after="0" w:line="240" w:lineRule="auto"/>
      <w:ind w:left="426" w:right="423"/>
      <w:jc w:val="center"/>
    </w:pPr>
    <w:rPr>
      <w:sz w:val="18"/>
      <w:lang w:eastAsia="en-GB"/>
    </w:rPr>
  </w:style>
  <w:style w:type="paragraph" w:styleId="TableofFigures">
    <w:name w:val="table of figures"/>
    <w:basedOn w:val="Normal"/>
    <w:next w:val="Normal"/>
    <w:uiPriority w:val="99"/>
    <w:unhideWhenUsed/>
    <w:rsid w:val="009A3080"/>
    <w:pPr>
      <w:spacing w:after="0"/>
      <w:ind w:left="480" w:hanging="480"/>
      <w:jc w:val="left"/>
    </w:pPr>
    <w:rPr>
      <w:rFonts w:asciiTheme="minorHAnsi" w:hAnsiTheme="minorHAnsi" w:cstheme="minorHAnsi"/>
      <w:b/>
      <w:bCs/>
      <w:sz w:val="20"/>
      <w:szCs w:val="20"/>
    </w:rPr>
  </w:style>
  <w:style w:type="character" w:styleId="Hyperlink">
    <w:name w:val="Hyperlink"/>
    <w:basedOn w:val="DefaultParagraphFont"/>
    <w:uiPriority w:val="99"/>
    <w:unhideWhenUsed/>
    <w:rsid w:val="009A3080"/>
    <w:rPr>
      <w:color w:val="0563C1" w:themeColor="hyperlink"/>
      <w:u w:val="single"/>
    </w:rPr>
  </w:style>
  <w:style w:type="paragraph" w:styleId="TOCHeading">
    <w:name w:val="TOC Heading"/>
    <w:basedOn w:val="Heading1"/>
    <w:next w:val="Normal"/>
    <w:uiPriority w:val="39"/>
    <w:unhideWhenUsed/>
    <w:qFormat/>
    <w:rsid w:val="006663AC"/>
    <w:pPr>
      <w:numPr>
        <w:numId w:val="0"/>
      </w:numPr>
      <w:spacing w:line="259" w:lineRule="auto"/>
      <w:jc w:val="left"/>
      <w:outlineLvl w:val="9"/>
    </w:pPr>
    <w:rPr>
      <w:rFonts w:asciiTheme="majorHAnsi" w:hAnsiTheme="majorHAnsi"/>
      <w:b w:val="0"/>
      <w:color w:val="2F5496" w:themeColor="accent1" w:themeShade="BF"/>
      <w:sz w:val="32"/>
      <w:lang w:val="en-US" w:eastAsia="en-US"/>
    </w:rPr>
  </w:style>
  <w:style w:type="paragraph" w:styleId="TOC1">
    <w:name w:val="toc 1"/>
    <w:basedOn w:val="Normal"/>
    <w:next w:val="Normal"/>
    <w:autoRedefine/>
    <w:uiPriority w:val="39"/>
    <w:unhideWhenUsed/>
    <w:qFormat/>
    <w:rsid w:val="0077011F"/>
    <w:pPr>
      <w:tabs>
        <w:tab w:val="left" w:pos="1320"/>
        <w:tab w:val="right" w:leader="dot" w:pos="8755"/>
      </w:tabs>
      <w:spacing w:after="100"/>
    </w:pPr>
    <w:rPr>
      <w:b/>
      <w:noProof/>
    </w:rPr>
  </w:style>
  <w:style w:type="paragraph" w:styleId="TOC2">
    <w:name w:val="toc 2"/>
    <w:basedOn w:val="Normal"/>
    <w:next w:val="Normal"/>
    <w:autoRedefine/>
    <w:uiPriority w:val="39"/>
    <w:unhideWhenUsed/>
    <w:qFormat/>
    <w:rsid w:val="005857DB"/>
    <w:pPr>
      <w:tabs>
        <w:tab w:val="left" w:pos="880"/>
        <w:tab w:val="right" w:leader="dot" w:pos="8755"/>
      </w:tabs>
      <w:spacing w:after="100"/>
      <w:ind w:left="238"/>
    </w:pPr>
  </w:style>
  <w:style w:type="character" w:customStyle="1" w:styleId="apple-converted-space">
    <w:name w:val="apple-converted-space"/>
    <w:basedOn w:val="DefaultParagraphFont"/>
    <w:rsid w:val="00197587"/>
  </w:style>
  <w:style w:type="paragraph" w:customStyle="1" w:styleId="Default">
    <w:name w:val="Default"/>
    <w:rsid w:val="00706CCB"/>
    <w:pPr>
      <w:autoSpaceDE w:val="0"/>
      <w:autoSpaceDN w:val="0"/>
      <w:adjustRightInd w:val="0"/>
      <w:spacing w:after="0" w:line="240" w:lineRule="auto"/>
    </w:pPr>
    <w:rPr>
      <w:rFonts w:ascii="Times New Roman" w:hAnsi="Times New Roman" w:cs="Times New Roman"/>
      <w:color w:val="000000"/>
      <w:sz w:val="24"/>
      <w:szCs w:val="24"/>
    </w:rPr>
  </w:style>
  <w:style w:type="paragraph" w:styleId="Footer">
    <w:name w:val="footer"/>
    <w:basedOn w:val="Normal"/>
    <w:link w:val="FooterChar"/>
    <w:uiPriority w:val="99"/>
    <w:rsid w:val="00FD58AE"/>
    <w:pPr>
      <w:tabs>
        <w:tab w:val="center" w:pos="4153"/>
        <w:tab w:val="right" w:pos="8306"/>
      </w:tabs>
      <w:spacing w:before="180" w:after="0"/>
    </w:pPr>
    <w:rPr>
      <w:rFonts w:ascii="Arial" w:eastAsia="Times New Roman" w:hAnsi="Arial" w:cs="Times New Roman"/>
      <w:szCs w:val="24"/>
      <w:lang w:eastAsia="en-US"/>
    </w:rPr>
  </w:style>
  <w:style w:type="character" w:customStyle="1" w:styleId="FooterChar">
    <w:name w:val="Footer Char"/>
    <w:basedOn w:val="DefaultParagraphFont"/>
    <w:link w:val="Footer"/>
    <w:uiPriority w:val="99"/>
    <w:rsid w:val="00FD58AE"/>
    <w:rPr>
      <w:rFonts w:ascii="Arial" w:eastAsia="Times New Roman" w:hAnsi="Arial" w:cs="Times New Roman"/>
      <w:sz w:val="24"/>
      <w:szCs w:val="24"/>
      <w:lang w:eastAsia="en-US"/>
    </w:rPr>
  </w:style>
  <w:style w:type="paragraph" w:customStyle="1" w:styleId="COVERPAGETEXT">
    <w:name w:val="COVER PAGE TEXT"/>
    <w:basedOn w:val="Normal"/>
    <w:qFormat/>
    <w:rsid w:val="00FD58AE"/>
    <w:pPr>
      <w:spacing w:after="0" w:line="276" w:lineRule="auto"/>
      <w:jc w:val="center"/>
    </w:pPr>
    <w:rPr>
      <w:rFonts w:ascii="Arial" w:eastAsia="Times New Roman" w:hAnsi="Arial" w:cs="Arial"/>
      <w:sz w:val="28"/>
      <w:szCs w:val="28"/>
      <w:lang w:eastAsia="en-US"/>
    </w:rPr>
  </w:style>
  <w:style w:type="paragraph" w:styleId="CommentText">
    <w:name w:val="annotation text"/>
    <w:basedOn w:val="Normal"/>
    <w:link w:val="CommentTextChar"/>
    <w:uiPriority w:val="99"/>
    <w:semiHidden/>
    <w:unhideWhenUsed/>
    <w:rsid w:val="0054145F"/>
    <w:pPr>
      <w:spacing w:line="240" w:lineRule="auto"/>
      <w:jc w:val="left"/>
    </w:pPr>
    <w:rPr>
      <w:rFonts w:ascii="Tahoma" w:hAnsi="Tahoma" w:cs="Tahoma"/>
      <w:sz w:val="16"/>
      <w:szCs w:val="20"/>
      <w:lang w:val="en-US"/>
    </w:rPr>
  </w:style>
  <w:style w:type="character" w:customStyle="1" w:styleId="CommentTextChar">
    <w:name w:val="Comment Text Char"/>
    <w:basedOn w:val="DefaultParagraphFont"/>
    <w:link w:val="CommentText"/>
    <w:uiPriority w:val="99"/>
    <w:semiHidden/>
    <w:rsid w:val="0054145F"/>
    <w:rPr>
      <w:rFonts w:ascii="Tahoma" w:hAnsi="Tahoma" w:cs="Tahoma"/>
      <w:sz w:val="16"/>
      <w:szCs w:val="20"/>
      <w:lang w:val="en-US"/>
    </w:rPr>
  </w:style>
  <w:style w:type="character" w:styleId="CommentReference">
    <w:name w:val="annotation reference"/>
    <w:basedOn w:val="DefaultParagraphFont"/>
    <w:uiPriority w:val="99"/>
    <w:semiHidden/>
    <w:unhideWhenUsed/>
    <w:rsid w:val="0054145F"/>
    <w:rPr>
      <w:sz w:val="16"/>
      <w:szCs w:val="16"/>
    </w:rPr>
  </w:style>
  <w:style w:type="paragraph" w:styleId="BalloonText">
    <w:name w:val="Balloon Text"/>
    <w:basedOn w:val="Normal"/>
    <w:link w:val="BalloonTextChar"/>
    <w:uiPriority w:val="99"/>
    <w:semiHidden/>
    <w:unhideWhenUsed/>
    <w:rsid w:val="005414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145F"/>
    <w:rPr>
      <w:rFonts w:ascii="Segoe UI" w:hAnsi="Segoe UI" w:cs="Segoe UI"/>
      <w:sz w:val="18"/>
      <w:szCs w:val="18"/>
    </w:rPr>
  </w:style>
  <w:style w:type="paragraph" w:customStyle="1" w:styleId="Els-caption">
    <w:name w:val="Els-caption"/>
    <w:rsid w:val="006F7B8D"/>
    <w:pPr>
      <w:keepLines/>
      <w:spacing w:before="200" w:after="240" w:line="200" w:lineRule="exact"/>
    </w:pPr>
    <w:rPr>
      <w:rFonts w:ascii="Times New Roman" w:eastAsia="宋体" w:hAnsi="Times New Roman" w:cs="Times New Roman"/>
      <w:sz w:val="16"/>
      <w:szCs w:val="20"/>
      <w:lang w:val="en-US" w:eastAsia="en-US"/>
    </w:rPr>
  </w:style>
  <w:style w:type="paragraph" w:styleId="TOC3">
    <w:name w:val="toc 3"/>
    <w:basedOn w:val="Normal"/>
    <w:next w:val="Normal"/>
    <w:autoRedefine/>
    <w:uiPriority w:val="39"/>
    <w:unhideWhenUsed/>
    <w:qFormat/>
    <w:rsid w:val="00F84EA0"/>
    <w:pPr>
      <w:spacing w:after="100"/>
      <w:ind w:left="480"/>
    </w:pPr>
  </w:style>
  <w:style w:type="paragraph" w:styleId="Header">
    <w:name w:val="header"/>
    <w:basedOn w:val="Normal"/>
    <w:link w:val="HeaderChar"/>
    <w:uiPriority w:val="99"/>
    <w:unhideWhenUsed/>
    <w:rsid w:val="00262C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62CB7"/>
    <w:rPr>
      <w:rFonts w:ascii="Times New Roman" w:hAnsi="Times New Roman"/>
      <w:sz w:val="24"/>
    </w:rPr>
  </w:style>
  <w:style w:type="paragraph" w:customStyle="1" w:styleId="Body">
    <w:name w:val="Body"/>
    <w:basedOn w:val="Normal"/>
    <w:link w:val="BodyChar"/>
    <w:qFormat/>
    <w:rsid w:val="00907B84"/>
    <w:pPr>
      <w:spacing w:after="120" w:line="312" w:lineRule="auto"/>
    </w:pPr>
    <w:rPr>
      <w:rFonts w:cs="Arial"/>
      <w:lang w:eastAsia="en-US"/>
    </w:rPr>
  </w:style>
  <w:style w:type="character" w:customStyle="1" w:styleId="BodyChar">
    <w:name w:val="Body Char"/>
    <w:basedOn w:val="DefaultParagraphFont"/>
    <w:link w:val="Body"/>
    <w:rsid w:val="00907B84"/>
    <w:rPr>
      <w:rFonts w:ascii="Times New Roman" w:hAnsi="Times New Roman" w:cs="Arial"/>
      <w:sz w:val="24"/>
      <w:lang w:eastAsia="en-US"/>
    </w:rPr>
  </w:style>
  <w:style w:type="paragraph" w:styleId="NoSpacing">
    <w:name w:val="No Spacing"/>
    <w:aliases w:val="body"/>
    <w:basedOn w:val="Normal"/>
    <w:link w:val="NoSpacingChar"/>
    <w:uiPriority w:val="1"/>
    <w:qFormat/>
    <w:rsid w:val="008424B8"/>
    <w:pPr>
      <w:widowControl w:val="0"/>
      <w:spacing w:afterLines="50" w:after="50" w:line="312" w:lineRule="auto"/>
    </w:pPr>
    <w:rPr>
      <w:rFonts w:eastAsia="Times New Roman"/>
      <w:kern w:val="2"/>
    </w:rPr>
  </w:style>
  <w:style w:type="character" w:customStyle="1" w:styleId="NoSpacingChar">
    <w:name w:val="No Spacing Char"/>
    <w:aliases w:val="body Char"/>
    <w:basedOn w:val="DefaultParagraphFont"/>
    <w:link w:val="NoSpacing"/>
    <w:uiPriority w:val="1"/>
    <w:rsid w:val="008424B8"/>
    <w:rPr>
      <w:rFonts w:ascii="Times New Roman" w:eastAsia="Times New Roman" w:hAnsi="Times New Roman"/>
      <w:kern w:val="2"/>
      <w:sz w:val="24"/>
    </w:rPr>
  </w:style>
  <w:style w:type="paragraph" w:styleId="NormalWeb">
    <w:name w:val="Normal (Web)"/>
    <w:basedOn w:val="Normal"/>
    <w:uiPriority w:val="99"/>
    <w:unhideWhenUsed/>
    <w:rsid w:val="00843884"/>
    <w:pPr>
      <w:spacing w:before="100" w:beforeAutospacing="1" w:after="100" w:afterAutospacing="1" w:line="240" w:lineRule="auto"/>
      <w:jc w:val="left"/>
    </w:pPr>
    <w:rPr>
      <w:rFonts w:eastAsia="Times New Roman" w:cs="Times New Roman"/>
      <w:szCs w:val="24"/>
    </w:rPr>
  </w:style>
  <w:style w:type="numbering" w:customStyle="1" w:styleId="MyListStyle">
    <w:name w:val="MyListStyle"/>
    <w:uiPriority w:val="99"/>
    <w:rsid w:val="00843884"/>
    <w:pPr>
      <w:numPr>
        <w:numId w:val="5"/>
      </w:numPr>
    </w:pPr>
  </w:style>
  <w:style w:type="paragraph" w:customStyle="1" w:styleId="FiguresTables">
    <w:name w:val="Figures &amp; Tables"/>
    <w:basedOn w:val="Normal"/>
    <w:qFormat/>
    <w:rsid w:val="00843884"/>
    <w:pPr>
      <w:keepNext/>
      <w:spacing w:after="0" w:line="240" w:lineRule="auto"/>
      <w:jc w:val="left"/>
    </w:pPr>
    <w:rPr>
      <w:rFonts w:eastAsia="宋体" w:cs="Times New Roman"/>
      <w:b/>
      <w:sz w:val="20"/>
      <w:szCs w:val="20"/>
      <w:lang w:val="en-US" w:eastAsia="en-US"/>
    </w:rPr>
  </w:style>
  <w:style w:type="character" w:customStyle="1" w:styleId="A5">
    <w:name w:val="A5"/>
    <w:rsid w:val="00843884"/>
    <w:rPr>
      <w:color w:val="00529F"/>
      <w:sz w:val="20"/>
      <w:szCs w:val="20"/>
    </w:rPr>
  </w:style>
  <w:style w:type="paragraph" w:styleId="DocumentMap">
    <w:name w:val="Document Map"/>
    <w:basedOn w:val="Normal"/>
    <w:link w:val="DocumentMapChar"/>
    <w:uiPriority w:val="99"/>
    <w:semiHidden/>
    <w:unhideWhenUsed/>
    <w:rsid w:val="00843884"/>
    <w:pPr>
      <w:widowControl w:val="0"/>
      <w:spacing w:after="0" w:line="240" w:lineRule="auto"/>
      <w:jc w:val="center"/>
    </w:pPr>
    <w:rPr>
      <w:rFonts w:ascii="Tahoma" w:eastAsia="Times New Roman" w:hAnsi="Tahoma" w:cs="Tahoma"/>
      <w:kern w:val="2"/>
      <w:sz w:val="16"/>
      <w:szCs w:val="16"/>
    </w:rPr>
  </w:style>
  <w:style w:type="character" w:customStyle="1" w:styleId="DocumentMapChar">
    <w:name w:val="Document Map Char"/>
    <w:basedOn w:val="DefaultParagraphFont"/>
    <w:link w:val="DocumentMap"/>
    <w:uiPriority w:val="99"/>
    <w:semiHidden/>
    <w:rsid w:val="00843884"/>
    <w:rPr>
      <w:rFonts w:ascii="Tahoma" w:eastAsia="Times New Roman" w:hAnsi="Tahoma" w:cs="Tahoma"/>
      <w:kern w:val="2"/>
      <w:sz w:val="16"/>
      <w:szCs w:val="16"/>
    </w:rPr>
  </w:style>
  <w:style w:type="paragraph" w:styleId="Bibliography">
    <w:name w:val="Bibliography"/>
    <w:basedOn w:val="Normal"/>
    <w:next w:val="Normal"/>
    <w:link w:val="BibliographyChar"/>
    <w:uiPriority w:val="37"/>
    <w:unhideWhenUsed/>
    <w:rsid w:val="00843884"/>
    <w:pPr>
      <w:widowControl w:val="0"/>
      <w:tabs>
        <w:tab w:val="left" w:pos="624"/>
      </w:tabs>
      <w:spacing w:after="0" w:line="240" w:lineRule="auto"/>
      <w:ind w:left="624" w:hanging="624"/>
      <w:jc w:val="left"/>
    </w:pPr>
    <w:rPr>
      <w:rFonts w:eastAsia="Times New Roman"/>
      <w:kern w:val="2"/>
      <w:sz w:val="20"/>
    </w:rPr>
  </w:style>
  <w:style w:type="paragraph" w:styleId="Date">
    <w:name w:val="Date"/>
    <w:basedOn w:val="Normal"/>
    <w:next w:val="Normal"/>
    <w:link w:val="DateChar"/>
    <w:uiPriority w:val="99"/>
    <w:semiHidden/>
    <w:unhideWhenUsed/>
    <w:rsid w:val="00843884"/>
    <w:pPr>
      <w:widowControl w:val="0"/>
      <w:spacing w:after="0" w:line="240" w:lineRule="auto"/>
      <w:jc w:val="center"/>
    </w:pPr>
    <w:rPr>
      <w:rFonts w:eastAsia="Times New Roman"/>
      <w:kern w:val="2"/>
      <w:sz w:val="20"/>
    </w:rPr>
  </w:style>
  <w:style w:type="character" w:customStyle="1" w:styleId="DateChar">
    <w:name w:val="Date Char"/>
    <w:basedOn w:val="DefaultParagraphFont"/>
    <w:link w:val="Date"/>
    <w:uiPriority w:val="99"/>
    <w:semiHidden/>
    <w:rsid w:val="00843884"/>
    <w:rPr>
      <w:rFonts w:ascii="Times New Roman" w:eastAsia="Times New Roman" w:hAnsi="Times New Roman"/>
      <w:kern w:val="2"/>
      <w:sz w:val="20"/>
    </w:rPr>
  </w:style>
  <w:style w:type="paragraph" w:styleId="HTMLPreformatted">
    <w:name w:val="HTML Preformatted"/>
    <w:basedOn w:val="Normal"/>
    <w:link w:val="HTMLPreformattedChar"/>
    <w:uiPriority w:val="99"/>
    <w:semiHidden/>
    <w:unhideWhenUsed/>
    <w:rsid w:val="00843884"/>
    <w:pPr>
      <w:widowControl w:val="0"/>
      <w:spacing w:after="0" w:line="240" w:lineRule="auto"/>
      <w:jc w:val="center"/>
    </w:pPr>
    <w:rPr>
      <w:rFonts w:ascii="Consolas" w:eastAsia="Times New Roman" w:hAnsi="Consolas" w:cs="Consolas"/>
      <w:kern w:val="2"/>
      <w:sz w:val="20"/>
      <w:szCs w:val="20"/>
    </w:rPr>
  </w:style>
  <w:style w:type="character" w:customStyle="1" w:styleId="HTMLPreformattedChar">
    <w:name w:val="HTML Preformatted Char"/>
    <w:basedOn w:val="DefaultParagraphFont"/>
    <w:link w:val="HTMLPreformatted"/>
    <w:uiPriority w:val="99"/>
    <w:semiHidden/>
    <w:rsid w:val="00843884"/>
    <w:rPr>
      <w:rFonts w:ascii="Consolas" w:eastAsia="Times New Roman" w:hAnsi="Consolas" w:cs="Consolas"/>
      <w:kern w:val="2"/>
      <w:sz w:val="20"/>
      <w:szCs w:val="20"/>
    </w:rPr>
  </w:style>
  <w:style w:type="character" w:styleId="Strong">
    <w:name w:val="Strong"/>
    <w:basedOn w:val="DefaultParagraphFont"/>
    <w:uiPriority w:val="22"/>
    <w:qFormat/>
    <w:rsid w:val="00843884"/>
    <w:rPr>
      <w:b/>
      <w:bCs/>
    </w:rPr>
  </w:style>
  <w:style w:type="paragraph" w:customStyle="1" w:styleId="Author">
    <w:name w:val="Author"/>
    <w:rsid w:val="00843884"/>
    <w:pPr>
      <w:spacing w:before="360" w:after="40" w:line="240" w:lineRule="auto"/>
      <w:jc w:val="center"/>
    </w:pPr>
    <w:rPr>
      <w:rFonts w:ascii="Times New Roman" w:hAnsi="Times New Roman" w:cs="Times New Roman"/>
      <w:noProof/>
      <w:lang w:val="en-US" w:eastAsia="en-US"/>
    </w:rPr>
  </w:style>
  <w:style w:type="table" w:customStyle="1" w:styleId="TableGrid1">
    <w:name w:val="Table Grid1"/>
    <w:basedOn w:val="TableNormal"/>
    <w:next w:val="TableGrid"/>
    <w:uiPriority w:val="59"/>
    <w:rsid w:val="00843884"/>
    <w:pPr>
      <w:spacing w:after="0" w:line="240" w:lineRule="auto"/>
    </w:pPr>
    <w:rPr>
      <w:kern w:val="2"/>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rsid w:val="00843884"/>
    <w:rPr>
      <w:color w:val="800080"/>
      <w:u w:val="single"/>
    </w:rPr>
  </w:style>
  <w:style w:type="numbering" w:customStyle="1" w:styleId="Chapter2">
    <w:name w:val="Chapter 2"/>
    <w:uiPriority w:val="99"/>
    <w:rsid w:val="00843884"/>
    <w:pPr>
      <w:numPr>
        <w:numId w:val="6"/>
      </w:numPr>
    </w:pPr>
  </w:style>
  <w:style w:type="paragraph" w:customStyle="1" w:styleId="FigureCaption">
    <w:name w:val="Figure Caption"/>
    <w:basedOn w:val="Normal"/>
    <w:link w:val="FigureCaptionChar"/>
    <w:qFormat/>
    <w:rsid w:val="00843884"/>
    <w:pPr>
      <w:widowControl w:val="0"/>
      <w:spacing w:after="120" w:line="240" w:lineRule="auto"/>
      <w:jc w:val="center"/>
    </w:pPr>
    <w:rPr>
      <w:rFonts w:eastAsia="Times New Roman"/>
      <w:kern w:val="2"/>
      <w:sz w:val="20"/>
    </w:rPr>
  </w:style>
  <w:style w:type="paragraph" w:customStyle="1" w:styleId="EquationTable">
    <w:name w:val="EquationTable"/>
    <w:basedOn w:val="NoSpacing"/>
    <w:link w:val="EquationTableChar"/>
    <w:qFormat/>
    <w:rsid w:val="00843884"/>
    <w:pPr>
      <w:spacing w:line="240" w:lineRule="auto"/>
      <w:jc w:val="center"/>
    </w:pPr>
  </w:style>
  <w:style w:type="character" w:customStyle="1" w:styleId="EquationTableChar">
    <w:name w:val="EquationTable Char"/>
    <w:basedOn w:val="NoSpacingChar"/>
    <w:link w:val="EquationTable"/>
    <w:rsid w:val="00843884"/>
    <w:rPr>
      <w:rFonts w:ascii="Times New Roman" w:eastAsia="Times New Roman" w:hAnsi="Times New Roman"/>
      <w:kern w:val="2"/>
      <w:sz w:val="24"/>
    </w:rPr>
  </w:style>
  <w:style w:type="paragraph" w:styleId="CommentSubject">
    <w:name w:val="annotation subject"/>
    <w:basedOn w:val="CommentText"/>
    <w:next w:val="CommentText"/>
    <w:link w:val="CommentSubjectChar"/>
    <w:uiPriority w:val="99"/>
    <w:semiHidden/>
    <w:unhideWhenUsed/>
    <w:rsid w:val="00843884"/>
    <w:pPr>
      <w:widowControl w:val="0"/>
      <w:spacing w:after="0"/>
      <w:jc w:val="center"/>
    </w:pPr>
    <w:rPr>
      <w:rFonts w:ascii="Times New Roman" w:eastAsia="Times New Roman" w:hAnsi="Times New Roman" w:cstheme="minorBidi"/>
      <w:b/>
      <w:bCs/>
      <w:kern w:val="2"/>
      <w:sz w:val="20"/>
      <w:lang w:val="en-GB"/>
    </w:rPr>
  </w:style>
  <w:style w:type="character" w:customStyle="1" w:styleId="CommentSubjectChar">
    <w:name w:val="Comment Subject Char"/>
    <w:basedOn w:val="CommentTextChar"/>
    <w:link w:val="CommentSubject"/>
    <w:uiPriority w:val="99"/>
    <w:semiHidden/>
    <w:rsid w:val="00843884"/>
    <w:rPr>
      <w:rFonts w:ascii="Times New Roman" w:eastAsia="Times New Roman" w:hAnsi="Times New Roman" w:cs="Tahoma"/>
      <w:b/>
      <w:bCs/>
      <w:kern w:val="2"/>
      <w:sz w:val="20"/>
      <w:szCs w:val="20"/>
      <w:lang w:val="en-US"/>
    </w:rPr>
  </w:style>
  <w:style w:type="character" w:customStyle="1" w:styleId="FigureCaptionChar">
    <w:name w:val="Figure Caption Char"/>
    <w:basedOn w:val="DefaultParagraphFont"/>
    <w:link w:val="FigureCaption"/>
    <w:rsid w:val="00843884"/>
    <w:rPr>
      <w:rFonts w:ascii="Times New Roman" w:eastAsia="Times New Roman" w:hAnsi="Times New Roman"/>
      <w:kern w:val="2"/>
      <w:sz w:val="20"/>
    </w:rPr>
  </w:style>
  <w:style w:type="character" w:styleId="PageNumber">
    <w:name w:val="page number"/>
    <w:basedOn w:val="DefaultParagraphFont"/>
    <w:rsid w:val="00843884"/>
  </w:style>
  <w:style w:type="table" w:styleId="LightShading">
    <w:name w:val="Light Shading"/>
    <w:basedOn w:val="TableNormal"/>
    <w:uiPriority w:val="60"/>
    <w:rsid w:val="00843884"/>
    <w:pPr>
      <w:spacing w:after="0" w:line="240" w:lineRule="auto"/>
    </w:pPr>
    <w:rPr>
      <w:rFonts w:ascii="Times New Roman" w:eastAsia="宋体" w:hAnsi="Times New Roman" w:cs="Times New Roman"/>
      <w:color w:val="000000" w:themeColor="text1" w:themeShade="BF"/>
      <w:sz w:val="20"/>
      <w:szCs w:val="20"/>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3-Accent3">
    <w:name w:val="Medium Grid 3 Accent 3"/>
    <w:basedOn w:val="TableNormal"/>
    <w:uiPriority w:val="69"/>
    <w:rsid w:val="00843884"/>
    <w:pPr>
      <w:spacing w:after="0" w:line="240" w:lineRule="auto"/>
    </w:pPr>
    <w:rPr>
      <w:kern w:val="2"/>
      <w:sz w:val="21"/>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1-Accent3">
    <w:name w:val="Medium Grid 1 Accent 3"/>
    <w:basedOn w:val="TableNormal"/>
    <w:uiPriority w:val="67"/>
    <w:rsid w:val="00843884"/>
    <w:pPr>
      <w:spacing w:after="0" w:line="240" w:lineRule="auto"/>
    </w:pPr>
    <w:rPr>
      <w:kern w:val="2"/>
      <w:sz w:val="21"/>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List2">
    <w:name w:val="Medium List 2"/>
    <w:basedOn w:val="TableNormal"/>
    <w:uiPriority w:val="66"/>
    <w:rsid w:val="00843884"/>
    <w:pPr>
      <w:spacing w:after="0" w:line="240" w:lineRule="auto"/>
    </w:pPr>
    <w:rPr>
      <w:rFonts w:asciiTheme="majorHAnsi" w:eastAsiaTheme="majorEastAsia" w:hAnsiTheme="majorHAnsi" w:cstheme="majorBidi"/>
      <w:color w:val="000000" w:themeColor="text1"/>
      <w:kern w:val="2"/>
      <w:sz w:val="2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5">
    <w:name w:val="Medium Grid 1 Accent 5"/>
    <w:basedOn w:val="TableNormal"/>
    <w:uiPriority w:val="67"/>
    <w:rsid w:val="00843884"/>
    <w:pPr>
      <w:spacing w:after="0" w:line="240" w:lineRule="auto"/>
    </w:pPr>
    <w:rPr>
      <w:kern w:val="2"/>
      <w:sz w:val="21"/>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LightGrid">
    <w:name w:val="Light Grid"/>
    <w:basedOn w:val="TableNormal"/>
    <w:uiPriority w:val="62"/>
    <w:rsid w:val="00843884"/>
    <w:pPr>
      <w:spacing w:after="0" w:line="240" w:lineRule="auto"/>
    </w:pPr>
    <w:rPr>
      <w:kern w:val="2"/>
      <w:sz w:val="2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List">
    <w:name w:val="Light List"/>
    <w:basedOn w:val="TableNormal"/>
    <w:uiPriority w:val="61"/>
    <w:rsid w:val="00843884"/>
    <w:pPr>
      <w:spacing w:after="0" w:line="240" w:lineRule="auto"/>
    </w:pPr>
    <w:rPr>
      <w:kern w:val="2"/>
      <w:sz w:val="2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Reference">
    <w:name w:val="Reference"/>
    <w:basedOn w:val="Bibliography"/>
    <w:link w:val="ReferenceChar"/>
    <w:qFormat/>
    <w:rsid w:val="00843884"/>
  </w:style>
  <w:style w:type="character" w:customStyle="1" w:styleId="BibliographyChar">
    <w:name w:val="Bibliography Char"/>
    <w:basedOn w:val="DefaultParagraphFont"/>
    <w:link w:val="Bibliography"/>
    <w:uiPriority w:val="37"/>
    <w:rsid w:val="00843884"/>
    <w:rPr>
      <w:rFonts w:ascii="Times New Roman" w:eastAsia="Times New Roman" w:hAnsi="Times New Roman"/>
      <w:kern w:val="2"/>
      <w:sz w:val="20"/>
    </w:rPr>
  </w:style>
  <w:style w:type="character" w:customStyle="1" w:styleId="ReferenceChar">
    <w:name w:val="Reference Char"/>
    <w:basedOn w:val="BibliographyChar"/>
    <w:link w:val="Reference"/>
    <w:rsid w:val="00843884"/>
    <w:rPr>
      <w:rFonts w:ascii="Times New Roman" w:eastAsia="Times New Roman" w:hAnsi="Times New Roman"/>
      <w:kern w:val="2"/>
      <w:sz w:val="20"/>
    </w:rPr>
  </w:style>
  <w:style w:type="numbering" w:customStyle="1" w:styleId="MyListStyle1">
    <w:name w:val="MyListStyle1"/>
    <w:uiPriority w:val="99"/>
    <w:rsid w:val="00843884"/>
    <w:pPr>
      <w:numPr>
        <w:numId w:val="8"/>
      </w:numPr>
    </w:pPr>
  </w:style>
  <w:style w:type="numbering" w:customStyle="1" w:styleId="Chapter21">
    <w:name w:val="Chapter 21"/>
    <w:uiPriority w:val="99"/>
    <w:rsid w:val="00843884"/>
    <w:pPr>
      <w:numPr>
        <w:numId w:val="7"/>
      </w:numPr>
    </w:pPr>
  </w:style>
  <w:style w:type="table" w:styleId="MediumShading1">
    <w:name w:val="Medium Shading 1"/>
    <w:basedOn w:val="TableNormal"/>
    <w:uiPriority w:val="63"/>
    <w:rsid w:val="00843884"/>
    <w:pPr>
      <w:spacing w:after="0" w:line="240" w:lineRule="auto"/>
    </w:pPr>
    <w:rPr>
      <w:rFonts w:ascii="Arial" w:eastAsiaTheme="minorHAnsi" w:hAnsi="Arial" w:cs="Arial"/>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843884"/>
    <w:pPr>
      <w:spacing w:after="0" w:line="240" w:lineRule="auto"/>
    </w:pPr>
    <w:rPr>
      <w:rFonts w:ascii="Arial" w:eastAsiaTheme="minorHAnsi" w:hAnsi="Arial" w:cs="Arial"/>
      <w:lang w:eastAsia="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customStyle="1" w:styleId="Tablecaption">
    <w:name w:val="Table caption"/>
    <w:basedOn w:val="Normal"/>
    <w:link w:val="TablecaptionChar"/>
    <w:qFormat/>
    <w:rsid w:val="00843884"/>
    <w:pPr>
      <w:widowControl w:val="0"/>
      <w:spacing w:after="120" w:line="240" w:lineRule="auto"/>
      <w:jc w:val="center"/>
    </w:pPr>
    <w:rPr>
      <w:rFonts w:eastAsia="Times New Roman"/>
      <w:kern w:val="2"/>
      <w:sz w:val="20"/>
    </w:rPr>
  </w:style>
  <w:style w:type="paragraph" w:customStyle="1" w:styleId="Heading1withoutNumbering">
    <w:name w:val="Heading 1 without Numbering"/>
    <w:basedOn w:val="Heading1"/>
    <w:link w:val="Heading1withoutNumberingChar"/>
    <w:qFormat/>
    <w:rsid w:val="00843884"/>
    <w:pPr>
      <w:widowControl w:val="0"/>
      <w:numPr>
        <w:numId w:val="0"/>
      </w:numPr>
      <w:spacing w:before="0" w:after="0"/>
      <w:jc w:val="left"/>
    </w:pPr>
    <w:rPr>
      <w:rFonts w:eastAsia="Times New Roman"/>
      <w:bCs/>
      <w:caps w:val="0"/>
      <w:kern w:val="44"/>
      <w:sz w:val="32"/>
      <w:szCs w:val="44"/>
    </w:rPr>
  </w:style>
  <w:style w:type="character" w:customStyle="1" w:styleId="TablecaptionChar">
    <w:name w:val="Table caption Char"/>
    <w:basedOn w:val="DefaultParagraphFont"/>
    <w:link w:val="Tablecaption"/>
    <w:rsid w:val="00843884"/>
    <w:rPr>
      <w:rFonts w:ascii="Times New Roman" w:eastAsia="Times New Roman" w:hAnsi="Times New Roman"/>
      <w:kern w:val="2"/>
      <w:sz w:val="20"/>
    </w:rPr>
  </w:style>
  <w:style w:type="character" w:customStyle="1" w:styleId="Heading1withoutNumberingChar">
    <w:name w:val="Heading 1 without Numbering Char"/>
    <w:basedOn w:val="Heading1Char"/>
    <w:link w:val="Heading1withoutNumbering"/>
    <w:rsid w:val="00843884"/>
    <w:rPr>
      <w:rFonts w:ascii="Times New Roman" w:eastAsia="Times New Roman" w:hAnsi="Times New Roman" w:cstheme="majorBidi"/>
      <w:b/>
      <w:bCs/>
      <w:caps w:val="0"/>
      <w:kern w:val="44"/>
      <w:sz w:val="32"/>
      <w:szCs w:val="44"/>
    </w:rPr>
  </w:style>
  <w:style w:type="table" w:styleId="LightShading-Accent1">
    <w:name w:val="Light Shading Accent 1"/>
    <w:basedOn w:val="TableNormal"/>
    <w:uiPriority w:val="60"/>
    <w:rsid w:val="00843884"/>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customStyle="1" w:styleId="Style1">
    <w:name w:val="Style1"/>
    <w:basedOn w:val="TableNormal"/>
    <w:uiPriority w:val="99"/>
    <w:qFormat/>
    <w:rsid w:val="00843884"/>
    <w:pPr>
      <w:spacing w:before="100" w:beforeAutospacing="1" w:after="0" w:afterAutospacing="1" w:line="240" w:lineRule="auto"/>
      <w:jc w:val="both"/>
    </w:pPr>
    <w:rPr>
      <w:rFonts w:ascii="Times New Roman" w:eastAsiaTheme="minorHAnsi" w:hAnsi="Times New Roman" w:cs="Times New Roman"/>
      <w:kern w:val="16"/>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1">
    <w:name w:val="Medium Shading 2 Accent 1"/>
    <w:basedOn w:val="TableNormal"/>
    <w:uiPriority w:val="64"/>
    <w:rsid w:val="00843884"/>
    <w:pPr>
      <w:spacing w:after="0" w:line="240" w:lineRule="auto"/>
    </w:pPr>
    <w:rPr>
      <w:kern w:val="2"/>
      <w:sz w:val="21"/>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Revision">
    <w:name w:val="Revision"/>
    <w:hidden/>
    <w:uiPriority w:val="99"/>
    <w:semiHidden/>
    <w:rsid w:val="00843884"/>
    <w:pPr>
      <w:spacing w:after="0" w:line="240" w:lineRule="auto"/>
    </w:pPr>
    <w:rPr>
      <w:rFonts w:ascii="Times New Roman" w:eastAsia="Times New Roman" w:hAnsi="Times New Roman"/>
      <w:kern w:val="2"/>
      <w:sz w:val="20"/>
      <w:lang w:val="en-US"/>
    </w:rPr>
  </w:style>
  <w:style w:type="paragraph" w:customStyle="1" w:styleId="Figurewithoutspace">
    <w:name w:val="Figure without space"/>
    <w:basedOn w:val="FigureCaption"/>
    <w:link w:val="FigurewithoutspaceChar"/>
    <w:qFormat/>
    <w:rsid w:val="00843884"/>
    <w:pPr>
      <w:widowControl/>
      <w:spacing w:after="0"/>
    </w:pPr>
    <w:rPr>
      <w:rFonts w:cs="Times New Roman"/>
      <w:szCs w:val="24"/>
    </w:rPr>
  </w:style>
  <w:style w:type="character" w:customStyle="1" w:styleId="FigurewithoutspaceChar">
    <w:name w:val="Figure without space Char"/>
    <w:basedOn w:val="FigureCaptionChar"/>
    <w:link w:val="Figurewithoutspace"/>
    <w:rsid w:val="00843884"/>
    <w:rPr>
      <w:rFonts w:ascii="Times New Roman" w:eastAsia="Times New Roman" w:hAnsi="Times New Roman" w:cs="Times New Roman"/>
      <w:kern w:val="2"/>
      <w:sz w:val="20"/>
      <w:szCs w:val="24"/>
    </w:rPr>
  </w:style>
  <w:style w:type="paragraph" w:styleId="BodyText">
    <w:name w:val="Body Text"/>
    <w:basedOn w:val="Normal"/>
    <w:link w:val="BodyTextChar"/>
    <w:uiPriority w:val="99"/>
    <w:rsid w:val="00843884"/>
    <w:pPr>
      <w:pBdr>
        <w:top w:val="single" w:sz="4" w:space="1" w:color="auto"/>
      </w:pBdr>
      <w:spacing w:after="0" w:line="240" w:lineRule="auto"/>
      <w:jc w:val="center"/>
    </w:pPr>
    <w:rPr>
      <w:rFonts w:ascii="Arial" w:eastAsia="宋体" w:hAnsi="Arial" w:cs="Times New Roman"/>
      <w:sz w:val="22"/>
      <w:lang w:val="en-US" w:eastAsia="en-US"/>
    </w:rPr>
  </w:style>
  <w:style w:type="character" w:customStyle="1" w:styleId="BodyTextChar">
    <w:name w:val="Body Text Char"/>
    <w:basedOn w:val="DefaultParagraphFont"/>
    <w:link w:val="BodyText"/>
    <w:uiPriority w:val="99"/>
    <w:rsid w:val="00843884"/>
    <w:rPr>
      <w:rFonts w:ascii="Arial" w:eastAsia="宋体" w:hAnsi="Arial" w:cs="Times New Roman"/>
      <w:lang w:val="en-US" w:eastAsia="en-US"/>
    </w:rPr>
  </w:style>
  <w:style w:type="paragraph" w:customStyle="1" w:styleId="BodyText1">
    <w:name w:val="Body Text1"/>
    <w:basedOn w:val="Normal"/>
    <w:rsid w:val="00843884"/>
    <w:pPr>
      <w:overflowPunct w:val="0"/>
      <w:autoSpaceDE w:val="0"/>
      <w:autoSpaceDN w:val="0"/>
      <w:adjustRightInd w:val="0"/>
      <w:spacing w:after="0" w:line="240" w:lineRule="auto"/>
      <w:textAlignment w:val="baseline"/>
    </w:pPr>
    <w:rPr>
      <w:rFonts w:eastAsia="宋体" w:cs="Times New Roman"/>
      <w:sz w:val="20"/>
      <w:szCs w:val="20"/>
      <w:lang w:val="en-US" w:eastAsia="en-US"/>
    </w:rPr>
  </w:style>
  <w:style w:type="paragraph" w:customStyle="1" w:styleId="programlistingindent">
    <w:name w:val="programlistingindent"/>
    <w:basedOn w:val="Normal"/>
    <w:rsid w:val="00843884"/>
    <w:pPr>
      <w:spacing w:before="100" w:beforeAutospacing="1" w:after="100" w:afterAutospacing="1" w:line="240" w:lineRule="auto"/>
      <w:jc w:val="left"/>
    </w:pPr>
    <w:rPr>
      <w:rFonts w:eastAsia="Times New Roman" w:cs="Times New Roman"/>
      <w:szCs w:val="24"/>
      <w:lang w:eastAsia="en-GB"/>
    </w:rPr>
  </w:style>
  <w:style w:type="paragraph" w:customStyle="1" w:styleId="centered">
    <w:name w:val="centered"/>
    <w:basedOn w:val="Normal"/>
    <w:rsid w:val="00843884"/>
    <w:pPr>
      <w:spacing w:before="100" w:beforeAutospacing="1" w:after="100" w:afterAutospacing="1" w:line="240" w:lineRule="auto"/>
      <w:jc w:val="left"/>
    </w:pPr>
    <w:rPr>
      <w:rFonts w:eastAsia="Times New Roman" w:cs="Times New Roman"/>
      <w:szCs w:val="24"/>
    </w:rPr>
  </w:style>
  <w:style w:type="paragraph" w:customStyle="1" w:styleId="demiblock">
    <w:name w:val="demiblock"/>
    <w:basedOn w:val="Normal"/>
    <w:rsid w:val="00843884"/>
    <w:pPr>
      <w:spacing w:before="100" w:beforeAutospacing="1" w:after="100" w:afterAutospacing="1" w:line="240" w:lineRule="auto"/>
      <w:jc w:val="left"/>
    </w:pPr>
    <w:rPr>
      <w:rFonts w:eastAsia="Times New Roman" w:cs="Times New Roman"/>
      <w:szCs w:val="24"/>
    </w:rPr>
  </w:style>
  <w:style w:type="paragraph" w:customStyle="1" w:styleId="Figuremarks">
    <w:name w:val="Figure marks"/>
    <w:basedOn w:val="Normal"/>
    <w:link w:val="FiguremarksChar"/>
    <w:qFormat/>
    <w:rsid w:val="00843884"/>
    <w:pPr>
      <w:spacing w:after="0" w:line="240" w:lineRule="auto"/>
      <w:jc w:val="center"/>
    </w:pPr>
    <w:rPr>
      <w:rFonts w:eastAsia="Times New Roman" w:cs="Times New Roman"/>
      <w:sz w:val="20"/>
      <w:szCs w:val="20"/>
    </w:rPr>
  </w:style>
  <w:style w:type="character" w:customStyle="1" w:styleId="FiguremarksChar">
    <w:name w:val="Figure marks Char"/>
    <w:basedOn w:val="DefaultParagraphFont"/>
    <w:link w:val="Figuremarks"/>
    <w:rsid w:val="00843884"/>
    <w:rPr>
      <w:rFonts w:ascii="Times New Roman" w:eastAsia="Times New Roman" w:hAnsi="Times New Roman" w:cs="Times New Roman"/>
      <w:sz w:val="20"/>
      <w:szCs w:val="20"/>
    </w:rPr>
  </w:style>
  <w:style w:type="paragraph" w:styleId="TOC4">
    <w:name w:val="toc 4"/>
    <w:basedOn w:val="Normal"/>
    <w:next w:val="Normal"/>
    <w:autoRedefine/>
    <w:uiPriority w:val="39"/>
    <w:unhideWhenUsed/>
    <w:rsid w:val="00843884"/>
    <w:pPr>
      <w:spacing w:after="100" w:line="276" w:lineRule="auto"/>
      <w:ind w:left="660"/>
      <w:jc w:val="left"/>
    </w:pPr>
    <w:rPr>
      <w:rFonts w:asciiTheme="minorHAnsi" w:hAnsiTheme="minorHAnsi"/>
      <w:sz w:val="22"/>
    </w:rPr>
  </w:style>
  <w:style w:type="paragraph" w:styleId="TOC5">
    <w:name w:val="toc 5"/>
    <w:basedOn w:val="Normal"/>
    <w:next w:val="Normal"/>
    <w:autoRedefine/>
    <w:uiPriority w:val="39"/>
    <w:unhideWhenUsed/>
    <w:rsid w:val="00843884"/>
    <w:pPr>
      <w:spacing w:after="100" w:line="276" w:lineRule="auto"/>
      <w:ind w:left="880"/>
      <w:jc w:val="left"/>
    </w:pPr>
    <w:rPr>
      <w:rFonts w:asciiTheme="minorHAnsi" w:hAnsiTheme="minorHAnsi"/>
      <w:sz w:val="22"/>
    </w:rPr>
  </w:style>
  <w:style w:type="paragraph" w:styleId="TOC6">
    <w:name w:val="toc 6"/>
    <w:basedOn w:val="Normal"/>
    <w:next w:val="Normal"/>
    <w:autoRedefine/>
    <w:uiPriority w:val="39"/>
    <w:unhideWhenUsed/>
    <w:rsid w:val="00843884"/>
    <w:pPr>
      <w:spacing w:after="100" w:line="276" w:lineRule="auto"/>
      <w:ind w:left="1100"/>
      <w:jc w:val="left"/>
    </w:pPr>
    <w:rPr>
      <w:rFonts w:asciiTheme="minorHAnsi" w:hAnsiTheme="minorHAnsi"/>
      <w:sz w:val="22"/>
    </w:rPr>
  </w:style>
  <w:style w:type="paragraph" w:styleId="TOC7">
    <w:name w:val="toc 7"/>
    <w:basedOn w:val="Normal"/>
    <w:next w:val="Normal"/>
    <w:autoRedefine/>
    <w:uiPriority w:val="39"/>
    <w:unhideWhenUsed/>
    <w:rsid w:val="00843884"/>
    <w:pPr>
      <w:spacing w:after="100" w:line="276" w:lineRule="auto"/>
      <w:ind w:left="1320"/>
      <w:jc w:val="left"/>
    </w:pPr>
    <w:rPr>
      <w:rFonts w:asciiTheme="minorHAnsi" w:hAnsiTheme="minorHAnsi"/>
      <w:sz w:val="22"/>
    </w:rPr>
  </w:style>
  <w:style w:type="paragraph" w:styleId="TOC8">
    <w:name w:val="toc 8"/>
    <w:basedOn w:val="Normal"/>
    <w:next w:val="Normal"/>
    <w:autoRedefine/>
    <w:uiPriority w:val="39"/>
    <w:unhideWhenUsed/>
    <w:rsid w:val="00843884"/>
    <w:pPr>
      <w:spacing w:after="100" w:line="276" w:lineRule="auto"/>
      <w:ind w:left="1540"/>
      <w:jc w:val="left"/>
    </w:pPr>
    <w:rPr>
      <w:rFonts w:asciiTheme="minorHAnsi" w:hAnsiTheme="minorHAnsi"/>
      <w:sz w:val="22"/>
    </w:rPr>
  </w:style>
  <w:style w:type="paragraph" w:styleId="TOC9">
    <w:name w:val="toc 9"/>
    <w:basedOn w:val="Normal"/>
    <w:next w:val="Normal"/>
    <w:autoRedefine/>
    <w:uiPriority w:val="39"/>
    <w:unhideWhenUsed/>
    <w:rsid w:val="00843884"/>
    <w:pPr>
      <w:spacing w:after="100" w:line="276" w:lineRule="auto"/>
      <w:ind w:left="1760"/>
      <w:jc w:val="left"/>
    </w:pPr>
    <w:rPr>
      <w:rFonts w:asciiTheme="minorHAnsi" w:hAnsiTheme="minorHAnsi"/>
      <w:sz w:val="22"/>
    </w:rPr>
  </w:style>
  <w:style w:type="character" w:customStyle="1" w:styleId="personname">
    <w:name w:val="person_name"/>
    <w:rsid w:val="00843884"/>
  </w:style>
  <w:style w:type="paragraph" w:customStyle="1" w:styleId="figurecaption0">
    <w:name w:val="figure caption"/>
    <w:rsid w:val="00843884"/>
    <w:pPr>
      <w:spacing w:before="80" w:after="200" w:line="240" w:lineRule="auto"/>
      <w:jc w:val="center"/>
    </w:pPr>
    <w:rPr>
      <w:rFonts w:ascii="Times New Roman" w:hAnsi="Times New Roman" w:cs="Times New Roman"/>
      <w:noProof/>
      <w:sz w:val="16"/>
      <w:szCs w:val="16"/>
      <w:lang w:val="en-US" w:eastAsia="en-US"/>
    </w:rPr>
  </w:style>
  <w:style w:type="paragraph" w:customStyle="1" w:styleId="ElsHeading1">
    <w:name w:val="Els_Heading1"/>
    <w:next w:val="Normal"/>
    <w:rsid w:val="00843884"/>
    <w:pPr>
      <w:keepNext/>
      <w:numPr>
        <w:numId w:val="9"/>
      </w:numPr>
      <w:spacing w:before="160" w:line="210" w:lineRule="exact"/>
    </w:pPr>
    <w:rPr>
      <w:rFonts w:ascii="Times New Roman" w:eastAsia="宋体" w:hAnsi="Times New Roman" w:cs="Times New Roman"/>
      <w:b/>
      <w:bCs/>
      <w:sz w:val="19"/>
      <w:szCs w:val="20"/>
      <w:lang w:val="en-US" w:eastAsia="en-US"/>
    </w:rPr>
  </w:style>
  <w:style w:type="paragraph" w:customStyle="1" w:styleId="ElsHeading2">
    <w:name w:val="Els_Heading2"/>
    <w:next w:val="Normal"/>
    <w:rsid w:val="00843884"/>
    <w:pPr>
      <w:numPr>
        <w:ilvl w:val="1"/>
        <w:numId w:val="9"/>
      </w:numPr>
      <w:spacing w:line="210" w:lineRule="exact"/>
    </w:pPr>
    <w:rPr>
      <w:rFonts w:ascii="Times New Roman" w:eastAsia="宋体" w:hAnsi="Times New Roman" w:cs="Times New Roman"/>
      <w:bCs/>
      <w:i/>
      <w:sz w:val="19"/>
      <w:szCs w:val="20"/>
      <w:lang w:val="en-US" w:eastAsia="en-US"/>
    </w:rPr>
  </w:style>
  <w:style w:type="paragraph" w:customStyle="1" w:styleId="ElsHeading3">
    <w:name w:val="Els_Heading3"/>
    <w:next w:val="Normal"/>
    <w:rsid w:val="00843884"/>
    <w:pPr>
      <w:numPr>
        <w:ilvl w:val="2"/>
        <w:numId w:val="9"/>
      </w:numPr>
      <w:spacing w:after="40" w:line="210" w:lineRule="exact"/>
      <w:outlineLvl w:val="0"/>
    </w:pPr>
    <w:rPr>
      <w:rFonts w:ascii="Times New Roman" w:eastAsia="宋体" w:hAnsi="Times New Roman" w:cs="Times New Roman"/>
      <w:i/>
      <w:spacing w:val="20"/>
      <w:sz w:val="19"/>
      <w:szCs w:val="20"/>
      <w:lang w:val="en-US" w:eastAsia="en-US"/>
    </w:rPr>
  </w:style>
  <w:style w:type="paragraph" w:customStyle="1" w:styleId="ElsHeading4">
    <w:name w:val="Els_Heading4"/>
    <w:next w:val="Normal"/>
    <w:rsid w:val="00843884"/>
    <w:pPr>
      <w:numPr>
        <w:ilvl w:val="3"/>
        <w:numId w:val="9"/>
      </w:numPr>
      <w:spacing w:line="210" w:lineRule="exact"/>
      <w:outlineLvl w:val="0"/>
    </w:pPr>
    <w:rPr>
      <w:rFonts w:ascii="Times New Roman" w:eastAsia="宋体" w:hAnsi="Times New Roman" w:cs="Times New Roman"/>
      <w:i/>
      <w:spacing w:val="20"/>
      <w:sz w:val="19"/>
      <w:szCs w:val="20"/>
      <w:lang w:val="en-US" w:eastAsia="en-US"/>
    </w:rPr>
  </w:style>
  <w:style w:type="paragraph" w:customStyle="1" w:styleId="ElsHeading5">
    <w:name w:val="Els_Heading5"/>
    <w:next w:val="Normal"/>
    <w:rsid w:val="00843884"/>
    <w:pPr>
      <w:numPr>
        <w:ilvl w:val="4"/>
        <w:numId w:val="9"/>
      </w:numPr>
      <w:spacing w:line="210" w:lineRule="exact"/>
      <w:outlineLvl w:val="0"/>
    </w:pPr>
    <w:rPr>
      <w:rFonts w:ascii="Times New Roman" w:eastAsia="宋体" w:hAnsi="Times New Roman" w:cs="Times New Roman"/>
      <w:i/>
      <w:spacing w:val="20"/>
      <w:sz w:val="19"/>
      <w:szCs w:val="20"/>
      <w:lang w:val="en-US" w:eastAsia="en-US"/>
    </w:rPr>
  </w:style>
  <w:style w:type="paragraph" w:customStyle="1" w:styleId="numitem">
    <w:name w:val="numitem"/>
    <w:basedOn w:val="Normal"/>
    <w:rsid w:val="00843884"/>
    <w:pPr>
      <w:numPr>
        <w:numId w:val="10"/>
      </w:numPr>
      <w:spacing w:before="160" w:line="276" w:lineRule="auto"/>
      <w:contextualSpacing/>
      <w:jc w:val="left"/>
    </w:pPr>
    <w:rPr>
      <w:rFonts w:eastAsia="宋体" w:cs="Times New Roman"/>
      <w:sz w:val="20"/>
      <w:lang w:val="en-US"/>
    </w:rPr>
  </w:style>
  <w:style w:type="paragraph" w:customStyle="1" w:styleId="heading10">
    <w:name w:val="heading1"/>
    <w:basedOn w:val="Normal"/>
    <w:next w:val="Normal"/>
    <w:uiPriority w:val="99"/>
    <w:rsid w:val="00843884"/>
    <w:pPr>
      <w:keepNext/>
      <w:keepLines/>
      <w:tabs>
        <w:tab w:val="left" w:pos="454"/>
      </w:tabs>
      <w:suppressAutoHyphens/>
      <w:overflowPunct w:val="0"/>
      <w:autoSpaceDE w:val="0"/>
      <w:autoSpaceDN w:val="0"/>
      <w:adjustRightInd w:val="0"/>
      <w:spacing w:before="600" w:after="320" w:line="240" w:lineRule="atLeast"/>
      <w:jc w:val="left"/>
      <w:textAlignment w:val="baseline"/>
    </w:pPr>
    <w:rPr>
      <w:rFonts w:ascii="Times" w:eastAsia="宋体" w:hAnsi="Times" w:cs="Times New Roman"/>
      <w:b/>
      <w:szCs w:val="20"/>
      <w:lang w:val="en-US" w:eastAsia="de-DE"/>
    </w:rPr>
  </w:style>
  <w:style w:type="paragraph" w:customStyle="1" w:styleId="Heading1nonumber">
    <w:name w:val="Heading1 no number"/>
    <w:basedOn w:val="Heading1"/>
    <w:uiPriority w:val="99"/>
    <w:rsid w:val="00843884"/>
    <w:pPr>
      <w:keepLines w:val="0"/>
      <w:numPr>
        <w:numId w:val="0"/>
      </w:numPr>
      <w:spacing w:before="0" w:line="276" w:lineRule="auto"/>
      <w:jc w:val="left"/>
    </w:pPr>
    <w:rPr>
      <w:rFonts w:ascii="Arial" w:eastAsia="Times New Roman" w:hAnsi="Arial" w:cs="Arial"/>
      <w:bCs/>
      <w:kern w:val="32"/>
      <w:sz w:val="32"/>
      <w:szCs w:val="36"/>
      <w:lang w:eastAsia="en-US"/>
    </w:rPr>
  </w:style>
  <w:style w:type="table" w:styleId="LightShading-Accent2">
    <w:name w:val="Light Shading Accent 2"/>
    <w:basedOn w:val="TableNormal"/>
    <w:uiPriority w:val="60"/>
    <w:rsid w:val="00843884"/>
    <w:pPr>
      <w:spacing w:after="0" w:line="240" w:lineRule="auto"/>
    </w:pPr>
    <w:rPr>
      <w:rFonts w:eastAsiaTheme="minorHAnsi"/>
      <w:color w:val="C45911" w:themeColor="accent2" w:themeShade="BF"/>
      <w:lang w:eastAsia="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843884"/>
    <w:pPr>
      <w:spacing w:after="0" w:line="240" w:lineRule="auto"/>
    </w:pPr>
    <w:rPr>
      <w:rFonts w:eastAsiaTheme="minorHAnsi"/>
      <w:color w:val="7B7B7B" w:themeColor="accent3" w:themeShade="BF"/>
      <w:lang w:eastAsia="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customStyle="1" w:styleId="TableText">
    <w:name w:val="Table Text"/>
    <w:basedOn w:val="Normal"/>
    <w:qFormat/>
    <w:rsid w:val="00843884"/>
    <w:pPr>
      <w:spacing w:before="60" w:after="60" w:line="240" w:lineRule="auto"/>
      <w:jc w:val="left"/>
    </w:pPr>
    <w:rPr>
      <w:rFonts w:ascii="Arial" w:eastAsia="Times New Roman" w:hAnsi="Arial" w:cs="Times New Roman"/>
      <w:szCs w:val="24"/>
      <w:lang w:eastAsia="en-US"/>
    </w:rPr>
  </w:style>
  <w:style w:type="paragraph" w:customStyle="1" w:styleId="TABLEOFCONTENTSHEADING">
    <w:name w:val="TABLE OF CONTENTS HEADING"/>
    <w:basedOn w:val="Normal"/>
    <w:qFormat/>
    <w:rsid w:val="00843884"/>
    <w:pPr>
      <w:spacing w:after="240"/>
      <w:jc w:val="left"/>
    </w:pPr>
    <w:rPr>
      <w:rFonts w:ascii="Arial" w:eastAsia="Times New Roman" w:hAnsi="Arial" w:cs="Times New Roman"/>
      <w:b/>
      <w:sz w:val="32"/>
      <w:szCs w:val="24"/>
      <w:lang w:eastAsia="en-US"/>
    </w:rPr>
  </w:style>
  <w:style w:type="character" w:customStyle="1" w:styleId="const">
    <w:name w:val="const"/>
    <w:basedOn w:val="DefaultParagraphFont"/>
    <w:rsid w:val="00843884"/>
  </w:style>
  <w:style w:type="paragraph" w:customStyle="1" w:styleId="affiliation">
    <w:name w:val="affiliation"/>
    <w:basedOn w:val="Normal"/>
    <w:next w:val="Normal"/>
    <w:uiPriority w:val="99"/>
    <w:rsid w:val="00843884"/>
    <w:pPr>
      <w:suppressAutoHyphens/>
      <w:overflowPunct w:val="0"/>
      <w:autoSpaceDE w:val="0"/>
      <w:autoSpaceDN w:val="0"/>
      <w:adjustRightInd w:val="0"/>
      <w:spacing w:before="120" w:after="0" w:line="200" w:lineRule="atLeast"/>
      <w:ind w:left="238"/>
      <w:jc w:val="left"/>
      <w:textAlignment w:val="baseline"/>
    </w:pPr>
    <w:rPr>
      <w:rFonts w:ascii="Times" w:hAnsi="Times" w:cs="Times New Roman"/>
      <w:sz w:val="17"/>
      <w:szCs w:val="20"/>
      <w:lang w:val="en-US" w:eastAsia="de-DE"/>
    </w:rPr>
  </w:style>
  <w:style w:type="paragraph" w:customStyle="1" w:styleId="p1a">
    <w:name w:val="p1a"/>
    <w:basedOn w:val="Normal"/>
    <w:next w:val="Normal"/>
    <w:uiPriority w:val="99"/>
    <w:rsid w:val="00843884"/>
    <w:pPr>
      <w:overflowPunct w:val="0"/>
      <w:autoSpaceDE w:val="0"/>
      <w:autoSpaceDN w:val="0"/>
      <w:adjustRightInd w:val="0"/>
      <w:spacing w:after="0" w:line="240" w:lineRule="atLeast"/>
      <w:textAlignment w:val="baseline"/>
    </w:pPr>
    <w:rPr>
      <w:rFonts w:ascii="Times" w:hAnsi="Times" w:cs="Times New Roman"/>
      <w:sz w:val="20"/>
      <w:szCs w:val="20"/>
      <w:lang w:val="en-US" w:eastAsia="de-DE"/>
    </w:rPr>
  </w:style>
  <w:style w:type="character" w:customStyle="1" w:styleId="BodyTextIndentChar1">
    <w:name w:val="Body Text Indent Char1"/>
    <w:uiPriority w:val="99"/>
    <w:locked/>
    <w:rsid w:val="00843884"/>
    <w:rPr>
      <w:rFonts w:ascii="Times New Roman" w:hAnsi="Times New Roman" w:cs="Times New Roman"/>
      <w:kern w:val="14"/>
      <w:sz w:val="20"/>
      <w:szCs w:val="20"/>
      <w:lang w:val="en-US" w:eastAsia="en-US"/>
    </w:rPr>
  </w:style>
  <w:style w:type="character" w:customStyle="1" w:styleId="mi">
    <w:name w:val="mi"/>
    <w:basedOn w:val="DefaultParagraphFont"/>
    <w:rsid w:val="00843884"/>
  </w:style>
  <w:style w:type="character" w:customStyle="1" w:styleId="mo">
    <w:name w:val="mo"/>
    <w:basedOn w:val="DefaultParagraphFont"/>
    <w:rsid w:val="00843884"/>
  </w:style>
  <w:style w:type="character" w:customStyle="1" w:styleId="mw-headline">
    <w:name w:val="mw-headline"/>
    <w:basedOn w:val="DefaultParagraphFont"/>
    <w:rsid w:val="00843884"/>
  </w:style>
  <w:style w:type="table" w:styleId="PlainTable3">
    <w:name w:val="Plain Table 3"/>
    <w:basedOn w:val="TableNormal"/>
    <w:uiPriority w:val="43"/>
    <w:rsid w:val="00843884"/>
    <w:pPr>
      <w:spacing w:after="0" w:line="240" w:lineRule="auto"/>
    </w:pPr>
    <w:rPr>
      <w:kern w:val="2"/>
      <w:sz w:val="21"/>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skip">
    <w:name w:val="skip"/>
    <w:basedOn w:val="DefaultParagraphFont"/>
    <w:rsid w:val="00843884"/>
  </w:style>
  <w:style w:type="paragraph" w:customStyle="1" w:styleId="ElsTableCaption">
    <w:name w:val="Els_TableCaption"/>
    <w:next w:val="Normal"/>
    <w:rsid w:val="00843884"/>
    <w:pPr>
      <w:keepNext/>
      <w:spacing w:after="0" w:line="240" w:lineRule="auto"/>
    </w:pPr>
    <w:rPr>
      <w:rFonts w:ascii="Times New Roman" w:eastAsia="宋体" w:hAnsi="Times New Roman" w:cs="Times New Roman"/>
      <w:sz w:val="20"/>
      <w:szCs w:val="20"/>
      <w:lang w:val="en-US" w:eastAsia="en-US"/>
    </w:rPr>
  </w:style>
  <w:style w:type="table" w:styleId="PlainTable2">
    <w:name w:val="Plain Table 2"/>
    <w:basedOn w:val="TableNormal"/>
    <w:uiPriority w:val="42"/>
    <w:rsid w:val="008438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ext">
    <w:name w:val="text"/>
    <w:basedOn w:val="DefaultParagraphFont"/>
    <w:rsid w:val="00843884"/>
  </w:style>
  <w:style w:type="character" w:customStyle="1" w:styleId="mjxassistivemathml">
    <w:name w:val="mjx_assistive_mathml"/>
    <w:basedOn w:val="DefaultParagraphFont"/>
    <w:rsid w:val="00843884"/>
  </w:style>
  <w:style w:type="character" w:styleId="HTMLCode">
    <w:name w:val="HTML Code"/>
    <w:basedOn w:val="DefaultParagraphFont"/>
    <w:uiPriority w:val="99"/>
    <w:semiHidden/>
    <w:unhideWhenUsed/>
    <w:rsid w:val="00843884"/>
    <w:rPr>
      <w:rFonts w:ascii="Courier New" w:eastAsia="Times New Roman" w:hAnsi="Courier New" w:cs="Courier New"/>
      <w:sz w:val="20"/>
      <w:szCs w:val="20"/>
    </w:rPr>
  </w:style>
  <w:style w:type="paragraph" w:customStyle="1" w:styleId="Figcaption">
    <w:name w:val="Fig. caption"/>
    <w:basedOn w:val="Normal"/>
    <w:link w:val="FigcaptionChar"/>
    <w:qFormat/>
    <w:rsid w:val="00843884"/>
    <w:pPr>
      <w:keepNext/>
      <w:widowControl w:val="0"/>
      <w:spacing w:after="0" w:line="288" w:lineRule="auto"/>
      <w:jc w:val="center"/>
    </w:pPr>
    <w:rPr>
      <w:rFonts w:eastAsia="宋体" w:cs="Times New Roman"/>
      <w:noProof/>
      <w:kern w:val="2"/>
      <w:sz w:val="20"/>
      <w:szCs w:val="24"/>
    </w:rPr>
  </w:style>
  <w:style w:type="character" w:customStyle="1" w:styleId="FigcaptionChar">
    <w:name w:val="Fig. caption Char"/>
    <w:basedOn w:val="DefaultParagraphFont"/>
    <w:link w:val="Figcaption"/>
    <w:rsid w:val="00843884"/>
    <w:rPr>
      <w:rFonts w:ascii="Times New Roman" w:eastAsia="宋体" w:hAnsi="Times New Roman" w:cs="Times New Roman"/>
      <w:noProof/>
      <w:kern w:val="2"/>
      <w:sz w:val="20"/>
      <w:szCs w:val="24"/>
    </w:rPr>
  </w:style>
  <w:style w:type="character" w:customStyle="1" w:styleId="tran">
    <w:name w:val="tran"/>
    <w:basedOn w:val="DefaultParagraphFont"/>
    <w:rsid w:val="00843884"/>
  </w:style>
  <w:style w:type="character" w:customStyle="1" w:styleId="mathtext">
    <w:name w:val="mathtext"/>
    <w:basedOn w:val="DefaultParagraphFont"/>
    <w:rsid w:val="00843884"/>
  </w:style>
  <w:style w:type="paragraph" w:customStyle="1" w:styleId="figurecaption1">
    <w:name w:val="figurecaption"/>
    <w:basedOn w:val="Normal"/>
    <w:next w:val="Normal"/>
    <w:rsid w:val="00870C13"/>
    <w:pPr>
      <w:keepLines/>
      <w:spacing w:before="120" w:after="240" w:line="220" w:lineRule="atLeast"/>
      <w:jc w:val="center"/>
    </w:pPr>
    <w:rPr>
      <w:rFonts w:eastAsia="Times New Roman" w:cs="Times New Roman"/>
      <w:sz w:val="18"/>
      <w:lang w:val="en-US"/>
    </w:rPr>
  </w:style>
  <w:style w:type="paragraph" w:customStyle="1" w:styleId="image">
    <w:name w:val="image"/>
    <w:basedOn w:val="Normal"/>
    <w:next w:val="Normal"/>
    <w:rsid w:val="00870C13"/>
    <w:pPr>
      <w:spacing w:before="240" w:after="120" w:line="276" w:lineRule="auto"/>
      <w:jc w:val="center"/>
    </w:pPr>
    <w:rPr>
      <w:rFonts w:eastAsia="Times New Roman" w:cs="Times New Roman"/>
      <w:sz w:val="20"/>
      <w:lang w:val="en-US"/>
    </w:rPr>
  </w:style>
  <w:style w:type="paragraph" w:customStyle="1" w:styleId="Text0">
    <w:name w:val="Text"/>
    <w:basedOn w:val="Normal"/>
    <w:rsid w:val="00870C13"/>
    <w:pPr>
      <w:widowControl w:val="0"/>
      <w:autoSpaceDE w:val="0"/>
      <w:autoSpaceDN w:val="0"/>
      <w:spacing w:after="0" w:line="252" w:lineRule="auto"/>
      <w:ind w:firstLine="202"/>
    </w:pPr>
    <w:rPr>
      <w:rFonts w:eastAsia="宋体" w:cs="Times New Roman"/>
      <w:sz w:val="20"/>
      <w:szCs w:val="20"/>
      <w:lang w:val="en-US" w:eastAsia="en-US"/>
    </w:rPr>
  </w:style>
  <w:style w:type="character" w:customStyle="1" w:styleId="s0">
    <w:name w:val="s0"/>
    <w:basedOn w:val="DefaultParagraphFont"/>
    <w:rsid w:val="00944C80"/>
  </w:style>
  <w:style w:type="character" w:customStyle="1" w:styleId="textwrapper">
    <w:name w:val="textwrapper"/>
    <w:basedOn w:val="DefaultParagraphFont"/>
    <w:rsid w:val="00E50B37"/>
  </w:style>
  <w:style w:type="character" w:customStyle="1" w:styleId="display">
    <w:name w:val="display"/>
    <w:basedOn w:val="DefaultParagraphFont"/>
    <w:rsid w:val="00A62F04"/>
  </w:style>
  <w:style w:type="character" w:customStyle="1" w:styleId="label">
    <w:name w:val="label"/>
    <w:basedOn w:val="DefaultParagraphFont"/>
    <w:rsid w:val="00A62F04"/>
  </w:style>
  <w:style w:type="table" w:styleId="PlainTable5">
    <w:name w:val="Plain Table 5"/>
    <w:basedOn w:val="TableNormal"/>
    <w:uiPriority w:val="45"/>
    <w:rsid w:val="00A62F04"/>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ref-lnk">
    <w:name w:val="ref-lnk"/>
    <w:basedOn w:val="DefaultParagraphFont"/>
    <w:rsid w:val="00A62F04"/>
  </w:style>
  <w:style w:type="character" w:customStyle="1" w:styleId="ref-overlay">
    <w:name w:val="ref-overlay"/>
    <w:basedOn w:val="DefaultParagraphFont"/>
    <w:rsid w:val="00A62F04"/>
  </w:style>
  <w:style w:type="character" w:customStyle="1" w:styleId="hlfld-contribauthor">
    <w:name w:val="hlfld-contribauthor"/>
    <w:basedOn w:val="DefaultParagraphFont"/>
    <w:rsid w:val="00A62F04"/>
  </w:style>
  <w:style w:type="character" w:customStyle="1" w:styleId="nlmgiven-names">
    <w:name w:val="nlm_given-names"/>
    <w:basedOn w:val="DefaultParagraphFont"/>
    <w:rsid w:val="00A62F04"/>
  </w:style>
  <w:style w:type="character" w:customStyle="1" w:styleId="nlmyear">
    <w:name w:val="nlm_year"/>
    <w:basedOn w:val="DefaultParagraphFont"/>
    <w:rsid w:val="00A62F04"/>
  </w:style>
  <w:style w:type="character" w:customStyle="1" w:styleId="nlmarticle-title">
    <w:name w:val="nlm_article-title"/>
    <w:basedOn w:val="DefaultParagraphFont"/>
    <w:rsid w:val="00A62F04"/>
  </w:style>
  <w:style w:type="character" w:customStyle="1" w:styleId="nlmfpage">
    <w:name w:val="nlm_fpage"/>
    <w:basedOn w:val="DefaultParagraphFont"/>
    <w:rsid w:val="00A62F04"/>
  </w:style>
  <w:style w:type="character" w:customStyle="1" w:styleId="nlmlpage">
    <w:name w:val="nlm_lpage"/>
    <w:basedOn w:val="DefaultParagraphFont"/>
    <w:rsid w:val="00A62F04"/>
  </w:style>
  <w:style w:type="character" w:customStyle="1" w:styleId="nlmpub-id">
    <w:name w:val="nlm_pub-id"/>
    <w:basedOn w:val="DefaultParagraphFont"/>
    <w:rsid w:val="00A62F04"/>
  </w:style>
  <w:style w:type="character" w:customStyle="1" w:styleId="ref-links">
    <w:name w:val="ref-links"/>
    <w:basedOn w:val="DefaultParagraphFont"/>
    <w:rsid w:val="00A62F04"/>
  </w:style>
  <w:style w:type="character" w:customStyle="1" w:styleId="xlinks-container">
    <w:name w:val="xlinks-container"/>
    <w:basedOn w:val="DefaultParagraphFont"/>
    <w:rsid w:val="00A62F04"/>
  </w:style>
  <w:style w:type="character" w:customStyle="1" w:styleId="googlescholar-container">
    <w:name w:val="googlescholar-container"/>
    <w:basedOn w:val="DefaultParagraphFont"/>
    <w:rsid w:val="00A62F04"/>
  </w:style>
  <w:style w:type="paragraph" w:styleId="NormalIndent">
    <w:name w:val="Normal Indent"/>
    <w:basedOn w:val="Normal"/>
    <w:qFormat/>
    <w:rsid w:val="00DC0456"/>
    <w:pPr>
      <w:spacing w:after="120" w:line="288" w:lineRule="auto"/>
      <w:ind w:left="907"/>
    </w:pPr>
    <w:rPr>
      <w:rFonts w:ascii="Verdana" w:eastAsia="宋体" w:hAnsi="Verdana"/>
      <w:sz w:val="20"/>
      <w:szCs w:val="20"/>
      <w:lang w:eastAsia="en-US"/>
    </w:rPr>
  </w:style>
  <w:style w:type="paragraph" w:customStyle="1" w:styleId="MDPI37itemize">
    <w:name w:val="MDPI_3.7_itemize"/>
    <w:basedOn w:val="MDPI31text"/>
    <w:qFormat/>
    <w:rsid w:val="00E22804"/>
    <w:pPr>
      <w:numPr>
        <w:numId w:val="15"/>
      </w:numPr>
      <w:ind w:left="425" w:hanging="425"/>
    </w:pPr>
  </w:style>
  <w:style w:type="paragraph" w:customStyle="1" w:styleId="MDPI31text">
    <w:name w:val="MDPI_3.1_text"/>
    <w:qFormat/>
    <w:rsid w:val="00E22804"/>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22heading2">
    <w:name w:val="MDPI_2.2_heading2"/>
    <w:basedOn w:val="Normal"/>
    <w:qFormat/>
    <w:rsid w:val="00E22804"/>
    <w:pPr>
      <w:kinsoku w:val="0"/>
      <w:overflowPunct w:val="0"/>
      <w:autoSpaceDE w:val="0"/>
      <w:autoSpaceDN w:val="0"/>
      <w:adjustRightInd w:val="0"/>
      <w:snapToGrid w:val="0"/>
      <w:spacing w:before="240" w:after="120" w:line="260" w:lineRule="atLeast"/>
      <w:jc w:val="left"/>
      <w:outlineLvl w:val="1"/>
    </w:pPr>
    <w:rPr>
      <w:rFonts w:ascii="Palatino Linotype" w:eastAsia="Times New Roman" w:hAnsi="Palatino Linotype" w:cs="Times New Roman"/>
      <w:i/>
      <w:noProof/>
      <w:snapToGrid w:val="0"/>
      <w:color w:val="000000"/>
      <w:sz w:val="20"/>
      <w:lang w:val="en-US" w:eastAsia="de-DE" w:bidi="en-US"/>
    </w:rPr>
  </w:style>
  <w:style w:type="character" w:customStyle="1" w:styleId="UnresolvedMention1">
    <w:name w:val="Unresolved Mention1"/>
    <w:basedOn w:val="DefaultParagraphFont"/>
    <w:uiPriority w:val="99"/>
    <w:semiHidden/>
    <w:unhideWhenUsed/>
    <w:rsid w:val="00E22804"/>
    <w:rPr>
      <w:color w:val="605E5C"/>
      <w:shd w:val="clear" w:color="auto" w:fill="E1DFDD"/>
    </w:rPr>
  </w:style>
  <w:style w:type="character" w:customStyle="1" w:styleId="highlight01">
    <w:name w:val="highlight_01"/>
    <w:basedOn w:val="DefaultParagraphFont"/>
    <w:rsid w:val="00E22804"/>
  </w:style>
  <w:style w:type="paragraph" w:customStyle="1" w:styleId="listprogramlistingindent">
    <w:name w:val="listprogramlistingindent"/>
    <w:basedOn w:val="Normal"/>
    <w:rsid w:val="00E22804"/>
    <w:pPr>
      <w:spacing w:before="100" w:beforeAutospacing="1" w:after="100" w:afterAutospacing="1" w:line="240" w:lineRule="auto"/>
      <w:jc w:val="left"/>
    </w:pPr>
    <w:rPr>
      <w:rFonts w:eastAsia="Times New Roman" w:cs="Times New Roman"/>
      <w:szCs w:val="24"/>
    </w:rPr>
  </w:style>
  <w:style w:type="character" w:customStyle="1" w:styleId="mathtextbox">
    <w:name w:val="mathtextbox"/>
    <w:basedOn w:val="DefaultParagraphFont"/>
    <w:rsid w:val="00E22804"/>
  </w:style>
  <w:style w:type="character" w:customStyle="1" w:styleId="highlight03">
    <w:name w:val="highlight_03"/>
    <w:basedOn w:val="DefaultParagraphFont"/>
    <w:rsid w:val="00E22804"/>
  </w:style>
  <w:style w:type="paragraph" w:customStyle="1" w:styleId="shortdesc">
    <w:name w:val="shortdesc"/>
    <w:basedOn w:val="Normal"/>
    <w:rsid w:val="00E22804"/>
    <w:pPr>
      <w:spacing w:before="100" w:beforeAutospacing="1" w:after="100" w:afterAutospacing="1" w:line="240" w:lineRule="auto"/>
      <w:jc w:val="left"/>
    </w:pPr>
    <w:rPr>
      <w:rFonts w:eastAsia="Times New Roman" w:cs="Times New Roman"/>
      <w:szCs w:val="24"/>
    </w:rPr>
  </w:style>
  <w:style w:type="character" w:styleId="UnresolvedMention">
    <w:name w:val="Unresolved Mention"/>
    <w:basedOn w:val="DefaultParagraphFont"/>
    <w:uiPriority w:val="99"/>
    <w:semiHidden/>
    <w:unhideWhenUsed/>
    <w:rsid w:val="00E22804"/>
    <w:rPr>
      <w:color w:val="605E5C"/>
      <w:shd w:val="clear" w:color="auto" w:fill="E1DFDD"/>
    </w:rPr>
  </w:style>
  <w:style w:type="table" w:styleId="TableGridLight">
    <w:name w:val="Grid Table Light"/>
    <w:basedOn w:val="TableNormal"/>
    <w:uiPriority w:val="40"/>
    <w:rsid w:val="00E2280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irst">
    <w:name w:val="first"/>
    <w:basedOn w:val="Normal"/>
    <w:rsid w:val="00967456"/>
    <w:pPr>
      <w:spacing w:before="100" w:beforeAutospacing="1" w:after="100" w:afterAutospacing="1" w:line="240" w:lineRule="auto"/>
      <w:jc w:val="left"/>
    </w:pPr>
    <w:rPr>
      <w:rFonts w:eastAsia="Times New Roman" w:cs="Times New Roman"/>
      <w:szCs w:val="24"/>
    </w:rPr>
  </w:style>
  <w:style w:type="paragraph" w:customStyle="1" w:styleId="MDPI35textbeforelist">
    <w:name w:val="MDPI_3.5_text_before_list"/>
    <w:qFormat/>
    <w:rsid w:val="002122FA"/>
    <w:pPr>
      <w:spacing w:after="120" w:line="260" w:lineRule="atLeast"/>
      <w:jc w:val="both"/>
    </w:pPr>
    <w:rPr>
      <w:rFonts w:ascii="Palatino Linotype" w:eastAsia="Times New Roman" w:hAnsi="Palatino Linotype" w:cs="Times New Roman"/>
      <w:snapToGrid w:val="0"/>
      <w:color w:val="000000"/>
      <w:sz w:val="20"/>
      <w:lang w:val="en-US" w:eastAsia="de-DE" w:bidi="en-US"/>
    </w:rPr>
  </w:style>
  <w:style w:type="paragraph" w:customStyle="1" w:styleId="MDPI51figurecaption">
    <w:name w:val="MDPI_5.1_figure_caption"/>
    <w:qFormat/>
    <w:rsid w:val="002122FA"/>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2122FA"/>
    <w:pPr>
      <w:adjustRightInd w:val="0"/>
      <w:snapToGrid w:val="0"/>
      <w:spacing w:before="240" w:after="120" w:line="260" w:lineRule="atLeast"/>
      <w:jc w:val="center"/>
    </w:pPr>
    <w:rPr>
      <w:rFonts w:ascii="Palatino Linotype" w:eastAsia="Times New Roman" w:hAnsi="Palatino Linotype" w:cs="Times New Roman"/>
      <w:snapToGrid w:val="0"/>
      <w:color w:val="000000"/>
      <w:sz w:val="20"/>
      <w:szCs w:val="20"/>
      <w:lang w:val="en-US" w:eastAsia="de-DE" w:bidi="en-US"/>
    </w:rPr>
  </w:style>
  <w:style w:type="character" w:customStyle="1" w:styleId="MycontentChar">
    <w:name w:val="My_content Char"/>
    <w:basedOn w:val="DefaultParagraphFont"/>
    <w:link w:val="Mycontent"/>
    <w:locked/>
    <w:rsid w:val="00AC74BC"/>
    <w:rPr>
      <w:rFonts w:ascii="Times New Roman" w:hAnsi="Times New Roman" w:cs="Times New Roman"/>
      <w:sz w:val="24"/>
    </w:rPr>
  </w:style>
  <w:style w:type="paragraph" w:customStyle="1" w:styleId="Mycontent">
    <w:name w:val="My_content"/>
    <w:basedOn w:val="Normal"/>
    <w:link w:val="MycontentChar"/>
    <w:qFormat/>
    <w:rsid w:val="00AC74BC"/>
    <w:pPr>
      <w:spacing w:line="256" w:lineRule="auto"/>
      <w:jc w:val="left"/>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453">
      <w:bodyDiv w:val="1"/>
      <w:marLeft w:val="0"/>
      <w:marRight w:val="0"/>
      <w:marTop w:val="0"/>
      <w:marBottom w:val="0"/>
      <w:divBdr>
        <w:top w:val="none" w:sz="0" w:space="0" w:color="auto"/>
        <w:left w:val="none" w:sz="0" w:space="0" w:color="auto"/>
        <w:bottom w:val="none" w:sz="0" w:space="0" w:color="auto"/>
        <w:right w:val="none" w:sz="0" w:space="0" w:color="auto"/>
      </w:divBdr>
    </w:div>
    <w:div w:id="3821727">
      <w:bodyDiv w:val="1"/>
      <w:marLeft w:val="0"/>
      <w:marRight w:val="0"/>
      <w:marTop w:val="0"/>
      <w:marBottom w:val="0"/>
      <w:divBdr>
        <w:top w:val="none" w:sz="0" w:space="0" w:color="auto"/>
        <w:left w:val="none" w:sz="0" w:space="0" w:color="auto"/>
        <w:bottom w:val="none" w:sz="0" w:space="0" w:color="auto"/>
        <w:right w:val="none" w:sz="0" w:space="0" w:color="auto"/>
      </w:divBdr>
    </w:div>
    <w:div w:id="14237142">
      <w:bodyDiv w:val="1"/>
      <w:marLeft w:val="0"/>
      <w:marRight w:val="0"/>
      <w:marTop w:val="0"/>
      <w:marBottom w:val="0"/>
      <w:divBdr>
        <w:top w:val="none" w:sz="0" w:space="0" w:color="auto"/>
        <w:left w:val="none" w:sz="0" w:space="0" w:color="auto"/>
        <w:bottom w:val="none" w:sz="0" w:space="0" w:color="auto"/>
        <w:right w:val="none" w:sz="0" w:space="0" w:color="auto"/>
      </w:divBdr>
    </w:div>
    <w:div w:id="23290134">
      <w:bodyDiv w:val="1"/>
      <w:marLeft w:val="0"/>
      <w:marRight w:val="0"/>
      <w:marTop w:val="0"/>
      <w:marBottom w:val="0"/>
      <w:divBdr>
        <w:top w:val="none" w:sz="0" w:space="0" w:color="auto"/>
        <w:left w:val="none" w:sz="0" w:space="0" w:color="auto"/>
        <w:bottom w:val="none" w:sz="0" w:space="0" w:color="auto"/>
        <w:right w:val="none" w:sz="0" w:space="0" w:color="auto"/>
      </w:divBdr>
    </w:div>
    <w:div w:id="28724765">
      <w:bodyDiv w:val="1"/>
      <w:marLeft w:val="0"/>
      <w:marRight w:val="0"/>
      <w:marTop w:val="0"/>
      <w:marBottom w:val="0"/>
      <w:divBdr>
        <w:top w:val="none" w:sz="0" w:space="0" w:color="auto"/>
        <w:left w:val="none" w:sz="0" w:space="0" w:color="auto"/>
        <w:bottom w:val="none" w:sz="0" w:space="0" w:color="auto"/>
        <w:right w:val="none" w:sz="0" w:space="0" w:color="auto"/>
      </w:divBdr>
    </w:div>
    <w:div w:id="36899062">
      <w:bodyDiv w:val="1"/>
      <w:marLeft w:val="0"/>
      <w:marRight w:val="0"/>
      <w:marTop w:val="0"/>
      <w:marBottom w:val="0"/>
      <w:divBdr>
        <w:top w:val="none" w:sz="0" w:space="0" w:color="auto"/>
        <w:left w:val="none" w:sz="0" w:space="0" w:color="auto"/>
        <w:bottom w:val="none" w:sz="0" w:space="0" w:color="auto"/>
        <w:right w:val="none" w:sz="0" w:space="0" w:color="auto"/>
      </w:divBdr>
    </w:div>
    <w:div w:id="49699152">
      <w:bodyDiv w:val="1"/>
      <w:marLeft w:val="0"/>
      <w:marRight w:val="0"/>
      <w:marTop w:val="0"/>
      <w:marBottom w:val="0"/>
      <w:divBdr>
        <w:top w:val="none" w:sz="0" w:space="0" w:color="auto"/>
        <w:left w:val="none" w:sz="0" w:space="0" w:color="auto"/>
        <w:bottom w:val="none" w:sz="0" w:space="0" w:color="auto"/>
        <w:right w:val="none" w:sz="0" w:space="0" w:color="auto"/>
      </w:divBdr>
    </w:div>
    <w:div w:id="51123664">
      <w:bodyDiv w:val="1"/>
      <w:marLeft w:val="0"/>
      <w:marRight w:val="0"/>
      <w:marTop w:val="0"/>
      <w:marBottom w:val="0"/>
      <w:divBdr>
        <w:top w:val="none" w:sz="0" w:space="0" w:color="auto"/>
        <w:left w:val="none" w:sz="0" w:space="0" w:color="auto"/>
        <w:bottom w:val="none" w:sz="0" w:space="0" w:color="auto"/>
        <w:right w:val="none" w:sz="0" w:space="0" w:color="auto"/>
      </w:divBdr>
    </w:div>
    <w:div w:id="51587817">
      <w:bodyDiv w:val="1"/>
      <w:marLeft w:val="0"/>
      <w:marRight w:val="0"/>
      <w:marTop w:val="0"/>
      <w:marBottom w:val="0"/>
      <w:divBdr>
        <w:top w:val="none" w:sz="0" w:space="0" w:color="auto"/>
        <w:left w:val="none" w:sz="0" w:space="0" w:color="auto"/>
        <w:bottom w:val="none" w:sz="0" w:space="0" w:color="auto"/>
        <w:right w:val="none" w:sz="0" w:space="0" w:color="auto"/>
      </w:divBdr>
    </w:div>
    <w:div w:id="52508014">
      <w:bodyDiv w:val="1"/>
      <w:marLeft w:val="0"/>
      <w:marRight w:val="0"/>
      <w:marTop w:val="0"/>
      <w:marBottom w:val="0"/>
      <w:divBdr>
        <w:top w:val="none" w:sz="0" w:space="0" w:color="auto"/>
        <w:left w:val="none" w:sz="0" w:space="0" w:color="auto"/>
        <w:bottom w:val="none" w:sz="0" w:space="0" w:color="auto"/>
        <w:right w:val="none" w:sz="0" w:space="0" w:color="auto"/>
      </w:divBdr>
    </w:div>
    <w:div w:id="64769515">
      <w:bodyDiv w:val="1"/>
      <w:marLeft w:val="0"/>
      <w:marRight w:val="0"/>
      <w:marTop w:val="0"/>
      <w:marBottom w:val="0"/>
      <w:divBdr>
        <w:top w:val="none" w:sz="0" w:space="0" w:color="auto"/>
        <w:left w:val="none" w:sz="0" w:space="0" w:color="auto"/>
        <w:bottom w:val="none" w:sz="0" w:space="0" w:color="auto"/>
        <w:right w:val="none" w:sz="0" w:space="0" w:color="auto"/>
      </w:divBdr>
    </w:div>
    <w:div w:id="69817056">
      <w:bodyDiv w:val="1"/>
      <w:marLeft w:val="0"/>
      <w:marRight w:val="0"/>
      <w:marTop w:val="0"/>
      <w:marBottom w:val="0"/>
      <w:divBdr>
        <w:top w:val="none" w:sz="0" w:space="0" w:color="auto"/>
        <w:left w:val="none" w:sz="0" w:space="0" w:color="auto"/>
        <w:bottom w:val="none" w:sz="0" w:space="0" w:color="auto"/>
        <w:right w:val="none" w:sz="0" w:space="0" w:color="auto"/>
      </w:divBdr>
    </w:div>
    <w:div w:id="71243792">
      <w:bodyDiv w:val="1"/>
      <w:marLeft w:val="0"/>
      <w:marRight w:val="0"/>
      <w:marTop w:val="0"/>
      <w:marBottom w:val="0"/>
      <w:divBdr>
        <w:top w:val="none" w:sz="0" w:space="0" w:color="auto"/>
        <w:left w:val="none" w:sz="0" w:space="0" w:color="auto"/>
        <w:bottom w:val="none" w:sz="0" w:space="0" w:color="auto"/>
        <w:right w:val="none" w:sz="0" w:space="0" w:color="auto"/>
      </w:divBdr>
    </w:div>
    <w:div w:id="73553383">
      <w:bodyDiv w:val="1"/>
      <w:marLeft w:val="0"/>
      <w:marRight w:val="0"/>
      <w:marTop w:val="0"/>
      <w:marBottom w:val="0"/>
      <w:divBdr>
        <w:top w:val="none" w:sz="0" w:space="0" w:color="auto"/>
        <w:left w:val="none" w:sz="0" w:space="0" w:color="auto"/>
        <w:bottom w:val="none" w:sz="0" w:space="0" w:color="auto"/>
        <w:right w:val="none" w:sz="0" w:space="0" w:color="auto"/>
      </w:divBdr>
    </w:div>
    <w:div w:id="106782935">
      <w:bodyDiv w:val="1"/>
      <w:marLeft w:val="0"/>
      <w:marRight w:val="0"/>
      <w:marTop w:val="0"/>
      <w:marBottom w:val="0"/>
      <w:divBdr>
        <w:top w:val="none" w:sz="0" w:space="0" w:color="auto"/>
        <w:left w:val="none" w:sz="0" w:space="0" w:color="auto"/>
        <w:bottom w:val="none" w:sz="0" w:space="0" w:color="auto"/>
        <w:right w:val="none" w:sz="0" w:space="0" w:color="auto"/>
      </w:divBdr>
    </w:div>
    <w:div w:id="115954356">
      <w:bodyDiv w:val="1"/>
      <w:marLeft w:val="0"/>
      <w:marRight w:val="0"/>
      <w:marTop w:val="0"/>
      <w:marBottom w:val="0"/>
      <w:divBdr>
        <w:top w:val="none" w:sz="0" w:space="0" w:color="auto"/>
        <w:left w:val="none" w:sz="0" w:space="0" w:color="auto"/>
        <w:bottom w:val="none" w:sz="0" w:space="0" w:color="auto"/>
        <w:right w:val="none" w:sz="0" w:space="0" w:color="auto"/>
      </w:divBdr>
    </w:div>
    <w:div w:id="119539848">
      <w:bodyDiv w:val="1"/>
      <w:marLeft w:val="0"/>
      <w:marRight w:val="0"/>
      <w:marTop w:val="0"/>
      <w:marBottom w:val="0"/>
      <w:divBdr>
        <w:top w:val="none" w:sz="0" w:space="0" w:color="auto"/>
        <w:left w:val="none" w:sz="0" w:space="0" w:color="auto"/>
        <w:bottom w:val="none" w:sz="0" w:space="0" w:color="auto"/>
        <w:right w:val="none" w:sz="0" w:space="0" w:color="auto"/>
      </w:divBdr>
    </w:div>
    <w:div w:id="120154042">
      <w:bodyDiv w:val="1"/>
      <w:marLeft w:val="0"/>
      <w:marRight w:val="0"/>
      <w:marTop w:val="0"/>
      <w:marBottom w:val="0"/>
      <w:divBdr>
        <w:top w:val="none" w:sz="0" w:space="0" w:color="auto"/>
        <w:left w:val="none" w:sz="0" w:space="0" w:color="auto"/>
        <w:bottom w:val="none" w:sz="0" w:space="0" w:color="auto"/>
        <w:right w:val="none" w:sz="0" w:space="0" w:color="auto"/>
      </w:divBdr>
    </w:div>
    <w:div w:id="135806448">
      <w:bodyDiv w:val="1"/>
      <w:marLeft w:val="0"/>
      <w:marRight w:val="0"/>
      <w:marTop w:val="0"/>
      <w:marBottom w:val="0"/>
      <w:divBdr>
        <w:top w:val="none" w:sz="0" w:space="0" w:color="auto"/>
        <w:left w:val="none" w:sz="0" w:space="0" w:color="auto"/>
        <w:bottom w:val="none" w:sz="0" w:space="0" w:color="auto"/>
        <w:right w:val="none" w:sz="0" w:space="0" w:color="auto"/>
      </w:divBdr>
    </w:div>
    <w:div w:id="139271618">
      <w:bodyDiv w:val="1"/>
      <w:marLeft w:val="0"/>
      <w:marRight w:val="0"/>
      <w:marTop w:val="0"/>
      <w:marBottom w:val="0"/>
      <w:divBdr>
        <w:top w:val="none" w:sz="0" w:space="0" w:color="auto"/>
        <w:left w:val="none" w:sz="0" w:space="0" w:color="auto"/>
        <w:bottom w:val="none" w:sz="0" w:space="0" w:color="auto"/>
        <w:right w:val="none" w:sz="0" w:space="0" w:color="auto"/>
      </w:divBdr>
    </w:div>
    <w:div w:id="140581581">
      <w:bodyDiv w:val="1"/>
      <w:marLeft w:val="0"/>
      <w:marRight w:val="0"/>
      <w:marTop w:val="0"/>
      <w:marBottom w:val="0"/>
      <w:divBdr>
        <w:top w:val="none" w:sz="0" w:space="0" w:color="auto"/>
        <w:left w:val="none" w:sz="0" w:space="0" w:color="auto"/>
        <w:bottom w:val="none" w:sz="0" w:space="0" w:color="auto"/>
        <w:right w:val="none" w:sz="0" w:space="0" w:color="auto"/>
      </w:divBdr>
    </w:div>
    <w:div w:id="145318142">
      <w:bodyDiv w:val="1"/>
      <w:marLeft w:val="0"/>
      <w:marRight w:val="0"/>
      <w:marTop w:val="0"/>
      <w:marBottom w:val="0"/>
      <w:divBdr>
        <w:top w:val="none" w:sz="0" w:space="0" w:color="auto"/>
        <w:left w:val="none" w:sz="0" w:space="0" w:color="auto"/>
        <w:bottom w:val="none" w:sz="0" w:space="0" w:color="auto"/>
        <w:right w:val="none" w:sz="0" w:space="0" w:color="auto"/>
      </w:divBdr>
    </w:div>
    <w:div w:id="147333340">
      <w:bodyDiv w:val="1"/>
      <w:marLeft w:val="0"/>
      <w:marRight w:val="0"/>
      <w:marTop w:val="0"/>
      <w:marBottom w:val="0"/>
      <w:divBdr>
        <w:top w:val="none" w:sz="0" w:space="0" w:color="auto"/>
        <w:left w:val="none" w:sz="0" w:space="0" w:color="auto"/>
        <w:bottom w:val="none" w:sz="0" w:space="0" w:color="auto"/>
        <w:right w:val="none" w:sz="0" w:space="0" w:color="auto"/>
      </w:divBdr>
    </w:div>
    <w:div w:id="155462274">
      <w:bodyDiv w:val="1"/>
      <w:marLeft w:val="0"/>
      <w:marRight w:val="0"/>
      <w:marTop w:val="0"/>
      <w:marBottom w:val="0"/>
      <w:divBdr>
        <w:top w:val="none" w:sz="0" w:space="0" w:color="auto"/>
        <w:left w:val="none" w:sz="0" w:space="0" w:color="auto"/>
        <w:bottom w:val="none" w:sz="0" w:space="0" w:color="auto"/>
        <w:right w:val="none" w:sz="0" w:space="0" w:color="auto"/>
      </w:divBdr>
    </w:div>
    <w:div w:id="161630352">
      <w:bodyDiv w:val="1"/>
      <w:marLeft w:val="0"/>
      <w:marRight w:val="0"/>
      <w:marTop w:val="0"/>
      <w:marBottom w:val="0"/>
      <w:divBdr>
        <w:top w:val="none" w:sz="0" w:space="0" w:color="auto"/>
        <w:left w:val="none" w:sz="0" w:space="0" w:color="auto"/>
        <w:bottom w:val="none" w:sz="0" w:space="0" w:color="auto"/>
        <w:right w:val="none" w:sz="0" w:space="0" w:color="auto"/>
      </w:divBdr>
    </w:div>
    <w:div w:id="163251948">
      <w:bodyDiv w:val="1"/>
      <w:marLeft w:val="0"/>
      <w:marRight w:val="0"/>
      <w:marTop w:val="0"/>
      <w:marBottom w:val="0"/>
      <w:divBdr>
        <w:top w:val="none" w:sz="0" w:space="0" w:color="auto"/>
        <w:left w:val="none" w:sz="0" w:space="0" w:color="auto"/>
        <w:bottom w:val="none" w:sz="0" w:space="0" w:color="auto"/>
        <w:right w:val="none" w:sz="0" w:space="0" w:color="auto"/>
      </w:divBdr>
    </w:div>
    <w:div w:id="170460992">
      <w:bodyDiv w:val="1"/>
      <w:marLeft w:val="0"/>
      <w:marRight w:val="0"/>
      <w:marTop w:val="0"/>
      <w:marBottom w:val="0"/>
      <w:divBdr>
        <w:top w:val="none" w:sz="0" w:space="0" w:color="auto"/>
        <w:left w:val="none" w:sz="0" w:space="0" w:color="auto"/>
        <w:bottom w:val="none" w:sz="0" w:space="0" w:color="auto"/>
        <w:right w:val="none" w:sz="0" w:space="0" w:color="auto"/>
      </w:divBdr>
    </w:div>
    <w:div w:id="174468285">
      <w:bodyDiv w:val="1"/>
      <w:marLeft w:val="0"/>
      <w:marRight w:val="0"/>
      <w:marTop w:val="0"/>
      <w:marBottom w:val="0"/>
      <w:divBdr>
        <w:top w:val="none" w:sz="0" w:space="0" w:color="auto"/>
        <w:left w:val="none" w:sz="0" w:space="0" w:color="auto"/>
        <w:bottom w:val="none" w:sz="0" w:space="0" w:color="auto"/>
        <w:right w:val="none" w:sz="0" w:space="0" w:color="auto"/>
      </w:divBdr>
    </w:div>
    <w:div w:id="185406723">
      <w:bodyDiv w:val="1"/>
      <w:marLeft w:val="0"/>
      <w:marRight w:val="0"/>
      <w:marTop w:val="0"/>
      <w:marBottom w:val="0"/>
      <w:divBdr>
        <w:top w:val="none" w:sz="0" w:space="0" w:color="auto"/>
        <w:left w:val="none" w:sz="0" w:space="0" w:color="auto"/>
        <w:bottom w:val="none" w:sz="0" w:space="0" w:color="auto"/>
        <w:right w:val="none" w:sz="0" w:space="0" w:color="auto"/>
      </w:divBdr>
    </w:div>
    <w:div w:id="196283142">
      <w:bodyDiv w:val="1"/>
      <w:marLeft w:val="0"/>
      <w:marRight w:val="0"/>
      <w:marTop w:val="0"/>
      <w:marBottom w:val="0"/>
      <w:divBdr>
        <w:top w:val="none" w:sz="0" w:space="0" w:color="auto"/>
        <w:left w:val="none" w:sz="0" w:space="0" w:color="auto"/>
        <w:bottom w:val="none" w:sz="0" w:space="0" w:color="auto"/>
        <w:right w:val="none" w:sz="0" w:space="0" w:color="auto"/>
      </w:divBdr>
    </w:div>
    <w:div w:id="200822377">
      <w:bodyDiv w:val="1"/>
      <w:marLeft w:val="0"/>
      <w:marRight w:val="0"/>
      <w:marTop w:val="0"/>
      <w:marBottom w:val="0"/>
      <w:divBdr>
        <w:top w:val="none" w:sz="0" w:space="0" w:color="auto"/>
        <w:left w:val="none" w:sz="0" w:space="0" w:color="auto"/>
        <w:bottom w:val="none" w:sz="0" w:space="0" w:color="auto"/>
        <w:right w:val="none" w:sz="0" w:space="0" w:color="auto"/>
      </w:divBdr>
    </w:div>
    <w:div w:id="207840122">
      <w:bodyDiv w:val="1"/>
      <w:marLeft w:val="0"/>
      <w:marRight w:val="0"/>
      <w:marTop w:val="0"/>
      <w:marBottom w:val="0"/>
      <w:divBdr>
        <w:top w:val="none" w:sz="0" w:space="0" w:color="auto"/>
        <w:left w:val="none" w:sz="0" w:space="0" w:color="auto"/>
        <w:bottom w:val="none" w:sz="0" w:space="0" w:color="auto"/>
        <w:right w:val="none" w:sz="0" w:space="0" w:color="auto"/>
      </w:divBdr>
    </w:div>
    <w:div w:id="213809227">
      <w:bodyDiv w:val="1"/>
      <w:marLeft w:val="0"/>
      <w:marRight w:val="0"/>
      <w:marTop w:val="0"/>
      <w:marBottom w:val="0"/>
      <w:divBdr>
        <w:top w:val="none" w:sz="0" w:space="0" w:color="auto"/>
        <w:left w:val="none" w:sz="0" w:space="0" w:color="auto"/>
        <w:bottom w:val="none" w:sz="0" w:space="0" w:color="auto"/>
        <w:right w:val="none" w:sz="0" w:space="0" w:color="auto"/>
      </w:divBdr>
    </w:div>
    <w:div w:id="223494065">
      <w:bodyDiv w:val="1"/>
      <w:marLeft w:val="0"/>
      <w:marRight w:val="0"/>
      <w:marTop w:val="0"/>
      <w:marBottom w:val="0"/>
      <w:divBdr>
        <w:top w:val="none" w:sz="0" w:space="0" w:color="auto"/>
        <w:left w:val="none" w:sz="0" w:space="0" w:color="auto"/>
        <w:bottom w:val="none" w:sz="0" w:space="0" w:color="auto"/>
        <w:right w:val="none" w:sz="0" w:space="0" w:color="auto"/>
      </w:divBdr>
    </w:div>
    <w:div w:id="237638127">
      <w:bodyDiv w:val="1"/>
      <w:marLeft w:val="0"/>
      <w:marRight w:val="0"/>
      <w:marTop w:val="0"/>
      <w:marBottom w:val="0"/>
      <w:divBdr>
        <w:top w:val="none" w:sz="0" w:space="0" w:color="auto"/>
        <w:left w:val="none" w:sz="0" w:space="0" w:color="auto"/>
        <w:bottom w:val="none" w:sz="0" w:space="0" w:color="auto"/>
        <w:right w:val="none" w:sz="0" w:space="0" w:color="auto"/>
      </w:divBdr>
    </w:div>
    <w:div w:id="251622833">
      <w:bodyDiv w:val="1"/>
      <w:marLeft w:val="0"/>
      <w:marRight w:val="0"/>
      <w:marTop w:val="0"/>
      <w:marBottom w:val="0"/>
      <w:divBdr>
        <w:top w:val="none" w:sz="0" w:space="0" w:color="auto"/>
        <w:left w:val="none" w:sz="0" w:space="0" w:color="auto"/>
        <w:bottom w:val="none" w:sz="0" w:space="0" w:color="auto"/>
        <w:right w:val="none" w:sz="0" w:space="0" w:color="auto"/>
      </w:divBdr>
    </w:div>
    <w:div w:id="258758517">
      <w:bodyDiv w:val="1"/>
      <w:marLeft w:val="0"/>
      <w:marRight w:val="0"/>
      <w:marTop w:val="0"/>
      <w:marBottom w:val="0"/>
      <w:divBdr>
        <w:top w:val="none" w:sz="0" w:space="0" w:color="auto"/>
        <w:left w:val="none" w:sz="0" w:space="0" w:color="auto"/>
        <w:bottom w:val="none" w:sz="0" w:space="0" w:color="auto"/>
        <w:right w:val="none" w:sz="0" w:space="0" w:color="auto"/>
      </w:divBdr>
    </w:div>
    <w:div w:id="261842649">
      <w:bodyDiv w:val="1"/>
      <w:marLeft w:val="0"/>
      <w:marRight w:val="0"/>
      <w:marTop w:val="0"/>
      <w:marBottom w:val="0"/>
      <w:divBdr>
        <w:top w:val="none" w:sz="0" w:space="0" w:color="auto"/>
        <w:left w:val="none" w:sz="0" w:space="0" w:color="auto"/>
        <w:bottom w:val="none" w:sz="0" w:space="0" w:color="auto"/>
        <w:right w:val="none" w:sz="0" w:space="0" w:color="auto"/>
      </w:divBdr>
    </w:div>
    <w:div w:id="272637602">
      <w:bodyDiv w:val="1"/>
      <w:marLeft w:val="0"/>
      <w:marRight w:val="0"/>
      <w:marTop w:val="0"/>
      <w:marBottom w:val="0"/>
      <w:divBdr>
        <w:top w:val="none" w:sz="0" w:space="0" w:color="auto"/>
        <w:left w:val="none" w:sz="0" w:space="0" w:color="auto"/>
        <w:bottom w:val="none" w:sz="0" w:space="0" w:color="auto"/>
        <w:right w:val="none" w:sz="0" w:space="0" w:color="auto"/>
      </w:divBdr>
    </w:div>
    <w:div w:id="274677955">
      <w:bodyDiv w:val="1"/>
      <w:marLeft w:val="0"/>
      <w:marRight w:val="0"/>
      <w:marTop w:val="0"/>
      <w:marBottom w:val="0"/>
      <w:divBdr>
        <w:top w:val="none" w:sz="0" w:space="0" w:color="auto"/>
        <w:left w:val="none" w:sz="0" w:space="0" w:color="auto"/>
        <w:bottom w:val="none" w:sz="0" w:space="0" w:color="auto"/>
        <w:right w:val="none" w:sz="0" w:space="0" w:color="auto"/>
      </w:divBdr>
    </w:div>
    <w:div w:id="281499209">
      <w:bodyDiv w:val="1"/>
      <w:marLeft w:val="0"/>
      <w:marRight w:val="0"/>
      <w:marTop w:val="0"/>
      <w:marBottom w:val="0"/>
      <w:divBdr>
        <w:top w:val="none" w:sz="0" w:space="0" w:color="auto"/>
        <w:left w:val="none" w:sz="0" w:space="0" w:color="auto"/>
        <w:bottom w:val="none" w:sz="0" w:space="0" w:color="auto"/>
        <w:right w:val="none" w:sz="0" w:space="0" w:color="auto"/>
      </w:divBdr>
    </w:div>
    <w:div w:id="284965832">
      <w:bodyDiv w:val="1"/>
      <w:marLeft w:val="0"/>
      <w:marRight w:val="0"/>
      <w:marTop w:val="0"/>
      <w:marBottom w:val="0"/>
      <w:divBdr>
        <w:top w:val="none" w:sz="0" w:space="0" w:color="auto"/>
        <w:left w:val="none" w:sz="0" w:space="0" w:color="auto"/>
        <w:bottom w:val="none" w:sz="0" w:space="0" w:color="auto"/>
        <w:right w:val="none" w:sz="0" w:space="0" w:color="auto"/>
      </w:divBdr>
    </w:div>
    <w:div w:id="285355353">
      <w:bodyDiv w:val="1"/>
      <w:marLeft w:val="0"/>
      <w:marRight w:val="0"/>
      <w:marTop w:val="0"/>
      <w:marBottom w:val="0"/>
      <w:divBdr>
        <w:top w:val="none" w:sz="0" w:space="0" w:color="auto"/>
        <w:left w:val="none" w:sz="0" w:space="0" w:color="auto"/>
        <w:bottom w:val="none" w:sz="0" w:space="0" w:color="auto"/>
        <w:right w:val="none" w:sz="0" w:space="0" w:color="auto"/>
      </w:divBdr>
    </w:div>
    <w:div w:id="305089373">
      <w:bodyDiv w:val="1"/>
      <w:marLeft w:val="0"/>
      <w:marRight w:val="0"/>
      <w:marTop w:val="0"/>
      <w:marBottom w:val="0"/>
      <w:divBdr>
        <w:top w:val="none" w:sz="0" w:space="0" w:color="auto"/>
        <w:left w:val="none" w:sz="0" w:space="0" w:color="auto"/>
        <w:bottom w:val="none" w:sz="0" w:space="0" w:color="auto"/>
        <w:right w:val="none" w:sz="0" w:space="0" w:color="auto"/>
      </w:divBdr>
    </w:div>
    <w:div w:id="307444410">
      <w:bodyDiv w:val="1"/>
      <w:marLeft w:val="0"/>
      <w:marRight w:val="0"/>
      <w:marTop w:val="0"/>
      <w:marBottom w:val="0"/>
      <w:divBdr>
        <w:top w:val="none" w:sz="0" w:space="0" w:color="auto"/>
        <w:left w:val="none" w:sz="0" w:space="0" w:color="auto"/>
        <w:bottom w:val="none" w:sz="0" w:space="0" w:color="auto"/>
        <w:right w:val="none" w:sz="0" w:space="0" w:color="auto"/>
      </w:divBdr>
    </w:div>
    <w:div w:id="317156862">
      <w:bodyDiv w:val="1"/>
      <w:marLeft w:val="0"/>
      <w:marRight w:val="0"/>
      <w:marTop w:val="0"/>
      <w:marBottom w:val="0"/>
      <w:divBdr>
        <w:top w:val="none" w:sz="0" w:space="0" w:color="auto"/>
        <w:left w:val="none" w:sz="0" w:space="0" w:color="auto"/>
        <w:bottom w:val="none" w:sz="0" w:space="0" w:color="auto"/>
        <w:right w:val="none" w:sz="0" w:space="0" w:color="auto"/>
      </w:divBdr>
    </w:div>
    <w:div w:id="318115501">
      <w:bodyDiv w:val="1"/>
      <w:marLeft w:val="0"/>
      <w:marRight w:val="0"/>
      <w:marTop w:val="0"/>
      <w:marBottom w:val="0"/>
      <w:divBdr>
        <w:top w:val="none" w:sz="0" w:space="0" w:color="auto"/>
        <w:left w:val="none" w:sz="0" w:space="0" w:color="auto"/>
        <w:bottom w:val="none" w:sz="0" w:space="0" w:color="auto"/>
        <w:right w:val="none" w:sz="0" w:space="0" w:color="auto"/>
      </w:divBdr>
    </w:div>
    <w:div w:id="325868028">
      <w:bodyDiv w:val="1"/>
      <w:marLeft w:val="0"/>
      <w:marRight w:val="0"/>
      <w:marTop w:val="0"/>
      <w:marBottom w:val="0"/>
      <w:divBdr>
        <w:top w:val="none" w:sz="0" w:space="0" w:color="auto"/>
        <w:left w:val="none" w:sz="0" w:space="0" w:color="auto"/>
        <w:bottom w:val="none" w:sz="0" w:space="0" w:color="auto"/>
        <w:right w:val="none" w:sz="0" w:space="0" w:color="auto"/>
      </w:divBdr>
    </w:div>
    <w:div w:id="331688534">
      <w:bodyDiv w:val="1"/>
      <w:marLeft w:val="0"/>
      <w:marRight w:val="0"/>
      <w:marTop w:val="0"/>
      <w:marBottom w:val="0"/>
      <w:divBdr>
        <w:top w:val="none" w:sz="0" w:space="0" w:color="auto"/>
        <w:left w:val="none" w:sz="0" w:space="0" w:color="auto"/>
        <w:bottom w:val="none" w:sz="0" w:space="0" w:color="auto"/>
        <w:right w:val="none" w:sz="0" w:space="0" w:color="auto"/>
      </w:divBdr>
    </w:div>
    <w:div w:id="331953541">
      <w:bodyDiv w:val="1"/>
      <w:marLeft w:val="0"/>
      <w:marRight w:val="0"/>
      <w:marTop w:val="0"/>
      <w:marBottom w:val="0"/>
      <w:divBdr>
        <w:top w:val="none" w:sz="0" w:space="0" w:color="auto"/>
        <w:left w:val="none" w:sz="0" w:space="0" w:color="auto"/>
        <w:bottom w:val="none" w:sz="0" w:space="0" w:color="auto"/>
        <w:right w:val="none" w:sz="0" w:space="0" w:color="auto"/>
      </w:divBdr>
    </w:div>
    <w:div w:id="339739611">
      <w:bodyDiv w:val="1"/>
      <w:marLeft w:val="0"/>
      <w:marRight w:val="0"/>
      <w:marTop w:val="0"/>
      <w:marBottom w:val="0"/>
      <w:divBdr>
        <w:top w:val="none" w:sz="0" w:space="0" w:color="auto"/>
        <w:left w:val="none" w:sz="0" w:space="0" w:color="auto"/>
        <w:bottom w:val="none" w:sz="0" w:space="0" w:color="auto"/>
        <w:right w:val="none" w:sz="0" w:space="0" w:color="auto"/>
      </w:divBdr>
    </w:div>
    <w:div w:id="347829533">
      <w:bodyDiv w:val="1"/>
      <w:marLeft w:val="0"/>
      <w:marRight w:val="0"/>
      <w:marTop w:val="0"/>
      <w:marBottom w:val="0"/>
      <w:divBdr>
        <w:top w:val="none" w:sz="0" w:space="0" w:color="auto"/>
        <w:left w:val="none" w:sz="0" w:space="0" w:color="auto"/>
        <w:bottom w:val="none" w:sz="0" w:space="0" w:color="auto"/>
        <w:right w:val="none" w:sz="0" w:space="0" w:color="auto"/>
      </w:divBdr>
    </w:div>
    <w:div w:id="350836593">
      <w:bodyDiv w:val="1"/>
      <w:marLeft w:val="0"/>
      <w:marRight w:val="0"/>
      <w:marTop w:val="0"/>
      <w:marBottom w:val="0"/>
      <w:divBdr>
        <w:top w:val="none" w:sz="0" w:space="0" w:color="auto"/>
        <w:left w:val="none" w:sz="0" w:space="0" w:color="auto"/>
        <w:bottom w:val="none" w:sz="0" w:space="0" w:color="auto"/>
        <w:right w:val="none" w:sz="0" w:space="0" w:color="auto"/>
      </w:divBdr>
    </w:div>
    <w:div w:id="355696102">
      <w:bodyDiv w:val="1"/>
      <w:marLeft w:val="0"/>
      <w:marRight w:val="0"/>
      <w:marTop w:val="0"/>
      <w:marBottom w:val="0"/>
      <w:divBdr>
        <w:top w:val="none" w:sz="0" w:space="0" w:color="auto"/>
        <w:left w:val="none" w:sz="0" w:space="0" w:color="auto"/>
        <w:bottom w:val="none" w:sz="0" w:space="0" w:color="auto"/>
        <w:right w:val="none" w:sz="0" w:space="0" w:color="auto"/>
      </w:divBdr>
    </w:div>
    <w:div w:id="357122199">
      <w:bodyDiv w:val="1"/>
      <w:marLeft w:val="0"/>
      <w:marRight w:val="0"/>
      <w:marTop w:val="0"/>
      <w:marBottom w:val="0"/>
      <w:divBdr>
        <w:top w:val="none" w:sz="0" w:space="0" w:color="auto"/>
        <w:left w:val="none" w:sz="0" w:space="0" w:color="auto"/>
        <w:bottom w:val="none" w:sz="0" w:space="0" w:color="auto"/>
        <w:right w:val="none" w:sz="0" w:space="0" w:color="auto"/>
      </w:divBdr>
    </w:div>
    <w:div w:id="370694417">
      <w:bodyDiv w:val="1"/>
      <w:marLeft w:val="0"/>
      <w:marRight w:val="0"/>
      <w:marTop w:val="0"/>
      <w:marBottom w:val="0"/>
      <w:divBdr>
        <w:top w:val="none" w:sz="0" w:space="0" w:color="auto"/>
        <w:left w:val="none" w:sz="0" w:space="0" w:color="auto"/>
        <w:bottom w:val="none" w:sz="0" w:space="0" w:color="auto"/>
        <w:right w:val="none" w:sz="0" w:space="0" w:color="auto"/>
      </w:divBdr>
    </w:div>
    <w:div w:id="387341594">
      <w:bodyDiv w:val="1"/>
      <w:marLeft w:val="0"/>
      <w:marRight w:val="0"/>
      <w:marTop w:val="0"/>
      <w:marBottom w:val="0"/>
      <w:divBdr>
        <w:top w:val="none" w:sz="0" w:space="0" w:color="auto"/>
        <w:left w:val="none" w:sz="0" w:space="0" w:color="auto"/>
        <w:bottom w:val="none" w:sz="0" w:space="0" w:color="auto"/>
        <w:right w:val="none" w:sz="0" w:space="0" w:color="auto"/>
      </w:divBdr>
    </w:div>
    <w:div w:id="392774271">
      <w:bodyDiv w:val="1"/>
      <w:marLeft w:val="0"/>
      <w:marRight w:val="0"/>
      <w:marTop w:val="0"/>
      <w:marBottom w:val="0"/>
      <w:divBdr>
        <w:top w:val="none" w:sz="0" w:space="0" w:color="auto"/>
        <w:left w:val="none" w:sz="0" w:space="0" w:color="auto"/>
        <w:bottom w:val="none" w:sz="0" w:space="0" w:color="auto"/>
        <w:right w:val="none" w:sz="0" w:space="0" w:color="auto"/>
      </w:divBdr>
    </w:div>
    <w:div w:id="396979260">
      <w:bodyDiv w:val="1"/>
      <w:marLeft w:val="0"/>
      <w:marRight w:val="0"/>
      <w:marTop w:val="0"/>
      <w:marBottom w:val="0"/>
      <w:divBdr>
        <w:top w:val="none" w:sz="0" w:space="0" w:color="auto"/>
        <w:left w:val="none" w:sz="0" w:space="0" w:color="auto"/>
        <w:bottom w:val="none" w:sz="0" w:space="0" w:color="auto"/>
        <w:right w:val="none" w:sz="0" w:space="0" w:color="auto"/>
      </w:divBdr>
    </w:div>
    <w:div w:id="399136821">
      <w:bodyDiv w:val="1"/>
      <w:marLeft w:val="0"/>
      <w:marRight w:val="0"/>
      <w:marTop w:val="0"/>
      <w:marBottom w:val="0"/>
      <w:divBdr>
        <w:top w:val="none" w:sz="0" w:space="0" w:color="auto"/>
        <w:left w:val="none" w:sz="0" w:space="0" w:color="auto"/>
        <w:bottom w:val="none" w:sz="0" w:space="0" w:color="auto"/>
        <w:right w:val="none" w:sz="0" w:space="0" w:color="auto"/>
      </w:divBdr>
    </w:div>
    <w:div w:id="403451503">
      <w:bodyDiv w:val="1"/>
      <w:marLeft w:val="0"/>
      <w:marRight w:val="0"/>
      <w:marTop w:val="0"/>
      <w:marBottom w:val="0"/>
      <w:divBdr>
        <w:top w:val="none" w:sz="0" w:space="0" w:color="auto"/>
        <w:left w:val="none" w:sz="0" w:space="0" w:color="auto"/>
        <w:bottom w:val="none" w:sz="0" w:space="0" w:color="auto"/>
        <w:right w:val="none" w:sz="0" w:space="0" w:color="auto"/>
      </w:divBdr>
    </w:div>
    <w:div w:id="416681271">
      <w:bodyDiv w:val="1"/>
      <w:marLeft w:val="0"/>
      <w:marRight w:val="0"/>
      <w:marTop w:val="0"/>
      <w:marBottom w:val="0"/>
      <w:divBdr>
        <w:top w:val="none" w:sz="0" w:space="0" w:color="auto"/>
        <w:left w:val="none" w:sz="0" w:space="0" w:color="auto"/>
        <w:bottom w:val="none" w:sz="0" w:space="0" w:color="auto"/>
        <w:right w:val="none" w:sz="0" w:space="0" w:color="auto"/>
      </w:divBdr>
    </w:div>
    <w:div w:id="418793492">
      <w:bodyDiv w:val="1"/>
      <w:marLeft w:val="0"/>
      <w:marRight w:val="0"/>
      <w:marTop w:val="0"/>
      <w:marBottom w:val="0"/>
      <w:divBdr>
        <w:top w:val="none" w:sz="0" w:space="0" w:color="auto"/>
        <w:left w:val="none" w:sz="0" w:space="0" w:color="auto"/>
        <w:bottom w:val="none" w:sz="0" w:space="0" w:color="auto"/>
        <w:right w:val="none" w:sz="0" w:space="0" w:color="auto"/>
      </w:divBdr>
    </w:div>
    <w:div w:id="419641710">
      <w:bodyDiv w:val="1"/>
      <w:marLeft w:val="0"/>
      <w:marRight w:val="0"/>
      <w:marTop w:val="0"/>
      <w:marBottom w:val="0"/>
      <w:divBdr>
        <w:top w:val="none" w:sz="0" w:space="0" w:color="auto"/>
        <w:left w:val="none" w:sz="0" w:space="0" w:color="auto"/>
        <w:bottom w:val="none" w:sz="0" w:space="0" w:color="auto"/>
        <w:right w:val="none" w:sz="0" w:space="0" w:color="auto"/>
      </w:divBdr>
      <w:divsChild>
        <w:div w:id="251403920">
          <w:marLeft w:val="45"/>
          <w:marRight w:val="45"/>
          <w:marTop w:val="150"/>
          <w:marBottom w:val="150"/>
          <w:divBdr>
            <w:top w:val="none" w:sz="0" w:space="0" w:color="auto"/>
            <w:left w:val="none" w:sz="0" w:space="0" w:color="auto"/>
            <w:bottom w:val="none" w:sz="0" w:space="0" w:color="auto"/>
            <w:right w:val="none" w:sz="0" w:space="0" w:color="auto"/>
          </w:divBdr>
          <w:divsChild>
            <w:div w:id="885336671">
              <w:marLeft w:val="0"/>
              <w:marRight w:val="0"/>
              <w:marTop w:val="0"/>
              <w:marBottom w:val="0"/>
              <w:divBdr>
                <w:top w:val="single" w:sz="6" w:space="11" w:color="E9E9E9"/>
                <w:left w:val="single" w:sz="6" w:space="8" w:color="E9E9E9"/>
                <w:bottom w:val="single" w:sz="6" w:space="4" w:color="E9E9E9"/>
                <w:right w:val="single" w:sz="6" w:space="0" w:color="E9E9E9"/>
              </w:divBdr>
            </w:div>
          </w:divsChild>
        </w:div>
      </w:divsChild>
    </w:div>
    <w:div w:id="419764876">
      <w:bodyDiv w:val="1"/>
      <w:marLeft w:val="0"/>
      <w:marRight w:val="0"/>
      <w:marTop w:val="0"/>
      <w:marBottom w:val="0"/>
      <w:divBdr>
        <w:top w:val="none" w:sz="0" w:space="0" w:color="auto"/>
        <w:left w:val="none" w:sz="0" w:space="0" w:color="auto"/>
        <w:bottom w:val="none" w:sz="0" w:space="0" w:color="auto"/>
        <w:right w:val="none" w:sz="0" w:space="0" w:color="auto"/>
      </w:divBdr>
    </w:div>
    <w:div w:id="420764126">
      <w:bodyDiv w:val="1"/>
      <w:marLeft w:val="0"/>
      <w:marRight w:val="0"/>
      <w:marTop w:val="0"/>
      <w:marBottom w:val="0"/>
      <w:divBdr>
        <w:top w:val="none" w:sz="0" w:space="0" w:color="auto"/>
        <w:left w:val="none" w:sz="0" w:space="0" w:color="auto"/>
        <w:bottom w:val="none" w:sz="0" w:space="0" w:color="auto"/>
        <w:right w:val="none" w:sz="0" w:space="0" w:color="auto"/>
      </w:divBdr>
    </w:div>
    <w:div w:id="421412844">
      <w:bodyDiv w:val="1"/>
      <w:marLeft w:val="0"/>
      <w:marRight w:val="0"/>
      <w:marTop w:val="0"/>
      <w:marBottom w:val="0"/>
      <w:divBdr>
        <w:top w:val="none" w:sz="0" w:space="0" w:color="auto"/>
        <w:left w:val="none" w:sz="0" w:space="0" w:color="auto"/>
        <w:bottom w:val="none" w:sz="0" w:space="0" w:color="auto"/>
        <w:right w:val="none" w:sz="0" w:space="0" w:color="auto"/>
      </w:divBdr>
    </w:div>
    <w:div w:id="432283638">
      <w:bodyDiv w:val="1"/>
      <w:marLeft w:val="0"/>
      <w:marRight w:val="0"/>
      <w:marTop w:val="0"/>
      <w:marBottom w:val="0"/>
      <w:divBdr>
        <w:top w:val="none" w:sz="0" w:space="0" w:color="auto"/>
        <w:left w:val="none" w:sz="0" w:space="0" w:color="auto"/>
        <w:bottom w:val="none" w:sz="0" w:space="0" w:color="auto"/>
        <w:right w:val="none" w:sz="0" w:space="0" w:color="auto"/>
      </w:divBdr>
    </w:div>
    <w:div w:id="433408205">
      <w:bodyDiv w:val="1"/>
      <w:marLeft w:val="0"/>
      <w:marRight w:val="0"/>
      <w:marTop w:val="0"/>
      <w:marBottom w:val="0"/>
      <w:divBdr>
        <w:top w:val="none" w:sz="0" w:space="0" w:color="auto"/>
        <w:left w:val="none" w:sz="0" w:space="0" w:color="auto"/>
        <w:bottom w:val="none" w:sz="0" w:space="0" w:color="auto"/>
        <w:right w:val="none" w:sz="0" w:space="0" w:color="auto"/>
      </w:divBdr>
    </w:div>
    <w:div w:id="448158792">
      <w:bodyDiv w:val="1"/>
      <w:marLeft w:val="0"/>
      <w:marRight w:val="0"/>
      <w:marTop w:val="0"/>
      <w:marBottom w:val="0"/>
      <w:divBdr>
        <w:top w:val="none" w:sz="0" w:space="0" w:color="auto"/>
        <w:left w:val="none" w:sz="0" w:space="0" w:color="auto"/>
        <w:bottom w:val="none" w:sz="0" w:space="0" w:color="auto"/>
        <w:right w:val="none" w:sz="0" w:space="0" w:color="auto"/>
      </w:divBdr>
    </w:div>
    <w:div w:id="462433295">
      <w:bodyDiv w:val="1"/>
      <w:marLeft w:val="0"/>
      <w:marRight w:val="0"/>
      <w:marTop w:val="0"/>
      <w:marBottom w:val="0"/>
      <w:divBdr>
        <w:top w:val="none" w:sz="0" w:space="0" w:color="auto"/>
        <w:left w:val="none" w:sz="0" w:space="0" w:color="auto"/>
        <w:bottom w:val="none" w:sz="0" w:space="0" w:color="auto"/>
        <w:right w:val="none" w:sz="0" w:space="0" w:color="auto"/>
      </w:divBdr>
    </w:div>
    <w:div w:id="480735054">
      <w:bodyDiv w:val="1"/>
      <w:marLeft w:val="0"/>
      <w:marRight w:val="0"/>
      <w:marTop w:val="0"/>
      <w:marBottom w:val="0"/>
      <w:divBdr>
        <w:top w:val="none" w:sz="0" w:space="0" w:color="auto"/>
        <w:left w:val="none" w:sz="0" w:space="0" w:color="auto"/>
        <w:bottom w:val="none" w:sz="0" w:space="0" w:color="auto"/>
        <w:right w:val="none" w:sz="0" w:space="0" w:color="auto"/>
      </w:divBdr>
    </w:div>
    <w:div w:id="480852461">
      <w:bodyDiv w:val="1"/>
      <w:marLeft w:val="0"/>
      <w:marRight w:val="0"/>
      <w:marTop w:val="0"/>
      <w:marBottom w:val="0"/>
      <w:divBdr>
        <w:top w:val="none" w:sz="0" w:space="0" w:color="auto"/>
        <w:left w:val="none" w:sz="0" w:space="0" w:color="auto"/>
        <w:bottom w:val="none" w:sz="0" w:space="0" w:color="auto"/>
        <w:right w:val="none" w:sz="0" w:space="0" w:color="auto"/>
      </w:divBdr>
      <w:divsChild>
        <w:div w:id="77026381">
          <w:marLeft w:val="0"/>
          <w:marRight w:val="0"/>
          <w:marTop w:val="0"/>
          <w:marBottom w:val="0"/>
          <w:divBdr>
            <w:top w:val="none" w:sz="0" w:space="0" w:color="auto"/>
            <w:left w:val="none" w:sz="0" w:space="0" w:color="auto"/>
            <w:bottom w:val="none" w:sz="0" w:space="0" w:color="auto"/>
            <w:right w:val="none" w:sz="0" w:space="0" w:color="auto"/>
          </w:divBdr>
          <w:divsChild>
            <w:div w:id="234319790">
              <w:marLeft w:val="0"/>
              <w:marRight w:val="0"/>
              <w:marTop w:val="0"/>
              <w:marBottom w:val="0"/>
              <w:divBdr>
                <w:top w:val="none" w:sz="0" w:space="0" w:color="auto"/>
                <w:left w:val="none" w:sz="0" w:space="0" w:color="auto"/>
                <w:bottom w:val="none" w:sz="0" w:space="0" w:color="auto"/>
                <w:right w:val="none" w:sz="0" w:space="0" w:color="auto"/>
              </w:divBdr>
              <w:divsChild>
                <w:div w:id="576398779">
                  <w:marLeft w:val="0"/>
                  <w:marRight w:val="150"/>
                  <w:marTop w:val="30"/>
                  <w:marBottom w:val="135"/>
                  <w:divBdr>
                    <w:top w:val="none" w:sz="0" w:space="0" w:color="auto"/>
                    <w:left w:val="none" w:sz="0" w:space="0" w:color="auto"/>
                    <w:bottom w:val="none" w:sz="0" w:space="0" w:color="auto"/>
                    <w:right w:val="none" w:sz="0" w:space="0" w:color="auto"/>
                  </w:divBdr>
                </w:div>
              </w:divsChild>
            </w:div>
          </w:divsChild>
        </w:div>
      </w:divsChild>
    </w:div>
    <w:div w:id="487749863">
      <w:bodyDiv w:val="1"/>
      <w:marLeft w:val="0"/>
      <w:marRight w:val="0"/>
      <w:marTop w:val="0"/>
      <w:marBottom w:val="0"/>
      <w:divBdr>
        <w:top w:val="none" w:sz="0" w:space="0" w:color="auto"/>
        <w:left w:val="none" w:sz="0" w:space="0" w:color="auto"/>
        <w:bottom w:val="none" w:sz="0" w:space="0" w:color="auto"/>
        <w:right w:val="none" w:sz="0" w:space="0" w:color="auto"/>
      </w:divBdr>
    </w:div>
    <w:div w:id="503013301">
      <w:bodyDiv w:val="1"/>
      <w:marLeft w:val="0"/>
      <w:marRight w:val="0"/>
      <w:marTop w:val="0"/>
      <w:marBottom w:val="0"/>
      <w:divBdr>
        <w:top w:val="none" w:sz="0" w:space="0" w:color="auto"/>
        <w:left w:val="none" w:sz="0" w:space="0" w:color="auto"/>
        <w:bottom w:val="none" w:sz="0" w:space="0" w:color="auto"/>
        <w:right w:val="none" w:sz="0" w:space="0" w:color="auto"/>
      </w:divBdr>
    </w:div>
    <w:div w:id="516239891">
      <w:bodyDiv w:val="1"/>
      <w:marLeft w:val="0"/>
      <w:marRight w:val="0"/>
      <w:marTop w:val="0"/>
      <w:marBottom w:val="0"/>
      <w:divBdr>
        <w:top w:val="none" w:sz="0" w:space="0" w:color="auto"/>
        <w:left w:val="none" w:sz="0" w:space="0" w:color="auto"/>
        <w:bottom w:val="none" w:sz="0" w:space="0" w:color="auto"/>
        <w:right w:val="none" w:sz="0" w:space="0" w:color="auto"/>
      </w:divBdr>
    </w:div>
    <w:div w:id="529295239">
      <w:bodyDiv w:val="1"/>
      <w:marLeft w:val="0"/>
      <w:marRight w:val="0"/>
      <w:marTop w:val="0"/>
      <w:marBottom w:val="0"/>
      <w:divBdr>
        <w:top w:val="none" w:sz="0" w:space="0" w:color="auto"/>
        <w:left w:val="none" w:sz="0" w:space="0" w:color="auto"/>
        <w:bottom w:val="none" w:sz="0" w:space="0" w:color="auto"/>
        <w:right w:val="none" w:sz="0" w:space="0" w:color="auto"/>
      </w:divBdr>
    </w:div>
    <w:div w:id="536283438">
      <w:bodyDiv w:val="1"/>
      <w:marLeft w:val="0"/>
      <w:marRight w:val="0"/>
      <w:marTop w:val="0"/>
      <w:marBottom w:val="0"/>
      <w:divBdr>
        <w:top w:val="none" w:sz="0" w:space="0" w:color="auto"/>
        <w:left w:val="none" w:sz="0" w:space="0" w:color="auto"/>
        <w:bottom w:val="none" w:sz="0" w:space="0" w:color="auto"/>
        <w:right w:val="none" w:sz="0" w:space="0" w:color="auto"/>
      </w:divBdr>
    </w:div>
    <w:div w:id="538933575">
      <w:bodyDiv w:val="1"/>
      <w:marLeft w:val="0"/>
      <w:marRight w:val="0"/>
      <w:marTop w:val="0"/>
      <w:marBottom w:val="0"/>
      <w:divBdr>
        <w:top w:val="none" w:sz="0" w:space="0" w:color="auto"/>
        <w:left w:val="none" w:sz="0" w:space="0" w:color="auto"/>
        <w:bottom w:val="none" w:sz="0" w:space="0" w:color="auto"/>
        <w:right w:val="none" w:sz="0" w:space="0" w:color="auto"/>
      </w:divBdr>
    </w:div>
    <w:div w:id="540093720">
      <w:bodyDiv w:val="1"/>
      <w:marLeft w:val="0"/>
      <w:marRight w:val="0"/>
      <w:marTop w:val="0"/>
      <w:marBottom w:val="0"/>
      <w:divBdr>
        <w:top w:val="none" w:sz="0" w:space="0" w:color="auto"/>
        <w:left w:val="none" w:sz="0" w:space="0" w:color="auto"/>
        <w:bottom w:val="none" w:sz="0" w:space="0" w:color="auto"/>
        <w:right w:val="none" w:sz="0" w:space="0" w:color="auto"/>
      </w:divBdr>
    </w:div>
    <w:div w:id="546454361">
      <w:bodyDiv w:val="1"/>
      <w:marLeft w:val="0"/>
      <w:marRight w:val="0"/>
      <w:marTop w:val="0"/>
      <w:marBottom w:val="0"/>
      <w:divBdr>
        <w:top w:val="none" w:sz="0" w:space="0" w:color="auto"/>
        <w:left w:val="none" w:sz="0" w:space="0" w:color="auto"/>
        <w:bottom w:val="none" w:sz="0" w:space="0" w:color="auto"/>
        <w:right w:val="none" w:sz="0" w:space="0" w:color="auto"/>
      </w:divBdr>
    </w:div>
    <w:div w:id="549615015">
      <w:bodyDiv w:val="1"/>
      <w:marLeft w:val="0"/>
      <w:marRight w:val="0"/>
      <w:marTop w:val="0"/>
      <w:marBottom w:val="0"/>
      <w:divBdr>
        <w:top w:val="none" w:sz="0" w:space="0" w:color="auto"/>
        <w:left w:val="none" w:sz="0" w:space="0" w:color="auto"/>
        <w:bottom w:val="none" w:sz="0" w:space="0" w:color="auto"/>
        <w:right w:val="none" w:sz="0" w:space="0" w:color="auto"/>
      </w:divBdr>
    </w:div>
    <w:div w:id="554123484">
      <w:bodyDiv w:val="1"/>
      <w:marLeft w:val="0"/>
      <w:marRight w:val="0"/>
      <w:marTop w:val="0"/>
      <w:marBottom w:val="0"/>
      <w:divBdr>
        <w:top w:val="none" w:sz="0" w:space="0" w:color="auto"/>
        <w:left w:val="none" w:sz="0" w:space="0" w:color="auto"/>
        <w:bottom w:val="none" w:sz="0" w:space="0" w:color="auto"/>
        <w:right w:val="none" w:sz="0" w:space="0" w:color="auto"/>
      </w:divBdr>
    </w:div>
    <w:div w:id="556361913">
      <w:bodyDiv w:val="1"/>
      <w:marLeft w:val="0"/>
      <w:marRight w:val="0"/>
      <w:marTop w:val="0"/>
      <w:marBottom w:val="0"/>
      <w:divBdr>
        <w:top w:val="none" w:sz="0" w:space="0" w:color="auto"/>
        <w:left w:val="none" w:sz="0" w:space="0" w:color="auto"/>
        <w:bottom w:val="none" w:sz="0" w:space="0" w:color="auto"/>
        <w:right w:val="none" w:sz="0" w:space="0" w:color="auto"/>
      </w:divBdr>
    </w:div>
    <w:div w:id="561984647">
      <w:bodyDiv w:val="1"/>
      <w:marLeft w:val="0"/>
      <w:marRight w:val="0"/>
      <w:marTop w:val="0"/>
      <w:marBottom w:val="0"/>
      <w:divBdr>
        <w:top w:val="none" w:sz="0" w:space="0" w:color="auto"/>
        <w:left w:val="none" w:sz="0" w:space="0" w:color="auto"/>
        <w:bottom w:val="none" w:sz="0" w:space="0" w:color="auto"/>
        <w:right w:val="none" w:sz="0" w:space="0" w:color="auto"/>
      </w:divBdr>
    </w:div>
    <w:div w:id="569579420">
      <w:bodyDiv w:val="1"/>
      <w:marLeft w:val="0"/>
      <w:marRight w:val="0"/>
      <w:marTop w:val="0"/>
      <w:marBottom w:val="0"/>
      <w:divBdr>
        <w:top w:val="none" w:sz="0" w:space="0" w:color="auto"/>
        <w:left w:val="none" w:sz="0" w:space="0" w:color="auto"/>
        <w:bottom w:val="none" w:sz="0" w:space="0" w:color="auto"/>
        <w:right w:val="none" w:sz="0" w:space="0" w:color="auto"/>
      </w:divBdr>
    </w:div>
    <w:div w:id="576211583">
      <w:bodyDiv w:val="1"/>
      <w:marLeft w:val="0"/>
      <w:marRight w:val="0"/>
      <w:marTop w:val="0"/>
      <w:marBottom w:val="0"/>
      <w:divBdr>
        <w:top w:val="none" w:sz="0" w:space="0" w:color="auto"/>
        <w:left w:val="none" w:sz="0" w:space="0" w:color="auto"/>
        <w:bottom w:val="none" w:sz="0" w:space="0" w:color="auto"/>
        <w:right w:val="none" w:sz="0" w:space="0" w:color="auto"/>
      </w:divBdr>
    </w:div>
    <w:div w:id="580524246">
      <w:bodyDiv w:val="1"/>
      <w:marLeft w:val="0"/>
      <w:marRight w:val="0"/>
      <w:marTop w:val="0"/>
      <w:marBottom w:val="0"/>
      <w:divBdr>
        <w:top w:val="none" w:sz="0" w:space="0" w:color="auto"/>
        <w:left w:val="none" w:sz="0" w:space="0" w:color="auto"/>
        <w:bottom w:val="none" w:sz="0" w:space="0" w:color="auto"/>
        <w:right w:val="none" w:sz="0" w:space="0" w:color="auto"/>
      </w:divBdr>
    </w:div>
    <w:div w:id="587886523">
      <w:bodyDiv w:val="1"/>
      <w:marLeft w:val="0"/>
      <w:marRight w:val="0"/>
      <w:marTop w:val="0"/>
      <w:marBottom w:val="0"/>
      <w:divBdr>
        <w:top w:val="none" w:sz="0" w:space="0" w:color="auto"/>
        <w:left w:val="none" w:sz="0" w:space="0" w:color="auto"/>
        <w:bottom w:val="none" w:sz="0" w:space="0" w:color="auto"/>
        <w:right w:val="none" w:sz="0" w:space="0" w:color="auto"/>
      </w:divBdr>
    </w:div>
    <w:div w:id="600723489">
      <w:bodyDiv w:val="1"/>
      <w:marLeft w:val="0"/>
      <w:marRight w:val="0"/>
      <w:marTop w:val="0"/>
      <w:marBottom w:val="0"/>
      <w:divBdr>
        <w:top w:val="none" w:sz="0" w:space="0" w:color="auto"/>
        <w:left w:val="none" w:sz="0" w:space="0" w:color="auto"/>
        <w:bottom w:val="none" w:sz="0" w:space="0" w:color="auto"/>
        <w:right w:val="none" w:sz="0" w:space="0" w:color="auto"/>
      </w:divBdr>
    </w:div>
    <w:div w:id="609163982">
      <w:bodyDiv w:val="1"/>
      <w:marLeft w:val="0"/>
      <w:marRight w:val="0"/>
      <w:marTop w:val="0"/>
      <w:marBottom w:val="0"/>
      <w:divBdr>
        <w:top w:val="none" w:sz="0" w:space="0" w:color="auto"/>
        <w:left w:val="none" w:sz="0" w:space="0" w:color="auto"/>
        <w:bottom w:val="none" w:sz="0" w:space="0" w:color="auto"/>
        <w:right w:val="none" w:sz="0" w:space="0" w:color="auto"/>
      </w:divBdr>
    </w:div>
    <w:div w:id="623924303">
      <w:bodyDiv w:val="1"/>
      <w:marLeft w:val="0"/>
      <w:marRight w:val="0"/>
      <w:marTop w:val="0"/>
      <w:marBottom w:val="0"/>
      <w:divBdr>
        <w:top w:val="none" w:sz="0" w:space="0" w:color="auto"/>
        <w:left w:val="none" w:sz="0" w:space="0" w:color="auto"/>
        <w:bottom w:val="none" w:sz="0" w:space="0" w:color="auto"/>
        <w:right w:val="none" w:sz="0" w:space="0" w:color="auto"/>
      </w:divBdr>
    </w:div>
    <w:div w:id="625281121">
      <w:bodyDiv w:val="1"/>
      <w:marLeft w:val="0"/>
      <w:marRight w:val="0"/>
      <w:marTop w:val="0"/>
      <w:marBottom w:val="0"/>
      <w:divBdr>
        <w:top w:val="none" w:sz="0" w:space="0" w:color="auto"/>
        <w:left w:val="none" w:sz="0" w:space="0" w:color="auto"/>
        <w:bottom w:val="none" w:sz="0" w:space="0" w:color="auto"/>
        <w:right w:val="none" w:sz="0" w:space="0" w:color="auto"/>
      </w:divBdr>
    </w:div>
    <w:div w:id="625965752">
      <w:bodyDiv w:val="1"/>
      <w:marLeft w:val="0"/>
      <w:marRight w:val="0"/>
      <w:marTop w:val="0"/>
      <w:marBottom w:val="0"/>
      <w:divBdr>
        <w:top w:val="none" w:sz="0" w:space="0" w:color="auto"/>
        <w:left w:val="none" w:sz="0" w:space="0" w:color="auto"/>
        <w:bottom w:val="none" w:sz="0" w:space="0" w:color="auto"/>
        <w:right w:val="none" w:sz="0" w:space="0" w:color="auto"/>
      </w:divBdr>
    </w:div>
    <w:div w:id="630403485">
      <w:bodyDiv w:val="1"/>
      <w:marLeft w:val="0"/>
      <w:marRight w:val="0"/>
      <w:marTop w:val="0"/>
      <w:marBottom w:val="0"/>
      <w:divBdr>
        <w:top w:val="none" w:sz="0" w:space="0" w:color="auto"/>
        <w:left w:val="none" w:sz="0" w:space="0" w:color="auto"/>
        <w:bottom w:val="none" w:sz="0" w:space="0" w:color="auto"/>
        <w:right w:val="none" w:sz="0" w:space="0" w:color="auto"/>
      </w:divBdr>
      <w:divsChild>
        <w:div w:id="1227259307">
          <w:marLeft w:val="0"/>
          <w:marRight w:val="0"/>
          <w:marTop w:val="0"/>
          <w:marBottom w:val="0"/>
          <w:divBdr>
            <w:top w:val="none" w:sz="0" w:space="0" w:color="auto"/>
            <w:left w:val="none" w:sz="0" w:space="0" w:color="auto"/>
            <w:bottom w:val="none" w:sz="0" w:space="0" w:color="auto"/>
            <w:right w:val="none" w:sz="0" w:space="0" w:color="auto"/>
          </w:divBdr>
          <w:divsChild>
            <w:div w:id="449016782">
              <w:marLeft w:val="0"/>
              <w:marRight w:val="0"/>
              <w:marTop w:val="0"/>
              <w:marBottom w:val="0"/>
              <w:divBdr>
                <w:top w:val="none" w:sz="0" w:space="0" w:color="auto"/>
                <w:left w:val="none" w:sz="0" w:space="0" w:color="auto"/>
                <w:bottom w:val="none" w:sz="0" w:space="0" w:color="auto"/>
                <w:right w:val="none" w:sz="0" w:space="0" w:color="auto"/>
              </w:divBdr>
              <w:divsChild>
                <w:div w:id="1722828066">
                  <w:marLeft w:val="0"/>
                  <w:marRight w:val="150"/>
                  <w:marTop w:val="30"/>
                  <w:marBottom w:val="135"/>
                  <w:divBdr>
                    <w:top w:val="none" w:sz="0" w:space="0" w:color="auto"/>
                    <w:left w:val="none" w:sz="0" w:space="0" w:color="auto"/>
                    <w:bottom w:val="none" w:sz="0" w:space="0" w:color="auto"/>
                    <w:right w:val="none" w:sz="0" w:space="0" w:color="auto"/>
                  </w:divBdr>
                </w:div>
                <w:div w:id="853499923">
                  <w:marLeft w:val="0"/>
                  <w:marRight w:val="150"/>
                  <w:marTop w:val="30"/>
                  <w:marBottom w:val="135"/>
                  <w:divBdr>
                    <w:top w:val="none" w:sz="0" w:space="0" w:color="auto"/>
                    <w:left w:val="none" w:sz="0" w:space="0" w:color="auto"/>
                    <w:bottom w:val="none" w:sz="0" w:space="0" w:color="auto"/>
                    <w:right w:val="none" w:sz="0" w:space="0" w:color="auto"/>
                  </w:divBdr>
                </w:div>
                <w:div w:id="1630284765">
                  <w:marLeft w:val="0"/>
                  <w:marRight w:val="150"/>
                  <w:marTop w:val="30"/>
                  <w:marBottom w:val="135"/>
                  <w:divBdr>
                    <w:top w:val="none" w:sz="0" w:space="0" w:color="auto"/>
                    <w:left w:val="none" w:sz="0" w:space="0" w:color="auto"/>
                    <w:bottom w:val="none" w:sz="0" w:space="0" w:color="auto"/>
                    <w:right w:val="none" w:sz="0" w:space="0" w:color="auto"/>
                  </w:divBdr>
                </w:div>
                <w:div w:id="1178302170">
                  <w:marLeft w:val="0"/>
                  <w:marRight w:val="150"/>
                  <w:marTop w:val="30"/>
                  <w:marBottom w:val="135"/>
                  <w:divBdr>
                    <w:top w:val="none" w:sz="0" w:space="0" w:color="auto"/>
                    <w:left w:val="none" w:sz="0" w:space="0" w:color="auto"/>
                    <w:bottom w:val="none" w:sz="0" w:space="0" w:color="auto"/>
                    <w:right w:val="none" w:sz="0" w:space="0" w:color="auto"/>
                  </w:divBdr>
                </w:div>
                <w:div w:id="1071342984">
                  <w:marLeft w:val="0"/>
                  <w:marRight w:val="150"/>
                  <w:marTop w:val="30"/>
                  <w:marBottom w:val="135"/>
                  <w:divBdr>
                    <w:top w:val="none" w:sz="0" w:space="0" w:color="auto"/>
                    <w:left w:val="none" w:sz="0" w:space="0" w:color="auto"/>
                    <w:bottom w:val="none" w:sz="0" w:space="0" w:color="auto"/>
                    <w:right w:val="none" w:sz="0" w:space="0" w:color="auto"/>
                  </w:divBdr>
                </w:div>
                <w:div w:id="869879491">
                  <w:marLeft w:val="0"/>
                  <w:marRight w:val="150"/>
                  <w:marTop w:val="30"/>
                  <w:marBottom w:val="135"/>
                  <w:divBdr>
                    <w:top w:val="none" w:sz="0" w:space="0" w:color="auto"/>
                    <w:left w:val="none" w:sz="0" w:space="0" w:color="auto"/>
                    <w:bottom w:val="none" w:sz="0" w:space="0" w:color="auto"/>
                    <w:right w:val="none" w:sz="0" w:space="0" w:color="auto"/>
                  </w:divBdr>
                </w:div>
                <w:div w:id="519591923">
                  <w:marLeft w:val="0"/>
                  <w:marRight w:val="150"/>
                  <w:marTop w:val="30"/>
                  <w:marBottom w:val="135"/>
                  <w:divBdr>
                    <w:top w:val="none" w:sz="0" w:space="0" w:color="auto"/>
                    <w:left w:val="none" w:sz="0" w:space="0" w:color="auto"/>
                    <w:bottom w:val="none" w:sz="0" w:space="0" w:color="auto"/>
                    <w:right w:val="none" w:sz="0" w:space="0" w:color="auto"/>
                  </w:divBdr>
                </w:div>
              </w:divsChild>
            </w:div>
          </w:divsChild>
        </w:div>
      </w:divsChild>
    </w:div>
    <w:div w:id="641497241">
      <w:bodyDiv w:val="1"/>
      <w:marLeft w:val="0"/>
      <w:marRight w:val="0"/>
      <w:marTop w:val="0"/>
      <w:marBottom w:val="0"/>
      <w:divBdr>
        <w:top w:val="none" w:sz="0" w:space="0" w:color="auto"/>
        <w:left w:val="none" w:sz="0" w:space="0" w:color="auto"/>
        <w:bottom w:val="none" w:sz="0" w:space="0" w:color="auto"/>
        <w:right w:val="none" w:sz="0" w:space="0" w:color="auto"/>
      </w:divBdr>
    </w:div>
    <w:div w:id="646252322">
      <w:bodyDiv w:val="1"/>
      <w:marLeft w:val="0"/>
      <w:marRight w:val="0"/>
      <w:marTop w:val="0"/>
      <w:marBottom w:val="0"/>
      <w:divBdr>
        <w:top w:val="none" w:sz="0" w:space="0" w:color="auto"/>
        <w:left w:val="none" w:sz="0" w:space="0" w:color="auto"/>
        <w:bottom w:val="none" w:sz="0" w:space="0" w:color="auto"/>
        <w:right w:val="none" w:sz="0" w:space="0" w:color="auto"/>
      </w:divBdr>
    </w:div>
    <w:div w:id="657807728">
      <w:bodyDiv w:val="1"/>
      <w:marLeft w:val="0"/>
      <w:marRight w:val="0"/>
      <w:marTop w:val="0"/>
      <w:marBottom w:val="0"/>
      <w:divBdr>
        <w:top w:val="none" w:sz="0" w:space="0" w:color="auto"/>
        <w:left w:val="none" w:sz="0" w:space="0" w:color="auto"/>
        <w:bottom w:val="none" w:sz="0" w:space="0" w:color="auto"/>
        <w:right w:val="none" w:sz="0" w:space="0" w:color="auto"/>
      </w:divBdr>
    </w:div>
    <w:div w:id="664673630">
      <w:bodyDiv w:val="1"/>
      <w:marLeft w:val="0"/>
      <w:marRight w:val="0"/>
      <w:marTop w:val="0"/>
      <w:marBottom w:val="0"/>
      <w:divBdr>
        <w:top w:val="none" w:sz="0" w:space="0" w:color="auto"/>
        <w:left w:val="none" w:sz="0" w:space="0" w:color="auto"/>
        <w:bottom w:val="none" w:sz="0" w:space="0" w:color="auto"/>
        <w:right w:val="none" w:sz="0" w:space="0" w:color="auto"/>
      </w:divBdr>
    </w:div>
    <w:div w:id="667631392">
      <w:bodyDiv w:val="1"/>
      <w:marLeft w:val="0"/>
      <w:marRight w:val="0"/>
      <w:marTop w:val="0"/>
      <w:marBottom w:val="0"/>
      <w:divBdr>
        <w:top w:val="none" w:sz="0" w:space="0" w:color="auto"/>
        <w:left w:val="none" w:sz="0" w:space="0" w:color="auto"/>
        <w:bottom w:val="none" w:sz="0" w:space="0" w:color="auto"/>
        <w:right w:val="none" w:sz="0" w:space="0" w:color="auto"/>
      </w:divBdr>
    </w:div>
    <w:div w:id="674041058">
      <w:bodyDiv w:val="1"/>
      <w:marLeft w:val="0"/>
      <w:marRight w:val="0"/>
      <w:marTop w:val="0"/>
      <w:marBottom w:val="0"/>
      <w:divBdr>
        <w:top w:val="none" w:sz="0" w:space="0" w:color="auto"/>
        <w:left w:val="none" w:sz="0" w:space="0" w:color="auto"/>
        <w:bottom w:val="none" w:sz="0" w:space="0" w:color="auto"/>
        <w:right w:val="none" w:sz="0" w:space="0" w:color="auto"/>
      </w:divBdr>
    </w:div>
    <w:div w:id="681785584">
      <w:bodyDiv w:val="1"/>
      <w:marLeft w:val="0"/>
      <w:marRight w:val="0"/>
      <w:marTop w:val="0"/>
      <w:marBottom w:val="0"/>
      <w:divBdr>
        <w:top w:val="none" w:sz="0" w:space="0" w:color="auto"/>
        <w:left w:val="none" w:sz="0" w:space="0" w:color="auto"/>
        <w:bottom w:val="none" w:sz="0" w:space="0" w:color="auto"/>
        <w:right w:val="none" w:sz="0" w:space="0" w:color="auto"/>
      </w:divBdr>
    </w:div>
    <w:div w:id="684864916">
      <w:bodyDiv w:val="1"/>
      <w:marLeft w:val="0"/>
      <w:marRight w:val="0"/>
      <w:marTop w:val="0"/>
      <w:marBottom w:val="0"/>
      <w:divBdr>
        <w:top w:val="none" w:sz="0" w:space="0" w:color="auto"/>
        <w:left w:val="none" w:sz="0" w:space="0" w:color="auto"/>
        <w:bottom w:val="none" w:sz="0" w:space="0" w:color="auto"/>
        <w:right w:val="none" w:sz="0" w:space="0" w:color="auto"/>
      </w:divBdr>
    </w:div>
    <w:div w:id="695811606">
      <w:bodyDiv w:val="1"/>
      <w:marLeft w:val="0"/>
      <w:marRight w:val="0"/>
      <w:marTop w:val="0"/>
      <w:marBottom w:val="0"/>
      <w:divBdr>
        <w:top w:val="none" w:sz="0" w:space="0" w:color="auto"/>
        <w:left w:val="none" w:sz="0" w:space="0" w:color="auto"/>
        <w:bottom w:val="none" w:sz="0" w:space="0" w:color="auto"/>
        <w:right w:val="none" w:sz="0" w:space="0" w:color="auto"/>
      </w:divBdr>
    </w:div>
    <w:div w:id="699159405">
      <w:bodyDiv w:val="1"/>
      <w:marLeft w:val="0"/>
      <w:marRight w:val="0"/>
      <w:marTop w:val="0"/>
      <w:marBottom w:val="0"/>
      <w:divBdr>
        <w:top w:val="none" w:sz="0" w:space="0" w:color="auto"/>
        <w:left w:val="none" w:sz="0" w:space="0" w:color="auto"/>
        <w:bottom w:val="none" w:sz="0" w:space="0" w:color="auto"/>
        <w:right w:val="none" w:sz="0" w:space="0" w:color="auto"/>
      </w:divBdr>
    </w:div>
    <w:div w:id="707100521">
      <w:bodyDiv w:val="1"/>
      <w:marLeft w:val="0"/>
      <w:marRight w:val="0"/>
      <w:marTop w:val="0"/>
      <w:marBottom w:val="0"/>
      <w:divBdr>
        <w:top w:val="none" w:sz="0" w:space="0" w:color="auto"/>
        <w:left w:val="none" w:sz="0" w:space="0" w:color="auto"/>
        <w:bottom w:val="none" w:sz="0" w:space="0" w:color="auto"/>
        <w:right w:val="none" w:sz="0" w:space="0" w:color="auto"/>
      </w:divBdr>
    </w:div>
    <w:div w:id="713043447">
      <w:bodyDiv w:val="1"/>
      <w:marLeft w:val="0"/>
      <w:marRight w:val="0"/>
      <w:marTop w:val="0"/>
      <w:marBottom w:val="0"/>
      <w:divBdr>
        <w:top w:val="none" w:sz="0" w:space="0" w:color="auto"/>
        <w:left w:val="none" w:sz="0" w:space="0" w:color="auto"/>
        <w:bottom w:val="none" w:sz="0" w:space="0" w:color="auto"/>
        <w:right w:val="none" w:sz="0" w:space="0" w:color="auto"/>
      </w:divBdr>
    </w:div>
    <w:div w:id="724180073">
      <w:bodyDiv w:val="1"/>
      <w:marLeft w:val="0"/>
      <w:marRight w:val="0"/>
      <w:marTop w:val="0"/>
      <w:marBottom w:val="0"/>
      <w:divBdr>
        <w:top w:val="none" w:sz="0" w:space="0" w:color="auto"/>
        <w:left w:val="none" w:sz="0" w:space="0" w:color="auto"/>
        <w:bottom w:val="none" w:sz="0" w:space="0" w:color="auto"/>
        <w:right w:val="none" w:sz="0" w:space="0" w:color="auto"/>
      </w:divBdr>
    </w:div>
    <w:div w:id="732315806">
      <w:bodyDiv w:val="1"/>
      <w:marLeft w:val="0"/>
      <w:marRight w:val="0"/>
      <w:marTop w:val="0"/>
      <w:marBottom w:val="0"/>
      <w:divBdr>
        <w:top w:val="none" w:sz="0" w:space="0" w:color="auto"/>
        <w:left w:val="none" w:sz="0" w:space="0" w:color="auto"/>
        <w:bottom w:val="none" w:sz="0" w:space="0" w:color="auto"/>
        <w:right w:val="none" w:sz="0" w:space="0" w:color="auto"/>
      </w:divBdr>
    </w:div>
    <w:div w:id="734931318">
      <w:bodyDiv w:val="1"/>
      <w:marLeft w:val="0"/>
      <w:marRight w:val="0"/>
      <w:marTop w:val="0"/>
      <w:marBottom w:val="0"/>
      <w:divBdr>
        <w:top w:val="none" w:sz="0" w:space="0" w:color="auto"/>
        <w:left w:val="none" w:sz="0" w:space="0" w:color="auto"/>
        <w:bottom w:val="none" w:sz="0" w:space="0" w:color="auto"/>
        <w:right w:val="none" w:sz="0" w:space="0" w:color="auto"/>
      </w:divBdr>
    </w:div>
    <w:div w:id="747314044">
      <w:bodyDiv w:val="1"/>
      <w:marLeft w:val="0"/>
      <w:marRight w:val="0"/>
      <w:marTop w:val="0"/>
      <w:marBottom w:val="0"/>
      <w:divBdr>
        <w:top w:val="none" w:sz="0" w:space="0" w:color="auto"/>
        <w:left w:val="none" w:sz="0" w:space="0" w:color="auto"/>
        <w:bottom w:val="none" w:sz="0" w:space="0" w:color="auto"/>
        <w:right w:val="none" w:sz="0" w:space="0" w:color="auto"/>
      </w:divBdr>
    </w:div>
    <w:div w:id="750614456">
      <w:bodyDiv w:val="1"/>
      <w:marLeft w:val="0"/>
      <w:marRight w:val="0"/>
      <w:marTop w:val="0"/>
      <w:marBottom w:val="0"/>
      <w:divBdr>
        <w:top w:val="none" w:sz="0" w:space="0" w:color="auto"/>
        <w:left w:val="none" w:sz="0" w:space="0" w:color="auto"/>
        <w:bottom w:val="none" w:sz="0" w:space="0" w:color="auto"/>
        <w:right w:val="none" w:sz="0" w:space="0" w:color="auto"/>
      </w:divBdr>
    </w:div>
    <w:div w:id="760219351">
      <w:bodyDiv w:val="1"/>
      <w:marLeft w:val="0"/>
      <w:marRight w:val="0"/>
      <w:marTop w:val="0"/>
      <w:marBottom w:val="0"/>
      <w:divBdr>
        <w:top w:val="none" w:sz="0" w:space="0" w:color="auto"/>
        <w:left w:val="none" w:sz="0" w:space="0" w:color="auto"/>
        <w:bottom w:val="none" w:sz="0" w:space="0" w:color="auto"/>
        <w:right w:val="none" w:sz="0" w:space="0" w:color="auto"/>
      </w:divBdr>
    </w:div>
    <w:div w:id="760377475">
      <w:bodyDiv w:val="1"/>
      <w:marLeft w:val="0"/>
      <w:marRight w:val="0"/>
      <w:marTop w:val="0"/>
      <w:marBottom w:val="0"/>
      <w:divBdr>
        <w:top w:val="none" w:sz="0" w:space="0" w:color="auto"/>
        <w:left w:val="none" w:sz="0" w:space="0" w:color="auto"/>
        <w:bottom w:val="none" w:sz="0" w:space="0" w:color="auto"/>
        <w:right w:val="none" w:sz="0" w:space="0" w:color="auto"/>
      </w:divBdr>
    </w:div>
    <w:div w:id="761141541">
      <w:bodyDiv w:val="1"/>
      <w:marLeft w:val="0"/>
      <w:marRight w:val="0"/>
      <w:marTop w:val="0"/>
      <w:marBottom w:val="0"/>
      <w:divBdr>
        <w:top w:val="none" w:sz="0" w:space="0" w:color="auto"/>
        <w:left w:val="none" w:sz="0" w:space="0" w:color="auto"/>
        <w:bottom w:val="none" w:sz="0" w:space="0" w:color="auto"/>
        <w:right w:val="none" w:sz="0" w:space="0" w:color="auto"/>
      </w:divBdr>
    </w:div>
    <w:div w:id="773595527">
      <w:bodyDiv w:val="1"/>
      <w:marLeft w:val="0"/>
      <w:marRight w:val="0"/>
      <w:marTop w:val="0"/>
      <w:marBottom w:val="0"/>
      <w:divBdr>
        <w:top w:val="none" w:sz="0" w:space="0" w:color="auto"/>
        <w:left w:val="none" w:sz="0" w:space="0" w:color="auto"/>
        <w:bottom w:val="none" w:sz="0" w:space="0" w:color="auto"/>
        <w:right w:val="none" w:sz="0" w:space="0" w:color="auto"/>
      </w:divBdr>
    </w:div>
    <w:div w:id="778720988">
      <w:bodyDiv w:val="1"/>
      <w:marLeft w:val="0"/>
      <w:marRight w:val="0"/>
      <w:marTop w:val="0"/>
      <w:marBottom w:val="0"/>
      <w:divBdr>
        <w:top w:val="none" w:sz="0" w:space="0" w:color="auto"/>
        <w:left w:val="none" w:sz="0" w:space="0" w:color="auto"/>
        <w:bottom w:val="none" w:sz="0" w:space="0" w:color="auto"/>
        <w:right w:val="none" w:sz="0" w:space="0" w:color="auto"/>
      </w:divBdr>
    </w:div>
    <w:div w:id="813595789">
      <w:bodyDiv w:val="1"/>
      <w:marLeft w:val="0"/>
      <w:marRight w:val="0"/>
      <w:marTop w:val="0"/>
      <w:marBottom w:val="0"/>
      <w:divBdr>
        <w:top w:val="none" w:sz="0" w:space="0" w:color="auto"/>
        <w:left w:val="none" w:sz="0" w:space="0" w:color="auto"/>
        <w:bottom w:val="none" w:sz="0" w:space="0" w:color="auto"/>
        <w:right w:val="none" w:sz="0" w:space="0" w:color="auto"/>
      </w:divBdr>
    </w:div>
    <w:div w:id="815294633">
      <w:bodyDiv w:val="1"/>
      <w:marLeft w:val="0"/>
      <w:marRight w:val="0"/>
      <w:marTop w:val="0"/>
      <w:marBottom w:val="0"/>
      <w:divBdr>
        <w:top w:val="none" w:sz="0" w:space="0" w:color="auto"/>
        <w:left w:val="none" w:sz="0" w:space="0" w:color="auto"/>
        <w:bottom w:val="none" w:sz="0" w:space="0" w:color="auto"/>
        <w:right w:val="none" w:sz="0" w:space="0" w:color="auto"/>
      </w:divBdr>
    </w:div>
    <w:div w:id="817696387">
      <w:bodyDiv w:val="1"/>
      <w:marLeft w:val="0"/>
      <w:marRight w:val="0"/>
      <w:marTop w:val="0"/>
      <w:marBottom w:val="0"/>
      <w:divBdr>
        <w:top w:val="none" w:sz="0" w:space="0" w:color="auto"/>
        <w:left w:val="none" w:sz="0" w:space="0" w:color="auto"/>
        <w:bottom w:val="none" w:sz="0" w:space="0" w:color="auto"/>
        <w:right w:val="none" w:sz="0" w:space="0" w:color="auto"/>
      </w:divBdr>
    </w:div>
    <w:div w:id="826868337">
      <w:bodyDiv w:val="1"/>
      <w:marLeft w:val="0"/>
      <w:marRight w:val="0"/>
      <w:marTop w:val="0"/>
      <w:marBottom w:val="0"/>
      <w:divBdr>
        <w:top w:val="none" w:sz="0" w:space="0" w:color="auto"/>
        <w:left w:val="none" w:sz="0" w:space="0" w:color="auto"/>
        <w:bottom w:val="none" w:sz="0" w:space="0" w:color="auto"/>
        <w:right w:val="none" w:sz="0" w:space="0" w:color="auto"/>
      </w:divBdr>
    </w:div>
    <w:div w:id="829565603">
      <w:bodyDiv w:val="1"/>
      <w:marLeft w:val="0"/>
      <w:marRight w:val="0"/>
      <w:marTop w:val="0"/>
      <w:marBottom w:val="0"/>
      <w:divBdr>
        <w:top w:val="none" w:sz="0" w:space="0" w:color="auto"/>
        <w:left w:val="none" w:sz="0" w:space="0" w:color="auto"/>
        <w:bottom w:val="none" w:sz="0" w:space="0" w:color="auto"/>
        <w:right w:val="none" w:sz="0" w:space="0" w:color="auto"/>
      </w:divBdr>
    </w:div>
    <w:div w:id="834304227">
      <w:bodyDiv w:val="1"/>
      <w:marLeft w:val="0"/>
      <w:marRight w:val="0"/>
      <w:marTop w:val="0"/>
      <w:marBottom w:val="0"/>
      <w:divBdr>
        <w:top w:val="none" w:sz="0" w:space="0" w:color="auto"/>
        <w:left w:val="none" w:sz="0" w:space="0" w:color="auto"/>
        <w:bottom w:val="none" w:sz="0" w:space="0" w:color="auto"/>
        <w:right w:val="none" w:sz="0" w:space="0" w:color="auto"/>
      </w:divBdr>
    </w:div>
    <w:div w:id="865800485">
      <w:bodyDiv w:val="1"/>
      <w:marLeft w:val="0"/>
      <w:marRight w:val="0"/>
      <w:marTop w:val="0"/>
      <w:marBottom w:val="0"/>
      <w:divBdr>
        <w:top w:val="none" w:sz="0" w:space="0" w:color="auto"/>
        <w:left w:val="none" w:sz="0" w:space="0" w:color="auto"/>
        <w:bottom w:val="none" w:sz="0" w:space="0" w:color="auto"/>
        <w:right w:val="none" w:sz="0" w:space="0" w:color="auto"/>
      </w:divBdr>
    </w:div>
    <w:div w:id="872963903">
      <w:bodyDiv w:val="1"/>
      <w:marLeft w:val="0"/>
      <w:marRight w:val="0"/>
      <w:marTop w:val="0"/>
      <w:marBottom w:val="0"/>
      <w:divBdr>
        <w:top w:val="none" w:sz="0" w:space="0" w:color="auto"/>
        <w:left w:val="none" w:sz="0" w:space="0" w:color="auto"/>
        <w:bottom w:val="none" w:sz="0" w:space="0" w:color="auto"/>
        <w:right w:val="none" w:sz="0" w:space="0" w:color="auto"/>
      </w:divBdr>
    </w:div>
    <w:div w:id="873423547">
      <w:bodyDiv w:val="1"/>
      <w:marLeft w:val="0"/>
      <w:marRight w:val="0"/>
      <w:marTop w:val="0"/>
      <w:marBottom w:val="0"/>
      <w:divBdr>
        <w:top w:val="none" w:sz="0" w:space="0" w:color="auto"/>
        <w:left w:val="none" w:sz="0" w:space="0" w:color="auto"/>
        <w:bottom w:val="none" w:sz="0" w:space="0" w:color="auto"/>
        <w:right w:val="none" w:sz="0" w:space="0" w:color="auto"/>
      </w:divBdr>
    </w:div>
    <w:div w:id="879780418">
      <w:bodyDiv w:val="1"/>
      <w:marLeft w:val="0"/>
      <w:marRight w:val="0"/>
      <w:marTop w:val="0"/>
      <w:marBottom w:val="0"/>
      <w:divBdr>
        <w:top w:val="none" w:sz="0" w:space="0" w:color="auto"/>
        <w:left w:val="none" w:sz="0" w:space="0" w:color="auto"/>
        <w:bottom w:val="none" w:sz="0" w:space="0" w:color="auto"/>
        <w:right w:val="none" w:sz="0" w:space="0" w:color="auto"/>
      </w:divBdr>
    </w:div>
    <w:div w:id="892692775">
      <w:bodyDiv w:val="1"/>
      <w:marLeft w:val="0"/>
      <w:marRight w:val="0"/>
      <w:marTop w:val="0"/>
      <w:marBottom w:val="0"/>
      <w:divBdr>
        <w:top w:val="none" w:sz="0" w:space="0" w:color="auto"/>
        <w:left w:val="none" w:sz="0" w:space="0" w:color="auto"/>
        <w:bottom w:val="none" w:sz="0" w:space="0" w:color="auto"/>
        <w:right w:val="none" w:sz="0" w:space="0" w:color="auto"/>
      </w:divBdr>
    </w:div>
    <w:div w:id="905722726">
      <w:bodyDiv w:val="1"/>
      <w:marLeft w:val="0"/>
      <w:marRight w:val="0"/>
      <w:marTop w:val="0"/>
      <w:marBottom w:val="0"/>
      <w:divBdr>
        <w:top w:val="none" w:sz="0" w:space="0" w:color="auto"/>
        <w:left w:val="none" w:sz="0" w:space="0" w:color="auto"/>
        <w:bottom w:val="none" w:sz="0" w:space="0" w:color="auto"/>
        <w:right w:val="none" w:sz="0" w:space="0" w:color="auto"/>
      </w:divBdr>
    </w:div>
    <w:div w:id="914049942">
      <w:bodyDiv w:val="1"/>
      <w:marLeft w:val="0"/>
      <w:marRight w:val="0"/>
      <w:marTop w:val="0"/>
      <w:marBottom w:val="0"/>
      <w:divBdr>
        <w:top w:val="none" w:sz="0" w:space="0" w:color="auto"/>
        <w:left w:val="none" w:sz="0" w:space="0" w:color="auto"/>
        <w:bottom w:val="none" w:sz="0" w:space="0" w:color="auto"/>
        <w:right w:val="none" w:sz="0" w:space="0" w:color="auto"/>
      </w:divBdr>
    </w:div>
    <w:div w:id="920991911">
      <w:bodyDiv w:val="1"/>
      <w:marLeft w:val="0"/>
      <w:marRight w:val="0"/>
      <w:marTop w:val="0"/>
      <w:marBottom w:val="0"/>
      <w:divBdr>
        <w:top w:val="none" w:sz="0" w:space="0" w:color="auto"/>
        <w:left w:val="none" w:sz="0" w:space="0" w:color="auto"/>
        <w:bottom w:val="none" w:sz="0" w:space="0" w:color="auto"/>
        <w:right w:val="none" w:sz="0" w:space="0" w:color="auto"/>
      </w:divBdr>
    </w:div>
    <w:div w:id="924461554">
      <w:bodyDiv w:val="1"/>
      <w:marLeft w:val="0"/>
      <w:marRight w:val="0"/>
      <w:marTop w:val="0"/>
      <w:marBottom w:val="0"/>
      <w:divBdr>
        <w:top w:val="none" w:sz="0" w:space="0" w:color="auto"/>
        <w:left w:val="none" w:sz="0" w:space="0" w:color="auto"/>
        <w:bottom w:val="none" w:sz="0" w:space="0" w:color="auto"/>
        <w:right w:val="none" w:sz="0" w:space="0" w:color="auto"/>
      </w:divBdr>
    </w:div>
    <w:div w:id="924649237">
      <w:bodyDiv w:val="1"/>
      <w:marLeft w:val="0"/>
      <w:marRight w:val="0"/>
      <w:marTop w:val="0"/>
      <w:marBottom w:val="0"/>
      <w:divBdr>
        <w:top w:val="none" w:sz="0" w:space="0" w:color="auto"/>
        <w:left w:val="none" w:sz="0" w:space="0" w:color="auto"/>
        <w:bottom w:val="none" w:sz="0" w:space="0" w:color="auto"/>
        <w:right w:val="none" w:sz="0" w:space="0" w:color="auto"/>
      </w:divBdr>
    </w:div>
    <w:div w:id="942997753">
      <w:bodyDiv w:val="1"/>
      <w:marLeft w:val="0"/>
      <w:marRight w:val="0"/>
      <w:marTop w:val="0"/>
      <w:marBottom w:val="0"/>
      <w:divBdr>
        <w:top w:val="none" w:sz="0" w:space="0" w:color="auto"/>
        <w:left w:val="none" w:sz="0" w:space="0" w:color="auto"/>
        <w:bottom w:val="none" w:sz="0" w:space="0" w:color="auto"/>
        <w:right w:val="none" w:sz="0" w:space="0" w:color="auto"/>
      </w:divBdr>
    </w:div>
    <w:div w:id="951597279">
      <w:bodyDiv w:val="1"/>
      <w:marLeft w:val="0"/>
      <w:marRight w:val="0"/>
      <w:marTop w:val="0"/>
      <w:marBottom w:val="0"/>
      <w:divBdr>
        <w:top w:val="none" w:sz="0" w:space="0" w:color="auto"/>
        <w:left w:val="none" w:sz="0" w:space="0" w:color="auto"/>
        <w:bottom w:val="none" w:sz="0" w:space="0" w:color="auto"/>
        <w:right w:val="none" w:sz="0" w:space="0" w:color="auto"/>
      </w:divBdr>
    </w:div>
    <w:div w:id="957951189">
      <w:bodyDiv w:val="1"/>
      <w:marLeft w:val="0"/>
      <w:marRight w:val="0"/>
      <w:marTop w:val="0"/>
      <w:marBottom w:val="0"/>
      <w:divBdr>
        <w:top w:val="none" w:sz="0" w:space="0" w:color="auto"/>
        <w:left w:val="none" w:sz="0" w:space="0" w:color="auto"/>
        <w:bottom w:val="none" w:sz="0" w:space="0" w:color="auto"/>
        <w:right w:val="none" w:sz="0" w:space="0" w:color="auto"/>
      </w:divBdr>
    </w:div>
    <w:div w:id="960578195">
      <w:bodyDiv w:val="1"/>
      <w:marLeft w:val="0"/>
      <w:marRight w:val="0"/>
      <w:marTop w:val="0"/>
      <w:marBottom w:val="0"/>
      <w:divBdr>
        <w:top w:val="none" w:sz="0" w:space="0" w:color="auto"/>
        <w:left w:val="none" w:sz="0" w:space="0" w:color="auto"/>
        <w:bottom w:val="none" w:sz="0" w:space="0" w:color="auto"/>
        <w:right w:val="none" w:sz="0" w:space="0" w:color="auto"/>
      </w:divBdr>
    </w:div>
    <w:div w:id="970021252">
      <w:bodyDiv w:val="1"/>
      <w:marLeft w:val="0"/>
      <w:marRight w:val="0"/>
      <w:marTop w:val="0"/>
      <w:marBottom w:val="0"/>
      <w:divBdr>
        <w:top w:val="none" w:sz="0" w:space="0" w:color="auto"/>
        <w:left w:val="none" w:sz="0" w:space="0" w:color="auto"/>
        <w:bottom w:val="none" w:sz="0" w:space="0" w:color="auto"/>
        <w:right w:val="none" w:sz="0" w:space="0" w:color="auto"/>
      </w:divBdr>
    </w:div>
    <w:div w:id="971057080">
      <w:bodyDiv w:val="1"/>
      <w:marLeft w:val="0"/>
      <w:marRight w:val="0"/>
      <w:marTop w:val="0"/>
      <w:marBottom w:val="0"/>
      <w:divBdr>
        <w:top w:val="none" w:sz="0" w:space="0" w:color="auto"/>
        <w:left w:val="none" w:sz="0" w:space="0" w:color="auto"/>
        <w:bottom w:val="none" w:sz="0" w:space="0" w:color="auto"/>
        <w:right w:val="none" w:sz="0" w:space="0" w:color="auto"/>
      </w:divBdr>
    </w:div>
    <w:div w:id="991758178">
      <w:bodyDiv w:val="1"/>
      <w:marLeft w:val="0"/>
      <w:marRight w:val="0"/>
      <w:marTop w:val="0"/>
      <w:marBottom w:val="0"/>
      <w:divBdr>
        <w:top w:val="none" w:sz="0" w:space="0" w:color="auto"/>
        <w:left w:val="none" w:sz="0" w:space="0" w:color="auto"/>
        <w:bottom w:val="none" w:sz="0" w:space="0" w:color="auto"/>
        <w:right w:val="none" w:sz="0" w:space="0" w:color="auto"/>
      </w:divBdr>
    </w:div>
    <w:div w:id="1013804924">
      <w:bodyDiv w:val="1"/>
      <w:marLeft w:val="0"/>
      <w:marRight w:val="0"/>
      <w:marTop w:val="0"/>
      <w:marBottom w:val="0"/>
      <w:divBdr>
        <w:top w:val="none" w:sz="0" w:space="0" w:color="auto"/>
        <w:left w:val="none" w:sz="0" w:space="0" w:color="auto"/>
        <w:bottom w:val="none" w:sz="0" w:space="0" w:color="auto"/>
        <w:right w:val="none" w:sz="0" w:space="0" w:color="auto"/>
      </w:divBdr>
    </w:div>
    <w:div w:id="1028485007">
      <w:bodyDiv w:val="1"/>
      <w:marLeft w:val="0"/>
      <w:marRight w:val="0"/>
      <w:marTop w:val="0"/>
      <w:marBottom w:val="0"/>
      <w:divBdr>
        <w:top w:val="none" w:sz="0" w:space="0" w:color="auto"/>
        <w:left w:val="none" w:sz="0" w:space="0" w:color="auto"/>
        <w:bottom w:val="none" w:sz="0" w:space="0" w:color="auto"/>
        <w:right w:val="none" w:sz="0" w:space="0" w:color="auto"/>
      </w:divBdr>
    </w:div>
    <w:div w:id="1029455728">
      <w:bodyDiv w:val="1"/>
      <w:marLeft w:val="0"/>
      <w:marRight w:val="0"/>
      <w:marTop w:val="0"/>
      <w:marBottom w:val="0"/>
      <w:divBdr>
        <w:top w:val="none" w:sz="0" w:space="0" w:color="auto"/>
        <w:left w:val="none" w:sz="0" w:space="0" w:color="auto"/>
        <w:bottom w:val="none" w:sz="0" w:space="0" w:color="auto"/>
        <w:right w:val="none" w:sz="0" w:space="0" w:color="auto"/>
      </w:divBdr>
    </w:div>
    <w:div w:id="1052270793">
      <w:bodyDiv w:val="1"/>
      <w:marLeft w:val="0"/>
      <w:marRight w:val="0"/>
      <w:marTop w:val="0"/>
      <w:marBottom w:val="0"/>
      <w:divBdr>
        <w:top w:val="none" w:sz="0" w:space="0" w:color="auto"/>
        <w:left w:val="none" w:sz="0" w:space="0" w:color="auto"/>
        <w:bottom w:val="none" w:sz="0" w:space="0" w:color="auto"/>
        <w:right w:val="none" w:sz="0" w:space="0" w:color="auto"/>
      </w:divBdr>
    </w:div>
    <w:div w:id="1055204854">
      <w:bodyDiv w:val="1"/>
      <w:marLeft w:val="0"/>
      <w:marRight w:val="0"/>
      <w:marTop w:val="0"/>
      <w:marBottom w:val="0"/>
      <w:divBdr>
        <w:top w:val="none" w:sz="0" w:space="0" w:color="auto"/>
        <w:left w:val="none" w:sz="0" w:space="0" w:color="auto"/>
        <w:bottom w:val="none" w:sz="0" w:space="0" w:color="auto"/>
        <w:right w:val="none" w:sz="0" w:space="0" w:color="auto"/>
      </w:divBdr>
    </w:div>
    <w:div w:id="1062870100">
      <w:bodyDiv w:val="1"/>
      <w:marLeft w:val="0"/>
      <w:marRight w:val="0"/>
      <w:marTop w:val="0"/>
      <w:marBottom w:val="0"/>
      <w:divBdr>
        <w:top w:val="none" w:sz="0" w:space="0" w:color="auto"/>
        <w:left w:val="none" w:sz="0" w:space="0" w:color="auto"/>
        <w:bottom w:val="none" w:sz="0" w:space="0" w:color="auto"/>
        <w:right w:val="none" w:sz="0" w:space="0" w:color="auto"/>
      </w:divBdr>
    </w:div>
    <w:div w:id="1063257860">
      <w:bodyDiv w:val="1"/>
      <w:marLeft w:val="0"/>
      <w:marRight w:val="0"/>
      <w:marTop w:val="0"/>
      <w:marBottom w:val="0"/>
      <w:divBdr>
        <w:top w:val="none" w:sz="0" w:space="0" w:color="auto"/>
        <w:left w:val="none" w:sz="0" w:space="0" w:color="auto"/>
        <w:bottom w:val="none" w:sz="0" w:space="0" w:color="auto"/>
        <w:right w:val="none" w:sz="0" w:space="0" w:color="auto"/>
      </w:divBdr>
    </w:div>
    <w:div w:id="1066368986">
      <w:bodyDiv w:val="1"/>
      <w:marLeft w:val="0"/>
      <w:marRight w:val="0"/>
      <w:marTop w:val="0"/>
      <w:marBottom w:val="0"/>
      <w:divBdr>
        <w:top w:val="none" w:sz="0" w:space="0" w:color="auto"/>
        <w:left w:val="none" w:sz="0" w:space="0" w:color="auto"/>
        <w:bottom w:val="none" w:sz="0" w:space="0" w:color="auto"/>
        <w:right w:val="none" w:sz="0" w:space="0" w:color="auto"/>
      </w:divBdr>
    </w:div>
    <w:div w:id="1066608955">
      <w:bodyDiv w:val="1"/>
      <w:marLeft w:val="0"/>
      <w:marRight w:val="0"/>
      <w:marTop w:val="0"/>
      <w:marBottom w:val="0"/>
      <w:divBdr>
        <w:top w:val="none" w:sz="0" w:space="0" w:color="auto"/>
        <w:left w:val="none" w:sz="0" w:space="0" w:color="auto"/>
        <w:bottom w:val="none" w:sz="0" w:space="0" w:color="auto"/>
        <w:right w:val="none" w:sz="0" w:space="0" w:color="auto"/>
      </w:divBdr>
    </w:div>
    <w:div w:id="1069226226">
      <w:bodyDiv w:val="1"/>
      <w:marLeft w:val="0"/>
      <w:marRight w:val="0"/>
      <w:marTop w:val="0"/>
      <w:marBottom w:val="0"/>
      <w:divBdr>
        <w:top w:val="none" w:sz="0" w:space="0" w:color="auto"/>
        <w:left w:val="none" w:sz="0" w:space="0" w:color="auto"/>
        <w:bottom w:val="none" w:sz="0" w:space="0" w:color="auto"/>
        <w:right w:val="none" w:sz="0" w:space="0" w:color="auto"/>
      </w:divBdr>
    </w:div>
    <w:div w:id="1075668582">
      <w:bodyDiv w:val="1"/>
      <w:marLeft w:val="0"/>
      <w:marRight w:val="0"/>
      <w:marTop w:val="0"/>
      <w:marBottom w:val="0"/>
      <w:divBdr>
        <w:top w:val="none" w:sz="0" w:space="0" w:color="auto"/>
        <w:left w:val="none" w:sz="0" w:space="0" w:color="auto"/>
        <w:bottom w:val="none" w:sz="0" w:space="0" w:color="auto"/>
        <w:right w:val="none" w:sz="0" w:space="0" w:color="auto"/>
      </w:divBdr>
    </w:div>
    <w:div w:id="1078090397">
      <w:bodyDiv w:val="1"/>
      <w:marLeft w:val="0"/>
      <w:marRight w:val="0"/>
      <w:marTop w:val="0"/>
      <w:marBottom w:val="0"/>
      <w:divBdr>
        <w:top w:val="none" w:sz="0" w:space="0" w:color="auto"/>
        <w:left w:val="none" w:sz="0" w:space="0" w:color="auto"/>
        <w:bottom w:val="none" w:sz="0" w:space="0" w:color="auto"/>
        <w:right w:val="none" w:sz="0" w:space="0" w:color="auto"/>
      </w:divBdr>
      <w:divsChild>
        <w:div w:id="2051831223">
          <w:marLeft w:val="0"/>
          <w:marRight w:val="0"/>
          <w:marTop w:val="0"/>
          <w:marBottom w:val="0"/>
          <w:divBdr>
            <w:top w:val="none" w:sz="0" w:space="0" w:color="auto"/>
            <w:left w:val="none" w:sz="0" w:space="0" w:color="auto"/>
            <w:bottom w:val="none" w:sz="0" w:space="0" w:color="auto"/>
            <w:right w:val="none" w:sz="0" w:space="0" w:color="auto"/>
          </w:divBdr>
        </w:div>
        <w:div w:id="290943063">
          <w:marLeft w:val="0"/>
          <w:marRight w:val="0"/>
          <w:marTop w:val="0"/>
          <w:marBottom w:val="0"/>
          <w:divBdr>
            <w:top w:val="none" w:sz="0" w:space="0" w:color="auto"/>
            <w:left w:val="none" w:sz="0" w:space="0" w:color="auto"/>
            <w:bottom w:val="none" w:sz="0" w:space="0" w:color="auto"/>
            <w:right w:val="none" w:sz="0" w:space="0" w:color="auto"/>
          </w:divBdr>
        </w:div>
        <w:div w:id="1814902386">
          <w:marLeft w:val="0"/>
          <w:marRight w:val="0"/>
          <w:marTop w:val="0"/>
          <w:marBottom w:val="0"/>
          <w:divBdr>
            <w:top w:val="none" w:sz="0" w:space="0" w:color="auto"/>
            <w:left w:val="none" w:sz="0" w:space="0" w:color="auto"/>
            <w:bottom w:val="none" w:sz="0" w:space="0" w:color="auto"/>
            <w:right w:val="none" w:sz="0" w:space="0" w:color="auto"/>
          </w:divBdr>
        </w:div>
        <w:div w:id="1016422767">
          <w:marLeft w:val="0"/>
          <w:marRight w:val="0"/>
          <w:marTop w:val="0"/>
          <w:marBottom w:val="0"/>
          <w:divBdr>
            <w:top w:val="none" w:sz="0" w:space="0" w:color="auto"/>
            <w:left w:val="none" w:sz="0" w:space="0" w:color="auto"/>
            <w:bottom w:val="none" w:sz="0" w:space="0" w:color="auto"/>
            <w:right w:val="none" w:sz="0" w:space="0" w:color="auto"/>
          </w:divBdr>
        </w:div>
        <w:div w:id="226306697">
          <w:marLeft w:val="0"/>
          <w:marRight w:val="0"/>
          <w:marTop w:val="0"/>
          <w:marBottom w:val="0"/>
          <w:divBdr>
            <w:top w:val="none" w:sz="0" w:space="0" w:color="auto"/>
            <w:left w:val="none" w:sz="0" w:space="0" w:color="auto"/>
            <w:bottom w:val="none" w:sz="0" w:space="0" w:color="auto"/>
            <w:right w:val="none" w:sz="0" w:space="0" w:color="auto"/>
          </w:divBdr>
        </w:div>
        <w:div w:id="1594705273">
          <w:marLeft w:val="0"/>
          <w:marRight w:val="0"/>
          <w:marTop w:val="0"/>
          <w:marBottom w:val="0"/>
          <w:divBdr>
            <w:top w:val="none" w:sz="0" w:space="0" w:color="auto"/>
            <w:left w:val="none" w:sz="0" w:space="0" w:color="auto"/>
            <w:bottom w:val="none" w:sz="0" w:space="0" w:color="auto"/>
            <w:right w:val="none" w:sz="0" w:space="0" w:color="auto"/>
          </w:divBdr>
        </w:div>
        <w:div w:id="1332489742">
          <w:marLeft w:val="0"/>
          <w:marRight w:val="0"/>
          <w:marTop w:val="0"/>
          <w:marBottom w:val="0"/>
          <w:divBdr>
            <w:top w:val="none" w:sz="0" w:space="0" w:color="auto"/>
            <w:left w:val="none" w:sz="0" w:space="0" w:color="auto"/>
            <w:bottom w:val="none" w:sz="0" w:space="0" w:color="auto"/>
            <w:right w:val="none" w:sz="0" w:space="0" w:color="auto"/>
          </w:divBdr>
        </w:div>
        <w:div w:id="1689453199">
          <w:marLeft w:val="0"/>
          <w:marRight w:val="0"/>
          <w:marTop w:val="0"/>
          <w:marBottom w:val="0"/>
          <w:divBdr>
            <w:top w:val="none" w:sz="0" w:space="0" w:color="auto"/>
            <w:left w:val="none" w:sz="0" w:space="0" w:color="auto"/>
            <w:bottom w:val="none" w:sz="0" w:space="0" w:color="auto"/>
            <w:right w:val="none" w:sz="0" w:space="0" w:color="auto"/>
          </w:divBdr>
        </w:div>
        <w:div w:id="671875203">
          <w:marLeft w:val="0"/>
          <w:marRight w:val="0"/>
          <w:marTop w:val="0"/>
          <w:marBottom w:val="0"/>
          <w:divBdr>
            <w:top w:val="none" w:sz="0" w:space="0" w:color="auto"/>
            <w:left w:val="none" w:sz="0" w:space="0" w:color="auto"/>
            <w:bottom w:val="none" w:sz="0" w:space="0" w:color="auto"/>
            <w:right w:val="none" w:sz="0" w:space="0" w:color="auto"/>
          </w:divBdr>
        </w:div>
        <w:div w:id="992368676">
          <w:marLeft w:val="0"/>
          <w:marRight w:val="0"/>
          <w:marTop w:val="0"/>
          <w:marBottom w:val="0"/>
          <w:divBdr>
            <w:top w:val="none" w:sz="0" w:space="0" w:color="auto"/>
            <w:left w:val="none" w:sz="0" w:space="0" w:color="auto"/>
            <w:bottom w:val="none" w:sz="0" w:space="0" w:color="auto"/>
            <w:right w:val="none" w:sz="0" w:space="0" w:color="auto"/>
          </w:divBdr>
        </w:div>
        <w:div w:id="1883785260">
          <w:marLeft w:val="0"/>
          <w:marRight w:val="0"/>
          <w:marTop w:val="0"/>
          <w:marBottom w:val="0"/>
          <w:divBdr>
            <w:top w:val="none" w:sz="0" w:space="0" w:color="auto"/>
            <w:left w:val="none" w:sz="0" w:space="0" w:color="auto"/>
            <w:bottom w:val="none" w:sz="0" w:space="0" w:color="auto"/>
            <w:right w:val="none" w:sz="0" w:space="0" w:color="auto"/>
          </w:divBdr>
        </w:div>
        <w:div w:id="1266376903">
          <w:marLeft w:val="0"/>
          <w:marRight w:val="0"/>
          <w:marTop w:val="0"/>
          <w:marBottom w:val="0"/>
          <w:divBdr>
            <w:top w:val="none" w:sz="0" w:space="0" w:color="auto"/>
            <w:left w:val="none" w:sz="0" w:space="0" w:color="auto"/>
            <w:bottom w:val="none" w:sz="0" w:space="0" w:color="auto"/>
            <w:right w:val="none" w:sz="0" w:space="0" w:color="auto"/>
          </w:divBdr>
        </w:div>
        <w:div w:id="1261839561">
          <w:marLeft w:val="0"/>
          <w:marRight w:val="0"/>
          <w:marTop w:val="0"/>
          <w:marBottom w:val="0"/>
          <w:divBdr>
            <w:top w:val="none" w:sz="0" w:space="0" w:color="auto"/>
            <w:left w:val="none" w:sz="0" w:space="0" w:color="auto"/>
            <w:bottom w:val="none" w:sz="0" w:space="0" w:color="auto"/>
            <w:right w:val="none" w:sz="0" w:space="0" w:color="auto"/>
          </w:divBdr>
        </w:div>
        <w:div w:id="1281764784">
          <w:marLeft w:val="0"/>
          <w:marRight w:val="0"/>
          <w:marTop w:val="0"/>
          <w:marBottom w:val="0"/>
          <w:divBdr>
            <w:top w:val="none" w:sz="0" w:space="0" w:color="auto"/>
            <w:left w:val="none" w:sz="0" w:space="0" w:color="auto"/>
            <w:bottom w:val="none" w:sz="0" w:space="0" w:color="auto"/>
            <w:right w:val="none" w:sz="0" w:space="0" w:color="auto"/>
          </w:divBdr>
        </w:div>
        <w:div w:id="1594433939">
          <w:marLeft w:val="0"/>
          <w:marRight w:val="0"/>
          <w:marTop w:val="0"/>
          <w:marBottom w:val="0"/>
          <w:divBdr>
            <w:top w:val="none" w:sz="0" w:space="0" w:color="auto"/>
            <w:left w:val="none" w:sz="0" w:space="0" w:color="auto"/>
            <w:bottom w:val="none" w:sz="0" w:space="0" w:color="auto"/>
            <w:right w:val="none" w:sz="0" w:space="0" w:color="auto"/>
          </w:divBdr>
        </w:div>
        <w:div w:id="107480599">
          <w:marLeft w:val="0"/>
          <w:marRight w:val="0"/>
          <w:marTop w:val="0"/>
          <w:marBottom w:val="0"/>
          <w:divBdr>
            <w:top w:val="none" w:sz="0" w:space="0" w:color="auto"/>
            <w:left w:val="none" w:sz="0" w:space="0" w:color="auto"/>
            <w:bottom w:val="none" w:sz="0" w:space="0" w:color="auto"/>
            <w:right w:val="none" w:sz="0" w:space="0" w:color="auto"/>
          </w:divBdr>
        </w:div>
        <w:div w:id="628971911">
          <w:marLeft w:val="0"/>
          <w:marRight w:val="0"/>
          <w:marTop w:val="0"/>
          <w:marBottom w:val="0"/>
          <w:divBdr>
            <w:top w:val="none" w:sz="0" w:space="0" w:color="auto"/>
            <w:left w:val="none" w:sz="0" w:space="0" w:color="auto"/>
            <w:bottom w:val="none" w:sz="0" w:space="0" w:color="auto"/>
            <w:right w:val="none" w:sz="0" w:space="0" w:color="auto"/>
          </w:divBdr>
        </w:div>
        <w:div w:id="1115365086">
          <w:marLeft w:val="0"/>
          <w:marRight w:val="0"/>
          <w:marTop w:val="0"/>
          <w:marBottom w:val="0"/>
          <w:divBdr>
            <w:top w:val="none" w:sz="0" w:space="0" w:color="auto"/>
            <w:left w:val="none" w:sz="0" w:space="0" w:color="auto"/>
            <w:bottom w:val="none" w:sz="0" w:space="0" w:color="auto"/>
            <w:right w:val="none" w:sz="0" w:space="0" w:color="auto"/>
          </w:divBdr>
        </w:div>
      </w:divsChild>
    </w:div>
    <w:div w:id="1078287482">
      <w:bodyDiv w:val="1"/>
      <w:marLeft w:val="0"/>
      <w:marRight w:val="0"/>
      <w:marTop w:val="0"/>
      <w:marBottom w:val="0"/>
      <w:divBdr>
        <w:top w:val="none" w:sz="0" w:space="0" w:color="auto"/>
        <w:left w:val="none" w:sz="0" w:space="0" w:color="auto"/>
        <w:bottom w:val="none" w:sz="0" w:space="0" w:color="auto"/>
        <w:right w:val="none" w:sz="0" w:space="0" w:color="auto"/>
      </w:divBdr>
    </w:div>
    <w:div w:id="1083186729">
      <w:bodyDiv w:val="1"/>
      <w:marLeft w:val="0"/>
      <w:marRight w:val="0"/>
      <w:marTop w:val="0"/>
      <w:marBottom w:val="0"/>
      <w:divBdr>
        <w:top w:val="none" w:sz="0" w:space="0" w:color="auto"/>
        <w:left w:val="none" w:sz="0" w:space="0" w:color="auto"/>
        <w:bottom w:val="none" w:sz="0" w:space="0" w:color="auto"/>
        <w:right w:val="none" w:sz="0" w:space="0" w:color="auto"/>
      </w:divBdr>
    </w:div>
    <w:div w:id="1133325596">
      <w:bodyDiv w:val="1"/>
      <w:marLeft w:val="0"/>
      <w:marRight w:val="0"/>
      <w:marTop w:val="0"/>
      <w:marBottom w:val="0"/>
      <w:divBdr>
        <w:top w:val="none" w:sz="0" w:space="0" w:color="auto"/>
        <w:left w:val="none" w:sz="0" w:space="0" w:color="auto"/>
        <w:bottom w:val="none" w:sz="0" w:space="0" w:color="auto"/>
        <w:right w:val="none" w:sz="0" w:space="0" w:color="auto"/>
      </w:divBdr>
    </w:div>
    <w:div w:id="1137836162">
      <w:bodyDiv w:val="1"/>
      <w:marLeft w:val="0"/>
      <w:marRight w:val="0"/>
      <w:marTop w:val="0"/>
      <w:marBottom w:val="0"/>
      <w:divBdr>
        <w:top w:val="none" w:sz="0" w:space="0" w:color="auto"/>
        <w:left w:val="none" w:sz="0" w:space="0" w:color="auto"/>
        <w:bottom w:val="none" w:sz="0" w:space="0" w:color="auto"/>
        <w:right w:val="none" w:sz="0" w:space="0" w:color="auto"/>
      </w:divBdr>
    </w:div>
    <w:div w:id="1145317282">
      <w:bodyDiv w:val="1"/>
      <w:marLeft w:val="0"/>
      <w:marRight w:val="0"/>
      <w:marTop w:val="0"/>
      <w:marBottom w:val="0"/>
      <w:divBdr>
        <w:top w:val="none" w:sz="0" w:space="0" w:color="auto"/>
        <w:left w:val="none" w:sz="0" w:space="0" w:color="auto"/>
        <w:bottom w:val="none" w:sz="0" w:space="0" w:color="auto"/>
        <w:right w:val="none" w:sz="0" w:space="0" w:color="auto"/>
      </w:divBdr>
    </w:div>
    <w:div w:id="1149513127">
      <w:bodyDiv w:val="1"/>
      <w:marLeft w:val="0"/>
      <w:marRight w:val="0"/>
      <w:marTop w:val="0"/>
      <w:marBottom w:val="0"/>
      <w:divBdr>
        <w:top w:val="none" w:sz="0" w:space="0" w:color="auto"/>
        <w:left w:val="none" w:sz="0" w:space="0" w:color="auto"/>
        <w:bottom w:val="none" w:sz="0" w:space="0" w:color="auto"/>
        <w:right w:val="none" w:sz="0" w:space="0" w:color="auto"/>
      </w:divBdr>
    </w:div>
    <w:div w:id="1157764982">
      <w:bodyDiv w:val="1"/>
      <w:marLeft w:val="0"/>
      <w:marRight w:val="0"/>
      <w:marTop w:val="0"/>
      <w:marBottom w:val="0"/>
      <w:divBdr>
        <w:top w:val="none" w:sz="0" w:space="0" w:color="auto"/>
        <w:left w:val="none" w:sz="0" w:space="0" w:color="auto"/>
        <w:bottom w:val="none" w:sz="0" w:space="0" w:color="auto"/>
        <w:right w:val="none" w:sz="0" w:space="0" w:color="auto"/>
      </w:divBdr>
    </w:div>
    <w:div w:id="1163814351">
      <w:bodyDiv w:val="1"/>
      <w:marLeft w:val="0"/>
      <w:marRight w:val="0"/>
      <w:marTop w:val="0"/>
      <w:marBottom w:val="0"/>
      <w:divBdr>
        <w:top w:val="none" w:sz="0" w:space="0" w:color="auto"/>
        <w:left w:val="none" w:sz="0" w:space="0" w:color="auto"/>
        <w:bottom w:val="none" w:sz="0" w:space="0" w:color="auto"/>
        <w:right w:val="none" w:sz="0" w:space="0" w:color="auto"/>
      </w:divBdr>
    </w:div>
    <w:div w:id="1166559036">
      <w:bodyDiv w:val="1"/>
      <w:marLeft w:val="0"/>
      <w:marRight w:val="0"/>
      <w:marTop w:val="0"/>
      <w:marBottom w:val="0"/>
      <w:divBdr>
        <w:top w:val="none" w:sz="0" w:space="0" w:color="auto"/>
        <w:left w:val="none" w:sz="0" w:space="0" w:color="auto"/>
        <w:bottom w:val="none" w:sz="0" w:space="0" w:color="auto"/>
        <w:right w:val="none" w:sz="0" w:space="0" w:color="auto"/>
      </w:divBdr>
    </w:div>
    <w:div w:id="1166826382">
      <w:bodyDiv w:val="1"/>
      <w:marLeft w:val="0"/>
      <w:marRight w:val="0"/>
      <w:marTop w:val="0"/>
      <w:marBottom w:val="0"/>
      <w:divBdr>
        <w:top w:val="none" w:sz="0" w:space="0" w:color="auto"/>
        <w:left w:val="none" w:sz="0" w:space="0" w:color="auto"/>
        <w:bottom w:val="none" w:sz="0" w:space="0" w:color="auto"/>
        <w:right w:val="none" w:sz="0" w:space="0" w:color="auto"/>
      </w:divBdr>
    </w:div>
    <w:div w:id="1171332022">
      <w:bodyDiv w:val="1"/>
      <w:marLeft w:val="0"/>
      <w:marRight w:val="0"/>
      <w:marTop w:val="0"/>
      <w:marBottom w:val="0"/>
      <w:divBdr>
        <w:top w:val="none" w:sz="0" w:space="0" w:color="auto"/>
        <w:left w:val="none" w:sz="0" w:space="0" w:color="auto"/>
        <w:bottom w:val="none" w:sz="0" w:space="0" w:color="auto"/>
        <w:right w:val="none" w:sz="0" w:space="0" w:color="auto"/>
      </w:divBdr>
    </w:div>
    <w:div w:id="1173645252">
      <w:bodyDiv w:val="1"/>
      <w:marLeft w:val="0"/>
      <w:marRight w:val="0"/>
      <w:marTop w:val="0"/>
      <w:marBottom w:val="0"/>
      <w:divBdr>
        <w:top w:val="none" w:sz="0" w:space="0" w:color="auto"/>
        <w:left w:val="none" w:sz="0" w:space="0" w:color="auto"/>
        <w:bottom w:val="none" w:sz="0" w:space="0" w:color="auto"/>
        <w:right w:val="none" w:sz="0" w:space="0" w:color="auto"/>
      </w:divBdr>
    </w:div>
    <w:div w:id="1174765546">
      <w:bodyDiv w:val="1"/>
      <w:marLeft w:val="0"/>
      <w:marRight w:val="0"/>
      <w:marTop w:val="0"/>
      <w:marBottom w:val="0"/>
      <w:divBdr>
        <w:top w:val="none" w:sz="0" w:space="0" w:color="auto"/>
        <w:left w:val="none" w:sz="0" w:space="0" w:color="auto"/>
        <w:bottom w:val="none" w:sz="0" w:space="0" w:color="auto"/>
        <w:right w:val="none" w:sz="0" w:space="0" w:color="auto"/>
      </w:divBdr>
    </w:div>
    <w:div w:id="1179002326">
      <w:bodyDiv w:val="1"/>
      <w:marLeft w:val="0"/>
      <w:marRight w:val="0"/>
      <w:marTop w:val="0"/>
      <w:marBottom w:val="0"/>
      <w:divBdr>
        <w:top w:val="none" w:sz="0" w:space="0" w:color="auto"/>
        <w:left w:val="none" w:sz="0" w:space="0" w:color="auto"/>
        <w:bottom w:val="none" w:sz="0" w:space="0" w:color="auto"/>
        <w:right w:val="none" w:sz="0" w:space="0" w:color="auto"/>
      </w:divBdr>
    </w:div>
    <w:div w:id="1179124952">
      <w:bodyDiv w:val="1"/>
      <w:marLeft w:val="0"/>
      <w:marRight w:val="0"/>
      <w:marTop w:val="0"/>
      <w:marBottom w:val="0"/>
      <w:divBdr>
        <w:top w:val="none" w:sz="0" w:space="0" w:color="auto"/>
        <w:left w:val="none" w:sz="0" w:space="0" w:color="auto"/>
        <w:bottom w:val="none" w:sz="0" w:space="0" w:color="auto"/>
        <w:right w:val="none" w:sz="0" w:space="0" w:color="auto"/>
      </w:divBdr>
    </w:div>
    <w:div w:id="1183594318">
      <w:bodyDiv w:val="1"/>
      <w:marLeft w:val="0"/>
      <w:marRight w:val="0"/>
      <w:marTop w:val="0"/>
      <w:marBottom w:val="0"/>
      <w:divBdr>
        <w:top w:val="none" w:sz="0" w:space="0" w:color="auto"/>
        <w:left w:val="none" w:sz="0" w:space="0" w:color="auto"/>
        <w:bottom w:val="none" w:sz="0" w:space="0" w:color="auto"/>
        <w:right w:val="none" w:sz="0" w:space="0" w:color="auto"/>
      </w:divBdr>
    </w:div>
    <w:div w:id="1190725526">
      <w:bodyDiv w:val="1"/>
      <w:marLeft w:val="0"/>
      <w:marRight w:val="0"/>
      <w:marTop w:val="0"/>
      <w:marBottom w:val="0"/>
      <w:divBdr>
        <w:top w:val="none" w:sz="0" w:space="0" w:color="auto"/>
        <w:left w:val="none" w:sz="0" w:space="0" w:color="auto"/>
        <w:bottom w:val="none" w:sz="0" w:space="0" w:color="auto"/>
        <w:right w:val="none" w:sz="0" w:space="0" w:color="auto"/>
      </w:divBdr>
    </w:div>
    <w:div w:id="1190872395">
      <w:bodyDiv w:val="1"/>
      <w:marLeft w:val="0"/>
      <w:marRight w:val="0"/>
      <w:marTop w:val="0"/>
      <w:marBottom w:val="0"/>
      <w:divBdr>
        <w:top w:val="none" w:sz="0" w:space="0" w:color="auto"/>
        <w:left w:val="none" w:sz="0" w:space="0" w:color="auto"/>
        <w:bottom w:val="none" w:sz="0" w:space="0" w:color="auto"/>
        <w:right w:val="none" w:sz="0" w:space="0" w:color="auto"/>
      </w:divBdr>
    </w:div>
    <w:div w:id="1206061701">
      <w:bodyDiv w:val="1"/>
      <w:marLeft w:val="0"/>
      <w:marRight w:val="0"/>
      <w:marTop w:val="0"/>
      <w:marBottom w:val="0"/>
      <w:divBdr>
        <w:top w:val="none" w:sz="0" w:space="0" w:color="auto"/>
        <w:left w:val="none" w:sz="0" w:space="0" w:color="auto"/>
        <w:bottom w:val="none" w:sz="0" w:space="0" w:color="auto"/>
        <w:right w:val="none" w:sz="0" w:space="0" w:color="auto"/>
      </w:divBdr>
      <w:divsChild>
        <w:div w:id="1921476771">
          <w:marLeft w:val="0"/>
          <w:marRight w:val="0"/>
          <w:marTop w:val="0"/>
          <w:marBottom w:val="0"/>
          <w:divBdr>
            <w:top w:val="none" w:sz="0" w:space="0" w:color="auto"/>
            <w:left w:val="none" w:sz="0" w:space="0" w:color="auto"/>
            <w:bottom w:val="none" w:sz="0" w:space="0" w:color="auto"/>
            <w:right w:val="none" w:sz="0" w:space="0" w:color="auto"/>
          </w:divBdr>
        </w:div>
        <w:div w:id="1839465344">
          <w:marLeft w:val="0"/>
          <w:marRight w:val="0"/>
          <w:marTop w:val="0"/>
          <w:marBottom w:val="0"/>
          <w:divBdr>
            <w:top w:val="none" w:sz="0" w:space="0" w:color="auto"/>
            <w:left w:val="none" w:sz="0" w:space="0" w:color="auto"/>
            <w:bottom w:val="none" w:sz="0" w:space="0" w:color="auto"/>
            <w:right w:val="none" w:sz="0" w:space="0" w:color="auto"/>
          </w:divBdr>
        </w:div>
        <w:div w:id="1577594450">
          <w:marLeft w:val="0"/>
          <w:marRight w:val="0"/>
          <w:marTop w:val="0"/>
          <w:marBottom w:val="0"/>
          <w:divBdr>
            <w:top w:val="none" w:sz="0" w:space="0" w:color="auto"/>
            <w:left w:val="none" w:sz="0" w:space="0" w:color="auto"/>
            <w:bottom w:val="none" w:sz="0" w:space="0" w:color="auto"/>
            <w:right w:val="none" w:sz="0" w:space="0" w:color="auto"/>
          </w:divBdr>
        </w:div>
        <w:div w:id="613752363">
          <w:marLeft w:val="0"/>
          <w:marRight w:val="0"/>
          <w:marTop w:val="0"/>
          <w:marBottom w:val="0"/>
          <w:divBdr>
            <w:top w:val="none" w:sz="0" w:space="0" w:color="auto"/>
            <w:left w:val="none" w:sz="0" w:space="0" w:color="auto"/>
            <w:bottom w:val="none" w:sz="0" w:space="0" w:color="auto"/>
            <w:right w:val="none" w:sz="0" w:space="0" w:color="auto"/>
          </w:divBdr>
        </w:div>
        <w:div w:id="1612586311">
          <w:marLeft w:val="0"/>
          <w:marRight w:val="0"/>
          <w:marTop w:val="0"/>
          <w:marBottom w:val="0"/>
          <w:divBdr>
            <w:top w:val="none" w:sz="0" w:space="0" w:color="auto"/>
            <w:left w:val="none" w:sz="0" w:space="0" w:color="auto"/>
            <w:bottom w:val="none" w:sz="0" w:space="0" w:color="auto"/>
            <w:right w:val="none" w:sz="0" w:space="0" w:color="auto"/>
          </w:divBdr>
        </w:div>
      </w:divsChild>
    </w:div>
    <w:div w:id="1206142109">
      <w:bodyDiv w:val="1"/>
      <w:marLeft w:val="0"/>
      <w:marRight w:val="0"/>
      <w:marTop w:val="0"/>
      <w:marBottom w:val="0"/>
      <w:divBdr>
        <w:top w:val="none" w:sz="0" w:space="0" w:color="auto"/>
        <w:left w:val="none" w:sz="0" w:space="0" w:color="auto"/>
        <w:bottom w:val="none" w:sz="0" w:space="0" w:color="auto"/>
        <w:right w:val="none" w:sz="0" w:space="0" w:color="auto"/>
      </w:divBdr>
    </w:div>
    <w:div w:id="1227494418">
      <w:bodyDiv w:val="1"/>
      <w:marLeft w:val="0"/>
      <w:marRight w:val="0"/>
      <w:marTop w:val="0"/>
      <w:marBottom w:val="0"/>
      <w:divBdr>
        <w:top w:val="none" w:sz="0" w:space="0" w:color="auto"/>
        <w:left w:val="none" w:sz="0" w:space="0" w:color="auto"/>
        <w:bottom w:val="none" w:sz="0" w:space="0" w:color="auto"/>
        <w:right w:val="none" w:sz="0" w:space="0" w:color="auto"/>
      </w:divBdr>
    </w:div>
    <w:div w:id="1250308399">
      <w:bodyDiv w:val="1"/>
      <w:marLeft w:val="0"/>
      <w:marRight w:val="0"/>
      <w:marTop w:val="0"/>
      <w:marBottom w:val="0"/>
      <w:divBdr>
        <w:top w:val="none" w:sz="0" w:space="0" w:color="auto"/>
        <w:left w:val="none" w:sz="0" w:space="0" w:color="auto"/>
        <w:bottom w:val="none" w:sz="0" w:space="0" w:color="auto"/>
        <w:right w:val="none" w:sz="0" w:space="0" w:color="auto"/>
      </w:divBdr>
    </w:div>
    <w:div w:id="1254699884">
      <w:bodyDiv w:val="1"/>
      <w:marLeft w:val="0"/>
      <w:marRight w:val="0"/>
      <w:marTop w:val="0"/>
      <w:marBottom w:val="0"/>
      <w:divBdr>
        <w:top w:val="none" w:sz="0" w:space="0" w:color="auto"/>
        <w:left w:val="none" w:sz="0" w:space="0" w:color="auto"/>
        <w:bottom w:val="none" w:sz="0" w:space="0" w:color="auto"/>
        <w:right w:val="none" w:sz="0" w:space="0" w:color="auto"/>
      </w:divBdr>
    </w:div>
    <w:div w:id="1258438459">
      <w:bodyDiv w:val="1"/>
      <w:marLeft w:val="0"/>
      <w:marRight w:val="0"/>
      <w:marTop w:val="0"/>
      <w:marBottom w:val="0"/>
      <w:divBdr>
        <w:top w:val="none" w:sz="0" w:space="0" w:color="auto"/>
        <w:left w:val="none" w:sz="0" w:space="0" w:color="auto"/>
        <w:bottom w:val="none" w:sz="0" w:space="0" w:color="auto"/>
        <w:right w:val="none" w:sz="0" w:space="0" w:color="auto"/>
      </w:divBdr>
    </w:div>
    <w:div w:id="1262181623">
      <w:bodyDiv w:val="1"/>
      <w:marLeft w:val="0"/>
      <w:marRight w:val="0"/>
      <w:marTop w:val="0"/>
      <w:marBottom w:val="0"/>
      <w:divBdr>
        <w:top w:val="none" w:sz="0" w:space="0" w:color="auto"/>
        <w:left w:val="none" w:sz="0" w:space="0" w:color="auto"/>
        <w:bottom w:val="none" w:sz="0" w:space="0" w:color="auto"/>
        <w:right w:val="none" w:sz="0" w:space="0" w:color="auto"/>
      </w:divBdr>
    </w:div>
    <w:div w:id="1271619588">
      <w:bodyDiv w:val="1"/>
      <w:marLeft w:val="0"/>
      <w:marRight w:val="0"/>
      <w:marTop w:val="0"/>
      <w:marBottom w:val="0"/>
      <w:divBdr>
        <w:top w:val="none" w:sz="0" w:space="0" w:color="auto"/>
        <w:left w:val="none" w:sz="0" w:space="0" w:color="auto"/>
        <w:bottom w:val="none" w:sz="0" w:space="0" w:color="auto"/>
        <w:right w:val="none" w:sz="0" w:space="0" w:color="auto"/>
      </w:divBdr>
    </w:div>
    <w:div w:id="1292444950">
      <w:bodyDiv w:val="1"/>
      <w:marLeft w:val="0"/>
      <w:marRight w:val="0"/>
      <w:marTop w:val="0"/>
      <w:marBottom w:val="0"/>
      <w:divBdr>
        <w:top w:val="none" w:sz="0" w:space="0" w:color="auto"/>
        <w:left w:val="none" w:sz="0" w:space="0" w:color="auto"/>
        <w:bottom w:val="none" w:sz="0" w:space="0" w:color="auto"/>
        <w:right w:val="none" w:sz="0" w:space="0" w:color="auto"/>
      </w:divBdr>
    </w:div>
    <w:div w:id="1295257174">
      <w:bodyDiv w:val="1"/>
      <w:marLeft w:val="0"/>
      <w:marRight w:val="0"/>
      <w:marTop w:val="0"/>
      <w:marBottom w:val="0"/>
      <w:divBdr>
        <w:top w:val="none" w:sz="0" w:space="0" w:color="auto"/>
        <w:left w:val="none" w:sz="0" w:space="0" w:color="auto"/>
        <w:bottom w:val="none" w:sz="0" w:space="0" w:color="auto"/>
        <w:right w:val="none" w:sz="0" w:space="0" w:color="auto"/>
      </w:divBdr>
    </w:div>
    <w:div w:id="1308438454">
      <w:bodyDiv w:val="1"/>
      <w:marLeft w:val="0"/>
      <w:marRight w:val="0"/>
      <w:marTop w:val="0"/>
      <w:marBottom w:val="0"/>
      <w:divBdr>
        <w:top w:val="none" w:sz="0" w:space="0" w:color="auto"/>
        <w:left w:val="none" w:sz="0" w:space="0" w:color="auto"/>
        <w:bottom w:val="none" w:sz="0" w:space="0" w:color="auto"/>
        <w:right w:val="none" w:sz="0" w:space="0" w:color="auto"/>
      </w:divBdr>
    </w:div>
    <w:div w:id="1315600534">
      <w:bodyDiv w:val="1"/>
      <w:marLeft w:val="0"/>
      <w:marRight w:val="0"/>
      <w:marTop w:val="0"/>
      <w:marBottom w:val="0"/>
      <w:divBdr>
        <w:top w:val="none" w:sz="0" w:space="0" w:color="auto"/>
        <w:left w:val="none" w:sz="0" w:space="0" w:color="auto"/>
        <w:bottom w:val="none" w:sz="0" w:space="0" w:color="auto"/>
        <w:right w:val="none" w:sz="0" w:space="0" w:color="auto"/>
      </w:divBdr>
    </w:div>
    <w:div w:id="1316688926">
      <w:bodyDiv w:val="1"/>
      <w:marLeft w:val="0"/>
      <w:marRight w:val="0"/>
      <w:marTop w:val="0"/>
      <w:marBottom w:val="0"/>
      <w:divBdr>
        <w:top w:val="none" w:sz="0" w:space="0" w:color="auto"/>
        <w:left w:val="none" w:sz="0" w:space="0" w:color="auto"/>
        <w:bottom w:val="none" w:sz="0" w:space="0" w:color="auto"/>
        <w:right w:val="none" w:sz="0" w:space="0" w:color="auto"/>
      </w:divBdr>
    </w:div>
    <w:div w:id="1317495049">
      <w:bodyDiv w:val="1"/>
      <w:marLeft w:val="0"/>
      <w:marRight w:val="0"/>
      <w:marTop w:val="0"/>
      <w:marBottom w:val="0"/>
      <w:divBdr>
        <w:top w:val="none" w:sz="0" w:space="0" w:color="auto"/>
        <w:left w:val="none" w:sz="0" w:space="0" w:color="auto"/>
        <w:bottom w:val="none" w:sz="0" w:space="0" w:color="auto"/>
        <w:right w:val="none" w:sz="0" w:space="0" w:color="auto"/>
      </w:divBdr>
    </w:div>
    <w:div w:id="1337920571">
      <w:bodyDiv w:val="1"/>
      <w:marLeft w:val="0"/>
      <w:marRight w:val="0"/>
      <w:marTop w:val="0"/>
      <w:marBottom w:val="0"/>
      <w:divBdr>
        <w:top w:val="none" w:sz="0" w:space="0" w:color="auto"/>
        <w:left w:val="none" w:sz="0" w:space="0" w:color="auto"/>
        <w:bottom w:val="none" w:sz="0" w:space="0" w:color="auto"/>
        <w:right w:val="none" w:sz="0" w:space="0" w:color="auto"/>
      </w:divBdr>
    </w:div>
    <w:div w:id="1385178182">
      <w:bodyDiv w:val="1"/>
      <w:marLeft w:val="0"/>
      <w:marRight w:val="0"/>
      <w:marTop w:val="0"/>
      <w:marBottom w:val="0"/>
      <w:divBdr>
        <w:top w:val="none" w:sz="0" w:space="0" w:color="auto"/>
        <w:left w:val="none" w:sz="0" w:space="0" w:color="auto"/>
        <w:bottom w:val="none" w:sz="0" w:space="0" w:color="auto"/>
        <w:right w:val="none" w:sz="0" w:space="0" w:color="auto"/>
      </w:divBdr>
    </w:div>
    <w:div w:id="1400055346">
      <w:bodyDiv w:val="1"/>
      <w:marLeft w:val="0"/>
      <w:marRight w:val="0"/>
      <w:marTop w:val="0"/>
      <w:marBottom w:val="0"/>
      <w:divBdr>
        <w:top w:val="none" w:sz="0" w:space="0" w:color="auto"/>
        <w:left w:val="none" w:sz="0" w:space="0" w:color="auto"/>
        <w:bottom w:val="none" w:sz="0" w:space="0" w:color="auto"/>
        <w:right w:val="none" w:sz="0" w:space="0" w:color="auto"/>
      </w:divBdr>
    </w:div>
    <w:div w:id="1411150716">
      <w:bodyDiv w:val="1"/>
      <w:marLeft w:val="0"/>
      <w:marRight w:val="0"/>
      <w:marTop w:val="0"/>
      <w:marBottom w:val="0"/>
      <w:divBdr>
        <w:top w:val="none" w:sz="0" w:space="0" w:color="auto"/>
        <w:left w:val="none" w:sz="0" w:space="0" w:color="auto"/>
        <w:bottom w:val="none" w:sz="0" w:space="0" w:color="auto"/>
        <w:right w:val="none" w:sz="0" w:space="0" w:color="auto"/>
      </w:divBdr>
    </w:div>
    <w:div w:id="1417937249">
      <w:bodyDiv w:val="1"/>
      <w:marLeft w:val="0"/>
      <w:marRight w:val="0"/>
      <w:marTop w:val="0"/>
      <w:marBottom w:val="0"/>
      <w:divBdr>
        <w:top w:val="none" w:sz="0" w:space="0" w:color="auto"/>
        <w:left w:val="none" w:sz="0" w:space="0" w:color="auto"/>
        <w:bottom w:val="none" w:sz="0" w:space="0" w:color="auto"/>
        <w:right w:val="none" w:sz="0" w:space="0" w:color="auto"/>
      </w:divBdr>
    </w:div>
    <w:div w:id="1432624976">
      <w:bodyDiv w:val="1"/>
      <w:marLeft w:val="0"/>
      <w:marRight w:val="0"/>
      <w:marTop w:val="0"/>
      <w:marBottom w:val="0"/>
      <w:divBdr>
        <w:top w:val="none" w:sz="0" w:space="0" w:color="auto"/>
        <w:left w:val="none" w:sz="0" w:space="0" w:color="auto"/>
        <w:bottom w:val="none" w:sz="0" w:space="0" w:color="auto"/>
        <w:right w:val="none" w:sz="0" w:space="0" w:color="auto"/>
      </w:divBdr>
    </w:div>
    <w:div w:id="1441340204">
      <w:bodyDiv w:val="1"/>
      <w:marLeft w:val="0"/>
      <w:marRight w:val="0"/>
      <w:marTop w:val="0"/>
      <w:marBottom w:val="0"/>
      <w:divBdr>
        <w:top w:val="none" w:sz="0" w:space="0" w:color="auto"/>
        <w:left w:val="none" w:sz="0" w:space="0" w:color="auto"/>
        <w:bottom w:val="none" w:sz="0" w:space="0" w:color="auto"/>
        <w:right w:val="none" w:sz="0" w:space="0" w:color="auto"/>
      </w:divBdr>
    </w:div>
    <w:div w:id="1448544834">
      <w:bodyDiv w:val="1"/>
      <w:marLeft w:val="0"/>
      <w:marRight w:val="0"/>
      <w:marTop w:val="0"/>
      <w:marBottom w:val="0"/>
      <w:divBdr>
        <w:top w:val="none" w:sz="0" w:space="0" w:color="auto"/>
        <w:left w:val="none" w:sz="0" w:space="0" w:color="auto"/>
        <w:bottom w:val="none" w:sz="0" w:space="0" w:color="auto"/>
        <w:right w:val="none" w:sz="0" w:space="0" w:color="auto"/>
      </w:divBdr>
    </w:div>
    <w:div w:id="1453741686">
      <w:bodyDiv w:val="1"/>
      <w:marLeft w:val="0"/>
      <w:marRight w:val="0"/>
      <w:marTop w:val="0"/>
      <w:marBottom w:val="0"/>
      <w:divBdr>
        <w:top w:val="none" w:sz="0" w:space="0" w:color="auto"/>
        <w:left w:val="none" w:sz="0" w:space="0" w:color="auto"/>
        <w:bottom w:val="none" w:sz="0" w:space="0" w:color="auto"/>
        <w:right w:val="none" w:sz="0" w:space="0" w:color="auto"/>
      </w:divBdr>
    </w:div>
    <w:div w:id="1464958047">
      <w:bodyDiv w:val="1"/>
      <w:marLeft w:val="0"/>
      <w:marRight w:val="0"/>
      <w:marTop w:val="0"/>
      <w:marBottom w:val="0"/>
      <w:divBdr>
        <w:top w:val="none" w:sz="0" w:space="0" w:color="auto"/>
        <w:left w:val="none" w:sz="0" w:space="0" w:color="auto"/>
        <w:bottom w:val="none" w:sz="0" w:space="0" w:color="auto"/>
        <w:right w:val="none" w:sz="0" w:space="0" w:color="auto"/>
      </w:divBdr>
    </w:div>
    <w:div w:id="1488670275">
      <w:bodyDiv w:val="1"/>
      <w:marLeft w:val="0"/>
      <w:marRight w:val="0"/>
      <w:marTop w:val="0"/>
      <w:marBottom w:val="0"/>
      <w:divBdr>
        <w:top w:val="none" w:sz="0" w:space="0" w:color="auto"/>
        <w:left w:val="none" w:sz="0" w:space="0" w:color="auto"/>
        <w:bottom w:val="none" w:sz="0" w:space="0" w:color="auto"/>
        <w:right w:val="none" w:sz="0" w:space="0" w:color="auto"/>
      </w:divBdr>
    </w:div>
    <w:div w:id="1490248092">
      <w:bodyDiv w:val="1"/>
      <w:marLeft w:val="0"/>
      <w:marRight w:val="0"/>
      <w:marTop w:val="0"/>
      <w:marBottom w:val="0"/>
      <w:divBdr>
        <w:top w:val="none" w:sz="0" w:space="0" w:color="auto"/>
        <w:left w:val="none" w:sz="0" w:space="0" w:color="auto"/>
        <w:bottom w:val="none" w:sz="0" w:space="0" w:color="auto"/>
        <w:right w:val="none" w:sz="0" w:space="0" w:color="auto"/>
      </w:divBdr>
    </w:div>
    <w:div w:id="1494099529">
      <w:bodyDiv w:val="1"/>
      <w:marLeft w:val="0"/>
      <w:marRight w:val="0"/>
      <w:marTop w:val="0"/>
      <w:marBottom w:val="0"/>
      <w:divBdr>
        <w:top w:val="none" w:sz="0" w:space="0" w:color="auto"/>
        <w:left w:val="none" w:sz="0" w:space="0" w:color="auto"/>
        <w:bottom w:val="none" w:sz="0" w:space="0" w:color="auto"/>
        <w:right w:val="none" w:sz="0" w:space="0" w:color="auto"/>
      </w:divBdr>
    </w:div>
    <w:div w:id="1501310946">
      <w:bodyDiv w:val="1"/>
      <w:marLeft w:val="0"/>
      <w:marRight w:val="0"/>
      <w:marTop w:val="0"/>
      <w:marBottom w:val="0"/>
      <w:divBdr>
        <w:top w:val="none" w:sz="0" w:space="0" w:color="auto"/>
        <w:left w:val="none" w:sz="0" w:space="0" w:color="auto"/>
        <w:bottom w:val="none" w:sz="0" w:space="0" w:color="auto"/>
        <w:right w:val="none" w:sz="0" w:space="0" w:color="auto"/>
      </w:divBdr>
    </w:div>
    <w:div w:id="1523938578">
      <w:bodyDiv w:val="1"/>
      <w:marLeft w:val="0"/>
      <w:marRight w:val="0"/>
      <w:marTop w:val="0"/>
      <w:marBottom w:val="0"/>
      <w:divBdr>
        <w:top w:val="none" w:sz="0" w:space="0" w:color="auto"/>
        <w:left w:val="none" w:sz="0" w:space="0" w:color="auto"/>
        <w:bottom w:val="none" w:sz="0" w:space="0" w:color="auto"/>
        <w:right w:val="none" w:sz="0" w:space="0" w:color="auto"/>
      </w:divBdr>
    </w:div>
    <w:div w:id="1528176478">
      <w:bodyDiv w:val="1"/>
      <w:marLeft w:val="0"/>
      <w:marRight w:val="0"/>
      <w:marTop w:val="0"/>
      <w:marBottom w:val="0"/>
      <w:divBdr>
        <w:top w:val="none" w:sz="0" w:space="0" w:color="auto"/>
        <w:left w:val="none" w:sz="0" w:space="0" w:color="auto"/>
        <w:bottom w:val="none" w:sz="0" w:space="0" w:color="auto"/>
        <w:right w:val="none" w:sz="0" w:space="0" w:color="auto"/>
      </w:divBdr>
    </w:div>
    <w:div w:id="1535463860">
      <w:bodyDiv w:val="1"/>
      <w:marLeft w:val="0"/>
      <w:marRight w:val="0"/>
      <w:marTop w:val="0"/>
      <w:marBottom w:val="0"/>
      <w:divBdr>
        <w:top w:val="none" w:sz="0" w:space="0" w:color="auto"/>
        <w:left w:val="none" w:sz="0" w:space="0" w:color="auto"/>
        <w:bottom w:val="none" w:sz="0" w:space="0" w:color="auto"/>
        <w:right w:val="none" w:sz="0" w:space="0" w:color="auto"/>
      </w:divBdr>
    </w:div>
    <w:div w:id="1542009877">
      <w:bodyDiv w:val="1"/>
      <w:marLeft w:val="0"/>
      <w:marRight w:val="0"/>
      <w:marTop w:val="0"/>
      <w:marBottom w:val="0"/>
      <w:divBdr>
        <w:top w:val="none" w:sz="0" w:space="0" w:color="auto"/>
        <w:left w:val="none" w:sz="0" w:space="0" w:color="auto"/>
        <w:bottom w:val="none" w:sz="0" w:space="0" w:color="auto"/>
        <w:right w:val="none" w:sz="0" w:space="0" w:color="auto"/>
      </w:divBdr>
    </w:div>
    <w:div w:id="1563446123">
      <w:bodyDiv w:val="1"/>
      <w:marLeft w:val="0"/>
      <w:marRight w:val="0"/>
      <w:marTop w:val="0"/>
      <w:marBottom w:val="0"/>
      <w:divBdr>
        <w:top w:val="none" w:sz="0" w:space="0" w:color="auto"/>
        <w:left w:val="none" w:sz="0" w:space="0" w:color="auto"/>
        <w:bottom w:val="none" w:sz="0" w:space="0" w:color="auto"/>
        <w:right w:val="none" w:sz="0" w:space="0" w:color="auto"/>
      </w:divBdr>
    </w:div>
    <w:div w:id="1577865138">
      <w:bodyDiv w:val="1"/>
      <w:marLeft w:val="0"/>
      <w:marRight w:val="0"/>
      <w:marTop w:val="0"/>
      <w:marBottom w:val="0"/>
      <w:divBdr>
        <w:top w:val="none" w:sz="0" w:space="0" w:color="auto"/>
        <w:left w:val="none" w:sz="0" w:space="0" w:color="auto"/>
        <w:bottom w:val="none" w:sz="0" w:space="0" w:color="auto"/>
        <w:right w:val="none" w:sz="0" w:space="0" w:color="auto"/>
      </w:divBdr>
    </w:div>
    <w:div w:id="1580365940">
      <w:bodyDiv w:val="1"/>
      <w:marLeft w:val="0"/>
      <w:marRight w:val="0"/>
      <w:marTop w:val="0"/>
      <w:marBottom w:val="0"/>
      <w:divBdr>
        <w:top w:val="none" w:sz="0" w:space="0" w:color="auto"/>
        <w:left w:val="none" w:sz="0" w:space="0" w:color="auto"/>
        <w:bottom w:val="none" w:sz="0" w:space="0" w:color="auto"/>
        <w:right w:val="none" w:sz="0" w:space="0" w:color="auto"/>
      </w:divBdr>
    </w:div>
    <w:div w:id="1581332926">
      <w:bodyDiv w:val="1"/>
      <w:marLeft w:val="0"/>
      <w:marRight w:val="0"/>
      <w:marTop w:val="0"/>
      <w:marBottom w:val="0"/>
      <w:divBdr>
        <w:top w:val="none" w:sz="0" w:space="0" w:color="auto"/>
        <w:left w:val="none" w:sz="0" w:space="0" w:color="auto"/>
        <w:bottom w:val="none" w:sz="0" w:space="0" w:color="auto"/>
        <w:right w:val="none" w:sz="0" w:space="0" w:color="auto"/>
      </w:divBdr>
    </w:div>
    <w:div w:id="1581866743">
      <w:bodyDiv w:val="1"/>
      <w:marLeft w:val="0"/>
      <w:marRight w:val="0"/>
      <w:marTop w:val="0"/>
      <w:marBottom w:val="0"/>
      <w:divBdr>
        <w:top w:val="none" w:sz="0" w:space="0" w:color="auto"/>
        <w:left w:val="none" w:sz="0" w:space="0" w:color="auto"/>
        <w:bottom w:val="none" w:sz="0" w:space="0" w:color="auto"/>
        <w:right w:val="none" w:sz="0" w:space="0" w:color="auto"/>
      </w:divBdr>
    </w:div>
    <w:div w:id="1581913980">
      <w:bodyDiv w:val="1"/>
      <w:marLeft w:val="0"/>
      <w:marRight w:val="0"/>
      <w:marTop w:val="0"/>
      <w:marBottom w:val="0"/>
      <w:divBdr>
        <w:top w:val="none" w:sz="0" w:space="0" w:color="auto"/>
        <w:left w:val="none" w:sz="0" w:space="0" w:color="auto"/>
        <w:bottom w:val="none" w:sz="0" w:space="0" w:color="auto"/>
        <w:right w:val="none" w:sz="0" w:space="0" w:color="auto"/>
      </w:divBdr>
    </w:div>
    <w:div w:id="1588079748">
      <w:bodyDiv w:val="1"/>
      <w:marLeft w:val="0"/>
      <w:marRight w:val="0"/>
      <w:marTop w:val="0"/>
      <w:marBottom w:val="0"/>
      <w:divBdr>
        <w:top w:val="none" w:sz="0" w:space="0" w:color="auto"/>
        <w:left w:val="none" w:sz="0" w:space="0" w:color="auto"/>
        <w:bottom w:val="none" w:sz="0" w:space="0" w:color="auto"/>
        <w:right w:val="none" w:sz="0" w:space="0" w:color="auto"/>
      </w:divBdr>
    </w:div>
    <w:div w:id="1603032639">
      <w:bodyDiv w:val="1"/>
      <w:marLeft w:val="0"/>
      <w:marRight w:val="0"/>
      <w:marTop w:val="0"/>
      <w:marBottom w:val="0"/>
      <w:divBdr>
        <w:top w:val="none" w:sz="0" w:space="0" w:color="auto"/>
        <w:left w:val="none" w:sz="0" w:space="0" w:color="auto"/>
        <w:bottom w:val="none" w:sz="0" w:space="0" w:color="auto"/>
        <w:right w:val="none" w:sz="0" w:space="0" w:color="auto"/>
      </w:divBdr>
    </w:div>
    <w:div w:id="1603416539">
      <w:bodyDiv w:val="1"/>
      <w:marLeft w:val="0"/>
      <w:marRight w:val="0"/>
      <w:marTop w:val="0"/>
      <w:marBottom w:val="0"/>
      <w:divBdr>
        <w:top w:val="none" w:sz="0" w:space="0" w:color="auto"/>
        <w:left w:val="none" w:sz="0" w:space="0" w:color="auto"/>
        <w:bottom w:val="none" w:sz="0" w:space="0" w:color="auto"/>
        <w:right w:val="none" w:sz="0" w:space="0" w:color="auto"/>
      </w:divBdr>
    </w:div>
    <w:div w:id="1611281356">
      <w:bodyDiv w:val="1"/>
      <w:marLeft w:val="0"/>
      <w:marRight w:val="0"/>
      <w:marTop w:val="0"/>
      <w:marBottom w:val="0"/>
      <w:divBdr>
        <w:top w:val="none" w:sz="0" w:space="0" w:color="auto"/>
        <w:left w:val="none" w:sz="0" w:space="0" w:color="auto"/>
        <w:bottom w:val="none" w:sz="0" w:space="0" w:color="auto"/>
        <w:right w:val="none" w:sz="0" w:space="0" w:color="auto"/>
      </w:divBdr>
    </w:div>
    <w:div w:id="1622422331">
      <w:bodyDiv w:val="1"/>
      <w:marLeft w:val="0"/>
      <w:marRight w:val="0"/>
      <w:marTop w:val="0"/>
      <w:marBottom w:val="0"/>
      <w:divBdr>
        <w:top w:val="none" w:sz="0" w:space="0" w:color="auto"/>
        <w:left w:val="none" w:sz="0" w:space="0" w:color="auto"/>
        <w:bottom w:val="none" w:sz="0" w:space="0" w:color="auto"/>
        <w:right w:val="none" w:sz="0" w:space="0" w:color="auto"/>
      </w:divBdr>
    </w:div>
    <w:div w:id="1635787878">
      <w:bodyDiv w:val="1"/>
      <w:marLeft w:val="0"/>
      <w:marRight w:val="0"/>
      <w:marTop w:val="0"/>
      <w:marBottom w:val="0"/>
      <w:divBdr>
        <w:top w:val="none" w:sz="0" w:space="0" w:color="auto"/>
        <w:left w:val="none" w:sz="0" w:space="0" w:color="auto"/>
        <w:bottom w:val="none" w:sz="0" w:space="0" w:color="auto"/>
        <w:right w:val="none" w:sz="0" w:space="0" w:color="auto"/>
      </w:divBdr>
    </w:div>
    <w:div w:id="1641956425">
      <w:bodyDiv w:val="1"/>
      <w:marLeft w:val="0"/>
      <w:marRight w:val="0"/>
      <w:marTop w:val="0"/>
      <w:marBottom w:val="0"/>
      <w:divBdr>
        <w:top w:val="none" w:sz="0" w:space="0" w:color="auto"/>
        <w:left w:val="none" w:sz="0" w:space="0" w:color="auto"/>
        <w:bottom w:val="none" w:sz="0" w:space="0" w:color="auto"/>
        <w:right w:val="none" w:sz="0" w:space="0" w:color="auto"/>
      </w:divBdr>
    </w:div>
    <w:div w:id="1645351021">
      <w:bodyDiv w:val="1"/>
      <w:marLeft w:val="0"/>
      <w:marRight w:val="0"/>
      <w:marTop w:val="0"/>
      <w:marBottom w:val="0"/>
      <w:divBdr>
        <w:top w:val="none" w:sz="0" w:space="0" w:color="auto"/>
        <w:left w:val="none" w:sz="0" w:space="0" w:color="auto"/>
        <w:bottom w:val="none" w:sz="0" w:space="0" w:color="auto"/>
        <w:right w:val="none" w:sz="0" w:space="0" w:color="auto"/>
      </w:divBdr>
    </w:div>
    <w:div w:id="1647665053">
      <w:bodyDiv w:val="1"/>
      <w:marLeft w:val="0"/>
      <w:marRight w:val="0"/>
      <w:marTop w:val="0"/>
      <w:marBottom w:val="0"/>
      <w:divBdr>
        <w:top w:val="none" w:sz="0" w:space="0" w:color="auto"/>
        <w:left w:val="none" w:sz="0" w:space="0" w:color="auto"/>
        <w:bottom w:val="none" w:sz="0" w:space="0" w:color="auto"/>
        <w:right w:val="none" w:sz="0" w:space="0" w:color="auto"/>
      </w:divBdr>
    </w:div>
    <w:div w:id="1647930974">
      <w:bodyDiv w:val="1"/>
      <w:marLeft w:val="0"/>
      <w:marRight w:val="0"/>
      <w:marTop w:val="0"/>
      <w:marBottom w:val="0"/>
      <w:divBdr>
        <w:top w:val="none" w:sz="0" w:space="0" w:color="auto"/>
        <w:left w:val="none" w:sz="0" w:space="0" w:color="auto"/>
        <w:bottom w:val="none" w:sz="0" w:space="0" w:color="auto"/>
        <w:right w:val="none" w:sz="0" w:space="0" w:color="auto"/>
      </w:divBdr>
    </w:div>
    <w:div w:id="1663125134">
      <w:bodyDiv w:val="1"/>
      <w:marLeft w:val="0"/>
      <w:marRight w:val="0"/>
      <w:marTop w:val="0"/>
      <w:marBottom w:val="0"/>
      <w:divBdr>
        <w:top w:val="none" w:sz="0" w:space="0" w:color="auto"/>
        <w:left w:val="none" w:sz="0" w:space="0" w:color="auto"/>
        <w:bottom w:val="none" w:sz="0" w:space="0" w:color="auto"/>
        <w:right w:val="none" w:sz="0" w:space="0" w:color="auto"/>
      </w:divBdr>
    </w:div>
    <w:div w:id="1702894467">
      <w:bodyDiv w:val="1"/>
      <w:marLeft w:val="0"/>
      <w:marRight w:val="0"/>
      <w:marTop w:val="0"/>
      <w:marBottom w:val="0"/>
      <w:divBdr>
        <w:top w:val="none" w:sz="0" w:space="0" w:color="auto"/>
        <w:left w:val="none" w:sz="0" w:space="0" w:color="auto"/>
        <w:bottom w:val="none" w:sz="0" w:space="0" w:color="auto"/>
        <w:right w:val="none" w:sz="0" w:space="0" w:color="auto"/>
      </w:divBdr>
    </w:div>
    <w:div w:id="1708410143">
      <w:bodyDiv w:val="1"/>
      <w:marLeft w:val="0"/>
      <w:marRight w:val="0"/>
      <w:marTop w:val="0"/>
      <w:marBottom w:val="0"/>
      <w:divBdr>
        <w:top w:val="none" w:sz="0" w:space="0" w:color="auto"/>
        <w:left w:val="none" w:sz="0" w:space="0" w:color="auto"/>
        <w:bottom w:val="none" w:sz="0" w:space="0" w:color="auto"/>
        <w:right w:val="none" w:sz="0" w:space="0" w:color="auto"/>
      </w:divBdr>
    </w:div>
    <w:div w:id="1709141503">
      <w:bodyDiv w:val="1"/>
      <w:marLeft w:val="0"/>
      <w:marRight w:val="0"/>
      <w:marTop w:val="0"/>
      <w:marBottom w:val="0"/>
      <w:divBdr>
        <w:top w:val="none" w:sz="0" w:space="0" w:color="auto"/>
        <w:left w:val="none" w:sz="0" w:space="0" w:color="auto"/>
        <w:bottom w:val="none" w:sz="0" w:space="0" w:color="auto"/>
        <w:right w:val="none" w:sz="0" w:space="0" w:color="auto"/>
      </w:divBdr>
    </w:div>
    <w:div w:id="1715544640">
      <w:bodyDiv w:val="1"/>
      <w:marLeft w:val="0"/>
      <w:marRight w:val="0"/>
      <w:marTop w:val="0"/>
      <w:marBottom w:val="0"/>
      <w:divBdr>
        <w:top w:val="none" w:sz="0" w:space="0" w:color="auto"/>
        <w:left w:val="none" w:sz="0" w:space="0" w:color="auto"/>
        <w:bottom w:val="none" w:sz="0" w:space="0" w:color="auto"/>
        <w:right w:val="none" w:sz="0" w:space="0" w:color="auto"/>
      </w:divBdr>
    </w:div>
    <w:div w:id="1724252401">
      <w:bodyDiv w:val="1"/>
      <w:marLeft w:val="0"/>
      <w:marRight w:val="0"/>
      <w:marTop w:val="0"/>
      <w:marBottom w:val="0"/>
      <w:divBdr>
        <w:top w:val="none" w:sz="0" w:space="0" w:color="auto"/>
        <w:left w:val="none" w:sz="0" w:space="0" w:color="auto"/>
        <w:bottom w:val="none" w:sz="0" w:space="0" w:color="auto"/>
        <w:right w:val="none" w:sz="0" w:space="0" w:color="auto"/>
      </w:divBdr>
    </w:div>
    <w:div w:id="1724519904">
      <w:bodyDiv w:val="1"/>
      <w:marLeft w:val="0"/>
      <w:marRight w:val="0"/>
      <w:marTop w:val="0"/>
      <w:marBottom w:val="0"/>
      <w:divBdr>
        <w:top w:val="none" w:sz="0" w:space="0" w:color="auto"/>
        <w:left w:val="none" w:sz="0" w:space="0" w:color="auto"/>
        <w:bottom w:val="none" w:sz="0" w:space="0" w:color="auto"/>
        <w:right w:val="none" w:sz="0" w:space="0" w:color="auto"/>
      </w:divBdr>
    </w:div>
    <w:div w:id="1727217365">
      <w:bodyDiv w:val="1"/>
      <w:marLeft w:val="0"/>
      <w:marRight w:val="0"/>
      <w:marTop w:val="0"/>
      <w:marBottom w:val="0"/>
      <w:divBdr>
        <w:top w:val="none" w:sz="0" w:space="0" w:color="auto"/>
        <w:left w:val="none" w:sz="0" w:space="0" w:color="auto"/>
        <w:bottom w:val="none" w:sz="0" w:space="0" w:color="auto"/>
        <w:right w:val="none" w:sz="0" w:space="0" w:color="auto"/>
      </w:divBdr>
    </w:div>
    <w:div w:id="1730179514">
      <w:bodyDiv w:val="1"/>
      <w:marLeft w:val="0"/>
      <w:marRight w:val="0"/>
      <w:marTop w:val="0"/>
      <w:marBottom w:val="0"/>
      <w:divBdr>
        <w:top w:val="none" w:sz="0" w:space="0" w:color="auto"/>
        <w:left w:val="none" w:sz="0" w:space="0" w:color="auto"/>
        <w:bottom w:val="none" w:sz="0" w:space="0" w:color="auto"/>
        <w:right w:val="none" w:sz="0" w:space="0" w:color="auto"/>
      </w:divBdr>
    </w:div>
    <w:div w:id="1738629904">
      <w:bodyDiv w:val="1"/>
      <w:marLeft w:val="0"/>
      <w:marRight w:val="0"/>
      <w:marTop w:val="0"/>
      <w:marBottom w:val="0"/>
      <w:divBdr>
        <w:top w:val="none" w:sz="0" w:space="0" w:color="auto"/>
        <w:left w:val="none" w:sz="0" w:space="0" w:color="auto"/>
        <w:bottom w:val="none" w:sz="0" w:space="0" w:color="auto"/>
        <w:right w:val="none" w:sz="0" w:space="0" w:color="auto"/>
      </w:divBdr>
    </w:div>
    <w:div w:id="1749496515">
      <w:bodyDiv w:val="1"/>
      <w:marLeft w:val="0"/>
      <w:marRight w:val="0"/>
      <w:marTop w:val="0"/>
      <w:marBottom w:val="0"/>
      <w:divBdr>
        <w:top w:val="none" w:sz="0" w:space="0" w:color="auto"/>
        <w:left w:val="none" w:sz="0" w:space="0" w:color="auto"/>
        <w:bottom w:val="none" w:sz="0" w:space="0" w:color="auto"/>
        <w:right w:val="none" w:sz="0" w:space="0" w:color="auto"/>
      </w:divBdr>
    </w:div>
    <w:div w:id="1750614384">
      <w:bodyDiv w:val="1"/>
      <w:marLeft w:val="0"/>
      <w:marRight w:val="0"/>
      <w:marTop w:val="0"/>
      <w:marBottom w:val="0"/>
      <w:divBdr>
        <w:top w:val="none" w:sz="0" w:space="0" w:color="auto"/>
        <w:left w:val="none" w:sz="0" w:space="0" w:color="auto"/>
        <w:bottom w:val="none" w:sz="0" w:space="0" w:color="auto"/>
        <w:right w:val="none" w:sz="0" w:space="0" w:color="auto"/>
      </w:divBdr>
    </w:div>
    <w:div w:id="1754468280">
      <w:bodyDiv w:val="1"/>
      <w:marLeft w:val="0"/>
      <w:marRight w:val="0"/>
      <w:marTop w:val="0"/>
      <w:marBottom w:val="0"/>
      <w:divBdr>
        <w:top w:val="none" w:sz="0" w:space="0" w:color="auto"/>
        <w:left w:val="none" w:sz="0" w:space="0" w:color="auto"/>
        <w:bottom w:val="none" w:sz="0" w:space="0" w:color="auto"/>
        <w:right w:val="none" w:sz="0" w:space="0" w:color="auto"/>
      </w:divBdr>
    </w:div>
    <w:div w:id="1761684400">
      <w:bodyDiv w:val="1"/>
      <w:marLeft w:val="0"/>
      <w:marRight w:val="0"/>
      <w:marTop w:val="0"/>
      <w:marBottom w:val="0"/>
      <w:divBdr>
        <w:top w:val="none" w:sz="0" w:space="0" w:color="auto"/>
        <w:left w:val="none" w:sz="0" w:space="0" w:color="auto"/>
        <w:bottom w:val="none" w:sz="0" w:space="0" w:color="auto"/>
        <w:right w:val="none" w:sz="0" w:space="0" w:color="auto"/>
      </w:divBdr>
    </w:div>
    <w:div w:id="1762485804">
      <w:bodyDiv w:val="1"/>
      <w:marLeft w:val="0"/>
      <w:marRight w:val="0"/>
      <w:marTop w:val="0"/>
      <w:marBottom w:val="0"/>
      <w:divBdr>
        <w:top w:val="none" w:sz="0" w:space="0" w:color="auto"/>
        <w:left w:val="none" w:sz="0" w:space="0" w:color="auto"/>
        <w:bottom w:val="none" w:sz="0" w:space="0" w:color="auto"/>
        <w:right w:val="none" w:sz="0" w:space="0" w:color="auto"/>
      </w:divBdr>
    </w:div>
    <w:div w:id="1768962939">
      <w:bodyDiv w:val="1"/>
      <w:marLeft w:val="0"/>
      <w:marRight w:val="0"/>
      <w:marTop w:val="0"/>
      <w:marBottom w:val="0"/>
      <w:divBdr>
        <w:top w:val="none" w:sz="0" w:space="0" w:color="auto"/>
        <w:left w:val="none" w:sz="0" w:space="0" w:color="auto"/>
        <w:bottom w:val="none" w:sz="0" w:space="0" w:color="auto"/>
        <w:right w:val="none" w:sz="0" w:space="0" w:color="auto"/>
      </w:divBdr>
    </w:div>
    <w:div w:id="1788699850">
      <w:bodyDiv w:val="1"/>
      <w:marLeft w:val="0"/>
      <w:marRight w:val="0"/>
      <w:marTop w:val="0"/>
      <w:marBottom w:val="0"/>
      <w:divBdr>
        <w:top w:val="none" w:sz="0" w:space="0" w:color="auto"/>
        <w:left w:val="none" w:sz="0" w:space="0" w:color="auto"/>
        <w:bottom w:val="none" w:sz="0" w:space="0" w:color="auto"/>
        <w:right w:val="none" w:sz="0" w:space="0" w:color="auto"/>
      </w:divBdr>
    </w:div>
    <w:div w:id="1789276310">
      <w:bodyDiv w:val="1"/>
      <w:marLeft w:val="0"/>
      <w:marRight w:val="0"/>
      <w:marTop w:val="0"/>
      <w:marBottom w:val="0"/>
      <w:divBdr>
        <w:top w:val="none" w:sz="0" w:space="0" w:color="auto"/>
        <w:left w:val="none" w:sz="0" w:space="0" w:color="auto"/>
        <w:bottom w:val="none" w:sz="0" w:space="0" w:color="auto"/>
        <w:right w:val="none" w:sz="0" w:space="0" w:color="auto"/>
      </w:divBdr>
      <w:divsChild>
        <w:div w:id="1264335501">
          <w:marLeft w:val="547"/>
          <w:marRight w:val="0"/>
          <w:marTop w:val="180"/>
          <w:marBottom w:val="0"/>
          <w:divBdr>
            <w:top w:val="none" w:sz="0" w:space="0" w:color="auto"/>
            <w:left w:val="none" w:sz="0" w:space="0" w:color="auto"/>
            <w:bottom w:val="none" w:sz="0" w:space="0" w:color="auto"/>
            <w:right w:val="none" w:sz="0" w:space="0" w:color="auto"/>
          </w:divBdr>
        </w:div>
        <w:div w:id="1825273764">
          <w:marLeft w:val="547"/>
          <w:marRight w:val="0"/>
          <w:marTop w:val="180"/>
          <w:marBottom w:val="0"/>
          <w:divBdr>
            <w:top w:val="none" w:sz="0" w:space="0" w:color="auto"/>
            <w:left w:val="none" w:sz="0" w:space="0" w:color="auto"/>
            <w:bottom w:val="none" w:sz="0" w:space="0" w:color="auto"/>
            <w:right w:val="none" w:sz="0" w:space="0" w:color="auto"/>
          </w:divBdr>
        </w:div>
        <w:div w:id="1167475567">
          <w:marLeft w:val="547"/>
          <w:marRight w:val="0"/>
          <w:marTop w:val="180"/>
          <w:marBottom w:val="0"/>
          <w:divBdr>
            <w:top w:val="none" w:sz="0" w:space="0" w:color="auto"/>
            <w:left w:val="none" w:sz="0" w:space="0" w:color="auto"/>
            <w:bottom w:val="none" w:sz="0" w:space="0" w:color="auto"/>
            <w:right w:val="none" w:sz="0" w:space="0" w:color="auto"/>
          </w:divBdr>
        </w:div>
        <w:div w:id="1609971916">
          <w:marLeft w:val="446"/>
          <w:marRight w:val="0"/>
          <w:marTop w:val="180"/>
          <w:marBottom w:val="0"/>
          <w:divBdr>
            <w:top w:val="none" w:sz="0" w:space="0" w:color="auto"/>
            <w:left w:val="none" w:sz="0" w:space="0" w:color="auto"/>
            <w:bottom w:val="none" w:sz="0" w:space="0" w:color="auto"/>
            <w:right w:val="none" w:sz="0" w:space="0" w:color="auto"/>
          </w:divBdr>
        </w:div>
        <w:div w:id="1552113301">
          <w:marLeft w:val="446"/>
          <w:marRight w:val="0"/>
          <w:marTop w:val="180"/>
          <w:marBottom w:val="0"/>
          <w:divBdr>
            <w:top w:val="none" w:sz="0" w:space="0" w:color="auto"/>
            <w:left w:val="none" w:sz="0" w:space="0" w:color="auto"/>
            <w:bottom w:val="none" w:sz="0" w:space="0" w:color="auto"/>
            <w:right w:val="none" w:sz="0" w:space="0" w:color="auto"/>
          </w:divBdr>
        </w:div>
        <w:div w:id="1398741904">
          <w:marLeft w:val="446"/>
          <w:marRight w:val="0"/>
          <w:marTop w:val="180"/>
          <w:marBottom w:val="0"/>
          <w:divBdr>
            <w:top w:val="none" w:sz="0" w:space="0" w:color="auto"/>
            <w:left w:val="none" w:sz="0" w:space="0" w:color="auto"/>
            <w:bottom w:val="none" w:sz="0" w:space="0" w:color="auto"/>
            <w:right w:val="none" w:sz="0" w:space="0" w:color="auto"/>
          </w:divBdr>
        </w:div>
      </w:divsChild>
    </w:div>
    <w:div w:id="1793865689">
      <w:bodyDiv w:val="1"/>
      <w:marLeft w:val="0"/>
      <w:marRight w:val="0"/>
      <w:marTop w:val="0"/>
      <w:marBottom w:val="0"/>
      <w:divBdr>
        <w:top w:val="none" w:sz="0" w:space="0" w:color="auto"/>
        <w:left w:val="none" w:sz="0" w:space="0" w:color="auto"/>
        <w:bottom w:val="none" w:sz="0" w:space="0" w:color="auto"/>
        <w:right w:val="none" w:sz="0" w:space="0" w:color="auto"/>
      </w:divBdr>
    </w:div>
    <w:div w:id="1811703921">
      <w:bodyDiv w:val="1"/>
      <w:marLeft w:val="0"/>
      <w:marRight w:val="0"/>
      <w:marTop w:val="0"/>
      <w:marBottom w:val="0"/>
      <w:divBdr>
        <w:top w:val="none" w:sz="0" w:space="0" w:color="auto"/>
        <w:left w:val="none" w:sz="0" w:space="0" w:color="auto"/>
        <w:bottom w:val="none" w:sz="0" w:space="0" w:color="auto"/>
        <w:right w:val="none" w:sz="0" w:space="0" w:color="auto"/>
      </w:divBdr>
    </w:div>
    <w:div w:id="1817068372">
      <w:bodyDiv w:val="1"/>
      <w:marLeft w:val="0"/>
      <w:marRight w:val="0"/>
      <w:marTop w:val="0"/>
      <w:marBottom w:val="0"/>
      <w:divBdr>
        <w:top w:val="none" w:sz="0" w:space="0" w:color="auto"/>
        <w:left w:val="none" w:sz="0" w:space="0" w:color="auto"/>
        <w:bottom w:val="none" w:sz="0" w:space="0" w:color="auto"/>
        <w:right w:val="none" w:sz="0" w:space="0" w:color="auto"/>
      </w:divBdr>
    </w:div>
    <w:div w:id="1829637907">
      <w:bodyDiv w:val="1"/>
      <w:marLeft w:val="0"/>
      <w:marRight w:val="0"/>
      <w:marTop w:val="0"/>
      <w:marBottom w:val="0"/>
      <w:divBdr>
        <w:top w:val="none" w:sz="0" w:space="0" w:color="auto"/>
        <w:left w:val="none" w:sz="0" w:space="0" w:color="auto"/>
        <w:bottom w:val="none" w:sz="0" w:space="0" w:color="auto"/>
        <w:right w:val="none" w:sz="0" w:space="0" w:color="auto"/>
      </w:divBdr>
    </w:div>
    <w:div w:id="1829905685">
      <w:bodyDiv w:val="1"/>
      <w:marLeft w:val="0"/>
      <w:marRight w:val="0"/>
      <w:marTop w:val="0"/>
      <w:marBottom w:val="0"/>
      <w:divBdr>
        <w:top w:val="none" w:sz="0" w:space="0" w:color="auto"/>
        <w:left w:val="none" w:sz="0" w:space="0" w:color="auto"/>
        <w:bottom w:val="none" w:sz="0" w:space="0" w:color="auto"/>
        <w:right w:val="none" w:sz="0" w:space="0" w:color="auto"/>
      </w:divBdr>
    </w:div>
    <w:div w:id="1837308316">
      <w:bodyDiv w:val="1"/>
      <w:marLeft w:val="0"/>
      <w:marRight w:val="0"/>
      <w:marTop w:val="0"/>
      <w:marBottom w:val="0"/>
      <w:divBdr>
        <w:top w:val="none" w:sz="0" w:space="0" w:color="auto"/>
        <w:left w:val="none" w:sz="0" w:space="0" w:color="auto"/>
        <w:bottom w:val="none" w:sz="0" w:space="0" w:color="auto"/>
        <w:right w:val="none" w:sz="0" w:space="0" w:color="auto"/>
      </w:divBdr>
    </w:div>
    <w:div w:id="1849053371">
      <w:bodyDiv w:val="1"/>
      <w:marLeft w:val="0"/>
      <w:marRight w:val="0"/>
      <w:marTop w:val="0"/>
      <w:marBottom w:val="0"/>
      <w:divBdr>
        <w:top w:val="none" w:sz="0" w:space="0" w:color="auto"/>
        <w:left w:val="none" w:sz="0" w:space="0" w:color="auto"/>
        <w:bottom w:val="none" w:sz="0" w:space="0" w:color="auto"/>
        <w:right w:val="none" w:sz="0" w:space="0" w:color="auto"/>
      </w:divBdr>
    </w:div>
    <w:div w:id="1853033534">
      <w:bodyDiv w:val="1"/>
      <w:marLeft w:val="0"/>
      <w:marRight w:val="0"/>
      <w:marTop w:val="0"/>
      <w:marBottom w:val="0"/>
      <w:divBdr>
        <w:top w:val="none" w:sz="0" w:space="0" w:color="auto"/>
        <w:left w:val="none" w:sz="0" w:space="0" w:color="auto"/>
        <w:bottom w:val="none" w:sz="0" w:space="0" w:color="auto"/>
        <w:right w:val="none" w:sz="0" w:space="0" w:color="auto"/>
      </w:divBdr>
    </w:div>
    <w:div w:id="1873959361">
      <w:bodyDiv w:val="1"/>
      <w:marLeft w:val="0"/>
      <w:marRight w:val="0"/>
      <w:marTop w:val="0"/>
      <w:marBottom w:val="0"/>
      <w:divBdr>
        <w:top w:val="none" w:sz="0" w:space="0" w:color="auto"/>
        <w:left w:val="none" w:sz="0" w:space="0" w:color="auto"/>
        <w:bottom w:val="none" w:sz="0" w:space="0" w:color="auto"/>
        <w:right w:val="none" w:sz="0" w:space="0" w:color="auto"/>
      </w:divBdr>
    </w:div>
    <w:div w:id="1875385863">
      <w:bodyDiv w:val="1"/>
      <w:marLeft w:val="0"/>
      <w:marRight w:val="0"/>
      <w:marTop w:val="0"/>
      <w:marBottom w:val="0"/>
      <w:divBdr>
        <w:top w:val="none" w:sz="0" w:space="0" w:color="auto"/>
        <w:left w:val="none" w:sz="0" w:space="0" w:color="auto"/>
        <w:bottom w:val="none" w:sz="0" w:space="0" w:color="auto"/>
        <w:right w:val="none" w:sz="0" w:space="0" w:color="auto"/>
      </w:divBdr>
    </w:div>
    <w:div w:id="1895698607">
      <w:bodyDiv w:val="1"/>
      <w:marLeft w:val="0"/>
      <w:marRight w:val="0"/>
      <w:marTop w:val="0"/>
      <w:marBottom w:val="0"/>
      <w:divBdr>
        <w:top w:val="none" w:sz="0" w:space="0" w:color="auto"/>
        <w:left w:val="none" w:sz="0" w:space="0" w:color="auto"/>
        <w:bottom w:val="none" w:sz="0" w:space="0" w:color="auto"/>
        <w:right w:val="none" w:sz="0" w:space="0" w:color="auto"/>
      </w:divBdr>
    </w:div>
    <w:div w:id="1909220267">
      <w:bodyDiv w:val="1"/>
      <w:marLeft w:val="0"/>
      <w:marRight w:val="0"/>
      <w:marTop w:val="0"/>
      <w:marBottom w:val="0"/>
      <w:divBdr>
        <w:top w:val="none" w:sz="0" w:space="0" w:color="auto"/>
        <w:left w:val="none" w:sz="0" w:space="0" w:color="auto"/>
        <w:bottom w:val="none" w:sz="0" w:space="0" w:color="auto"/>
        <w:right w:val="none" w:sz="0" w:space="0" w:color="auto"/>
      </w:divBdr>
    </w:div>
    <w:div w:id="1920871060">
      <w:bodyDiv w:val="1"/>
      <w:marLeft w:val="0"/>
      <w:marRight w:val="0"/>
      <w:marTop w:val="0"/>
      <w:marBottom w:val="0"/>
      <w:divBdr>
        <w:top w:val="none" w:sz="0" w:space="0" w:color="auto"/>
        <w:left w:val="none" w:sz="0" w:space="0" w:color="auto"/>
        <w:bottom w:val="none" w:sz="0" w:space="0" w:color="auto"/>
        <w:right w:val="none" w:sz="0" w:space="0" w:color="auto"/>
      </w:divBdr>
    </w:div>
    <w:div w:id="1922255346">
      <w:bodyDiv w:val="1"/>
      <w:marLeft w:val="0"/>
      <w:marRight w:val="0"/>
      <w:marTop w:val="0"/>
      <w:marBottom w:val="0"/>
      <w:divBdr>
        <w:top w:val="none" w:sz="0" w:space="0" w:color="auto"/>
        <w:left w:val="none" w:sz="0" w:space="0" w:color="auto"/>
        <w:bottom w:val="none" w:sz="0" w:space="0" w:color="auto"/>
        <w:right w:val="none" w:sz="0" w:space="0" w:color="auto"/>
      </w:divBdr>
    </w:div>
    <w:div w:id="1924143967">
      <w:bodyDiv w:val="1"/>
      <w:marLeft w:val="0"/>
      <w:marRight w:val="0"/>
      <w:marTop w:val="0"/>
      <w:marBottom w:val="0"/>
      <w:divBdr>
        <w:top w:val="none" w:sz="0" w:space="0" w:color="auto"/>
        <w:left w:val="none" w:sz="0" w:space="0" w:color="auto"/>
        <w:bottom w:val="none" w:sz="0" w:space="0" w:color="auto"/>
        <w:right w:val="none" w:sz="0" w:space="0" w:color="auto"/>
      </w:divBdr>
    </w:div>
    <w:div w:id="1928270536">
      <w:bodyDiv w:val="1"/>
      <w:marLeft w:val="0"/>
      <w:marRight w:val="0"/>
      <w:marTop w:val="0"/>
      <w:marBottom w:val="0"/>
      <w:divBdr>
        <w:top w:val="none" w:sz="0" w:space="0" w:color="auto"/>
        <w:left w:val="none" w:sz="0" w:space="0" w:color="auto"/>
        <w:bottom w:val="none" w:sz="0" w:space="0" w:color="auto"/>
        <w:right w:val="none" w:sz="0" w:space="0" w:color="auto"/>
      </w:divBdr>
    </w:div>
    <w:div w:id="1934823418">
      <w:bodyDiv w:val="1"/>
      <w:marLeft w:val="0"/>
      <w:marRight w:val="0"/>
      <w:marTop w:val="0"/>
      <w:marBottom w:val="0"/>
      <w:divBdr>
        <w:top w:val="none" w:sz="0" w:space="0" w:color="auto"/>
        <w:left w:val="none" w:sz="0" w:space="0" w:color="auto"/>
        <w:bottom w:val="none" w:sz="0" w:space="0" w:color="auto"/>
        <w:right w:val="none" w:sz="0" w:space="0" w:color="auto"/>
      </w:divBdr>
    </w:div>
    <w:div w:id="1942637256">
      <w:bodyDiv w:val="1"/>
      <w:marLeft w:val="0"/>
      <w:marRight w:val="0"/>
      <w:marTop w:val="0"/>
      <w:marBottom w:val="0"/>
      <w:divBdr>
        <w:top w:val="none" w:sz="0" w:space="0" w:color="auto"/>
        <w:left w:val="none" w:sz="0" w:space="0" w:color="auto"/>
        <w:bottom w:val="none" w:sz="0" w:space="0" w:color="auto"/>
        <w:right w:val="none" w:sz="0" w:space="0" w:color="auto"/>
      </w:divBdr>
    </w:div>
    <w:div w:id="1953240214">
      <w:bodyDiv w:val="1"/>
      <w:marLeft w:val="0"/>
      <w:marRight w:val="0"/>
      <w:marTop w:val="0"/>
      <w:marBottom w:val="0"/>
      <w:divBdr>
        <w:top w:val="none" w:sz="0" w:space="0" w:color="auto"/>
        <w:left w:val="none" w:sz="0" w:space="0" w:color="auto"/>
        <w:bottom w:val="none" w:sz="0" w:space="0" w:color="auto"/>
        <w:right w:val="none" w:sz="0" w:space="0" w:color="auto"/>
      </w:divBdr>
    </w:div>
    <w:div w:id="1966544358">
      <w:bodyDiv w:val="1"/>
      <w:marLeft w:val="0"/>
      <w:marRight w:val="0"/>
      <w:marTop w:val="0"/>
      <w:marBottom w:val="0"/>
      <w:divBdr>
        <w:top w:val="none" w:sz="0" w:space="0" w:color="auto"/>
        <w:left w:val="none" w:sz="0" w:space="0" w:color="auto"/>
        <w:bottom w:val="none" w:sz="0" w:space="0" w:color="auto"/>
        <w:right w:val="none" w:sz="0" w:space="0" w:color="auto"/>
      </w:divBdr>
    </w:div>
    <w:div w:id="1972980272">
      <w:bodyDiv w:val="1"/>
      <w:marLeft w:val="0"/>
      <w:marRight w:val="0"/>
      <w:marTop w:val="0"/>
      <w:marBottom w:val="0"/>
      <w:divBdr>
        <w:top w:val="none" w:sz="0" w:space="0" w:color="auto"/>
        <w:left w:val="none" w:sz="0" w:space="0" w:color="auto"/>
        <w:bottom w:val="none" w:sz="0" w:space="0" w:color="auto"/>
        <w:right w:val="none" w:sz="0" w:space="0" w:color="auto"/>
      </w:divBdr>
    </w:div>
    <w:div w:id="1978796108">
      <w:bodyDiv w:val="1"/>
      <w:marLeft w:val="0"/>
      <w:marRight w:val="0"/>
      <w:marTop w:val="0"/>
      <w:marBottom w:val="0"/>
      <w:divBdr>
        <w:top w:val="none" w:sz="0" w:space="0" w:color="auto"/>
        <w:left w:val="none" w:sz="0" w:space="0" w:color="auto"/>
        <w:bottom w:val="none" w:sz="0" w:space="0" w:color="auto"/>
        <w:right w:val="none" w:sz="0" w:space="0" w:color="auto"/>
      </w:divBdr>
    </w:div>
    <w:div w:id="1984040469">
      <w:bodyDiv w:val="1"/>
      <w:marLeft w:val="0"/>
      <w:marRight w:val="0"/>
      <w:marTop w:val="0"/>
      <w:marBottom w:val="0"/>
      <w:divBdr>
        <w:top w:val="none" w:sz="0" w:space="0" w:color="auto"/>
        <w:left w:val="none" w:sz="0" w:space="0" w:color="auto"/>
        <w:bottom w:val="none" w:sz="0" w:space="0" w:color="auto"/>
        <w:right w:val="none" w:sz="0" w:space="0" w:color="auto"/>
      </w:divBdr>
    </w:div>
    <w:div w:id="1984918459">
      <w:bodyDiv w:val="1"/>
      <w:marLeft w:val="0"/>
      <w:marRight w:val="0"/>
      <w:marTop w:val="0"/>
      <w:marBottom w:val="0"/>
      <w:divBdr>
        <w:top w:val="none" w:sz="0" w:space="0" w:color="auto"/>
        <w:left w:val="none" w:sz="0" w:space="0" w:color="auto"/>
        <w:bottom w:val="none" w:sz="0" w:space="0" w:color="auto"/>
        <w:right w:val="none" w:sz="0" w:space="0" w:color="auto"/>
      </w:divBdr>
    </w:div>
    <w:div w:id="1991640777">
      <w:bodyDiv w:val="1"/>
      <w:marLeft w:val="0"/>
      <w:marRight w:val="0"/>
      <w:marTop w:val="0"/>
      <w:marBottom w:val="0"/>
      <w:divBdr>
        <w:top w:val="none" w:sz="0" w:space="0" w:color="auto"/>
        <w:left w:val="none" w:sz="0" w:space="0" w:color="auto"/>
        <w:bottom w:val="none" w:sz="0" w:space="0" w:color="auto"/>
        <w:right w:val="none" w:sz="0" w:space="0" w:color="auto"/>
      </w:divBdr>
    </w:div>
    <w:div w:id="1994870443">
      <w:bodyDiv w:val="1"/>
      <w:marLeft w:val="0"/>
      <w:marRight w:val="0"/>
      <w:marTop w:val="0"/>
      <w:marBottom w:val="0"/>
      <w:divBdr>
        <w:top w:val="none" w:sz="0" w:space="0" w:color="auto"/>
        <w:left w:val="none" w:sz="0" w:space="0" w:color="auto"/>
        <w:bottom w:val="none" w:sz="0" w:space="0" w:color="auto"/>
        <w:right w:val="none" w:sz="0" w:space="0" w:color="auto"/>
      </w:divBdr>
    </w:div>
    <w:div w:id="2013023000">
      <w:bodyDiv w:val="1"/>
      <w:marLeft w:val="0"/>
      <w:marRight w:val="0"/>
      <w:marTop w:val="0"/>
      <w:marBottom w:val="0"/>
      <w:divBdr>
        <w:top w:val="none" w:sz="0" w:space="0" w:color="auto"/>
        <w:left w:val="none" w:sz="0" w:space="0" w:color="auto"/>
        <w:bottom w:val="none" w:sz="0" w:space="0" w:color="auto"/>
        <w:right w:val="none" w:sz="0" w:space="0" w:color="auto"/>
      </w:divBdr>
    </w:div>
    <w:div w:id="2039818707">
      <w:bodyDiv w:val="1"/>
      <w:marLeft w:val="0"/>
      <w:marRight w:val="0"/>
      <w:marTop w:val="0"/>
      <w:marBottom w:val="0"/>
      <w:divBdr>
        <w:top w:val="none" w:sz="0" w:space="0" w:color="auto"/>
        <w:left w:val="none" w:sz="0" w:space="0" w:color="auto"/>
        <w:bottom w:val="none" w:sz="0" w:space="0" w:color="auto"/>
        <w:right w:val="none" w:sz="0" w:space="0" w:color="auto"/>
      </w:divBdr>
    </w:div>
    <w:div w:id="2073650528">
      <w:bodyDiv w:val="1"/>
      <w:marLeft w:val="0"/>
      <w:marRight w:val="0"/>
      <w:marTop w:val="0"/>
      <w:marBottom w:val="0"/>
      <w:divBdr>
        <w:top w:val="none" w:sz="0" w:space="0" w:color="auto"/>
        <w:left w:val="none" w:sz="0" w:space="0" w:color="auto"/>
        <w:bottom w:val="none" w:sz="0" w:space="0" w:color="auto"/>
        <w:right w:val="none" w:sz="0" w:space="0" w:color="auto"/>
      </w:divBdr>
    </w:div>
    <w:div w:id="2081444524">
      <w:bodyDiv w:val="1"/>
      <w:marLeft w:val="0"/>
      <w:marRight w:val="0"/>
      <w:marTop w:val="0"/>
      <w:marBottom w:val="0"/>
      <w:divBdr>
        <w:top w:val="none" w:sz="0" w:space="0" w:color="auto"/>
        <w:left w:val="none" w:sz="0" w:space="0" w:color="auto"/>
        <w:bottom w:val="none" w:sz="0" w:space="0" w:color="auto"/>
        <w:right w:val="none" w:sz="0" w:space="0" w:color="auto"/>
      </w:divBdr>
    </w:div>
    <w:div w:id="2083326991">
      <w:bodyDiv w:val="1"/>
      <w:marLeft w:val="0"/>
      <w:marRight w:val="0"/>
      <w:marTop w:val="0"/>
      <w:marBottom w:val="0"/>
      <w:divBdr>
        <w:top w:val="none" w:sz="0" w:space="0" w:color="auto"/>
        <w:left w:val="none" w:sz="0" w:space="0" w:color="auto"/>
        <w:bottom w:val="none" w:sz="0" w:space="0" w:color="auto"/>
        <w:right w:val="none" w:sz="0" w:space="0" w:color="auto"/>
      </w:divBdr>
    </w:div>
    <w:div w:id="2098206626">
      <w:bodyDiv w:val="1"/>
      <w:marLeft w:val="0"/>
      <w:marRight w:val="0"/>
      <w:marTop w:val="0"/>
      <w:marBottom w:val="0"/>
      <w:divBdr>
        <w:top w:val="none" w:sz="0" w:space="0" w:color="auto"/>
        <w:left w:val="none" w:sz="0" w:space="0" w:color="auto"/>
        <w:bottom w:val="none" w:sz="0" w:space="0" w:color="auto"/>
        <w:right w:val="none" w:sz="0" w:space="0" w:color="auto"/>
      </w:divBdr>
      <w:divsChild>
        <w:div w:id="1214662421">
          <w:marLeft w:val="0"/>
          <w:marRight w:val="0"/>
          <w:marTop w:val="0"/>
          <w:marBottom w:val="0"/>
          <w:divBdr>
            <w:top w:val="none" w:sz="0" w:space="0" w:color="auto"/>
            <w:left w:val="none" w:sz="0" w:space="0" w:color="auto"/>
            <w:bottom w:val="none" w:sz="0" w:space="0" w:color="auto"/>
            <w:right w:val="none" w:sz="0" w:space="0" w:color="auto"/>
          </w:divBdr>
          <w:divsChild>
            <w:div w:id="1661538791">
              <w:marLeft w:val="0"/>
              <w:marRight w:val="0"/>
              <w:marTop w:val="0"/>
              <w:marBottom w:val="0"/>
              <w:divBdr>
                <w:top w:val="none" w:sz="0" w:space="0" w:color="auto"/>
                <w:left w:val="none" w:sz="0" w:space="0" w:color="auto"/>
                <w:bottom w:val="none" w:sz="0" w:space="0" w:color="auto"/>
                <w:right w:val="none" w:sz="0" w:space="0" w:color="auto"/>
              </w:divBdr>
              <w:divsChild>
                <w:div w:id="1406489912">
                  <w:marLeft w:val="0"/>
                  <w:marRight w:val="150"/>
                  <w:marTop w:val="30"/>
                  <w:marBottom w:val="135"/>
                  <w:divBdr>
                    <w:top w:val="none" w:sz="0" w:space="0" w:color="auto"/>
                    <w:left w:val="none" w:sz="0" w:space="0" w:color="auto"/>
                    <w:bottom w:val="none" w:sz="0" w:space="0" w:color="auto"/>
                    <w:right w:val="none" w:sz="0" w:space="0" w:color="auto"/>
                  </w:divBdr>
                </w:div>
              </w:divsChild>
            </w:div>
          </w:divsChild>
        </w:div>
      </w:divsChild>
    </w:div>
    <w:div w:id="2098557211">
      <w:bodyDiv w:val="1"/>
      <w:marLeft w:val="0"/>
      <w:marRight w:val="0"/>
      <w:marTop w:val="0"/>
      <w:marBottom w:val="0"/>
      <w:divBdr>
        <w:top w:val="none" w:sz="0" w:space="0" w:color="auto"/>
        <w:left w:val="none" w:sz="0" w:space="0" w:color="auto"/>
        <w:bottom w:val="none" w:sz="0" w:space="0" w:color="auto"/>
        <w:right w:val="none" w:sz="0" w:space="0" w:color="auto"/>
      </w:divBdr>
    </w:div>
    <w:div w:id="2098868292">
      <w:bodyDiv w:val="1"/>
      <w:marLeft w:val="0"/>
      <w:marRight w:val="0"/>
      <w:marTop w:val="0"/>
      <w:marBottom w:val="0"/>
      <w:divBdr>
        <w:top w:val="none" w:sz="0" w:space="0" w:color="auto"/>
        <w:left w:val="none" w:sz="0" w:space="0" w:color="auto"/>
        <w:bottom w:val="none" w:sz="0" w:space="0" w:color="auto"/>
        <w:right w:val="none" w:sz="0" w:space="0" w:color="auto"/>
      </w:divBdr>
    </w:div>
    <w:div w:id="2102142466">
      <w:bodyDiv w:val="1"/>
      <w:marLeft w:val="0"/>
      <w:marRight w:val="0"/>
      <w:marTop w:val="0"/>
      <w:marBottom w:val="0"/>
      <w:divBdr>
        <w:top w:val="none" w:sz="0" w:space="0" w:color="auto"/>
        <w:left w:val="none" w:sz="0" w:space="0" w:color="auto"/>
        <w:bottom w:val="none" w:sz="0" w:space="0" w:color="auto"/>
        <w:right w:val="none" w:sz="0" w:space="0" w:color="auto"/>
      </w:divBdr>
      <w:divsChild>
        <w:div w:id="778069426">
          <w:marLeft w:val="0"/>
          <w:marRight w:val="0"/>
          <w:marTop w:val="0"/>
          <w:marBottom w:val="0"/>
          <w:divBdr>
            <w:top w:val="none" w:sz="0" w:space="0" w:color="auto"/>
            <w:left w:val="none" w:sz="0" w:space="0" w:color="auto"/>
            <w:bottom w:val="none" w:sz="0" w:space="0" w:color="auto"/>
            <w:right w:val="none" w:sz="0" w:space="0" w:color="auto"/>
          </w:divBdr>
        </w:div>
      </w:divsChild>
    </w:div>
    <w:div w:id="2106077171">
      <w:bodyDiv w:val="1"/>
      <w:marLeft w:val="0"/>
      <w:marRight w:val="0"/>
      <w:marTop w:val="0"/>
      <w:marBottom w:val="0"/>
      <w:divBdr>
        <w:top w:val="none" w:sz="0" w:space="0" w:color="auto"/>
        <w:left w:val="none" w:sz="0" w:space="0" w:color="auto"/>
        <w:bottom w:val="none" w:sz="0" w:space="0" w:color="auto"/>
        <w:right w:val="none" w:sz="0" w:space="0" w:color="auto"/>
      </w:divBdr>
    </w:div>
    <w:div w:id="2106269090">
      <w:bodyDiv w:val="1"/>
      <w:marLeft w:val="0"/>
      <w:marRight w:val="0"/>
      <w:marTop w:val="0"/>
      <w:marBottom w:val="0"/>
      <w:divBdr>
        <w:top w:val="none" w:sz="0" w:space="0" w:color="auto"/>
        <w:left w:val="none" w:sz="0" w:space="0" w:color="auto"/>
        <w:bottom w:val="none" w:sz="0" w:space="0" w:color="auto"/>
        <w:right w:val="none" w:sz="0" w:space="0" w:color="auto"/>
      </w:divBdr>
    </w:div>
    <w:div w:id="2119254520">
      <w:bodyDiv w:val="1"/>
      <w:marLeft w:val="0"/>
      <w:marRight w:val="0"/>
      <w:marTop w:val="0"/>
      <w:marBottom w:val="0"/>
      <w:divBdr>
        <w:top w:val="none" w:sz="0" w:space="0" w:color="auto"/>
        <w:left w:val="none" w:sz="0" w:space="0" w:color="auto"/>
        <w:bottom w:val="none" w:sz="0" w:space="0" w:color="auto"/>
        <w:right w:val="none" w:sz="0" w:space="0" w:color="auto"/>
      </w:divBdr>
    </w:div>
    <w:div w:id="2123108779">
      <w:bodyDiv w:val="1"/>
      <w:marLeft w:val="0"/>
      <w:marRight w:val="0"/>
      <w:marTop w:val="0"/>
      <w:marBottom w:val="0"/>
      <w:divBdr>
        <w:top w:val="none" w:sz="0" w:space="0" w:color="auto"/>
        <w:left w:val="none" w:sz="0" w:space="0" w:color="auto"/>
        <w:bottom w:val="none" w:sz="0" w:space="0" w:color="auto"/>
        <w:right w:val="none" w:sz="0" w:space="0" w:color="auto"/>
      </w:divBdr>
    </w:div>
    <w:div w:id="2136555377">
      <w:bodyDiv w:val="1"/>
      <w:marLeft w:val="0"/>
      <w:marRight w:val="0"/>
      <w:marTop w:val="0"/>
      <w:marBottom w:val="0"/>
      <w:divBdr>
        <w:top w:val="none" w:sz="0" w:space="0" w:color="auto"/>
        <w:left w:val="none" w:sz="0" w:space="0" w:color="auto"/>
        <w:bottom w:val="none" w:sz="0" w:space="0" w:color="auto"/>
        <w:right w:val="none" w:sz="0" w:space="0" w:color="auto"/>
      </w:divBdr>
    </w:div>
    <w:div w:id="2142838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1" Type="http://schemas.openxmlformats.org/officeDocument/2006/relationships/package" Target="embeddings/Microsoft_Visio_Drawing1.vsdx"/><Relationship Id="rId42" Type="http://schemas.openxmlformats.org/officeDocument/2006/relationships/package" Target="embeddings/Microsoft_Visio_Drawing6.vsdx"/><Relationship Id="rId63" Type="http://schemas.openxmlformats.org/officeDocument/2006/relationships/image" Target="media/image34.png"/><Relationship Id="rId84" Type="http://schemas.openxmlformats.org/officeDocument/2006/relationships/image" Target="media/image48.emf"/><Relationship Id="rId138" Type="http://schemas.openxmlformats.org/officeDocument/2006/relationships/package" Target="embeddings/Microsoft_Visio_Drawing42.vsdx"/><Relationship Id="rId159" Type="http://schemas.openxmlformats.org/officeDocument/2006/relationships/package" Target="embeddings/Microsoft_Visio_Drawing51.vsdx"/><Relationship Id="rId170" Type="http://schemas.openxmlformats.org/officeDocument/2006/relationships/image" Target="media/image97.emf"/><Relationship Id="rId191" Type="http://schemas.openxmlformats.org/officeDocument/2006/relationships/image" Target="media/image108.emf"/><Relationship Id="rId205" Type="http://schemas.openxmlformats.org/officeDocument/2006/relationships/image" Target="media/image120.emf"/><Relationship Id="rId226" Type="http://schemas.openxmlformats.org/officeDocument/2006/relationships/image" Target="media/image135.png"/><Relationship Id="rId107" Type="http://schemas.openxmlformats.org/officeDocument/2006/relationships/package" Target="embeddings/Microsoft_Visio_Drawing29.vsdx"/><Relationship Id="rId11" Type="http://schemas.openxmlformats.org/officeDocument/2006/relationships/image" Target="media/image3.png"/><Relationship Id="rId32" Type="http://schemas.openxmlformats.org/officeDocument/2006/relationships/image" Target="media/image13.png"/><Relationship Id="rId53" Type="http://schemas.openxmlformats.org/officeDocument/2006/relationships/image" Target="media/image27.emf"/><Relationship Id="rId74" Type="http://schemas.openxmlformats.org/officeDocument/2006/relationships/package" Target="embeddings/Microsoft_Visio_Drawing16.vsdx"/><Relationship Id="rId128" Type="http://schemas.openxmlformats.org/officeDocument/2006/relationships/package" Target="embeddings/Microsoft_Visio_Drawing38.vsdx"/><Relationship Id="rId149" Type="http://schemas.openxmlformats.org/officeDocument/2006/relationships/package" Target="embeddings/Microsoft_Visio_Drawing46.vsdx"/><Relationship Id="rId5" Type="http://schemas.openxmlformats.org/officeDocument/2006/relationships/webSettings" Target="webSettings.xml"/><Relationship Id="rId95" Type="http://schemas.openxmlformats.org/officeDocument/2006/relationships/package" Target="embeddings/Microsoft_Visio_Drawing23.vsdx"/><Relationship Id="rId160" Type="http://schemas.openxmlformats.org/officeDocument/2006/relationships/image" Target="media/image92.emf"/><Relationship Id="rId181" Type="http://schemas.openxmlformats.org/officeDocument/2006/relationships/package" Target="embeddings/Microsoft_Visio_Drawing62.vsdx"/><Relationship Id="rId216" Type="http://schemas.openxmlformats.org/officeDocument/2006/relationships/package" Target="embeddings/Microsoft_Visio_Drawing72.vsdx"/><Relationship Id="rId237" Type="http://schemas.openxmlformats.org/officeDocument/2006/relationships/fontTable" Target="fontTable.xml"/><Relationship Id="rId22" Type="http://schemas.openxmlformats.org/officeDocument/2006/relationships/hyperlink" Target="https://www.fiixsoftware.com/maintenance-strategies/reliability-centered-maintenance/" TargetMode="External"/><Relationship Id="rId43" Type="http://schemas.openxmlformats.org/officeDocument/2006/relationships/image" Target="media/image20.png"/><Relationship Id="rId64" Type="http://schemas.openxmlformats.org/officeDocument/2006/relationships/image" Target="media/image35.emf"/><Relationship Id="rId118" Type="http://schemas.openxmlformats.org/officeDocument/2006/relationships/package" Target="embeddings/Microsoft_Visio_Drawing34.vsdx"/><Relationship Id="rId139" Type="http://schemas.openxmlformats.org/officeDocument/2006/relationships/image" Target="media/image80.emf"/><Relationship Id="rId85" Type="http://schemas.openxmlformats.org/officeDocument/2006/relationships/package" Target="embeddings/Microsoft_Visio_Drawing20.vsdx"/><Relationship Id="rId150" Type="http://schemas.openxmlformats.org/officeDocument/2006/relationships/image" Target="media/image87.emf"/><Relationship Id="rId171" Type="http://schemas.openxmlformats.org/officeDocument/2006/relationships/package" Target="embeddings/Microsoft_Visio_Drawing57.vsdx"/><Relationship Id="rId192" Type="http://schemas.openxmlformats.org/officeDocument/2006/relationships/image" Target="media/image109.png"/><Relationship Id="rId206" Type="http://schemas.openxmlformats.org/officeDocument/2006/relationships/package" Target="embeddings/Microsoft_Visio_Drawing69.vsdx"/><Relationship Id="rId227" Type="http://schemas.openxmlformats.org/officeDocument/2006/relationships/image" Target="media/image136.emf"/><Relationship Id="rId12" Type="http://schemas.openxmlformats.org/officeDocument/2006/relationships/image" Target="media/image4.jpeg"/><Relationship Id="rId33" Type="http://schemas.openxmlformats.org/officeDocument/2006/relationships/image" Target="media/image14.png"/><Relationship Id="rId108" Type="http://schemas.openxmlformats.org/officeDocument/2006/relationships/image" Target="media/image62.emf"/><Relationship Id="rId129" Type="http://schemas.openxmlformats.org/officeDocument/2006/relationships/image" Target="media/image74.emf"/><Relationship Id="rId54" Type="http://schemas.openxmlformats.org/officeDocument/2006/relationships/image" Target="media/image28.png"/><Relationship Id="rId75" Type="http://schemas.openxmlformats.org/officeDocument/2006/relationships/image" Target="media/image42.emf"/><Relationship Id="rId96" Type="http://schemas.openxmlformats.org/officeDocument/2006/relationships/image" Target="media/image56.emf"/><Relationship Id="rId140" Type="http://schemas.openxmlformats.org/officeDocument/2006/relationships/image" Target="media/image81.png"/><Relationship Id="rId161" Type="http://schemas.openxmlformats.org/officeDocument/2006/relationships/package" Target="embeddings/Microsoft_Visio_Drawing52.vsdx"/><Relationship Id="rId182" Type="http://schemas.openxmlformats.org/officeDocument/2006/relationships/image" Target="media/image103.emf"/><Relationship Id="rId217" Type="http://schemas.openxmlformats.org/officeDocument/2006/relationships/image" Target="media/image128.png"/><Relationship Id="rId6" Type="http://schemas.openxmlformats.org/officeDocument/2006/relationships/footnotes" Target="footnotes.xml"/><Relationship Id="rId238" Type="http://schemas.openxmlformats.org/officeDocument/2006/relationships/theme" Target="theme/theme1.xml"/><Relationship Id="rId23" Type="http://schemas.openxmlformats.org/officeDocument/2006/relationships/hyperlink" Target="https://www.fiixsoftware.com/maintenance-strategies/reliability-centered-maintenance/" TargetMode="External"/><Relationship Id="rId119" Type="http://schemas.openxmlformats.org/officeDocument/2006/relationships/image" Target="media/image68.png"/><Relationship Id="rId44" Type="http://schemas.openxmlformats.org/officeDocument/2006/relationships/image" Target="media/image21.png"/><Relationship Id="rId65" Type="http://schemas.openxmlformats.org/officeDocument/2006/relationships/package" Target="embeddings/Microsoft_Visio_Drawing13.vsdx"/><Relationship Id="rId86" Type="http://schemas.openxmlformats.org/officeDocument/2006/relationships/image" Target="media/image49.png"/><Relationship Id="rId130" Type="http://schemas.openxmlformats.org/officeDocument/2006/relationships/image" Target="media/image75.emf"/><Relationship Id="rId151" Type="http://schemas.openxmlformats.org/officeDocument/2006/relationships/package" Target="embeddings/Microsoft_Visio_Drawing47.vsdx"/><Relationship Id="rId172" Type="http://schemas.openxmlformats.org/officeDocument/2006/relationships/image" Target="media/image98.emf"/><Relationship Id="rId193" Type="http://schemas.openxmlformats.org/officeDocument/2006/relationships/image" Target="media/image110.png"/><Relationship Id="rId207" Type="http://schemas.openxmlformats.org/officeDocument/2006/relationships/image" Target="media/image121.png"/><Relationship Id="rId228" Type="http://schemas.openxmlformats.org/officeDocument/2006/relationships/package" Target="embeddings/Microsoft_Visio_Drawing75.vsdx"/><Relationship Id="rId13" Type="http://schemas.openxmlformats.org/officeDocument/2006/relationships/hyperlink" Target="https://en.wikipedia.org/wiki/Boeing_767-300ER" TargetMode="External"/><Relationship Id="rId109" Type="http://schemas.openxmlformats.org/officeDocument/2006/relationships/package" Target="embeddings/Microsoft_Visio_Drawing30.vsdx"/><Relationship Id="rId34" Type="http://schemas.openxmlformats.org/officeDocument/2006/relationships/image" Target="media/image15.emf"/><Relationship Id="rId55" Type="http://schemas.openxmlformats.org/officeDocument/2006/relationships/image" Target="media/image29.emf"/><Relationship Id="rId76" Type="http://schemas.openxmlformats.org/officeDocument/2006/relationships/package" Target="embeddings/Microsoft_Visio_Drawing17.vsdx"/><Relationship Id="rId97" Type="http://schemas.openxmlformats.org/officeDocument/2006/relationships/package" Target="embeddings/Microsoft_Visio_Drawing24.vsdx"/><Relationship Id="rId120" Type="http://schemas.openxmlformats.org/officeDocument/2006/relationships/image" Target="media/image69.emf"/><Relationship Id="rId141" Type="http://schemas.openxmlformats.org/officeDocument/2006/relationships/image" Target="media/image82.emf"/><Relationship Id="rId7" Type="http://schemas.openxmlformats.org/officeDocument/2006/relationships/endnotes" Target="endnotes.xml"/><Relationship Id="rId162" Type="http://schemas.openxmlformats.org/officeDocument/2006/relationships/image" Target="media/image93.emf"/><Relationship Id="rId183" Type="http://schemas.openxmlformats.org/officeDocument/2006/relationships/package" Target="embeddings/Microsoft_Visio_Drawing63.vsdx"/><Relationship Id="rId218" Type="http://schemas.openxmlformats.org/officeDocument/2006/relationships/image" Target="media/image129.png"/><Relationship Id="rId24" Type="http://schemas.openxmlformats.org/officeDocument/2006/relationships/image" Target="media/image10.emf"/><Relationship Id="rId45" Type="http://schemas.openxmlformats.org/officeDocument/2006/relationships/image" Target="media/image22.png"/><Relationship Id="rId66" Type="http://schemas.openxmlformats.org/officeDocument/2006/relationships/image" Target="media/image36.png"/><Relationship Id="rId87" Type="http://schemas.openxmlformats.org/officeDocument/2006/relationships/image" Target="media/image50.png"/><Relationship Id="rId110" Type="http://schemas.openxmlformats.org/officeDocument/2006/relationships/image" Target="media/image63.emf"/><Relationship Id="rId131" Type="http://schemas.openxmlformats.org/officeDocument/2006/relationships/package" Target="embeddings/Microsoft_Visio_Drawing39.vsdx"/><Relationship Id="rId152" Type="http://schemas.openxmlformats.org/officeDocument/2006/relationships/image" Target="media/image88.emf"/><Relationship Id="rId173" Type="http://schemas.openxmlformats.org/officeDocument/2006/relationships/package" Target="embeddings/Microsoft_Visio_Drawing58.vsdx"/><Relationship Id="rId194" Type="http://schemas.openxmlformats.org/officeDocument/2006/relationships/image" Target="media/image111.png"/><Relationship Id="rId208" Type="http://schemas.openxmlformats.org/officeDocument/2006/relationships/image" Target="media/image122.png"/><Relationship Id="rId229" Type="http://schemas.openxmlformats.org/officeDocument/2006/relationships/image" Target="media/image137.png"/><Relationship Id="rId14" Type="http://schemas.openxmlformats.org/officeDocument/2006/relationships/image" Target="media/image5.jpeg"/><Relationship Id="rId35" Type="http://schemas.openxmlformats.org/officeDocument/2006/relationships/package" Target="embeddings/Microsoft_Visio_Drawing3.vsdx"/><Relationship Id="rId56" Type="http://schemas.openxmlformats.org/officeDocument/2006/relationships/package" Target="embeddings/Microsoft_Visio_Drawing10.vsdx"/><Relationship Id="rId77" Type="http://schemas.openxmlformats.org/officeDocument/2006/relationships/image" Target="media/image43.png"/><Relationship Id="rId100" Type="http://schemas.openxmlformats.org/officeDocument/2006/relationships/image" Target="media/image58.emf"/><Relationship Id="rId8" Type="http://schemas.openxmlformats.org/officeDocument/2006/relationships/image" Target="media/image1.jpeg"/><Relationship Id="rId98" Type="http://schemas.openxmlformats.org/officeDocument/2006/relationships/image" Target="media/image57.emf"/><Relationship Id="rId121" Type="http://schemas.openxmlformats.org/officeDocument/2006/relationships/package" Target="embeddings/Microsoft_Visio_Drawing35.vsdx"/><Relationship Id="rId142" Type="http://schemas.openxmlformats.org/officeDocument/2006/relationships/package" Target="embeddings/Microsoft_Visio_Drawing43.vsdx"/><Relationship Id="rId163" Type="http://schemas.openxmlformats.org/officeDocument/2006/relationships/package" Target="embeddings/Microsoft_Visio_Drawing53.vsdx"/><Relationship Id="rId184" Type="http://schemas.openxmlformats.org/officeDocument/2006/relationships/image" Target="media/image104.emf"/><Relationship Id="rId219" Type="http://schemas.openxmlformats.org/officeDocument/2006/relationships/image" Target="media/image130.png"/><Relationship Id="rId230" Type="http://schemas.openxmlformats.org/officeDocument/2006/relationships/image" Target="media/image138.png"/><Relationship Id="rId25" Type="http://schemas.openxmlformats.org/officeDocument/2006/relationships/package" Target="embeddings/Microsoft_Visio_Drawing2.vsdx"/><Relationship Id="rId46" Type="http://schemas.openxmlformats.org/officeDocument/2006/relationships/image" Target="media/image23.emf"/><Relationship Id="rId67" Type="http://schemas.openxmlformats.org/officeDocument/2006/relationships/image" Target="media/image37.png"/><Relationship Id="rId88" Type="http://schemas.openxmlformats.org/officeDocument/2006/relationships/image" Target="media/image51.png"/><Relationship Id="rId111" Type="http://schemas.openxmlformats.org/officeDocument/2006/relationships/package" Target="embeddings/Microsoft_Visio_Drawing31.vsdx"/><Relationship Id="rId132" Type="http://schemas.openxmlformats.org/officeDocument/2006/relationships/image" Target="media/image76.emf"/><Relationship Id="rId153" Type="http://schemas.openxmlformats.org/officeDocument/2006/relationships/package" Target="embeddings/Microsoft_Visio_Drawing48.vsdx"/><Relationship Id="rId174" Type="http://schemas.openxmlformats.org/officeDocument/2006/relationships/image" Target="media/image99.emf"/><Relationship Id="rId195" Type="http://schemas.openxmlformats.org/officeDocument/2006/relationships/image" Target="media/image112.png"/><Relationship Id="rId209" Type="http://schemas.openxmlformats.org/officeDocument/2006/relationships/image" Target="media/image123.emf"/><Relationship Id="rId190" Type="http://schemas.openxmlformats.org/officeDocument/2006/relationships/image" Target="media/image107.png"/><Relationship Id="rId204" Type="http://schemas.openxmlformats.org/officeDocument/2006/relationships/package" Target="embeddings/Microsoft_Visio_Drawing68.vsdx"/><Relationship Id="rId220" Type="http://schemas.openxmlformats.org/officeDocument/2006/relationships/package" Target="embeddings/Microsoft_Visio_Drawing73.vsdx"/><Relationship Id="rId225" Type="http://schemas.openxmlformats.org/officeDocument/2006/relationships/image" Target="media/image134.png"/><Relationship Id="rId15" Type="http://schemas.openxmlformats.org/officeDocument/2006/relationships/hyperlink" Target="https://en.wikipedia.org/wiki/Boeing_737-700" TargetMode="External"/><Relationship Id="rId36" Type="http://schemas.openxmlformats.org/officeDocument/2006/relationships/image" Target="media/image16.emf"/><Relationship Id="rId57" Type="http://schemas.openxmlformats.org/officeDocument/2006/relationships/image" Target="media/image30.emf"/><Relationship Id="rId106" Type="http://schemas.openxmlformats.org/officeDocument/2006/relationships/image" Target="media/image61.emf"/><Relationship Id="rId127" Type="http://schemas.openxmlformats.org/officeDocument/2006/relationships/image" Target="media/image73.emf"/><Relationship Id="rId10" Type="http://schemas.openxmlformats.org/officeDocument/2006/relationships/image" Target="media/image2.jpeg"/><Relationship Id="rId31" Type="http://schemas.openxmlformats.org/officeDocument/2006/relationships/image" Target="media/image12.png"/><Relationship Id="rId52" Type="http://schemas.openxmlformats.org/officeDocument/2006/relationships/image" Target="media/image26.emf"/><Relationship Id="rId73" Type="http://schemas.openxmlformats.org/officeDocument/2006/relationships/image" Target="media/image41.emf"/><Relationship Id="rId78" Type="http://schemas.openxmlformats.org/officeDocument/2006/relationships/image" Target="media/image44.emf"/><Relationship Id="rId94" Type="http://schemas.openxmlformats.org/officeDocument/2006/relationships/image" Target="media/image55.emf"/><Relationship Id="rId99" Type="http://schemas.openxmlformats.org/officeDocument/2006/relationships/package" Target="embeddings/Microsoft_Visio_Drawing25.vsdx"/><Relationship Id="rId101" Type="http://schemas.openxmlformats.org/officeDocument/2006/relationships/package" Target="embeddings/Microsoft_Visio_Drawing26.vsdx"/><Relationship Id="rId122" Type="http://schemas.openxmlformats.org/officeDocument/2006/relationships/image" Target="media/image70.emf"/><Relationship Id="rId143" Type="http://schemas.openxmlformats.org/officeDocument/2006/relationships/image" Target="media/image83.png"/><Relationship Id="rId148" Type="http://schemas.openxmlformats.org/officeDocument/2006/relationships/image" Target="media/image86.emf"/><Relationship Id="rId164" Type="http://schemas.openxmlformats.org/officeDocument/2006/relationships/image" Target="media/image94.emf"/><Relationship Id="rId169" Type="http://schemas.openxmlformats.org/officeDocument/2006/relationships/package" Target="embeddings/Microsoft_Visio_Drawing56.vsdx"/><Relationship Id="rId185" Type="http://schemas.openxmlformats.org/officeDocument/2006/relationships/package" Target="embeddings/Microsoft_Visio_Drawing64.vsdx"/><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02.emf"/><Relationship Id="rId210" Type="http://schemas.openxmlformats.org/officeDocument/2006/relationships/package" Target="embeddings/Microsoft_Visio_Drawing70.vsdx"/><Relationship Id="rId215" Type="http://schemas.openxmlformats.org/officeDocument/2006/relationships/image" Target="media/image127.emf"/><Relationship Id="rId236" Type="http://schemas.openxmlformats.org/officeDocument/2006/relationships/footer" Target="footer2.xml"/><Relationship Id="rId26" Type="http://schemas.openxmlformats.org/officeDocument/2006/relationships/hyperlink" Target="https://www.fiixsoftware.com/maintenance-strategies/reliability-centered-maintenance/" TargetMode="External"/><Relationship Id="rId231" Type="http://schemas.openxmlformats.org/officeDocument/2006/relationships/image" Target="media/image139.png"/><Relationship Id="rId47" Type="http://schemas.openxmlformats.org/officeDocument/2006/relationships/package" Target="embeddings/Microsoft_Visio_Drawing7.vsdx"/><Relationship Id="rId68" Type="http://schemas.openxmlformats.org/officeDocument/2006/relationships/image" Target="media/image38.png"/><Relationship Id="rId89" Type="http://schemas.openxmlformats.org/officeDocument/2006/relationships/image" Target="media/image52.emf"/><Relationship Id="rId112" Type="http://schemas.openxmlformats.org/officeDocument/2006/relationships/image" Target="media/image64.emf"/><Relationship Id="rId133" Type="http://schemas.openxmlformats.org/officeDocument/2006/relationships/image" Target="media/image77.emf"/><Relationship Id="rId154" Type="http://schemas.openxmlformats.org/officeDocument/2006/relationships/image" Target="media/image89.emf"/><Relationship Id="rId175" Type="http://schemas.openxmlformats.org/officeDocument/2006/relationships/package" Target="embeddings/Microsoft_Visio_Drawing59.vsdx"/><Relationship Id="rId196" Type="http://schemas.openxmlformats.org/officeDocument/2006/relationships/image" Target="media/image113.png"/><Relationship Id="rId200" Type="http://schemas.openxmlformats.org/officeDocument/2006/relationships/image" Target="media/image117.png"/><Relationship Id="rId16" Type="http://schemas.openxmlformats.org/officeDocument/2006/relationships/image" Target="media/image6.jpeg"/><Relationship Id="rId221" Type="http://schemas.openxmlformats.org/officeDocument/2006/relationships/image" Target="media/image131.png"/><Relationship Id="rId37" Type="http://schemas.openxmlformats.org/officeDocument/2006/relationships/package" Target="embeddings/Microsoft_Visio_Drawing4.vsdx"/><Relationship Id="rId58" Type="http://schemas.openxmlformats.org/officeDocument/2006/relationships/package" Target="embeddings/Microsoft_Visio_Drawing11.vsdx"/><Relationship Id="rId79" Type="http://schemas.openxmlformats.org/officeDocument/2006/relationships/package" Target="embeddings/Microsoft_Visio_Drawing18.vsdx"/><Relationship Id="rId102" Type="http://schemas.openxmlformats.org/officeDocument/2006/relationships/image" Target="media/image59.emf"/><Relationship Id="rId123" Type="http://schemas.openxmlformats.org/officeDocument/2006/relationships/image" Target="media/image71.emf"/><Relationship Id="rId144" Type="http://schemas.openxmlformats.org/officeDocument/2006/relationships/image" Target="media/image84.emf"/><Relationship Id="rId90" Type="http://schemas.openxmlformats.org/officeDocument/2006/relationships/package" Target="embeddings/Microsoft_Visio_Drawing21.vsdx"/><Relationship Id="rId165" Type="http://schemas.openxmlformats.org/officeDocument/2006/relationships/package" Target="embeddings/Microsoft_Visio_Drawing54.vsdx"/><Relationship Id="rId186" Type="http://schemas.openxmlformats.org/officeDocument/2006/relationships/image" Target="media/image105.emf"/><Relationship Id="rId211" Type="http://schemas.openxmlformats.org/officeDocument/2006/relationships/image" Target="media/image124.emf"/><Relationship Id="rId232" Type="http://schemas.openxmlformats.org/officeDocument/2006/relationships/image" Target="media/image140.png"/><Relationship Id="rId27" Type="http://schemas.openxmlformats.org/officeDocument/2006/relationships/hyperlink" Target="https://www.fiixsoftware.com/maintenance-strategies/reliability-centered-maintenance/" TargetMode="External"/><Relationship Id="rId48" Type="http://schemas.openxmlformats.org/officeDocument/2006/relationships/image" Target="media/image24.emf"/><Relationship Id="rId69" Type="http://schemas.openxmlformats.org/officeDocument/2006/relationships/image" Target="media/image39.emf"/><Relationship Id="rId113" Type="http://schemas.openxmlformats.org/officeDocument/2006/relationships/package" Target="embeddings/Microsoft_Visio_Drawing32.vsdx"/><Relationship Id="rId134" Type="http://schemas.openxmlformats.org/officeDocument/2006/relationships/package" Target="embeddings/Microsoft_Visio_Drawing40.vsdx"/><Relationship Id="rId80" Type="http://schemas.openxmlformats.org/officeDocument/2006/relationships/image" Target="media/image45.png"/><Relationship Id="rId155" Type="http://schemas.openxmlformats.org/officeDocument/2006/relationships/package" Target="embeddings/Microsoft_Visio_Drawing49.vsdx"/><Relationship Id="rId176" Type="http://schemas.openxmlformats.org/officeDocument/2006/relationships/image" Target="media/image100.emf"/><Relationship Id="rId197" Type="http://schemas.openxmlformats.org/officeDocument/2006/relationships/image" Target="media/image114.emf"/><Relationship Id="rId201" Type="http://schemas.openxmlformats.org/officeDocument/2006/relationships/image" Target="media/image118.emf"/><Relationship Id="rId222" Type="http://schemas.openxmlformats.org/officeDocument/2006/relationships/image" Target="media/image132.png"/><Relationship Id="rId17" Type="http://schemas.openxmlformats.org/officeDocument/2006/relationships/image" Target="media/image7.png"/><Relationship Id="rId38" Type="http://schemas.openxmlformats.org/officeDocument/2006/relationships/image" Target="media/image17.emf"/><Relationship Id="rId59" Type="http://schemas.openxmlformats.org/officeDocument/2006/relationships/image" Target="media/image31.emf"/><Relationship Id="rId103" Type="http://schemas.openxmlformats.org/officeDocument/2006/relationships/package" Target="embeddings/Microsoft_Visio_Drawing27.vsdx"/><Relationship Id="rId124" Type="http://schemas.openxmlformats.org/officeDocument/2006/relationships/package" Target="embeddings/Microsoft_Visio_Drawing36.vsdx"/><Relationship Id="rId70" Type="http://schemas.openxmlformats.org/officeDocument/2006/relationships/package" Target="embeddings/Microsoft_Visio_Drawing14.vsdx"/><Relationship Id="rId91" Type="http://schemas.openxmlformats.org/officeDocument/2006/relationships/image" Target="media/image53.emf"/><Relationship Id="rId145" Type="http://schemas.openxmlformats.org/officeDocument/2006/relationships/package" Target="embeddings/Microsoft_Visio_Drawing44.vsdx"/><Relationship Id="rId166" Type="http://schemas.openxmlformats.org/officeDocument/2006/relationships/image" Target="media/image95.emf"/><Relationship Id="rId187" Type="http://schemas.openxmlformats.org/officeDocument/2006/relationships/package" Target="embeddings/Microsoft_Visio_Drawing65.vsdx"/><Relationship Id="rId1" Type="http://schemas.openxmlformats.org/officeDocument/2006/relationships/customXml" Target="../customXml/item1.xml"/><Relationship Id="rId212" Type="http://schemas.openxmlformats.org/officeDocument/2006/relationships/package" Target="embeddings/Microsoft_Visio_Drawing71.vsdx"/><Relationship Id="rId233" Type="http://schemas.openxmlformats.org/officeDocument/2006/relationships/image" Target="media/image141.png"/><Relationship Id="rId28" Type="http://schemas.openxmlformats.org/officeDocument/2006/relationships/image" Target="media/image11.emf"/><Relationship Id="rId49" Type="http://schemas.openxmlformats.org/officeDocument/2006/relationships/package" Target="embeddings/Microsoft_Visio_Drawing8.vsdx"/><Relationship Id="rId114" Type="http://schemas.openxmlformats.org/officeDocument/2006/relationships/image" Target="media/image65.emf"/><Relationship Id="rId60" Type="http://schemas.openxmlformats.org/officeDocument/2006/relationships/package" Target="embeddings/Microsoft_Visio_Drawing12.vsdx"/><Relationship Id="rId81" Type="http://schemas.openxmlformats.org/officeDocument/2006/relationships/image" Target="media/image46.emf"/><Relationship Id="rId135" Type="http://schemas.openxmlformats.org/officeDocument/2006/relationships/image" Target="media/image78.emf"/><Relationship Id="rId156" Type="http://schemas.openxmlformats.org/officeDocument/2006/relationships/image" Target="media/image90.emf"/><Relationship Id="rId177" Type="http://schemas.openxmlformats.org/officeDocument/2006/relationships/package" Target="embeddings/Microsoft_Visio_Drawing60.vsdx"/><Relationship Id="rId198" Type="http://schemas.openxmlformats.org/officeDocument/2006/relationships/image" Target="media/image115.png"/><Relationship Id="rId202" Type="http://schemas.openxmlformats.org/officeDocument/2006/relationships/package" Target="embeddings/Microsoft_Visio_Drawing67.vsdx"/><Relationship Id="rId223" Type="http://schemas.openxmlformats.org/officeDocument/2006/relationships/image" Target="media/image133.emf"/><Relationship Id="rId18" Type="http://schemas.openxmlformats.org/officeDocument/2006/relationships/image" Target="media/image8.emf"/><Relationship Id="rId39" Type="http://schemas.openxmlformats.org/officeDocument/2006/relationships/package" Target="embeddings/Microsoft_Visio_Drawing5.vsdx"/><Relationship Id="rId50" Type="http://schemas.openxmlformats.org/officeDocument/2006/relationships/image" Target="media/image25.emf"/><Relationship Id="rId104" Type="http://schemas.openxmlformats.org/officeDocument/2006/relationships/image" Target="media/image60.emf"/><Relationship Id="rId125" Type="http://schemas.openxmlformats.org/officeDocument/2006/relationships/image" Target="media/image72.emf"/><Relationship Id="rId146" Type="http://schemas.openxmlformats.org/officeDocument/2006/relationships/image" Target="media/image85.emf"/><Relationship Id="rId167" Type="http://schemas.openxmlformats.org/officeDocument/2006/relationships/package" Target="embeddings/Microsoft_Visio_Drawing55.vsdx"/><Relationship Id="rId188" Type="http://schemas.openxmlformats.org/officeDocument/2006/relationships/image" Target="media/image106.emf"/><Relationship Id="rId71" Type="http://schemas.openxmlformats.org/officeDocument/2006/relationships/image" Target="media/image40.emf"/><Relationship Id="rId92" Type="http://schemas.openxmlformats.org/officeDocument/2006/relationships/package" Target="embeddings/Microsoft_Visio_Drawing22.vsdx"/><Relationship Id="rId213" Type="http://schemas.openxmlformats.org/officeDocument/2006/relationships/image" Target="media/image125.png"/><Relationship Id="rId234" Type="http://schemas.openxmlformats.org/officeDocument/2006/relationships/image" Target="media/image142.png"/><Relationship Id="rId2" Type="http://schemas.openxmlformats.org/officeDocument/2006/relationships/numbering" Target="numbering.xml"/><Relationship Id="rId29" Type="http://schemas.openxmlformats.org/officeDocument/2006/relationships/oleObject" Target="embeddings/Microsoft_Visio_2003-2010_Drawing.vsd"/><Relationship Id="rId40" Type="http://schemas.openxmlformats.org/officeDocument/2006/relationships/image" Target="media/image18.png"/><Relationship Id="rId115" Type="http://schemas.openxmlformats.org/officeDocument/2006/relationships/package" Target="embeddings/Microsoft_Visio_Drawing33.vsdx"/><Relationship Id="rId136" Type="http://schemas.openxmlformats.org/officeDocument/2006/relationships/package" Target="embeddings/Microsoft_Visio_Drawing41.vsdx"/><Relationship Id="rId157" Type="http://schemas.openxmlformats.org/officeDocument/2006/relationships/package" Target="embeddings/Microsoft_Visio_Drawing50.vsdx"/><Relationship Id="rId178" Type="http://schemas.openxmlformats.org/officeDocument/2006/relationships/image" Target="media/image101.emf"/><Relationship Id="rId61" Type="http://schemas.openxmlformats.org/officeDocument/2006/relationships/image" Target="media/image32.emf"/><Relationship Id="rId82" Type="http://schemas.openxmlformats.org/officeDocument/2006/relationships/package" Target="embeddings/Microsoft_Visio_Drawing19.vsdx"/><Relationship Id="rId199" Type="http://schemas.openxmlformats.org/officeDocument/2006/relationships/image" Target="media/image116.png"/><Relationship Id="rId203" Type="http://schemas.openxmlformats.org/officeDocument/2006/relationships/image" Target="media/image119.emf"/><Relationship Id="rId19" Type="http://schemas.openxmlformats.org/officeDocument/2006/relationships/package" Target="embeddings/Microsoft_Visio_Drawing.vsdx"/><Relationship Id="rId224" Type="http://schemas.openxmlformats.org/officeDocument/2006/relationships/package" Target="embeddings/Microsoft_Visio_Drawing74.vsdx"/><Relationship Id="rId30" Type="http://schemas.openxmlformats.org/officeDocument/2006/relationships/hyperlink" Target="https://www.fiixsoftware.com/maintenance-strategies/reliability-centered-maintenance/" TargetMode="External"/><Relationship Id="rId105" Type="http://schemas.openxmlformats.org/officeDocument/2006/relationships/package" Target="embeddings/Microsoft_Visio_Drawing28.vsdx"/><Relationship Id="rId126" Type="http://schemas.openxmlformats.org/officeDocument/2006/relationships/package" Target="embeddings/Microsoft_Visio_Drawing37.vsdx"/><Relationship Id="rId147" Type="http://schemas.openxmlformats.org/officeDocument/2006/relationships/package" Target="embeddings/Microsoft_Visio_Drawing45.vsdx"/><Relationship Id="rId168" Type="http://schemas.openxmlformats.org/officeDocument/2006/relationships/image" Target="media/image96.emf"/><Relationship Id="rId51" Type="http://schemas.openxmlformats.org/officeDocument/2006/relationships/package" Target="embeddings/Microsoft_Visio_Drawing9.vsdx"/><Relationship Id="rId72" Type="http://schemas.openxmlformats.org/officeDocument/2006/relationships/package" Target="embeddings/Microsoft_Visio_Drawing15.vsdx"/><Relationship Id="rId93" Type="http://schemas.openxmlformats.org/officeDocument/2006/relationships/image" Target="media/image54.png"/><Relationship Id="rId189" Type="http://schemas.openxmlformats.org/officeDocument/2006/relationships/package" Target="embeddings/Microsoft_Visio_Drawing66.vsdx"/><Relationship Id="rId3" Type="http://schemas.openxmlformats.org/officeDocument/2006/relationships/styles" Target="styles.xml"/><Relationship Id="rId214" Type="http://schemas.openxmlformats.org/officeDocument/2006/relationships/image" Target="media/image126.png"/><Relationship Id="rId235" Type="http://schemas.openxmlformats.org/officeDocument/2006/relationships/image" Target="media/image143.png"/><Relationship Id="rId116" Type="http://schemas.openxmlformats.org/officeDocument/2006/relationships/image" Target="media/image66.png"/><Relationship Id="rId137" Type="http://schemas.openxmlformats.org/officeDocument/2006/relationships/image" Target="media/image79.emf"/><Relationship Id="rId158" Type="http://schemas.openxmlformats.org/officeDocument/2006/relationships/image" Target="media/image91.emf"/><Relationship Id="rId20" Type="http://schemas.openxmlformats.org/officeDocument/2006/relationships/image" Target="media/image9.emf"/><Relationship Id="rId41" Type="http://schemas.openxmlformats.org/officeDocument/2006/relationships/image" Target="media/image19.emf"/><Relationship Id="rId62" Type="http://schemas.openxmlformats.org/officeDocument/2006/relationships/image" Target="media/image33.emf"/><Relationship Id="rId83" Type="http://schemas.openxmlformats.org/officeDocument/2006/relationships/image" Target="media/image47.png"/><Relationship Id="rId179" Type="http://schemas.openxmlformats.org/officeDocument/2006/relationships/package" Target="embeddings/Microsoft_Visio_Drawing61.vs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Uwe08</b:Tag>
    <b:SourceType>JournalArticle</b:SourceType>
    <b:Guid>{42761B21-3751-4AF8-BE4B-85CB00E389EF}</b:Guid>
    <b:Author>
      <b:Author>
        <b:NameList>
          <b:Person>
            <b:Last>Dimitriadis</b:Last>
            <b:First>Uwe</b:First>
            <b:Middle>Kruger and Grigorios</b:Middle>
          </b:Person>
        </b:NameList>
      </b:Author>
    </b:Author>
    <b:Title>Diagnosis of process faults in chemical systems using a local partial least squares approach</b:Title>
    <b:JournalName>AIChE Journal</b:JournalName>
    <b:Year>2008</b:Year>
    <b:Pages>2581-2596</b:Pages>
    <b:Volume>54</b:Volume>
    <b:Issue>10</b:Issue>
    <b:RefOrder>1</b:RefOrder>
  </b:Source>
</b:Sources>
</file>

<file path=customXml/itemProps1.xml><?xml version="1.0" encoding="utf-8"?>
<ds:datastoreItem xmlns:ds="http://schemas.openxmlformats.org/officeDocument/2006/customXml" ds:itemID="{599D633F-DB9E-4CE8-8877-AB2C8A927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30053</TotalTime>
  <Pages>1</Pages>
  <Words>99256</Words>
  <Characters>565765</Characters>
  <Application>Microsoft Office Word</Application>
  <DocSecurity>0</DocSecurity>
  <Lines>4714</Lines>
  <Paragraphs>1327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Xiaochuan 29</dc:creator>
  <cp:keywords/>
  <dc:description/>
  <cp:lastModifiedBy>Guojin Feng</cp:lastModifiedBy>
  <cp:revision>1494</cp:revision>
  <cp:lastPrinted>2021-09-03T01:20:00Z</cp:lastPrinted>
  <dcterms:created xsi:type="dcterms:W3CDTF">2018-01-22T15:55:00Z</dcterms:created>
  <dcterms:modified xsi:type="dcterms:W3CDTF">2021-09-06T22:09:00Z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http://www.zotero.org/styles/control-engineering-practice</vt:lpwstr>
  </property>
  <property fmtid="{D5CDD505-2E9C-101B-9397-08002B2CF9AE}" pid="13" name="Mendeley Recent Style Name 5_1">
    <vt:lpwstr>Control Engineering Practice</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(author-date)</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7th edition</vt:lpwstr>
  </property>
  <property fmtid="{D5CDD505-2E9C-101B-9397-08002B2CF9AE}" pid="22" name="Mendeley Document_1">
    <vt:lpwstr>True</vt:lpwstr>
  </property>
  <property fmtid="{D5CDD505-2E9C-101B-9397-08002B2CF9AE}" pid="23" name="Mendeley Unique User Id_1">
    <vt:lpwstr>79ad8566-777f-3099-949f-dabdc612ec8c</vt:lpwstr>
  </property>
  <property fmtid="{D5CDD505-2E9C-101B-9397-08002B2CF9AE}" pid="24" name="Mendeley Citation Style_1">
    <vt:lpwstr>http://www.zotero.org/styles/ieee</vt:lpwstr>
  </property>
  <property fmtid="{D5CDD505-2E9C-101B-9397-08002B2CF9AE}" pid="25" name="ZOTERO_PREF_1">
    <vt:lpwstr>&lt;data data-version="3" zotero-version="5.0.96.2"&gt;&lt;session id="xAHsQwZ4"/&gt;&lt;style id="http://www.zotero.org/styles/ieee" locale="en-GB" hasBibliography="1" bibliographyStyleHasBeenSet="1"/&gt;&lt;prefs&gt;&lt;pref name="fieldType" value="Field"/&gt;&lt;pref name="automaticJo</vt:lpwstr>
  </property>
  <property fmtid="{D5CDD505-2E9C-101B-9397-08002B2CF9AE}" pid="26" name="ZOTERO_PREF_2">
    <vt:lpwstr>urnalAbbreviations" value="true"/&gt;&lt;pref name="dontAskDelayCitationUpdates" value="true"/&gt;&lt;/prefs&gt;&lt;/data&gt;</vt:lpwstr>
  </property>
</Properties>
</file>