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BB5" w:rsidRDefault="00C41F8F">
      <w:pPr>
        <w:pStyle w:val="Authornames"/>
        <w:rPr>
          <w:b/>
          <w:bCs/>
        </w:rPr>
      </w:pPr>
      <w:r>
        <w:rPr>
          <w:b/>
          <w:bCs/>
        </w:rPr>
        <w:t>An Analogical Study towards Constructing a BIM Climate-based Framework: A China Regional Case Study Approach</w:t>
      </w:r>
    </w:p>
    <w:p w:rsidR="002A0BB5" w:rsidRDefault="00C41F8F">
      <w:pPr>
        <w:pStyle w:val="Authornames"/>
        <w:rPr>
          <w:sz w:val="24"/>
          <w:vertAlign w:val="superscript"/>
        </w:rPr>
      </w:pPr>
      <w:r>
        <w:rPr>
          <w:sz w:val="24"/>
        </w:rPr>
        <w:t>Jie Xu</w:t>
      </w:r>
      <w:r>
        <w:rPr>
          <w:rStyle w:val="FootnoteReference"/>
          <w:sz w:val="24"/>
        </w:rPr>
        <w:footnoteReference w:id="1"/>
      </w:r>
      <w:r>
        <w:rPr>
          <w:sz w:val="24"/>
        </w:rPr>
        <w:t>, Ruoyu Jin</w:t>
      </w:r>
      <w:r>
        <w:rPr>
          <w:rStyle w:val="FootnoteReference"/>
          <w:sz w:val="24"/>
        </w:rPr>
        <w:footnoteReference w:id="2"/>
      </w:r>
      <w:r>
        <w:rPr>
          <w:sz w:val="24"/>
          <w:vertAlign w:val="superscript"/>
        </w:rPr>
        <w:t>,*</w:t>
      </w:r>
      <w:r>
        <w:rPr>
          <w:sz w:val="24"/>
        </w:rPr>
        <w:t xml:space="preserve">, </w:t>
      </w:r>
      <w:hyperlink r:id="rId9" w:history="1">
        <w:r>
          <w:rPr>
            <w:sz w:val="24"/>
          </w:rPr>
          <w:t>Poorang Piroozfar</w:t>
        </w:r>
      </w:hyperlink>
      <w:r>
        <w:rPr>
          <w:rStyle w:val="FootnoteReference"/>
          <w:sz w:val="24"/>
        </w:rPr>
        <w:footnoteReference w:id="3"/>
      </w:r>
      <w:r>
        <w:rPr>
          <w:sz w:val="24"/>
        </w:rPr>
        <w:t>, Yibin Wang</w:t>
      </w:r>
      <w:r>
        <w:rPr>
          <w:rStyle w:val="FootnoteReference"/>
          <w:sz w:val="24"/>
        </w:rPr>
        <w:footnoteReference w:id="4"/>
      </w:r>
      <w:r>
        <w:rPr>
          <w:sz w:val="24"/>
        </w:rPr>
        <w:t>, Byung-Gyoo Kang</w:t>
      </w:r>
      <w:r>
        <w:rPr>
          <w:rStyle w:val="FootnoteReference"/>
          <w:sz w:val="24"/>
        </w:rPr>
        <w:footnoteReference w:id="5"/>
      </w:r>
      <w:r>
        <w:rPr>
          <w:sz w:val="24"/>
        </w:rPr>
        <w:t>, Liang Ma</w:t>
      </w:r>
      <w:r>
        <w:rPr>
          <w:rStyle w:val="FootnoteReference"/>
          <w:sz w:val="24"/>
        </w:rPr>
        <w:footnoteReference w:id="6"/>
      </w:r>
      <w:r>
        <w:rPr>
          <w:sz w:val="24"/>
        </w:rPr>
        <w:t>, Dariusz Wanatowski</w:t>
      </w:r>
      <w:r>
        <w:rPr>
          <w:rStyle w:val="FootnoteReference"/>
          <w:sz w:val="24"/>
        </w:rPr>
        <w:footnoteReference w:id="7"/>
      </w:r>
      <w:r>
        <w:rPr>
          <w:sz w:val="24"/>
          <w:lang w:val="en-US"/>
        </w:rPr>
        <w:t xml:space="preserve">, </w:t>
      </w:r>
      <w:r>
        <w:rPr>
          <w:sz w:val="24"/>
        </w:rPr>
        <w:t>M.ASCE, Tong Yang</w:t>
      </w:r>
      <w:r>
        <w:rPr>
          <w:rStyle w:val="FootnoteReference"/>
          <w:sz w:val="24"/>
        </w:rPr>
        <w:footnoteReference w:id="8"/>
      </w:r>
    </w:p>
    <w:p w:rsidR="002A0BB5" w:rsidRDefault="00C41F8F">
      <w:pPr>
        <w:spacing w:after="0"/>
      </w:pPr>
      <w:r>
        <w:rPr>
          <w:b/>
          <w:sz w:val="28"/>
          <w:szCs w:val="28"/>
        </w:rPr>
        <w:t>Abstract</w:t>
      </w:r>
    </w:p>
    <w:p w:rsidR="002A0BB5" w:rsidRDefault="00C41F8F">
      <w:pPr>
        <w:pStyle w:val="Keywords"/>
        <w:spacing w:before="0" w:after="0" w:line="480" w:lineRule="auto"/>
        <w:ind w:left="0" w:right="-6"/>
        <w:jc w:val="both"/>
        <w:rPr>
          <w:sz w:val="24"/>
        </w:rPr>
      </w:pPr>
      <w:r>
        <w:rPr>
          <w:sz w:val="24"/>
        </w:rPr>
        <w:t xml:space="preserve">BIM has been undergoing continuous growth in the global architecture, engineering, and construction (i.e., AEC) industry. However, the knowledge development within BIM management is lagging behind its implementation. This study aimed to initiate the BIM management-based framework involving BIM climate, which was measured by individual BIM practitioners’ perceptions. Subgroup comparison was highlighted in measuring perceptions. Regional variance in BIM climate was addressed applying the framework by adopting an empirical case study within the context of China’s AEC industry. The case study adopted Shanghai and Wenzhou, which represented a BIM-leading metropolitan city and a BIM-developing counterpart respectively, for the comparative analysis of BIM climate. Based on data collected from the questionnaire survey sent to BIM practitioners from these two cities, it was revealed that Shanghai, as the BIM leading city in China had somewhat significant </w:t>
      </w:r>
      <w:r>
        <w:rPr>
          <w:sz w:val="24"/>
        </w:rPr>
        <w:lastRenderedPageBreak/>
        <w:t xml:space="preserve">differences in BIM climate compared to Wenzhou. For example, Shanghai BIM practitioners perceived less challenges in BIM training, but higher risk in adopting BIM technology. </w:t>
      </w:r>
      <w:r>
        <w:rPr>
          <w:sz w:val="24"/>
          <w:lang w:val="en-US"/>
        </w:rPr>
        <w:t xml:space="preserve">This study contributed to both academic work and practice in BIM based on its initiation of the concept of BIM climate and the case study of BIM climate comparison. </w:t>
      </w:r>
      <w:r>
        <w:rPr>
          <w:sz w:val="24"/>
        </w:rPr>
        <w:t xml:space="preserve">Scholarly, this holistic study proposed the BIM management-related knowledge framework </w:t>
      </w:r>
      <w:r>
        <w:rPr>
          <w:sz w:val="24"/>
          <w:lang w:val="en-US"/>
        </w:rPr>
        <w:t xml:space="preserve">aiming to fill the knowledge gap in BIM climate and culture, and it </w:t>
      </w:r>
      <w:r>
        <w:rPr>
          <w:sz w:val="24"/>
        </w:rPr>
        <w:t xml:space="preserve">could be further applied in sub-climate and sub-culture </w:t>
      </w:r>
      <w:r>
        <w:rPr>
          <w:sz w:val="24"/>
          <w:lang w:val="en-US"/>
        </w:rPr>
        <w:t>with</w:t>
      </w:r>
      <w:r>
        <w:rPr>
          <w:sz w:val="24"/>
        </w:rPr>
        <w:t xml:space="preserve">in BIM. Practically, the case study provided insights to stakeholders regarding regional variations in BIM climate when promoting BIM practice or establishing BIM guidelines.  </w:t>
      </w:r>
    </w:p>
    <w:p w:rsidR="002A0BB5" w:rsidRDefault="00C41F8F">
      <w:pPr>
        <w:pStyle w:val="Keywords"/>
        <w:spacing w:before="0" w:after="0" w:line="480" w:lineRule="auto"/>
        <w:ind w:left="0"/>
        <w:rPr>
          <w:sz w:val="24"/>
        </w:rPr>
      </w:pPr>
      <w:r>
        <w:rPr>
          <w:b/>
          <w:bCs/>
          <w:sz w:val="24"/>
        </w:rPr>
        <w:t xml:space="preserve">Keywords: </w:t>
      </w:r>
      <w:r>
        <w:rPr>
          <w:sz w:val="24"/>
        </w:rPr>
        <w:t>Building Information Modelling (BIM); Analogical study; BIM climate; Digital technologies; BIM Culture; BIM management.</w:t>
      </w:r>
    </w:p>
    <w:p w:rsidR="002A0BB5" w:rsidRDefault="00C41F8F">
      <w:pPr>
        <w:pStyle w:val="Heading1"/>
        <w:spacing w:before="0" w:after="0" w:line="480" w:lineRule="auto"/>
      </w:pPr>
      <w:r>
        <w:t xml:space="preserve">Introduction  </w:t>
      </w:r>
    </w:p>
    <w:p w:rsidR="002A0BB5" w:rsidRDefault="00C41F8F">
      <w:pPr>
        <w:spacing w:after="0"/>
        <w:jc w:val="both"/>
        <w:rPr>
          <w:lang w:val="en-US"/>
        </w:rPr>
      </w:pPr>
      <w:r>
        <w:t>Building information modelling (BIM), as the fast-growing digital technology worldwide, is undergoing increasing applications in the architecture, engineering, and construction (AEC) industry in developing countries such as China. Most</w:t>
      </w:r>
      <w:r>
        <w:rPr>
          <w:lang w:val="en-US"/>
        </w:rPr>
        <w:t xml:space="preserve"> influential studies in BIM have focused on </w:t>
      </w:r>
      <w:r>
        <w:t xml:space="preserve">its </w:t>
      </w:r>
      <w:r>
        <w:rPr>
          <w:lang w:val="en-US"/>
        </w:rPr>
        <w:t xml:space="preserve">application and implementation </w:t>
      </w:r>
      <w:r>
        <w:t>(Yalcinkaya and Singh,</w:t>
      </w:r>
      <w:r>
        <w:rPr>
          <w:lang w:val="en-US"/>
        </w:rPr>
        <w:t xml:space="preserve"> </w:t>
      </w:r>
      <w:r>
        <w:t>2015</w:t>
      </w:r>
      <w:r>
        <w:rPr>
          <w:lang w:val="en-US"/>
        </w:rPr>
        <w:t>). Management-based research (e.g., collaboration) in BIM have not received the attention that it deserves (Oraee et al., 2017), although it has been emphasized as a core research area (He et al., 2017). Unlike other more traditional project management (PM) areas, such as safety, which has its well-established management system (MS) that is strongly related to safety climate and safety culture (</w:t>
      </w:r>
      <w:r>
        <w:rPr>
          <w:rFonts w:eastAsia="SimSun"/>
          <w:lang w:val="en-US" w:eastAsia="zh-CN"/>
        </w:rPr>
        <w:t>Fernández-Muñiz et al., 2007</w:t>
      </w:r>
      <w:r>
        <w:rPr>
          <w:lang w:val="en-US"/>
        </w:rPr>
        <w:t xml:space="preserve">), BIM has not been fully developed within its own knowledge system. There is still insufficient development of BIM-related MS, as well as BIM-based climate and culture within AEC individuals or organizations. </w:t>
      </w:r>
      <w:r w:rsidRPr="00B74884">
        <w:rPr>
          <w:lang w:val="en-US"/>
        </w:rPr>
        <w:t xml:space="preserve">Most existing management-based studies in BIM focused on the industry, company or project levels (e.g., Said and Reginato, 2018) while disregarding the impact of perceptions at the individual level </w:t>
      </w:r>
      <w:r w:rsidRPr="00B74884">
        <w:rPr>
          <w:lang w:val="en-US"/>
        </w:rPr>
        <w:lastRenderedPageBreak/>
        <w:t>(Howard et al., 2017).</w:t>
      </w:r>
      <w:r>
        <w:rPr>
          <w:lang w:val="en-US"/>
        </w:rPr>
        <w:t xml:space="preserve"> Nevertheless, individuals’ perceptions would build the climate in PM areas such as safety (</w:t>
      </w:r>
      <w:r>
        <w:rPr>
          <w:rFonts w:eastAsia="SimSun"/>
          <w:lang w:val="en-US"/>
        </w:rPr>
        <w:t>National Occupational Research Agenda</w:t>
      </w:r>
      <w:r>
        <w:rPr>
          <w:rFonts w:eastAsia="SimSun"/>
        </w:rPr>
        <w:t xml:space="preserve"> or </w:t>
      </w:r>
      <w:r>
        <w:rPr>
          <w:lang w:val="en-US"/>
        </w:rPr>
        <w:t xml:space="preserve">NORA, 2008). Perceptions also have a direct effect on human behaviors (Dijksterhuis and Bargh 2001), which was identified by Lu et al. (2015) as a key issue in adopting information and communication technologies. </w:t>
      </w:r>
    </w:p>
    <w:p w:rsidR="002A0BB5" w:rsidRDefault="00C41F8F">
      <w:pPr>
        <w:pStyle w:val="Paragraph"/>
        <w:spacing w:before="0" w:after="0"/>
        <w:ind w:firstLine="426"/>
        <w:jc w:val="both"/>
        <w:rPr>
          <w:lang w:val="en-US"/>
        </w:rPr>
      </w:pPr>
      <w:r>
        <w:rPr>
          <w:lang w:val="en-US"/>
        </w:rPr>
        <w:t xml:space="preserve">These two PM areas, safety and BIM, although at their different development stages of MSs, share some consistent contents within </w:t>
      </w:r>
      <w:r>
        <w:t xml:space="preserve">their </w:t>
      </w:r>
      <w:r>
        <w:rPr>
          <w:lang w:val="en-US"/>
        </w:rPr>
        <w:t>knowledge bases. For example, individual perceptions (Cox and Flin, 2003; Howard et al., 2017) were both highlighted in the management of safety and BIM. Subgroup comparisons (Chen and Jin, 2015; Lee et al., 2015) were both indicated as key measurements for management within safety and BIM. Subgroup comparisons on perceptions of professionals from different regions</w:t>
      </w:r>
      <w:r>
        <w:t xml:space="preserve"> has been tested by</w:t>
      </w:r>
      <w:r>
        <w:rPr>
          <w:lang w:val="en-US"/>
        </w:rPr>
        <w:t xml:space="preserve"> Chen et al. (2013) in saf</w:t>
      </w:r>
      <w:r w:rsidRPr="00B74884">
        <w:rPr>
          <w:lang w:val="en-US"/>
        </w:rPr>
        <w:t>ety management. Applied in BIM management, regional comparison has not yet been fully conducted</w:t>
      </w:r>
      <w:r w:rsidRPr="00B74884">
        <w:t>, although it was</w:t>
      </w:r>
      <w:r w:rsidRPr="00B74884">
        <w:rPr>
          <w:lang w:val="en-US"/>
        </w:rPr>
        <w:t xml:space="preserve"> considered important by Jin et al. (2017b). Although comparisons of BIM adoption among countries (e.g., Lee and Yu, 2016) have been performed, there have been limited studies addressing the regional differences within the same country’s context (e.g., U.S., and China).   </w:t>
      </w:r>
    </w:p>
    <w:p w:rsidR="002A0BB5" w:rsidRDefault="00C41F8F">
      <w:pPr>
        <w:pStyle w:val="Newparagraph"/>
        <w:spacing w:after="0"/>
        <w:ind w:firstLine="426"/>
        <w:jc w:val="both"/>
      </w:pPr>
      <w:r>
        <w:t xml:space="preserve">As the giant AEC market, China has its own regional differences in BIM practice due to its large geographic spread (Jin et al., 2017b). However, most previous empirical studies of BIM (e.g., </w:t>
      </w:r>
      <w:r>
        <w:rPr>
          <w:rFonts w:eastAsia="SimSun"/>
        </w:rPr>
        <w:t>Sh</w:t>
      </w:r>
      <w:r>
        <w:rPr>
          <w:rFonts w:eastAsia="SimSun"/>
          <w:lang w:val="en-US"/>
        </w:rPr>
        <w:t xml:space="preserve">enzhen Exploration &amp; Design Association </w:t>
      </w:r>
      <w:r>
        <w:rPr>
          <w:rFonts w:eastAsia="SimSun"/>
          <w:lang w:eastAsia="zh-CN"/>
        </w:rPr>
        <w:t xml:space="preserve">or </w:t>
      </w:r>
      <w:r>
        <w:rPr>
          <w:rFonts w:eastAsia="SimSun"/>
          <w:lang w:val="en-US"/>
        </w:rPr>
        <w:t>SZEDA, 2013</w:t>
      </w:r>
      <w:r>
        <w:rPr>
          <w:rFonts w:eastAsia="SimSun"/>
        </w:rPr>
        <w:t>; Ding et al., 2015; Jin et al., 2017a</w:t>
      </w:r>
      <w:r>
        <w:rPr>
          <w:rFonts w:eastAsia="SimSun"/>
          <w:lang w:val="en-US"/>
        </w:rPr>
        <w:t>)</w:t>
      </w:r>
      <w:r>
        <w:rPr>
          <w:rFonts w:eastAsia="SimSun"/>
        </w:rPr>
        <w:t xml:space="preserve"> </w:t>
      </w:r>
      <w:r>
        <w:t>focused on BIM leading regions or cities in China. Insufficient work has been performed in investigating BIM c</w:t>
      </w:r>
      <w:r>
        <w:rPr>
          <w:lang w:val="en-US"/>
        </w:rPr>
        <w:t>limate</w:t>
      </w:r>
      <w:r>
        <w:t xml:space="preserve"> in less developed counterparts. For example, Shanghai and Wenzhou, two metropolitan cities about 450 km apart from each other in south-eastern part of China, though not geographically distant, have not been studied or compared of their own BIM climate. It remains unclear whether different BIM user experience levels would cause significant regional variations</w:t>
      </w:r>
      <w:r>
        <w:rPr>
          <w:lang w:val="en-US"/>
        </w:rPr>
        <w:t xml:space="preserve"> </w:t>
      </w:r>
      <w:r>
        <w:t>in BIM climate. In recent years, policy-makers from less BIM-</w:t>
      </w:r>
      <w:r>
        <w:lastRenderedPageBreak/>
        <w:t>developed regions or metropolitan cities (e.g., Wenzhou) have been working on promoting BIM practice. Researchers believe that  authorities from these less BIM developed metropolitan cities should have a better understanding of their home regions’ BIM climate before establishing local BIM guidelines or standards.  Since less BIM-developed regions represent the majority of China’s population and its AEC market revenue, there is an urgent need to investigate how these regions practice B</w:t>
      </w:r>
      <w:r>
        <w:rPr>
          <w:lang w:val="en-US"/>
        </w:rPr>
        <w:t>IM and</w:t>
      </w:r>
      <w:r>
        <w:t xml:space="preserve"> how AEC </w:t>
      </w:r>
      <w:r>
        <w:rPr>
          <w:lang w:val="en-US"/>
        </w:rPr>
        <w:t>individual</w:t>
      </w:r>
      <w:r>
        <w:t xml:space="preserve">s from these areas perceive BIM, compared to the few BIM-leading metropolitan cities or regions in China, such as Shanghai, Beijing, and Canton identified by </w:t>
      </w:r>
      <w:r>
        <w:rPr>
          <w:lang w:val="en-ZW"/>
        </w:rPr>
        <w:t>Jin et al. (2015)</w:t>
      </w:r>
      <w:r>
        <w:t xml:space="preserve">. </w:t>
      </w:r>
    </w:p>
    <w:p w:rsidR="002A0BB5" w:rsidRDefault="00C41F8F">
      <w:pPr>
        <w:pStyle w:val="Newparagraph"/>
        <w:spacing w:after="0"/>
        <w:ind w:firstLine="426"/>
        <w:jc w:val="both"/>
        <w:rPr>
          <w:color w:val="FF0000"/>
        </w:rPr>
      </w:pPr>
      <w:r>
        <w:t>T</w:t>
      </w:r>
      <w:r>
        <w:rPr>
          <w:lang w:val="en-US"/>
        </w:rPr>
        <w:t>hrough a holistic approach, t</w:t>
      </w:r>
      <w:r>
        <w:t>his</w:t>
      </w:r>
      <w:r>
        <w:rPr>
          <w:lang w:val="en-US"/>
        </w:rPr>
        <w:t xml:space="preserve"> </w:t>
      </w:r>
      <w:r>
        <w:t xml:space="preserve">study aimed to fill the current knowledge gap in BIM by </w:t>
      </w:r>
      <w:r>
        <w:rPr>
          <w:lang w:val="en-US"/>
        </w:rPr>
        <w:t>initiating the framework involving BIM climate defined by individual perception</w:t>
      </w:r>
      <w:r>
        <w:t>s</w:t>
      </w:r>
      <w:r>
        <w:rPr>
          <w:lang w:val="en-US"/>
        </w:rPr>
        <w:t xml:space="preserve"> </w:t>
      </w:r>
      <w:r>
        <w:t>in</w:t>
      </w:r>
      <w:r>
        <w:rPr>
          <w:lang w:val="en-US"/>
        </w:rPr>
        <w:t xml:space="preserve"> BIM management. The initiated framework was then applied within the context of China’s AEC market by adopting an empirical case study addressing the regional </w:t>
      </w:r>
      <w:r>
        <w:t>variation</w:t>
      </w:r>
      <w:r>
        <w:rPr>
          <w:lang w:val="en-US"/>
        </w:rPr>
        <w:t xml:space="preserve"> between two subgroup samples of BIM practitioners from two different metropolitan cities (i.e., </w:t>
      </w:r>
      <w:r>
        <w:t>Shanghai and Wenzhou)</w:t>
      </w:r>
      <w:r>
        <w:rPr>
          <w:lang w:val="en-US"/>
        </w:rPr>
        <w:t xml:space="preserve">.  </w:t>
      </w:r>
      <w:r>
        <w:t xml:space="preserve">BIM climate was measured in this study based on how AEC practitioners perceived benefits, factors impacting BIM’s successful application, challenges encountered in BIM implementation, as well as risks associated with BIM practice. The contribution of this study lies in that: </w:t>
      </w:r>
      <w:r w:rsidRPr="00B74884">
        <w:t xml:space="preserve">1) the knowledge framework involving BIM climate was initiated by proposing the new term (i.e., BIM climate); 2) the regional difference, as one of the subgroup categorization methods by extending the study of Jin et al. (2017a), was tested by an empirical case study; 3) practically, the comparative study between Shanghai and Wenzhou, representing the scenario of subgroup comparison between BIM-leading metropolitan cities and less BIM-developed counterparts within the same country, provides insights to policy-makers, AEC practitioners and other stakeholders when initiating new BIM standards or BIM-involved projects. Specifically, the BIM policy, guideline, or standards that have been adopted in China’s BIM leading metropolitan cities may need to be adapted or adjusted before </w:t>
      </w:r>
      <w:r w:rsidR="00147050" w:rsidRPr="00B74884">
        <w:t xml:space="preserve">their </w:t>
      </w:r>
      <w:r w:rsidR="00147050" w:rsidRPr="00B74884">
        <w:lastRenderedPageBreak/>
        <w:t>implementation</w:t>
      </w:r>
      <w:r w:rsidRPr="00B74884">
        <w:t xml:space="preserve"> in less BIM-mature counterparts considering the local BIM climate; 4) this initial framework could be further expanded in</w:t>
      </w:r>
      <w:r w:rsidR="00147050" w:rsidRPr="00B74884">
        <w:t>to</w:t>
      </w:r>
      <w:r w:rsidRPr="00B74884">
        <w:t xml:space="preserve"> future study from BIM climate to BIM culture within the organizational context</w:t>
      </w:r>
      <w:r w:rsidRPr="00B74884">
        <w:rPr>
          <w:lang w:val="en-US"/>
        </w:rPr>
        <w:t xml:space="preserve">.  </w:t>
      </w:r>
      <w:r w:rsidRPr="00B74884">
        <w:t xml:space="preserve">  </w:t>
      </w:r>
      <w:r>
        <w:rPr>
          <w:color w:val="FF0000"/>
        </w:rPr>
        <w:t xml:space="preserve">  </w:t>
      </w:r>
    </w:p>
    <w:p w:rsidR="002A0BB5" w:rsidRDefault="00C41F8F">
      <w:pPr>
        <w:pStyle w:val="Heading2"/>
        <w:spacing w:before="0" w:after="0" w:line="480" w:lineRule="auto"/>
        <w:rPr>
          <w:i w:val="0"/>
          <w:iCs w:val="0"/>
        </w:rPr>
      </w:pPr>
      <w:r>
        <w:rPr>
          <w:i w:val="0"/>
          <w:iCs w:val="0"/>
        </w:rPr>
        <w:t>Literature Review</w:t>
      </w:r>
    </w:p>
    <w:p w:rsidR="002A0BB5" w:rsidRDefault="00C41F8F">
      <w:pPr>
        <w:pStyle w:val="Heading2"/>
        <w:spacing w:before="0" w:after="0" w:line="480" w:lineRule="auto"/>
        <w:rPr>
          <w:lang w:val="en-US"/>
        </w:rPr>
      </w:pPr>
      <w:r>
        <w:t xml:space="preserve">Knowledge system within </w:t>
      </w:r>
      <w:r>
        <w:rPr>
          <w:lang w:val="en-US"/>
        </w:rPr>
        <w:t xml:space="preserve">BIM management </w:t>
      </w:r>
    </w:p>
    <w:p w:rsidR="002A0BB5" w:rsidRDefault="00C41F8F">
      <w:pPr>
        <w:pStyle w:val="Paragraph"/>
        <w:spacing w:before="0" w:after="0"/>
        <w:jc w:val="both"/>
        <w:rPr>
          <w:lang w:val="en-US"/>
        </w:rPr>
      </w:pPr>
      <w:r>
        <w:rPr>
          <w:lang w:val="en-US"/>
        </w:rPr>
        <w:t xml:space="preserve">A review of existing studies in both BIM and safety revealed that these two different PM areas are at different stages of knowledge system development. For example, these key terminologies within safety management, namely safety climate, safety culture, and safety management systems, have been widely applied in various studies (e.g., Fernández-Muñiz et al., 2007; Meliá et al., 2008; Jin and Chen, 2013). Safety climate was defined by Cox and Flin (1998) and NORA (2008) as workers’ perceptions of the role of safety in the workplace and their attitudes towards safety. Safety culture </w:t>
      </w:r>
      <w:r>
        <w:t>i</w:t>
      </w:r>
      <w:r>
        <w:rPr>
          <w:lang w:val="en-US"/>
        </w:rPr>
        <w:t>s organizational principles, norms, commitments, and values related to the operation of safety and health (NORA</w:t>
      </w:r>
      <w:r>
        <w:t>, 2008</w:t>
      </w:r>
      <w:r>
        <w:rPr>
          <w:lang w:val="en-US"/>
        </w:rPr>
        <w:t>), and is reflected in safety climate (Mearns et al., 2003). Similar terminologies within BIM management have not been fully developed or applied. However, comparing these two PM areas, highly similar measurement dimensions for both safety management and BIM management can be found, for example, individual perceptions in workplace (Cox and Flin, 1998; Lee et al., 2015;), perceptions of risks (Brown and Holmes, 1986; Jin et al., 2017b), and benefits or importance (Neal et al., 2000; Jin et al., 2017a). Besides, subgroup comparisons according to different categorization methods, such as professions (Zohar, 1980; Jin et al., 2017a), experience (Chen and Jin, 2013; Howard et al., 2017), and organization (Chen and Jin, 2015; Lee et</w:t>
      </w:r>
      <w:r>
        <w:t xml:space="preserve"> </w:t>
      </w:r>
      <w:r>
        <w:rPr>
          <w:lang w:val="en-US"/>
        </w:rPr>
        <w:t xml:space="preserve">al., 2015), can be found in both safety and BIM based management studies measuring individuals’ perceptions. Perceptions of safety could be different depending on these aforementioned subgroup factors, such as in the study of Chen and Jin (2013). Similarly, the views of BIM may also depend on individuals’ subgroup factors, such as job and perspective (Selçuk Çldlk et al., 2017). The management and </w:t>
      </w:r>
      <w:r>
        <w:rPr>
          <w:lang w:val="en-US"/>
        </w:rPr>
        <w:lastRenderedPageBreak/>
        <w:t xml:space="preserve">coordination in both safety and BIM involve and require the multi-party coordination such as specialty contractors (Chen and Jin, 2015; Hanna et al., 2014). Education and training have been both implemented aiming to promote safe behaviors and BIM actions (Chen and Jin, 2012; Sacks and Pikas, 2013). These similarities between the two different PM areas infer that certain knowledge-based terminologies could be tailored from safety management to BIM-related management.    </w:t>
      </w:r>
    </w:p>
    <w:p w:rsidR="002A0BB5" w:rsidRDefault="00C41F8F">
      <w:pPr>
        <w:pStyle w:val="Heading2"/>
        <w:spacing w:before="0" w:after="0" w:line="480" w:lineRule="auto"/>
      </w:pPr>
      <w:r>
        <w:t>Perceptions towards BIM implementation</w:t>
      </w:r>
    </w:p>
    <w:p w:rsidR="002A0BB5" w:rsidRPr="00B74884" w:rsidRDefault="00C41F8F">
      <w:pPr>
        <w:pStyle w:val="Paragraph"/>
        <w:spacing w:before="0" w:after="0"/>
        <w:jc w:val="both"/>
      </w:pPr>
      <w:r>
        <w:t xml:space="preserve">Perceptions towards BIM implementation can be generally categorized into benefits, factors influencing BIM practice, challenges, and risks in adopting BIM.  It has been recognized from previous studies regarding benefits brought by BIM adoption, including financial savings, 3D visualization, reduction of design errors and rework, a better understanding of the project, improved collaboration among stakeholders, and decreased project duration (Migilinskas et al., 2013; Ahn et al., 2015; </w:t>
      </w:r>
      <w:r>
        <w:rPr>
          <w:rFonts w:eastAsia="SimSun"/>
          <w:lang w:val="en-US" w:eastAsia="zh-CN"/>
        </w:rPr>
        <w:t>Poirier et al., 2017;</w:t>
      </w:r>
      <w:r w:rsidRPr="00B74884">
        <w:rPr>
          <w:rFonts w:eastAsia="SimSun"/>
          <w:lang w:val="en-US" w:eastAsia="zh-CN"/>
        </w:rPr>
        <w:t xml:space="preserve"> Gholizadeh et al., 2018</w:t>
      </w:r>
      <w:r w:rsidRPr="00B74884">
        <w:t>). To fully achieve these BIM benefits, several critical factors would play key roles in BIM implementation, including development of building information standards, planning and management, collaboration among project members, BIM expertise within project teams, legal issues relevant to BIM usage in the contract, project characteristics such as location, type and nature, budget (Race, 2012; Eadie et al., 2013; Cao et al., 2016; Papadonikolaki and Wamelink, 2017; Said and Reginato, 2018). During BIM implementation, multiple difficulties, challenges, and risks may be encountered, including but not limited to insufficient evaluation of BIM value,  resistance at higher management levels due to cultural resistance, lack of dem</w:t>
      </w:r>
      <w:r>
        <w:t>and from the client, lack of governmental policies or standards, high investment required; insufficient BIM training and education, organizational change and adjustment in management pattern, and insufficient understanding of BIM technology or practicability (He et al., 2012; Sackey et al., 2014; Tang et al., 2015</w:t>
      </w:r>
      <w:r w:rsidRPr="00B74884">
        <w:t xml:space="preserve">; Lee and Yu, 2016; Çıdık et al., 2017). Perceptions of risks associated in </w:t>
      </w:r>
      <w:r w:rsidRPr="00B74884">
        <w:lastRenderedPageBreak/>
        <w:t xml:space="preserve">implementing BIM due to these challenges were further investigated in multiple studies (e.g., Ahmad et al., 2018; Ham et al., 2018; Liao and Ai Lin Teo, 2018).  </w:t>
      </w:r>
    </w:p>
    <w:p w:rsidR="002A0BB5" w:rsidRPr="00B74884" w:rsidRDefault="00C41F8F">
      <w:pPr>
        <w:pStyle w:val="Heading2"/>
        <w:spacing w:before="0" w:after="0" w:line="480" w:lineRule="auto"/>
      </w:pPr>
      <w:r w:rsidRPr="00B74884">
        <w:t>BIM movement in China</w:t>
      </w:r>
    </w:p>
    <w:p w:rsidR="002A0BB5" w:rsidRDefault="00C41F8F">
      <w:pPr>
        <w:pStyle w:val="Paragraph"/>
        <w:spacing w:before="0" w:after="0"/>
        <w:jc w:val="both"/>
      </w:pPr>
      <w:r>
        <w:t>Although BIM movements in China has been facing problems such as the lack of well-developed standards and insufficient interoperability among project members (He et al., 2012), the governmental policies and industry standards announced in recent years would facilitate the increasing application of BIM in China’s AEC industry (Jin et al., 2017a). According to Jin et al. (2015), China’s BIM policy movement has undergone major steps since 2011, and more coherently since publishing the first BIM standard in 2012, then setting out the strategic objectives of BIM adoption in 2013, and proposing the BIM application crossing the whole project life cycle in 2014. As one of the few fore-runner metropolitan cities in BIM practice, Shanghai Municipal People’s Government (2014) published the strategic objectives of promoting BIM application in Shanghai, mandating that government-funded projects must adopt BIM starting from 2017. Shanghai Housing and Urban-Rural Construction and Management Committee (SHURCMC, 2017) revealed that during 2016, 29% of new AEC projects in Shanghai had adopted BIM, and 32% of Shanghai-based AEC firms have achieved a higher maturity level of BIM implementation compared to the rest competitors in the local AEC market. The Committee further concluded that Shanghai had been in the leading level of BIM implementation in China. In contrast to Shanghai, other municipalities in China (e.g., Chongqing), was reported by</w:t>
      </w:r>
      <w:r w:rsidR="00367FB4">
        <w:t xml:space="preserve"> </w:t>
      </w:r>
      <w:bookmarkStart w:id="0" w:name="_GoBack"/>
      <w:bookmarkEnd w:id="0"/>
      <w:r>
        <w:t>Ministry of Housing and Urban-Rural Development (MHURD) of China (2017) as one of the three regions without any BIM-involved construction projects in the second quarter of 2017.</w:t>
      </w:r>
    </w:p>
    <w:p w:rsidR="002A0BB5" w:rsidRDefault="00C41F8F">
      <w:pPr>
        <w:pStyle w:val="Paragraph"/>
        <w:spacing w:before="0" w:after="0"/>
        <w:rPr>
          <w:b/>
          <w:bCs/>
        </w:rPr>
      </w:pPr>
      <w:r>
        <w:rPr>
          <w:b/>
          <w:bCs/>
        </w:rPr>
        <w:t>Research Design</w:t>
      </w:r>
    </w:p>
    <w:p w:rsidR="002A0BB5" w:rsidRDefault="00C41F8F">
      <w:pPr>
        <w:pStyle w:val="Paragraph"/>
        <w:spacing w:before="0" w:after="0"/>
        <w:ind w:firstLine="426"/>
        <w:jc w:val="both"/>
      </w:pPr>
      <w:r w:rsidRPr="00B74884">
        <w:t xml:space="preserve">A review of these existing studies related to BIM perceptions revealed that most of them have focused on the project or organizational level in </w:t>
      </w:r>
      <w:r w:rsidR="00740372" w:rsidRPr="00B74884">
        <w:t>perceiving BIM as both</w:t>
      </w:r>
      <w:r w:rsidRPr="00B74884">
        <w:t xml:space="preserve"> technological </w:t>
      </w:r>
      <w:r w:rsidRPr="00B74884">
        <w:lastRenderedPageBreak/>
        <w:t xml:space="preserve">innovation and managerial challenge (e.g., Ahmed et al., 2018; Ham et al. 2018; Said and Reginato, 2018), but without addressing </w:t>
      </w:r>
      <w:r w:rsidR="00B90941" w:rsidRPr="00B74884">
        <w:t xml:space="preserve">sufficiently </w:t>
      </w:r>
      <w:r w:rsidRPr="00B74884">
        <w:t>the individual practitioners’ perceptions. Although further studies have expanded from project or organization BIM perception to the individual level (e.g., Howard et al., 2017; Jin et al., 2017a), there are more influencin</w:t>
      </w:r>
      <w:r w:rsidR="00740372" w:rsidRPr="00B74884">
        <w:t>g factors to be addressed in</w:t>
      </w:r>
      <w:r w:rsidRPr="00B74884">
        <w:t xml:space="preserve"> individual perceptions, such as regional difference proposed by Jin et al. (2017b). Overall, these earlier studies have not significantly contributed to the body of knowledge regarding the individual human factors in successful BIM implementation. The the design of this research was based on the individual perceptions of BIM practice by incorporating regional comparison. The rationale </w:t>
      </w:r>
      <w:r w:rsidR="00195F44" w:rsidRPr="00B74884">
        <w:t>for</w:t>
      </w:r>
      <w:r w:rsidRPr="00B74884">
        <w:t xml:space="preserve"> addressing the regional comparison based on individual perceptions of BIM practic</w:t>
      </w:r>
      <w:r>
        <w:t xml:space="preserve">e lie in: 1) contributing to the body of knowledge in managerial BIM by proposing BIM climate; 2) introducing the regional gap as an influencing BIM management stimulator (e.g., regional policy and guideline development); and 3) serving as the theoretical guide for future research by applying the developed BIM knowledge framework to other large construction markets (e.g., India and Vietnam). Both BIM and safety have relied on or refer to the concept of management as a substantial factor; BIM rather as a management tool and safety as an issue to be managed. More importantly both of them have the human factor (referred to as ‘people’ hereafter in the interest of better flow of argument and convenience) at their core with a major difference. While safety is determined (achieved or otherwise breached) due to people’s behaviors/actions, its potential impact on people (and their personal and professional lives) is indisputable and probably far more substantial with more long-lasting effects. BIM by slight contrast is highly dependent on people and their attitudes towards it as to how seriously/fundamentally or otherwise they take it on board, commit to or comply with its preliminaries, processes, requirements and changes it entails in the working culture and working ethos in the AEC industry. It will of course have some reciprocal impact on people, their professional practice and other aspects overarching personal </w:t>
      </w:r>
      <w:r>
        <w:lastRenderedPageBreak/>
        <w:t xml:space="preserve">to interpersonal and organisational culture, in return. </w:t>
      </w:r>
    </w:p>
    <w:p w:rsidR="002A0BB5" w:rsidRDefault="00C41F8F">
      <w:pPr>
        <w:pStyle w:val="Newparagraph"/>
        <w:spacing w:after="0"/>
        <w:ind w:firstLine="426"/>
        <w:jc w:val="both"/>
      </w:pPr>
      <w:r>
        <w:t>When it comes to interrelationship between BIM and safety, this link is one way meaning that the research suggesting BIM can and/or will have an impact on safety is not few and far between (e.g., Park and Kim, 2013; Zhang, et. al, 2013; Riaz, et. al, 2014; Zhang, et. al, 2015a; Zhang, et. al, 2015b; Ding, et. al, 2016; Kim, et. al, 2016; Malekitabar, et. al, 2016; Martínez-Aires, et. al, 2018) among many others), but there is almost nothing to suggest the other way round. This research aims to lay the foundation for reciprocation of this one way interrelationship between BIM and safety by suggesting that what has been trialled (and to a very reasonable extent proven to be credible) in safety may be applicable to BIM to suggest a similar context (i.e. climate) for BIM, like what it is in safety. This has been the working hypothesis of this study building upon a ‘testing theory’ approach in this paper and is yet subject to further investigation in the future. However, in the meantime it remains to be a potentially valid theory under development. Fig.1 illustrates the rationale behind the research design for this study.</w:t>
      </w:r>
    </w:p>
    <w:p w:rsidR="002A0BB5" w:rsidRDefault="00C41F8F">
      <w:pPr>
        <w:pStyle w:val="Newparagraph"/>
        <w:spacing w:after="0"/>
        <w:ind w:firstLine="0"/>
        <w:jc w:val="center"/>
        <w:rPr>
          <w:lang w:val="en-US"/>
        </w:rPr>
      </w:pPr>
      <w:r>
        <w:rPr>
          <w:lang w:val="en-US"/>
        </w:rPr>
        <w:t>&lt;Insert Fig.1.&gt;</w:t>
      </w:r>
    </w:p>
    <w:p w:rsidR="002A0BB5" w:rsidRDefault="00C41F8F">
      <w:pPr>
        <w:pStyle w:val="Paragraph"/>
        <w:spacing w:before="0" w:after="0"/>
        <w:rPr>
          <w:b/>
          <w:bCs/>
        </w:rPr>
      </w:pPr>
      <w:r>
        <w:rPr>
          <w:b/>
          <w:bCs/>
        </w:rPr>
        <w:t>Methodology</w:t>
      </w:r>
    </w:p>
    <w:p w:rsidR="002A0BB5" w:rsidRDefault="00C41F8F">
      <w:pPr>
        <w:pStyle w:val="Newparagraph"/>
        <w:spacing w:after="0"/>
        <w:ind w:firstLine="0"/>
        <w:jc w:val="both"/>
      </w:pPr>
      <w:r>
        <w:t>B</w:t>
      </w:r>
      <w:r>
        <w:rPr>
          <w:lang w:val="en-US"/>
        </w:rPr>
        <w:t>ased on a thorough literature review of BIM management-based studies</w:t>
      </w:r>
      <w:r>
        <w:t xml:space="preserve"> and tailoring the culture/climate theories from safety management into BIM management, t</w:t>
      </w:r>
      <w:r>
        <w:rPr>
          <w:lang w:val="en-US"/>
        </w:rPr>
        <w:t xml:space="preserve">he research </w:t>
      </w:r>
      <w:r>
        <w:t>first</w:t>
      </w:r>
      <w:r>
        <w:rPr>
          <w:lang w:val="en-US"/>
        </w:rPr>
        <w:t xml:space="preserve"> propos</w:t>
      </w:r>
      <w:r>
        <w:t>ed</w:t>
      </w:r>
      <w:r>
        <w:rPr>
          <w:lang w:val="en-US"/>
        </w:rPr>
        <w:t xml:space="preserve"> a theoretical framework </w:t>
      </w:r>
      <w:r>
        <w:t>demonstrating how individual BIM practitioners’ perceptions would contribute to BIM climate, which would further reflect the BIM culture.</w:t>
      </w:r>
      <w:r>
        <w:rPr>
          <w:lang w:val="en-US"/>
        </w:rPr>
        <w:t xml:space="preserve"> </w:t>
      </w:r>
      <w:r>
        <w:t xml:space="preserve">The framework linking individual perceptions to climate and culture mapped the knowledge base from safety to BIM by aligning measurement dimensions (e.g., workplace perceptions) between these two </w:t>
      </w:r>
      <w:r>
        <w:rPr>
          <w:lang w:val="en-US"/>
        </w:rPr>
        <w:t>management</w:t>
      </w:r>
      <w:r>
        <w:t xml:space="preserve"> systems. The workflow of this study can be illustrated in Fig.2.</w:t>
      </w:r>
    </w:p>
    <w:p w:rsidR="002A0BB5" w:rsidRDefault="00C41F8F">
      <w:pPr>
        <w:pStyle w:val="Newparagraph"/>
        <w:spacing w:after="0"/>
        <w:ind w:firstLine="0"/>
        <w:jc w:val="center"/>
        <w:rPr>
          <w:lang w:val="en-US"/>
        </w:rPr>
      </w:pPr>
      <w:r>
        <w:rPr>
          <w:lang w:val="en-US"/>
        </w:rPr>
        <w:t>&lt;Insert Fig.2.&gt;</w:t>
      </w:r>
    </w:p>
    <w:p w:rsidR="002A0BB5" w:rsidRDefault="00C41F8F">
      <w:pPr>
        <w:pStyle w:val="Paragraph"/>
        <w:spacing w:before="0" w:after="0"/>
        <w:ind w:firstLine="426"/>
        <w:jc w:val="both"/>
      </w:pPr>
      <w:r>
        <w:t xml:space="preserve">In the framework involving BIM climate illustrated in Fig.2, subgroup comparisons (e.g., </w:t>
      </w:r>
      <w:r>
        <w:lastRenderedPageBreak/>
        <w:t xml:space="preserve">employees from different professions or regions) were highlighted and formed the holistic picture of both safety and BIM </w:t>
      </w:r>
      <w:r>
        <w:rPr>
          <w:lang w:val="en-US"/>
        </w:rPr>
        <w:t xml:space="preserve">management </w:t>
      </w:r>
      <w:r>
        <w:t>systems. The establishment of the initial framework in BIM management would hence be linked to testing subgroup variations. Continued from the subgroup tests conducted by Jin et al (2017a) and Jin et al (2017b), the follow-up research adopted an empirical case study by investigating regional variations of BIM-related individual perceptions. The case study was based on the regional comparison in terms of individual perceptions towards BIM implementation between two samples from Shanghai and Wenzhou, which were two metropolitan cities in China. Shanghai has been identified by multiple sources (e.g., Jin et al., 2015; SHURCMC, 2017) as one major BIM-leading metropolitan city. Wenzhou</w:t>
      </w:r>
      <w:r>
        <w:rPr>
          <w:lang w:val="en-US"/>
        </w:rPr>
        <w:t xml:space="preserve"> was chosen as the </w:t>
      </w:r>
      <w:r>
        <w:t>other sample</w:t>
      </w:r>
      <w:r>
        <w:rPr>
          <w:lang w:val="en-US"/>
        </w:rPr>
        <w:t xml:space="preserve"> in th</w:t>
      </w:r>
      <w:r>
        <w:t>e case</w:t>
      </w:r>
      <w:r>
        <w:rPr>
          <w:lang w:val="en-US"/>
        </w:rPr>
        <w:t xml:space="preserve"> study to represent the less BIM developed metropolitan cities, based on the fact that BIM has been gaining some early-stage applications in a few pilot projects in </w:t>
      </w:r>
      <w:r>
        <w:t>Wenzhou</w:t>
      </w:r>
      <w:r>
        <w:rPr>
          <w:lang w:val="en-US"/>
        </w:rPr>
        <w:t xml:space="preserve"> in recent two years. A few large AEC firms in Wenzhou has been actively implementing BIM in their new projects. The research team’s earlier pilot studies also indicated that both AEC practitioners and the governmental authority ha</w:t>
      </w:r>
      <w:r>
        <w:t>ve been working</w:t>
      </w:r>
      <w:r>
        <w:rPr>
          <w:lang w:val="en-US"/>
        </w:rPr>
        <w:t xml:space="preserve"> </w:t>
      </w:r>
      <w:r>
        <w:t>o</w:t>
      </w:r>
      <w:r>
        <w:rPr>
          <w:lang w:val="en-US"/>
        </w:rPr>
        <w:t xml:space="preserve">n promoting BIM usage in order to enhance the adoption of digital technologies in </w:t>
      </w:r>
      <w:r>
        <w:t>Wenzhou</w:t>
      </w:r>
      <w:r>
        <w:rPr>
          <w:lang w:val="en-US"/>
        </w:rPr>
        <w:t xml:space="preserve">’s AEC market. </w:t>
      </w:r>
      <w:r>
        <w:t xml:space="preserve">However, the local BIM climate in less BIM-developed regions (e.g., Wenzhou) has not been studied. Therefore, the two samples (i.e., Shanghai and Wenzhou) were selected to represent a BIM-developed region and a BIM-developing region in this case study to fulfil the </w:t>
      </w:r>
      <w:r>
        <w:rPr>
          <w:lang w:val="en-US"/>
        </w:rPr>
        <w:t xml:space="preserve">regional variation factor within the </w:t>
      </w:r>
      <w:r>
        <w:t>initiated</w:t>
      </w:r>
      <w:r>
        <w:rPr>
          <w:lang w:val="en-US"/>
        </w:rPr>
        <w:t xml:space="preserve"> framework </w:t>
      </w:r>
      <w:r>
        <w:t>in Fig.3</w:t>
      </w:r>
      <w:r>
        <w:rPr>
          <w:lang w:val="en-US"/>
        </w:rPr>
        <w:t xml:space="preserve">. The researchers also believed that comparison between the two metropolitan cities would provide the big picture of the similarities and differences in the BIM climate between BIM leading </w:t>
      </w:r>
      <w:r>
        <w:t>region</w:t>
      </w:r>
      <w:r>
        <w:rPr>
          <w:lang w:val="en-US"/>
        </w:rPr>
        <w:t xml:space="preserve">s and less mature counterparts. </w:t>
      </w:r>
    </w:p>
    <w:p w:rsidR="002A0BB5" w:rsidRDefault="00C41F8F">
      <w:pPr>
        <w:pStyle w:val="Newparagraph"/>
        <w:spacing w:after="0"/>
        <w:ind w:firstLine="426"/>
        <w:jc w:val="both"/>
      </w:pPr>
      <w:r>
        <w:t>According to Fig.2, a questionnaire survey based approach was adopted in t</w:t>
      </w:r>
      <w:r>
        <w:rPr>
          <w:lang w:val="en-US"/>
        </w:rPr>
        <w:t>he case</w:t>
      </w:r>
      <w:r>
        <w:t xml:space="preserve"> study to collect information regarding individual perceptions towards BIM implementation among AEC practitioners from Shanghai and Wenzhou. Questionnaire survey has been adopted in </w:t>
      </w:r>
      <w:r>
        <w:lastRenderedPageBreak/>
        <w:t xml:space="preserve">BIM perception-related studies (e.g., Ding et al., 2015; Cao et al., 2016). A follow-up comparative statistical analysis was conducted to investigate the consistencies and differences in BIM climate between Shanghai and Wenzhou. </w:t>
      </w:r>
    </w:p>
    <w:p w:rsidR="002A0BB5" w:rsidRDefault="00C41F8F">
      <w:pPr>
        <w:pStyle w:val="Paragraph"/>
        <w:spacing w:before="0" w:after="0"/>
        <w:rPr>
          <w:rFonts w:cs="Arial"/>
          <w:b/>
          <w:bCs/>
          <w:i/>
          <w:iCs/>
        </w:rPr>
      </w:pPr>
      <w:r>
        <w:rPr>
          <w:rFonts w:cs="Arial"/>
          <w:b/>
          <w:bCs/>
          <w:i/>
          <w:iCs/>
        </w:rPr>
        <w:t>Questionnaire survey</w:t>
      </w:r>
    </w:p>
    <w:p w:rsidR="002A0BB5" w:rsidRDefault="00C41F8F">
      <w:pPr>
        <w:pStyle w:val="Newparagraph"/>
        <w:spacing w:after="0"/>
        <w:ind w:firstLine="0"/>
        <w:jc w:val="both"/>
      </w:pPr>
      <w:r>
        <w:t xml:space="preserve">The questionnaire was used with two major types of questions (i.e., multiple-choice and Likert-scale). These questions were divided into two sections as can be seen in the Appendix. The first question in Part A was to ensure participants worked in Shanghai or Wenzhou metropolitan areas. Those who did not work in Shanghai or Wenzhou were excluded from the survey sample. The remaining questions in Part A focused on the professional background of survey participants, including their profession, years of using BIM, and types of BIM software tools being adopted by them. Part B of the questionnaire investigated perceptions of survey participants towards the benefits of adopting BIM, factors impacting BIM application, challenges encountered in BIM implementation, and risks associated with implementing BIM. The survey data collection approach was consistent as that in Cao et al. (2016). The questionnaire was peer-reviewed by AEC industry professionals in Shanghai and Wenzhou and finalized in mid-June 2017. </w:t>
      </w:r>
    </w:p>
    <w:p w:rsidR="002A0BB5" w:rsidRDefault="00C41F8F">
      <w:pPr>
        <w:pStyle w:val="Paragraph"/>
        <w:spacing w:before="0" w:after="0"/>
        <w:rPr>
          <w:rFonts w:cs="Arial"/>
          <w:b/>
          <w:bCs/>
          <w:i/>
          <w:iCs/>
        </w:rPr>
      </w:pPr>
      <w:r>
        <w:rPr>
          <w:rFonts w:cs="Arial"/>
          <w:b/>
          <w:bCs/>
          <w:i/>
          <w:iCs/>
        </w:rPr>
        <w:t>Sampling</w:t>
      </w:r>
    </w:p>
    <w:p w:rsidR="002A0BB5" w:rsidRDefault="00C41F8F">
      <w:pPr>
        <w:pStyle w:val="Newparagraph"/>
        <w:spacing w:after="0"/>
        <w:ind w:firstLine="0"/>
        <w:jc w:val="both"/>
      </w:pPr>
      <w:r>
        <w:t xml:space="preserve">Between July and August in 2017, the research team delivered the anonymous questionnaires in both Shanghai and Wenzhou through local BIM related networking events such as workshops and seminars. The research team also visited local major AEC firms that were known for actively implementing BIM to collect more questionnaires from these firms’ employees. The sampling strategy in this research leaned towards purposive sampling, but did not intend to construct the sample size to ensure a more desirable outcome. Therefore, as the samples were picked up in specialized BIM communities and practices in both cities where BIM enthusiastic professionals were expected to attend, the sampling was not stratified any </w:t>
      </w:r>
      <w:r>
        <w:lastRenderedPageBreak/>
        <w:t xml:space="preserve">further. The fact of the matter was that Shanghai samples were significantly more experienced compared with Wenzhou samples and this was a fair representative of the population in corresponding cities. All BIM capable companies in Wenzhou were present in the sampling event, no further pool could be targeted for data collection. Manipulation of samples was strictly avoided because otherwise this would have potentially biased the construct of the sample, structuring an unrepresentative sample of the population which would have distorted the findings.          </w:t>
      </w:r>
    </w:p>
    <w:p w:rsidR="002A0BB5" w:rsidRDefault="00C41F8F">
      <w:pPr>
        <w:pStyle w:val="Paragraph"/>
        <w:spacing w:before="0" w:after="0"/>
        <w:rPr>
          <w:rFonts w:cs="Arial"/>
          <w:b/>
          <w:bCs/>
          <w:i/>
          <w:iCs/>
        </w:rPr>
      </w:pPr>
      <w:r>
        <w:rPr>
          <w:rFonts w:cs="Arial"/>
          <w:b/>
          <w:bCs/>
          <w:i/>
          <w:iCs/>
        </w:rPr>
        <w:t xml:space="preserve">Statistical analysis </w:t>
      </w:r>
    </w:p>
    <w:p w:rsidR="002A0BB5" w:rsidRDefault="00C41F8F">
      <w:pPr>
        <w:pStyle w:val="Newparagraph"/>
        <w:spacing w:after="0"/>
        <w:ind w:firstLine="0"/>
      </w:pPr>
      <w:r>
        <w:t xml:space="preserve">Three major types of statistical methods were adopted in the comparative study, namely Chi-squared test, </w:t>
      </w:r>
      <w:r>
        <w:rPr>
          <w:i/>
        </w:rPr>
        <w:t>RII</w:t>
      </w:r>
      <w:r>
        <w:t xml:space="preserve"> analysis, and the two-sample </w:t>
      </w:r>
      <w:r>
        <w:rPr>
          <w:i/>
        </w:rPr>
        <w:t>t</w:t>
      </w:r>
      <w:r>
        <w:t xml:space="preserve">-test. </w:t>
      </w:r>
    </w:p>
    <w:p w:rsidR="002A0BB5" w:rsidRDefault="00C41F8F">
      <w:pPr>
        <w:pStyle w:val="Heading2"/>
        <w:spacing w:before="0" w:after="0" w:line="480" w:lineRule="auto"/>
        <w:rPr>
          <w:b w:val="0"/>
          <w:iCs w:val="0"/>
          <w:szCs w:val="24"/>
          <w:lang w:val="en-US"/>
        </w:rPr>
      </w:pPr>
      <w:r>
        <w:rPr>
          <w:b w:val="0"/>
          <w:iCs w:val="0"/>
          <w:szCs w:val="24"/>
        </w:rPr>
        <w:t>Chi-square</w:t>
      </w:r>
      <w:r>
        <w:rPr>
          <w:b w:val="0"/>
          <w:iCs w:val="0"/>
          <w:szCs w:val="24"/>
          <w:lang w:val="en-US"/>
        </w:rPr>
        <w:t xml:space="preserve"> test</w:t>
      </w:r>
    </w:p>
    <w:p w:rsidR="002A0BB5" w:rsidRDefault="00C41F8F">
      <w:pPr>
        <w:pStyle w:val="Newparagraph"/>
        <w:spacing w:after="0"/>
        <w:ind w:firstLine="0"/>
        <w:jc w:val="both"/>
      </w:pPr>
      <w:r>
        <w:t xml:space="preserve">For multi-choice questions, including those related to types of BIM software tools being used, perceptions towards project parties benefited from BIM, as well as risks associated with BIM implementation, the Chi-Square test of independence described in Johnson (2005) was adopted to study the consistency of survey participants between Shanghai and Wenzhou. The Chi-square values and corresponding </w:t>
      </w:r>
      <w:r>
        <w:rPr>
          <w:i/>
        </w:rPr>
        <w:t>p</w:t>
      </w:r>
      <w:r>
        <w:t xml:space="preserve"> values were computed following the procedure recommended by Campbell (2007) and Richardson (2011). Based on a </w:t>
      </w:r>
      <w:r>
        <w:rPr>
          <w:i/>
          <w:iCs/>
        </w:rPr>
        <w:t>5%</w:t>
      </w:r>
      <w:r>
        <w:t xml:space="preserve"> level of significance and the null hypothesis that Shanghai and Wenzhou participants had consistent percentages of choosing the given question item related to BIM, a </w:t>
      </w:r>
      <w:r>
        <w:rPr>
          <w:i/>
        </w:rPr>
        <w:t>p</w:t>
      </w:r>
      <w:r>
        <w:t xml:space="preserve"> value lower than </w:t>
      </w:r>
      <w:r>
        <w:rPr>
          <w:i/>
          <w:iCs/>
        </w:rPr>
        <w:t>0.05</w:t>
      </w:r>
      <w:r>
        <w:t xml:space="preserve"> would reject the null hypothesis and suggest statistically different percentages between Shanghai and Wenzhou participants in selecting the given item.   </w:t>
      </w:r>
    </w:p>
    <w:p w:rsidR="002A0BB5" w:rsidRDefault="00C41F8F">
      <w:pPr>
        <w:pStyle w:val="Heading2"/>
        <w:spacing w:before="0" w:after="0" w:line="480" w:lineRule="auto"/>
        <w:rPr>
          <w:b w:val="0"/>
          <w:iCs w:val="0"/>
          <w:szCs w:val="24"/>
        </w:rPr>
      </w:pPr>
      <w:r>
        <w:rPr>
          <w:b w:val="0"/>
          <w:iCs w:val="0"/>
          <w:szCs w:val="24"/>
        </w:rPr>
        <w:t>RII</w:t>
      </w:r>
    </w:p>
    <w:p w:rsidR="002A0BB5" w:rsidRDefault="00C41F8F">
      <w:pPr>
        <w:pStyle w:val="Paragraph"/>
        <w:spacing w:before="0" w:after="0"/>
        <w:jc w:val="both"/>
        <w:rPr>
          <w:rFonts w:eastAsia="SimSun"/>
          <w:lang w:eastAsia="zh-CN"/>
        </w:rPr>
      </w:pPr>
      <w:r>
        <w:rPr>
          <w:rFonts w:eastAsia="SimSun"/>
          <w:lang w:eastAsia="en-US"/>
        </w:rPr>
        <w:t xml:space="preserve">For Likert scale questions related to BIM benefits, factors affecting BIM practice, and difficulties encountered in BIM implementation, the </w:t>
      </w:r>
      <w:r>
        <w:rPr>
          <w:rFonts w:eastAsia="SimSun"/>
          <w:lang w:val="en-US" w:eastAsia="zh-CN" w:bidi="ar"/>
        </w:rPr>
        <w:t>Relative Importance Index (</w:t>
      </w:r>
      <w:r>
        <w:rPr>
          <w:rFonts w:eastAsia="SimSun"/>
          <w:i/>
          <w:lang w:val="en-US" w:eastAsia="zh-CN" w:bidi="ar"/>
        </w:rPr>
        <w:t>RII</w:t>
      </w:r>
      <w:r>
        <w:rPr>
          <w:rFonts w:eastAsia="SimSun"/>
          <w:lang w:val="en-US" w:eastAsia="zh-CN" w:bidi="ar"/>
        </w:rPr>
        <w:t>)</w:t>
      </w:r>
      <w:r>
        <w:rPr>
          <w:rFonts w:eastAsia="SimSun"/>
          <w:lang w:eastAsia="zh-CN" w:bidi="ar"/>
        </w:rPr>
        <w:t xml:space="preserve"> was adopted to rank multiple items within each question. The </w:t>
      </w:r>
      <w:r>
        <w:rPr>
          <w:rFonts w:eastAsia="SimSun"/>
          <w:i/>
          <w:iCs/>
          <w:lang w:eastAsia="zh-CN" w:bidi="ar"/>
        </w:rPr>
        <w:t>RII</w:t>
      </w:r>
      <w:r>
        <w:rPr>
          <w:rFonts w:eastAsia="SimSun"/>
          <w:lang w:eastAsia="zh-CN" w:bidi="ar"/>
        </w:rPr>
        <w:t xml:space="preserve"> values</w:t>
      </w:r>
      <w:r>
        <w:rPr>
          <w:rFonts w:eastAsia="SimSun" w:hint="eastAsia"/>
          <w:lang w:val="en-US" w:eastAsia="zh-CN" w:bidi="ar"/>
        </w:rPr>
        <w:t xml:space="preserve"> </w:t>
      </w:r>
      <w:r>
        <w:rPr>
          <w:rFonts w:eastAsia="SimSun"/>
          <w:lang w:eastAsia="zh-CN" w:bidi="ar"/>
        </w:rPr>
        <w:t xml:space="preserve">were calculated based on </w:t>
      </w:r>
      <w:r>
        <w:rPr>
          <w:rFonts w:eastAsia="SimSun"/>
          <w:lang w:eastAsia="zh-CN" w:bidi="ar"/>
        </w:rPr>
        <w:lastRenderedPageBreak/>
        <w:t>Eq</w:t>
      </w:r>
      <w:proofErr w:type="gramStart"/>
      <w:r>
        <w:rPr>
          <w:rFonts w:eastAsia="SimSun"/>
          <w:lang w:eastAsia="zh-CN" w:bidi="ar"/>
        </w:rPr>
        <w:t>.(</w:t>
      </w:r>
      <w:proofErr w:type="gramEnd"/>
      <w:r>
        <w:rPr>
          <w:rFonts w:eastAsia="SimSun"/>
          <w:lang w:eastAsia="zh-CN" w:bidi="ar"/>
        </w:rPr>
        <w:t xml:space="preserve">1) which was previously used by other studies (e.g.,  </w:t>
      </w:r>
      <w:r>
        <w:rPr>
          <w:rFonts w:eastAsia="SimSun"/>
          <w:lang w:val="en-US" w:eastAsia="en-US"/>
        </w:rPr>
        <w:t>Eadie et al., 2013; Jin et al., 2017</w:t>
      </w:r>
      <w:r>
        <w:rPr>
          <w:rFonts w:eastAsia="SimSun" w:hint="eastAsia"/>
          <w:lang w:val="en-US" w:eastAsia="zh-CN"/>
        </w:rPr>
        <w:t>c</w:t>
      </w:r>
      <w:r>
        <w:rPr>
          <w:rFonts w:eastAsia="SimSun"/>
          <w:lang w:eastAsia="zh-CN"/>
        </w:rPr>
        <w:t xml:space="preserve">). </w:t>
      </w:r>
    </w:p>
    <w:p w:rsidR="002A0BB5" w:rsidRDefault="00C41F8F">
      <w:pPr>
        <w:pStyle w:val="Newparagraph"/>
        <w:spacing w:after="0"/>
        <w:jc w:val="center"/>
        <w:rPr>
          <w:rFonts w:eastAsia="SimSun"/>
          <w:lang w:eastAsia="zh-CN"/>
        </w:rPr>
      </w:pPr>
      <w:r>
        <w:rPr>
          <w:rFonts w:ascii="Cambria Math" w:eastAsia="SimSun" w:hAnsi="Cambria Math"/>
        </w:rPr>
        <w:t xml:space="preserve">                                           </w:t>
      </w:r>
      <m:oMath>
        <m:r>
          <w:rPr>
            <w:rFonts w:ascii="Cambria Math" w:eastAsia="SimSun" w:hAnsi="Cambria Math"/>
          </w:rPr>
          <m:t xml:space="preserve">RII= </m:t>
        </m:r>
        <m:f>
          <m:fPr>
            <m:ctrlPr>
              <w:rPr>
                <w:rFonts w:ascii="Cambria Math" w:eastAsia="SimSun" w:hAnsi="Cambria Math"/>
                <w:i/>
              </w:rPr>
            </m:ctrlPr>
          </m:fPr>
          <m:num>
            <m:nary>
              <m:naryPr>
                <m:chr m:val="∑"/>
                <m:limLoc m:val="undOvr"/>
                <m:subHide m:val="1"/>
                <m:supHide m:val="1"/>
                <m:ctrlPr>
                  <w:rPr>
                    <w:rFonts w:ascii="Cambria Math" w:eastAsia="SimSun" w:hAnsi="Cambria Math"/>
                    <w:i/>
                  </w:rPr>
                </m:ctrlPr>
              </m:naryPr>
              <m:sub/>
              <m:sup/>
              <m:e>
                <m:r>
                  <w:rPr>
                    <w:rFonts w:ascii="Cambria Math" w:eastAsia="SimSun" w:hAnsi="Cambria Math"/>
                  </w:rPr>
                  <m:t>w</m:t>
                </m:r>
              </m:e>
            </m:nary>
          </m:num>
          <m:den>
            <m:r>
              <w:rPr>
                <w:rFonts w:ascii="Cambria Math" w:eastAsia="SimSun" w:hAnsi="Cambria Math"/>
              </w:rPr>
              <m:t>A×N</m:t>
            </m:r>
          </m:den>
        </m:f>
      </m:oMath>
      <w:r>
        <w:rPr>
          <w:rFonts w:ascii="Cambria Math" w:eastAsia="SimSun" w:hAnsi="Cambria Math" w:hint="eastAsia"/>
          <w:lang w:val="en-US" w:eastAsia="zh-CN"/>
        </w:rPr>
        <w:t xml:space="preserve">                </w:t>
      </w:r>
      <w:r>
        <w:rPr>
          <w:rFonts w:eastAsia="SimSun"/>
          <w:lang w:val="en-US" w:eastAsia="zh-CN"/>
        </w:rPr>
        <w:t xml:space="preserve"> </w:t>
      </w:r>
      <w:r>
        <w:rPr>
          <w:rFonts w:eastAsia="SimSun"/>
          <w:lang w:eastAsia="zh-CN"/>
        </w:rPr>
        <w:t xml:space="preserve">                         </w:t>
      </w:r>
      <w:r>
        <w:rPr>
          <w:rFonts w:eastAsia="SimSun"/>
          <w:lang w:val="en-US" w:eastAsia="zh-CN"/>
        </w:rPr>
        <w:t>Eq.</w:t>
      </w:r>
      <w:r>
        <w:rPr>
          <w:rFonts w:eastAsia="SimSun"/>
          <w:lang w:eastAsia="zh-CN"/>
        </w:rPr>
        <w:t xml:space="preserve"> (1)</w:t>
      </w:r>
    </w:p>
    <w:p w:rsidR="002A0BB5" w:rsidRDefault="00C41F8F">
      <w:pPr>
        <w:pStyle w:val="Newparagraph"/>
        <w:spacing w:after="0"/>
        <w:jc w:val="both"/>
        <w:rPr>
          <w:rFonts w:eastAsia="SimSun"/>
          <w:iCs/>
        </w:rPr>
      </w:pPr>
      <w:proofErr w:type="gramStart"/>
      <w:r>
        <w:rPr>
          <w:rFonts w:eastAsia="SimSun"/>
          <w:lang w:eastAsia="zh-CN"/>
        </w:rPr>
        <w:t>where</w:t>
      </w:r>
      <w:proofErr w:type="gramEnd"/>
      <w:r>
        <w:rPr>
          <w:rFonts w:eastAsia="SimSun"/>
          <w:lang w:eastAsia="zh-CN"/>
        </w:rPr>
        <w:t xml:space="preserve"> </w:t>
      </w:r>
      <w:r>
        <w:rPr>
          <w:rFonts w:eastAsia="SimSun"/>
          <w:i/>
        </w:rPr>
        <w:t xml:space="preserve">w </w:t>
      </w:r>
      <w:r>
        <w:rPr>
          <w:rFonts w:eastAsia="SimSun"/>
          <w:iCs/>
        </w:rPr>
        <w:t xml:space="preserve">stands for the Likert score chosen by each survey participant for every item. It ranges numerically from 1 to 5. </w:t>
      </w:r>
      <w:r>
        <w:rPr>
          <w:rFonts w:eastAsia="SimSun"/>
          <w:i/>
        </w:rPr>
        <w:t>A</w:t>
      </w:r>
      <w:r>
        <w:rPr>
          <w:rFonts w:eastAsia="SimSun"/>
          <w:iCs/>
        </w:rPr>
        <w:t xml:space="preserve"> is the maximum value that can be assigned to a Likert-scale item and it is equal to 5 in this study. </w:t>
      </w:r>
      <w:r>
        <w:rPr>
          <w:rFonts w:eastAsia="SimSun"/>
          <w:i/>
        </w:rPr>
        <w:t>N</w:t>
      </w:r>
      <w:r>
        <w:rPr>
          <w:rFonts w:eastAsia="SimSun"/>
          <w:iCs/>
        </w:rPr>
        <w:t xml:space="preserve"> denotes the number of responses. The </w:t>
      </w:r>
      <w:r>
        <w:rPr>
          <w:rFonts w:eastAsia="SimSun"/>
          <w:i/>
        </w:rPr>
        <w:t xml:space="preserve">RII </w:t>
      </w:r>
      <w:r>
        <w:rPr>
          <w:rFonts w:eastAsia="SimSun"/>
          <w:iCs/>
        </w:rPr>
        <w:t xml:space="preserve">value ranges from 0 to 1. An item with a higher </w:t>
      </w:r>
      <w:r>
        <w:rPr>
          <w:rFonts w:eastAsia="SimSun"/>
          <w:i/>
        </w:rPr>
        <w:t>RII</w:t>
      </w:r>
      <w:r>
        <w:rPr>
          <w:rFonts w:eastAsia="SimSun"/>
          <w:iCs/>
        </w:rPr>
        <w:t xml:space="preserve"> score would indicate that it ranks higher within the given section, meaning its relatively higher importance.</w:t>
      </w:r>
    </w:p>
    <w:p w:rsidR="002A0BB5" w:rsidRDefault="00C41F8F">
      <w:pPr>
        <w:pStyle w:val="Newparagraph"/>
        <w:spacing w:after="0"/>
        <w:ind w:firstLine="0"/>
        <w:jc w:val="both"/>
        <w:rPr>
          <w:rFonts w:cs="Arial"/>
          <w:bCs/>
          <w:i/>
          <w:lang w:val="en-US"/>
        </w:rPr>
      </w:pPr>
      <w:r>
        <w:rPr>
          <w:rFonts w:cs="Arial"/>
          <w:bCs/>
          <w:i/>
          <w:lang w:val="en-US"/>
        </w:rPr>
        <w:t xml:space="preserve">Cronbach’s Alpha </w:t>
      </w:r>
    </w:p>
    <w:p w:rsidR="002A0BB5" w:rsidRDefault="00C41F8F">
      <w:pPr>
        <w:pStyle w:val="Newparagraph"/>
        <w:spacing w:after="0"/>
        <w:ind w:firstLine="0"/>
        <w:jc w:val="both"/>
        <w:rPr>
          <w:rFonts w:eastAsia="SimSun"/>
          <w:iCs/>
          <w:lang w:val="en-US" w:eastAsia="zh-CN"/>
        </w:rPr>
      </w:pPr>
      <w:r>
        <w:rPr>
          <w:rFonts w:eastAsia="SimSun"/>
          <w:iCs/>
          <w:lang w:val="en-US" w:eastAsia="zh-CN"/>
        </w:rPr>
        <w:t xml:space="preserve">The Cronbach’s Alpha value (Cronbach, 1951) was adopted in this study to evaluate the internal consistency of Likert-scale items in each of the three sections within this study (i.e., BIM benefits, critical factors, and challenges). These internal consistency analyses were carried out for Shanghai, Wenzhou, and the combined samples. With the value ranging from 0 to 1, and a higher value would indicate a higher degree of internal consistency among items. According to George and Mallery (2003), the overall Cronbach’s Alpha value over 0.700 would be considered acceptable, the value over 0.800 indicates a good internal consistency, and its value higher than 0.900 is deemed excellent. Besides the overall value within each Liker-scale section, an individual Cronbach’s Alpha value with corresponding Item-total Correlation indicate the individual item’s contribution to the overall consistency. An individual </w:t>
      </w:r>
      <w:r>
        <w:rPr>
          <w:bCs/>
        </w:rPr>
        <w:t xml:space="preserve">Cronbach’s Alpha value lower than the overall value means that this item contributes positively to the overall consistency. Otherwise, </w:t>
      </w:r>
      <w:r>
        <w:rPr>
          <w:rFonts w:eastAsia="SimSun"/>
          <w:iCs/>
          <w:lang w:val="en-US" w:eastAsia="zh-CN"/>
        </w:rPr>
        <w:t xml:space="preserve">an individual value higher than the overall value suggests that respondents are more likely to perceive differently towards this given item as they normally do to the remaining items.  </w:t>
      </w:r>
    </w:p>
    <w:p w:rsidR="002A0BB5" w:rsidRDefault="00C41F8F">
      <w:pPr>
        <w:pStyle w:val="Paragraph"/>
        <w:spacing w:before="0" w:after="0"/>
        <w:rPr>
          <w:rFonts w:cs="Arial"/>
          <w:bCs/>
          <w:i/>
          <w:lang w:val="en-US"/>
        </w:rPr>
      </w:pPr>
      <w:r>
        <w:rPr>
          <w:rFonts w:cs="Arial"/>
          <w:bCs/>
          <w:i/>
          <w:lang w:val="en-US"/>
        </w:rPr>
        <w:t xml:space="preserve">Two-sample t-test </w:t>
      </w:r>
    </w:p>
    <w:p w:rsidR="002A0BB5" w:rsidRDefault="00C41F8F">
      <w:pPr>
        <w:pStyle w:val="Newparagraph"/>
        <w:spacing w:after="0"/>
        <w:ind w:firstLine="0"/>
        <w:jc w:val="both"/>
        <w:rPr>
          <w:i/>
        </w:rPr>
      </w:pPr>
      <w:r>
        <w:t>The two-sample</w:t>
      </w:r>
      <w:r>
        <w:rPr>
          <w:i/>
          <w:iCs/>
        </w:rPr>
        <w:t xml:space="preserve"> t</w:t>
      </w:r>
      <w:r>
        <w:t xml:space="preserve">-test, as one type of parametric method, was adopted in this study to test the mean values between Shanghai and Wenzhou survey participants for each Likert-scale item. </w:t>
      </w:r>
      <w:r>
        <w:rPr>
          <w:rFonts w:eastAsia="SimSun" w:hint="eastAsia"/>
          <w:lang w:val="en-US" w:eastAsia="zh-CN"/>
        </w:rPr>
        <w:lastRenderedPageBreak/>
        <w:t xml:space="preserve">Parametric </w:t>
      </w:r>
      <w:r>
        <w:rPr>
          <w:rFonts w:eastAsia="SimSun"/>
          <w:lang w:eastAsia="zh-CN"/>
        </w:rPr>
        <w:t xml:space="preserve">methods have been previously applied in the field of construction engineering and management in studies including </w:t>
      </w:r>
      <w:r>
        <w:rPr>
          <w:lang w:val="en-ZW"/>
        </w:rPr>
        <w:t>Aksorn and Hadikusumo</w:t>
      </w:r>
      <w:r>
        <w:t xml:space="preserve"> (</w:t>
      </w:r>
      <w:r>
        <w:rPr>
          <w:lang w:val="en-ZW"/>
        </w:rPr>
        <w:t>2008</w:t>
      </w:r>
      <w:r>
        <w:t xml:space="preserve">), </w:t>
      </w:r>
      <w:r>
        <w:rPr>
          <w:lang w:val="en-ZW"/>
        </w:rPr>
        <w:t>Meliá et al.</w:t>
      </w:r>
      <w:r>
        <w:t xml:space="preserve"> (</w:t>
      </w:r>
      <w:r>
        <w:rPr>
          <w:lang w:val="en-ZW"/>
        </w:rPr>
        <w:t>2008</w:t>
      </w:r>
      <w:r>
        <w:t>), and</w:t>
      </w:r>
      <w:r>
        <w:rPr>
          <w:lang w:val="en-ZW"/>
        </w:rPr>
        <w:t xml:space="preserve"> Tam</w:t>
      </w:r>
      <w:r>
        <w:t xml:space="preserve"> (</w:t>
      </w:r>
      <w:r>
        <w:rPr>
          <w:lang w:val="en-ZW"/>
        </w:rPr>
        <w:t>2009</w:t>
      </w:r>
      <w:r>
        <w:t xml:space="preserve">). </w:t>
      </w:r>
      <w:r>
        <w:rPr>
          <w:lang w:val="en-ZW"/>
        </w:rPr>
        <w:t>Carifio and Perla</w:t>
      </w:r>
      <w:r>
        <w:t xml:space="preserve"> (</w:t>
      </w:r>
      <w:r>
        <w:rPr>
          <w:lang w:val="en-ZW"/>
        </w:rPr>
        <w:t>2008</w:t>
      </w:r>
      <w:r>
        <w:t>) and</w:t>
      </w:r>
      <w:r>
        <w:rPr>
          <w:lang w:val="en-ZW"/>
        </w:rPr>
        <w:t xml:space="preserve"> Norman</w:t>
      </w:r>
      <w:r>
        <w:t xml:space="preserve"> (</w:t>
      </w:r>
      <w:r>
        <w:rPr>
          <w:lang w:val="en-ZW"/>
        </w:rPr>
        <w:t>2010</w:t>
      </w:r>
      <w:r>
        <w:t xml:space="preserve">) demonstrated the robustness of parametric methods in data samples that were either small or not normally distributed.  The sample sizes of 47 for both Shanghai and Wenzhou survey pools were considered fair in this study. The two-sample </w:t>
      </w:r>
      <w:r>
        <w:rPr>
          <w:i/>
          <w:iCs/>
        </w:rPr>
        <w:t>t</w:t>
      </w:r>
      <w:r>
        <w:t xml:space="preserve">-test was based on the null hypothesis that Shanghai and Wenzhou survey samples had consistent views on the given Likert-scale item. Assisted by Minitab, the statistical software, a </w:t>
      </w:r>
      <w:r>
        <w:rPr>
          <w:i/>
        </w:rPr>
        <w:t>t</w:t>
      </w:r>
      <w:r>
        <w:t xml:space="preserve"> value was computed for each item within the Likert-scale questions and the corresponding </w:t>
      </w:r>
      <w:r>
        <w:rPr>
          <w:i/>
        </w:rPr>
        <w:t>p</w:t>
      </w:r>
      <w:r>
        <w:t xml:space="preserve"> value was obtained. A </w:t>
      </w:r>
      <w:r>
        <w:rPr>
          <w:i/>
        </w:rPr>
        <w:t xml:space="preserve">p </w:t>
      </w:r>
      <w:r>
        <w:t xml:space="preserve">value lower than 0.05 would decline the null hypothesis and indicate that the Shanghai and Wenzhou survey participants had different views on the given item within BIM climate. </w:t>
      </w:r>
      <w:r>
        <w:rPr>
          <w:i/>
        </w:rPr>
        <w:t xml:space="preserve"> </w:t>
      </w:r>
    </w:p>
    <w:p w:rsidR="002A0BB5" w:rsidRDefault="00C41F8F">
      <w:pPr>
        <w:pStyle w:val="Newparagraph"/>
        <w:ind w:firstLine="0"/>
        <w:jc w:val="both"/>
        <w:rPr>
          <w:b/>
          <w:bCs/>
          <w:lang w:val="en-US"/>
        </w:rPr>
      </w:pPr>
      <w:r>
        <w:rPr>
          <w:b/>
          <w:bCs/>
          <w:lang w:val="en-US"/>
        </w:rPr>
        <w:t xml:space="preserve">BIM climate and culture framework </w:t>
      </w:r>
    </w:p>
    <w:p w:rsidR="002A0BB5" w:rsidRDefault="00C41F8F">
      <w:pPr>
        <w:pStyle w:val="Newparagraph"/>
        <w:spacing w:after="0"/>
        <w:ind w:firstLine="426"/>
        <w:jc w:val="both"/>
        <w:rPr>
          <w:b/>
          <w:bCs/>
          <w:lang w:val="en-US"/>
        </w:rPr>
      </w:pPr>
      <w:r>
        <w:rPr>
          <w:bCs/>
          <w:lang w:val="en-US"/>
        </w:rPr>
        <w:t>A</w:t>
      </w:r>
      <w:r>
        <w:rPr>
          <w:b/>
          <w:bCs/>
          <w:lang w:val="en-US"/>
        </w:rPr>
        <w:t xml:space="preserve"> </w:t>
      </w:r>
      <w:r>
        <w:t>thorough</w:t>
      </w:r>
      <w:r>
        <w:rPr>
          <w:b/>
          <w:bCs/>
          <w:lang w:val="en-US"/>
        </w:rPr>
        <w:t xml:space="preserve"> </w:t>
      </w:r>
      <w:r>
        <w:t>literature review of safety management and BIM management related studies is summarized in Table 1, in which measurement dimensions are listed to enable the comparison between safety and BIM.</w:t>
      </w:r>
    </w:p>
    <w:p w:rsidR="002A0BB5" w:rsidRDefault="00C41F8F">
      <w:pPr>
        <w:pStyle w:val="Newparagraph"/>
        <w:spacing w:after="0" w:line="240" w:lineRule="auto"/>
        <w:ind w:firstLine="0"/>
        <w:jc w:val="center"/>
        <w:rPr>
          <w:bCs/>
          <w:lang w:val="en-US"/>
        </w:rPr>
      </w:pPr>
      <w:r>
        <w:rPr>
          <w:bCs/>
          <w:lang w:val="en-US"/>
        </w:rPr>
        <w:t>&lt;Insert Table 1&gt;</w:t>
      </w:r>
    </w:p>
    <w:p w:rsidR="002A0BB5" w:rsidRDefault="002A0BB5">
      <w:pPr>
        <w:pStyle w:val="Newparagraph"/>
        <w:spacing w:after="0" w:line="240" w:lineRule="auto"/>
        <w:ind w:firstLine="0"/>
        <w:jc w:val="both"/>
        <w:rPr>
          <w:bCs/>
          <w:sz w:val="20"/>
          <w:szCs w:val="20"/>
          <w:lang w:val="en-US"/>
        </w:rPr>
      </w:pPr>
    </w:p>
    <w:p w:rsidR="002A0BB5" w:rsidRDefault="00C41F8F">
      <w:pPr>
        <w:pStyle w:val="Newparagraph"/>
        <w:spacing w:after="0"/>
        <w:ind w:firstLine="426"/>
        <w:jc w:val="both"/>
        <w:rPr>
          <w:bCs/>
          <w:lang w:val="en-US"/>
        </w:rPr>
      </w:pPr>
      <w:r>
        <w:rPr>
          <w:bCs/>
          <w:lang w:val="en-US"/>
        </w:rPr>
        <w:t xml:space="preserve">Following Table 1, it could be indicated that these two independent PM areas (i.e., safety management and BIM management) share highly consistent dimensions, such as individual perception which is a key measurement for climate in safety management. The individual perceptions covered multiple categories such as importance or benefits, risks, and factors affecting the implementation in both safety management and BIM management. These individual perceptions have been studied by subgroup comparisons in </w:t>
      </w:r>
      <w:r>
        <w:rPr>
          <w:bCs/>
        </w:rPr>
        <w:t>both safety and BIM</w:t>
      </w:r>
      <w:r>
        <w:rPr>
          <w:bCs/>
          <w:lang w:val="en-US"/>
        </w:rPr>
        <w:t xml:space="preserve"> as showcased in Fig. 3.   </w:t>
      </w:r>
    </w:p>
    <w:p w:rsidR="002A0BB5" w:rsidRDefault="00C41F8F">
      <w:pPr>
        <w:pStyle w:val="Newparagraph"/>
        <w:spacing w:after="0"/>
        <w:ind w:firstLine="426"/>
        <w:jc w:val="center"/>
        <w:rPr>
          <w:bCs/>
          <w:lang w:val="en-US"/>
        </w:rPr>
      </w:pPr>
      <w:r>
        <w:rPr>
          <w:bCs/>
          <w:lang w:val="en-US"/>
        </w:rPr>
        <w:t>&lt;Insert Fig.3.&gt;</w:t>
      </w:r>
    </w:p>
    <w:p w:rsidR="002A0BB5" w:rsidRDefault="002A0BB5">
      <w:pPr>
        <w:pStyle w:val="Newparagraph"/>
        <w:spacing w:after="0" w:line="240" w:lineRule="auto"/>
        <w:ind w:firstLine="0"/>
        <w:jc w:val="both"/>
        <w:rPr>
          <w:b/>
          <w:bCs/>
          <w:lang w:val="en-US"/>
        </w:rPr>
      </w:pPr>
    </w:p>
    <w:p w:rsidR="002A0BB5" w:rsidRDefault="00C41F8F">
      <w:pPr>
        <w:pStyle w:val="Newparagraph"/>
        <w:spacing w:after="0"/>
        <w:ind w:firstLine="425"/>
        <w:jc w:val="both"/>
      </w:pPr>
      <w:r>
        <w:lastRenderedPageBreak/>
        <w:t xml:space="preserve">It can be seen in Fig.3 that safety management and BIM management also share some consistent subgroup categorizations, for example, subgroups divided according to professions, experience, and organization, which constitute the individual perceptions to form the climate. The subgroup variation among BIM practitioners was studied by Jin et al. (2017a), who found out that generally BIM practitioners from different AEC professions held consistent perceptions towards benefits introduced by BIM and challenges faced within BIM practice. The only exception was that consultants, clients, and architects perceived more challenges for entry-level AEC employees to accept BIM practice compared to engineers, contractors, and software developers according to Jin et al. (2017). The framework was established from existing studies listed in Fig.3 in both safety and BIM. </w:t>
      </w:r>
    </w:p>
    <w:p w:rsidR="002A0BB5" w:rsidRDefault="00C41F8F">
      <w:pPr>
        <w:pStyle w:val="Newparagraph"/>
        <w:spacing w:after="0"/>
        <w:ind w:firstLine="425"/>
        <w:jc w:val="both"/>
      </w:pPr>
      <w:r>
        <w:t xml:space="preserve">Literature listed in Table 1 indicates that compared to BIM, safety has a better-established knowledge system with existing studies traced to 1980s or earlier. In contrast, BIM remains a relatively new area with most management related studies performed in recent years. There has not been well-established BIM-related knowledge in terms of climate or culture. Due to the similarities between safety and BIM in terms of measurement dimensions and subgroup comparison, researchers initiated the framework by tailoring safety related climate and culture into that in BIM. Specifically, BIM climate and BIM culture are proposed in Fig.3, following the concepts of safety climate and safety culture. Individual perceptions consisting of subgroup comparisons are also proposed to define BIM climate, which, together with BIM culture, can also be divided into sub-climate and sub-culture respectively. </w:t>
      </w:r>
    </w:p>
    <w:p w:rsidR="002A0BB5" w:rsidRDefault="00C41F8F">
      <w:pPr>
        <w:pStyle w:val="Newparagraph"/>
        <w:ind w:firstLine="426"/>
        <w:jc w:val="both"/>
      </w:pPr>
      <w:r>
        <w:t xml:space="preserve">BIM climate is defined based on individual perceptions on BIM implementation and relevant attitudes. In this study, four major categories are incorporated into individual perceptions, namely benefits, influencing factors, challenges, and risks following Jin et al. (2017a) and Jin et al. (2017b). According to Fig.3, subgroups categorized by profession, experience, and organization have been studied before, but not the regional difference as it has </w:t>
      </w:r>
      <w:r>
        <w:lastRenderedPageBreak/>
        <w:t xml:space="preserve">been in safety. To fill the gap of regional variation analysis in BIM climate, the follow-up empirical case study analyzes the individual perceptions between two different regions in China’s AEC market.  </w:t>
      </w:r>
    </w:p>
    <w:p w:rsidR="002A0BB5" w:rsidRDefault="00C41F8F">
      <w:pPr>
        <w:pStyle w:val="Newparagraph"/>
        <w:ind w:firstLine="0"/>
        <w:jc w:val="both"/>
        <w:rPr>
          <w:b/>
          <w:bCs/>
          <w:lang w:val="en-US"/>
        </w:rPr>
      </w:pPr>
      <w:r>
        <w:rPr>
          <w:b/>
          <w:bCs/>
          <w:lang w:val="en-US"/>
        </w:rPr>
        <w:t xml:space="preserve">Case study of </w:t>
      </w:r>
      <w:r>
        <w:rPr>
          <w:b/>
          <w:bCs/>
        </w:rPr>
        <w:t>r</w:t>
      </w:r>
      <w:r>
        <w:rPr>
          <w:b/>
          <w:bCs/>
          <w:lang w:val="en-US"/>
        </w:rPr>
        <w:t xml:space="preserve">egional </w:t>
      </w:r>
      <w:r>
        <w:rPr>
          <w:b/>
          <w:bCs/>
        </w:rPr>
        <w:t>d</w:t>
      </w:r>
      <w:r>
        <w:rPr>
          <w:b/>
          <w:bCs/>
          <w:lang w:val="en-US"/>
        </w:rPr>
        <w:t xml:space="preserve">ifference in individual perceptions towards BIM </w:t>
      </w:r>
    </w:p>
    <w:p w:rsidR="002A0BB5" w:rsidRDefault="00C41F8F">
      <w:pPr>
        <w:pStyle w:val="Newparagraph"/>
        <w:spacing w:after="0"/>
        <w:ind w:firstLine="0"/>
        <w:jc w:val="both"/>
      </w:pPr>
      <w:r>
        <w:t xml:space="preserve">By the end of August 2017, 55 and 51 questionnaires in total were collected from Shanghai and Wenzhou respectively. The valid sample sizes were further reduced to 47 for Shanghai and 47 for Wenzhou, by excluding some respondents who chose the same answer for all Likert-scale items, following the procedure described by Smits et al. (2017). The comparative study was conducted consisting of these major sections, namely background information of survey participants, perceptions on BIM benefits, factors impacting BIM implementation, challenges in BIM practice, project parties that benefited the most and the least from BIM, and risks in implementing BIM. </w:t>
      </w:r>
    </w:p>
    <w:p w:rsidR="002A0BB5" w:rsidRDefault="00C41F8F">
      <w:pPr>
        <w:pStyle w:val="Heading2"/>
        <w:spacing w:before="0" w:after="0" w:line="480" w:lineRule="auto"/>
      </w:pPr>
      <w:r>
        <w:t xml:space="preserve"> Background information of survey participants  </w:t>
      </w:r>
    </w:p>
    <w:p w:rsidR="002A0BB5" w:rsidRDefault="00C41F8F">
      <w:pPr>
        <w:pStyle w:val="Paragraph"/>
        <w:spacing w:before="0" w:after="0"/>
        <w:jc w:val="both"/>
      </w:pPr>
      <w:r>
        <w:t xml:space="preserve">The background information of respondents includes their professions and experience of BIM usage. Table 2 summarizes the percentages of different AEC professions in Shanghai and Wenzhou samples. </w:t>
      </w:r>
    </w:p>
    <w:p w:rsidR="002A0BB5" w:rsidRDefault="00C41F8F">
      <w:pPr>
        <w:pStyle w:val="Newparagraph"/>
        <w:spacing w:after="0"/>
        <w:ind w:firstLine="0"/>
        <w:jc w:val="center"/>
        <w:rPr>
          <w:lang w:val="en-US"/>
        </w:rPr>
      </w:pPr>
      <w:r>
        <w:rPr>
          <w:lang w:val="en-US"/>
        </w:rPr>
        <w:t>&lt;Insert Table 2&gt;</w:t>
      </w:r>
    </w:p>
    <w:p w:rsidR="002A0BB5" w:rsidRDefault="00C41F8F">
      <w:pPr>
        <w:pStyle w:val="Newparagraph"/>
        <w:spacing w:after="0"/>
        <w:ind w:firstLine="426"/>
        <w:jc w:val="both"/>
      </w:pPr>
      <w:r>
        <w:rPr>
          <w:lang w:val="en-US"/>
        </w:rPr>
        <w:t xml:space="preserve">Table </w:t>
      </w:r>
      <w:r>
        <w:t>2</w:t>
      </w:r>
      <w:r>
        <w:rPr>
          <w:lang w:val="en-US"/>
        </w:rPr>
        <w:t xml:space="preserve"> conveys the information that there was a wider distribution of professions among </w:t>
      </w:r>
      <w:r>
        <w:t>Shanghai</w:t>
      </w:r>
      <w:r>
        <w:rPr>
          <w:lang w:val="en-US"/>
        </w:rPr>
        <w:t xml:space="preserve"> respondents compared to </w:t>
      </w:r>
      <w:r>
        <w:t>Wenzhou</w:t>
      </w:r>
      <w:r>
        <w:rPr>
          <w:lang w:val="en-US"/>
        </w:rPr>
        <w:t xml:space="preserve"> participants, the majority of whom were architects and engineers. </w:t>
      </w:r>
      <w:r>
        <w:t>The average years of using BIM in the combined sample, Shanghai, and Wenzhou were 2 years, 3 years, and 9 months respectively. Both the average value and box plots Shown in Fig.4 convey the information that the survey participants in Shanghai had more BIM experience than Wenzhou respondents.</w:t>
      </w:r>
    </w:p>
    <w:p w:rsidR="002A0BB5" w:rsidRDefault="00C41F8F">
      <w:pPr>
        <w:pStyle w:val="Newparagraph"/>
        <w:spacing w:after="0"/>
        <w:ind w:firstLine="426"/>
        <w:jc w:val="center"/>
        <w:rPr>
          <w:lang w:val="en-US"/>
        </w:rPr>
      </w:pPr>
      <w:r>
        <w:rPr>
          <w:lang w:val="en-US"/>
        </w:rPr>
        <w:t>&lt;Insert Fig.4&gt;</w:t>
      </w:r>
    </w:p>
    <w:p w:rsidR="002A0BB5" w:rsidRDefault="002A0BB5">
      <w:pPr>
        <w:pStyle w:val="Newparagraph"/>
        <w:spacing w:after="0" w:line="240" w:lineRule="auto"/>
        <w:ind w:firstLine="0"/>
        <w:rPr>
          <w:lang w:eastAsia="zh-CN"/>
        </w:rPr>
      </w:pPr>
    </w:p>
    <w:p w:rsidR="002A0BB5" w:rsidRDefault="00C41F8F">
      <w:pPr>
        <w:pStyle w:val="Newparagraph"/>
        <w:spacing w:after="0"/>
        <w:ind w:firstLine="426"/>
        <w:jc w:val="both"/>
        <w:rPr>
          <w:lang w:val="en-US"/>
        </w:rPr>
      </w:pPr>
      <w:r>
        <w:lastRenderedPageBreak/>
        <w:t xml:space="preserve">It could be indicated that Shanghai, as one of China’s BIM-leading metropolitan cities, had more BIM practical experience compared to Wenzhou, representing one of the less developed metropolitan cities in China. The majority of Wenzhou respondents were at the early stages of applying BIM in their AEC projects or at the stage of planning to adopt BIM in the near future. </w:t>
      </w:r>
      <w:r>
        <w:rPr>
          <w:lang w:val="en-US"/>
        </w:rPr>
        <w:t xml:space="preserve">Table </w:t>
      </w:r>
      <w:r>
        <w:t>3</w:t>
      </w:r>
      <w:r>
        <w:rPr>
          <w:lang w:val="en-US"/>
        </w:rPr>
        <w:t xml:space="preserve"> lists the percentages of </w:t>
      </w:r>
      <w:r>
        <w:t>Shanghai</w:t>
      </w:r>
      <w:r>
        <w:rPr>
          <w:lang w:val="en-US"/>
        </w:rPr>
        <w:t xml:space="preserve"> and </w:t>
      </w:r>
      <w:r>
        <w:t>Wenzhou</w:t>
      </w:r>
      <w:r>
        <w:rPr>
          <w:lang w:val="en-US"/>
        </w:rPr>
        <w:t xml:space="preserve"> survey participants in using each BIM software tool. Some differences between </w:t>
      </w:r>
      <w:r>
        <w:t>Shanghai</w:t>
      </w:r>
      <w:r>
        <w:rPr>
          <w:lang w:val="en-US"/>
        </w:rPr>
        <w:t xml:space="preserve"> and </w:t>
      </w:r>
      <w:r>
        <w:t>Wenzhou</w:t>
      </w:r>
      <w:r>
        <w:rPr>
          <w:lang w:val="en-US"/>
        </w:rPr>
        <w:t xml:space="preserve"> respondents can be found according to the Chi-square test results. </w:t>
      </w:r>
    </w:p>
    <w:p w:rsidR="002A0BB5" w:rsidRDefault="00C41F8F">
      <w:pPr>
        <w:pStyle w:val="Newparagraph"/>
        <w:spacing w:after="0"/>
        <w:ind w:firstLine="426"/>
        <w:jc w:val="center"/>
      </w:pPr>
      <w:r>
        <w:rPr>
          <w:lang w:val="en-US"/>
        </w:rPr>
        <w:t>&lt;Insert Table 3&gt;</w:t>
      </w:r>
    </w:p>
    <w:p w:rsidR="002A0BB5" w:rsidRDefault="002A0BB5">
      <w:pPr>
        <w:pStyle w:val="Paragraph"/>
        <w:spacing w:before="0" w:after="0" w:line="240" w:lineRule="auto"/>
        <w:jc w:val="both"/>
        <w:rPr>
          <w:bCs/>
        </w:rPr>
      </w:pPr>
    </w:p>
    <w:p w:rsidR="002A0BB5" w:rsidRDefault="00C41F8F">
      <w:pPr>
        <w:pStyle w:val="Paragraph"/>
        <w:spacing w:before="0" w:after="0"/>
        <w:ind w:firstLine="426"/>
        <w:jc w:val="both"/>
        <w:rPr>
          <w:bCs/>
        </w:rPr>
      </w:pPr>
      <w:r>
        <w:rPr>
          <w:bCs/>
        </w:rPr>
        <w:t xml:space="preserve">The overall chi-square value computed at 28.080 with the corresponding </w:t>
      </w:r>
      <w:r>
        <w:rPr>
          <w:bCs/>
          <w:i/>
        </w:rPr>
        <w:t>p</w:t>
      </w:r>
      <w:r>
        <w:rPr>
          <w:bCs/>
        </w:rPr>
        <w:t xml:space="preserve"> value at 0.000 indicate that Shanghai and Wenzhou had been using different BIM software tools. Specifically, although products of Autodesk (2017) such as Revit received the highest percentages among respondents from both Shanghai and Wenzhou indicating its dominance in China’s AEC market, Shanghai had 91% of its respondents using Autodesk (2017), significantly higher than 49% in Wenzhou. Table 3 also revealed that compared to Shanghai, Wenzhou had significantly higher percentage of its participants using Glondon (2017), a domestic BIM software tool. Besides, Wenzhou also had a statistically higher percentage of respondents who had never used any BIM software before. Other software tools being used by Shanghai respondents included Dassualt (2017), whilst Wenzhou respondents specified “others” to be Hongye (2017) which were both domestic products. It could be inferred from Table 2 that Shanghai’s BIM practitioners were more prone to use international BIM tools such as Autodesk (2017), Bentley (2017), and Dassualt (2017). Differing from Shanghai, Wenzhou BIM practitioners were more likely to adopt China’s domestic BIM tools (e.g., Hongye, 2017). </w:t>
      </w:r>
    </w:p>
    <w:p w:rsidR="002A0BB5" w:rsidRDefault="00C41F8F">
      <w:pPr>
        <w:pStyle w:val="Paragraph"/>
        <w:spacing w:before="0" w:after="0"/>
        <w:jc w:val="both"/>
      </w:pPr>
      <w:r>
        <w:rPr>
          <w:bCs/>
        </w:rPr>
        <w:t xml:space="preserve"> </w:t>
      </w:r>
      <w:r>
        <w:rPr>
          <w:rFonts w:cs="Arial"/>
          <w:b/>
          <w:bCs/>
          <w:i/>
          <w:iCs/>
          <w:szCs w:val="28"/>
        </w:rPr>
        <w:t>Perceptions towards benefits in adopting BIM</w:t>
      </w:r>
      <w:r>
        <w:t xml:space="preserve">  </w:t>
      </w:r>
    </w:p>
    <w:p w:rsidR="002A0BB5" w:rsidRDefault="00C41F8F">
      <w:pPr>
        <w:pStyle w:val="Newparagraph"/>
        <w:ind w:firstLine="0"/>
        <w:jc w:val="both"/>
        <w:rPr>
          <w:bCs/>
        </w:rPr>
      </w:pPr>
      <w:r>
        <w:rPr>
          <w:bCs/>
        </w:rPr>
        <w:t xml:space="preserve">In this section, survey participants were asked for their opinions on benefits of implementing BIM by choosing a numerical value from </w:t>
      </w:r>
      <w:r>
        <w:rPr>
          <w:bCs/>
          <w:i/>
          <w:iCs/>
        </w:rPr>
        <w:t>1</w:t>
      </w:r>
      <w:r>
        <w:rPr>
          <w:bCs/>
        </w:rPr>
        <w:t xml:space="preserve"> to </w:t>
      </w:r>
      <w:r>
        <w:rPr>
          <w:bCs/>
          <w:i/>
          <w:iCs/>
        </w:rPr>
        <w:t>6</w:t>
      </w:r>
      <w:r>
        <w:rPr>
          <w:bCs/>
        </w:rPr>
        <w:t xml:space="preserve"> for each Likert-scale item. With </w:t>
      </w:r>
      <w:r>
        <w:rPr>
          <w:bCs/>
          <w:i/>
          <w:iCs/>
        </w:rPr>
        <w:t>1</w:t>
      </w:r>
      <w:r>
        <w:rPr>
          <w:bCs/>
        </w:rPr>
        <w:t xml:space="preserve"> indicating </w:t>
      </w:r>
      <w:r>
        <w:rPr>
          <w:bCs/>
        </w:rPr>
        <w:lastRenderedPageBreak/>
        <w:t xml:space="preserve">“strongly disagree”, </w:t>
      </w:r>
      <w:r>
        <w:rPr>
          <w:bCs/>
          <w:i/>
          <w:iCs/>
        </w:rPr>
        <w:t>3</w:t>
      </w:r>
      <w:r>
        <w:rPr>
          <w:bCs/>
        </w:rPr>
        <w:t xml:space="preserve"> meaning “neutral”, </w:t>
      </w:r>
      <w:r>
        <w:rPr>
          <w:bCs/>
          <w:i/>
          <w:iCs/>
        </w:rPr>
        <w:t>5</w:t>
      </w:r>
      <w:r>
        <w:rPr>
          <w:bCs/>
        </w:rPr>
        <w:t xml:space="preserve"> standing for “strongly agree”, and an extra option </w:t>
      </w:r>
      <w:r>
        <w:rPr>
          <w:bCs/>
          <w:i/>
          <w:iCs/>
        </w:rPr>
        <w:t xml:space="preserve">6 </w:t>
      </w:r>
      <w:r>
        <w:rPr>
          <w:bCs/>
        </w:rPr>
        <w:t xml:space="preserve">given for those who were unsure of the answer, totally 13 Likert-scale items were included as shown in Table 4. Excluding the answers of </w:t>
      </w:r>
      <w:r>
        <w:rPr>
          <w:bCs/>
          <w:i/>
          <w:iCs/>
        </w:rPr>
        <w:t>6</w:t>
      </w:r>
      <w:r>
        <w:rPr>
          <w:bCs/>
        </w:rPr>
        <w:t xml:space="preserve">, the mean values and </w:t>
      </w:r>
      <w:r>
        <w:rPr>
          <w:bCs/>
          <w:i/>
        </w:rPr>
        <w:t>t</w:t>
      </w:r>
      <w:r>
        <w:rPr>
          <w:bCs/>
        </w:rPr>
        <w:t xml:space="preserve">-test results are presented in Table 4. </w:t>
      </w:r>
    </w:p>
    <w:p w:rsidR="002A0BB5" w:rsidRDefault="00C41F8F">
      <w:pPr>
        <w:pStyle w:val="Newparagraph"/>
        <w:ind w:firstLine="0"/>
        <w:jc w:val="center"/>
      </w:pPr>
      <w:r>
        <w:rPr>
          <w:bCs/>
          <w:lang w:val="en-US"/>
        </w:rPr>
        <w:t>&lt;Insert Table 4&gt;</w:t>
      </w:r>
    </w:p>
    <w:p w:rsidR="002A0BB5" w:rsidRDefault="00C41F8F">
      <w:pPr>
        <w:pStyle w:val="Newparagraph"/>
        <w:spacing w:after="0"/>
        <w:ind w:firstLine="426"/>
        <w:jc w:val="both"/>
        <w:rPr>
          <w:bCs/>
        </w:rPr>
      </w:pPr>
      <w:r>
        <w:rPr>
          <w:bCs/>
        </w:rPr>
        <w:t xml:space="preserve">All </w:t>
      </w:r>
      <w:r>
        <w:rPr>
          <w:bCs/>
          <w:i/>
        </w:rPr>
        <w:t>p</w:t>
      </w:r>
      <w:r>
        <w:rPr>
          <w:bCs/>
        </w:rPr>
        <w:t xml:space="preserve"> values higher than 0.05 in Table 4 indicate that Shanghai and Wenzhou respondents generally had consistent views on the benefits of adopting BIM. However, it seems that Wenzhou respondents had even more positive views on BIM benefits compared to Shanghai, because six out of 13 items (i.e., B1: reducing omissions and errors; B2: reducing rework; B3: better project quality; B4: offering new services; B5: marketing new business; and B6: increasing profits) received mean scores over 4.00, indicating Wenzhou respondents’ perception between “agree” and “strongly agree” towards these six items. In comparison, only four items (i.e., B1, B2, B3, and B4) received mean scores higher than 4.00 among Shanghai respondents. The </w:t>
      </w:r>
      <w:r>
        <w:rPr>
          <w:bCs/>
          <w:i/>
        </w:rPr>
        <w:t>RII</w:t>
      </w:r>
      <w:r>
        <w:rPr>
          <w:bCs/>
        </w:rPr>
        <w:t xml:space="preserve"> values, rankings, and internal consistency analysis listed in Table 5 would further indicate respondents’ perceptions towards these 13 BIM benefit-related items. </w:t>
      </w:r>
    </w:p>
    <w:p w:rsidR="002A0BB5" w:rsidRDefault="00C41F8F">
      <w:pPr>
        <w:pStyle w:val="Newparagraph"/>
        <w:spacing w:after="0"/>
        <w:ind w:firstLine="426"/>
        <w:jc w:val="center"/>
        <w:rPr>
          <w:bCs/>
        </w:rPr>
      </w:pPr>
      <w:r>
        <w:rPr>
          <w:bCs/>
          <w:lang w:val="en-US"/>
        </w:rPr>
        <w:t>&lt;Insert Table 5&gt;</w:t>
      </w:r>
    </w:p>
    <w:p w:rsidR="002A0BB5" w:rsidRDefault="00C41F8F">
      <w:pPr>
        <w:pStyle w:val="Newparagraph"/>
        <w:spacing w:after="0"/>
        <w:ind w:firstLine="426"/>
        <w:jc w:val="both"/>
      </w:pPr>
      <w:r>
        <w:rPr>
          <w:bCs/>
        </w:rPr>
        <w:t xml:space="preserve">According to Table 5, reducing omissions and errors in design and construction was ranked as the top benefit of using BIM among both Shanghai and Wenzhou respondents. Other highly ranked benefits from both Shanghai and Wenzhou groups included reducing rework, better project quality, and offering new services (e.g., BIM consultancy). Fewer claims/litigations and recruiting/maintaining employees were the two lowest ranked items marked by both Shanghai and Wenzhou respondents.   The high overall Cronbach’s Alpha values shown in Table 5 indicate that Shanghai, Wenzhou, and the combined sample had good or excellent internal consistencies, meaning that a survey participant who chose one numerical Likert scale score to one BIM benefit-related item would be more likely to have a similar opinion on other </w:t>
      </w:r>
      <w:r>
        <w:rPr>
          <w:bCs/>
        </w:rPr>
        <w:lastRenderedPageBreak/>
        <w:t xml:space="preserve">items in Table 5. All individual Cronbach’s Alpha values lower than the overall value for both Shanghai and the combined groups indicate that Shanghai respondents and the overall sample tended to have high internal consistency in viewing these BIM-benefit-related items. Exception were found in the Wenzhou sample, who perceived differently towards B2 and B13. Wenzhou respondents generally perceived high benefits of BIM in reducing rework and lower benefits of BIM in recruiting and retaining employees.  </w:t>
      </w:r>
    </w:p>
    <w:p w:rsidR="002A0BB5" w:rsidRDefault="00C41F8F">
      <w:pPr>
        <w:pStyle w:val="Paragraph"/>
        <w:spacing w:before="0" w:after="0"/>
        <w:jc w:val="both"/>
      </w:pPr>
      <w:r>
        <w:rPr>
          <w:bCs/>
        </w:rPr>
        <w:t xml:space="preserve"> </w:t>
      </w:r>
      <w:r>
        <w:rPr>
          <w:b/>
          <w:bCs/>
          <w:i/>
          <w:iCs/>
          <w:szCs w:val="28"/>
        </w:rPr>
        <w:t xml:space="preserve">Perceptions towards factors influencing BIM implementation </w:t>
      </w:r>
      <w:r>
        <w:t xml:space="preserve">  </w:t>
      </w:r>
    </w:p>
    <w:p w:rsidR="002A0BB5" w:rsidRDefault="00C41F8F">
      <w:pPr>
        <w:spacing w:after="0"/>
        <w:jc w:val="both"/>
        <w:rPr>
          <w:bCs/>
        </w:rPr>
      </w:pPr>
      <w:r>
        <w:rPr>
          <w:bCs/>
        </w:rPr>
        <w:t xml:space="preserve">Following the empirical study of benefits that could be achieved through BIM usage, the question was also asked as to what factors play key roles for successful BIM implementation in AEC projects. Totally 14 factors were generated and listed in Table 5. Survey participants were asked to assign a numerical score to each factor. The numerical score ranges from </w:t>
      </w:r>
      <w:r>
        <w:rPr>
          <w:bCs/>
          <w:i/>
          <w:iCs/>
        </w:rPr>
        <w:t xml:space="preserve">1 </w:t>
      </w:r>
      <w:r>
        <w:rPr>
          <w:bCs/>
        </w:rPr>
        <w:t xml:space="preserve">to </w:t>
      </w:r>
      <w:r>
        <w:rPr>
          <w:bCs/>
          <w:i/>
          <w:iCs/>
        </w:rPr>
        <w:t>6</w:t>
      </w:r>
      <w:r>
        <w:rPr>
          <w:bCs/>
        </w:rPr>
        <w:t xml:space="preserve">, with </w:t>
      </w:r>
      <w:r>
        <w:rPr>
          <w:bCs/>
          <w:i/>
          <w:iCs/>
        </w:rPr>
        <w:t xml:space="preserve">1 </w:t>
      </w:r>
      <w:r>
        <w:rPr>
          <w:bCs/>
        </w:rPr>
        <w:t xml:space="preserve">indicating “least significant”, </w:t>
      </w:r>
      <w:r>
        <w:rPr>
          <w:bCs/>
          <w:i/>
          <w:iCs/>
        </w:rPr>
        <w:t>2</w:t>
      </w:r>
      <w:r>
        <w:rPr>
          <w:bCs/>
        </w:rPr>
        <w:t xml:space="preserve"> being “insignificant”, </w:t>
      </w:r>
      <w:r>
        <w:rPr>
          <w:bCs/>
          <w:i/>
          <w:iCs/>
        </w:rPr>
        <w:t xml:space="preserve">3 </w:t>
      </w:r>
      <w:r>
        <w:rPr>
          <w:bCs/>
        </w:rPr>
        <w:t xml:space="preserve">meaning “neutral”, </w:t>
      </w:r>
      <w:r>
        <w:rPr>
          <w:bCs/>
          <w:i/>
          <w:iCs/>
        </w:rPr>
        <w:t>4</w:t>
      </w:r>
      <w:r>
        <w:rPr>
          <w:bCs/>
        </w:rPr>
        <w:t xml:space="preserve"> indicating “significant”, </w:t>
      </w:r>
      <w:r>
        <w:rPr>
          <w:bCs/>
          <w:i/>
          <w:iCs/>
        </w:rPr>
        <w:t>5</w:t>
      </w:r>
      <w:r>
        <w:rPr>
          <w:bCs/>
        </w:rPr>
        <w:t xml:space="preserve"> referring to “most significant”, and </w:t>
      </w:r>
      <w:r>
        <w:rPr>
          <w:bCs/>
          <w:i/>
          <w:iCs/>
        </w:rPr>
        <w:t>6</w:t>
      </w:r>
      <w:r>
        <w:rPr>
          <w:bCs/>
        </w:rPr>
        <w:t xml:space="preserve"> given for those who were unsure of the answer.  Excluding those who chose </w:t>
      </w:r>
      <w:r>
        <w:rPr>
          <w:bCs/>
          <w:i/>
          <w:iCs/>
        </w:rPr>
        <w:t>6</w:t>
      </w:r>
      <w:r>
        <w:rPr>
          <w:bCs/>
        </w:rPr>
        <w:t xml:space="preserve">, all the rest numerical answers were incorporated for the two-sample </w:t>
      </w:r>
      <w:r>
        <w:rPr>
          <w:bCs/>
          <w:i/>
        </w:rPr>
        <w:t>t</w:t>
      </w:r>
      <w:r>
        <w:rPr>
          <w:bCs/>
        </w:rPr>
        <w:t xml:space="preserve">-test as well as </w:t>
      </w:r>
      <w:r>
        <w:rPr>
          <w:bCs/>
          <w:i/>
        </w:rPr>
        <w:t>RII</w:t>
      </w:r>
      <w:r>
        <w:rPr>
          <w:bCs/>
        </w:rPr>
        <w:t xml:space="preserve"> and internal consistency analysis as presented in Table 6 and Table 7.   </w:t>
      </w:r>
    </w:p>
    <w:p w:rsidR="002A0BB5" w:rsidRDefault="00C41F8F">
      <w:pPr>
        <w:spacing w:after="0"/>
        <w:jc w:val="center"/>
        <w:rPr>
          <w:bCs/>
          <w:lang w:val="en-US" w:eastAsia="en-US"/>
        </w:rPr>
      </w:pPr>
      <w:r>
        <w:rPr>
          <w:bCs/>
          <w:lang w:val="en-US"/>
        </w:rPr>
        <w:t>&lt;Insert Table 6 here&gt;</w:t>
      </w:r>
    </w:p>
    <w:p w:rsidR="002A0BB5" w:rsidRDefault="002A0BB5">
      <w:pPr>
        <w:pStyle w:val="Newparagraph"/>
        <w:spacing w:after="0" w:line="240" w:lineRule="auto"/>
        <w:ind w:firstLine="0"/>
        <w:rPr>
          <w:rFonts w:eastAsiaTheme="minorEastAsia"/>
          <w:sz w:val="20"/>
          <w:szCs w:val="20"/>
          <w:lang w:val="en-US" w:eastAsia="en-US"/>
        </w:rPr>
      </w:pPr>
    </w:p>
    <w:p w:rsidR="002A0BB5" w:rsidRDefault="00C41F8F">
      <w:pPr>
        <w:pStyle w:val="Newparagraph"/>
        <w:ind w:firstLine="426"/>
        <w:jc w:val="both"/>
        <w:rPr>
          <w:bCs/>
          <w:lang w:eastAsia="zh-CN"/>
        </w:rPr>
      </w:pPr>
      <w:r>
        <w:rPr>
          <w:rFonts w:hint="eastAsia"/>
          <w:bCs/>
          <w:lang w:val="en-US" w:eastAsia="zh-CN"/>
        </w:rPr>
        <w:t xml:space="preserve">It </w:t>
      </w:r>
      <w:r>
        <w:rPr>
          <w:bCs/>
          <w:lang w:eastAsia="zh-CN"/>
        </w:rPr>
        <w:t>can be seen from Table 6 that Shanghai and Wenzhou survey participants generally held consistent views on these factors influencing BIM applications, except F4 (i.e., clients’ knowledge of BIM). Shanghai respondents perceived F4 a more significant influencing factor for BIM implementation, with the mean score above 4.00. Wenzhou respondents had the mean score of 3.60, showing the opinion between “neutral” and “significant”.</w:t>
      </w:r>
    </w:p>
    <w:p w:rsidR="002A0BB5" w:rsidRDefault="00C41F8F">
      <w:pPr>
        <w:pStyle w:val="Newparagraph"/>
        <w:ind w:firstLine="426"/>
        <w:jc w:val="center"/>
        <w:rPr>
          <w:bCs/>
        </w:rPr>
      </w:pPr>
      <w:r>
        <w:rPr>
          <w:rFonts w:eastAsiaTheme="minorEastAsia"/>
          <w:bCs/>
          <w:lang w:val="en-US" w:eastAsia="en-US"/>
        </w:rPr>
        <w:t>&lt;Insert Table 7&gt;</w:t>
      </w:r>
    </w:p>
    <w:p w:rsidR="002A0BB5" w:rsidRDefault="00C41F8F">
      <w:pPr>
        <w:pStyle w:val="Newparagraph"/>
        <w:spacing w:after="0"/>
        <w:ind w:firstLine="426"/>
        <w:jc w:val="both"/>
        <w:rPr>
          <w:bCs/>
          <w:sz w:val="21"/>
          <w:szCs w:val="22"/>
          <w:lang w:val="en-US" w:eastAsia="zh-CN"/>
        </w:rPr>
      </w:pPr>
      <w:r>
        <w:rPr>
          <w:bCs/>
          <w:lang w:eastAsia="zh-CN"/>
        </w:rPr>
        <w:lastRenderedPageBreak/>
        <w:t>From Table 7, i</w:t>
      </w:r>
      <w:r>
        <w:rPr>
          <w:rFonts w:hint="eastAsia"/>
          <w:bCs/>
          <w:lang w:val="en-US" w:eastAsia="zh-CN"/>
        </w:rPr>
        <w:t xml:space="preserve">t </w:t>
      </w:r>
      <w:r>
        <w:rPr>
          <w:bCs/>
          <w:lang w:eastAsia="zh-CN"/>
        </w:rPr>
        <w:t xml:space="preserve">can be further indicated that F1 (i.e., interoperability among BIM tools) was ranked as the top factor for successful BIM application in both Shanghai and Wenzhou respondents. Interoperability in BIM tools was also perceived as a major factor in BIM implementation in the earlier study of Jin et al. (2017a). Besides F1, F3 (i.e., project complexity) </w:t>
      </w:r>
      <w:r>
        <w:rPr>
          <w:bCs/>
          <w:lang w:val="en-US" w:eastAsia="zh-CN"/>
        </w:rPr>
        <w:t xml:space="preserve">was </w:t>
      </w:r>
      <w:r>
        <w:rPr>
          <w:bCs/>
          <w:lang w:eastAsia="zh-CN"/>
        </w:rPr>
        <w:t xml:space="preserve">another factor perceived with high priority by both Shanghai and Wenzhou respondents. Other factors ranked higher by Shanghai respondents with </w:t>
      </w:r>
      <w:r>
        <w:rPr>
          <w:bCs/>
          <w:i/>
          <w:iCs/>
          <w:lang w:eastAsia="zh-CN"/>
        </w:rPr>
        <w:t>RII</w:t>
      </w:r>
      <w:r>
        <w:rPr>
          <w:bCs/>
          <w:lang w:eastAsia="zh-CN"/>
        </w:rPr>
        <w:t xml:space="preserve"> value 0.800 (equivalent to mean score of Likert-scale item higher than 4.00) included F2 (number of BIM knowledgeable professionals on the project team). Nevertheless, Wenzhou respondents perceived F9 (project schedule) with a higher priority. Some less significant factors perceived by both Shanghai and Wenzhou respondents included F12 (project size), F13 (project location), and F14 (whether different staff within the same project work in the same location). Overall Cronbach’s Alpha values indicate good internal consistency among all the 14 items. There was only one item (i.e., F2) that was perceived differently in both Shanghai and Wenzhou respondents. The low Item-total Correlation value and higher Cronbach’s Alpha value for F2 mean that survey participants’ perceptions of number of BIM - knowledgeable professionals were not correlated to their views on other items.  </w:t>
      </w:r>
    </w:p>
    <w:p w:rsidR="002A0BB5" w:rsidRDefault="00C41F8F">
      <w:pPr>
        <w:pStyle w:val="Paragraph"/>
        <w:spacing w:before="0" w:after="0"/>
        <w:jc w:val="both"/>
      </w:pPr>
      <w:r>
        <w:rPr>
          <w:b/>
          <w:bCs/>
          <w:i/>
          <w:iCs/>
          <w:szCs w:val="28"/>
        </w:rPr>
        <w:t xml:space="preserve">Perceptions towards challenges encountered in BIM implementation </w:t>
      </w:r>
      <w:r>
        <w:t xml:space="preserve">  </w:t>
      </w:r>
    </w:p>
    <w:p w:rsidR="002A0BB5" w:rsidRDefault="00C41F8F">
      <w:pPr>
        <w:spacing w:after="0"/>
        <w:contextualSpacing/>
        <w:jc w:val="both"/>
        <w:rPr>
          <w:rFonts w:eastAsia="SimSun"/>
          <w:lang w:eastAsia="en-US"/>
        </w:rPr>
      </w:pPr>
      <w:r>
        <w:rPr>
          <w:bCs/>
          <w:lang w:eastAsia="en-US"/>
        </w:rPr>
        <w:t xml:space="preserve">Besides identifying the factors that significantly affect BIM’s successful application, the research team also investigated difficulties or challenges encountered in BIM implementation.  Nine Likert-scale items were asked in this category, with </w:t>
      </w:r>
      <w:r>
        <w:rPr>
          <w:bCs/>
          <w:i/>
          <w:iCs/>
          <w:lang w:eastAsia="en-US"/>
        </w:rPr>
        <w:t>1</w:t>
      </w:r>
      <w:r>
        <w:rPr>
          <w:rFonts w:eastAsia="SimSun"/>
          <w:lang w:eastAsia="en-US"/>
        </w:rPr>
        <w:t xml:space="preserve"> meaning</w:t>
      </w:r>
      <w:r>
        <w:rPr>
          <w:rFonts w:eastAsia="SimSun"/>
          <w:lang w:val="en-ZW" w:eastAsia="en-US"/>
        </w:rPr>
        <w:t xml:space="preserve"> </w:t>
      </w:r>
      <w:r>
        <w:rPr>
          <w:rFonts w:eastAsia="SimSun"/>
          <w:lang w:eastAsia="en-US"/>
        </w:rPr>
        <w:t>“very easy to overcome the given challenge”,</w:t>
      </w:r>
      <w:r>
        <w:rPr>
          <w:rFonts w:eastAsia="SimSun"/>
          <w:lang w:val="en-ZW" w:eastAsia="en-US"/>
        </w:rPr>
        <w:t xml:space="preserve"> </w:t>
      </w:r>
      <w:r>
        <w:rPr>
          <w:rFonts w:eastAsia="SimSun"/>
          <w:i/>
          <w:iCs/>
          <w:lang w:eastAsia="en-US"/>
        </w:rPr>
        <w:t xml:space="preserve">2 </w:t>
      </w:r>
      <w:r>
        <w:rPr>
          <w:rFonts w:eastAsia="SimSun"/>
          <w:lang w:eastAsia="en-US"/>
        </w:rPr>
        <w:t>indicating “n</w:t>
      </w:r>
      <w:r>
        <w:rPr>
          <w:rFonts w:eastAsia="SimSun"/>
          <w:lang w:val="en-ZW" w:eastAsia="en-US"/>
        </w:rPr>
        <w:t xml:space="preserve">ot </w:t>
      </w:r>
      <w:r>
        <w:rPr>
          <w:rFonts w:eastAsia="SimSun"/>
          <w:lang w:eastAsia="en-US"/>
        </w:rPr>
        <w:t>hard to overcome”,</w:t>
      </w:r>
      <w:r>
        <w:rPr>
          <w:rFonts w:eastAsia="SimSun"/>
          <w:lang w:val="en-ZW" w:eastAsia="en-US"/>
        </w:rPr>
        <w:t xml:space="preserve"> </w:t>
      </w:r>
      <w:r>
        <w:rPr>
          <w:rFonts w:eastAsia="SimSun"/>
          <w:i/>
          <w:iCs/>
          <w:lang w:eastAsia="en-US"/>
        </w:rPr>
        <w:t xml:space="preserve">3 </w:t>
      </w:r>
      <w:r>
        <w:rPr>
          <w:rFonts w:eastAsia="SimSun"/>
          <w:lang w:eastAsia="en-US"/>
        </w:rPr>
        <w:t>being</w:t>
      </w:r>
      <w:r>
        <w:rPr>
          <w:rFonts w:eastAsia="SimSun"/>
          <w:lang w:val="en-ZW" w:eastAsia="en-US"/>
        </w:rPr>
        <w:t xml:space="preserve"> </w:t>
      </w:r>
      <w:r>
        <w:rPr>
          <w:rFonts w:eastAsia="SimSun"/>
          <w:lang w:eastAsia="en-US"/>
        </w:rPr>
        <w:t>“n</w:t>
      </w:r>
      <w:r>
        <w:rPr>
          <w:rFonts w:eastAsia="SimSun"/>
          <w:lang w:val="en-ZW" w:eastAsia="en-US"/>
        </w:rPr>
        <w:t>eutral</w:t>
      </w:r>
      <w:r>
        <w:rPr>
          <w:rFonts w:eastAsia="SimSun"/>
          <w:lang w:eastAsia="en-US"/>
        </w:rPr>
        <w:t>”,</w:t>
      </w:r>
      <w:r>
        <w:rPr>
          <w:rFonts w:eastAsia="SimSun"/>
          <w:lang w:val="en-ZW" w:eastAsia="en-US"/>
        </w:rPr>
        <w:t xml:space="preserve"> </w:t>
      </w:r>
      <w:r>
        <w:rPr>
          <w:rFonts w:eastAsia="SimSun"/>
          <w:i/>
          <w:iCs/>
          <w:lang w:eastAsia="en-US"/>
        </w:rPr>
        <w:t xml:space="preserve">4 </w:t>
      </w:r>
      <w:r>
        <w:rPr>
          <w:rFonts w:eastAsia="SimSun"/>
          <w:lang w:eastAsia="en-US"/>
        </w:rPr>
        <w:t xml:space="preserve">referring to “difficult to overcome”, </w:t>
      </w:r>
      <w:r>
        <w:rPr>
          <w:rFonts w:eastAsia="SimSun"/>
          <w:i/>
          <w:iCs/>
          <w:lang w:eastAsia="en-US"/>
        </w:rPr>
        <w:t xml:space="preserve">5 </w:t>
      </w:r>
      <w:r>
        <w:rPr>
          <w:rFonts w:eastAsia="SimSun"/>
          <w:lang w:eastAsia="en-US"/>
        </w:rPr>
        <w:t xml:space="preserve">being “most difficult to overcome”, and the extra </w:t>
      </w:r>
      <w:r>
        <w:rPr>
          <w:rFonts w:eastAsia="SimSun"/>
          <w:i/>
          <w:iCs/>
          <w:lang w:eastAsia="en-US"/>
        </w:rPr>
        <w:t>6</w:t>
      </w:r>
      <w:r>
        <w:rPr>
          <w:rFonts w:eastAsia="SimSun"/>
          <w:lang w:eastAsia="en-US"/>
        </w:rPr>
        <w:t xml:space="preserve"> meaning “not sure of the answer”. The responses of </w:t>
      </w:r>
      <w:r>
        <w:rPr>
          <w:rFonts w:eastAsia="SimSun"/>
          <w:i/>
          <w:iCs/>
          <w:lang w:eastAsia="en-US"/>
        </w:rPr>
        <w:t xml:space="preserve">6 </w:t>
      </w:r>
      <w:r>
        <w:rPr>
          <w:rFonts w:eastAsia="SimSun"/>
          <w:lang w:eastAsia="en-US"/>
        </w:rPr>
        <w:t xml:space="preserve">were excluded from the statistical analysis, and the remaining numerical options for each item were calculated and summarized in Table 8 and Table 9.  </w:t>
      </w:r>
    </w:p>
    <w:p w:rsidR="002A0BB5" w:rsidRDefault="00C41F8F">
      <w:pPr>
        <w:spacing w:after="0"/>
        <w:contextualSpacing/>
        <w:jc w:val="center"/>
        <w:rPr>
          <w:rFonts w:eastAsia="SimSun"/>
          <w:lang w:eastAsia="en-US"/>
        </w:rPr>
      </w:pPr>
      <w:r>
        <w:rPr>
          <w:rFonts w:eastAsia="SimSun"/>
          <w:lang w:val="en-US" w:eastAsia="en-US"/>
        </w:rPr>
        <w:lastRenderedPageBreak/>
        <w:t>&lt;Insert Table 8&gt;</w:t>
      </w:r>
    </w:p>
    <w:p w:rsidR="002A0BB5" w:rsidRDefault="002A0BB5">
      <w:pPr>
        <w:pStyle w:val="Newparagraph"/>
        <w:spacing w:after="0" w:line="240" w:lineRule="auto"/>
        <w:ind w:firstLine="0"/>
        <w:rPr>
          <w:rFonts w:eastAsiaTheme="minorEastAsia"/>
          <w:sz w:val="20"/>
          <w:szCs w:val="20"/>
          <w:lang w:val="en-US" w:eastAsia="zh-CN"/>
        </w:rPr>
      </w:pPr>
    </w:p>
    <w:p w:rsidR="002A0BB5" w:rsidRDefault="00C41F8F">
      <w:pPr>
        <w:pStyle w:val="Newparagraph"/>
        <w:ind w:firstLine="426"/>
        <w:jc w:val="both"/>
        <w:rPr>
          <w:bCs/>
          <w:lang w:eastAsia="zh-CN"/>
        </w:rPr>
      </w:pPr>
      <w:r>
        <w:rPr>
          <w:bCs/>
          <w:lang w:eastAsia="zh-CN"/>
        </w:rPr>
        <w:t xml:space="preserve">Table 8 revealed that although generally Shanghai and Wenzhou respondents had consistent views on the difficulties associated with practising BIM, they held different opinions on the challenges related to effective training of BIM. Specifically, Shanghai respondents did not perceive BIM training as a barrier in BIM practice, but Wenzhou respondents held somewhat “neutral” view on BIM training.   </w:t>
      </w:r>
    </w:p>
    <w:p w:rsidR="002A0BB5" w:rsidRDefault="00C41F8F">
      <w:pPr>
        <w:pStyle w:val="Newparagraph"/>
        <w:ind w:firstLine="426"/>
        <w:jc w:val="center"/>
        <w:rPr>
          <w:lang w:val="en-US"/>
        </w:rPr>
      </w:pPr>
      <w:r>
        <w:rPr>
          <w:bCs/>
          <w:lang w:val="en-US" w:eastAsia="zh-CN"/>
        </w:rPr>
        <w:t>&lt;Insert Table 9&gt;</w:t>
      </w:r>
    </w:p>
    <w:p w:rsidR="002A0BB5" w:rsidRDefault="00C41F8F">
      <w:pPr>
        <w:pStyle w:val="Newparagraph"/>
        <w:spacing w:after="0"/>
        <w:ind w:firstLine="426"/>
        <w:jc w:val="both"/>
        <w:rPr>
          <w:bCs/>
          <w:lang w:eastAsia="zh-CN"/>
        </w:rPr>
      </w:pPr>
      <w:r>
        <w:rPr>
          <w:bCs/>
          <w:lang w:eastAsia="zh-CN"/>
        </w:rPr>
        <w:t xml:space="preserve">Table 8 and Table 9 indicated that none of these items were perceived difficult to overcome, as all items had Likert-scale mean scores below 4.00 and </w:t>
      </w:r>
      <w:r>
        <w:rPr>
          <w:bCs/>
          <w:i/>
          <w:iCs/>
          <w:lang w:eastAsia="zh-CN"/>
        </w:rPr>
        <w:t xml:space="preserve">RII </w:t>
      </w:r>
      <w:r>
        <w:rPr>
          <w:bCs/>
          <w:lang w:eastAsia="zh-CN"/>
        </w:rPr>
        <w:t xml:space="preserve">values below 0.800. The difficulty ranked highest by both Shanghai and Wenzhou respondents was D1, which referred to the sufficient evaluation of BIM value in AEC projects. Wenzhou respondents held the views between “neutral” and “difficult to overcome” for all the nine items. In contrast, Shanghai respondents perceived the following factors between “not difficult to overcome” and “neutral”:  D5 (lack of governmental regulation), D6 (cost upgrading hardware), D7 (cost of purchasing BIM software), D8 (cultural acceptance of BIM from entry-level staff), and D9 (effective BIM training), possibly due to the more established and longer history of BIM implementation in Shanghai compared to Wenzhou. All Cronbach’s Alpha values over 0.800 infer that all the three samples in Table 9 had good internal consistencies. However, exceptions were found in all of these samples. Shanghai respondents and the combined sample perceived D5 (i.e., lack of government regulation) differently as they normally did to other items. Wenzhou respondents held different views on D4 and D9. Basically, Wenzhou respondents were more likely to perceive more difficulties of the lack of client requirements and less challenges in effective training as they typically did to other challenge-related items in Table 9. </w:t>
      </w:r>
    </w:p>
    <w:p w:rsidR="00B74884" w:rsidRDefault="00B74884">
      <w:pPr>
        <w:pStyle w:val="Newparagraph"/>
        <w:spacing w:after="0"/>
        <w:ind w:firstLine="426"/>
        <w:jc w:val="both"/>
      </w:pPr>
    </w:p>
    <w:p w:rsidR="002A0BB5" w:rsidRDefault="00C41F8F">
      <w:pPr>
        <w:pStyle w:val="Newparagraph"/>
        <w:spacing w:after="0"/>
        <w:ind w:firstLine="0"/>
        <w:rPr>
          <w:rFonts w:cs="Arial"/>
          <w:b/>
          <w:bCs/>
          <w:i/>
          <w:iCs/>
          <w:szCs w:val="28"/>
        </w:rPr>
      </w:pPr>
      <w:r>
        <w:rPr>
          <w:rFonts w:cs="Arial"/>
          <w:b/>
          <w:bCs/>
          <w:i/>
          <w:iCs/>
          <w:szCs w:val="28"/>
        </w:rPr>
        <w:lastRenderedPageBreak/>
        <w:t xml:space="preserve">Perceptions on the risks associated within BIM practice </w:t>
      </w:r>
    </w:p>
    <w:p w:rsidR="002A0BB5" w:rsidRDefault="00C41F8F">
      <w:pPr>
        <w:pStyle w:val="Newparagraph"/>
        <w:spacing w:after="0"/>
        <w:ind w:firstLine="0"/>
        <w:jc w:val="both"/>
        <w:rPr>
          <w:lang w:val="en-US"/>
        </w:rPr>
      </w:pPr>
      <w:r>
        <w:t xml:space="preserve">Survey participants were also asked to rank their perceptions of risks associated with implementing BIM. These </w:t>
      </w:r>
      <w:r>
        <w:rPr>
          <w:lang w:val="en-US"/>
        </w:rPr>
        <w:t xml:space="preserve">risks were categorised into technical risks from T1 to T4, human resource related risks from H1 to H4, financial risks from E1 to E3, management risks from M1 to M3, and other risks from O1 to O4. The description of each risk item is provided in Table 10.  </w:t>
      </w:r>
    </w:p>
    <w:p w:rsidR="002A0BB5" w:rsidRDefault="00C41F8F">
      <w:pPr>
        <w:pStyle w:val="Newparagraph"/>
        <w:spacing w:after="0"/>
        <w:ind w:firstLine="0"/>
        <w:jc w:val="center"/>
        <w:rPr>
          <w:rFonts w:cs="Arial"/>
          <w:b/>
          <w:bCs/>
          <w:i/>
          <w:iCs/>
          <w:szCs w:val="28"/>
        </w:rPr>
      </w:pPr>
      <w:r>
        <w:rPr>
          <w:lang w:val="en-US"/>
        </w:rPr>
        <w:t>&lt;Insert Table 10&gt;</w:t>
      </w:r>
      <w:r>
        <w:rPr>
          <w:rFonts w:cs="Arial"/>
          <w:b/>
          <w:bCs/>
          <w:i/>
          <w:iCs/>
          <w:szCs w:val="28"/>
        </w:rPr>
        <w:t xml:space="preserve"> </w:t>
      </w:r>
    </w:p>
    <w:p w:rsidR="002A0BB5" w:rsidRDefault="00C41F8F">
      <w:pPr>
        <w:pStyle w:val="Newparagraph"/>
        <w:spacing w:after="0"/>
        <w:ind w:firstLine="426"/>
        <w:jc w:val="both"/>
        <w:rPr>
          <w:lang w:val="en-US"/>
        </w:rPr>
      </w:pPr>
      <w:r>
        <w:rPr>
          <w:lang w:val="en-US"/>
        </w:rPr>
        <w:t xml:space="preserve">Some risk items </w:t>
      </w:r>
      <w:r>
        <w:t xml:space="preserve">which </w:t>
      </w:r>
      <w:r>
        <w:rPr>
          <w:lang w:val="en-US"/>
        </w:rPr>
        <w:t>receiv</w:t>
      </w:r>
      <w:r>
        <w:t>ed</w:t>
      </w:r>
      <w:r>
        <w:rPr>
          <w:lang w:val="en-US"/>
        </w:rPr>
        <w:t xml:space="preserve"> significantly different percentages between </w:t>
      </w:r>
      <w:r>
        <w:t>Shanghai</w:t>
      </w:r>
      <w:r>
        <w:rPr>
          <w:lang w:val="en-US"/>
        </w:rPr>
        <w:t xml:space="preserve"> and </w:t>
      </w:r>
      <w:r>
        <w:t>Wenzhou</w:t>
      </w:r>
      <w:r>
        <w:rPr>
          <w:lang w:val="en-US"/>
        </w:rPr>
        <w:t xml:space="preserve"> respondents include: 1) a significant</w:t>
      </w:r>
      <w:r>
        <w:t>ly</w:t>
      </w:r>
      <w:r>
        <w:rPr>
          <w:lang w:val="en-US"/>
        </w:rPr>
        <w:t xml:space="preserve"> higher percentage (25%) of </w:t>
      </w:r>
      <w:r>
        <w:t>Wenzhou</w:t>
      </w:r>
      <w:r>
        <w:rPr>
          <w:lang w:val="en-US"/>
        </w:rPr>
        <w:t xml:space="preserve"> respondents considered applying BIM technology itself a major risk; 2) more </w:t>
      </w:r>
      <w:r>
        <w:t>Shanghai</w:t>
      </w:r>
      <w:r>
        <w:rPr>
          <w:lang w:val="en-US"/>
        </w:rPr>
        <w:t xml:space="preserve"> respondents (63%) considered the adoption of BIM technologies in their own AEC projects a major risk, compared to 36% </w:t>
      </w:r>
      <w:r>
        <w:t>for</w:t>
      </w:r>
      <w:r>
        <w:rPr>
          <w:lang w:val="en-US"/>
        </w:rPr>
        <w:t xml:space="preserve"> </w:t>
      </w:r>
      <w:r>
        <w:t>Wenzhou</w:t>
      </w:r>
      <w:r>
        <w:rPr>
          <w:lang w:val="en-US"/>
        </w:rPr>
        <w:t xml:space="preserve">; 3) a significantly higher percentage (81%) of </w:t>
      </w:r>
      <w:r>
        <w:t>Shanghai</w:t>
      </w:r>
      <w:r>
        <w:rPr>
          <w:lang w:val="en-US"/>
        </w:rPr>
        <w:t xml:space="preserve"> respondents perceived the adap</w:t>
      </w:r>
      <w:r>
        <w:t>ta</w:t>
      </w:r>
      <w:r>
        <w:rPr>
          <w:lang w:val="en-US"/>
        </w:rPr>
        <w:t xml:space="preserve">tion of management pattern due to BIM implementation a main risk. </w:t>
      </w:r>
    </w:p>
    <w:p w:rsidR="002A0BB5" w:rsidRDefault="00C41F8F">
      <w:pPr>
        <w:pStyle w:val="Newparagraph"/>
        <w:spacing w:after="0"/>
        <w:ind w:firstLine="426"/>
        <w:jc w:val="both"/>
        <w:rPr>
          <w:lang w:val="en-US"/>
        </w:rPr>
      </w:pPr>
      <w:r>
        <w:rPr>
          <w:lang w:val="en-US"/>
        </w:rPr>
        <w:t xml:space="preserve">Risks perceived </w:t>
      </w:r>
      <w:r>
        <w:t>with</w:t>
      </w:r>
      <w:r>
        <w:rPr>
          <w:lang w:val="en-US"/>
        </w:rPr>
        <w:t xml:space="preserve"> higher percentages of </w:t>
      </w:r>
      <w:r>
        <w:t>Shanghai</w:t>
      </w:r>
      <w:r>
        <w:rPr>
          <w:lang w:val="en-US"/>
        </w:rPr>
        <w:t xml:space="preserve"> and </w:t>
      </w:r>
      <w:r>
        <w:t>Wenzhou</w:t>
      </w:r>
      <w:r>
        <w:rPr>
          <w:lang w:val="en-US"/>
        </w:rPr>
        <w:t xml:space="preserve"> respondents included M3 (the transition of management pattern), H2 (lack of BIM knowledgeable employees), O4 (lack of industry standards), </w:t>
      </w:r>
      <w:proofErr w:type="gramStart"/>
      <w:r>
        <w:rPr>
          <w:lang w:val="en-US"/>
        </w:rPr>
        <w:t>T1(</w:t>
      </w:r>
      <w:proofErr w:type="gramEnd"/>
      <w:r>
        <w:rPr>
          <w:lang w:val="en-US"/>
        </w:rPr>
        <w:t xml:space="preserve">problems within BIM software), and E2(uncertainty within profit brought by BIM). All these risks were perceived by more than half of respondents in both </w:t>
      </w:r>
      <w:r>
        <w:t>Shanghai</w:t>
      </w:r>
      <w:r>
        <w:rPr>
          <w:lang w:val="en-US"/>
        </w:rPr>
        <w:t xml:space="preserve"> and </w:t>
      </w:r>
      <w:r>
        <w:t>Wenzhou</w:t>
      </w:r>
      <w:r>
        <w:rPr>
          <w:lang w:val="en-US"/>
        </w:rPr>
        <w:t xml:space="preserve">, </w:t>
      </w:r>
      <w:r>
        <w:t>a</w:t>
      </w:r>
      <w:r>
        <w:rPr>
          <w:lang w:val="en-US"/>
        </w:rPr>
        <w:t>cros</w:t>
      </w:r>
      <w:r>
        <w:t>s</w:t>
      </w:r>
      <w:r>
        <w:rPr>
          <w:lang w:val="en-US"/>
        </w:rPr>
        <w:t xml:space="preserve"> </w:t>
      </w:r>
      <w:r>
        <w:t xml:space="preserve">all </w:t>
      </w:r>
      <w:r>
        <w:rPr>
          <w:lang w:val="en-US"/>
        </w:rPr>
        <w:t xml:space="preserve">categories related to technical, human resources, financial, management, and other risks. It </w:t>
      </w:r>
      <w:r>
        <w:t>is</w:t>
      </w:r>
      <w:r>
        <w:rPr>
          <w:lang w:val="en-US"/>
        </w:rPr>
        <w:t xml:space="preserve"> indicated that successful implementation of BIM in AEC project would </w:t>
      </w:r>
      <w:r>
        <w:t>require a</w:t>
      </w:r>
      <w:r>
        <w:rPr>
          <w:lang w:val="en-US"/>
        </w:rPr>
        <w:t xml:space="preserve"> multi-criteria risk assessment</w:t>
      </w:r>
      <w:r>
        <w:t xml:space="preserve"> method</w:t>
      </w:r>
      <w:r>
        <w:rPr>
          <w:lang w:val="en-US"/>
        </w:rPr>
        <w:t xml:space="preserve">.   </w:t>
      </w:r>
    </w:p>
    <w:p w:rsidR="002A0BB5" w:rsidRDefault="002A0BB5">
      <w:pPr>
        <w:pStyle w:val="Newparagraph"/>
        <w:spacing w:after="0"/>
        <w:ind w:firstLine="426"/>
        <w:jc w:val="both"/>
        <w:rPr>
          <w:lang w:val="en-US"/>
        </w:rPr>
      </w:pPr>
    </w:p>
    <w:p w:rsidR="002A0BB5" w:rsidRDefault="002A0BB5">
      <w:pPr>
        <w:pStyle w:val="Newparagraph"/>
        <w:spacing w:after="0"/>
        <w:ind w:firstLine="426"/>
        <w:jc w:val="both"/>
        <w:rPr>
          <w:lang w:val="en-US"/>
        </w:rPr>
      </w:pPr>
    </w:p>
    <w:p w:rsidR="00B74884" w:rsidRDefault="00B74884">
      <w:pPr>
        <w:pStyle w:val="Newparagraph"/>
        <w:spacing w:after="0"/>
        <w:ind w:firstLine="426"/>
        <w:jc w:val="both"/>
        <w:rPr>
          <w:lang w:val="en-US"/>
        </w:rPr>
      </w:pPr>
    </w:p>
    <w:p w:rsidR="00B74884" w:rsidRDefault="00B74884">
      <w:pPr>
        <w:pStyle w:val="Newparagraph"/>
        <w:spacing w:after="0"/>
        <w:ind w:firstLine="426"/>
        <w:jc w:val="both"/>
        <w:rPr>
          <w:lang w:val="en-US"/>
        </w:rPr>
      </w:pPr>
    </w:p>
    <w:p w:rsidR="002A0BB5" w:rsidRDefault="00C41F8F">
      <w:pPr>
        <w:pStyle w:val="Paragraph"/>
        <w:spacing w:before="0" w:after="0"/>
        <w:rPr>
          <w:b/>
          <w:bCs/>
        </w:rPr>
      </w:pPr>
      <w:r>
        <w:rPr>
          <w:b/>
          <w:bCs/>
          <w:lang w:val="en-US"/>
        </w:rPr>
        <w:lastRenderedPageBreak/>
        <w:t xml:space="preserve">Research Findings and </w:t>
      </w:r>
      <w:r>
        <w:rPr>
          <w:b/>
          <w:bCs/>
        </w:rPr>
        <w:t>Discussion</w:t>
      </w:r>
    </w:p>
    <w:p w:rsidR="002A0BB5" w:rsidRDefault="00C41F8F">
      <w:pPr>
        <w:pStyle w:val="Newparagraph"/>
        <w:spacing w:after="0"/>
        <w:ind w:firstLine="0"/>
        <w:jc w:val="both"/>
      </w:pPr>
      <w:r>
        <w:t xml:space="preserve">A thorough literature review suggested that compared to other PM areas such as safety, there had not been sufficient development of BIM management-based knowledge framework. Due to the highly consistent measurement dimensions and subgroup comparison between safety and BIM, researchers first initiated the framework within BIM management by mapping safety related knowledge into that in BIM. BIM climate and BIM culture were proposed in the framework. Individual perceptions which defined BIM climate were measured by subgroup consistency and variations. To apply the initiated framework, an empirical case study highlighting regional variations of individual perceptions of BIM implementation was conducted within the context of China’s AEC industry. As suggested by Jin et al. (2017b), China has large regional variations in BIM implementation and lessons learned from BIM-leading regions (e.g., Shanghai) could provide guides for less BIM-developed regions. This study adopted the hypothesis that different metropolitan cities had inconsistent BIM climate defined by individual perceptions. Shanghai and Wenzhou were adopted as two samples for the comparative analysis of BIM climate in this research. Shanghai, due to its more developed BIM market in terms of both policy movement and AEC industry practice, had its BIM practitioners covering a wider range of different AEC professionals. Wenzhou, due to its less developed BIM market, had its BIM users limited to architects and engineers. It could also be inferred that Shanghai respondents were more likely to adopt international BIM software tools such as Autodesk (2017), Bentley (2017), and Dassualt (2017). In contrast, Wenzhou’s BIM users had higher percentages in adopting domestic software tools (e.g., Glondon, 2017; Hongye, 2017). The reason could be due to the fact that Shanghai is a more international and a diverse metropolitan city, with more overseas AEC firms and BIM software developers (e.g., Autodesk, 2017) establishing their regional offices there. </w:t>
      </w:r>
    </w:p>
    <w:p w:rsidR="002A0BB5" w:rsidRDefault="00C41F8F">
      <w:pPr>
        <w:pStyle w:val="Newparagraph"/>
        <w:spacing w:after="0"/>
        <w:ind w:firstLine="426"/>
        <w:jc w:val="both"/>
      </w:pPr>
      <w:r>
        <w:lastRenderedPageBreak/>
        <w:t xml:space="preserve">Although Shanghai and Wenzhou respondents held consistent views on most Likert-scale items related to benefits offered by BIM, factors impacting BIM’s successful application in AEC projects, and challenges encountered in BIM implementation, survey participants from Shanghai perceived clients’ knowledge on BIM a more significant factor impacting BIM application. This could be due to the fact that compared to Wenzhou respondents, Shanghai BIM practitioners were more experienced and had a deeper understanding of what factors were important for BIM to be successfully implemented.  Also it was found that Wenzhou respondents perceived BIM training more a challenge compared to Shanghai respondents. This could be because of less BIM experience that Wenzhou respondents had, as previously identified by Jin et al. (2017a) that gaining more BIM experience would change AEC practitioners’ mindset regarding the significance of the challenge pertaining to BIM training. Moreover, as Shanghai is more BIM-developed with more training resources available, those BIM practitioners from Shanghai would tend to perceive less difficulty in BIM training and education.  It was also understandable that Shanghai respondents perceived less difficulties of lacking governmental BIM regulation compared to Wenzhou counterparts, as Shanghai was one of the BIM active cities in China with better established government policy support. </w:t>
      </w:r>
    </w:p>
    <w:p w:rsidR="002A0BB5" w:rsidRDefault="00C41F8F">
      <w:pPr>
        <w:pStyle w:val="Newparagraph"/>
        <w:spacing w:after="0"/>
        <w:ind w:firstLine="426"/>
        <w:jc w:val="both"/>
      </w:pPr>
      <w:r>
        <w:t xml:space="preserve">The internal consistency analyses for Shanghai, Wenzhou, and the combined sample generally indicated satisfactory internal consistency for respondents’ perceptions towards BIM benefits, critical factors, and challenges encountered in BIM practice. Nevertheless, Wenzhou respondents had relative lower internal consistency compared to their peers from Shanghai. Specifically, they were more likely to perceive: 1) more BIM benefits in reducing rework; 2) fewer benefits in recruiting and retaining AEC employees; 3) more challenges in lack of client requirements; and 4) a lower degree of challenge from lack of effective training as they would view other challenge-related items. It was inferred that Wenzhou had less developed BIM </w:t>
      </w:r>
      <w:r>
        <w:lastRenderedPageBreak/>
        <w:t xml:space="preserve">market with less sophisticated clients requiring BIM adoption.  </w:t>
      </w:r>
      <w:r>
        <w:rPr>
          <w:bCs/>
          <w:lang w:eastAsia="zh-CN"/>
        </w:rPr>
        <w:t xml:space="preserve">Shanghai respondents tended to perceive more crucial of BIM-knowledgeable professionals on project teams.  </w:t>
      </w:r>
      <w:r>
        <w:t xml:space="preserve"> </w:t>
      </w:r>
    </w:p>
    <w:p w:rsidR="002A0BB5" w:rsidRDefault="00C41F8F">
      <w:pPr>
        <w:pStyle w:val="Newparagraph"/>
        <w:spacing w:after="0"/>
        <w:ind w:firstLine="426"/>
        <w:jc w:val="both"/>
      </w:pPr>
      <w:r>
        <w:t xml:space="preserve">Significant differences between Shanghai and Wenzhou respondents were also found in perceiving risks associated with BIM implementation. Specifically, more Wenzhou respondents considered the understanding and application of BIM technology itself a major risk, while more Shanghai respondents perceived the adaptation of BIM technology in their own AEC projects, as well as the adjustment of PM pattern due to BIM application as major risks. The differences in perceiving these three risk items between Shanghai and Wenzhou respondents could also be explained by the different BIM maturity levels and experience between these two metropolitan cities. As Shanghai BIM users had more experience in adopting BIM in their AEC projects, they would tend to experience more risks from PM level and how BIM could better be adapted into their own AEC projects (e.g., interoperability among different BIM tools in one single project). As Wenzhou practitioners were mostly at beginning stages of learning and gradually applying BIM, they were more likely to view more risks in understanding and adopting the BIM technology. Although Shanghai represents regions with leading BIM practices in China, they still perceived, consistently with their Wenzhou counterparts, the lack of industry standard as one major risk in practicing BIM. It was also inferred that multiple risks covering technical, human resources, financial, management, and other aspects should be considered for successful implementation of BIM.      </w:t>
      </w:r>
    </w:p>
    <w:p w:rsidR="002A0BB5" w:rsidRDefault="00C41F8F">
      <w:pPr>
        <w:pStyle w:val="Newparagraph"/>
        <w:spacing w:after="0"/>
        <w:ind w:firstLine="426"/>
        <w:jc w:val="both"/>
      </w:pPr>
      <w:r>
        <w:t xml:space="preserve">The established BIM climate-based framework was applied to comparison between subgroups from different regions. The regional variation in BIM experience levels in this empirical study was found correlated to certain degree of differences in BIM climate. Following the framework described in Fig.2, future studies of BIM implementation could expand the current individual perception-based BIM climate to organization-based BIM culture.   </w:t>
      </w:r>
    </w:p>
    <w:p w:rsidR="002A0BB5" w:rsidRDefault="00C41F8F">
      <w:pPr>
        <w:pStyle w:val="Newparagraph"/>
        <w:spacing w:after="0"/>
        <w:ind w:firstLine="0"/>
        <w:rPr>
          <w:b/>
          <w:bCs/>
        </w:rPr>
      </w:pPr>
      <w:r>
        <w:rPr>
          <w:b/>
          <w:bCs/>
        </w:rPr>
        <w:lastRenderedPageBreak/>
        <w:t xml:space="preserve">Conclusions </w:t>
      </w:r>
    </w:p>
    <w:p w:rsidR="002A0BB5" w:rsidRPr="00B74884" w:rsidRDefault="00C41F8F">
      <w:pPr>
        <w:pStyle w:val="Newparagraph"/>
        <w:spacing w:after="0"/>
        <w:ind w:firstLine="0"/>
        <w:jc w:val="both"/>
      </w:pPr>
      <w:r>
        <w:t xml:space="preserve">This study adopted a holistic approach by first initiating a BIM climate-involved framework aiming to fill the current knowledge gap in BIM-related management, followed by an empirical case study applying the framework. In the empirical study, BIM climate, which was measured by AEC practitioners’ perceptions towards benefits, influencing factors, challenges, and risks related to BIM implementation, was studied addressing the subgroup comparisons for BIM users from different regions within the context of China’s AEC industry. Individual perceptions were compared between Shanghai and Wenzhou, which represented a BIM-leading city and a less BIM-mature metropolitan area respectively. The questionnaire survey revealed that Shanghai respondents had more BIM experience in terms of years of BIM usage than their Wenzhou counterparts. Some significantly different perceptions of BIM, such as the difficulty of sufficient BIM training, the risk of adopting BIM technology, and the risk of properly adjusting project management pattern, could be explained by the fact that Shanghai, as one of the few BIM leading metropolitan cities in China, had a wider BIM application in its AEC projects. </w:t>
      </w:r>
      <w:r w:rsidRPr="00B74884">
        <w:t xml:space="preserve">The comparative analysis between Shanghai and Wenzhou served as a case study of regional comparison in the established BIM climate related framework. It was concluded from this case study that regional variations caused by different BIM experience levels would </w:t>
      </w:r>
      <w:r w:rsidR="007069E8" w:rsidRPr="00B74884">
        <w:t>result in</w:t>
      </w:r>
      <w:r w:rsidRPr="00B74884">
        <w:t xml:space="preserve"> different BIM climate. The empirical study could be further extended to investigate BIM climate in other countries with regional variation</w:t>
      </w:r>
      <w:r w:rsidR="00700A50" w:rsidRPr="00B74884">
        <w:t>s</w:t>
      </w:r>
      <w:r w:rsidRPr="00B74884">
        <w:t xml:space="preserve">. The initiated BIM knowledge framework could be further developed by incorporating more subgroup comparisons and organization-based BIM culture. </w:t>
      </w:r>
    </w:p>
    <w:p w:rsidR="002A0BB5" w:rsidRPr="00B74884" w:rsidRDefault="00C41F8F">
      <w:pPr>
        <w:pStyle w:val="Newparagraph"/>
        <w:spacing w:after="0"/>
        <w:ind w:firstLine="426"/>
        <w:jc w:val="both"/>
      </w:pPr>
      <w:r w:rsidRPr="00B74884">
        <w:t xml:space="preserve">The contribution of this study is two-fold, from both scholarly and practical perspectives. In the scholarly aspect, </w:t>
      </w:r>
      <w:r w:rsidRPr="00B74884">
        <w:rPr>
          <w:lang w:val="en-US"/>
        </w:rPr>
        <w:t>the study initiated the f</w:t>
      </w:r>
      <w:r w:rsidR="009368F9" w:rsidRPr="00B74884">
        <w:rPr>
          <w:lang w:val="en-US"/>
        </w:rPr>
        <w:t xml:space="preserve">ramework for linking BIM climate </w:t>
      </w:r>
      <w:r w:rsidRPr="00B74884">
        <w:rPr>
          <w:lang w:val="en-US"/>
        </w:rPr>
        <w:t>to BIM culture. T</w:t>
      </w:r>
      <w:r w:rsidRPr="00B74884">
        <w:t xml:space="preserve">he proposed BIM climate measured by individual perceptions addressing regional comparisons contributes to the existing knowledge within managerial BIM. The framework </w:t>
      </w:r>
      <w:r w:rsidRPr="00B74884">
        <w:lastRenderedPageBreak/>
        <w:t>can be applied to the context</w:t>
      </w:r>
      <w:r w:rsidR="009368F9" w:rsidRPr="00B74884">
        <w:t xml:space="preserve"> of BIM climate</w:t>
      </w:r>
      <w:r w:rsidRPr="00B74884">
        <w:t xml:space="preserve"> in other countries; practically, the comparative study suggests that policy makers and other stakeholders that work on promoting BIM usage and establishing BIM standards/guidelines should consider the local BIM climate, as those metropolitan cities (e.g., Wenzhou) with less BIM experience may have different BIM climate. </w:t>
      </w:r>
    </w:p>
    <w:p w:rsidR="002A0BB5" w:rsidRPr="00B74884" w:rsidRDefault="00C41F8F">
      <w:pPr>
        <w:pStyle w:val="Newparagraph"/>
        <w:spacing w:after="0"/>
        <w:ind w:firstLine="426"/>
        <w:jc w:val="both"/>
      </w:pPr>
      <w:r w:rsidRPr="00B74884">
        <w:t xml:space="preserve">This study would lead to future research in: </w:t>
      </w:r>
      <w:r w:rsidRPr="00B74884">
        <w:rPr>
          <w:lang w:val="en-US"/>
        </w:rPr>
        <w:t>1)</w:t>
      </w:r>
      <w:r w:rsidRPr="00B74884">
        <w:t xml:space="preserve"> continuous development of BIM climate</w:t>
      </w:r>
      <w:r w:rsidRPr="00B74884">
        <w:rPr>
          <w:lang w:val="en-US"/>
        </w:rPr>
        <w:t xml:space="preserve"> and </w:t>
      </w:r>
      <w:r w:rsidRPr="00B74884">
        <w:t>BIM culture within BIM knowledge system;</w:t>
      </w:r>
      <w:r w:rsidRPr="00B74884">
        <w:rPr>
          <w:lang w:val="en-US"/>
        </w:rPr>
        <w:t xml:space="preserve"> </w:t>
      </w:r>
      <w:r w:rsidRPr="00B74884">
        <w:t>2) the effects of AEC organi</w:t>
      </w:r>
      <w:r w:rsidR="009368F9" w:rsidRPr="00B74884">
        <w:t>zation size i</w:t>
      </w:r>
      <w:r w:rsidRPr="00B74884">
        <w:t xml:space="preserve">n individual perceptions; </w:t>
      </w:r>
      <w:r w:rsidRPr="00B74884">
        <w:rPr>
          <w:lang w:val="en-US"/>
        </w:rPr>
        <w:t>3</w:t>
      </w:r>
      <w:r w:rsidRPr="00B74884">
        <w:t xml:space="preserve">) extension of BIM climate to BIM culture within the organizational context; and 4) sub-culture within BIM management considering social, economic, and environmental dynamics. </w:t>
      </w:r>
    </w:p>
    <w:p w:rsidR="002A0BB5" w:rsidRDefault="002A0BB5">
      <w:pPr>
        <w:pStyle w:val="Newparagraph"/>
        <w:spacing w:after="0"/>
        <w:ind w:firstLine="426"/>
        <w:jc w:val="both"/>
      </w:pPr>
    </w:p>
    <w:p w:rsidR="002A0BB5" w:rsidRDefault="00C41F8F">
      <w:pPr>
        <w:pStyle w:val="Newparagraph"/>
        <w:spacing w:after="0"/>
        <w:ind w:firstLine="0"/>
        <w:rPr>
          <w:b/>
          <w:bCs/>
        </w:rPr>
      </w:pPr>
      <w:r>
        <w:rPr>
          <w:b/>
          <w:bCs/>
        </w:rPr>
        <w:t>Data Availability Statement</w:t>
      </w:r>
    </w:p>
    <w:p w:rsidR="002A0BB5" w:rsidRDefault="00C41F8F">
      <w:pPr>
        <w:pStyle w:val="Newparagraph"/>
        <w:spacing w:after="0"/>
        <w:ind w:firstLine="426"/>
        <w:jc w:val="both"/>
      </w:pPr>
      <w:r>
        <w:t>Data generated or analyzed during the study are available from the corresponding author by request.</w:t>
      </w:r>
    </w:p>
    <w:p w:rsidR="002A0BB5" w:rsidRDefault="002A0BB5">
      <w:pPr>
        <w:pStyle w:val="Newparagraph"/>
        <w:spacing w:after="0"/>
        <w:ind w:firstLine="0"/>
        <w:jc w:val="both"/>
      </w:pPr>
    </w:p>
    <w:p w:rsidR="002A0BB5" w:rsidRDefault="00C41F8F">
      <w:pPr>
        <w:pStyle w:val="Newparagraph"/>
        <w:spacing w:after="0"/>
        <w:ind w:firstLine="0"/>
        <w:rPr>
          <w:b/>
          <w:bCs/>
        </w:rPr>
      </w:pPr>
      <w:r>
        <w:rPr>
          <w:b/>
          <w:bCs/>
        </w:rPr>
        <w:t xml:space="preserve">Acknowledgement </w:t>
      </w:r>
    </w:p>
    <w:p w:rsidR="002A0BB5" w:rsidRDefault="00C41F8F">
      <w:pPr>
        <w:pStyle w:val="Newparagraph"/>
        <w:spacing w:after="0"/>
        <w:ind w:firstLine="0"/>
        <w:jc w:val="both"/>
      </w:pPr>
      <w:r>
        <w:t>The research team would like to acknowledge the support from Shanghai Pujiang Program</w:t>
      </w:r>
      <w:r>
        <w:rPr>
          <w:rFonts w:hint="eastAsia"/>
        </w:rPr>
        <w:t xml:space="preserve"> (</w:t>
      </w:r>
      <w:r>
        <w:t>Project No.16PJ1432400</w:t>
      </w:r>
      <w:r>
        <w:rPr>
          <w:rFonts w:hint="eastAsia"/>
        </w:rPr>
        <w:t>)</w:t>
      </w:r>
      <w:r>
        <w:t xml:space="preserve">, Canton Guangjian Project Management Co. (Contract No.: 2014-8), and Canton Dianbai No.2 Construction Co. (Contract No.: 2017-17).   </w:t>
      </w:r>
    </w:p>
    <w:p w:rsidR="002A0BB5" w:rsidRDefault="002A0BB5">
      <w:pPr>
        <w:pStyle w:val="Newparagraph"/>
        <w:spacing w:after="0"/>
        <w:ind w:firstLine="0"/>
        <w:jc w:val="both"/>
      </w:pPr>
    </w:p>
    <w:p w:rsidR="002A0BB5" w:rsidRDefault="00C41F8F">
      <w:pPr>
        <w:pStyle w:val="Newparagraph"/>
        <w:spacing w:after="0"/>
        <w:ind w:firstLine="0"/>
        <w:rPr>
          <w:b/>
          <w:bCs/>
        </w:rPr>
      </w:pPr>
      <w:r>
        <w:rPr>
          <w:b/>
          <w:bCs/>
        </w:rPr>
        <w:t>Supplemental Data</w:t>
      </w:r>
    </w:p>
    <w:p w:rsidR="002A0BB5" w:rsidRDefault="00C41F8F">
      <w:pPr>
        <w:pStyle w:val="Newparagraph"/>
        <w:spacing w:after="0"/>
        <w:ind w:firstLine="0"/>
      </w:pPr>
      <w:r>
        <w:t xml:space="preserve">The questionnaire is available on-line in the ASCE Library (ascelibrary.org). </w:t>
      </w:r>
    </w:p>
    <w:p w:rsidR="002A0BB5" w:rsidRDefault="002A0BB5">
      <w:pPr>
        <w:pStyle w:val="Newparagraph"/>
        <w:spacing w:after="0"/>
        <w:ind w:firstLine="0"/>
        <w:rPr>
          <w:b/>
          <w:bCs/>
        </w:rPr>
      </w:pPr>
    </w:p>
    <w:p w:rsidR="002A0BB5" w:rsidRDefault="002A0BB5">
      <w:pPr>
        <w:pStyle w:val="Newparagraph"/>
        <w:spacing w:after="0"/>
        <w:ind w:firstLine="0"/>
        <w:rPr>
          <w:b/>
          <w:bCs/>
        </w:rPr>
      </w:pPr>
    </w:p>
    <w:p w:rsidR="002A0BB5" w:rsidRDefault="002A0BB5">
      <w:pPr>
        <w:pStyle w:val="Newparagraph"/>
        <w:spacing w:after="0"/>
        <w:ind w:firstLine="0"/>
        <w:rPr>
          <w:b/>
          <w:bCs/>
        </w:rPr>
      </w:pPr>
    </w:p>
    <w:p w:rsidR="002A0BB5" w:rsidRDefault="002A0BB5">
      <w:pPr>
        <w:pStyle w:val="Newparagraph"/>
        <w:spacing w:after="0"/>
        <w:ind w:firstLine="0"/>
        <w:rPr>
          <w:b/>
          <w:bCs/>
        </w:rPr>
      </w:pPr>
    </w:p>
    <w:p w:rsidR="002A0BB5" w:rsidRDefault="00C41F8F">
      <w:pPr>
        <w:pStyle w:val="Newparagraph"/>
        <w:spacing w:after="0"/>
        <w:ind w:firstLine="0"/>
        <w:rPr>
          <w:b/>
          <w:bCs/>
        </w:rPr>
      </w:pPr>
      <w:r>
        <w:rPr>
          <w:b/>
          <w:bCs/>
        </w:rPr>
        <w:lastRenderedPageBreak/>
        <w:t xml:space="preserve">Reference </w:t>
      </w:r>
    </w:p>
    <w:p w:rsidR="002A0BB5" w:rsidRDefault="00C41F8F">
      <w:pPr>
        <w:tabs>
          <w:tab w:val="left" w:pos="9360"/>
        </w:tabs>
        <w:spacing w:after="0" w:line="240" w:lineRule="auto"/>
        <w:ind w:left="567" w:hanging="283"/>
        <w:jc w:val="both"/>
        <w:rPr>
          <w:rFonts w:eastAsia="SimSun"/>
          <w:lang w:val="en-US"/>
        </w:rPr>
      </w:pPr>
      <w:r>
        <w:rPr>
          <w:rFonts w:eastAsia="SimSun"/>
          <w:iCs/>
          <w:lang w:val="en-US"/>
        </w:rPr>
        <w:t>Ahmad, Z., Thaheem, M.J., and Maqsoom, A. (2018). “Building information modeling as a risk transformer: An evolutionary insight into the project uncertainty.”</w:t>
      </w:r>
      <w:r>
        <w:rPr>
          <w:rFonts w:eastAsia="SimSun"/>
        </w:rPr>
        <w:t xml:space="preserve"> </w:t>
      </w:r>
      <w:r>
        <w:rPr>
          <w:rFonts w:eastAsia="SimSun"/>
          <w:i/>
          <w:lang w:val="en-US"/>
        </w:rPr>
        <w:t>Auto</w:t>
      </w:r>
      <w:r>
        <w:rPr>
          <w:rFonts w:eastAsia="SimSun"/>
          <w:i/>
        </w:rPr>
        <w:t xml:space="preserve">m. </w:t>
      </w:r>
      <w:r>
        <w:rPr>
          <w:rFonts w:eastAsia="SimSun"/>
          <w:i/>
          <w:lang w:val="en-US"/>
        </w:rPr>
        <w:t>Constr</w:t>
      </w:r>
      <w:r>
        <w:rPr>
          <w:rFonts w:eastAsia="SimSun"/>
          <w:i/>
        </w:rPr>
        <w:t>.</w:t>
      </w:r>
      <w:r>
        <w:rPr>
          <w:rFonts w:eastAsia="SimSun"/>
          <w:i/>
          <w:lang w:val="en-US"/>
        </w:rPr>
        <w:t xml:space="preserve">, </w:t>
      </w:r>
      <w:r>
        <w:rPr>
          <w:rFonts w:eastAsia="SimSun"/>
          <w:lang w:val="en-US"/>
        </w:rPr>
        <w:t>92, 103–119.</w:t>
      </w:r>
    </w:p>
    <w:p w:rsidR="002A0BB5" w:rsidRDefault="00C41F8F">
      <w:pPr>
        <w:tabs>
          <w:tab w:val="left" w:pos="9360"/>
        </w:tabs>
        <w:spacing w:after="0" w:line="240" w:lineRule="auto"/>
        <w:ind w:left="568" w:hanging="284"/>
        <w:jc w:val="both"/>
        <w:rPr>
          <w:rFonts w:eastAsia="SimSun"/>
          <w:iCs/>
          <w:lang w:val="en-US"/>
        </w:rPr>
      </w:pPr>
      <w:r>
        <w:rPr>
          <w:rFonts w:eastAsia="SimSun"/>
          <w:iCs/>
          <w:lang w:val="en-US"/>
        </w:rPr>
        <w:t xml:space="preserve">Ahn, A.H., Kwak, Y.H., </w:t>
      </w:r>
      <w:r>
        <w:rPr>
          <w:rFonts w:eastAsia="SimSun"/>
          <w:iCs/>
        </w:rPr>
        <w:t>and</w:t>
      </w:r>
      <w:r>
        <w:rPr>
          <w:rFonts w:eastAsia="SimSun"/>
          <w:iCs/>
          <w:lang w:val="en-US"/>
        </w:rPr>
        <w:t xml:space="preserve"> Suk, S.J. (2015). </w:t>
      </w:r>
      <w:r>
        <w:rPr>
          <w:rFonts w:eastAsia="SimSun"/>
          <w:iCs/>
        </w:rPr>
        <w:t>“</w:t>
      </w:r>
      <w:r>
        <w:rPr>
          <w:rFonts w:eastAsia="SimSun"/>
          <w:iCs/>
          <w:lang w:val="en-US"/>
        </w:rPr>
        <w:t>Contractors’ transformation strategies for adopting building information modelling.</w:t>
      </w:r>
      <w:r>
        <w:rPr>
          <w:rFonts w:eastAsia="SimSun"/>
          <w:iCs/>
        </w:rPr>
        <w:t>”</w:t>
      </w:r>
      <w:r>
        <w:rPr>
          <w:rFonts w:eastAsia="SimSun"/>
          <w:iCs/>
          <w:lang w:val="en-US"/>
        </w:rPr>
        <w:t xml:space="preserve"> </w:t>
      </w:r>
      <w:r>
        <w:rPr>
          <w:rFonts w:eastAsia="SimSun"/>
          <w:i/>
          <w:iCs/>
          <w:lang w:val="en-US"/>
        </w:rPr>
        <w:t>J</w:t>
      </w:r>
      <w:r>
        <w:rPr>
          <w:rFonts w:eastAsia="SimSun"/>
          <w:i/>
          <w:iCs/>
        </w:rPr>
        <w:t xml:space="preserve">. </w:t>
      </w:r>
      <w:r>
        <w:rPr>
          <w:rFonts w:eastAsia="SimSun"/>
          <w:i/>
          <w:iCs/>
          <w:lang w:val="en-US"/>
        </w:rPr>
        <w:t>Manag</w:t>
      </w:r>
      <w:r>
        <w:rPr>
          <w:rFonts w:eastAsia="SimSun"/>
          <w:i/>
          <w:iCs/>
        </w:rPr>
        <w:t>e.</w:t>
      </w:r>
      <w:r>
        <w:rPr>
          <w:rFonts w:eastAsia="SimSun"/>
          <w:i/>
          <w:iCs/>
          <w:lang w:val="en-US"/>
        </w:rPr>
        <w:t xml:space="preserve"> Eng</w:t>
      </w:r>
      <w:r>
        <w:rPr>
          <w:rFonts w:eastAsia="SimSun"/>
          <w:i/>
          <w:iCs/>
        </w:rPr>
        <w:t>.</w:t>
      </w:r>
      <w:r>
        <w:rPr>
          <w:rFonts w:eastAsia="SimSun"/>
          <w:iCs/>
          <w:lang w:val="en-US"/>
        </w:rPr>
        <w:t>, 32(1), DOI: 10.1061</w:t>
      </w:r>
      <w:proofErr w:type="gramStart"/>
      <w:r>
        <w:rPr>
          <w:rFonts w:eastAsia="SimSun"/>
          <w:iCs/>
          <w:lang w:val="en-US"/>
        </w:rPr>
        <w:t>/(</w:t>
      </w:r>
      <w:proofErr w:type="gramEnd"/>
      <w:r>
        <w:rPr>
          <w:rFonts w:eastAsia="SimSun"/>
          <w:iCs/>
          <w:lang w:val="en-US"/>
        </w:rPr>
        <w:t>ASCE)ME.1943-5479.0000390.</w:t>
      </w:r>
    </w:p>
    <w:p w:rsidR="002A0BB5" w:rsidRDefault="00C41F8F">
      <w:pPr>
        <w:tabs>
          <w:tab w:val="left" w:pos="9360"/>
        </w:tabs>
        <w:spacing w:after="0" w:line="240" w:lineRule="auto"/>
        <w:ind w:left="568" w:hanging="284"/>
        <w:jc w:val="both"/>
        <w:rPr>
          <w:rFonts w:eastAsia="SimSun"/>
          <w:iCs/>
          <w:lang w:val="en-US"/>
        </w:rPr>
      </w:pPr>
      <w:r>
        <w:rPr>
          <w:rFonts w:eastAsia="SimSun"/>
          <w:iCs/>
          <w:lang w:val="en-US"/>
        </w:rPr>
        <w:t xml:space="preserve">Aksorn, T., </w:t>
      </w:r>
      <w:r>
        <w:rPr>
          <w:rFonts w:eastAsia="SimSun"/>
          <w:iCs/>
        </w:rPr>
        <w:t xml:space="preserve">and </w:t>
      </w:r>
      <w:r>
        <w:rPr>
          <w:rFonts w:eastAsia="SimSun"/>
          <w:iCs/>
          <w:lang w:val="en-US"/>
        </w:rPr>
        <w:t xml:space="preserve">Hadikusumo, B.H.W. (2008). </w:t>
      </w:r>
      <w:r>
        <w:rPr>
          <w:rFonts w:eastAsia="SimSun"/>
          <w:iCs/>
        </w:rPr>
        <w:t>“</w:t>
      </w:r>
      <w:r>
        <w:rPr>
          <w:rFonts w:eastAsia="SimSun"/>
          <w:iCs/>
          <w:lang w:val="en-US"/>
        </w:rPr>
        <w:t>Critical success factors influencing safety program performance in Thai construction projects.</w:t>
      </w:r>
      <w:r>
        <w:rPr>
          <w:rFonts w:eastAsia="SimSun"/>
          <w:iCs/>
        </w:rPr>
        <w:t xml:space="preserve">” </w:t>
      </w:r>
      <w:r>
        <w:rPr>
          <w:rFonts w:eastAsia="SimSun"/>
          <w:i/>
          <w:lang w:val="en-US"/>
        </w:rPr>
        <w:t>Safety Sci</w:t>
      </w:r>
      <w:r>
        <w:rPr>
          <w:rFonts w:eastAsia="SimSun"/>
          <w:i/>
        </w:rPr>
        <w:t>.,</w:t>
      </w:r>
      <w:r>
        <w:rPr>
          <w:rFonts w:eastAsia="SimSun"/>
          <w:iCs/>
          <w:lang w:val="en-US"/>
        </w:rPr>
        <w:t xml:space="preserve"> 46 (4), 709-727.</w:t>
      </w:r>
    </w:p>
    <w:p w:rsidR="002A0BB5" w:rsidRDefault="00C41F8F">
      <w:pPr>
        <w:tabs>
          <w:tab w:val="left" w:pos="9360"/>
        </w:tabs>
        <w:spacing w:after="0" w:line="240" w:lineRule="auto"/>
        <w:ind w:left="567" w:hanging="283"/>
        <w:jc w:val="both"/>
        <w:rPr>
          <w:rFonts w:eastAsia="SimSun"/>
          <w:iCs/>
          <w:lang w:val="en-US"/>
        </w:rPr>
      </w:pPr>
      <w:r>
        <w:rPr>
          <w:rFonts w:eastAsia="SimSun"/>
          <w:iCs/>
          <w:lang w:val="en-US"/>
        </w:rPr>
        <w:t xml:space="preserve">Autodesk (2017). Available via </w:t>
      </w:r>
      <w:hyperlink r:id="rId10" w:history="1">
        <w:r>
          <w:rPr>
            <w:rStyle w:val="Hyperlink"/>
            <w:rFonts w:eastAsia="SimSun"/>
            <w:iCs/>
            <w:lang w:val="en-US"/>
          </w:rPr>
          <w:t>https://www.autodesk.com/company</w:t>
        </w:r>
      </w:hyperlink>
      <w:r>
        <w:rPr>
          <w:rFonts w:eastAsia="SimSun"/>
          <w:iCs/>
          <w:lang w:val="en-US"/>
        </w:rPr>
        <w:t xml:space="preserve">, accessed on 7 August 2017. </w:t>
      </w:r>
    </w:p>
    <w:p w:rsidR="002A0BB5" w:rsidRDefault="00C41F8F">
      <w:pPr>
        <w:tabs>
          <w:tab w:val="left" w:pos="9360"/>
        </w:tabs>
        <w:spacing w:after="0" w:line="240" w:lineRule="auto"/>
        <w:ind w:left="567" w:hanging="283"/>
        <w:jc w:val="both"/>
        <w:rPr>
          <w:rFonts w:eastAsia="SimSun"/>
          <w:iCs/>
          <w:lang w:val="en-US"/>
        </w:rPr>
      </w:pPr>
      <w:r>
        <w:rPr>
          <w:rFonts w:eastAsia="SimSun"/>
          <w:iCs/>
          <w:lang w:val="en-US"/>
        </w:rPr>
        <w:t xml:space="preserve">Bentley (2017). Available via </w:t>
      </w:r>
      <w:hyperlink r:id="rId11" w:history="1">
        <w:r>
          <w:rPr>
            <w:rStyle w:val="Hyperlink"/>
            <w:rFonts w:eastAsia="SimSun"/>
            <w:iCs/>
            <w:lang w:val="en-US"/>
          </w:rPr>
          <w:t>https://www.bentley.com/en</w:t>
        </w:r>
      </w:hyperlink>
      <w:r>
        <w:rPr>
          <w:rFonts w:eastAsia="SimSun"/>
          <w:iCs/>
          <w:lang w:val="en-US"/>
        </w:rPr>
        <w:t>, accessed on 7 August 2017.</w:t>
      </w:r>
    </w:p>
    <w:p w:rsidR="002A0BB5" w:rsidRDefault="00C41F8F">
      <w:pPr>
        <w:tabs>
          <w:tab w:val="left" w:pos="9360"/>
        </w:tabs>
        <w:spacing w:after="0" w:line="240" w:lineRule="auto"/>
        <w:ind w:left="567" w:hanging="283"/>
        <w:jc w:val="both"/>
        <w:rPr>
          <w:rFonts w:eastAsia="SimSun"/>
          <w:lang w:val="en-US"/>
        </w:rPr>
      </w:pPr>
      <w:r>
        <w:rPr>
          <w:rFonts w:eastAsia="SimSun"/>
          <w:iCs/>
          <w:lang w:val="en-US"/>
        </w:rPr>
        <w:t>Brown, R. L., and Holmes, H. (1986). “The use of a factor analytic procedure</w:t>
      </w:r>
      <w:r>
        <w:rPr>
          <w:rFonts w:eastAsia="SimSun"/>
          <w:iCs/>
        </w:rPr>
        <w:t xml:space="preserve"> </w:t>
      </w:r>
      <w:r>
        <w:rPr>
          <w:rFonts w:eastAsia="SimSun"/>
          <w:iCs/>
          <w:lang w:val="en-US"/>
        </w:rPr>
        <w:t>for assessing the validity of an employee safety climate model.”</w:t>
      </w:r>
      <w:r>
        <w:rPr>
          <w:rFonts w:eastAsia="SimSun"/>
          <w:iCs/>
        </w:rPr>
        <w:t xml:space="preserve"> </w:t>
      </w:r>
      <w:r>
        <w:rPr>
          <w:rFonts w:eastAsia="SimSun"/>
          <w:i/>
          <w:lang w:val="en-US"/>
        </w:rPr>
        <w:t>Accid. Anal. Prev.,</w:t>
      </w:r>
      <w:r>
        <w:rPr>
          <w:rFonts w:eastAsia="SimSun"/>
          <w:iCs/>
          <w:lang w:val="en-US"/>
        </w:rPr>
        <w:t xml:space="preserve"> </w:t>
      </w:r>
      <w:r>
        <w:rPr>
          <w:rFonts w:eastAsia="SimSun"/>
          <w:lang w:val="en-US"/>
        </w:rPr>
        <w:t>18(6), 455–470.</w:t>
      </w:r>
    </w:p>
    <w:p w:rsidR="002A0BB5" w:rsidRDefault="00C41F8F">
      <w:pPr>
        <w:tabs>
          <w:tab w:val="left" w:pos="9360"/>
        </w:tabs>
        <w:spacing w:after="0" w:line="240" w:lineRule="auto"/>
        <w:ind w:left="567" w:hanging="283"/>
        <w:jc w:val="both"/>
        <w:rPr>
          <w:rFonts w:eastAsia="SimSun"/>
          <w:lang w:val="en-US"/>
        </w:rPr>
      </w:pPr>
      <w:r>
        <w:rPr>
          <w:rFonts w:eastAsia="SimSun"/>
          <w:lang w:val="en-US"/>
        </w:rPr>
        <w:t>Cabrera, D. D., Isla, R., and Vilela, L. D. (1997). “An evaluation of safety</w:t>
      </w:r>
      <w:r>
        <w:rPr>
          <w:rFonts w:eastAsia="SimSun"/>
        </w:rPr>
        <w:t xml:space="preserve"> </w:t>
      </w:r>
      <w:r>
        <w:rPr>
          <w:rFonts w:eastAsia="SimSun"/>
          <w:lang w:val="en-US"/>
        </w:rPr>
        <w:t xml:space="preserve">climate in ground handling activities.” </w:t>
      </w:r>
      <w:r>
        <w:rPr>
          <w:rFonts w:eastAsia="SimSun"/>
          <w:i/>
          <w:iCs/>
          <w:lang w:val="en-US"/>
        </w:rPr>
        <w:t>Aviation Safety, Proc.,</w:t>
      </w:r>
      <w:r>
        <w:rPr>
          <w:rFonts w:eastAsia="SimSun"/>
          <w:lang w:val="en-US"/>
        </w:rPr>
        <w:t xml:space="preserve"> IASC-97</w:t>
      </w:r>
      <w:r>
        <w:rPr>
          <w:rFonts w:eastAsia="SimSun"/>
        </w:rPr>
        <w:t xml:space="preserve"> </w:t>
      </w:r>
      <w:r>
        <w:rPr>
          <w:rFonts w:eastAsia="SimSun"/>
          <w:lang w:val="en-US"/>
        </w:rPr>
        <w:t>Int. Aviation Safety Conf., H. M. Soekkha, ed., Zeist, Netherlands,</w:t>
      </w:r>
      <w:r>
        <w:rPr>
          <w:rFonts w:eastAsia="SimSun"/>
        </w:rPr>
        <w:t xml:space="preserve"> </w:t>
      </w:r>
      <w:r>
        <w:rPr>
          <w:rFonts w:eastAsia="SimSun"/>
          <w:lang w:val="en-US"/>
        </w:rPr>
        <w:t>255–268.</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Campbell, I. (2007). </w:t>
      </w:r>
      <w:r>
        <w:rPr>
          <w:rFonts w:eastAsia="SimSun"/>
        </w:rPr>
        <w:t>“</w:t>
      </w:r>
      <w:r>
        <w:rPr>
          <w:rFonts w:eastAsia="SimSun"/>
          <w:lang w:val="en-US"/>
        </w:rPr>
        <w:t>Chi-squared and Fi</w:t>
      </w:r>
      <w:r>
        <w:rPr>
          <w:rFonts w:eastAsia="SimSun"/>
        </w:rPr>
        <w:t>sh</w:t>
      </w:r>
      <w:r>
        <w:rPr>
          <w:rFonts w:eastAsia="SimSun"/>
          <w:lang w:val="en-US"/>
        </w:rPr>
        <w:t>er-Irwin tests of two-by-two tables with small sample recommendations.</w:t>
      </w:r>
      <w:r>
        <w:rPr>
          <w:rFonts w:eastAsia="SimSun"/>
        </w:rPr>
        <w:t>”</w:t>
      </w:r>
      <w:r>
        <w:rPr>
          <w:rFonts w:eastAsia="SimSun"/>
          <w:lang w:val="en-US"/>
        </w:rPr>
        <w:t xml:space="preserve"> </w:t>
      </w:r>
      <w:r>
        <w:rPr>
          <w:rFonts w:eastAsia="SimSun"/>
          <w:i/>
          <w:lang w:val="en-US"/>
        </w:rPr>
        <w:t>Stat</w:t>
      </w:r>
      <w:r>
        <w:rPr>
          <w:rFonts w:eastAsia="SimSun"/>
          <w:i/>
        </w:rPr>
        <w:t xml:space="preserve">. </w:t>
      </w:r>
      <w:r>
        <w:rPr>
          <w:rFonts w:eastAsia="SimSun"/>
          <w:i/>
          <w:lang w:val="en-US"/>
        </w:rPr>
        <w:t>Med</w:t>
      </w:r>
      <w:r>
        <w:rPr>
          <w:rFonts w:eastAsia="SimSun"/>
          <w:i/>
        </w:rPr>
        <w:t>.</w:t>
      </w:r>
      <w:r>
        <w:rPr>
          <w:rFonts w:eastAsia="SimSun"/>
          <w:lang w:val="en-US"/>
        </w:rPr>
        <w:t>, 26, 3661-3675.</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Cao, D., Li, H., Wang, G., </w:t>
      </w:r>
      <w:r>
        <w:rPr>
          <w:rFonts w:eastAsia="SimSun"/>
        </w:rPr>
        <w:t>and</w:t>
      </w:r>
      <w:r>
        <w:rPr>
          <w:rFonts w:eastAsia="SimSun"/>
          <w:lang w:val="en-US"/>
        </w:rPr>
        <w:t xml:space="preserve"> Huang, T. (2016). </w:t>
      </w:r>
      <w:r>
        <w:rPr>
          <w:rFonts w:eastAsia="SimSun"/>
        </w:rPr>
        <w:t>“</w:t>
      </w:r>
      <w:r>
        <w:rPr>
          <w:rFonts w:eastAsia="SimSun"/>
          <w:lang w:val="en-US"/>
        </w:rPr>
        <w:t>Identifying and contextualising the motivations for BIM implementation in construction projects: an empirical study in China.</w:t>
      </w:r>
      <w:r>
        <w:rPr>
          <w:rFonts w:eastAsia="SimSun"/>
        </w:rPr>
        <w:t>”</w:t>
      </w:r>
      <w:r>
        <w:rPr>
          <w:rFonts w:eastAsia="SimSun"/>
          <w:lang w:val="en-US"/>
        </w:rPr>
        <w:t xml:space="preserve"> </w:t>
      </w:r>
      <w:r>
        <w:rPr>
          <w:rFonts w:eastAsia="SimSun"/>
          <w:i/>
          <w:iCs/>
          <w:lang w:val="en-US"/>
        </w:rPr>
        <w:t>Int</w:t>
      </w:r>
      <w:r>
        <w:rPr>
          <w:rFonts w:eastAsia="SimSun"/>
          <w:i/>
          <w:iCs/>
        </w:rPr>
        <w:t xml:space="preserve">. </w:t>
      </w:r>
      <w:r>
        <w:rPr>
          <w:rFonts w:eastAsia="SimSun"/>
          <w:i/>
          <w:iCs/>
          <w:lang w:val="en-US"/>
        </w:rPr>
        <w:t>J</w:t>
      </w:r>
      <w:r>
        <w:rPr>
          <w:rFonts w:eastAsia="SimSun"/>
          <w:i/>
          <w:iCs/>
        </w:rPr>
        <w:t>.</w:t>
      </w:r>
      <w:r>
        <w:rPr>
          <w:rFonts w:eastAsia="SimSun"/>
          <w:i/>
          <w:iCs/>
          <w:lang w:val="en-US"/>
        </w:rPr>
        <w:t xml:space="preserve"> Proj</w:t>
      </w:r>
      <w:r>
        <w:rPr>
          <w:rFonts w:eastAsia="SimSun"/>
          <w:i/>
          <w:iCs/>
        </w:rPr>
        <w:t xml:space="preserve">. </w:t>
      </w:r>
      <w:proofErr w:type="gramStart"/>
      <w:r>
        <w:rPr>
          <w:rFonts w:eastAsia="SimSun"/>
          <w:i/>
          <w:iCs/>
          <w:lang w:val="en-US"/>
        </w:rPr>
        <w:t>Manage</w:t>
      </w:r>
      <w:r>
        <w:rPr>
          <w:rFonts w:eastAsia="SimSun"/>
          <w:i/>
          <w:iCs/>
        </w:rPr>
        <w:t>.</w:t>
      </w:r>
      <w:r>
        <w:rPr>
          <w:rFonts w:eastAsia="SimSun"/>
          <w:lang w:val="en-US"/>
        </w:rPr>
        <w:t>,</w:t>
      </w:r>
      <w:proofErr w:type="gramEnd"/>
      <w:r>
        <w:rPr>
          <w:rFonts w:eastAsia="SimSun"/>
          <w:lang w:val="en-US"/>
        </w:rPr>
        <w:t xml:space="preserve"> 35(4), 658-669, http://dx.doi.org/10.1016/j.ijproman.2016.02.002</w:t>
      </w:r>
    </w:p>
    <w:p w:rsidR="002A0BB5" w:rsidRDefault="00C41F8F">
      <w:pPr>
        <w:tabs>
          <w:tab w:val="left" w:pos="9360"/>
        </w:tabs>
        <w:spacing w:after="0" w:line="240" w:lineRule="auto"/>
        <w:ind w:left="567" w:hanging="283"/>
        <w:jc w:val="both"/>
        <w:rPr>
          <w:rFonts w:eastAsia="SimSun"/>
        </w:rPr>
      </w:pPr>
      <w:r>
        <w:rPr>
          <w:rFonts w:eastAsia="SimSun"/>
          <w:lang w:val="es-CO"/>
        </w:rPr>
        <w:t xml:space="preserve">Carifio, L., </w:t>
      </w:r>
      <w:r>
        <w:rPr>
          <w:rFonts w:eastAsia="SimSun"/>
        </w:rPr>
        <w:t>and</w:t>
      </w:r>
      <w:r>
        <w:rPr>
          <w:rFonts w:eastAsia="SimSun"/>
          <w:lang w:val="es-CO"/>
        </w:rPr>
        <w:t xml:space="preserve"> Perla, R. (2008). </w:t>
      </w:r>
      <w:r>
        <w:rPr>
          <w:rFonts w:eastAsia="SimSun"/>
        </w:rPr>
        <w:t xml:space="preserve">“Resolving the 50 year debate around using and misusing Likert scales.” </w:t>
      </w:r>
      <w:r>
        <w:rPr>
          <w:rFonts w:eastAsia="SimSun"/>
          <w:i/>
        </w:rPr>
        <w:t>Med. Educ.,</w:t>
      </w:r>
      <w:r>
        <w:rPr>
          <w:rFonts w:eastAsia="SimSun"/>
        </w:rPr>
        <w:t xml:space="preserve"> 42(12), 1150-1152.</w:t>
      </w:r>
    </w:p>
    <w:p w:rsidR="002A0BB5" w:rsidRDefault="00C41F8F">
      <w:pPr>
        <w:tabs>
          <w:tab w:val="left" w:pos="9360"/>
        </w:tabs>
        <w:spacing w:after="0" w:line="240" w:lineRule="auto"/>
        <w:ind w:left="567" w:hanging="283"/>
        <w:jc w:val="both"/>
        <w:rPr>
          <w:rFonts w:eastAsia="SimSun"/>
        </w:rPr>
      </w:pPr>
      <w:r>
        <w:rPr>
          <w:rFonts w:eastAsia="SimSun"/>
        </w:rPr>
        <w:t xml:space="preserve">Chen, Q., and Jin, R. (2012). “Safety4Site commitment to enhance jobsite safety management and performance.” </w:t>
      </w:r>
      <w:r>
        <w:rPr>
          <w:rFonts w:eastAsia="SimSun"/>
          <w:i/>
          <w:iCs/>
        </w:rPr>
        <w:t>J. Constr. Eng. Manage.</w:t>
      </w:r>
      <w:r>
        <w:rPr>
          <w:rFonts w:eastAsia="SimSun"/>
        </w:rPr>
        <w:t>, 138(4), 509-519.</w:t>
      </w:r>
    </w:p>
    <w:p w:rsidR="002A0BB5" w:rsidRDefault="00C41F8F">
      <w:pPr>
        <w:tabs>
          <w:tab w:val="left" w:pos="9360"/>
        </w:tabs>
        <w:spacing w:after="0" w:line="240" w:lineRule="auto"/>
        <w:ind w:left="567" w:hanging="283"/>
        <w:jc w:val="both"/>
        <w:rPr>
          <w:rFonts w:eastAsia="SimSun"/>
        </w:rPr>
      </w:pPr>
      <w:r>
        <w:rPr>
          <w:rFonts w:eastAsia="SimSun"/>
        </w:rPr>
        <w:t>Chen, Q., and Jin, R. (201</w:t>
      </w:r>
      <w:r>
        <w:rPr>
          <w:rFonts w:eastAsia="SimSun"/>
          <w:lang w:val="en-US"/>
        </w:rPr>
        <w:t>3</w:t>
      </w:r>
      <w:r>
        <w:rPr>
          <w:rFonts w:eastAsia="SimSun"/>
        </w:rPr>
        <w:t xml:space="preserve">). “Multilevel safety culture and climate survey for assessing new safety program.” </w:t>
      </w:r>
      <w:r>
        <w:rPr>
          <w:rFonts w:eastAsia="SimSun"/>
          <w:i/>
          <w:iCs/>
        </w:rPr>
        <w:t>J. Constr. Eng. Manage.</w:t>
      </w:r>
      <w:r>
        <w:rPr>
          <w:rFonts w:eastAsia="SimSun"/>
        </w:rPr>
        <w:t>, 139(7), 805-817.</w:t>
      </w:r>
    </w:p>
    <w:p w:rsidR="002A0BB5" w:rsidRDefault="00C41F8F">
      <w:pPr>
        <w:tabs>
          <w:tab w:val="left" w:pos="9360"/>
        </w:tabs>
        <w:spacing w:after="0" w:line="240" w:lineRule="auto"/>
        <w:ind w:left="567" w:hanging="283"/>
        <w:jc w:val="both"/>
        <w:rPr>
          <w:rFonts w:eastAsia="SimSun"/>
        </w:rPr>
      </w:pPr>
      <w:r>
        <w:rPr>
          <w:rFonts w:eastAsia="SimSun"/>
        </w:rPr>
        <w:t xml:space="preserve">Chen, Q., and Jin, R. (2015). “A comparison of subgroup construction workers’ perceptions of a safety program.” </w:t>
      </w:r>
      <w:r>
        <w:rPr>
          <w:rFonts w:eastAsia="SimSun"/>
          <w:i/>
          <w:lang w:val="en-US"/>
        </w:rPr>
        <w:t>Safety Sci</w:t>
      </w:r>
      <w:r>
        <w:rPr>
          <w:rFonts w:eastAsia="SimSun"/>
          <w:i/>
        </w:rPr>
        <w:t>.,</w:t>
      </w:r>
      <w:r>
        <w:rPr>
          <w:rFonts w:eastAsia="SimSun"/>
        </w:rPr>
        <w:t xml:space="preserve"> 74, 15-26.</w:t>
      </w:r>
    </w:p>
    <w:p w:rsidR="002A0BB5" w:rsidRDefault="00C41F8F">
      <w:pPr>
        <w:tabs>
          <w:tab w:val="left" w:pos="9360"/>
        </w:tabs>
        <w:spacing w:after="0" w:line="240" w:lineRule="auto"/>
        <w:ind w:left="567" w:hanging="283"/>
        <w:jc w:val="both"/>
        <w:rPr>
          <w:rFonts w:eastAsia="SimSun"/>
        </w:rPr>
      </w:pPr>
      <w:r>
        <w:rPr>
          <w:rFonts w:eastAsia="SimSun"/>
        </w:rPr>
        <w:t>Chen, Q., Jin, R., and Soboyejo, A. (201</w:t>
      </w:r>
      <w:r>
        <w:rPr>
          <w:rFonts w:eastAsia="SimSun"/>
          <w:lang w:val="en-US"/>
        </w:rPr>
        <w:t>3</w:t>
      </w:r>
      <w:r>
        <w:rPr>
          <w:rFonts w:eastAsia="SimSun"/>
        </w:rPr>
        <w:t xml:space="preserve">). “Understanding a contractor’s regional variations in safety performance.” </w:t>
      </w:r>
      <w:r>
        <w:rPr>
          <w:rFonts w:eastAsia="SimSun"/>
          <w:i/>
          <w:iCs/>
        </w:rPr>
        <w:t>J. Constr. Eng. Manage.</w:t>
      </w:r>
      <w:r>
        <w:rPr>
          <w:rFonts w:eastAsia="SimSun"/>
        </w:rPr>
        <w:t>, 139(6), 641-653.</w:t>
      </w:r>
    </w:p>
    <w:p w:rsidR="002A0BB5" w:rsidRDefault="00C41F8F">
      <w:pPr>
        <w:tabs>
          <w:tab w:val="left" w:pos="9360"/>
        </w:tabs>
        <w:spacing w:after="0" w:line="240" w:lineRule="auto"/>
        <w:ind w:left="567" w:hanging="283"/>
        <w:jc w:val="both"/>
        <w:rPr>
          <w:rFonts w:eastAsia="SimSun"/>
        </w:rPr>
      </w:pPr>
      <w:r>
        <w:rPr>
          <w:rFonts w:eastAsia="SimSun"/>
        </w:rPr>
        <w:t xml:space="preserve">Çıdık, M.S., Boyd, D., and Thurairajah, N. (2017). “Ordering in disguise: digital integration in built-environment practices.” </w:t>
      </w:r>
      <w:r>
        <w:rPr>
          <w:rFonts w:eastAsia="SimSun"/>
          <w:i/>
        </w:rPr>
        <w:t>Build. Res. Inf.</w:t>
      </w:r>
      <w:r>
        <w:rPr>
          <w:rFonts w:eastAsia="SimSun"/>
        </w:rPr>
        <w:t>, 45 (6), 665-680, DOI: 10.1080/09613218.2017.1309767</w:t>
      </w:r>
    </w:p>
    <w:p w:rsidR="002A0BB5" w:rsidRDefault="00C41F8F">
      <w:pPr>
        <w:tabs>
          <w:tab w:val="left" w:pos="9360"/>
        </w:tabs>
        <w:spacing w:after="0" w:line="240" w:lineRule="auto"/>
        <w:ind w:left="567" w:hanging="283"/>
        <w:jc w:val="both"/>
        <w:rPr>
          <w:rFonts w:eastAsia="SimSun"/>
        </w:rPr>
      </w:pPr>
      <w:r>
        <w:rPr>
          <w:rFonts w:eastAsia="SimSun"/>
        </w:rPr>
        <w:t xml:space="preserve">Cox, S., and Flin, R. (1998). “Safety culture: Philosopher’s stone or man of straw?” </w:t>
      </w:r>
      <w:r>
        <w:rPr>
          <w:rFonts w:eastAsia="SimSun"/>
          <w:i/>
          <w:iCs/>
        </w:rPr>
        <w:t>Work Stress</w:t>
      </w:r>
      <w:r>
        <w:rPr>
          <w:rFonts w:eastAsia="SimSun"/>
        </w:rPr>
        <w:t>, 12(3), 189–201.</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Dassualt (2017). “BIM-Building Information Modeling.” Available via </w:t>
      </w:r>
      <w:hyperlink r:id="rId12" w:history="1">
        <w:r>
          <w:rPr>
            <w:rStyle w:val="Hyperlink"/>
            <w:rFonts w:eastAsia="SimSun"/>
            <w:lang w:val="en-US"/>
          </w:rPr>
          <w:t>https://www.3ds.com/industries/architecture-engineering-construction/what-is-bim/</w:t>
        </w:r>
      </w:hyperlink>
      <w:r>
        <w:rPr>
          <w:rFonts w:eastAsia="SimSun"/>
          <w:lang w:val="en-US"/>
        </w:rPr>
        <w:t xml:space="preserve">, accessed on 18 August 2017. </w:t>
      </w:r>
    </w:p>
    <w:p w:rsidR="002A0BB5" w:rsidRDefault="00C41F8F">
      <w:pPr>
        <w:tabs>
          <w:tab w:val="left" w:pos="9360"/>
        </w:tabs>
        <w:spacing w:after="0" w:line="240" w:lineRule="auto"/>
        <w:ind w:left="567" w:hanging="283"/>
        <w:jc w:val="both"/>
        <w:rPr>
          <w:rFonts w:eastAsia="SimSun"/>
          <w:lang w:val="en-US"/>
        </w:rPr>
      </w:pPr>
      <w:r>
        <w:rPr>
          <w:rFonts w:eastAsia="SimSun"/>
          <w:lang w:val="en-US"/>
        </w:rPr>
        <w:t>Dedobbeleer, N., and Béland, F. (1991). “A safety climate measure for</w:t>
      </w:r>
      <w:r>
        <w:rPr>
          <w:rFonts w:eastAsia="SimSun"/>
        </w:rPr>
        <w:t xml:space="preserve"> </w:t>
      </w:r>
      <w:r>
        <w:rPr>
          <w:rFonts w:eastAsia="SimSun"/>
          <w:lang w:val="en-US"/>
        </w:rPr>
        <w:t xml:space="preserve">construction sites.” </w:t>
      </w:r>
      <w:r>
        <w:rPr>
          <w:rFonts w:eastAsia="SimSun"/>
          <w:i/>
          <w:iCs/>
          <w:lang w:val="en-US"/>
        </w:rPr>
        <w:t>J. Saf. Res.</w:t>
      </w:r>
      <w:r>
        <w:rPr>
          <w:rFonts w:eastAsia="SimSun"/>
          <w:lang w:val="en-US"/>
        </w:rPr>
        <w:t>, 22(2), 97–103.</w:t>
      </w:r>
    </w:p>
    <w:p w:rsidR="002A0BB5" w:rsidRDefault="00C41F8F">
      <w:pPr>
        <w:tabs>
          <w:tab w:val="left" w:pos="9360"/>
        </w:tabs>
        <w:spacing w:after="0" w:line="240" w:lineRule="auto"/>
        <w:ind w:left="567" w:hanging="283"/>
        <w:jc w:val="both"/>
        <w:rPr>
          <w:rFonts w:eastAsia="SimSun"/>
          <w:lang w:val="en-US"/>
        </w:rPr>
      </w:pPr>
      <w:r>
        <w:rPr>
          <w:rFonts w:eastAsia="SimSun"/>
          <w:lang w:val="en-US"/>
        </w:rPr>
        <w:t>Dijksterhuis, A., and Bargh, J. A. (2001). “The perception-behavior</w:t>
      </w:r>
      <w:r>
        <w:rPr>
          <w:rFonts w:eastAsia="SimSun"/>
        </w:rPr>
        <w:t xml:space="preserve"> </w:t>
      </w:r>
      <w:r>
        <w:rPr>
          <w:rFonts w:eastAsia="SimSun"/>
          <w:lang w:val="en-US"/>
        </w:rPr>
        <w:t>expressway: Automatic effects of social perception on social behavior.”</w:t>
      </w:r>
      <w:r>
        <w:rPr>
          <w:rFonts w:eastAsia="SimSun"/>
        </w:rPr>
        <w:t xml:space="preserve"> </w:t>
      </w:r>
      <w:r>
        <w:rPr>
          <w:rFonts w:eastAsia="SimSun"/>
          <w:i/>
          <w:iCs/>
          <w:lang w:val="en-US"/>
        </w:rPr>
        <w:t>Adv. Exp. Social. Psychol.,</w:t>
      </w:r>
      <w:r>
        <w:rPr>
          <w:rFonts w:eastAsia="SimSun"/>
          <w:lang w:val="en-US"/>
        </w:rPr>
        <w:t xml:space="preserve"> 33, 1–40.</w:t>
      </w:r>
    </w:p>
    <w:p w:rsidR="002A0BB5" w:rsidRDefault="00C41F8F">
      <w:pPr>
        <w:tabs>
          <w:tab w:val="left" w:pos="9360"/>
        </w:tabs>
        <w:spacing w:after="0" w:line="240" w:lineRule="auto"/>
        <w:ind w:left="567" w:hanging="283"/>
        <w:jc w:val="both"/>
        <w:rPr>
          <w:rFonts w:eastAsia="SimSun"/>
          <w:lang w:val="en-US"/>
        </w:rPr>
      </w:pPr>
      <w:r>
        <w:rPr>
          <w:rFonts w:eastAsia="SimSun"/>
          <w:lang w:val="en-US"/>
        </w:rPr>
        <w:t>Ding, L.Y., Zhong, B.T., Wu S., and Luo, H.B. (2016). “Construction risk knowledge management in BIM using ontology and semantic web technology.”</w:t>
      </w:r>
      <w:r>
        <w:rPr>
          <w:rFonts w:eastAsia="SimSun"/>
          <w:i/>
          <w:iCs/>
          <w:lang w:val="en-US"/>
        </w:rPr>
        <w:t xml:space="preserve"> Saf</w:t>
      </w:r>
      <w:r>
        <w:rPr>
          <w:rFonts w:eastAsia="SimSun"/>
          <w:i/>
          <w:iCs/>
        </w:rPr>
        <w:t>ety</w:t>
      </w:r>
      <w:r>
        <w:rPr>
          <w:rFonts w:eastAsia="SimSun"/>
          <w:i/>
          <w:iCs/>
          <w:lang w:val="en-US"/>
        </w:rPr>
        <w:t>. Sci.</w:t>
      </w:r>
      <w:r>
        <w:rPr>
          <w:rFonts w:eastAsia="SimSun"/>
          <w:lang w:val="en-US"/>
        </w:rPr>
        <w:t xml:space="preserve">, 87, 202-213. </w:t>
      </w:r>
    </w:p>
    <w:p w:rsidR="002A0BB5" w:rsidRDefault="00C41F8F">
      <w:pPr>
        <w:tabs>
          <w:tab w:val="left" w:pos="9360"/>
        </w:tabs>
        <w:spacing w:after="0" w:line="240" w:lineRule="auto"/>
        <w:ind w:left="567" w:hanging="283"/>
        <w:jc w:val="both"/>
        <w:rPr>
          <w:rFonts w:eastAsia="SimSun"/>
          <w:lang w:val="en-US"/>
        </w:rPr>
      </w:pPr>
      <w:r>
        <w:rPr>
          <w:rFonts w:eastAsia="SimSun"/>
          <w:lang w:val="en-US"/>
        </w:rPr>
        <w:lastRenderedPageBreak/>
        <w:t xml:space="preserve">Ding, Z., Zuo, J., Wu, J., </w:t>
      </w:r>
      <w:r>
        <w:rPr>
          <w:rFonts w:eastAsia="SimSun"/>
        </w:rPr>
        <w:t>and</w:t>
      </w:r>
      <w:r>
        <w:rPr>
          <w:rFonts w:eastAsia="SimSun"/>
          <w:lang w:val="en-US"/>
        </w:rPr>
        <w:t xml:space="preserve"> Wang, J.Y. (2015). Key factors for the BIM adoption by architects: a China study. </w:t>
      </w:r>
      <w:r>
        <w:rPr>
          <w:rFonts w:eastAsia="SimSun"/>
          <w:i/>
        </w:rPr>
        <w:t>ECAM,</w:t>
      </w:r>
      <w:r>
        <w:rPr>
          <w:rFonts w:eastAsia="SimSun"/>
          <w:lang w:val="en-US"/>
        </w:rPr>
        <w:t xml:space="preserve"> 22(6), 732-748, https://doi.org/10.1108/ECAM-04-2015-0053.</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Eadie, R., Browne, M., Odeyinka, H., McKeown, C., </w:t>
      </w:r>
      <w:r>
        <w:rPr>
          <w:rFonts w:eastAsia="SimSun"/>
        </w:rPr>
        <w:t xml:space="preserve">and </w:t>
      </w:r>
      <w:r>
        <w:rPr>
          <w:rFonts w:eastAsia="SimSun"/>
          <w:lang w:val="en-US"/>
        </w:rPr>
        <w:t xml:space="preserve">McNiff, S. (2013). </w:t>
      </w:r>
      <w:r>
        <w:rPr>
          <w:rFonts w:eastAsia="SimSun"/>
        </w:rPr>
        <w:t>“</w:t>
      </w:r>
      <w:r>
        <w:rPr>
          <w:rFonts w:eastAsia="SimSun"/>
          <w:lang w:val="en-US"/>
        </w:rPr>
        <w:t>BIM implementation throughout the UK construction project lifecycle: An analysis</w:t>
      </w:r>
      <w:r>
        <w:rPr>
          <w:rFonts w:eastAsia="SimSun"/>
        </w:rPr>
        <w:t xml:space="preserve">.” </w:t>
      </w:r>
      <w:r>
        <w:rPr>
          <w:rFonts w:eastAsia="SimSun"/>
          <w:i/>
          <w:lang w:val="en-US"/>
        </w:rPr>
        <w:t>Auto</w:t>
      </w:r>
      <w:r>
        <w:rPr>
          <w:rFonts w:eastAsia="SimSun"/>
          <w:i/>
        </w:rPr>
        <w:t xml:space="preserve">m. </w:t>
      </w:r>
      <w:r>
        <w:rPr>
          <w:rFonts w:eastAsia="SimSun"/>
          <w:i/>
          <w:lang w:val="en-US"/>
        </w:rPr>
        <w:t>Constr</w:t>
      </w:r>
      <w:r>
        <w:rPr>
          <w:rFonts w:eastAsia="SimSun"/>
          <w:i/>
        </w:rPr>
        <w:t>.</w:t>
      </w:r>
      <w:r>
        <w:rPr>
          <w:rFonts w:eastAsia="SimSun"/>
          <w:i/>
          <w:lang w:val="en-US"/>
        </w:rPr>
        <w:t xml:space="preserve">, </w:t>
      </w:r>
      <w:r>
        <w:rPr>
          <w:rFonts w:eastAsia="SimSun"/>
          <w:lang w:val="en-US"/>
        </w:rPr>
        <w:t>36, 145–151.</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Fernández-Muñiz, B., Montes-Peon, J. M., </w:t>
      </w:r>
      <w:r>
        <w:rPr>
          <w:rFonts w:eastAsia="SimSun"/>
        </w:rPr>
        <w:t>and</w:t>
      </w:r>
      <w:r>
        <w:rPr>
          <w:rFonts w:eastAsia="SimSun"/>
          <w:lang w:val="en-US"/>
        </w:rPr>
        <w:t xml:space="preserve"> Vazquez-Ordas, C. J. (2007). </w:t>
      </w:r>
      <w:r>
        <w:rPr>
          <w:rFonts w:eastAsia="SimSun"/>
        </w:rPr>
        <w:t>“</w:t>
      </w:r>
      <w:r>
        <w:rPr>
          <w:rFonts w:eastAsia="SimSun"/>
          <w:lang w:val="en-US"/>
        </w:rPr>
        <w:t>Safety management system: Development and validation of a multidimensional scale.</w:t>
      </w:r>
      <w:r>
        <w:rPr>
          <w:rFonts w:eastAsia="SimSun"/>
        </w:rPr>
        <w:t>”</w:t>
      </w:r>
      <w:r>
        <w:rPr>
          <w:rFonts w:eastAsia="SimSun"/>
          <w:lang w:val="en-US"/>
        </w:rPr>
        <w:t xml:space="preserve"> </w:t>
      </w:r>
      <w:r>
        <w:rPr>
          <w:rFonts w:eastAsia="SimSun"/>
        </w:rPr>
        <w:t xml:space="preserve">J. </w:t>
      </w:r>
      <w:r>
        <w:rPr>
          <w:rFonts w:eastAsia="SimSun"/>
          <w:i/>
          <w:iCs/>
        </w:rPr>
        <w:t>Loss. Prevent. Proc. Ind.</w:t>
      </w:r>
      <w:r>
        <w:rPr>
          <w:rFonts w:eastAsia="SimSun"/>
          <w:lang w:val="en-US"/>
        </w:rPr>
        <w:t>, 20(1), 52-68.</w:t>
      </w:r>
    </w:p>
    <w:p w:rsidR="002A0BB5" w:rsidRDefault="00C41F8F">
      <w:pPr>
        <w:tabs>
          <w:tab w:val="left" w:pos="9360"/>
        </w:tabs>
        <w:spacing w:after="0" w:line="240" w:lineRule="auto"/>
        <w:ind w:left="567" w:hanging="283"/>
        <w:jc w:val="both"/>
        <w:rPr>
          <w:rFonts w:eastAsia="SimSun"/>
          <w:lang w:val="en-US" w:eastAsia="zh-CN"/>
        </w:rPr>
      </w:pPr>
      <w:r>
        <w:rPr>
          <w:rFonts w:eastAsia="SimSun"/>
          <w:lang w:val="en-US" w:eastAsia="zh-CN"/>
        </w:rPr>
        <w:t xml:space="preserve">George, D., and Mallery, P. (2003). “SPSS for Windows step by step: A simple guide and reference.” 11.0 update (4th </w:t>
      </w:r>
      <w:proofErr w:type="gramStart"/>
      <w:r>
        <w:rPr>
          <w:rFonts w:eastAsia="SimSun"/>
          <w:lang w:val="en-US" w:eastAsia="zh-CN"/>
        </w:rPr>
        <w:t>ed</w:t>
      </w:r>
      <w:proofErr w:type="gramEnd"/>
      <w:r>
        <w:rPr>
          <w:rFonts w:eastAsia="SimSun"/>
          <w:lang w:val="en-US" w:eastAsia="zh-CN"/>
        </w:rPr>
        <w:t>.). Boston: Allyn &amp; Bacon.</w:t>
      </w:r>
    </w:p>
    <w:p w:rsidR="002A0BB5" w:rsidRDefault="00C41F8F">
      <w:pPr>
        <w:tabs>
          <w:tab w:val="left" w:pos="9360"/>
        </w:tabs>
        <w:spacing w:after="0" w:line="240" w:lineRule="auto"/>
        <w:ind w:left="567" w:hanging="283"/>
        <w:jc w:val="both"/>
        <w:rPr>
          <w:rFonts w:eastAsia="SimSun"/>
          <w:lang w:val="en-US"/>
        </w:rPr>
      </w:pPr>
      <w:r>
        <w:rPr>
          <w:rFonts w:eastAsia="SimSun"/>
          <w:lang w:val="en-US"/>
        </w:rPr>
        <w:t>Gholizadeh, P., Esmaeili, B., and Goodrum, P. (2018). “Diffusion of building information modeling functions in the construction industry.”</w:t>
      </w:r>
      <w:r>
        <w:t xml:space="preserve"> </w:t>
      </w:r>
      <w:r>
        <w:rPr>
          <w:rFonts w:eastAsia="SimSun"/>
          <w:i/>
          <w:lang w:val="en-US"/>
        </w:rPr>
        <w:t>J. Constr. Eng. Manage.</w:t>
      </w:r>
      <w:r>
        <w:rPr>
          <w:rFonts w:eastAsia="SimSun"/>
          <w:lang w:val="en-US"/>
        </w:rPr>
        <w:t>, 34 (2),</w:t>
      </w:r>
      <w:r>
        <w:t xml:space="preserve"> </w:t>
      </w:r>
      <w:r>
        <w:rPr>
          <w:rFonts w:eastAsia="SimSun"/>
          <w:lang w:val="en-US"/>
        </w:rPr>
        <w:t>04017060.</w:t>
      </w:r>
    </w:p>
    <w:p w:rsidR="002A0BB5" w:rsidRDefault="00C41F8F">
      <w:pPr>
        <w:tabs>
          <w:tab w:val="left" w:pos="9360"/>
        </w:tabs>
        <w:spacing w:after="0" w:line="240" w:lineRule="auto"/>
        <w:ind w:left="567" w:hanging="283"/>
        <w:jc w:val="both"/>
        <w:rPr>
          <w:rFonts w:eastAsia="SimSun"/>
          <w:lang w:val="en-US"/>
        </w:rPr>
      </w:pPr>
      <w:r>
        <w:rPr>
          <w:rFonts w:eastAsia="SimSun"/>
          <w:lang w:val="en-US"/>
        </w:rPr>
        <w:t>Glondon (2015). "Building Information Modeling (BIM)." Glondon Inc., Beijing, China. Available on http://www.glodon.com/en/product_text.aspx?iid=20, accessed on 17 August 2017.</w:t>
      </w:r>
    </w:p>
    <w:p w:rsidR="002A0BB5" w:rsidRDefault="00C41F8F">
      <w:pPr>
        <w:tabs>
          <w:tab w:val="left" w:pos="9360"/>
        </w:tabs>
        <w:spacing w:after="0" w:line="240" w:lineRule="auto"/>
        <w:ind w:left="567" w:hanging="283"/>
        <w:jc w:val="both"/>
        <w:rPr>
          <w:rFonts w:eastAsia="SimSun"/>
          <w:lang w:val="en-US"/>
        </w:rPr>
      </w:pPr>
      <w:r>
        <w:rPr>
          <w:rFonts w:eastAsia="SimSun"/>
          <w:lang w:val="en-US"/>
        </w:rPr>
        <w:t>Grote, G., and Kunzler, C. (2000). “Diagnosis of safety culture in safety</w:t>
      </w:r>
      <w:r>
        <w:rPr>
          <w:rFonts w:eastAsia="SimSun"/>
        </w:rPr>
        <w:t xml:space="preserve"> </w:t>
      </w:r>
      <w:r>
        <w:rPr>
          <w:rFonts w:eastAsia="SimSun"/>
          <w:lang w:val="en-US"/>
        </w:rPr>
        <w:t xml:space="preserve">management audits.” </w:t>
      </w:r>
      <w:r>
        <w:rPr>
          <w:rFonts w:eastAsia="SimSun"/>
          <w:i/>
          <w:iCs/>
          <w:lang w:val="en-US"/>
        </w:rPr>
        <w:t>Saf</w:t>
      </w:r>
      <w:r>
        <w:rPr>
          <w:rFonts w:eastAsia="SimSun"/>
          <w:i/>
          <w:iCs/>
        </w:rPr>
        <w:t>ety</w:t>
      </w:r>
      <w:r>
        <w:rPr>
          <w:rFonts w:eastAsia="SimSun"/>
          <w:i/>
          <w:iCs/>
          <w:lang w:val="en-US"/>
        </w:rPr>
        <w:t>. Sci.</w:t>
      </w:r>
      <w:r>
        <w:rPr>
          <w:rFonts w:eastAsia="SimSun"/>
          <w:lang w:val="en-US"/>
        </w:rPr>
        <w:t>, 34(1–3), 131–150.</w:t>
      </w:r>
    </w:p>
    <w:p w:rsidR="002A0BB5" w:rsidRDefault="00C41F8F">
      <w:pPr>
        <w:tabs>
          <w:tab w:val="left" w:pos="9360"/>
        </w:tabs>
        <w:spacing w:after="0" w:line="240" w:lineRule="auto"/>
        <w:ind w:left="567" w:hanging="283"/>
        <w:jc w:val="both"/>
        <w:rPr>
          <w:rFonts w:eastAsia="SimSun"/>
          <w:lang w:val="en-US"/>
        </w:rPr>
      </w:pPr>
      <w:r>
        <w:rPr>
          <w:rFonts w:eastAsia="SimSun"/>
          <w:lang w:val="en-US"/>
        </w:rPr>
        <w:t>Ham, N., Moon, S., Kim, J.H., and Kim, J.J. (2018). “Economic Analysis of Design Errors in BIM-Based High-Rise Construction Projects: Case Study of Haeundae L Project.”</w:t>
      </w:r>
      <w:r>
        <w:t xml:space="preserve"> </w:t>
      </w:r>
      <w:r>
        <w:rPr>
          <w:rFonts w:eastAsia="SimSun"/>
          <w:i/>
          <w:lang w:val="en-US"/>
        </w:rPr>
        <w:t>J. Constr. Eng. Manage.,</w:t>
      </w:r>
      <w:r>
        <w:rPr>
          <w:rFonts w:eastAsia="SimSun"/>
          <w:lang w:val="en-US"/>
        </w:rPr>
        <w:t xml:space="preserve"> 144 (6), 05018006.</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Hanna, A.S., Yeutter, M., and Aoun, D.G. (2014). “State of practice of building information modeling in the electrical construction industry.” </w:t>
      </w:r>
      <w:r>
        <w:rPr>
          <w:rFonts w:eastAsia="SimSun"/>
          <w:i/>
          <w:lang w:val="en-US"/>
        </w:rPr>
        <w:t>J. Constr. Eng. Manage.,</w:t>
      </w:r>
      <w:r>
        <w:rPr>
          <w:rFonts w:eastAsia="SimSun"/>
          <w:lang w:val="en-US"/>
        </w:rPr>
        <w:t xml:space="preserve"> 140 (12), 05014011.</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He, Q., Qian, L., Duan, Y., &amp; Li, Y. (2012). </w:t>
      </w:r>
      <w:r>
        <w:rPr>
          <w:rFonts w:eastAsia="SimSun"/>
        </w:rPr>
        <w:t>“</w:t>
      </w:r>
      <w:r>
        <w:rPr>
          <w:rFonts w:eastAsia="SimSun"/>
          <w:lang w:val="en-US"/>
        </w:rPr>
        <w:t>Current situation and barriers of BIM implementation.</w:t>
      </w:r>
      <w:r>
        <w:rPr>
          <w:rFonts w:eastAsia="SimSun"/>
        </w:rPr>
        <w:t>”</w:t>
      </w:r>
      <w:r>
        <w:rPr>
          <w:rFonts w:eastAsia="SimSun"/>
          <w:lang w:val="en-US"/>
        </w:rPr>
        <w:t xml:space="preserve"> </w:t>
      </w:r>
      <w:r>
        <w:rPr>
          <w:rFonts w:eastAsia="SimSun"/>
          <w:i/>
          <w:lang w:val="en-US"/>
        </w:rPr>
        <w:t>Journal of Engineering Management,</w:t>
      </w:r>
      <w:r>
        <w:rPr>
          <w:rFonts w:eastAsia="SimSun"/>
          <w:lang w:val="en-US"/>
        </w:rPr>
        <w:t xml:space="preserve"> 26 (1), 12-16 (in Chinese).</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He, Q., Wang, G., Luo, L., Shi, Q., Xie, J., </w:t>
      </w:r>
      <w:r>
        <w:rPr>
          <w:rFonts w:eastAsia="SimSun"/>
        </w:rPr>
        <w:t xml:space="preserve">and </w:t>
      </w:r>
      <w:r>
        <w:rPr>
          <w:rFonts w:eastAsia="SimSun"/>
          <w:lang w:val="en-US"/>
        </w:rPr>
        <w:t xml:space="preserve">Meng, X., 2017. </w:t>
      </w:r>
      <w:r>
        <w:rPr>
          <w:rFonts w:eastAsia="SimSun"/>
        </w:rPr>
        <w:t>“</w:t>
      </w:r>
      <w:r>
        <w:rPr>
          <w:rFonts w:eastAsia="SimSun"/>
          <w:lang w:val="en-US"/>
        </w:rPr>
        <w:t>Mapping the managerial areas of Building Information Modeling (BIM) using scientometric analysis.</w:t>
      </w:r>
      <w:r>
        <w:rPr>
          <w:rFonts w:eastAsia="SimSun"/>
        </w:rPr>
        <w:t>”</w:t>
      </w:r>
      <w:r>
        <w:rPr>
          <w:rFonts w:eastAsia="SimSun"/>
          <w:i/>
          <w:iCs/>
          <w:lang w:val="en-US"/>
        </w:rPr>
        <w:t xml:space="preserve"> Int. J. Proj. Manag. </w:t>
      </w:r>
      <w:r>
        <w:rPr>
          <w:rFonts w:eastAsia="SimSun"/>
          <w:lang w:val="en-US"/>
        </w:rPr>
        <w:t>35, 670–685.</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Hongye (2017). Available via </w:t>
      </w:r>
      <w:hyperlink r:id="rId13" w:history="1">
        <w:r>
          <w:rPr>
            <w:rStyle w:val="Hyperlink"/>
            <w:rFonts w:eastAsia="SimSun"/>
            <w:lang w:val="en-US"/>
          </w:rPr>
          <w:t>http://www.hongye.com.cn/web/BIM/Index.asp</w:t>
        </w:r>
      </w:hyperlink>
      <w:r>
        <w:rPr>
          <w:rFonts w:eastAsia="SimSun"/>
          <w:lang w:val="en-US"/>
        </w:rPr>
        <w:t>, accessed on 17 August 2017.</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Howard, R., Restrepo, L., and Chang, C.Y. </w:t>
      </w:r>
      <w:r>
        <w:rPr>
          <w:rFonts w:eastAsia="SimSun"/>
        </w:rPr>
        <w:t>(</w:t>
      </w:r>
      <w:r>
        <w:rPr>
          <w:rFonts w:eastAsia="SimSun"/>
          <w:lang w:val="en-US"/>
        </w:rPr>
        <w:t>2017</w:t>
      </w:r>
      <w:r>
        <w:rPr>
          <w:rFonts w:eastAsia="SimSun"/>
        </w:rPr>
        <w:t>)</w:t>
      </w:r>
      <w:r>
        <w:rPr>
          <w:rFonts w:eastAsia="SimSun"/>
          <w:lang w:val="en-US"/>
        </w:rPr>
        <w:t xml:space="preserve">. </w:t>
      </w:r>
      <w:r>
        <w:rPr>
          <w:rFonts w:eastAsia="SimSun"/>
        </w:rPr>
        <w:t>“</w:t>
      </w:r>
      <w:r>
        <w:rPr>
          <w:rFonts w:eastAsia="SimSun"/>
          <w:lang w:val="en-US"/>
        </w:rPr>
        <w:t>Addressing individual perceptions: an application of the unified theory of acceptance and use of technology to building information modelling.</w:t>
      </w:r>
      <w:r>
        <w:rPr>
          <w:rFonts w:eastAsia="SimSun"/>
        </w:rPr>
        <w:t>”</w:t>
      </w:r>
      <w:r>
        <w:rPr>
          <w:rFonts w:eastAsia="SimSun"/>
          <w:lang w:val="en-US"/>
        </w:rPr>
        <w:t xml:space="preserve"> </w:t>
      </w:r>
      <w:r>
        <w:rPr>
          <w:rFonts w:eastAsia="SimSun"/>
          <w:i/>
          <w:iCs/>
          <w:lang w:val="en-US"/>
        </w:rPr>
        <w:t xml:space="preserve">Int. J. Proj. </w:t>
      </w:r>
      <w:proofErr w:type="gramStart"/>
      <w:r>
        <w:rPr>
          <w:rFonts w:eastAsia="SimSun"/>
          <w:i/>
          <w:iCs/>
          <w:lang w:val="en-US"/>
        </w:rPr>
        <w:t>Manag.</w:t>
      </w:r>
      <w:r>
        <w:rPr>
          <w:rFonts w:eastAsia="SimSun"/>
          <w:i/>
          <w:iCs/>
        </w:rPr>
        <w:t>,</w:t>
      </w:r>
      <w:proofErr w:type="gramEnd"/>
      <w:r>
        <w:rPr>
          <w:rFonts w:eastAsia="SimSun"/>
          <w:i/>
          <w:iCs/>
          <w:lang w:val="en-US"/>
        </w:rPr>
        <w:t xml:space="preserve"> </w:t>
      </w:r>
      <w:r>
        <w:rPr>
          <w:rFonts w:eastAsia="SimSun"/>
          <w:lang w:val="en-US"/>
        </w:rPr>
        <w:t>35, 107–120.</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Jin, R., </w:t>
      </w:r>
      <w:r>
        <w:rPr>
          <w:rFonts w:eastAsia="SimSun"/>
        </w:rPr>
        <w:t>and</w:t>
      </w:r>
      <w:r>
        <w:rPr>
          <w:rFonts w:eastAsia="SimSun"/>
          <w:lang w:val="en-US"/>
        </w:rPr>
        <w:t xml:space="preserve"> Chen, Q. (2013). </w:t>
      </w:r>
      <w:r>
        <w:rPr>
          <w:rFonts w:eastAsia="SimSun"/>
        </w:rPr>
        <w:t>“</w:t>
      </w:r>
      <w:r>
        <w:rPr>
          <w:rFonts w:eastAsia="SimSun"/>
          <w:lang w:val="en-US"/>
        </w:rPr>
        <w:t>Safety culture: effects of environment, behavior &amp; person.</w:t>
      </w:r>
      <w:r>
        <w:rPr>
          <w:rFonts w:eastAsia="SimSun"/>
        </w:rPr>
        <w:t>”</w:t>
      </w:r>
      <w:r>
        <w:rPr>
          <w:rFonts w:eastAsia="SimSun"/>
          <w:lang w:val="en-US"/>
        </w:rPr>
        <w:t xml:space="preserve"> </w:t>
      </w:r>
      <w:r>
        <w:rPr>
          <w:rFonts w:eastAsia="SimSun"/>
          <w:i/>
          <w:iCs/>
          <w:lang w:val="en-US"/>
        </w:rPr>
        <w:t>Professional Safety</w:t>
      </w:r>
      <w:r>
        <w:rPr>
          <w:rFonts w:eastAsia="SimSun"/>
          <w:lang w:val="en-US"/>
        </w:rPr>
        <w:t>, 58(05), 60-70.</w:t>
      </w:r>
    </w:p>
    <w:p w:rsidR="002A0BB5" w:rsidRDefault="00C41F8F">
      <w:pPr>
        <w:tabs>
          <w:tab w:val="left" w:pos="9360"/>
        </w:tabs>
        <w:spacing w:after="0" w:line="240" w:lineRule="auto"/>
        <w:ind w:left="567" w:hanging="283"/>
        <w:jc w:val="both"/>
        <w:rPr>
          <w:rFonts w:eastAsia="SimSun"/>
          <w:lang w:val="en-US"/>
        </w:rPr>
      </w:pPr>
      <w:r>
        <w:rPr>
          <w:rFonts w:eastAsia="SimSun"/>
          <w:lang w:eastAsia="en-US"/>
        </w:rPr>
        <w:t>J</w:t>
      </w:r>
      <w:r>
        <w:rPr>
          <w:rFonts w:eastAsia="SimSun"/>
          <w:lang w:val="en-US" w:eastAsia="en-US"/>
        </w:rPr>
        <w:t xml:space="preserve">in, R., Tang, L., </w:t>
      </w:r>
      <w:r>
        <w:rPr>
          <w:rFonts w:eastAsia="SimSun"/>
          <w:lang w:eastAsia="en-US"/>
        </w:rPr>
        <w:t>and</w:t>
      </w:r>
      <w:r>
        <w:rPr>
          <w:rFonts w:eastAsia="SimSun"/>
          <w:lang w:val="en-US" w:eastAsia="en-US"/>
        </w:rPr>
        <w:t xml:space="preserve"> Fang. K. (2015). </w:t>
      </w:r>
      <w:r>
        <w:rPr>
          <w:rFonts w:eastAsia="SimSun"/>
          <w:lang w:eastAsia="en-US"/>
        </w:rPr>
        <w:t>“</w:t>
      </w:r>
      <w:r>
        <w:rPr>
          <w:rFonts w:eastAsia="SimSun"/>
          <w:lang w:val="en-US" w:eastAsia="en-US"/>
        </w:rPr>
        <w:t>Investigation into the current stage of BIM application in China’s AEC industries.</w:t>
      </w:r>
      <w:r>
        <w:rPr>
          <w:rFonts w:eastAsia="SimSun"/>
          <w:lang w:eastAsia="en-US"/>
        </w:rPr>
        <w:t>”</w:t>
      </w:r>
      <w:r>
        <w:rPr>
          <w:rFonts w:eastAsia="SimSun"/>
          <w:lang w:val="en-US" w:eastAsia="en-US"/>
        </w:rPr>
        <w:t xml:space="preserve"> </w:t>
      </w:r>
      <w:r>
        <w:rPr>
          <w:rFonts w:eastAsia="SimSun"/>
          <w:i/>
          <w:iCs/>
          <w:lang w:val="en-US" w:eastAsia="en-US"/>
        </w:rPr>
        <w:t xml:space="preserve">WIT Transactions on </w:t>
      </w:r>
      <w:proofErr w:type="gramStart"/>
      <w:r>
        <w:rPr>
          <w:rFonts w:eastAsia="SimSun"/>
          <w:i/>
          <w:iCs/>
          <w:lang w:val="en-US" w:eastAsia="en-US"/>
        </w:rPr>
        <w:t>The</w:t>
      </w:r>
      <w:proofErr w:type="gramEnd"/>
      <w:r>
        <w:rPr>
          <w:rFonts w:eastAsia="SimSun"/>
          <w:i/>
          <w:iCs/>
          <w:lang w:val="en-US" w:eastAsia="en-US"/>
        </w:rPr>
        <w:t xml:space="preserve"> Built Environment</w:t>
      </w:r>
      <w:r>
        <w:rPr>
          <w:rFonts w:eastAsia="SimSun"/>
          <w:lang w:val="en-US" w:eastAsia="en-US"/>
        </w:rPr>
        <w:t xml:space="preserve">, 149, 493-503. </w:t>
      </w:r>
    </w:p>
    <w:p w:rsidR="002A0BB5" w:rsidRDefault="00C41F8F">
      <w:pPr>
        <w:tabs>
          <w:tab w:val="left" w:pos="9360"/>
        </w:tabs>
        <w:spacing w:after="0" w:line="240" w:lineRule="auto"/>
        <w:ind w:left="567" w:hanging="283"/>
        <w:jc w:val="both"/>
        <w:rPr>
          <w:rFonts w:eastAsia="SimSun"/>
          <w:lang w:val="en-US"/>
        </w:rPr>
      </w:pPr>
      <w:r>
        <w:rPr>
          <w:rFonts w:eastAsia="SimSun"/>
          <w:lang w:val="en-US"/>
        </w:rPr>
        <w:t>Jin, R., Hancock C.M., Tang, L., Chen, C., Wanatowski, D.,</w:t>
      </w:r>
      <w:r>
        <w:rPr>
          <w:rFonts w:eastAsia="SimSun"/>
        </w:rPr>
        <w:t xml:space="preserve"> and</w:t>
      </w:r>
      <w:r>
        <w:rPr>
          <w:rFonts w:eastAsia="SimSun"/>
          <w:lang w:val="en-US"/>
        </w:rPr>
        <w:t xml:space="preserve"> Yang, L.</w:t>
      </w:r>
      <w:r>
        <w:rPr>
          <w:rFonts w:eastAsia="SimSun"/>
        </w:rPr>
        <w:t xml:space="preserve"> (</w:t>
      </w:r>
      <w:r>
        <w:rPr>
          <w:rFonts w:eastAsia="SimSun"/>
          <w:lang w:val="en-US"/>
        </w:rPr>
        <w:t>2017</w:t>
      </w:r>
      <w:r>
        <w:rPr>
          <w:rFonts w:eastAsia="SimSun"/>
        </w:rPr>
        <w:t>a)</w:t>
      </w:r>
      <w:r>
        <w:rPr>
          <w:rFonts w:eastAsia="SimSun"/>
          <w:lang w:val="en-US"/>
        </w:rPr>
        <w:t xml:space="preserve">. </w:t>
      </w:r>
      <w:r>
        <w:rPr>
          <w:rFonts w:eastAsia="SimSun"/>
        </w:rPr>
        <w:t>“</w:t>
      </w:r>
      <w:r>
        <w:rPr>
          <w:rFonts w:eastAsia="SimSun"/>
          <w:lang w:val="en-US"/>
        </w:rPr>
        <w:t>An empirical study of BIM-implementation-based perceptions among Chinese practitioners.</w:t>
      </w:r>
      <w:r>
        <w:rPr>
          <w:rFonts w:eastAsia="SimSun"/>
        </w:rPr>
        <w:t>”</w:t>
      </w:r>
      <w:r>
        <w:rPr>
          <w:rFonts w:eastAsia="SimSun"/>
          <w:lang w:val="en-US"/>
        </w:rPr>
        <w:t xml:space="preserve"> </w:t>
      </w:r>
      <w:r>
        <w:rPr>
          <w:rFonts w:eastAsia="SimSun"/>
          <w:i/>
          <w:iCs/>
          <w:lang w:val="en-US"/>
        </w:rPr>
        <w:t>J</w:t>
      </w:r>
      <w:r>
        <w:rPr>
          <w:rFonts w:eastAsia="SimSun"/>
          <w:i/>
          <w:iCs/>
        </w:rPr>
        <w:t xml:space="preserve">. </w:t>
      </w:r>
      <w:r>
        <w:rPr>
          <w:rFonts w:eastAsia="SimSun"/>
          <w:i/>
          <w:iCs/>
          <w:lang w:val="en-US"/>
        </w:rPr>
        <w:t>Manag</w:t>
      </w:r>
      <w:r>
        <w:rPr>
          <w:rFonts w:eastAsia="SimSun"/>
          <w:i/>
          <w:iCs/>
        </w:rPr>
        <w:t>e.</w:t>
      </w:r>
      <w:r>
        <w:rPr>
          <w:rFonts w:eastAsia="SimSun"/>
          <w:i/>
          <w:iCs/>
          <w:lang w:val="en-US"/>
        </w:rPr>
        <w:t xml:space="preserve"> Eng</w:t>
      </w:r>
      <w:r>
        <w:rPr>
          <w:rFonts w:eastAsia="SimSun"/>
          <w:i/>
          <w:iCs/>
        </w:rPr>
        <w:t>.</w:t>
      </w:r>
      <w:r>
        <w:rPr>
          <w:rFonts w:eastAsia="SimSun"/>
        </w:rPr>
        <w:t>,</w:t>
      </w:r>
      <w:r>
        <w:rPr>
          <w:rFonts w:eastAsia="SimSun"/>
          <w:lang w:val="en-US"/>
        </w:rPr>
        <w:t xml:space="preserve"> </w:t>
      </w:r>
      <w:r>
        <w:rPr>
          <w:rFonts w:eastAsia="SimSun"/>
        </w:rPr>
        <w:t>33(5)</w:t>
      </w:r>
      <w:r>
        <w:rPr>
          <w:rFonts w:eastAsia="SimSun"/>
          <w:lang w:val="en-US"/>
        </w:rPr>
        <w:t>, DOI: 10.1061</w:t>
      </w:r>
      <w:proofErr w:type="gramStart"/>
      <w:r>
        <w:rPr>
          <w:rFonts w:eastAsia="SimSun"/>
          <w:lang w:val="en-US"/>
        </w:rPr>
        <w:t>/(</w:t>
      </w:r>
      <w:proofErr w:type="gramEnd"/>
      <w:r>
        <w:rPr>
          <w:rFonts w:eastAsia="SimSun"/>
          <w:lang w:val="en-US"/>
        </w:rPr>
        <w:t>ASCE)ME.1943-5479.0000538.</w:t>
      </w:r>
    </w:p>
    <w:p w:rsidR="002A0BB5" w:rsidRDefault="00C41F8F">
      <w:pPr>
        <w:tabs>
          <w:tab w:val="left" w:pos="9360"/>
        </w:tabs>
        <w:spacing w:after="0" w:line="240" w:lineRule="auto"/>
        <w:ind w:left="567" w:hanging="283"/>
        <w:jc w:val="both"/>
        <w:rPr>
          <w:rFonts w:eastAsia="SimSun"/>
          <w:lang w:val="en-US"/>
        </w:rPr>
      </w:pPr>
      <w:r>
        <w:rPr>
          <w:rFonts w:eastAsia="SimSun"/>
          <w:lang w:val="en-US"/>
        </w:rPr>
        <w:t>Jin, R., Hancock C.M., Tang, L., Wanatowski, D., and Yang, L.</w:t>
      </w:r>
      <w:r>
        <w:rPr>
          <w:rFonts w:eastAsia="SimSun"/>
        </w:rPr>
        <w:t xml:space="preserve"> (</w:t>
      </w:r>
      <w:r>
        <w:rPr>
          <w:rFonts w:eastAsia="SimSun"/>
          <w:lang w:val="en-US"/>
        </w:rPr>
        <w:t>2017</w:t>
      </w:r>
      <w:r>
        <w:rPr>
          <w:rFonts w:eastAsia="SimSun"/>
        </w:rPr>
        <w:t>b)</w:t>
      </w:r>
      <w:r>
        <w:rPr>
          <w:rFonts w:eastAsia="SimSun"/>
          <w:lang w:val="en-US"/>
        </w:rPr>
        <w:t xml:space="preserve">. </w:t>
      </w:r>
      <w:hyperlink r:id="rId14" w:history="1">
        <w:r>
          <w:rPr>
            <w:rFonts w:eastAsia="SimSun"/>
            <w:lang w:val="en-US"/>
          </w:rPr>
          <w:t>Investigation of BIM Investment, Returns, and Risks in China's AEC Industries</w:t>
        </w:r>
      </w:hyperlink>
      <w:r>
        <w:rPr>
          <w:rFonts w:eastAsia="SimSun"/>
          <w:lang w:val="en-US"/>
        </w:rPr>
        <w:t xml:space="preserve">. </w:t>
      </w:r>
      <w:r>
        <w:rPr>
          <w:rFonts w:eastAsia="SimSun"/>
          <w:i/>
          <w:iCs/>
        </w:rPr>
        <w:t>J. Constr. Eng. Manage.</w:t>
      </w:r>
      <w:r>
        <w:rPr>
          <w:rFonts w:eastAsia="SimSun"/>
        </w:rPr>
        <w:t>,</w:t>
      </w:r>
      <w:r>
        <w:rPr>
          <w:rFonts w:eastAsia="SimSun"/>
          <w:lang w:val="en-US"/>
        </w:rPr>
        <w:t xml:space="preserve"> 143(12), DOI: 10.1061</w:t>
      </w:r>
      <w:proofErr w:type="gramStart"/>
      <w:r>
        <w:rPr>
          <w:rFonts w:eastAsia="SimSun"/>
          <w:lang w:val="en-US"/>
        </w:rPr>
        <w:t>/(</w:t>
      </w:r>
      <w:proofErr w:type="gramEnd"/>
      <w:r>
        <w:rPr>
          <w:rFonts w:eastAsia="SimSun"/>
          <w:lang w:val="en-US"/>
        </w:rPr>
        <w:t>ASCE)CO.1943-7862.0001408</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Jin, R., Li, B., Zhou, T., Wanatowski, D., </w:t>
      </w:r>
      <w:r>
        <w:rPr>
          <w:rFonts w:eastAsia="SimSun"/>
        </w:rPr>
        <w:t xml:space="preserve">and </w:t>
      </w:r>
      <w:r>
        <w:rPr>
          <w:rFonts w:eastAsia="SimSun"/>
          <w:lang w:val="en-US"/>
        </w:rPr>
        <w:t>Piroozfar, P. (2017</w:t>
      </w:r>
      <w:r>
        <w:rPr>
          <w:rFonts w:eastAsia="SimSun"/>
        </w:rPr>
        <w:t>c</w:t>
      </w:r>
      <w:r>
        <w:rPr>
          <w:rFonts w:eastAsia="SimSun"/>
          <w:lang w:val="en-US"/>
        </w:rPr>
        <w:t xml:space="preserve">). </w:t>
      </w:r>
      <w:r>
        <w:rPr>
          <w:rFonts w:eastAsia="SimSun"/>
        </w:rPr>
        <w:t>“</w:t>
      </w:r>
      <w:r>
        <w:rPr>
          <w:rFonts w:eastAsia="SimSun"/>
          <w:lang w:val="en-US"/>
        </w:rPr>
        <w:t>An empirical study of perceptions towards construction and demolition waste recycling and reuse in China.</w:t>
      </w:r>
      <w:r>
        <w:rPr>
          <w:rFonts w:eastAsia="SimSun"/>
        </w:rPr>
        <w:t>”</w:t>
      </w:r>
      <w:r>
        <w:rPr>
          <w:rFonts w:eastAsia="SimSun"/>
          <w:lang w:val="en-US"/>
        </w:rPr>
        <w:t xml:space="preserve"> </w:t>
      </w:r>
      <w:r>
        <w:rPr>
          <w:rFonts w:eastAsia="SimSun"/>
          <w:i/>
          <w:lang w:val="en-US"/>
        </w:rPr>
        <w:t>Resour</w:t>
      </w:r>
      <w:r>
        <w:rPr>
          <w:rFonts w:eastAsia="SimSun"/>
          <w:i/>
        </w:rPr>
        <w:t>.</w:t>
      </w:r>
      <w:r>
        <w:rPr>
          <w:rFonts w:eastAsia="SimSun"/>
          <w:i/>
          <w:lang w:val="en-US"/>
        </w:rPr>
        <w:t xml:space="preserve"> Conserv</w:t>
      </w:r>
      <w:r>
        <w:rPr>
          <w:rFonts w:eastAsia="SimSun"/>
          <w:i/>
        </w:rPr>
        <w:t xml:space="preserve">. </w:t>
      </w:r>
      <w:proofErr w:type="gramStart"/>
      <w:r>
        <w:rPr>
          <w:rFonts w:eastAsia="SimSun"/>
          <w:i/>
          <w:lang w:val="en-US"/>
        </w:rPr>
        <w:t>Recycl</w:t>
      </w:r>
      <w:r>
        <w:rPr>
          <w:rFonts w:eastAsia="SimSun"/>
          <w:i/>
        </w:rPr>
        <w:t>.</w:t>
      </w:r>
      <w:r>
        <w:rPr>
          <w:rFonts w:eastAsia="SimSun"/>
          <w:lang w:val="en-US"/>
        </w:rPr>
        <w:t>,</w:t>
      </w:r>
      <w:proofErr w:type="gramEnd"/>
      <w:r>
        <w:rPr>
          <w:rFonts w:eastAsia="SimSun"/>
          <w:lang w:val="en-US"/>
        </w:rPr>
        <w:t xml:space="preserve"> 126, 86-98.</w:t>
      </w:r>
    </w:p>
    <w:p w:rsidR="002A0BB5" w:rsidRDefault="00C41F8F">
      <w:pPr>
        <w:tabs>
          <w:tab w:val="left" w:pos="9360"/>
        </w:tabs>
        <w:spacing w:after="0" w:line="240" w:lineRule="auto"/>
        <w:ind w:left="567" w:hanging="283"/>
        <w:jc w:val="both"/>
        <w:rPr>
          <w:rFonts w:eastAsia="SimSun"/>
          <w:lang w:val="en-US"/>
        </w:rPr>
      </w:pPr>
      <w:r>
        <w:rPr>
          <w:rFonts w:eastAsia="SimSun"/>
          <w:lang w:val="en-US"/>
        </w:rPr>
        <w:lastRenderedPageBreak/>
        <w:t>Jin R., Yang T., Piroozfar P., Kang B.G, Wanatowski D., and Hancock C.M. (2017</w:t>
      </w:r>
      <w:r>
        <w:rPr>
          <w:rFonts w:eastAsia="SimSun"/>
        </w:rPr>
        <w:t>d</w:t>
      </w:r>
      <w:r>
        <w:rPr>
          <w:rFonts w:eastAsia="SimSun"/>
          <w:lang w:val="en-US"/>
        </w:rPr>
        <w:t xml:space="preserve">). “Project-based pedagogy in interdisciplinary building design adopting BIM.” In press. </w:t>
      </w:r>
      <w:r>
        <w:rPr>
          <w:rFonts w:eastAsia="SimSun"/>
          <w:i/>
          <w:iCs/>
        </w:rPr>
        <w:t>ECAM</w:t>
      </w:r>
      <w:r>
        <w:rPr>
          <w:rFonts w:eastAsia="SimSun"/>
          <w:i/>
          <w:iCs/>
          <w:lang w:val="en-US"/>
        </w:rPr>
        <w:t>.</w:t>
      </w:r>
      <w:r>
        <w:rPr>
          <w:rFonts w:eastAsia="SimSun"/>
          <w:lang w:val="en-US"/>
        </w:rPr>
        <w:t xml:space="preserve"> </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Johnson, R. A. (2005). </w:t>
      </w:r>
      <w:r>
        <w:rPr>
          <w:rFonts w:eastAsia="SimSun"/>
        </w:rPr>
        <w:t>“</w:t>
      </w:r>
      <w:r>
        <w:rPr>
          <w:rFonts w:eastAsia="SimSun"/>
          <w:lang w:val="en-US"/>
        </w:rPr>
        <w:t>Miller &amp; Freund’s probability and statistics for engineers</w:t>
      </w:r>
      <w:r>
        <w:rPr>
          <w:rFonts w:eastAsia="SimSun"/>
        </w:rPr>
        <w:t xml:space="preserve">.” </w:t>
      </w:r>
      <w:r>
        <w:rPr>
          <w:rFonts w:eastAsia="SimSun"/>
          <w:lang w:val="en-US"/>
        </w:rPr>
        <w:t>7th Ed., Pearson prentice Hall, Upper Saddle River, NJ, 292-307; 397-413.</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Kim, K., Cho, Y., and Zhang, S. (2016). “Integrating work sequences and temporary structures into safety planning: Automated scaffolding-related safety hazard identification and prevention in BIM.” </w:t>
      </w:r>
      <w:r>
        <w:rPr>
          <w:rFonts w:eastAsia="SimSun"/>
          <w:i/>
          <w:lang w:val="en-US"/>
        </w:rPr>
        <w:t>Autom. Constr.</w:t>
      </w:r>
      <w:r>
        <w:rPr>
          <w:rFonts w:eastAsia="SimSun"/>
          <w:lang w:val="en-US"/>
        </w:rPr>
        <w:t>, 70, 128-142.</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Ku, K., </w:t>
      </w:r>
      <w:r>
        <w:rPr>
          <w:rFonts w:eastAsia="SimSun"/>
        </w:rPr>
        <w:t>and</w:t>
      </w:r>
      <w:r>
        <w:rPr>
          <w:rFonts w:eastAsia="SimSun"/>
          <w:lang w:val="en-US"/>
        </w:rPr>
        <w:t xml:space="preserve"> Taiebat, M. (2011). </w:t>
      </w:r>
      <w:r>
        <w:rPr>
          <w:rFonts w:eastAsia="SimSun"/>
        </w:rPr>
        <w:t>“</w:t>
      </w:r>
      <w:r>
        <w:rPr>
          <w:rFonts w:eastAsia="SimSun"/>
          <w:lang w:val="en-US"/>
        </w:rPr>
        <w:t>BIM experiences and expectations: the constructors' perspective.</w:t>
      </w:r>
      <w:r>
        <w:rPr>
          <w:rFonts w:eastAsia="SimSun"/>
        </w:rPr>
        <w:t>”</w:t>
      </w:r>
      <w:r>
        <w:rPr>
          <w:rFonts w:eastAsia="SimSun"/>
          <w:lang w:val="en-US"/>
        </w:rPr>
        <w:t xml:space="preserve"> </w:t>
      </w:r>
      <w:r>
        <w:rPr>
          <w:rFonts w:eastAsia="SimSun"/>
          <w:i/>
          <w:iCs/>
          <w:lang w:val="en-US"/>
        </w:rPr>
        <w:t>International Journal of Construction Education and Research</w:t>
      </w:r>
      <w:r>
        <w:rPr>
          <w:rFonts w:eastAsia="SimSun"/>
          <w:lang w:val="en-US"/>
        </w:rPr>
        <w:t>, 7(3), 175-197.</w:t>
      </w:r>
    </w:p>
    <w:p w:rsidR="002A0BB5" w:rsidRDefault="00C41F8F">
      <w:pPr>
        <w:tabs>
          <w:tab w:val="left" w:pos="9360"/>
        </w:tabs>
        <w:spacing w:after="0" w:line="240" w:lineRule="auto"/>
        <w:ind w:left="567" w:hanging="283"/>
        <w:jc w:val="both"/>
        <w:rPr>
          <w:rFonts w:eastAsia="SimSun"/>
          <w:lang w:val="en-US"/>
        </w:rPr>
      </w:pPr>
      <w:r>
        <w:rPr>
          <w:rFonts w:eastAsia="SimSun"/>
          <w:lang w:val="en-US"/>
        </w:rPr>
        <w:t>Lee, S., and Yu, J. (2016). “Comparative study of BIM acceptance between Korea and the United States.”</w:t>
      </w:r>
      <w:r>
        <w:t xml:space="preserve"> </w:t>
      </w:r>
      <w:r>
        <w:rPr>
          <w:rFonts w:eastAsia="SimSun"/>
          <w:i/>
          <w:lang w:val="en-US"/>
        </w:rPr>
        <w:t>J. Constr. Eng. Manage.</w:t>
      </w:r>
      <w:r>
        <w:rPr>
          <w:rFonts w:eastAsia="SimSun"/>
          <w:lang w:val="en-US"/>
        </w:rPr>
        <w:t>, 142 (3),</w:t>
      </w:r>
      <w:r>
        <w:t xml:space="preserve"> </w:t>
      </w:r>
      <w:r>
        <w:rPr>
          <w:rFonts w:eastAsia="SimSun"/>
          <w:lang w:val="en-US"/>
        </w:rPr>
        <w:t>05015016.</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Lee, S., Yu, J., </w:t>
      </w:r>
      <w:r>
        <w:rPr>
          <w:rFonts w:eastAsia="SimSun"/>
        </w:rPr>
        <w:t>and</w:t>
      </w:r>
      <w:r>
        <w:rPr>
          <w:rFonts w:eastAsia="SimSun"/>
          <w:lang w:val="en-US"/>
        </w:rPr>
        <w:t xml:space="preserve"> Jeong, D. (201</w:t>
      </w:r>
      <w:r>
        <w:rPr>
          <w:rFonts w:eastAsia="SimSun"/>
        </w:rPr>
        <w:t>5</w:t>
      </w:r>
      <w:r>
        <w:rPr>
          <w:rFonts w:eastAsia="SimSun"/>
          <w:lang w:val="en-US"/>
        </w:rPr>
        <w:t xml:space="preserve">). </w:t>
      </w:r>
      <w:r>
        <w:rPr>
          <w:rFonts w:eastAsia="SimSun"/>
        </w:rPr>
        <w:t>“</w:t>
      </w:r>
      <w:r>
        <w:rPr>
          <w:rFonts w:eastAsia="SimSun"/>
          <w:lang w:val="en-US"/>
        </w:rPr>
        <w:t>BIM acceptance model in construction organizations.</w:t>
      </w:r>
      <w:r>
        <w:rPr>
          <w:rFonts w:eastAsia="SimSun"/>
        </w:rPr>
        <w:t>”</w:t>
      </w:r>
      <w:r>
        <w:rPr>
          <w:rFonts w:eastAsia="SimSun"/>
          <w:lang w:val="en-US"/>
        </w:rPr>
        <w:t> </w:t>
      </w:r>
      <w:r>
        <w:rPr>
          <w:rFonts w:eastAsia="SimSun"/>
          <w:i/>
          <w:iCs/>
          <w:lang w:val="en-US"/>
        </w:rPr>
        <w:t>J</w:t>
      </w:r>
      <w:r>
        <w:rPr>
          <w:rFonts w:eastAsia="SimSun"/>
          <w:i/>
          <w:iCs/>
        </w:rPr>
        <w:t xml:space="preserve">. </w:t>
      </w:r>
      <w:r>
        <w:rPr>
          <w:rFonts w:eastAsia="SimSun"/>
          <w:i/>
          <w:iCs/>
          <w:lang w:val="en-US"/>
        </w:rPr>
        <w:t>Manag</w:t>
      </w:r>
      <w:r>
        <w:rPr>
          <w:rFonts w:eastAsia="SimSun"/>
          <w:i/>
          <w:iCs/>
        </w:rPr>
        <w:t>e.</w:t>
      </w:r>
      <w:r>
        <w:rPr>
          <w:rFonts w:eastAsia="SimSun"/>
          <w:i/>
          <w:iCs/>
          <w:lang w:val="en-US"/>
        </w:rPr>
        <w:t xml:space="preserve"> Eng</w:t>
      </w:r>
      <w:r>
        <w:rPr>
          <w:rFonts w:eastAsia="SimSun"/>
          <w:i/>
          <w:iCs/>
        </w:rPr>
        <w:t>.</w:t>
      </w:r>
      <w:r>
        <w:rPr>
          <w:rFonts w:eastAsia="SimSun"/>
          <w:iCs/>
          <w:lang w:val="en-US"/>
        </w:rPr>
        <w:t xml:space="preserve">, </w:t>
      </w:r>
      <w:r>
        <w:rPr>
          <w:rFonts w:eastAsia="SimSun"/>
          <w:lang w:val="en-US"/>
        </w:rPr>
        <w:t>31(3), 04014048.</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Liao, L., and Ai Lin Teo, E. (2018). “Organizational Change Perspective on People Management in BIM Implementation in Building Projects.” </w:t>
      </w:r>
      <w:r>
        <w:rPr>
          <w:rFonts w:eastAsia="SimSun"/>
          <w:i/>
          <w:iCs/>
          <w:lang w:val="en-US"/>
        </w:rPr>
        <w:t>J</w:t>
      </w:r>
      <w:r>
        <w:rPr>
          <w:rFonts w:eastAsia="SimSun"/>
          <w:i/>
          <w:iCs/>
        </w:rPr>
        <w:t xml:space="preserve">. </w:t>
      </w:r>
      <w:r>
        <w:rPr>
          <w:rFonts w:eastAsia="SimSun"/>
          <w:i/>
          <w:iCs/>
          <w:lang w:val="en-US"/>
        </w:rPr>
        <w:t>Manag</w:t>
      </w:r>
      <w:r>
        <w:rPr>
          <w:rFonts w:eastAsia="SimSun"/>
          <w:i/>
          <w:iCs/>
        </w:rPr>
        <w:t>e.</w:t>
      </w:r>
      <w:r>
        <w:rPr>
          <w:rFonts w:eastAsia="SimSun"/>
          <w:i/>
          <w:iCs/>
          <w:lang w:val="en-US"/>
        </w:rPr>
        <w:t xml:space="preserve"> Eng</w:t>
      </w:r>
      <w:r>
        <w:rPr>
          <w:rFonts w:eastAsia="SimSun"/>
          <w:i/>
          <w:iCs/>
        </w:rPr>
        <w:t>.</w:t>
      </w:r>
      <w:r>
        <w:rPr>
          <w:rFonts w:eastAsia="SimSun"/>
          <w:iCs/>
          <w:lang w:val="en-US"/>
        </w:rPr>
        <w:t xml:space="preserve">, </w:t>
      </w:r>
      <w:r>
        <w:rPr>
          <w:rFonts w:eastAsia="SimSun"/>
          <w:lang w:val="en-US"/>
        </w:rPr>
        <w:t>34(3), 04018009.</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Liu, Y., Van Nederveen, S., </w:t>
      </w:r>
      <w:r>
        <w:rPr>
          <w:rFonts w:eastAsia="SimSun"/>
        </w:rPr>
        <w:t>and</w:t>
      </w:r>
      <w:r>
        <w:rPr>
          <w:rFonts w:eastAsia="SimSun"/>
          <w:lang w:val="en-US"/>
        </w:rPr>
        <w:t xml:space="preserve"> Hertogh, M. (2017). </w:t>
      </w:r>
      <w:r>
        <w:rPr>
          <w:rFonts w:eastAsia="SimSun"/>
        </w:rPr>
        <w:t>“</w:t>
      </w:r>
      <w:r>
        <w:rPr>
          <w:rFonts w:eastAsia="SimSun"/>
          <w:lang w:val="en-US"/>
        </w:rPr>
        <w:t>Understanding effects of BIM on collaborative design and construction: An empirical study in China.</w:t>
      </w:r>
      <w:r>
        <w:rPr>
          <w:rFonts w:eastAsia="SimSun"/>
        </w:rPr>
        <w:t>”</w:t>
      </w:r>
      <w:r>
        <w:rPr>
          <w:rFonts w:eastAsia="SimSun"/>
          <w:lang w:val="en-US"/>
        </w:rPr>
        <w:t xml:space="preserve"> </w:t>
      </w:r>
      <w:r>
        <w:rPr>
          <w:rFonts w:eastAsia="SimSun"/>
          <w:i/>
          <w:iCs/>
          <w:lang w:val="en-US"/>
        </w:rPr>
        <w:t xml:space="preserve"> Int. J. Proj. </w:t>
      </w:r>
      <w:proofErr w:type="gramStart"/>
      <w:r>
        <w:rPr>
          <w:rFonts w:eastAsia="SimSun"/>
          <w:i/>
          <w:iCs/>
          <w:lang w:val="en-US"/>
        </w:rPr>
        <w:t>Manag.</w:t>
      </w:r>
      <w:r>
        <w:rPr>
          <w:rFonts w:eastAsia="SimSun"/>
          <w:i/>
          <w:iCs/>
        </w:rPr>
        <w:t>,</w:t>
      </w:r>
      <w:proofErr w:type="gramEnd"/>
      <w:r>
        <w:rPr>
          <w:rFonts w:eastAsia="SimSun"/>
          <w:i/>
          <w:iCs/>
          <w:lang w:val="en-US"/>
        </w:rPr>
        <w:t xml:space="preserve"> </w:t>
      </w:r>
      <w:r>
        <w:rPr>
          <w:rFonts w:eastAsia="SimSun"/>
          <w:lang w:val="en-US"/>
        </w:rPr>
        <w:t>35(4), 686-698.</w:t>
      </w:r>
    </w:p>
    <w:p w:rsidR="002A0BB5" w:rsidRDefault="00C41F8F">
      <w:pPr>
        <w:tabs>
          <w:tab w:val="left" w:pos="9360"/>
        </w:tabs>
        <w:spacing w:after="0" w:line="240" w:lineRule="auto"/>
        <w:ind w:left="567" w:hanging="283"/>
        <w:jc w:val="both"/>
        <w:rPr>
          <w:rFonts w:eastAsia="SimSun"/>
          <w:lang w:val="en-US"/>
        </w:rPr>
      </w:pPr>
      <w:r>
        <w:rPr>
          <w:rFonts w:eastAsia="SimSun"/>
          <w:lang w:val="en-US"/>
        </w:rPr>
        <w:t>Loushine, W. T., Hoonakker, P. L. T., Carayon, P., and Smith, M. J. (2006).</w:t>
      </w:r>
      <w:r>
        <w:rPr>
          <w:rFonts w:eastAsia="SimSun"/>
        </w:rPr>
        <w:t xml:space="preserve"> </w:t>
      </w:r>
      <w:r>
        <w:rPr>
          <w:rFonts w:eastAsia="SimSun"/>
          <w:lang w:val="en-US"/>
        </w:rPr>
        <w:t xml:space="preserve">“Quality safety management in construction.” </w:t>
      </w:r>
      <w:r>
        <w:rPr>
          <w:rFonts w:eastAsia="SimSun"/>
          <w:i/>
          <w:iCs/>
          <w:lang w:val="en-US"/>
        </w:rPr>
        <w:t>Total Qual. Manage.,</w:t>
      </w:r>
      <w:r>
        <w:rPr>
          <w:rFonts w:eastAsia="SimSun"/>
        </w:rPr>
        <w:t xml:space="preserve"> </w:t>
      </w:r>
      <w:r>
        <w:rPr>
          <w:rFonts w:eastAsia="SimSun"/>
          <w:lang w:val="en-US"/>
        </w:rPr>
        <w:t>17(9), 1171–1212.</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Lu, Y., Li, Y., Skibniewski, M., Wu, Z., Wang, R., and Le, Y. (2015). “Information and communication technology applications in architecture, engineering, and construction organizations: A 15-year review.” </w:t>
      </w:r>
      <w:r>
        <w:rPr>
          <w:rFonts w:eastAsia="SimSun"/>
          <w:i/>
          <w:iCs/>
          <w:lang w:val="en-US"/>
        </w:rPr>
        <w:t>J. Manage. Eng.,</w:t>
      </w:r>
      <w:r>
        <w:rPr>
          <w:rFonts w:eastAsia="SimSun"/>
          <w:lang w:val="en-US"/>
        </w:rPr>
        <w:t xml:space="preserve"> 10.1061</w:t>
      </w:r>
      <w:proofErr w:type="gramStart"/>
      <w:r>
        <w:rPr>
          <w:rFonts w:eastAsia="SimSun"/>
          <w:lang w:val="en-US"/>
        </w:rPr>
        <w:t>/(</w:t>
      </w:r>
      <w:proofErr w:type="gramEnd"/>
      <w:r>
        <w:rPr>
          <w:rFonts w:eastAsia="SimSun"/>
          <w:lang w:val="en-US"/>
        </w:rPr>
        <w:t>ASCE)ME.1943-5479.0000319, A4014010.Malekitabar, H., Ardeshir, A., Sebt, M.H., and Stouffs, R. (2016). “Construction safety risk drivers: A BIM approach.”</w:t>
      </w:r>
      <w:r>
        <w:rPr>
          <w:rFonts w:eastAsia="SimSun"/>
          <w:i/>
          <w:iCs/>
          <w:lang w:val="en-US"/>
        </w:rPr>
        <w:t xml:space="preserve"> Safety Sci</w:t>
      </w:r>
      <w:r>
        <w:rPr>
          <w:rFonts w:eastAsia="SimSun"/>
          <w:i/>
          <w:iCs/>
        </w:rPr>
        <w:t>.</w:t>
      </w:r>
      <w:r>
        <w:rPr>
          <w:rFonts w:eastAsia="SimSun"/>
          <w:lang w:val="en-US"/>
        </w:rPr>
        <w:t xml:space="preserve">, 82, 445-455. </w:t>
      </w:r>
    </w:p>
    <w:p w:rsidR="002A0BB5" w:rsidRDefault="00C41F8F">
      <w:pPr>
        <w:tabs>
          <w:tab w:val="left" w:pos="9360"/>
        </w:tabs>
        <w:spacing w:after="0" w:line="240" w:lineRule="auto"/>
        <w:ind w:left="567" w:hanging="283"/>
        <w:jc w:val="both"/>
        <w:rPr>
          <w:rFonts w:eastAsia="SimSun"/>
          <w:lang w:val="en-US"/>
        </w:rPr>
      </w:pPr>
      <w:r>
        <w:rPr>
          <w:rFonts w:eastAsia="SimSun"/>
          <w:lang w:val="en-US"/>
        </w:rPr>
        <w:t>Martínez-Aires, M.D., López-Alonso, M., and Martínez-Rojas, M. (2018). “Building information modeling and safety management: A systematic review.”</w:t>
      </w:r>
      <w:r>
        <w:rPr>
          <w:rFonts w:eastAsia="SimSun"/>
          <w:i/>
          <w:iCs/>
          <w:lang w:val="en-US"/>
        </w:rPr>
        <w:t xml:space="preserve"> Safety Sci</w:t>
      </w:r>
      <w:r>
        <w:rPr>
          <w:rFonts w:eastAsia="SimSun"/>
          <w:i/>
          <w:iCs/>
        </w:rPr>
        <w:t xml:space="preserve">., </w:t>
      </w:r>
      <w:r>
        <w:rPr>
          <w:rFonts w:eastAsia="SimSun"/>
          <w:iCs/>
        </w:rPr>
        <w:t>101, 11-18.</w:t>
      </w:r>
    </w:p>
    <w:p w:rsidR="002A0BB5" w:rsidRDefault="00C41F8F">
      <w:pPr>
        <w:tabs>
          <w:tab w:val="left" w:pos="9360"/>
        </w:tabs>
        <w:spacing w:after="0" w:line="240" w:lineRule="auto"/>
        <w:ind w:left="567" w:hanging="283"/>
        <w:jc w:val="both"/>
        <w:rPr>
          <w:rFonts w:eastAsia="SimSun"/>
          <w:lang w:val="en-US"/>
        </w:rPr>
      </w:pPr>
      <w:r>
        <w:rPr>
          <w:rFonts w:eastAsia="SimSun"/>
          <w:lang w:val="en-US"/>
        </w:rPr>
        <w:t>Mearns, K., Whitaker, S. M., and Flin, R. (2003). “Safety climate, safety</w:t>
      </w:r>
      <w:r>
        <w:rPr>
          <w:rFonts w:eastAsia="SimSun"/>
        </w:rPr>
        <w:t xml:space="preserve"> </w:t>
      </w:r>
      <w:r>
        <w:rPr>
          <w:rFonts w:eastAsia="SimSun"/>
          <w:lang w:val="en-US"/>
        </w:rPr>
        <w:t>management practice and safety performance in offshore environments.”</w:t>
      </w:r>
      <w:r>
        <w:rPr>
          <w:rFonts w:eastAsia="SimSun"/>
        </w:rPr>
        <w:t xml:space="preserve"> </w:t>
      </w:r>
      <w:r>
        <w:rPr>
          <w:rFonts w:eastAsia="SimSun"/>
          <w:i/>
          <w:iCs/>
          <w:lang w:val="en-US"/>
        </w:rPr>
        <w:t>Saf</w:t>
      </w:r>
      <w:r>
        <w:rPr>
          <w:rFonts w:eastAsia="SimSun"/>
          <w:i/>
          <w:iCs/>
        </w:rPr>
        <w:t>ety</w:t>
      </w:r>
      <w:r>
        <w:rPr>
          <w:rFonts w:eastAsia="SimSun"/>
          <w:i/>
          <w:iCs/>
          <w:lang w:val="en-US"/>
        </w:rPr>
        <w:t xml:space="preserve"> Sci.</w:t>
      </w:r>
      <w:r>
        <w:rPr>
          <w:rFonts w:eastAsia="SimSun"/>
          <w:lang w:val="en-US"/>
        </w:rPr>
        <w:t>, 41(8), 641–680.</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Meliá, J. L., Mearns, K., Silva, S. A., </w:t>
      </w:r>
      <w:r>
        <w:rPr>
          <w:rFonts w:eastAsia="SimSun"/>
        </w:rPr>
        <w:t>and</w:t>
      </w:r>
      <w:r>
        <w:rPr>
          <w:rFonts w:eastAsia="SimSun"/>
          <w:lang w:val="en-US"/>
        </w:rPr>
        <w:t xml:space="preserve"> Lima, M. L. (2008). </w:t>
      </w:r>
      <w:r>
        <w:rPr>
          <w:rFonts w:eastAsia="SimSun"/>
        </w:rPr>
        <w:t>“</w:t>
      </w:r>
      <w:r>
        <w:rPr>
          <w:rFonts w:eastAsia="SimSun"/>
          <w:lang w:val="en-US"/>
        </w:rPr>
        <w:t>Safety climate responses and the perceived risk of accidents in the construction industry.</w:t>
      </w:r>
      <w:r>
        <w:rPr>
          <w:rFonts w:eastAsia="SimSun"/>
        </w:rPr>
        <w:t>”</w:t>
      </w:r>
      <w:r>
        <w:rPr>
          <w:rFonts w:eastAsia="SimSun"/>
          <w:lang w:val="en-US"/>
        </w:rPr>
        <w:t xml:space="preserve"> </w:t>
      </w:r>
      <w:r>
        <w:rPr>
          <w:rFonts w:eastAsia="SimSun"/>
          <w:i/>
          <w:iCs/>
          <w:lang w:val="en-US"/>
        </w:rPr>
        <w:t>Safety Sci</w:t>
      </w:r>
      <w:r>
        <w:rPr>
          <w:rFonts w:eastAsia="SimSun"/>
          <w:i/>
          <w:iCs/>
        </w:rPr>
        <w:t>.</w:t>
      </w:r>
      <w:r>
        <w:rPr>
          <w:rFonts w:eastAsia="SimSun"/>
          <w:lang w:val="en-US"/>
        </w:rPr>
        <w:t>, 46 (6), 949-958.</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Migilinskas, D., Popov, V., Juocevicius, V., </w:t>
      </w:r>
      <w:r>
        <w:rPr>
          <w:rFonts w:eastAsia="SimSun"/>
        </w:rPr>
        <w:t xml:space="preserve">and </w:t>
      </w:r>
      <w:r>
        <w:rPr>
          <w:rFonts w:eastAsia="SimSun"/>
          <w:lang w:val="en-US"/>
        </w:rPr>
        <w:t xml:space="preserve">Ustinovichius, L. (2013). </w:t>
      </w:r>
      <w:r>
        <w:rPr>
          <w:rFonts w:eastAsia="SimSun"/>
        </w:rPr>
        <w:t>“</w:t>
      </w:r>
      <w:r>
        <w:rPr>
          <w:rFonts w:eastAsia="SimSun"/>
          <w:lang w:val="en-US"/>
        </w:rPr>
        <w:t>The benefits, obstacles and problems of practical BIM implementation.</w:t>
      </w:r>
      <w:r>
        <w:rPr>
          <w:rFonts w:eastAsia="SimSun"/>
        </w:rPr>
        <w:t>”</w:t>
      </w:r>
      <w:r>
        <w:rPr>
          <w:rFonts w:eastAsia="SimSun"/>
          <w:lang w:val="en-US"/>
        </w:rPr>
        <w:t xml:space="preserve"> </w:t>
      </w:r>
      <w:r>
        <w:rPr>
          <w:rFonts w:eastAsia="SimSun"/>
          <w:i/>
          <w:lang w:val="en-US"/>
        </w:rPr>
        <w:t>Procedia Eng</w:t>
      </w:r>
      <w:r>
        <w:rPr>
          <w:rFonts w:eastAsia="SimSun"/>
          <w:i/>
        </w:rPr>
        <w:t>.</w:t>
      </w:r>
      <w:r>
        <w:rPr>
          <w:rFonts w:eastAsia="SimSun"/>
          <w:lang w:val="en-US"/>
        </w:rPr>
        <w:t>, 57, 767–774.</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Ministry of Housing and Urban-Rural Development (MHURD) of China (2017). “Report of the progress of the construction project quality and safety upgrading in the 2nd quarter of 2017.” Doc. No. 674. Available via &lt;http://www.mohurd.gov.cn/wjfb/201709/t20170930_233490.html&gt;, accessed on April 18th, 2018.  </w:t>
      </w:r>
    </w:p>
    <w:p w:rsidR="002A0BB5" w:rsidRDefault="00C41F8F">
      <w:pPr>
        <w:tabs>
          <w:tab w:val="left" w:pos="9360"/>
        </w:tabs>
        <w:spacing w:after="0" w:line="240" w:lineRule="auto"/>
        <w:ind w:left="567" w:hanging="283"/>
        <w:jc w:val="both"/>
        <w:rPr>
          <w:rFonts w:eastAsia="SimSun"/>
          <w:lang w:val="en-US"/>
        </w:rPr>
      </w:pPr>
      <w:r>
        <w:rPr>
          <w:rFonts w:eastAsia="SimSun"/>
          <w:lang w:val="en-US"/>
        </w:rPr>
        <w:t>National Occupational Research Agenda (NORA). (2008). “National construction agenda for occupational safety and health research and practice in the U.S. construction sector.” NORA Construction Sector Council. Available on &lt;http://www.cdc.gov/niosh/nora/comment/agendas/construction/pdfs/ConstOct2008.pdf&gt;</w:t>
      </w:r>
      <w:r>
        <w:rPr>
          <w:rFonts w:eastAsia="SimSun" w:hint="eastAsia"/>
          <w:lang w:val="en-US"/>
        </w:rPr>
        <w:t xml:space="preserve"> </w:t>
      </w:r>
      <w:r>
        <w:rPr>
          <w:rFonts w:eastAsia="SimSun"/>
          <w:lang w:val="en-US"/>
        </w:rPr>
        <w:t>(accessed on 8 November 2017).</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Neal, A., Griffin, M. A., </w:t>
      </w:r>
      <w:r>
        <w:rPr>
          <w:rFonts w:eastAsia="SimSun"/>
        </w:rPr>
        <w:t>and</w:t>
      </w:r>
      <w:r>
        <w:rPr>
          <w:rFonts w:eastAsia="SimSun"/>
          <w:lang w:val="en-US"/>
        </w:rPr>
        <w:t xml:space="preserve"> Hart, P. M. (2000). </w:t>
      </w:r>
      <w:r>
        <w:rPr>
          <w:rFonts w:eastAsia="SimSun"/>
        </w:rPr>
        <w:t>“</w:t>
      </w:r>
      <w:r>
        <w:rPr>
          <w:rFonts w:eastAsia="SimSun"/>
          <w:lang w:val="en-US"/>
        </w:rPr>
        <w:t>The impact of organizational climate on safety climate and individual behavior.</w:t>
      </w:r>
      <w:r>
        <w:rPr>
          <w:rFonts w:eastAsia="SimSun"/>
        </w:rPr>
        <w:t>”</w:t>
      </w:r>
      <w:r>
        <w:rPr>
          <w:rFonts w:eastAsia="SimSun"/>
          <w:lang w:val="en-US"/>
        </w:rPr>
        <w:t xml:space="preserve"> </w:t>
      </w:r>
      <w:r>
        <w:rPr>
          <w:rFonts w:eastAsia="SimSun"/>
          <w:i/>
          <w:iCs/>
          <w:lang w:val="en-US"/>
        </w:rPr>
        <w:t xml:space="preserve">Safety </w:t>
      </w:r>
      <w:r>
        <w:rPr>
          <w:rFonts w:eastAsia="SimSun"/>
          <w:i/>
          <w:iCs/>
        </w:rPr>
        <w:t>S</w:t>
      </w:r>
      <w:r>
        <w:rPr>
          <w:rFonts w:eastAsia="SimSun"/>
          <w:i/>
          <w:iCs/>
          <w:lang w:val="en-US"/>
        </w:rPr>
        <w:t>ci</w:t>
      </w:r>
      <w:r>
        <w:rPr>
          <w:rFonts w:eastAsia="SimSun"/>
          <w:i/>
          <w:iCs/>
        </w:rPr>
        <w:t>.</w:t>
      </w:r>
      <w:r>
        <w:rPr>
          <w:rFonts w:eastAsia="SimSun"/>
          <w:lang w:val="en-US"/>
        </w:rPr>
        <w:t>, 34(1), 99-109.</w:t>
      </w:r>
    </w:p>
    <w:p w:rsidR="002A0BB5" w:rsidRDefault="00C41F8F">
      <w:pPr>
        <w:tabs>
          <w:tab w:val="left" w:pos="9360"/>
        </w:tabs>
        <w:spacing w:after="0" w:line="240" w:lineRule="auto"/>
        <w:ind w:left="567" w:hanging="283"/>
        <w:jc w:val="both"/>
        <w:rPr>
          <w:rFonts w:eastAsia="SimSun"/>
          <w:lang w:val="en-US"/>
        </w:rPr>
      </w:pPr>
      <w:r>
        <w:rPr>
          <w:rFonts w:eastAsia="SimSun"/>
          <w:lang w:val="en-US"/>
        </w:rPr>
        <w:lastRenderedPageBreak/>
        <w:t xml:space="preserve">Norman, G. (2010). </w:t>
      </w:r>
      <w:r>
        <w:rPr>
          <w:rFonts w:eastAsia="SimSun"/>
        </w:rPr>
        <w:t>“</w:t>
      </w:r>
      <w:r>
        <w:rPr>
          <w:rFonts w:eastAsia="SimSun"/>
          <w:lang w:val="en-US"/>
        </w:rPr>
        <w:t>Likert scales, levels of measurement and the ‘laws’ of statistics.</w:t>
      </w:r>
      <w:r>
        <w:rPr>
          <w:rFonts w:eastAsia="SimSun"/>
        </w:rPr>
        <w:t xml:space="preserve">” </w:t>
      </w:r>
      <w:r>
        <w:rPr>
          <w:rFonts w:eastAsia="SimSun"/>
          <w:i/>
          <w:lang w:val="en-US"/>
        </w:rPr>
        <w:t>Adv</w:t>
      </w:r>
      <w:r>
        <w:rPr>
          <w:rFonts w:eastAsia="SimSun"/>
          <w:i/>
        </w:rPr>
        <w:t>.</w:t>
      </w:r>
      <w:r>
        <w:rPr>
          <w:rFonts w:eastAsia="SimSun"/>
          <w:i/>
          <w:lang w:val="en-US"/>
        </w:rPr>
        <w:t xml:space="preserve"> Health</w:t>
      </w:r>
      <w:r>
        <w:rPr>
          <w:rFonts w:eastAsia="SimSun"/>
          <w:i/>
        </w:rPr>
        <w:t>.</w:t>
      </w:r>
      <w:r>
        <w:rPr>
          <w:rFonts w:eastAsia="SimSun"/>
          <w:i/>
          <w:lang w:val="en-US"/>
        </w:rPr>
        <w:t xml:space="preserve"> Sci</w:t>
      </w:r>
      <w:r>
        <w:rPr>
          <w:rFonts w:eastAsia="SimSun"/>
          <w:i/>
        </w:rPr>
        <w:t>.</w:t>
      </w:r>
      <w:r>
        <w:rPr>
          <w:rFonts w:eastAsia="SimSun"/>
          <w:i/>
          <w:lang w:val="en-US"/>
        </w:rPr>
        <w:t xml:space="preserve"> Edu</w:t>
      </w:r>
      <w:r>
        <w:rPr>
          <w:rFonts w:eastAsia="SimSun"/>
          <w:i/>
        </w:rPr>
        <w:t>.</w:t>
      </w:r>
      <w:r>
        <w:rPr>
          <w:rFonts w:eastAsia="SimSun"/>
          <w:i/>
          <w:lang w:val="en-US"/>
        </w:rPr>
        <w:t>,</w:t>
      </w:r>
      <w:r>
        <w:rPr>
          <w:rFonts w:eastAsia="SimSun"/>
          <w:lang w:val="en-US"/>
        </w:rPr>
        <w:t xml:space="preserve"> 15(5), 625-632.</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Oraee, M., Hosseini, M.R., Papadonikolaki, E., Palliyaguru, R., and Arashpour, M. (2017). </w:t>
      </w:r>
      <w:r>
        <w:rPr>
          <w:rFonts w:eastAsia="SimSun"/>
        </w:rPr>
        <w:t>“</w:t>
      </w:r>
      <w:r>
        <w:rPr>
          <w:rFonts w:eastAsia="SimSun"/>
          <w:lang w:val="en-US"/>
        </w:rPr>
        <w:t>Collaboration in BIM-based construction networks: A bibliometric-qualitative literature review.</w:t>
      </w:r>
      <w:r>
        <w:rPr>
          <w:rFonts w:eastAsia="SimSun"/>
        </w:rPr>
        <w:t>”</w:t>
      </w:r>
      <w:r>
        <w:rPr>
          <w:rFonts w:eastAsia="SimSun"/>
          <w:lang w:val="en-US"/>
        </w:rPr>
        <w:t xml:space="preserve">  </w:t>
      </w:r>
      <w:r>
        <w:rPr>
          <w:rFonts w:eastAsia="SimSun"/>
          <w:i/>
          <w:iCs/>
          <w:lang w:val="en-US"/>
        </w:rPr>
        <w:t xml:space="preserve">Int. J. Proj. </w:t>
      </w:r>
      <w:proofErr w:type="gramStart"/>
      <w:r>
        <w:rPr>
          <w:rFonts w:eastAsia="SimSun"/>
          <w:i/>
          <w:iCs/>
          <w:lang w:val="en-US"/>
        </w:rPr>
        <w:t>Manag.</w:t>
      </w:r>
      <w:r>
        <w:rPr>
          <w:rFonts w:eastAsia="SimSun"/>
          <w:i/>
          <w:iCs/>
        </w:rPr>
        <w:t>,</w:t>
      </w:r>
      <w:proofErr w:type="gramEnd"/>
      <w:r>
        <w:rPr>
          <w:rFonts w:eastAsia="SimSun"/>
          <w:lang w:val="en-US"/>
        </w:rPr>
        <w:t xml:space="preserve"> 35, 1288–1301.</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Papadonikolaki, E., </w:t>
      </w:r>
      <w:r>
        <w:rPr>
          <w:rFonts w:eastAsia="SimSun"/>
        </w:rPr>
        <w:t>and</w:t>
      </w:r>
      <w:r>
        <w:rPr>
          <w:rFonts w:eastAsia="SimSun"/>
          <w:lang w:val="en-US"/>
        </w:rPr>
        <w:t xml:space="preserve"> Wamelink, H. (2017). </w:t>
      </w:r>
      <w:r>
        <w:rPr>
          <w:rFonts w:eastAsia="SimSun"/>
        </w:rPr>
        <w:t>“</w:t>
      </w:r>
      <w:r>
        <w:rPr>
          <w:rFonts w:eastAsia="SimSun"/>
          <w:lang w:val="en-US"/>
        </w:rPr>
        <w:t>Inter- and intra-organizational conditions for supply chain integration with BIM.</w:t>
      </w:r>
      <w:r>
        <w:rPr>
          <w:rFonts w:eastAsia="SimSun"/>
        </w:rPr>
        <w:t>”</w:t>
      </w:r>
      <w:r>
        <w:rPr>
          <w:rFonts w:eastAsia="SimSun"/>
          <w:lang w:val="en-US"/>
        </w:rPr>
        <w:t xml:space="preserve"> </w:t>
      </w:r>
      <w:r>
        <w:rPr>
          <w:rFonts w:eastAsia="SimSun"/>
          <w:i/>
          <w:lang w:val="en-US"/>
        </w:rPr>
        <w:t>Build</w:t>
      </w:r>
      <w:r>
        <w:rPr>
          <w:rFonts w:eastAsia="SimSun"/>
          <w:i/>
        </w:rPr>
        <w:t>.</w:t>
      </w:r>
      <w:r>
        <w:rPr>
          <w:rFonts w:eastAsia="SimSun"/>
          <w:i/>
          <w:lang w:val="en-US"/>
        </w:rPr>
        <w:t xml:space="preserve"> Res</w:t>
      </w:r>
      <w:r>
        <w:rPr>
          <w:rFonts w:eastAsia="SimSun"/>
          <w:i/>
        </w:rPr>
        <w:t>.</w:t>
      </w:r>
      <w:r>
        <w:rPr>
          <w:rFonts w:eastAsia="SimSun"/>
          <w:i/>
          <w:lang w:val="en-US"/>
        </w:rPr>
        <w:t xml:space="preserve"> Inf</w:t>
      </w:r>
      <w:r>
        <w:rPr>
          <w:rFonts w:eastAsia="SimSun"/>
          <w:i/>
        </w:rPr>
        <w:t>.</w:t>
      </w:r>
      <w:r>
        <w:rPr>
          <w:rFonts w:eastAsia="SimSun"/>
          <w:lang w:val="en-US"/>
        </w:rPr>
        <w:t>, 45(6), 649-664, DOI: 10.1080/09613218.2017.1301718</w:t>
      </w:r>
    </w:p>
    <w:p w:rsidR="002A0BB5" w:rsidRDefault="00C41F8F">
      <w:pPr>
        <w:tabs>
          <w:tab w:val="left" w:pos="9360"/>
        </w:tabs>
        <w:spacing w:after="0" w:line="240" w:lineRule="auto"/>
        <w:ind w:left="567" w:hanging="283"/>
        <w:jc w:val="both"/>
        <w:rPr>
          <w:rFonts w:eastAsia="SimSun"/>
          <w:lang w:val="en-US"/>
        </w:rPr>
      </w:pPr>
      <w:r>
        <w:rPr>
          <w:rFonts w:eastAsia="SimSun"/>
          <w:lang w:val="en-US"/>
        </w:rPr>
        <w:t>Park, C.S., and Kim, H.J. (2013). “A framework for construction safety management and visualization system.”</w:t>
      </w:r>
      <w:r>
        <w:rPr>
          <w:rFonts w:eastAsia="SimSun"/>
          <w:i/>
          <w:lang w:val="en-US"/>
        </w:rPr>
        <w:t xml:space="preserve"> Autom. Constr.</w:t>
      </w:r>
      <w:r>
        <w:rPr>
          <w:rFonts w:eastAsia="SimSun"/>
          <w:lang w:val="en-US"/>
        </w:rPr>
        <w:t xml:space="preserve">, 33, 95-103. </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Poirier, E.A., Forgues, D., </w:t>
      </w:r>
      <w:r>
        <w:rPr>
          <w:rFonts w:eastAsia="SimSun"/>
        </w:rPr>
        <w:t xml:space="preserve">and </w:t>
      </w:r>
      <w:r>
        <w:rPr>
          <w:rFonts w:eastAsia="SimSun"/>
          <w:lang w:val="en-US"/>
        </w:rPr>
        <w:t xml:space="preserve">French, S.S. (2017). </w:t>
      </w:r>
      <w:r>
        <w:rPr>
          <w:rFonts w:eastAsia="SimSun"/>
        </w:rPr>
        <w:t>“</w:t>
      </w:r>
      <w:r>
        <w:rPr>
          <w:rFonts w:eastAsia="SimSun"/>
          <w:lang w:val="en-US"/>
        </w:rPr>
        <w:t>Understanding the impact of BIM on collaboration: a Canadian case study.</w:t>
      </w:r>
      <w:r>
        <w:rPr>
          <w:rFonts w:eastAsia="SimSun"/>
        </w:rPr>
        <w:t>”</w:t>
      </w:r>
      <w:r>
        <w:rPr>
          <w:rFonts w:eastAsia="SimSun"/>
          <w:lang w:val="en-US"/>
        </w:rPr>
        <w:t xml:space="preserve"> </w:t>
      </w:r>
      <w:r>
        <w:rPr>
          <w:rFonts w:eastAsia="SimSun"/>
          <w:i/>
          <w:lang w:val="en-US"/>
        </w:rPr>
        <w:t>Build</w:t>
      </w:r>
      <w:r>
        <w:rPr>
          <w:rFonts w:eastAsia="SimSun"/>
          <w:i/>
        </w:rPr>
        <w:t>.</w:t>
      </w:r>
      <w:r>
        <w:rPr>
          <w:rFonts w:eastAsia="SimSun"/>
          <w:i/>
          <w:lang w:val="en-US"/>
        </w:rPr>
        <w:t xml:space="preserve"> Res</w:t>
      </w:r>
      <w:r>
        <w:rPr>
          <w:rFonts w:eastAsia="SimSun"/>
          <w:i/>
        </w:rPr>
        <w:t>.</w:t>
      </w:r>
      <w:r>
        <w:rPr>
          <w:rFonts w:eastAsia="SimSun"/>
          <w:i/>
          <w:lang w:val="en-US"/>
        </w:rPr>
        <w:t xml:space="preserve"> Inf</w:t>
      </w:r>
      <w:r>
        <w:rPr>
          <w:rFonts w:eastAsia="SimSun"/>
          <w:i/>
        </w:rPr>
        <w:t>.</w:t>
      </w:r>
      <w:r>
        <w:rPr>
          <w:rFonts w:eastAsia="SimSun"/>
          <w:lang w:val="en-US"/>
        </w:rPr>
        <w:t>, 45(6), 681-695, DOI: 10.1080/09613218.2017.1324724</w:t>
      </w:r>
    </w:p>
    <w:p w:rsidR="002A0BB5" w:rsidRDefault="00C41F8F">
      <w:pPr>
        <w:tabs>
          <w:tab w:val="left" w:pos="9360"/>
        </w:tabs>
        <w:spacing w:after="0" w:line="240" w:lineRule="auto"/>
        <w:ind w:left="567" w:hanging="283"/>
        <w:jc w:val="both"/>
        <w:rPr>
          <w:rFonts w:eastAsia="SimSun"/>
          <w:lang w:val="en-US"/>
        </w:rPr>
      </w:pPr>
      <w:r>
        <w:rPr>
          <w:rFonts w:eastAsia="SimSun"/>
          <w:lang w:val="en-US"/>
        </w:rPr>
        <w:t>Race, S. (2012). “BIM Demystified.” 1st Edition. RIBA Publi</w:t>
      </w:r>
      <w:r>
        <w:rPr>
          <w:rFonts w:eastAsia="SimSun"/>
        </w:rPr>
        <w:t>sh</w:t>
      </w:r>
      <w:r>
        <w:rPr>
          <w:rFonts w:eastAsia="SimSun"/>
          <w:lang w:val="en-US"/>
        </w:rPr>
        <w:t>ing, UK, London.</w:t>
      </w:r>
    </w:p>
    <w:p w:rsidR="002A0BB5" w:rsidRDefault="00C41F8F">
      <w:pPr>
        <w:tabs>
          <w:tab w:val="left" w:pos="9360"/>
        </w:tabs>
        <w:spacing w:after="0" w:line="240" w:lineRule="auto"/>
        <w:ind w:left="567" w:hanging="283"/>
        <w:jc w:val="both"/>
        <w:rPr>
          <w:rFonts w:eastAsia="SimSun"/>
        </w:rPr>
      </w:pPr>
      <w:r>
        <w:rPr>
          <w:rFonts w:eastAsia="SimSun"/>
        </w:rPr>
        <w:t>Riaz, Z., Arslan, M., Kiani, A.K., and Azhar, S. (2014) “CoSMoS: A BIM and wireless sensor based integrated solution for worker safety in confined spaces.”</w:t>
      </w:r>
      <w:r>
        <w:rPr>
          <w:rFonts w:eastAsia="SimSun"/>
          <w:i/>
          <w:lang w:val="en-US"/>
        </w:rPr>
        <w:t xml:space="preserve"> Autom. Constr.</w:t>
      </w:r>
      <w:r>
        <w:rPr>
          <w:rFonts w:eastAsia="SimSun"/>
          <w:lang w:val="en-US"/>
        </w:rPr>
        <w:t>, 45, 96-106.</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Richardson, J.T.E. (2011). </w:t>
      </w:r>
      <w:r>
        <w:rPr>
          <w:rFonts w:eastAsia="SimSun"/>
        </w:rPr>
        <w:t>“</w:t>
      </w:r>
      <w:r>
        <w:rPr>
          <w:rFonts w:eastAsia="SimSun"/>
          <w:lang w:val="en-US"/>
        </w:rPr>
        <w:t>The analysis of 2 x 2 contingency tables - Yet again.</w:t>
      </w:r>
      <w:r>
        <w:rPr>
          <w:rFonts w:eastAsia="SimSun"/>
        </w:rPr>
        <w:t>”</w:t>
      </w:r>
      <w:r>
        <w:rPr>
          <w:rFonts w:eastAsia="SimSun"/>
          <w:lang w:val="en-US"/>
        </w:rPr>
        <w:t xml:space="preserve"> </w:t>
      </w:r>
      <w:r>
        <w:rPr>
          <w:rFonts w:eastAsia="SimSun"/>
          <w:i/>
          <w:lang w:val="en-US"/>
        </w:rPr>
        <w:t>Stat</w:t>
      </w:r>
      <w:r>
        <w:rPr>
          <w:rFonts w:eastAsia="SimSun"/>
          <w:i/>
        </w:rPr>
        <w:t xml:space="preserve">. </w:t>
      </w:r>
      <w:r>
        <w:rPr>
          <w:rFonts w:eastAsia="SimSun"/>
          <w:i/>
          <w:lang w:val="en-US"/>
        </w:rPr>
        <w:t>Med</w:t>
      </w:r>
      <w:r>
        <w:rPr>
          <w:rFonts w:eastAsia="SimSun"/>
          <w:i/>
        </w:rPr>
        <w:t>.</w:t>
      </w:r>
      <w:r>
        <w:rPr>
          <w:rFonts w:eastAsia="SimSun"/>
          <w:lang w:val="en-US"/>
        </w:rPr>
        <w:t>, 30, 890.</w:t>
      </w:r>
    </w:p>
    <w:p w:rsidR="002A0BB5" w:rsidRDefault="00C41F8F">
      <w:pPr>
        <w:tabs>
          <w:tab w:val="left" w:pos="9360"/>
        </w:tabs>
        <w:spacing w:after="0" w:line="240" w:lineRule="auto"/>
        <w:ind w:left="567" w:hanging="283"/>
        <w:jc w:val="both"/>
        <w:rPr>
          <w:rFonts w:eastAsia="SimSun"/>
          <w:lang w:val="en-US"/>
        </w:rPr>
      </w:pPr>
      <w:r>
        <w:rPr>
          <w:rFonts w:eastAsia="SimSun"/>
          <w:lang w:val="en-US"/>
        </w:rPr>
        <w:t xml:space="preserve">Sackey, E., Tuuli, M., </w:t>
      </w:r>
      <w:r>
        <w:rPr>
          <w:rFonts w:eastAsia="SimSun"/>
        </w:rPr>
        <w:t>and</w:t>
      </w:r>
      <w:r>
        <w:rPr>
          <w:rFonts w:eastAsia="SimSun"/>
          <w:lang w:val="en-US"/>
        </w:rPr>
        <w:t xml:space="preserve"> Dainty, A. (2014). </w:t>
      </w:r>
      <w:r>
        <w:rPr>
          <w:rFonts w:eastAsia="SimSun"/>
        </w:rPr>
        <w:t>“</w:t>
      </w:r>
      <w:r>
        <w:rPr>
          <w:rFonts w:eastAsia="SimSun"/>
          <w:lang w:val="en-US"/>
        </w:rPr>
        <w:t>Sociotechnical systems approach to BIM implementation in a multidisciplinary construction context.</w:t>
      </w:r>
      <w:r>
        <w:rPr>
          <w:rFonts w:eastAsia="SimSun"/>
        </w:rPr>
        <w:t>”</w:t>
      </w:r>
      <w:r>
        <w:rPr>
          <w:rFonts w:eastAsia="SimSun"/>
          <w:lang w:val="en-US"/>
        </w:rPr>
        <w:t xml:space="preserve"> </w:t>
      </w:r>
      <w:r>
        <w:rPr>
          <w:rFonts w:eastAsia="SimSun"/>
          <w:i/>
          <w:iCs/>
          <w:lang w:val="en-US"/>
        </w:rPr>
        <w:t>J. Manage. Eng.</w:t>
      </w:r>
      <w:proofErr w:type="gramStart"/>
      <w:r>
        <w:rPr>
          <w:rFonts w:eastAsia="SimSun"/>
          <w:i/>
          <w:iCs/>
          <w:lang w:val="en-US"/>
        </w:rPr>
        <w:t>,</w:t>
      </w:r>
      <w:r>
        <w:rPr>
          <w:rFonts w:eastAsia="SimSun"/>
          <w:lang w:val="en-US"/>
        </w:rPr>
        <w:t xml:space="preserve">  31</w:t>
      </w:r>
      <w:proofErr w:type="gramEnd"/>
      <w:r>
        <w:rPr>
          <w:rFonts w:eastAsia="SimSun"/>
          <w:lang w:val="en-US"/>
        </w:rPr>
        <w:t>(1), DOI: 10.1061/(ASCE)ME.1943-5479.0000303.</w:t>
      </w:r>
    </w:p>
    <w:p w:rsidR="002A0BB5" w:rsidRDefault="00C41F8F">
      <w:pPr>
        <w:tabs>
          <w:tab w:val="left" w:pos="9360"/>
        </w:tabs>
        <w:spacing w:after="0" w:line="240" w:lineRule="auto"/>
        <w:ind w:left="567" w:hanging="283"/>
        <w:jc w:val="both"/>
        <w:rPr>
          <w:rFonts w:eastAsia="SimSun"/>
          <w:lang w:val="en-US"/>
        </w:rPr>
      </w:pPr>
      <w:r>
        <w:rPr>
          <w:rFonts w:eastAsia="SimSun"/>
          <w:lang w:val="en-US" w:eastAsia="zh-CN"/>
        </w:rPr>
        <w:t>Sacks, R.</w:t>
      </w:r>
      <w:r>
        <w:rPr>
          <w:rFonts w:eastAsia="SimSun"/>
          <w:lang w:eastAsia="zh-CN"/>
        </w:rPr>
        <w:t>, and</w:t>
      </w:r>
      <w:r>
        <w:rPr>
          <w:rFonts w:eastAsia="SimSun"/>
          <w:lang w:val="en-US" w:eastAsia="zh-CN"/>
        </w:rPr>
        <w:t xml:space="preserve"> Pikas, E.</w:t>
      </w:r>
      <w:r>
        <w:rPr>
          <w:rFonts w:eastAsia="SimSun"/>
          <w:lang w:eastAsia="zh-CN"/>
        </w:rPr>
        <w:t xml:space="preserve"> (2013).</w:t>
      </w:r>
      <w:r>
        <w:rPr>
          <w:rFonts w:eastAsia="SimSun"/>
          <w:lang w:val="en-US" w:eastAsia="zh-CN"/>
        </w:rPr>
        <w:t xml:space="preserve"> </w:t>
      </w:r>
      <w:r>
        <w:rPr>
          <w:rFonts w:eastAsia="SimSun"/>
          <w:lang w:eastAsia="zh-CN"/>
        </w:rPr>
        <w:t>“</w:t>
      </w:r>
      <w:r>
        <w:rPr>
          <w:rFonts w:eastAsia="SimSun"/>
          <w:lang w:val="en-US" w:eastAsia="zh-CN"/>
        </w:rPr>
        <w:t>Building information modeling education for construction engineering and management. I: industry requirements, state of the art, and gap analysis</w:t>
      </w:r>
      <w:r>
        <w:rPr>
          <w:rFonts w:eastAsia="SimSun"/>
          <w:lang w:eastAsia="zh-CN"/>
        </w:rPr>
        <w:t>.”</w:t>
      </w:r>
      <w:r>
        <w:rPr>
          <w:rFonts w:eastAsia="SimSun"/>
          <w:lang w:val="en-US" w:eastAsia="zh-CN"/>
        </w:rPr>
        <w:t xml:space="preserve">  </w:t>
      </w:r>
      <w:r>
        <w:rPr>
          <w:rFonts w:eastAsia="SimSun"/>
          <w:i/>
          <w:iCs/>
        </w:rPr>
        <w:t>J. Constr. Eng. Manage.</w:t>
      </w:r>
      <w:proofErr w:type="gramStart"/>
      <w:r>
        <w:rPr>
          <w:rFonts w:eastAsia="SimSun"/>
        </w:rPr>
        <w:t>,</w:t>
      </w:r>
      <w:r>
        <w:rPr>
          <w:rFonts w:eastAsia="SimSun"/>
          <w:lang w:val="en-US" w:eastAsia="zh-CN"/>
        </w:rPr>
        <w:t>139</w:t>
      </w:r>
      <w:proofErr w:type="gramEnd"/>
      <w:r>
        <w:rPr>
          <w:rFonts w:eastAsia="SimSun"/>
          <w:lang w:val="en-US" w:eastAsia="zh-CN"/>
        </w:rPr>
        <w:t>(11), 4013016.</w:t>
      </w:r>
    </w:p>
    <w:p w:rsidR="002A0BB5" w:rsidRDefault="00C41F8F">
      <w:pPr>
        <w:tabs>
          <w:tab w:val="left" w:pos="9360"/>
        </w:tabs>
        <w:spacing w:after="0" w:line="240" w:lineRule="auto"/>
        <w:ind w:left="567" w:hanging="283"/>
        <w:jc w:val="both"/>
        <w:rPr>
          <w:rFonts w:eastAsia="SimSun"/>
          <w:lang w:val="en-US"/>
        </w:rPr>
      </w:pPr>
      <w:r>
        <w:rPr>
          <w:rFonts w:eastAsia="SimSun"/>
          <w:lang w:val="en-US"/>
        </w:rPr>
        <w:t>Said, H.M., and Reginato, J. (2018). “Impact of design changes on virtual design and construction performance for electrical contractors.”</w:t>
      </w:r>
      <w:r>
        <w:t xml:space="preserve"> </w:t>
      </w:r>
      <w:r>
        <w:rPr>
          <w:rFonts w:eastAsia="SimSun"/>
          <w:i/>
          <w:lang w:val="en-US"/>
        </w:rPr>
        <w:t>J. Constr. Eng. Manage.</w:t>
      </w:r>
      <w:r>
        <w:rPr>
          <w:rFonts w:eastAsia="SimSun"/>
          <w:lang w:val="en-US"/>
        </w:rPr>
        <w:t>, 144 (1),</w:t>
      </w:r>
      <w:r>
        <w:t xml:space="preserve"> </w:t>
      </w:r>
      <w:r>
        <w:rPr>
          <w:rFonts w:eastAsia="SimSun"/>
          <w:lang w:val="en-US"/>
        </w:rPr>
        <w:t>04017097.</w:t>
      </w:r>
    </w:p>
    <w:p w:rsidR="002A0BB5" w:rsidRDefault="00C41F8F">
      <w:pPr>
        <w:tabs>
          <w:tab w:val="left" w:pos="9360"/>
        </w:tabs>
        <w:spacing w:after="0" w:line="240" w:lineRule="auto"/>
        <w:ind w:left="567" w:hanging="283"/>
        <w:jc w:val="both"/>
        <w:rPr>
          <w:rFonts w:eastAsia="SimSun"/>
          <w:lang w:val="en-US"/>
        </w:rPr>
      </w:pPr>
      <w:r>
        <w:rPr>
          <w:rFonts w:eastAsia="SimSun"/>
          <w:lang w:val="en-US"/>
        </w:rPr>
        <w:t>Schein, E. H. (1996). “Three cultures management: The key to organizational</w:t>
      </w:r>
      <w:r>
        <w:rPr>
          <w:rFonts w:eastAsia="SimSun"/>
        </w:rPr>
        <w:t xml:space="preserve"> </w:t>
      </w:r>
      <w:r>
        <w:rPr>
          <w:rFonts w:eastAsia="SimSun"/>
          <w:lang w:val="en-US"/>
        </w:rPr>
        <w:t xml:space="preserve">learning.” </w:t>
      </w:r>
      <w:r>
        <w:rPr>
          <w:rFonts w:eastAsia="SimSun"/>
          <w:i/>
          <w:iCs/>
          <w:lang w:val="en-US"/>
        </w:rPr>
        <w:t>Sloan Manage. Rev.,</w:t>
      </w:r>
      <w:r>
        <w:rPr>
          <w:rFonts w:eastAsia="SimSun"/>
          <w:lang w:val="en-US"/>
        </w:rPr>
        <w:t xml:space="preserve"> 38(1), 9–20.</w:t>
      </w:r>
    </w:p>
    <w:p w:rsidR="002A0BB5" w:rsidRDefault="00C41F8F">
      <w:pPr>
        <w:tabs>
          <w:tab w:val="left" w:pos="9360"/>
        </w:tabs>
        <w:spacing w:after="0" w:line="240" w:lineRule="auto"/>
        <w:ind w:left="567" w:hanging="283"/>
        <w:jc w:val="both"/>
        <w:rPr>
          <w:rFonts w:eastAsia="SimSun"/>
          <w:lang w:val="en-US"/>
        </w:rPr>
      </w:pPr>
      <w:r>
        <w:rPr>
          <w:rFonts w:eastAsia="SimSun"/>
          <w:lang w:val="en-US"/>
        </w:rPr>
        <w:t>Selçuk Çldlk, M., Boyd, D., and Thurairajah, N. (2017). “Innovative capability of building information modeling in construction design.”</w:t>
      </w:r>
      <w:r>
        <w:t xml:space="preserve"> </w:t>
      </w:r>
      <w:r>
        <w:rPr>
          <w:rFonts w:eastAsia="SimSun"/>
          <w:i/>
          <w:lang w:val="en-US"/>
        </w:rPr>
        <w:t>J. Constr. Eng. Manage.</w:t>
      </w:r>
      <w:r>
        <w:rPr>
          <w:rFonts w:eastAsia="SimSun"/>
          <w:lang w:val="en-US"/>
        </w:rPr>
        <w:t>, 143 (8),</w:t>
      </w:r>
      <w:r>
        <w:t xml:space="preserve"> </w:t>
      </w:r>
      <w:r>
        <w:rPr>
          <w:rFonts w:eastAsia="SimSun"/>
          <w:lang w:val="en-US"/>
        </w:rPr>
        <w:t>04017047.</w:t>
      </w:r>
    </w:p>
    <w:p w:rsidR="002A0BB5" w:rsidRDefault="00C41F8F">
      <w:pPr>
        <w:tabs>
          <w:tab w:val="left" w:pos="9360"/>
        </w:tabs>
        <w:spacing w:after="0" w:line="240" w:lineRule="auto"/>
        <w:ind w:left="567" w:hanging="283"/>
        <w:jc w:val="both"/>
        <w:rPr>
          <w:rFonts w:eastAsia="SimSun"/>
          <w:lang w:val="en-US"/>
        </w:rPr>
      </w:pPr>
      <w:r>
        <w:rPr>
          <w:rFonts w:eastAsia="SimSun"/>
        </w:rPr>
        <w:t>Shang</w:t>
      </w:r>
      <w:r>
        <w:rPr>
          <w:rFonts w:eastAsia="SimSun"/>
          <w:lang w:val="en-US"/>
        </w:rPr>
        <w:t xml:space="preserve">hai Municipal People's Government (2014). </w:t>
      </w:r>
      <w:r>
        <w:rPr>
          <w:rFonts w:eastAsia="SimSun"/>
        </w:rPr>
        <w:t>“</w:t>
      </w:r>
      <w:r>
        <w:rPr>
          <w:rFonts w:eastAsia="SimSun"/>
          <w:lang w:val="en-US"/>
        </w:rPr>
        <w:t xml:space="preserve">Guidelines on BIM Applications in </w:t>
      </w:r>
      <w:r>
        <w:rPr>
          <w:rFonts w:eastAsia="SimSun"/>
        </w:rPr>
        <w:t>Sh</w:t>
      </w:r>
      <w:r>
        <w:rPr>
          <w:rFonts w:eastAsia="SimSun"/>
          <w:lang w:val="en-US"/>
        </w:rPr>
        <w:t>anghai.</w:t>
      </w:r>
      <w:r>
        <w:rPr>
          <w:rFonts w:eastAsia="SimSun"/>
        </w:rPr>
        <w:t>”</w:t>
      </w:r>
      <w:r>
        <w:rPr>
          <w:rFonts w:eastAsia="SimSun"/>
          <w:lang w:val="en-US"/>
        </w:rPr>
        <w:t xml:space="preserve"> </w:t>
      </w:r>
      <w:r>
        <w:rPr>
          <w:rFonts w:eastAsia="SimSun"/>
        </w:rPr>
        <w:t>Shang</w:t>
      </w:r>
      <w:r>
        <w:rPr>
          <w:rFonts w:eastAsia="SimSun"/>
          <w:lang w:val="en-US"/>
        </w:rPr>
        <w:t>hai, China, in Chinese.</w:t>
      </w:r>
    </w:p>
    <w:p w:rsidR="002A0BB5" w:rsidRDefault="00C41F8F">
      <w:pPr>
        <w:tabs>
          <w:tab w:val="left" w:pos="9360"/>
        </w:tabs>
        <w:spacing w:after="0" w:line="240" w:lineRule="auto"/>
        <w:ind w:left="567" w:hanging="283"/>
        <w:jc w:val="both"/>
        <w:rPr>
          <w:rFonts w:eastAsia="SimSun"/>
          <w:lang w:val="en-US"/>
        </w:rPr>
      </w:pPr>
      <w:r>
        <w:rPr>
          <w:rFonts w:eastAsia="SimSun"/>
        </w:rPr>
        <w:t>Sh</w:t>
      </w:r>
      <w:r>
        <w:rPr>
          <w:rFonts w:eastAsia="SimSun"/>
          <w:lang w:val="en-US"/>
        </w:rPr>
        <w:t xml:space="preserve">anghai Housing and Urban-Rural Construction and Management Committee (2017). </w:t>
      </w:r>
      <w:r>
        <w:rPr>
          <w:rFonts w:eastAsia="SimSun"/>
        </w:rPr>
        <w:t>“</w:t>
      </w:r>
      <w:r>
        <w:rPr>
          <w:rFonts w:eastAsia="SimSun"/>
          <w:lang w:val="en-US"/>
        </w:rPr>
        <w:t xml:space="preserve">Report of BIM Application and Technology Development in </w:t>
      </w:r>
      <w:r>
        <w:rPr>
          <w:rFonts w:eastAsia="SimSun"/>
        </w:rPr>
        <w:t>Sh</w:t>
      </w:r>
      <w:r>
        <w:rPr>
          <w:rFonts w:eastAsia="SimSun"/>
          <w:lang w:val="en-US"/>
        </w:rPr>
        <w:t>anghai.</w:t>
      </w:r>
      <w:r>
        <w:rPr>
          <w:rFonts w:eastAsia="SimSun"/>
        </w:rPr>
        <w:t>”</w:t>
      </w:r>
      <w:r>
        <w:rPr>
          <w:rFonts w:eastAsia="SimSun"/>
          <w:lang w:val="en-US"/>
        </w:rPr>
        <w:t xml:space="preserve"> </w:t>
      </w:r>
      <w:r>
        <w:rPr>
          <w:rFonts w:eastAsia="SimSun"/>
        </w:rPr>
        <w:t>Sh</w:t>
      </w:r>
      <w:r>
        <w:rPr>
          <w:rFonts w:eastAsia="SimSun"/>
          <w:lang w:val="en-US"/>
        </w:rPr>
        <w:t xml:space="preserve">anghai, China, in Chinese. </w:t>
      </w:r>
    </w:p>
    <w:p w:rsidR="002A0BB5" w:rsidRDefault="00C41F8F">
      <w:pPr>
        <w:tabs>
          <w:tab w:val="left" w:pos="9360"/>
        </w:tabs>
        <w:spacing w:after="0" w:line="240" w:lineRule="auto"/>
        <w:ind w:left="567" w:hanging="283"/>
        <w:jc w:val="both"/>
        <w:rPr>
          <w:rFonts w:eastAsia="SimSun"/>
          <w:lang w:val="en-US"/>
        </w:rPr>
      </w:pPr>
      <w:r>
        <w:rPr>
          <w:rFonts w:eastAsia="SimSun"/>
        </w:rPr>
        <w:t>Sh</w:t>
      </w:r>
      <w:r>
        <w:rPr>
          <w:rFonts w:eastAsia="SimSun"/>
          <w:lang w:val="en-US"/>
        </w:rPr>
        <w:t xml:space="preserve">enzhen Exploration &amp; Design Association (SZEDA, 2013). </w:t>
      </w:r>
      <w:r>
        <w:rPr>
          <w:rFonts w:eastAsia="SimSun"/>
        </w:rPr>
        <w:t>“</w:t>
      </w:r>
      <w:r>
        <w:rPr>
          <w:rFonts w:eastAsia="SimSun"/>
          <w:lang w:val="en-US"/>
        </w:rPr>
        <w:t xml:space="preserve">Guide for BIM application and development in the engineering &amp; design industry of </w:t>
      </w:r>
      <w:r>
        <w:rPr>
          <w:rFonts w:eastAsia="SimSun"/>
        </w:rPr>
        <w:t>Sh</w:t>
      </w:r>
      <w:r>
        <w:rPr>
          <w:rFonts w:eastAsia="SimSun"/>
          <w:lang w:val="en-US"/>
        </w:rPr>
        <w:t>enzhen.</w:t>
      </w:r>
      <w:r>
        <w:rPr>
          <w:rFonts w:eastAsia="SimSun"/>
        </w:rPr>
        <w:t>”</w:t>
      </w:r>
      <w:r>
        <w:rPr>
          <w:rFonts w:eastAsia="SimSun"/>
          <w:lang w:val="en-US"/>
        </w:rPr>
        <w:t xml:space="preserve"> </w:t>
      </w:r>
      <w:r>
        <w:rPr>
          <w:rFonts w:eastAsia="SimSun"/>
          <w:i/>
          <w:iCs/>
          <w:lang w:val="en-US"/>
        </w:rPr>
        <w:t>Tianjin Science &amp; Technology Press</w:t>
      </w:r>
      <w:r>
        <w:rPr>
          <w:rFonts w:eastAsia="SimSun"/>
          <w:lang w:val="en-US"/>
        </w:rPr>
        <w:t>, Tianjin, 15-44 (in Chinese).</w:t>
      </w:r>
    </w:p>
    <w:p w:rsidR="002A0BB5" w:rsidRDefault="00C41F8F">
      <w:pPr>
        <w:spacing w:after="0" w:line="240" w:lineRule="auto"/>
        <w:ind w:left="567" w:hanging="283"/>
        <w:rPr>
          <w:rFonts w:eastAsia="SimSun"/>
          <w:lang w:val="en-US"/>
        </w:rPr>
      </w:pPr>
      <w:r>
        <w:rPr>
          <w:rFonts w:eastAsia="SimSun"/>
          <w:lang w:val="en-US"/>
        </w:rPr>
        <w:t xml:space="preserve">Smits, W., Buiten, M.V., </w:t>
      </w:r>
      <w:r>
        <w:rPr>
          <w:rFonts w:eastAsia="SimSun"/>
        </w:rPr>
        <w:t>and</w:t>
      </w:r>
      <w:r>
        <w:rPr>
          <w:rFonts w:eastAsia="SimSun"/>
          <w:lang w:val="en-US"/>
        </w:rPr>
        <w:t xml:space="preserve"> Hartmann, T. (2017). </w:t>
      </w:r>
      <w:r>
        <w:rPr>
          <w:rFonts w:eastAsia="SimSun"/>
        </w:rPr>
        <w:t>“</w:t>
      </w:r>
      <w:r>
        <w:rPr>
          <w:rFonts w:eastAsia="SimSun"/>
          <w:lang w:val="en-US"/>
        </w:rPr>
        <w:t>Yield-to-BIM: impacts of BIM maturity on project performance.</w:t>
      </w:r>
      <w:r>
        <w:rPr>
          <w:rFonts w:eastAsia="SimSun"/>
        </w:rPr>
        <w:t>”</w:t>
      </w:r>
      <w:r>
        <w:rPr>
          <w:rFonts w:eastAsia="SimSun"/>
          <w:lang w:val="en-US"/>
        </w:rPr>
        <w:t xml:space="preserve"> </w:t>
      </w:r>
      <w:r>
        <w:rPr>
          <w:rFonts w:eastAsia="SimSun"/>
          <w:i/>
          <w:lang w:val="en-US"/>
        </w:rPr>
        <w:t>Build</w:t>
      </w:r>
      <w:r>
        <w:rPr>
          <w:rFonts w:eastAsia="SimSun"/>
          <w:i/>
        </w:rPr>
        <w:t>.</w:t>
      </w:r>
      <w:r>
        <w:rPr>
          <w:rFonts w:eastAsia="SimSun"/>
          <w:i/>
          <w:lang w:val="en-US"/>
        </w:rPr>
        <w:t xml:space="preserve"> Res</w:t>
      </w:r>
      <w:r>
        <w:rPr>
          <w:rFonts w:eastAsia="SimSun"/>
          <w:i/>
        </w:rPr>
        <w:t>.</w:t>
      </w:r>
      <w:r>
        <w:rPr>
          <w:rFonts w:eastAsia="SimSun"/>
          <w:i/>
          <w:lang w:val="en-US"/>
        </w:rPr>
        <w:t xml:space="preserve"> Inf</w:t>
      </w:r>
      <w:r>
        <w:rPr>
          <w:rFonts w:eastAsia="SimSun"/>
          <w:i/>
        </w:rPr>
        <w:t>.</w:t>
      </w:r>
      <w:r>
        <w:rPr>
          <w:rFonts w:eastAsia="SimSun"/>
          <w:lang w:val="en-US"/>
        </w:rPr>
        <w:t>, 45(3), 336-346, DOI: 10.1080/09613218.2016.1190579.</w:t>
      </w:r>
    </w:p>
    <w:p w:rsidR="002A0BB5" w:rsidRDefault="00C41F8F">
      <w:pPr>
        <w:spacing w:after="0" w:line="240" w:lineRule="auto"/>
        <w:ind w:left="567" w:hanging="283"/>
        <w:rPr>
          <w:rFonts w:eastAsia="SimSun"/>
          <w:lang w:val="en-US"/>
        </w:rPr>
      </w:pPr>
      <w:r>
        <w:rPr>
          <w:rFonts w:eastAsia="SimSun"/>
          <w:lang w:val="en-US"/>
        </w:rPr>
        <w:t xml:space="preserve">Tam, V.W.Y. (2009). </w:t>
      </w:r>
      <w:r>
        <w:rPr>
          <w:rFonts w:eastAsia="SimSun"/>
        </w:rPr>
        <w:t>“</w:t>
      </w:r>
      <w:r>
        <w:rPr>
          <w:rFonts w:eastAsia="SimSun"/>
          <w:lang w:val="en-US"/>
        </w:rPr>
        <w:t>Comparing the implementation of concrete recycling in the Australian and Japanese construction industries</w:t>
      </w:r>
      <w:r>
        <w:rPr>
          <w:rFonts w:eastAsia="SimSun"/>
          <w:i/>
          <w:lang w:val="en-US"/>
        </w:rPr>
        <w:t>.</w:t>
      </w:r>
      <w:r>
        <w:rPr>
          <w:rFonts w:eastAsia="SimSun"/>
          <w:i/>
        </w:rPr>
        <w:t>”</w:t>
      </w:r>
      <w:r>
        <w:rPr>
          <w:rFonts w:eastAsia="SimSun"/>
          <w:i/>
          <w:lang w:val="en-US"/>
        </w:rPr>
        <w:t xml:space="preserve"> J</w:t>
      </w:r>
      <w:r>
        <w:rPr>
          <w:rFonts w:eastAsia="SimSun"/>
          <w:i/>
        </w:rPr>
        <w:t>.</w:t>
      </w:r>
      <w:r>
        <w:rPr>
          <w:rFonts w:eastAsia="SimSun"/>
          <w:i/>
          <w:lang w:val="en-US"/>
        </w:rPr>
        <w:t xml:space="preserve"> Clean</w:t>
      </w:r>
      <w:r>
        <w:rPr>
          <w:rFonts w:eastAsia="SimSun"/>
          <w:i/>
        </w:rPr>
        <w:t>.</w:t>
      </w:r>
      <w:r>
        <w:rPr>
          <w:rFonts w:eastAsia="SimSun"/>
          <w:i/>
          <w:lang w:val="en-US"/>
        </w:rPr>
        <w:t xml:space="preserve"> Prod</w:t>
      </w:r>
      <w:r>
        <w:rPr>
          <w:rFonts w:eastAsia="SimSun"/>
          <w:i/>
        </w:rPr>
        <w:t>.</w:t>
      </w:r>
      <w:r>
        <w:rPr>
          <w:rFonts w:eastAsia="SimSun"/>
          <w:lang w:val="en-US"/>
        </w:rPr>
        <w:t xml:space="preserve">, 17(7), 688-702.  </w:t>
      </w:r>
    </w:p>
    <w:p w:rsidR="002A0BB5" w:rsidRDefault="00C41F8F">
      <w:pPr>
        <w:spacing w:after="0" w:line="240" w:lineRule="auto"/>
        <w:ind w:left="567" w:hanging="283"/>
        <w:rPr>
          <w:rFonts w:eastAsia="SimSun"/>
          <w:lang w:val="en-US"/>
        </w:rPr>
      </w:pPr>
      <w:r>
        <w:rPr>
          <w:rFonts w:eastAsia="SimSun"/>
          <w:lang w:val="en-US"/>
        </w:rPr>
        <w:t xml:space="preserve">Tang, L., Jin, R., </w:t>
      </w:r>
      <w:r>
        <w:rPr>
          <w:rFonts w:eastAsia="SimSun"/>
        </w:rPr>
        <w:t>and</w:t>
      </w:r>
      <w:r>
        <w:rPr>
          <w:rFonts w:eastAsia="SimSun"/>
          <w:lang w:val="en-US"/>
        </w:rPr>
        <w:t xml:space="preserve"> Fang, K. (2015). </w:t>
      </w:r>
      <w:r>
        <w:rPr>
          <w:rFonts w:eastAsia="SimSun"/>
        </w:rPr>
        <w:t>“</w:t>
      </w:r>
      <w:r>
        <w:rPr>
          <w:rFonts w:eastAsia="SimSun"/>
          <w:lang w:val="en-US"/>
        </w:rPr>
        <w:t>Launching the innovative BIM module for the architecture and built environment programme in China.</w:t>
      </w:r>
      <w:r>
        <w:rPr>
          <w:rFonts w:eastAsia="SimSun"/>
        </w:rPr>
        <w:t>”</w:t>
      </w:r>
      <w:r>
        <w:rPr>
          <w:rFonts w:eastAsia="SimSun"/>
          <w:lang w:val="en-US"/>
        </w:rPr>
        <w:t xml:space="preserve"> </w:t>
      </w:r>
      <w:r>
        <w:rPr>
          <w:rFonts w:eastAsia="SimSun"/>
          <w:i/>
          <w:lang w:val="en-US"/>
        </w:rPr>
        <w:t xml:space="preserve">WIT Transactions on </w:t>
      </w:r>
      <w:proofErr w:type="gramStart"/>
      <w:r>
        <w:rPr>
          <w:rFonts w:eastAsia="SimSun"/>
          <w:i/>
          <w:lang w:val="en-US"/>
        </w:rPr>
        <w:t>The</w:t>
      </w:r>
      <w:proofErr w:type="gramEnd"/>
      <w:r>
        <w:rPr>
          <w:rFonts w:eastAsia="SimSun"/>
          <w:i/>
          <w:lang w:val="en-US"/>
        </w:rPr>
        <w:t xml:space="preserve"> Built Environment</w:t>
      </w:r>
      <w:r>
        <w:rPr>
          <w:rFonts w:eastAsia="SimSun"/>
          <w:lang w:val="en-US"/>
        </w:rPr>
        <w:t>. 149, 145-156.</w:t>
      </w:r>
    </w:p>
    <w:p w:rsidR="002A0BB5" w:rsidRDefault="00C41F8F">
      <w:pPr>
        <w:spacing w:after="0" w:line="240" w:lineRule="auto"/>
        <w:ind w:left="567" w:hanging="283"/>
        <w:rPr>
          <w:rFonts w:eastAsia="SimSun"/>
          <w:lang w:val="en-US"/>
        </w:rPr>
      </w:pPr>
      <w:r>
        <w:rPr>
          <w:rFonts w:eastAsia="SimSun"/>
          <w:lang w:val="en-US"/>
        </w:rPr>
        <w:lastRenderedPageBreak/>
        <w:t xml:space="preserve">Varonen, U., </w:t>
      </w:r>
      <w:r>
        <w:rPr>
          <w:rFonts w:eastAsia="SimSun"/>
        </w:rPr>
        <w:t>and</w:t>
      </w:r>
      <w:r>
        <w:rPr>
          <w:rFonts w:eastAsia="SimSun"/>
          <w:lang w:val="en-US"/>
        </w:rPr>
        <w:t xml:space="preserve"> Mattila, M. (2000). </w:t>
      </w:r>
      <w:r>
        <w:rPr>
          <w:rFonts w:eastAsia="SimSun"/>
        </w:rPr>
        <w:t>“</w:t>
      </w:r>
      <w:r>
        <w:rPr>
          <w:rFonts w:eastAsia="SimSun"/>
          <w:lang w:val="en-US"/>
        </w:rPr>
        <w:t>The safety climate and its relationship to safety practices, safety of the work environment and occupational accidents in eight wood-processing companies.</w:t>
      </w:r>
      <w:r>
        <w:rPr>
          <w:rFonts w:eastAsia="SimSun"/>
        </w:rPr>
        <w:t>”</w:t>
      </w:r>
      <w:r>
        <w:rPr>
          <w:rFonts w:eastAsia="SimSun"/>
          <w:lang w:val="en-US"/>
        </w:rPr>
        <w:t xml:space="preserve"> </w:t>
      </w:r>
      <w:r>
        <w:rPr>
          <w:rFonts w:eastAsia="SimSun"/>
          <w:i/>
          <w:iCs/>
          <w:lang w:val="en-US"/>
        </w:rPr>
        <w:t>Acci</w:t>
      </w:r>
      <w:r>
        <w:rPr>
          <w:rFonts w:eastAsia="SimSun"/>
          <w:i/>
          <w:iCs/>
        </w:rPr>
        <w:t>d.</w:t>
      </w:r>
      <w:r>
        <w:rPr>
          <w:rFonts w:eastAsia="SimSun"/>
          <w:i/>
          <w:iCs/>
          <w:lang w:val="en-US"/>
        </w:rPr>
        <w:t xml:space="preserve"> Anal</w:t>
      </w:r>
      <w:r>
        <w:rPr>
          <w:rFonts w:eastAsia="SimSun"/>
          <w:i/>
          <w:iCs/>
        </w:rPr>
        <w:t>.</w:t>
      </w:r>
      <w:r>
        <w:rPr>
          <w:rFonts w:eastAsia="SimSun"/>
          <w:i/>
          <w:iCs/>
          <w:lang w:val="en-US"/>
        </w:rPr>
        <w:t xml:space="preserve"> Prev</w:t>
      </w:r>
      <w:r>
        <w:rPr>
          <w:rFonts w:eastAsia="SimSun"/>
        </w:rPr>
        <w:t>.</w:t>
      </w:r>
      <w:r>
        <w:rPr>
          <w:rFonts w:eastAsia="SimSun"/>
          <w:lang w:val="en-US"/>
        </w:rPr>
        <w:t>, 32(6), 761-769.</w:t>
      </w:r>
    </w:p>
    <w:p w:rsidR="002A0BB5" w:rsidRDefault="00C41F8F">
      <w:pPr>
        <w:spacing w:after="0" w:line="240" w:lineRule="auto"/>
        <w:ind w:left="567" w:hanging="283"/>
        <w:rPr>
          <w:rFonts w:eastAsia="SimSun"/>
          <w:lang w:val="en-US"/>
        </w:rPr>
      </w:pPr>
      <w:r>
        <w:rPr>
          <w:rFonts w:eastAsia="SimSun"/>
          <w:lang w:val="en-US"/>
        </w:rPr>
        <w:t xml:space="preserve">Yalcinkaya, M., </w:t>
      </w:r>
      <w:r>
        <w:rPr>
          <w:rFonts w:eastAsia="SimSun"/>
        </w:rPr>
        <w:t xml:space="preserve">and </w:t>
      </w:r>
      <w:r>
        <w:rPr>
          <w:rFonts w:eastAsia="SimSun"/>
          <w:lang w:val="en-US"/>
        </w:rPr>
        <w:t>Singh, V.</w:t>
      </w:r>
      <w:r>
        <w:rPr>
          <w:rFonts w:eastAsia="SimSun"/>
        </w:rPr>
        <w:t xml:space="preserve"> (</w:t>
      </w:r>
      <w:r>
        <w:rPr>
          <w:rFonts w:eastAsia="SimSun"/>
          <w:lang w:val="en-US"/>
        </w:rPr>
        <w:t>2015</w:t>
      </w:r>
      <w:r>
        <w:rPr>
          <w:rFonts w:eastAsia="SimSun"/>
        </w:rPr>
        <w:t>)</w:t>
      </w:r>
      <w:r>
        <w:rPr>
          <w:rFonts w:eastAsia="SimSun"/>
          <w:lang w:val="en-US"/>
        </w:rPr>
        <w:t xml:space="preserve">. </w:t>
      </w:r>
      <w:r>
        <w:rPr>
          <w:rFonts w:eastAsia="SimSun"/>
        </w:rPr>
        <w:t>“</w:t>
      </w:r>
      <w:r>
        <w:rPr>
          <w:rFonts w:eastAsia="SimSun"/>
          <w:lang w:val="en-US"/>
        </w:rPr>
        <w:t>Patterns and trends in building information modeling (BIM) research: a latent semantic analysis.</w:t>
      </w:r>
      <w:r>
        <w:rPr>
          <w:rFonts w:eastAsia="SimSun"/>
        </w:rPr>
        <w:t>”</w:t>
      </w:r>
      <w:r>
        <w:rPr>
          <w:rFonts w:eastAsia="SimSun"/>
          <w:i/>
          <w:iCs/>
          <w:lang w:val="en-US"/>
        </w:rPr>
        <w:t xml:space="preserve"> Autom. Constr.</w:t>
      </w:r>
      <w:r>
        <w:rPr>
          <w:rFonts w:eastAsia="SimSun"/>
          <w:i/>
          <w:iCs/>
        </w:rPr>
        <w:t>,</w:t>
      </w:r>
      <w:r>
        <w:rPr>
          <w:rFonts w:eastAsia="SimSun"/>
          <w:i/>
          <w:iCs/>
          <w:lang w:val="en-US"/>
        </w:rPr>
        <w:t xml:space="preserve"> </w:t>
      </w:r>
      <w:r>
        <w:rPr>
          <w:rFonts w:eastAsia="SimSun"/>
          <w:lang w:val="en-US"/>
        </w:rPr>
        <w:t>59, 68–80.</w:t>
      </w:r>
    </w:p>
    <w:p w:rsidR="002A0BB5" w:rsidRDefault="00C41F8F">
      <w:pPr>
        <w:spacing w:after="0" w:line="240" w:lineRule="auto"/>
        <w:ind w:left="567" w:hanging="283"/>
        <w:rPr>
          <w:rFonts w:eastAsia="SimSun"/>
          <w:lang w:val="en-US"/>
        </w:rPr>
      </w:pPr>
      <w:r>
        <w:rPr>
          <w:rFonts w:eastAsia="SimSun"/>
          <w:lang w:val="en-US"/>
        </w:rPr>
        <w:t>Zhang, S., Sulankivi, K., Kiviniemi, M., Romo, I., Eastman, C.M., and Teizer, J. (2015a). “BIM-based fall hazard identification and prevention in construction safety planning.”</w:t>
      </w:r>
      <w:r>
        <w:rPr>
          <w:rFonts w:eastAsia="SimSun"/>
          <w:i/>
          <w:iCs/>
          <w:lang w:val="en-US"/>
        </w:rPr>
        <w:t xml:space="preserve"> Safety </w:t>
      </w:r>
      <w:r>
        <w:rPr>
          <w:rFonts w:eastAsia="SimSun"/>
          <w:i/>
          <w:iCs/>
        </w:rPr>
        <w:t>S</w:t>
      </w:r>
      <w:r>
        <w:rPr>
          <w:rFonts w:eastAsia="SimSun"/>
          <w:i/>
          <w:iCs/>
          <w:lang w:val="en-US"/>
        </w:rPr>
        <w:t>ci</w:t>
      </w:r>
      <w:r>
        <w:rPr>
          <w:rFonts w:eastAsia="SimSun"/>
          <w:i/>
          <w:iCs/>
        </w:rPr>
        <w:t>.</w:t>
      </w:r>
      <w:r>
        <w:rPr>
          <w:rFonts w:eastAsia="SimSun"/>
          <w:lang w:val="en-US"/>
        </w:rPr>
        <w:t>, 72, 31-45.</w:t>
      </w:r>
    </w:p>
    <w:p w:rsidR="002A0BB5" w:rsidRDefault="00C41F8F">
      <w:pPr>
        <w:spacing w:after="0" w:line="240" w:lineRule="auto"/>
        <w:ind w:left="567" w:hanging="283"/>
        <w:rPr>
          <w:rFonts w:eastAsia="SimSun"/>
          <w:lang w:val="en-US"/>
        </w:rPr>
      </w:pPr>
      <w:r>
        <w:rPr>
          <w:rFonts w:eastAsia="SimSun"/>
          <w:lang w:val="en-US"/>
        </w:rPr>
        <w:t>Zhang, S., Teizer J., Lee J.-K., Eastman C.M., and Venugopal M. (2013). “Building Information Modeling (BIM) and Safety: Automatic Safety Checking of Construction Models and Schedules.”</w:t>
      </w:r>
      <w:r>
        <w:rPr>
          <w:rFonts w:eastAsia="SimSun"/>
          <w:i/>
          <w:lang w:val="en-US"/>
        </w:rPr>
        <w:t xml:space="preserve"> Autom. Constr.</w:t>
      </w:r>
      <w:r>
        <w:rPr>
          <w:rFonts w:eastAsia="SimSun"/>
          <w:lang w:val="en-US"/>
        </w:rPr>
        <w:t xml:space="preserve">, 29, 183-195. </w:t>
      </w:r>
    </w:p>
    <w:p w:rsidR="002A0BB5" w:rsidRDefault="00C41F8F">
      <w:pPr>
        <w:spacing w:after="0" w:line="240" w:lineRule="auto"/>
        <w:ind w:left="567" w:hanging="283"/>
        <w:rPr>
          <w:rFonts w:eastAsia="SimSun"/>
          <w:lang w:val="en-US"/>
        </w:rPr>
      </w:pPr>
      <w:r>
        <w:rPr>
          <w:rFonts w:eastAsia="SimSun"/>
          <w:lang w:val="en-US"/>
        </w:rPr>
        <w:t xml:space="preserve">Zhang, S., Teizer, J., Pradhananga, N., and Eastman, C.M. (2015b). “Workforce location tracking to model, visualize and analyze workspace requirements in building information models for construction safety planning.” </w:t>
      </w:r>
      <w:r>
        <w:rPr>
          <w:rFonts w:eastAsia="SimSun"/>
          <w:i/>
          <w:lang w:val="en-US"/>
        </w:rPr>
        <w:t>Autom. Constr.</w:t>
      </w:r>
      <w:r>
        <w:rPr>
          <w:rFonts w:eastAsia="SimSun"/>
          <w:lang w:val="en-US"/>
        </w:rPr>
        <w:t xml:space="preserve">, 60, 74-86. </w:t>
      </w:r>
    </w:p>
    <w:p w:rsidR="002A0BB5" w:rsidRDefault="00C41F8F">
      <w:pPr>
        <w:spacing w:after="0" w:line="240" w:lineRule="auto"/>
        <w:ind w:left="567" w:hanging="283"/>
        <w:rPr>
          <w:rFonts w:eastAsia="SimSun"/>
          <w:lang w:val="en-US"/>
        </w:rPr>
      </w:pPr>
      <w:r>
        <w:rPr>
          <w:rFonts w:eastAsia="SimSun"/>
          <w:lang w:val="en-US"/>
        </w:rPr>
        <w:t xml:space="preserve">Zheng, L., Lu, W., Chen, K., Chau, K. W., </w:t>
      </w:r>
      <w:r>
        <w:rPr>
          <w:rFonts w:eastAsia="SimSun"/>
        </w:rPr>
        <w:t>and</w:t>
      </w:r>
      <w:r>
        <w:rPr>
          <w:rFonts w:eastAsia="SimSun"/>
          <w:lang w:val="en-US"/>
        </w:rPr>
        <w:t xml:space="preserve"> Niu, Y. (2017). </w:t>
      </w:r>
      <w:r>
        <w:rPr>
          <w:rFonts w:eastAsia="SimSun"/>
        </w:rPr>
        <w:t>“</w:t>
      </w:r>
      <w:r>
        <w:rPr>
          <w:rFonts w:eastAsia="SimSun"/>
          <w:lang w:val="en-US"/>
        </w:rPr>
        <w:t>Benefit sharing for BIM implementation: Tackling the moral hazard dilemma in inter-firm cooperation.</w:t>
      </w:r>
      <w:r>
        <w:rPr>
          <w:rFonts w:eastAsia="SimSun"/>
        </w:rPr>
        <w:t>”</w:t>
      </w:r>
      <w:r>
        <w:rPr>
          <w:rFonts w:eastAsia="SimSun"/>
          <w:lang w:val="en-US"/>
        </w:rPr>
        <w:t xml:space="preserve"> </w:t>
      </w:r>
      <w:r>
        <w:rPr>
          <w:rFonts w:eastAsia="SimSun"/>
          <w:i/>
          <w:iCs/>
          <w:lang w:val="en-US"/>
        </w:rPr>
        <w:t xml:space="preserve">Int. J. Proj. </w:t>
      </w:r>
      <w:proofErr w:type="gramStart"/>
      <w:r>
        <w:rPr>
          <w:rFonts w:eastAsia="SimSun"/>
          <w:i/>
          <w:iCs/>
          <w:lang w:val="en-US"/>
        </w:rPr>
        <w:t>Manag.</w:t>
      </w:r>
      <w:r>
        <w:rPr>
          <w:rFonts w:eastAsia="SimSun"/>
          <w:i/>
          <w:iCs/>
        </w:rPr>
        <w:t>,</w:t>
      </w:r>
      <w:proofErr w:type="gramEnd"/>
      <w:r>
        <w:rPr>
          <w:rFonts w:eastAsia="SimSun"/>
          <w:lang w:val="en-US"/>
        </w:rPr>
        <w:t xml:space="preserve"> 35(3), 393-405.</w:t>
      </w:r>
    </w:p>
    <w:p w:rsidR="002A0BB5" w:rsidRDefault="00C41F8F">
      <w:pPr>
        <w:spacing w:after="0" w:line="240" w:lineRule="auto"/>
        <w:ind w:left="567" w:hanging="283"/>
        <w:rPr>
          <w:rFonts w:eastAsia="SimSun"/>
          <w:lang w:val="en-US"/>
        </w:rPr>
      </w:pPr>
      <w:r>
        <w:rPr>
          <w:rFonts w:eastAsia="SimSun"/>
          <w:lang w:val="en-US"/>
        </w:rPr>
        <w:t>Zohar, D. (1980). “Safety climate in industrial organizations: Theoretical</w:t>
      </w:r>
      <w:r>
        <w:rPr>
          <w:rFonts w:eastAsia="SimSun"/>
        </w:rPr>
        <w:t xml:space="preserve"> </w:t>
      </w:r>
      <w:r>
        <w:rPr>
          <w:rFonts w:eastAsia="SimSun"/>
          <w:lang w:val="en-US"/>
        </w:rPr>
        <w:t xml:space="preserve">and applied implications.” </w:t>
      </w:r>
      <w:r>
        <w:rPr>
          <w:rFonts w:eastAsia="SimSun"/>
          <w:i/>
          <w:iCs/>
          <w:lang w:val="en-US"/>
        </w:rPr>
        <w:t>J. Appl. Psychol.,</w:t>
      </w:r>
      <w:r>
        <w:rPr>
          <w:rFonts w:eastAsia="SimSun"/>
          <w:lang w:val="en-US"/>
        </w:rPr>
        <w:t xml:space="preserve"> 65(1), 96–102.</w:t>
      </w: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2A0BB5">
      <w:pPr>
        <w:pStyle w:val="Newparagraph"/>
        <w:spacing w:after="0" w:line="240" w:lineRule="auto"/>
        <w:ind w:firstLine="0"/>
        <w:jc w:val="both"/>
        <w:rPr>
          <w:b/>
          <w:bCs/>
        </w:rPr>
      </w:pPr>
    </w:p>
    <w:p w:rsidR="002A0BB5" w:rsidRDefault="00C41F8F">
      <w:pPr>
        <w:pStyle w:val="Newparagraph"/>
        <w:spacing w:after="0" w:line="240" w:lineRule="auto"/>
        <w:ind w:firstLine="0"/>
        <w:jc w:val="both"/>
      </w:pPr>
      <w:r>
        <w:rPr>
          <w:b/>
          <w:bCs/>
        </w:rPr>
        <w:lastRenderedPageBreak/>
        <w:t>Table 1.</w:t>
      </w:r>
      <w:r>
        <w:t xml:space="preserve"> Measurement dimensions within safety and BIM </w:t>
      </w:r>
    </w:p>
    <w:p w:rsidR="002A0BB5" w:rsidRDefault="002A0BB5">
      <w:pPr>
        <w:pStyle w:val="Newparagraph"/>
        <w:spacing w:after="0" w:line="240" w:lineRule="auto"/>
        <w:ind w:firstLine="0"/>
        <w:jc w:val="both"/>
      </w:pPr>
    </w:p>
    <w:tbl>
      <w:tblPr>
        <w:tblStyle w:val="TableGrid"/>
        <w:tblW w:w="8489" w:type="dxa"/>
        <w:tblBorders>
          <w:left w:val="none" w:sz="0" w:space="0" w:color="auto"/>
          <w:right w:val="none" w:sz="0" w:space="0" w:color="auto"/>
        </w:tblBorders>
        <w:tblLayout w:type="fixed"/>
        <w:tblLook w:val="04A0" w:firstRow="1" w:lastRow="0" w:firstColumn="1" w:lastColumn="0" w:noHBand="0" w:noVBand="1"/>
      </w:tblPr>
      <w:tblGrid>
        <w:gridCol w:w="4244"/>
        <w:gridCol w:w="4245"/>
      </w:tblGrid>
      <w:tr w:rsidR="002A0BB5">
        <w:tc>
          <w:tcPr>
            <w:tcW w:w="4244" w:type="dxa"/>
            <w:tcBorders>
              <w:top w:val="single" w:sz="12" w:space="0" w:color="auto"/>
              <w:bottom w:val="single" w:sz="12" w:space="0" w:color="auto"/>
            </w:tcBorders>
          </w:tcPr>
          <w:p w:rsidR="002A0BB5" w:rsidRDefault="00C41F8F">
            <w:pPr>
              <w:pStyle w:val="Newparagraph"/>
              <w:spacing w:after="0" w:line="240" w:lineRule="auto"/>
              <w:ind w:firstLine="0"/>
              <w:rPr>
                <w:b/>
                <w:bCs/>
                <w:sz w:val="20"/>
                <w:szCs w:val="20"/>
                <w:lang w:val="en-US"/>
              </w:rPr>
            </w:pPr>
            <w:r>
              <w:rPr>
                <w:b/>
                <w:bCs/>
                <w:sz w:val="20"/>
                <w:szCs w:val="20"/>
                <w:lang w:val="en-US"/>
              </w:rPr>
              <w:t>Safety culture/climate dimensions</w:t>
            </w:r>
          </w:p>
        </w:tc>
        <w:tc>
          <w:tcPr>
            <w:tcW w:w="4245" w:type="dxa"/>
            <w:tcBorders>
              <w:top w:val="single" w:sz="12" w:space="0" w:color="auto"/>
              <w:bottom w:val="single" w:sz="12" w:space="0" w:color="auto"/>
            </w:tcBorders>
          </w:tcPr>
          <w:p w:rsidR="002A0BB5" w:rsidRDefault="00C41F8F">
            <w:pPr>
              <w:pStyle w:val="Newparagraph"/>
              <w:spacing w:after="0" w:line="240" w:lineRule="auto"/>
              <w:ind w:firstLine="0"/>
              <w:rPr>
                <w:b/>
                <w:bCs/>
                <w:sz w:val="20"/>
                <w:szCs w:val="20"/>
                <w:lang w:val="en-US"/>
              </w:rPr>
            </w:pPr>
            <w:r>
              <w:rPr>
                <w:b/>
                <w:bCs/>
                <w:sz w:val="20"/>
                <w:szCs w:val="20"/>
                <w:lang w:val="en-US"/>
              </w:rPr>
              <w:t xml:space="preserve">BIM management related dimensions </w:t>
            </w:r>
          </w:p>
        </w:tc>
      </w:tr>
      <w:tr w:rsidR="002A0BB5">
        <w:tc>
          <w:tcPr>
            <w:tcW w:w="4244" w:type="dxa"/>
            <w:tcBorders>
              <w:top w:val="single" w:sz="12" w:space="0" w:color="auto"/>
            </w:tcBorders>
          </w:tcPr>
          <w:p w:rsidR="002A0BB5" w:rsidRDefault="00C41F8F">
            <w:pPr>
              <w:pStyle w:val="Newparagraph"/>
              <w:spacing w:after="0" w:line="240" w:lineRule="auto"/>
              <w:ind w:firstLine="0"/>
              <w:rPr>
                <w:bCs/>
                <w:sz w:val="20"/>
                <w:szCs w:val="20"/>
                <w:lang w:val="en-US"/>
              </w:rPr>
            </w:pPr>
            <w:r>
              <w:rPr>
                <w:bCs/>
                <w:sz w:val="20"/>
                <w:szCs w:val="20"/>
                <w:lang w:val="en-US"/>
              </w:rPr>
              <w:t>Employees’ perceptions of safety management and workplace safety (Cox and Flin, 1998)</w:t>
            </w:r>
          </w:p>
        </w:tc>
        <w:tc>
          <w:tcPr>
            <w:tcW w:w="4245" w:type="dxa"/>
            <w:tcBorders>
              <w:top w:val="single" w:sz="12" w:space="0" w:color="auto"/>
            </w:tcBorders>
          </w:tcPr>
          <w:p w:rsidR="002A0BB5" w:rsidRDefault="00C41F8F">
            <w:pPr>
              <w:pStyle w:val="Newparagraph"/>
              <w:spacing w:after="0" w:line="240" w:lineRule="auto"/>
              <w:ind w:firstLine="0"/>
              <w:rPr>
                <w:bCs/>
                <w:sz w:val="20"/>
                <w:szCs w:val="20"/>
                <w:lang w:val="en-US"/>
              </w:rPr>
            </w:pPr>
            <w:r>
              <w:rPr>
                <w:bCs/>
                <w:sz w:val="20"/>
                <w:szCs w:val="20"/>
                <w:lang w:val="en-US"/>
              </w:rPr>
              <w:t>Individual perceptions on BIM management and practice (Lee et al., 2015)</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Safety procedure/policies/rules (Chen and Jin, 2012)</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BIM standards/guidelines (Jin et al., 2015)</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Perception of risk (Brown and Holmes, 1986)</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Perception of risks in BIM implementation (Jin et al., 2017b)</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Safety training (Zohar, 1980)</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BIM training and education (Jin et al., 2017</w:t>
            </w:r>
            <w:r>
              <w:rPr>
                <w:bCs/>
                <w:sz w:val="20"/>
                <w:szCs w:val="20"/>
              </w:rPr>
              <w:t>d</w:t>
            </w:r>
            <w:r>
              <w:rPr>
                <w:bCs/>
                <w:sz w:val="20"/>
                <w:szCs w:val="20"/>
                <w:lang w:val="en-US"/>
              </w:rPr>
              <w:t>)</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Communication/collaboration (Loushine et al.  2006)</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Communication/Collaboration in BIM (Oraee et al., 2015)</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Employee involvement (Mearns et al., 2003)</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Personal involvement (Ku and Taiebat, 2011)</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Work environment (Varonen and  Mattila, 2000)</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Working environment (He et al., 2017)</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Management attitudes/commitments (Dedobbeleer and Béland, 1991)</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Attitudes/leadership (Liu et al., 201</w:t>
            </w:r>
            <w:r>
              <w:rPr>
                <w:bCs/>
                <w:sz w:val="20"/>
                <w:szCs w:val="20"/>
              </w:rPr>
              <w:t>7</w:t>
            </w:r>
            <w:r>
              <w:rPr>
                <w:bCs/>
                <w:sz w:val="20"/>
                <w:szCs w:val="20"/>
                <w:lang w:val="en-US"/>
              </w:rPr>
              <w:t>)</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Importance of safety (Neal et al., 2000)</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BIM benefits and importance (Jin et al., 2017a)</w:t>
            </w:r>
          </w:p>
        </w:tc>
      </w:tr>
      <w:tr w:rsidR="002A0BB5">
        <w:tc>
          <w:tcPr>
            <w:tcW w:w="4244" w:type="dxa"/>
          </w:tcPr>
          <w:p w:rsidR="002A0BB5" w:rsidRDefault="00C41F8F">
            <w:pPr>
              <w:pStyle w:val="Newparagraph"/>
              <w:spacing w:after="0" w:line="240" w:lineRule="auto"/>
              <w:ind w:firstLine="0"/>
              <w:rPr>
                <w:bCs/>
                <w:sz w:val="20"/>
                <w:szCs w:val="20"/>
                <w:lang w:val="en-US"/>
              </w:rPr>
            </w:pPr>
            <w:r>
              <w:rPr>
                <w:bCs/>
                <w:sz w:val="20"/>
                <w:szCs w:val="20"/>
                <w:lang w:val="en-US"/>
              </w:rPr>
              <w:t>Safety implementation</w:t>
            </w:r>
            <w:r>
              <w:t xml:space="preserve"> (</w:t>
            </w:r>
            <w:r>
              <w:rPr>
                <w:bCs/>
                <w:sz w:val="20"/>
                <w:szCs w:val="20"/>
                <w:lang w:val="en-US"/>
              </w:rPr>
              <w:t>Cabrera et al., 1997)</w:t>
            </w:r>
          </w:p>
        </w:tc>
        <w:tc>
          <w:tcPr>
            <w:tcW w:w="4245" w:type="dxa"/>
          </w:tcPr>
          <w:p w:rsidR="002A0BB5" w:rsidRDefault="00C41F8F">
            <w:pPr>
              <w:pStyle w:val="Newparagraph"/>
              <w:spacing w:after="0" w:line="240" w:lineRule="auto"/>
              <w:ind w:firstLine="0"/>
              <w:rPr>
                <w:bCs/>
                <w:sz w:val="20"/>
                <w:szCs w:val="20"/>
                <w:lang w:val="en-US"/>
              </w:rPr>
            </w:pPr>
            <w:r>
              <w:rPr>
                <w:bCs/>
                <w:sz w:val="20"/>
                <w:szCs w:val="20"/>
                <w:lang w:val="en-US"/>
              </w:rPr>
              <w:t>BIM implementation (Zheng et al., 2017)</w:t>
            </w:r>
          </w:p>
        </w:tc>
      </w:tr>
    </w:tbl>
    <w:p w:rsidR="002A0BB5" w:rsidRDefault="00C41F8F">
      <w:pPr>
        <w:pStyle w:val="Newparagraph"/>
        <w:spacing w:after="0" w:line="240" w:lineRule="auto"/>
        <w:ind w:firstLine="0"/>
        <w:jc w:val="both"/>
        <w:rPr>
          <w:bCs/>
          <w:sz w:val="20"/>
          <w:szCs w:val="20"/>
          <w:lang w:val="en-US"/>
        </w:rPr>
      </w:pPr>
      <w:r>
        <w:rPr>
          <w:bCs/>
          <w:sz w:val="20"/>
          <w:szCs w:val="20"/>
          <w:lang w:val="en-US"/>
        </w:rPr>
        <w:t xml:space="preserve">Note: Only one reference is included as an example to define </w:t>
      </w:r>
      <w:r>
        <w:rPr>
          <w:bCs/>
          <w:sz w:val="20"/>
          <w:szCs w:val="20"/>
        </w:rPr>
        <w:t>each</w:t>
      </w:r>
      <w:r>
        <w:rPr>
          <w:bCs/>
          <w:sz w:val="20"/>
          <w:szCs w:val="20"/>
          <w:lang w:val="en-US"/>
        </w:rPr>
        <w:t xml:space="preserve"> dimension for safety and BIM. More examples from previous studies could be found for each measurement dimension. </w:t>
      </w: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2A0BB5">
      <w:pPr>
        <w:pStyle w:val="Newparagraph"/>
        <w:spacing w:after="0" w:line="240" w:lineRule="auto"/>
        <w:ind w:firstLine="0"/>
        <w:rPr>
          <w:b/>
        </w:rPr>
      </w:pPr>
    </w:p>
    <w:p w:rsidR="002A0BB5" w:rsidRDefault="00C41F8F">
      <w:pPr>
        <w:pStyle w:val="Newparagraph"/>
        <w:spacing w:after="0" w:line="240" w:lineRule="auto"/>
        <w:ind w:firstLine="0"/>
      </w:pPr>
      <w:r>
        <w:rPr>
          <w:b/>
        </w:rPr>
        <w:lastRenderedPageBreak/>
        <w:t>Table 2.</w:t>
      </w:r>
      <w:r>
        <w:t xml:space="preserve"> Percentages of AEC professions in survey samples</w:t>
      </w:r>
    </w:p>
    <w:tbl>
      <w:tblPr>
        <w:tblStyle w:val="TableGrid"/>
        <w:tblW w:w="7949" w:type="dxa"/>
        <w:tblLayout w:type="fixed"/>
        <w:tblLook w:val="04A0" w:firstRow="1" w:lastRow="0" w:firstColumn="1" w:lastColumn="0" w:noHBand="0" w:noVBand="1"/>
      </w:tblPr>
      <w:tblGrid>
        <w:gridCol w:w="1013"/>
        <w:gridCol w:w="1110"/>
        <w:gridCol w:w="1126"/>
        <w:gridCol w:w="1240"/>
        <w:gridCol w:w="1180"/>
        <w:gridCol w:w="720"/>
        <w:gridCol w:w="840"/>
        <w:gridCol w:w="720"/>
      </w:tblGrid>
      <w:tr w:rsidR="002A0BB5">
        <w:trPr>
          <w:trHeight w:val="279"/>
        </w:trPr>
        <w:tc>
          <w:tcPr>
            <w:tcW w:w="1013" w:type="dxa"/>
          </w:tcPr>
          <w:p w:rsidR="002A0BB5" w:rsidRDefault="00C41F8F">
            <w:pPr>
              <w:pStyle w:val="Newparagraph"/>
              <w:widowControl/>
              <w:spacing w:after="0" w:line="240" w:lineRule="auto"/>
              <w:ind w:firstLine="0"/>
              <w:rPr>
                <w:sz w:val="20"/>
                <w:szCs w:val="20"/>
              </w:rPr>
            </w:pPr>
            <w:r>
              <w:rPr>
                <w:sz w:val="20"/>
                <w:szCs w:val="20"/>
              </w:rPr>
              <w:t xml:space="preserve">         </w:t>
            </w:r>
          </w:p>
        </w:tc>
        <w:tc>
          <w:tcPr>
            <w:tcW w:w="1110" w:type="dxa"/>
          </w:tcPr>
          <w:p w:rsidR="002A0BB5" w:rsidRDefault="00C41F8F">
            <w:pPr>
              <w:pStyle w:val="Newparagraph"/>
              <w:widowControl/>
              <w:spacing w:after="0" w:line="240" w:lineRule="auto"/>
              <w:ind w:firstLine="0"/>
              <w:rPr>
                <w:sz w:val="20"/>
                <w:szCs w:val="20"/>
              </w:rPr>
            </w:pPr>
            <w:r>
              <w:rPr>
                <w:sz w:val="20"/>
                <w:szCs w:val="20"/>
              </w:rPr>
              <w:t>Architects</w:t>
            </w:r>
          </w:p>
        </w:tc>
        <w:tc>
          <w:tcPr>
            <w:tcW w:w="1126" w:type="dxa"/>
          </w:tcPr>
          <w:p w:rsidR="002A0BB5" w:rsidRDefault="00C41F8F">
            <w:pPr>
              <w:pStyle w:val="Newparagraph"/>
              <w:widowControl/>
              <w:spacing w:after="0" w:line="240" w:lineRule="auto"/>
              <w:ind w:firstLine="0"/>
              <w:rPr>
                <w:sz w:val="20"/>
                <w:szCs w:val="20"/>
              </w:rPr>
            </w:pPr>
            <w:r>
              <w:rPr>
                <w:sz w:val="20"/>
                <w:szCs w:val="20"/>
              </w:rPr>
              <w:t>Engineers</w:t>
            </w:r>
          </w:p>
        </w:tc>
        <w:tc>
          <w:tcPr>
            <w:tcW w:w="1240" w:type="dxa"/>
          </w:tcPr>
          <w:p w:rsidR="002A0BB5" w:rsidRDefault="00C41F8F">
            <w:pPr>
              <w:pStyle w:val="Newparagraph"/>
              <w:widowControl/>
              <w:spacing w:after="0" w:line="240" w:lineRule="auto"/>
              <w:ind w:firstLine="0"/>
              <w:rPr>
                <w:sz w:val="20"/>
                <w:szCs w:val="20"/>
              </w:rPr>
            </w:pPr>
            <w:r>
              <w:rPr>
                <w:sz w:val="20"/>
                <w:szCs w:val="20"/>
              </w:rPr>
              <w:t>Consultants</w:t>
            </w:r>
          </w:p>
        </w:tc>
        <w:tc>
          <w:tcPr>
            <w:tcW w:w="1180" w:type="dxa"/>
          </w:tcPr>
          <w:p w:rsidR="002A0BB5" w:rsidRDefault="00C41F8F">
            <w:pPr>
              <w:pStyle w:val="Newparagraph"/>
              <w:widowControl/>
              <w:spacing w:after="0" w:line="240" w:lineRule="auto"/>
              <w:ind w:firstLine="0"/>
              <w:rPr>
                <w:sz w:val="20"/>
                <w:szCs w:val="20"/>
              </w:rPr>
            </w:pPr>
            <w:r>
              <w:rPr>
                <w:sz w:val="20"/>
                <w:szCs w:val="20"/>
              </w:rPr>
              <w:t>Contractors</w:t>
            </w:r>
          </w:p>
        </w:tc>
        <w:tc>
          <w:tcPr>
            <w:tcW w:w="720" w:type="dxa"/>
          </w:tcPr>
          <w:p w:rsidR="002A0BB5" w:rsidRDefault="00C41F8F">
            <w:pPr>
              <w:pStyle w:val="Newparagraph"/>
              <w:widowControl/>
              <w:spacing w:after="0" w:line="240" w:lineRule="auto"/>
              <w:ind w:firstLine="0"/>
              <w:rPr>
                <w:sz w:val="20"/>
                <w:szCs w:val="20"/>
              </w:rPr>
            </w:pPr>
            <w:r>
              <w:rPr>
                <w:sz w:val="20"/>
                <w:szCs w:val="20"/>
              </w:rPr>
              <w:t>SD</w:t>
            </w:r>
            <w:r>
              <w:rPr>
                <w:sz w:val="20"/>
                <w:szCs w:val="20"/>
                <w:vertAlign w:val="superscript"/>
              </w:rPr>
              <w:t>1</w:t>
            </w:r>
          </w:p>
        </w:tc>
        <w:tc>
          <w:tcPr>
            <w:tcW w:w="840" w:type="dxa"/>
          </w:tcPr>
          <w:p w:rsidR="002A0BB5" w:rsidRDefault="00C41F8F">
            <w:pPr>
              <w:pStyle w:val="Newparagraph"/>
              <w:widowControl/>
              <w:spacing w:after="0" w:line="240" w:lineRule="auto"/>
              <w:ind w:firstLine="0"/>
              <w:rPr>
                <w:sz w:val="20"/>
                <w:szCs w:val="20"/>
              </w:rPr>
            </w:pPr>
            <w:r>
              <w:rPr>
                <w:sz w:val="20"/>
                <w:szCs w:val="20"/>
              </w:rPr>
              <w:t>Others</w:t>
            </w:r>
            <w:r>
              <w:rPr>
                <w:sz w:val="20"/>
                <w:szCs w:val="20"/>
                <w:vertAlign w:val="superscript"/>
              </w:rPr>
              <w:t>2</w:t>
            </w:r>
          </w:p>
        </w:tc>
        <w:tc>
          <w:tcPr>
            <w:tcW w:w="720" w:type="dxa"/>
          </w:tcPr>
          <w:p w:rsidR="002A0BB5" w:rsidRDefault="00C41F8F">
            <w:pPr>
              <w:pStyle w:val="Newparagraph"/>
              <w:widowControl/>
              <w:spacing w:after="0" w:line="240" w:lineRule="auto"/>
              <w:ind w:firstLine="0"/>
              <w:rPr>
                <w:sz w:val="20"/>
                <w:szCs w:val="20"/>
              </w:rPr>
            </w:pPr>
            <w:r>
              <w:rPr>
                <w:sz w:val="20"/>
                <w:szCs w:val="20"/>
              </w:rPr>
              <w:t>Sum</w:t>
            </w:r>
          </w:p>
        </w:tc>
      </w:tr>
      <w:tr w:rsidR="002A0BB5">
        <w:tc>
          <w:tcPr>
            <w:tcW w:w="1013" w:type="dxa"/>
          </w:tcPr>
          <w:p w:rsidR="002A0BB5" w:rsidRDefault="00C41F8F">
            <w:pPr>
              <w:pStyle w:val="Newparagraph"/>
              <w:widowControl/>
              <w:spacing w:after="0" w:line="240" w:lineRule="auto"/>
              <w:ind w:firstLine="0"/>
              <w:rPr>
                <w:sz w:val="20"/>
                <w:szCs w:val="20"/>
              </w:rPr>
            </w:pPr>
            <w:r>
              <w:rPr>
                <w:sz w:val="20"/>
                <w:szCs w:val="20"/>
              </w:rPr>
              <w:t>Shanghai (N=47)</w:t>
            </w:r>
          </w:p>
        </w:tc>
        <w:tc>
          <w:tcPr>
            <w:tcW w:w="1110" w:type="dxa"/>
          </w:tcPr>
          <w:p w:rsidR="002A0BB5" w:rsidRDefault="00C41F8F">
            <w:pPr>
              <w:pStyle w:val="Newparagraph"/>
              <w:widowControl/>
              <w:spacing w:after="0" w:line="240" w:lineRule="auto"/>
              <w:ind w:firstLine="0"/>
              <w:rPr>
                <w:sz w:val="20"/>
                <w:szCs w:val="20"/>
              </w:rPr>
            </w:pPr>
            <w:r>
              <w:rPr>
                <w:sz w:val="20"/>
                <w:szCs w:val="20"/>
              </w:rPr>
              <w:t>13%</w:t>
            </w:r>
          </w:p>
        </w:tc>
        <w:tc>
          <w:tcPr>
            <w:tcW w:w="1126" w:type="dxa"/>
          </w:tcPr>
          <w:p w:rsidR="002A0BB5" w:rsidRDefault="00C41F8F">
            <w:pPr>
              <w:pStyle w:val="Newparagraph"/>
              <w:widowControl/>
              <w:spacing w:after="0" w:line="240" w:lineRule="auto"/>
              <w:ind w:firstLine="0"/>
              <w:rPr>
                <w:sz w:val="20"/>
                <w:szCs w:val="20"/>
              </w:rPr>
            </w:pPr>
            <w:r>
              <w:rPr>
                <w:sz w:val="20"/>
                <w:szCs w:val="20"/>
              </w:rPr>
              <w:t>28%</w:t>
            </w:r>
          </w:p>
        </w:tc>
        <w:tc>
          <w:tcPr>
            <w:tcW w:w="1240" w:type="dxa"/>
          </w:tcPr>
          <w:p w:rsidR="002A0BB5" w:rsidRDefault="00C41F8F">
            <w:pPr>
              <w:pStyle w:val="Newparagraph"/>
              <w:widowControl/>
              <w:spacing w:after="0" w:line="240" w:lineRule="auto"/>
              <w:ind w:firstLine="0"/>
              <w:rPr>
                <w:sz w:val="20"/>
                <w:szCs w:val="20"/>
              </w:rPr>
            </w:pPr>
            <w:r>
              <w:rPr>
                <w:sz w:val="20"/>
                <w:szCs w:val="20"/>
              </w:rPr>
              <w:t>15%</w:t>
            </w:r>
          </w:p>
        </w:tc>
        <w:tc>
          <w:tcPr>
            <w:tcW w:w="1180" w:type="dxa"/>
          </w:tcPr>
          <w:p w:rsidR="002A0BB5" w:rsidRDefault="00C41F8F">
            <w:pPr>
              <w:pStyle w:val="Newparagraph"/>
              <w:widowControl/>
              <w:spacing w:after="0" w:line="240" w:lineRule="auto"/>
              <w:ind w:firstLine="0"/>
              <w:rPr>
                <w:sz w:val="20"/>
                <w:szCs w:val="20"/>
              </w:rPr>
            </w:pPr>
            <w:r>
              <w:rPr>
                <w:sz w:val="20"/>
                <w:szCs w:val="20"/>
              </w:rPr>
              <w:t>13%</w:t>
            </w:r>
          </w:p>
        </w:tc>
        <w:tc>
          <w:tcPr>
            <w:tcW w:w="720" w:type="dxa"/>
          </w:tcPr>
          <w:p w:rsidR="002A0BB5" w:rsidRDefault="00C41F8F">
            <w:pPr>
              <w:pStyle w:val="Newparagraph"/>
              <w:widowControl/>
              <w:spacing w:after="0" w:line="240" w:lineRule="auto"/>
              <w:ind w:firstLine="0"/>
              <w:rPr>
                <w:sz w:val="20"/>
                <w:szCs w:val="20"/>
              </w:rPr>
            </w:pPr>
            <w:r>
              <w:rPr>
                <w:sz w:val="20"/>
                <w:szCs w:val="20"/>
              </w:rPr>
              <w:t>9%</w:t>
            </w:r>
          </w:p>
        </w:tc>
        <w:tc>
          <w:tcPr>
            <w:tcW w:w="840" w:type="dxa"/>
          </w:tcPr>
          <w:p w:rsidR="002A0BB5" w:rsidRDefault="00C41F8F">
            <w:pPr>
              <w:pStyle w:val="Newparagraph"/>
              <w:widowControl/>
              <w:spacing w:after="0" w:line="240" w:lineRule="auto"/>
              <w:ind w:firstLine="0"/>
              <w:rPr>
                <w:sz w:val="20"/>
                <w:szCs w:val="20"/>
              </w:rPr>
            </w:pPr>
            <w:r>
              <w:rPr>
                <w:sz w:val="20"/>
                <w:szCs w:val="20"/>
              </w:rPr>
              <w:t>23%</w:t>
            </w:r>
          </w:p>
        </w:tc>
        <w:tc>
          <w:tcPr>
            <w:tcW w:w="720" w:type="dxa"/>
          </w:tcPr>
          <w:p w:rsidR="002A0BB5" w:rsidRDefault="00C41F8F">
            <w:pPr>
              <w:pStyle w:val="Newparagraph"/>
              <w:widowControl/>
              <w:spacing w:after="0" w:line="240" w:lineRule="auto"/>
              <w:ind w:firstLine="0"/>
              <w:rPr>
                <w:sz w:val="20"/>
                <w:szCs w:val="20"/>
              </w:rPr>
            </w:pPr>
            <w:r>
              <w:rPr>
                <w:sz w:val="20"/>
                <w:szCs w:val="20"/>
              </w:rPr>
              <w:t>100%</w:t>
            </w:r>
          </w:p>
        </w:tc>
      </w:tr>
      <w:tr w:rsidR="002A0BB5">
        <w:tc>
          <w:tcPr>
            <w:tcW w:w="1013" w:type="dxa"/>
          </w:tcPr>
          <w:p w:rsidR="002A0BB5" w:rsidRDefault="00C41F8F">
            <w:pPr>
              <w:pStyle w:val="Newparagraph"/>
              <w:widowControl/>
              <w:spacing w:after="0" w:line="240" w:lineRule="auto"/>
              <w:ind w:firstLine="0"/>
              <w:rPr>
                <w:sz w:val="20"/>
                <w:szCs w:val="20"/>
              </w:rPr>
            </w:pPr>
            <w:r>
              <w:rPr>
                <w:sz w:val="20"/>
                <w:szCs w:val="20"/>
              </w:rPr>
              <w:t>Wenzhou (N=47)</w:t>
            </w:r>
          </w:p>
        </w:tc>
        <w:tc>
          <w:tcPr>
            <w:tcW w:w="1110" w:type="dxa"/>
          </w:tcPr>
          <w:p w:rsidR="002A0BB5" w:rsidRDefault="00C41F8F">
            <w:pPr>
              <w:pStyle w:val="Newparagraph"/>
              <w:widowControl/>
              <w:spacing w:after="0" w:line="240" w:lineRule="auto"/>
              <w:ind w:firstLine="0"/>
              <w:rPr>
                <w:sz w:val="20"/>
                <w:szCs w:val="20"/>
              </w:rPr>
            </w:pPr>
            <w:r>
              <w:rPr>
                <w:sz w:val="20"/>
                <w:szCs w:val="20"/>
              </w:rPr>
              <w:t>34%</w:t>
            </w:r>
          </w:p>
        </w:tc>
        <w:tc>
          <w:tcPr>
            <w:tcW w:w="1126" w:type="dxa"/>
          </w:tcPr>
          <w:p w:rsidR="002A0BB5" w:rsidRDefault="00C41F8F">
            <w:pPr>
              <w:pStyle w:val="Newparagraph"/>
              <w:widowControl/>
              <w:spacing w:after="0" w:line="240" w:lineRule="auto"/>
              <w:ind w:firstLine="0"/>
              <w:rPr>
                <w:sz w:val="20"/>
                <w:szCs w:val="20"/>
              </w:rPr>
            </w:pPr>
            <w:r>
              <w:rPr>
                <w:sz w:val="20"/>
                <w:szCs w:val="20"/>
              </w:rPr>
              <w:t>62%</w:t>
            </w:r>
          </w:p>
        </w:tc>
        <w:tc>
          <w:tcPr>
            <w:tcW w:w="1240" w:type="dxa"/>
          </w:tcPr>
          <w:p w:rsidR="002A0BB5" w:rsidRDefault="00C41F8F">
            <w:pPr>
              <w:pStyle w:val="Newparagraph"/>
              <w:widowControl/>
              <w:spacing w:after="0" w:line="240" w:lineRule="auto"/>
              <w:ind w:firstLine="0"/>
              <w:rPr>
                <w:sz w:val="20"/>
                <w:szCs w:val="20"/>
              </w:rPr>
            </w:pPr>
            <w:r>
              <w:rPr>
                <w:sz w:val="20"/>
                <w:szCs w:val="20"/>
              </w:rPr>
              <w:t>2%</w:t>
            </w:r>
          </w:p>
        </w:tc>
        <w:tc>
          <w:tcPr>
            <w:tcW w:w="1180" w:type="dxa"/>
          </w:tcPr>
          <w:p w:rsidR="002A0BB5" w:rsidRDefault="00C41F8F">
            <w:pPr>
              <w:pStyle w:val="Newparagraph"/>
              <w:widowControl/>
              <w:spacing w:after="0" w:line="240" w:lineRule="auto"/>
              <w:ind w:firstLine="0"/>
              <w:rPr>
                <w:sz w:val="20"/>
                <w:szCs w:val="20"/>
              </w:rPr>
            </w:pPr>
            <w:r>
              <w:rPr>
                <w:sz w:val="20"/>
                <w:szCs w:val="20"/>
              </w:rPr>
              <w:t>0%</w:t>
            </w:r>
          </w:p>
        </w:tc>
        <w:tc>
          <w:tcPr>
            <w:tcW w:w="720" w:type="dxa"/>
          </w:tcPr>
          <w:p w:rsidR="002A0BB5" w:rsidRDefault="00C41F8F">
            <w:pPr>
              <w:pStyle w:val="Newparagraph"/>
              <w:widowControl/>
              <w:spacing w:after="0" w:line="240" w:lineRule="auto"/>
              <w:ind w:firstLine="0"/>
              <w:rPr>
                <w:sz w:val="20"/>
                <w:szCs w:val="20"/>
              </w:rPr>
            </w:pPr>
            <w:r>
              <w:rPr>
                <w:sz w:val="20"/>
                <w:szCs w:val="20"/>
              </w:rPr>
              <w:t>0%</w:t>
            </w:r>
          </w:p>
        </w:tc>
        <w:tc>
          <w:tcPr>
            <w:tcW w:w="840" w:type="dxa"/>
          </w:tcPr>
          <w:p w:rsidR="002A0BB5" w:rsidRDefault="00C41F8F">
            <w:pPr>
              <w:pStyle w:val="Newparagraph"/>
              <w:widowControl/>
              <w:spacing w:after="0" w:line="240" w:lineRule="auto"/>
              <w:ind w:firstLine="0"/>
              <w:rPr>
                <w:sz w:val="20"/>
                <w:szCs w:val="20"/>
              </w:rPr>
            </w:pPr>
            <w:r>
              <w:rPr>
                <w:sz w:val="20"/>
                <w:szCs w:val="20"/>
              </w:rPr>
              <w:t>2%</w:t>
            </w:r>
          </w:p>
        </w:tc>
        <w:tc>
          <w:tcPr>
            <w:tcW w:w="720" w:type="dxa"/>
          </w:tcPr>
          <w:p w:rsidR="002A0BB5" w:rsidRDefault="00C41F8F">
            <w:pPr>
              <w:pStyle w:val="Newparagraph"/>
              <w:widowControl/>
              <w:spacing w:after="0" w:line="240" w:lineRule="auto"/>
              <w:ind w:firstLine="0"/>
              <w:rPr>
                <w:sz w:val="20"/>
                <w:szCs w:val="20"/>
              </w:rPr>
            </w:pPr>
            <w:r>
              <w:rPr>
                <w:sz w:val="20"/>
                <w:szCs w:val="20"/>
              </w:rPr>
              <w:t>100%</w:t>
            </w:r>
          </w:p>
        </w:tc>
      </w:tr>
      <w:tr w:rsidR="002A0BB5">
        <w:tc>
          <w:tcPr>
            <w:tcW w:w="1013" w:type="dxa"/>
          </w:tcPr>
          <w:p w:rsidR="002A0BB5" w:rsidRDefault="00C41F8F">
            <w:pPr>
              <w:pStyle w:val="Newparagraph"/>
              <w:widowControl/>
              <w:spacing w:after="0" w:line="240" w:lineRule="auto"/>
              <w:ind w:firstLine="0"/>
              <w:rPr>
                <w:sz w:val="20"/>
                <w:szCs w:val="20"/>
              </w:rPr>
            </w:pPr>
            <w:r>
              <w:rPr>
                <w:sz w:val="20"/>
                <w:szCs w:val="20"/>
              </w:rPr>
              <w:t>Overall (N=94)</w:t>
            </w:r>
          </w:p>
        </w:tc>
        <w:tc>
          <w:tcPr>
            <w:tcW w:w="1110" w:type="dxa"/>
          </w:tcPr>
          <w:p w:rsidR="002A0BB5" w:rsidRDefault="00C41F8F">
            <w:pPr>
              <w:pStyle w:val="Newparagraph"/>
              <w:widowControl/>
              <w:spacing w:after="0" w:line="240" w:lineRule="auto"/>
              <w:ind w:firstLine="0"/>
              <w:rPr>
                <w:sz w:val="20"/>
                <w:szCs w:val="20"/>
              </w:rPr>
            </w:pPr>
            <w:r>
              <w:rPr>
                <w:sz w:val="20"/>
                <w:szCs w:val="20"/>
              </w:rPr>
              <w:t>23%</w:t>
            </w:r>
          </w:p>
        </w:tc>
        <w:tc>
          <w:tcPr>
            <w:tcW w:w="1126" w:type="dxa"/>
          </w:tcPr>
          <w:p w:rsidR="002A0BB5" w:rsidRDefault="00C41F8F">
            <w:pPr>
              <w:pStyle w:val="Newparagraph"/>
              <w:widowControl/>
              <w:spacing w:after="0" w:line="240" w:lineRule="auto"/>
              <w:ind w:firstLine="0"/>
              <w:rPr>
                <w:sz w:val="20"/>
                <w:szCs w:val="20"/>
              </w:rPr>
            </w:pPr>
            <w:r>
              <w:rPr>
                <w:sz w:val="20"/>
                <w:szCs w:val="20"/>
              </w:rPr>
              <w:t>45%</w:t>
            </w:r>
          </w:p>
        </w:tc>
        <w:tc>
          <w:tcPr>
            <w:tcW w:w="1240" w:type="dxa"/>
          </w:tcPr>
          <w:p w:rsidR="002A0BB5" w:rsidRDefault="00C41F8F">
            <w:pPr>
              <w:pStyle w:val="Newparagraph"/>
              <w:widowControl/>
              <w:spacing w:after="0" w:line="240" w:lineRule="auto"/>
              <w:ind w:firstLine="0"/>
              <w:rPr>
                <w:sz w:val="20"/>
                <w:szCs w:val="20"/>
              </w:rPr>
            </w:pPr>
            <w:r>
              <w:rPr>
                <w:sz w:val="20"/>
                <w:szCs w:val="20"/>
              </w:rPr>
              <w:t>9%</w:t>
            </w:r>
          </w:p>
        </w:tc>
        <w:tc>
          <w:tcPr>
            <w:tcW w:w="1180" w:type="dxa"/>
          </w:tcPr>
          <w:p w:rsidR="002A0BB5" w:rsidRDefault="00C41F8F">
            <w:pPr>
              <w:pStyle w:val="Newparagraph"/>
              <w:widowControl/>
              <w:spacing w:after="0" w:line="240" w:lineRule="auto"/>
              <w:ind w:firstLine="0"/>
              <w:rPr>
                <w:sz w:val="20"/>
                <w:szCs w:val="20"/>
              </w:rPr>
            </w:pPr>
            <w:r>
              <w:rPr>
                <w:sz w:val="20"/>
                <w:szCs w:val="20"/>
              </w:rPr>
              <w:t>6%</w:t>
            </w:r>
          </w:p>
        </w:tc>
        <w:tc>
          <w:tcPr>
            <w:tcW w:w="720" w:type="dxa"/>
          </w:tcPr>
          <w:p w:rsidR="002A0BB5" w:rsidRDefault="00C41F8F">
            <w:pPr>
              <w:pStyle w:val="Newparagraph"/>
              <w:widowControl/>
              <w:spacing w:after="0" w:line="240" w:lineRule="auto"/>
              <w:ind w:firstLine="0"/>
              <w:rPr>
                <w:sz w:val="20"/>
                <w:szCs w:val="20"/>
              </w:rPr>
            </w:pPr>
            <w:r>
              <w:rPr>
                <w:sz w:val="20"/>
                <w:szCs w:val="20"/>
              </w:rPr>
              <w:t>4%</w:t>
            </w:r>
          </w:p>
        </w:tc>
        <w:tc>
          <w:tcPr>
            <w:tcW w:w="840" w:type="dxa"/>
          </w:tcPr>
          <w:p w:rsidR="002A0BB5" w:rsidRDefault="00C41F8F">
            <w:pPr>
              <w:pStyle w:val="Newparagraph"/>
              <w:widowControl/>
              <w:spacing w:after="0" w:line="240" w:lineRule="auto"/>
              <w:ind w:firstLine="0"/>
              <w:rPr>
                <w:sz w:val="20"/>
                <w:szCs w:val="20"/>
              </w:rPr>
            </w:pPr>
            <w:r>
              <w:rPr>
                <w:sz w:val="20"/>
                <w:szCs w:val="20"/>
              </w:rPr>
              <w:t>13%</w:t>
            </w:r>
          </w:p>
        </w:tc>
        <w:tc>
          <w:tcPr>
            <w:tcW w:w="720" w:type="dxa"/>
          </w:tcPr>
          <w:p w:rsidR="002A0BB5" w:rsidRDefault="00C41F8F">
            <w:pPr>
              <w:pStyle w:val="Newparagraph"/>
              <w:widowControl/>
              <w:spacing w:after="0" w:line="240" w:lineRule="auto"/>
              <w:ind w:firstLine="0"/>
              <w:rPr>
                <w:sz w:val="20"/>
                <w:szCs w:val="20"/>
              </w:rPr>
            </w:pPr>
            <w:r>
              <w:rPr>
                <w:sz w:val="20"/>
                <w:szCs w:val="20"/>
              </w:rPr>
              <w:t>100%</w:t>
            </w:r>
          </w:p>
        </w:tc>
      </w:tr>
    </w:tbl>
    <w:p w:rsidR="002A0BB5" w:rsidRDefault="00C41F8F">
      <w:pPr>
        <w:pStyle w:val="Newparagraph"/>
        <w:spacing w:after="0" w:line="240" w:lineRule="auto"/>
        <w:ind w:firstLine="0"/>
        <w:rPr>
          <w:sz w:val="20"/>
          <w:szCs w:val="20"/>
        </w:rPr>
      </w:pPr>
      <w:r>
        <w:rPr>
          <w:sz w:val="20"/>
          <w:szCs w:val="20"/>
          <w:vertAlign w:val="superscript"/>
        </w:rPr>
        <w:t>1</w:t>
      </w:r>
      <w:r>
        <w:rPr>
          <w:sz w:val="20"/>
          <w:szCs w:val="20"/>
        </w:rPr>
        <w:t>: SD stands for Software developer</w:t>
      </w:r>
    </w:p>
    <w:p w:rsidR="002A0BB5" w:rsidRDefault="00C41F8F">
      <w:pPr>
        <w:pStyle w:val="Newparagraph"/>
        <w:spacing w:after="0" w:line="240" w:lineRule="auto"/>
        <w:ind w:firstLine="0"/>
        <w:rPr>
          <w:sz w:val="20"/>
          <w:szCs w:val="20"/>
        </w:rPr>
      </w:pPr>
      <w:r>
        <w:rPr>
          <w:sz w:val="20"/>
          <w:szCs w:val="20"/>
          <w:vertAlign w:val="superscript"/>
        </w:rPr>
        <w:t>2</w:t>
      </w:r>
      <w:r>
        <w:rPr>
          <w:sz w:val="20"/>
          <w:szCs w:val="20"/>
        </w:rPr>
        <w:t xml:space="preserve">: Other professions within the survey sample includes academics, material supplier, and AEC companies’ administration and management staff.  </w:t>
      </w: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C41F8F">
      <w:pPr>
        <w:pStyle w:val="Newparagraph"/>
        <w:spacing w:after="0" w:line="240" w:lineRule="auto"/>
        <w:ind w:firstLine="0"/>
      </w:pPr>
      <w:r>
        <w:rPr>
          <w:b/>
        </w:rPr>
        <w:lastRenderedPageBreak/>
        <w:t>Table 3.</w:t>
      </w:r>
      <w:r>
        <w:t xml:space="preserve"> Comparison of percentages of respondents in adopting each BIM software tool between Shanghai and Wenzhou  </w:t>
      </w:r>
    </w:p>
    <w:tbl>
      <w:tblPr>
        <w:tblStyle w:val="TableGrid"/>
        <w:tblW w:w="6310" w:type="dxa"/>
        <w:tblLayout w:type="fixed"/>
        <w:tblLook w:val="04A0" w:firstRow="1" w:lastRow="0" w:firstColumn="1" w:lastColumn="0" w:noHBand="0" w:noVBand="1"/>
      </w:tblPr>
      <w:tblGrid>
        <w:gridCol w:w="1697"/>
        <w:gridCol w:w="1035"/>
        <w:gridCol w:w="1446"/>
        <w:gridCol w:w="1265"/>
        <w:gridCol w:w="867"/>
      </w:tblGrid>
      <w:tr w:rsidR="002A0BB5">
        <w:tc>
          <w:tcPr>
            <w:tcW w:w="1697" w:type="dxa"/>
            <w:tcBorders>
              <w:bottom w:val="single" w:sz="4" w:space="0" w:color="auto"/>
            </w:tcBorders>
          </w:tcPr>
          <w:p w:rsidR="002A0BB5" w:rsidRDefault="002A0BB5">
            <w:pPr>
              <w:pStyle w:val="Newparagraph"/>
              <w:spacing w:after="0" w:line="240" w:lineRule="auto"/>
              <w:ind w:firstLine="0"/>
              <w:rPr>
                <w:sz w:val="20"/>
                <w:szCs w:val="20"/>
              </w:rPr>
            </w:pPr>
          </w:p>
        </w:tc>
        <w:tc>
          <w:tcPr>
            <w:tcW w:w="1035" w:type="dxa"/>
          </w:tcPr>
          <w:p w:rsidR="002A0BB5" w:rsidRDefault="00C41F8F">
            <w:pPr>
              <w:pStyle w:val="Newparagraph"/>
              <w:spacing w:after="0" w:line="240" w:lineRule="auto"/>
              <w:ind w:firstLine="0"/>
              <w:rPr>
                <w:sz w:val="20"/>
                <w:szCs w:val="20"/>
              </w:rPr>
            </w:pPr>
            <w:r>
              <w:rPr>
                <w:sz w:val="20"/>
                <w:szCs w:val="20"/>
              </w:rPr>
              <w:t>Shanghai (%)</w:t>
            </w:r>
          </w:p>
        </w:tc>
        <w:tc>
          <w:tcPr>
            <w:tcW w:w="1446" w:type="dxa"/>
          </w:tcPr>
          <w:p w:rsidR="002A0BB5" w:rsidRDefault="00C41F8F">
            <w:pPr>
              <w:pStyle w:val="Newparagraph"/>
              <w:spacing w:after="0" w:line="240" w:lineRule="auto"/>
              <w:ind w:firstLine="0"/>
              <w:rPr>
                <w:sz w:val="20"/>
                <w:szCs w:val="20"/>
              </w:rPr>
            </w:pPr>
            <w:r>
              <w:rPr>
                <w:sz w:val="20"/>
                <w:szCs w:val="20"/>
              </w:rPr>
              <w:t>Wenzhou (%)</w:t>
            </w:r>
          </w:p>
        </w:tc>
        <w:tc>
          <w:tcPr>
            <w:tcW w:w="1265" w:type="dxa"/>
            <w:tcBorders>
              <w:bottom w:val="single" w:sz="4" w:space="0" w:color="auto"/>
            </w:tcBorders>
          </w:tcPr>
          <w:p w:rsidR="002A0BB5" w:rsidRDefault="00C41F8F">
            <w:pPr>
              <w:pStyle w:val="Newparagraph"/>
              <w:spacing w:after="0" w:line="240" w:lineRule="auto"/>
              <w:ind w:firstLine="0"/>
              <w:rPr>
                <w:sz w:val="20"/>
                <w:szCs w:val="20"/>
              </w:rPr>
            </w:pPr>
            <w:r>
              <w:rPr>
                <w:sz w:val="20"/>
                <w:szCs w:val="20"/>
              </w:rPr>
              <w:t>Chi-squared value</w:t>
            </w:r>
          </w:p>
        </w:tc>
        <w:tc>
          <w:tcPr>
            <w:tcW w:w="867" w:type="dxa"/>
            <w:tcBorders>
              <w:bottom w:val="single" w:sz="4" w:space="0" w:color="auto"/>
            </w:tcBorders>
          </w:tcPr>
          <w:p w:rsidR="002A0BB5" w:rsidRDefault="00C41F8F">
            <w:pPr>
              <w:pStyle w:val="Newparagraph"/>
              <w:spacing w:after="0" w:line="240" w:lineRule="auto"/>
              <w:ind w:firstLine="0"/>
              <w:rPr>
                <w:sz w:val="20"/>
                <w:szCs w:val="20"/>
              </w:rPr>
            </w:pPr>
            <w:r>
              <w:rPr>
                <w:i/>
                <w:sz w:val="20"/>
                <w:szCs w:val="20"/>
              </w:rPr>
              <w:t>p</w:t>
            </w:r>
            <w:r>
              <w:rPr>
                <w:sz w:val="20"/>
                <w:szCs w:val="20"/>
              </w:rPr>
              <w:t xml:space="preserve"> value</w:t>
            </w: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lang w:eastAsia="zh-CN"/>
              </w:rPr>
            </w:pPr>
            <w:r>
              <w:rPr>
                <w:color w:val="000000"/>
                <w:sz w:val="20"/>
                <w:szCs w:val="20"/>
              </w:rPr>
              <w:t>Nemetschek (e.g., ArchiCAD)</w:t>
            </w:r>
          </w:p>
        </w:tc>
        <w:tc>
          <w:tcPr>
            <w:tcW w:w="1035" w:type="dxa"/>
          </w:tcPr>
          <w:p w:rsidR="002A0BB5" w:rsidRDefault="00C41F8F">
            <w:pPr>
              <w:pStyle w:val="Newparagraph"/>
              <w:spacing w:after="0" w:line="240" w:lineRule="auto"/>
              <w:ind w:firstLine="0"/>
              <w:jc w:val="center"/>
              <w:rPr>
                <w:sz w:val="20"/>
                <w:szCs w:val="20"/>
              </w:rPr>
            </w:pPr>
            <w:r>
              <w:rPr>
                <w:sz w:val="20"/>
                <w:szCs w:val="20"/>
              </w:rPr>
              <w:t>7</w:t>
            </w:r>
          </w:p>
        </w:tc>
        <w:tc>
          <w:tcPr>
            <w:tcW w:w="1446" w:type="dxa"/>
          </w:tcPr>
          <w:p w:rsidR="002A0BB5" w:rsidRDefault="00C41F8F">
            <w:pPr>
              <w:pStyle w:val="Newparagraph"/>
              <w:spacing w:after="0" w:line="240" w:lineRule="auto"/>
              <w:ind w:firstLine="0"/>
              <w:jc w:val="center"/>
              <w:rPr>
                <w:sz w:val="20"/>
                <w:szCs w:val="20"/>
              </w:rPr>
            </w:pPr>
            <w:r>
              <w:rPr>
                <w:sz w:val="20"/>
                <w:szCs w:val="20"/>
              </w:rPr>
              <w:t>11</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rPr>
              <w:t>0.429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0.513</w:t>
            </w: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rPr>
            </w:pPr>
            <w:r>
              <w:rPr>
                <w:color w:val="000000"/>
                <w:sz w:val="20"/>
                <w:szCs w:val="20"/>
              </w:rPr>
              <w:t>Autodesk (e.g., Revit)</w:t>
            </w:r>
          </w:p>
        </w:tc>
        <w:tc>
          <w:tcPr>
            <w:tcW w:w="1035" w:type="dxa"/>
          </w:tcPr>
          <w:p w:rsidR="002A0BB5" w:rsidRDefault="00C41F8F">
            <w:pPr>
              <w:pStyle w:val="Newparagraph"/>
              <w:spacing w:after="0" w:line="240" w:lineRule="auto"/>
              <w:ind w:firstLine="0"/>
              <w:jc w:val="center"/>
              <w:rPr>
                <w:sz w:val="20"/>
                <w:szCs w:val="20"/>
              </w:rPr>
            </w:pPr>
            <w:r>
              <w:rPr>
                <w:sz w:val="20"/>
                <w:szCs w:val="20"/>
              </w:rPr>
              <w:t>91</w:t>
            </w:r>
          </w:p>
        </w:tc>
        <w:tc>
          <w:tcPr>
            <w:tcW w:w="1446" w:type="dxa"/>
          </w:tcPr>
          <w:p w:rsidR="002A0BB5" w:rsidRDefault="00C41F8F">
            <w:pPr>
              <w:pStyle w:val="Newparagraph"/>
              <w:spacing w:after="0" w:line="240" w:lineRule="auto"/>
              <w:ind w:firstLine="0"/>
              <w:jc w:val="center"/>
              <w:rPr>
                <w:sz w:val="20"/>
                <w:szCs w:val="20"/>
              </w:rPr>
            </w:pPr>
            <w:r>
              <w:rPr>
                <w:sz w:val="20"/>
                <w:szCs w:val="20"/>
              </w:rPr>
              <w:t>49</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18.395</w:t>
            </w:r>
          </w:p>
          <w:p w:rsidR="002A0BB5" w:rsidRDefault="002A0BB5">
            <w:pPr>
              <w:spacing w:after="0" w:line="240" w:lineRule="auto"/>
              <w:jc w:val="center"/>
              <w:rPr>
                <w:color w:val="000000"/>
                <w:sz w:val="20"/>
                <w:szCs w:val="20"/>
              </w:rPr>
            </w:pP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0.000*</w:t>
            </w:r>
          </w:p>
          <w:p w:rsidR="002A0BB5" w:rsidRDefault="002A0BB5">
            <w:pPr>
              <w:spacing w:after="0" w:line="240" w:lineRule="auto"/>
              <w:jc w:val="center"/>
              <w:rPr>
                <w:color w:val="000000"/>
                <w:sz w:val="20"/>
                <w:szCs w:val="20"/>
              </w:rPr>
            </w:pP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rPr>
            </w:pPr>
            <w:r>
              <w:rPr>
                <w:color w:val="000000"/>
                <w:sz w:val="20"/>
                <w:szCs w:val="20"/>
              </w:rPr>
              <w:t>Bentley</w:t>
            </w:r>
          </w:p>
        </w:tc>
        <w:tc>
          <w:tcPr>
            <w:tcW w:w="1035" w:type="dxa"/>
          </w:tcPr>
          <w:p w:rsidR="002A0BB5" w:rsidRDefault="00C41F8F">
            <w:pPr>
              <w:pStyle w:val="Newparagraph"/>
              <w:spacing w:after="0" w:line="240" w:lineRule="auto"/>
              <w:ind w:firstLine="0"/>
              <w:jc w:val="center"/>
              <w:rPr>
                <w:sz w:val="20"/>
                <w:szCs w:val="20"/>
              </w:rPr>
            </w:pPr>
            <w:r>
              <w:rPr>
                <w:sz w:val="20"/>
                <w:szCs w:val="20"/>
              </w:rPr>
              <w:t>9</w:t>
            </w:r>
          </w:p>
        </w:tc>
        <w:tc>
          <w:tcPr>
            <w:tcW w:w="1446" w:type="dxa"/>
          </w:tcPr>
          <w:p w:rsidR="002A0BB5" w:rsidRDefault="00C41F8F">
            <w:pPr>
              <w:pStyle w:val="Newparagraph"/>
              <w:spacing w:after="0" w:line="240" w:lineRule="auto"/>
              <w:ind w:firstLine="0"/>
              <w:jc w:val="center"/>
              <w:rPr>
                <w:sz w:val="20"/>
                <w:szCs w:val="20"/>
              </w:rPr>
            </w:pPr>
            <w:r>
              <w:rPr>
                <w:sz w:val="20"/>
                <w:szCs w:val="20"/>
              </w:rPr>
              <w:t>4</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0.909</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0.341</w:t>
            </w: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rPr>
            </w:pPr>
            <w:r>
              <w:rPr>
                <w:color w:val="000000"/>
                <w:sz w:val="20"/>
                <w:szCs w:val="20"/>
              </w:rPr>
              <w:t>Glondon</w:t>
            </w:r>
          </w:p>
        </w:tc>
        <w:tc>
          <w:tcPr>
            <w:tcW w:w="1035" w:type="dxa"/>
          </w:tcPr>
          <w:p w:rsidR="002A0BB5" w:rsidRDefault="00C41F8F">
            <w:pPr>
              <w:pStyle w:val="Newparagraph"/>
              <w:spacing w:after="0" w:line="240" w:lineRule="auto"/>
              <w:ind w:firstLine="0"/>
              <w:jc w:val="center"/>
              <w:rPr>
                <w:sz w:val="20"/>
                <w:szCs w:val="20"/>
              </w:rPr>
            </w:pPr>
            <w:r>
              <w:rPr>
                <w:sz w:val="20"/>
                <w:szCs w:val="20"/>
              </w:rPr>
              <w:t>0</w:t>
            </w:r>
          </w:p>
        </w:tc>
        <w:tc>
          <w:tcPr>
            <w:tcW w:w="1446" w:type="dxa"/>
          </w:tcPr>
          <w:p w:rsidR="002A0BB5" w:rsidRDefault="00C41F8F">
            <w:pPr>
              <w:pStyle w:val="Newparagraph"/>
              <w:spacing w:after="0" w:line="240" w:lineRule="auto"/>
              <w:ind w:firstLine="0"/>
              <w:jc w:val="center"/>
              <w:rPr>
                <w:sz w:val="20"/>
                <w:szCs w:val="20"/>
              </w:rPr>
            </w:pPr>
            <w:r>
              <w:rPr>
                <w:sz w:val="20"/>
                <w:szCs w:val="20"/>
              </w:rPr>
              <w:t>31</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15.994</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0.0001*</w:t>
            </w: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rPr>
            </w:pPr>
            <w:r>
              <w:rPr>
                <w:color w:val="000000"/>
                <w:sz w:val="20"/>
                <w:szCs w:val="20"/>
              </w:rPr>
              <w:t>Others</w:t>
            </w:r>
          </w:p>
        </w:tc>
        <w:tc>
          <w:tcPr>
            <w:tcW w:w="1035" w:type="dxa"/>
          </w:tcPr>
          <w:p w:rsidR="002A0BB5" w:rsidRDefault="00C41F8F">
            <w:pPr>
              <w:pStyle w:val="Newparagraph"/>
              <w:spacing w:after="0" w:line="240" w:lineRule="auto"/>
              <w:ind w:firstLine="0"/>
              <w:jc w:val="center"/>
              <w:rPr>
                <w:sz w:val="20"/>
                <w:szCs w:val="20"/>
              </w:rPr>
            </w:pPr>
            <w:r>
              <w:rPr>
                <w:sz w:val="20"/>
                <w:szCs w:val="20"/>
              </w:rPr>
              <w:t>20</w:t>
            </w:r>
          </w:p>
        </w:tc>
        <w:tc>
          <w:tcPr>
            <w:tcW w:w="1446" w:type="dxa"/>
          </w:tcPr>
          <w:p w:rsidR="002A0BB5" w:rsidRDefault="00C41F8F">
            <w:pPr>
              <w:pStyle w:val="Newparagraph"/>
              <w:spacing w:after="0" w:line="240" w:lineRule="auto"/>
              <w:ind w:firstLine="0"/>
              <w:jc w:val="center"/>
              <w:rPr>
                <w:sz w:val="20"/>
                <w:szCs w:val="20"/>
              </w:rPr>
            </w:pPr>
            <w:r>
              <w:rPr>
                <w:sz w:val="20"/>
                <w:szCs w:val="20"/>
              </w:rPr>
              <w:t>13</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0.784</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0.376</w:t>
            </w:r>
          </w:p>
        </w:tc>
      </w:tr>
      <w:tr w:rsidR="002A0BB5">
        <w:tc>
          <w:tcPr>
            <w:tcW w:w="1697"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rPr>
                <w:color w:val="000000"/>
                <w:sz w:val="20"/>
                <w:szCs w:val="20"/>
              </w:rPr>
            </w:pPr>
            <w:r>
              <w:rPr>
                <w:color w:val="000000"/>
                <w:sz w:val="20"/>
                <w:szCs w:val="20"/>
              </w:rPr>
              <w:t>Never used BIM</w:t>
            </w:r>
          </w:p>
        </w:tc>
        <w:tc>
          <w:tcPr>
            <w:tcW w:w="1035" w:type="dxa"/>
          </w:tcPr>
          <w:p w:rsidR="002A0BB5" w:rsidRDefault="00C41F8F">
            <w:pPr>
              <w:pStyle w:val="Newparagraph"/>
              <w:spacing w:after="0" w:line="240" w:lineRule="auto"/>
              <w:ind w:firstLine="0"/>
              <w:jc w:val="center"/>
              <w:rPr>
                <w:sz w:val="20"/>
                <w:szCs w:val="20"/>
              </w:rPr>
            </w:pPr>
            <w:r>
              <w:rPr>
                <w:sz w:val="20"/>
                <w:szCs w:val="20"/>
              </w:rPr>
              <w:t>5</w:t>
            </w:r>
          </w:p>
        </w:tc>
        <w:tc>
          <w:tcPr>
            <w:tcW w:w="1446" w:type="dxa"/>
          </w:tcPr>
          <w:p w:rsidR="002A0BB5" w:rsidRDefault="00C41F8F">
            <w:pPr>
              <w:pStyle w:val="Newparagraph"/>
              <w:spacing w:after="0" w:line="240" w:lineRule="auto"/>
              <w:ind w:firstLine="0"/>
              <w:jc w:val="center"/>
              <w:rPr>
                <w:sz w:val="20"/>
                <w:szCs w:val="20"/>
              </w:rPr>
            </w:pPr>
            <w:r>
              <w:rPr>
                <w:sz w:val="20"/>
                <w:szCs w:val="20"/>
              </w:rPr>
              <w:t>27</w:t>
            </w:r>
          </w:p>
        </w:tc>
        <w:tc>
          <w:tcPr>
            <w:tcW w:w="1265"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left"/>
              <w:rPr>
                <w:color w:val="000000"/>
                <w:sz w:val="20"/>
                <w:szCs w:val="20"/>
              </w:rPr>
            </w:pPr>
            <w:r>
              <w:rPr>
                <w:color w:val="000000"/>
                <w:sz w:val="20"/>
                <w:szCs w:val="20"/>
              </w:rPr>
              <w:t xml:space="preserve">      7.872</w:t>
            </w:r>
          </w:p>
        </w:tc>
        <w:tc>
          <w:tcPr>
            <w:tcW w:w="867"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0.005*</w:t>
            </w:r>
          </w:p>
        </w:tc>
      </w:tr>
    </w:tbl>
    <w:p w:rsidR="002A0BB5" w:rsidRDefault="00C41F8F">
      <w:pPr>
        <w:pStyle w:val="Newparagraph"/>
        <w:spacing w:after="0" w:line="240" w:lineRule="auto"/>
        <w:ind w:firstLine="0"/>
        <w:rPr>
          <w:sz w:val="20"/>
          <w:szCs w:val="20"/>
        </w:rPr>
      </w:pPr>
      <w:r>
        <w:rPr>
          <w:sz w:val="20"/>
          <w:szCs w:val="20"/>
        </w:rPr>
        <w:t xml:space="preserve">*: </w:t>
      </w:r>
      <w:r>
        <w:rPr>
          <w:i/>
          <w:sz w:val="20"/>
          <w:szCs w:val="20"/>
        </w:rPr>
        <w:t>p</w:t>
      </w:r>
      <w:r>
        <w:rPr>
          <w:sz w:val="20"/>
          <w:szCs w:val="20"/>
        </w:rPr>
        <w:t xml:space="preserve"> value lower than 0.05 indicates significantly different percentages of Shanghai and Wenzhou respondents in using the certain type of BIM tool </w:t>
      </w: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C41F8F">
      <w:pPr>
        <w:spacing w:after="0" w:line="240" w:lineRule="auto"/>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4</w:t>
      </w:r>
      <w:r>
        <w:rPr>
          <w:rFonts w:eastAsiaTheme="minorEastAsia"/>
          <w:b/>
          <w:lang w:val="en-US" w:eastAsia="en-US"/>
        </w:rPr>
        <w:t>.</w:t>
      </w:r>
      <w:r>
        <w:rPr>
          <w:rFonts w:eastAsiaTheme="minorEastAsia"/>
          <w:lang w:val="en-US" w:eastAsia="en-US"/>
        </w:rPr>
        <w:t xml:space="preserve"> Survey results of perceptions on Benefits in BIM adoption </w:t>
      </w:r>
    </w:p>
    <w:tbl>
      <w:tblPr>
        <w:tblStyle w:val="TableGrid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51"/>
        <w:gridCol w:w="850"/>
        <w:gridCol w:w="992"/>
        <w:gridCol w:w="851"/>
        <w:gridCol w:w="709"/>
        <w:gridCol w:w="850"/>
      </w:tblGrid>
      <w:tr w:rsidR="002A0BB5">
        <w:tc>
          <w:tcPr>
            <w:tcW w:w="3544" w:type="dxa"/>
            <w:vMerge w:val="restart"/>
            <w:tcBorders>
              <w:top w:val="single" w:sz="12" w:space="0" w:color="auto"/>
            </w:tcBorders>
            <w:vAlign w:val="bottom"/>
          </w:tcPr>
          <w:p w:rsidR="002A0BB5" w:rsidRPr="00B74884" w:rsidRDefault="00C41F8F">
            <w:pPr>
              <w:spacing w:after="0" w:line="240" w:lineRule="auto"/>
              <w:rPr>
                <w:rFonts w:eastAsiaTheme="minorEastAsia"/>
                <w:sz w:val="20"/>
                <w:szCs w:val="20"/>
                <w:lang w:eastAsia="en-US"/>
              </w:rPr>
            </w:pPr>
            <w:r w:rsidRPr="00B74884">
              <w:rPr>
                <w:rFonts w:eastAsiaTheme="minorEastAsia"/>
                <w:sz w:val="20"/>
                <w:szCs w:val="20"/>
                <w:lang w:eastAsia="en-US"/>
              </w:rPr>
              <w:t>Benefits</w:t>
            </w:r>
          </w:p>
        </w:tc>
        <w:tc>
          <w:tcPr>
            <w:tcW w:w="1701"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Shanghai respondents</w:t>
            </w:r>
          </w:p>
        </w:tc>
        <w:tc>
          <w:tcPr>
            <w:tcW w:w="1843"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Wenzhou respondents</w:t>
            </w:r>
          </w:p>
        </w:tc>
        <w:tc>
          <w:tcPr>
            <w:tcW w:w="1559"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Statistical test results</w:t>
            </w:r>
          </w:p>
        </w:tc>
      </w:tr>
      <w:tr w:rsidR="002A0BB5">
        <w:trPr>
          <w:trHeight w:val="161"/>
        </w:trPr>
        <w:tc>
          <w:tcPr>
            <w:tcW w:w="3544" w:type="dxa"/>
            <w:vMerge/>
            <w:tcBorders>
              <w:bottom w:val="single" w:sz="4" w:space="0" w:color="auto"/>
            </w:tcBorders>
          </w:tcPr>
          <w:p w:rsidR="002A0BB5" w:rsidRPr="00B74884" w:rsidRDefault="002A0BB5">
            <w:pPr>
              <w:spacing w:after="0" w:line="240" w:lineRule="auto"/>
              <w:rPr>
                <w:rFonts w:eastAsiaTheme="minorEastAsia"/>
                <w:b/>
                <w:sz w:val="20"/>
                <w:szCs w:val="20"/>
                <w:lang w:eastAsia="en-US"/>
              </w:rPr>
            </w:pP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992"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709"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t</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p</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B1. Reducing omissions and errors</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4.57</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0.90</w:t>
            </w:r>
          </w:p>
        </w:tc>
        <w:tc>
          <w:tcPr>
            <w:tcW w:w="992"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4.68</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0.47</w:t>
            </w:r>
          </w:p>
        </w:tc>
        <w:tc>
          <w:tcPr>
            <w:tcW w:w="709"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0.74</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0.461</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B2. Reducing rework</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4.25</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1.14</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4.61</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0.62</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1.80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0.076</w:t>
            </w:r>
          </w:p>
        </w:tc>
      </w:tr>
      <w:tr w:rsidR="002A0BB5">
        <w:trPr>
          <w:trHeight w:val="197"/>
        </w:trPr>
        <w:tc>
          <w:tcPr>
            <w:tcW w:w="3544" w:type="dxa"/>
            <w:vAlign w:val="bottom"/>
          </w:tcPr>
          <w:p w:rsidR="002A0BB5" w:rsidRPr="00B74884" w:rsidRDefault="00C41F8F">
            <w:pPr>
              <w:spacing w:after="0" w:line="240" w:lineRule="auto"/>
              <w:rPr>
                <w:rFonts w:eastAsiaTheme="minorEastAsia"/>
                <w:color w:val="000000"/>
                <w:sz w:val="20"/>
                <w:szCs w:val="20"/>
                <w:vertAlign w:val="superscript"/>
                <w:lang w:eastAsia="en-US"/>
              </w:rPr>
            </w:pPr>
            <w:r w:rsidRPr="00B74884">
              <w:rPr>
                <w:rFonts w:eastAsiaTheme="minorEastAsia"/>
                <w:color w:val="000000"/>
                <w:sz w:val="20"/>
                <w:szCs w:val="20"/>
                <w:lang w:eastAsia="en-US"/>
              </w:rPr>
              <w:t>B3. Better project quality</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4.33</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0.93</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4.55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0.59</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1.29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0.201</w:t>
            </w:r>
          </w:p>
        </w:tc>
      </w:tr>
      <w:tr w:rsidR="002A0BB5">
        <w:trPr>
          <w:trHeight w:val="197"/>
        </w:trPr>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B4</w:t>
            </w:r>
            <w:r w:rsidRPr="00B74884">
              <w:rPr>
                <w:sz w:val="20"/>
                <w:szCs w:val="20"/>
                <w:lang w:eastAsia="en-US"/>
              </w:rPr>
              <w:t xml:space="preserve">. </w:t>
            </w:r>
            <w:r w:rsidRPr="00B74884">
              <w:rPr>
                <w:rFonts w:eastAsiaTheme="minorEastAsia"/>
                <w:color w:val="000000"/>
                <w:sz w:val="20"/>
                <w:szCs w:val="20"/>
                <w:lang w:eastAsia="en-US"/>
              </w:rPr>
              <w:t>Offering new services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4.27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1.01</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4.29</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0.65</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0.902</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B5. Marketing new business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1.15</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4.22</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0.85</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1.68</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0.097</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B6. Easier for newly-hired staff to understand the ongoing project</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3.93</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1.04</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0.91</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0.10</w:t>
            </w:r>
          </w:p>
          <w:p w:rsidR="002A0BB5" w:rsidRPr="00B74884" w:rsidRDefault="002A0BB5">
            <w:pPr>
              <w:spacing w:after="0" w:line="240" w:lineRule="auto"/>
              <w:jc w:val="center"/>
              <w:rPr>
                <w:rFonts w:eastAsiaTheme="minorEastAsia"/>
                <w:sz w:val="20"/>
                <w:szCs w:val="20"/>
                <w:lang w:eastAsia="en-US"/>
              </w:rPr>
            </w:pP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0.923</w:t>
            </w:r>
          </w:p>
          <w:p w:rsidR="002A0BB5" w:rsidRPr="00B74884" w:rsidRDefault="002A0BB5">
            <w:pPr>
              <w:spacing w:after="0" w:line="240" w:lineRule="auto"/>
              <w:jc w:val="center"/>
              <w:rPr>
                <w:rFonts w:eastAsiaTheme="minorEastAsia"/>
                <w:sz w:val="20"/>
                <w:szCs w:val="20"/>
                <w:lang w:eastAsia="en-US"/>
              </w:rPr>
            </w:pP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B7. Reducing construction cost</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3.88</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1.00</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0.91</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0.809</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B8. Increasing profits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1.00</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4.05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0.78</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1.30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0.196</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B9. Maintaining business relationships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3.75</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0.94</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3.86</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0.98</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0.607</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B10. Reducing overall project duration</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3.73</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1.16</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3.90</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0.80</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0.429</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B11. Reducing time of workflows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3.57</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0.34</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B12. Fewer claims/litigations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3.64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3.41</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0.72</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1.22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0.226</w:t>
            </w:r>
          </w:p>
        </w:tc>
      </w:tr>
      <w:tr w:rsidR="002A0BB5">
        <w:tc>
          <w:tcPr>
            <w:tcW w:w="3544" w:type="dxa"/>
            <w:tcBorders>
              <w:bottom w:val="single" w:sz="4" w:space="0" w:color="auto"/>
            </w:tcBorders>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B13. Recruiting and retaining employees</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3.30</w:t>
            </w:r>
          </w:p>
        </w:tc>
        <w:tc>
          <w:tcPr>
            <w:tcW w:w="850"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0.94</w:t>
            </w:r>
          </w:p>
        </w:tc>
        <w:tc>
          <w:tcPr>
            <w:tcW w:w="992"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3.38</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0.63</w:t>
            </w:r>
          </w:p>
        </w:tc>
        <w:tc>
          <w:tcPr>
            <w:tcW w:w="709"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0.42</w:t>
            </w:r>
          </w:p>
        </w:tc>
        <w:tc>
          <w:tcPr>
            <w:tcW w:w="850"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0.676</w:t>
            </w:r>
          </w:p>
        </w:tc>
      </w:tr>
    </w:tbl>
    <w:p w:rsidR="002A0BB5" w:rsidRDefault="002A0BB5">
      <w:pPr>
        <w:pStyle w:val="Newparagraph"/>
        <w:spacing w:after="0"/>
        <w:ind w:firstLine="0"/>
        <w:rPr>
          <w:bCs/>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2A0BB5">
      <w:pPr>
        <w:pStyle w:val="Newparagraph"/>
        <w:spacing w:after="0" w:line="240" w:lineRule="auto"/>
        <w:ind w:firstLine="0"/>
        <w:rPr>
          <w:sz w:val="20"/>
          <w:szCs w:val="20"/>
        </w:rPr>
      </w:pPr>
    </w:p>
    <w:p w:rsidR="002A0BB5" w:rsidRDefault="00C41F8F">
      <w:pPr>
        <w:spacing w:after="0" w:line="240" w:lineRule="auto"/>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5</w:t>
      </w:r>
      <w:r>
        <w:rPr>
          <w:rFonts w:eastAsiaTheme="minorEastAsia"/>
          <w:lang w:val="en-US" w:eastAsia="en-US"/>
        </w:rPr>
        <w:t>. RII-based ranking of BIM benefit items</w:t>
      </w:r>
    </w:p>
    <w:tbl>
      <w:tblPr>
        <w:tblStyle w:val="TableGrid2"/>
        <w:tblW w:w="7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529"/>
        <w:gridCol w:w="655"/>
        <w:gridCol w:w="595"/>
        <w:gridCol w:w="576"/>
        <w:gridCol w:w="615"/>
        <w:gridCol w:w="615"/>
        <w:gridCol w:w="595"/>
        <w:gridCol w:w="595"/>
        <w:gridCol w:w="656"/>
        <w:gridCol w:w="615"/>
        <w:gridCol w:w="635"/>
        <w:gridCol w:w="635"/>
        <w:gridCol w:w="635"/>
      </w:tblGrid>
      <w:tr w:rsidR="002A0BB5">
        <w:tc>
          <w:tcPr>
            <w:tcW w:w="529" w:type="dxa"/>
            <w:vMerge w:val="restart"/>
            <w:tcBorders>
              <w:top w:val="single" w:sz="12" w:space="0" w:color="auto"/>
              <w:bottom w:val="single" w:sz="4" w:space="0" w:color="auto"/>
            </w:tcBorders>
            <w:tcMar>
              <w:left w:w="72" w:type="dxa"/>
              <w:right w:w="72" w:type="dxa"/>
            </w:tcMar>
            <w:vAlign w:val="bottom"/>
          </w:tcPr>
          <w:p w:rsidR="002A0BB5" w:rsidRPr="00B74884" w:rsidRDefault="00C41F8F">
            <w:pPr>
              <w:spacing w:after="0" w:line="240" w:lineRule="auto"/>
              <w:rPr>
                <w:rFonts w:eastAsiaTheme="minorEastAsia"/>
                <w:sz w:val="20"/>
                <w:szCs w:val="20"/>
                <w:lang w:eastAsia="en-US"/>
              </w:rPr>
            </w:pPr>
            <w:r w:rsidRPr="00B74884">
              <w:rPr>
                <w:rFonts w:eastAsiaTheme="minorEastAsia"/>
                <w:sz w:val="20"/>
                <w:szCs w:val="20"/>
                <w:lang w:eastAsia="en-US"/>
              </w:rPr>
              <w:t xml:space="preserve">Item </w:t>
            </w:r>
          </w:p>
        </w:tc>
        <w:tc>
          <w:tcPr>
            <w:tcW w:w="2441"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Shanghai Respondents</w:t>
            </w:r>
          </w:p>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Overall CA* Value: 0.918</w:t>
            </w:r>
          </w:p>
        </w:tc>
        <w:tc>
          <w:tcPr>
            <w:tcW w:w="2461"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Wenzhou Respondents Overall CA Value: 0.809</w:t>
            </w:r>
          </w:p>
        </w:tc>
        <w:tc>
          <w:tcPr>
            <w:tcW w:w="2520" w:type="dxa"/>
            <w:gridSpan w:val="4"/>
            <w:tcBorders>
              <w:top w:val="single" w:sz="12" w:space="0" w:color="auto"/>
              <w:bottom w:val="single" w:sz="4" w:space="0" w:color="auto"/>
            </w:tcBorders>
          </w:tcPr>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Overall sample                        Overall CA Value: 0.897</w:t>
            </w:r>
          </w:p>
        </w:tc>
      </w:tr>
      <w:tr w:rsidR="002A0BB5">
        <w:trPr>
          <w:trHeight w:val="197"/>
        </w:trPr>
        <w:tc>
          <w:tcPr>
            <w:tcW w:w="529" w:type="dxa"/>
            <w:vMerge/>
            <w:tcBorders>
              <w:top w:val="single" w:sz="4" w:space="0" w:color="auto"/>
              <w:bottom w:val="single" w:sz="4" w:space="0" w:color="auto"/>
            </w:tcBorders>
            <w:tcMar>
              <w:left w:w="72" w:type="dxa"/>
              <w:right w:w="72" w:type="dxa"/>
            </w:tcMar>
          </w:tcPr>
          <w:p w:rsidR="002A0BB5" w:rsidRPr="00B74884" w:rsidRDefault="002A0BB5">
            <w:pPr>
              <w:spacing w:after="0" w:line="240" w:lineRule="auto"/>
              <w:rPr>
                <w:rFonts w:eastAsiaTheme="minorEastAsia"/>
                <w:b/>
                <w:sz w:val="20"/>
                <w:szCs w:val="20"/>
                <w:lang w:eastAsia="en-US"/>
              </w:rPr>
            </w:pPr>
          </w:p>
        </w:tc>
        <w:tc>
          <w:tcPr>
            <w:tcW w:w="655"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i/>
                <w:sz w:val="20"/>
                <w:szCs w:val="20"/>
                <w:lang w:eastAsia="en-US"/>
              </w:rPr>
            </w:pPr>
            <w:r w:rsidRPr="00B74884">
              <w:rPr>
                <w:rFonts w:eastAsiaTheme="minorEastAsia"/>
                <w:i/>
                <w:sz w:val="20"/>
                <w:szCs w:val="20"/>
                <w:lang w:eastAsia="en-US"/>
              </w:rPr>
              <w:t>RII</w:t>
            </w:r>
          </w:p>
        </w:tc>
        <w:tc>
          <w:tcPr>
            <w:tcW w:w="595"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576"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ITC*</w:t>
            </w:r>
          </w:p>
        </w:tc>
        <w:tc>
          <w:tcPr>
            <w:tcW w:w="615"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615"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i/>
                <w:sz w:val="20"/>
                <w:szCs w:val="20"/>
                <w:lang w:eastAsia="en-US"/>
              </w:rPr>
            </w:pPr>
            <w:r w:rsidRPr="00B74884">
              <w:rPr>
                <w:rFonts w:eastAsiaTheme="minorEastAsia"/>
                <w:i/>
                <w:sz w:val="20"/>
                <w:szCs w:val="20"/>
                <w:lang w:eastAsia="en-US"/>
              </w:rPr>
              <w:t>RII</w:t>
            </w:r>
          </w:p>
        </w:tc>
        <w:tc>
          <w:tcPr>
            <w:tcW w:w="595"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595"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ITC</w:t>
            </w:r>
          </w:p>
        </w:tc>
        <w:tc>
          <w:tcPr>
            <w:tcW w:w="656"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615"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i/>
                <w:sz w:val="20"/>
                <w:szCs w:val="20"/>
                <w:lang w:eastAsia="en-US"/>
              </w:rPr>
            </w:pPr>
            <w:r w:rsidRPr="00B74884">
              <w:rPr>
                <w:rFonts w:eastAsiaTheme="minorEastAsia"/>
                <w:i/>
                <w:sz w:val="20"/>
                <w:szCs w:val="20"/>
                <w:lang w:eastAsia="en-US"/>
              </w:rPr>
              <w:t xml:space="preserve">RII    </w:t>
            </w:r>
          </w:p>
        </w:tc>
        <w:tc>
          <w:tcPr>
            <w:tcW w:w="635"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635"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ITC</w:t>
            </w:r>
          </w:p>
        </w:tc>
        <w:tc>
          <w:tcPr>
            <w:tcW w:w="635"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r>
      <w:tr w:rsidR="002A0BB5">
        <w:trPr>
          <w:trHeight w:val="70"/>
        </w:trPr>
        <w:tc>
          <w:tcPr>
            <w:tcW w:w="529" w:type="dxa"/>
            <w:tcBorders>
              <w:top w:val="single" w:sz="4" w:space="0" w:color="auto"/>
            </w:tcBorders>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B1</w:t>
            </w:r>
          </w:p>
        </w:tc>
        <w:tc>
          <w:tcPr>
            <w:tcW w:w="655" w:type="dxa"/>
            <w:tcBorders>
              <w:top w:val="single" w:sz="4" w:space="0" w:color="auto"/>
            </w:tcBorders>
            <w:tcMar>
              <w:left w:w="72" w:type="dxa"/>
              <w:right w:w="72" w:type="dxa"/>
            </w:tcMa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0.914</w:t>
            </w:r>
          </w:p>
        </w:tc>
        <w:tc>
          <w:tcPr>
            <w:tcW w:w="595" w:type="dxa"/>
            <w:tcBorders>
              <w:top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w:t>
            </w:r>
          </w:p>
        </w:tc>
        <w:tc>
          <w:tcPr>
            <w:tcW w:w="576"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0.610</w:t>
            </w:r>
          </w:p>
        </w:tc>
        <w:tc>
          <w:tcPr>
            <w:tcW w:w="615"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0.913</w:t>
            </w:r>
          </w:p>
        </w:tc>
        <w:tc>
          <w:tcPr>
            <w:tcW w:w="615"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zh-CN"/>
              </w:rPr>
            </w:pPr>
            <w:r w:rsidRPr="00B74884">
              <w:rPr>
                <w:color w:val="000000"/>
                <w:sz w:val="18"/>
                <w:szCs w:val="18"/>
                <w:lang w:eastAsia="en-US"/>
              </w:rPr>
              <w:t>0.936</w:t>
            </w:r>
          </w:p>
        </w:tc>
        <w:tc>
          <w:tcPr>
            <w:tcW w:w="595" w:type="dxa"/>
            <w:tcBorders>
              <w:top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w:t>
            </w:r>
          </w:p>
        </w:tc>
        <w:tc>
          <w:tcPr>
            <w:tcW w:w="595"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0.332</w:t>
            </w:r>
          </w:p>
        </w:tc>
        <w:tc>
          <w:tcPr>
            <w:tcW w:w="656"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0.805</w:t>
            </w:r>
          </w:p>
        </w:tc>
        <w:tc>
          <w:tcPr>
            <w:tcW w:w="615" w:type="dxa"/>
            <w:tcBorders>
              <w:top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0.925</w:t>
            </w:r>
          </w:p>
        </w:tc>
        <w:tc>
          <w:tcPr>
            <w:tcW w:w="635" w:type="dxa"/>
            <w:tcBorders>
              <w:top w:val="single" w:sz="4" w:space="0" w:color="auto"/>
            </w:tcBorders>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w:t>
            </w:r>
          </w:p>
        </w:tc>
        <w:tc>
          <w:tcPr>
            <w:tcW w:w="635"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0.567</w:t>
            </w:r>
          </w:p>
        </w:tc>
        <w:tc>
          <w:tcPr>
            <w:tcW w:w="635"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0.890</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B2</w:t>
            </w:r>
          </w:p>
        </w:tc>
        <w:tc>
          <w:tcPr>
            <w:tcW w:w="655" w:type="dxa"/>
            <w:tcMar>
              <w:left w:w="72" w:type="dxa"/>
              <w:right w:w="72" w:type="dxa"/>
            </w:tcMa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0.850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4</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0.592</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0.915</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0.922</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2</w:t>
            </w:r>
          </w:p>
        </w:tc>
        <w:tc>
          <w:tcPr>
            <w:tcW w:w="595" w:type="dxa"/>
          </w:tcPr>
          <w:p w:rsidR="002A0BB5" w:rsidRPr="00B74884" w:rsidRDefault="00C41F8F">
            <w:pPr>
              <w:spacing w:after="0" w:line="240" w:lineRule="auto"/>
              <w:jc w:val="center"/>
              <w:rPr>
                <w:rFonts w:eastAsiaTheme="minorEastAsia"/>
                <w:b/>
                <w:sz w:val="18"/>
                <w:szCs w:val="18"/>
                <w:lang w:eastAsia="zh-CN"/>
              </w:rPr>
            </w:pPr>
            <w:r w:rsidRPr="00B74884">
              <w:rPr>
                <w:rFonts w:eastAsiaTheme="minorEastAsia"/>
                <w:b/>
                <w:sz w:val="18"/>
                <w:szCs w:val="18"/>
                <w:lang w:eastAsia="zh-CN"/>
              </w:rPr>
              <w:t>0.200</w:t>
            </w:r>
          </w:p>
        </w:tc>
        <w:tc>
          <w:tcPr>
            <w:tcW w:w="656" w:type="dxa"/>
          </w:tcPr>
          <w:p w:rsidR="002A0BB5" w:rsidRPr="00B74884" w:rsidRDefault="00C41F8F">
            <w:pPr>
              <w:spacing w:after="0" w:line="240" w:lineRule="auto"/>
              <w:jc w:val="center"/>
              <w:rPr>
                <w:rFonts w:eastAsiaTheme="minorEastAsia"/>
                <w:b/>
                <w:sz w:val="18"/>
                <w:szCs w:val="18"/>
                <w:lang w:eastAsia="zh-CN"/>
              </w:rPr>
            </w:pPr>
            <w:r w:rsidRPr="00B74884">
              <w:rPr>
                <w:rFonts w:eastAsiaTheme="minorEastAsia"/>
                <w:b/>
                <w:sz w:val="18"/>
                <w:szCs w:val="18"/>
                <w:lang w:eastAsia="zh-CN"/>
              </w:rPr>
              <w:t>0.813</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0.885</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3</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0.524</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0.893</w:t>
            </w:r>
          </w:p>
        </w:tc>
      </w:tr>
      <w:tr w:rsidR="002A0BB5">
        <w:trPr>
          <w:trHeight w:val="9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B3</w:t>
            </w:r>
          </w:p>
        </w:tc>
        <w:tc>
          <w:tcPr>
            <w:tcW w:w="655" w:type="dxa"/>
            <w:tcMar>
              <w:left w:w="72" w:type="dxa"/>
              <w:right w:w="72" w:type="dxa"/>
            </w:tcMa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0.866</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2</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0.683</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0.911</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0.910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3</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0.361</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0.802</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0.887</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0.625</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0.888</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B4</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0.854</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3</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0.693</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0.910</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0.858</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4</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0.468</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0.794</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0.855</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4</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0.640</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0.887</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B5</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0.768</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7</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0.554</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0.915</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0.844</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5</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0.416</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0.798</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0.802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5</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0.532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0.892</w:t>
            </w:r>
          </w:p>
        </w:tc>
      </w:tr>
      <w:tr w:rsidR="002A0BB5">
        <w:trPr>
          <w:trHeight w:val="246"/>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B6</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0.786</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5</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0.694</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0.910</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0.790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7</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0.532</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0.788</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0.788</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6</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0.635</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0.887</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B7</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0.776</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6</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0.657</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0.911</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0.766</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10</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0.716</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0.770</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0.772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8</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0.662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0.886</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B8</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0.760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8</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0.705</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0.910</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0.810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6</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0.483</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0.793</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0.783</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7</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0.647</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0.887</w:t>
            </w:r>
          </w:p>
        </w:tc>
      </w:tr>
      <w:tr w:rsidR="002A0BB5">
        <w:trPr>
          <w:trHeight w:val="266"/>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B9</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0.750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10</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0.643</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0.912</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0.772</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9</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0.613</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0.779</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0.760</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10</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0.612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0.888</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B10</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0.746</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11</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0.657</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0.912</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0.780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8</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0.696</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0.775</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0.763</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9</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0.672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0.885</w:t>
            </w:r>
          </w:p>
        </w:tc>
      </w:tr>
      <w:tr w:rsidR="002A0BB5">
        <w:trPr>
          <w:trHeight w:val="70"/>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B11</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0.760</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8</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0.689</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0.910</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0.714</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11</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0.467</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0.796</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0.737</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11</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0.604</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0.889</w:t>
            </w:r>
          </w:p>
        </w:tc>
      </w:tr>
      <w:tr w:rsidR="002A0BB5">
        <w:trPr>
          <w:trHeight w:val="246"/>
        </w:trPr>
        <w:tc>
          <w:tcPr>
            <w:tcW w:w="529"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B12</w:t>
            </w:r>
          </w:p>
        </w:tc>
        <w:tc>
          <w:tcPr>
            <w:tcW w:w="655" w:type="dxa"/>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0.728</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12</w:t>
            </w:r>
          </w:p>
        </w:tc>
        <w:tc>
          <w:tcPr>
            <w:tcW w:w="576"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0.669</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0.911</w:t>
            </w:r>
          </w:p>
        </w:tc>
        <w:tc>
          <w:tcPr>
            <w:tcW w:w="615"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0.682</w:t>
            </w:r>
          </w:p>
        </w:tc>
        <w:tc>
          <w:tcPr>
            <w:tcW w:w="595" w:type="dxa"/>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12</w:t>
            </w:r>
          </w:p>
        </w:tc>
        <w:tc>
          <w:tcPr>
            <w:tcW w:w="59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0.365</w:t>
            </w:r>
          </w:p>
        </w:tc>
        <w:tc>
          <w:tcPr>
            <w:tcW w:w="656"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0.802</w:t>
            </w:r>
          </w:p>
        </w:tc>
        <w:tc>
          <w:tcPr>
            <w:tcW w:w="615"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0.706</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12</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0.564</w:t>
            </w:r>
          </w:p>
        </w:tc>
        <w:tc>
          <w:tcPr>
            <w:tcW w:w="635" w:type="dxa"/>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0.890</w:t>
            </w:r>
          </w:p>
        </w:tc>
      </w:tr>
      <w:tr w:rsidR="002A0BB5">
        <w:trPr>
          <w:trHeight w:val="226"/>
        </w:trPr>
        <w:tc>
          <w:tcPr>
            <w:tcW w:w="529" w:type="dxa"/>
            <w:tcBorders>
              <w:bottom w:val="single" w:sz="4" w:space="0" w:color="auto"/>
            </w:tcBorders>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 xml:space="preserve">B13 </w:t>
            </w:r>
          </w:p>
        </w:tc>
        <w:tc>
          <w:tcPr>
            <w:tcW w:w="655" w:type="dxa"/>
            <w:tcBorders>
              <w:bottom w:val="single" w:sz="4" w:space="0" w:color="auto"/>
            </w:tcBorders>
            <w:tcMar>
              <w:left w:w="72" w:type="dxa"/>
              <w:right w:w="72" w:type="dxa"/>
            </w:tcMar>
          </w:tcPr>
          <w:p w:rsidR="002A0BB5" w:rsidRPr="00B74884" w:rsidRDefault="00C41F8F">
            <w:pPr>
              <w:spacing w:after="0" w:line="240" w:lineRule="auto"/>
              <w:rPr>
                <w:sz w:val="18"/>
                <w:szCs w:val="18"/>
                <w:lang w:eastAsia="en-US"/>
              </w:rPr>
            </w:pPr>
            <w:r w:rsidRPr="00B74884">
              <w:rPr>
                <w:sz w:val="18"/>
                <w:szCs w:val="18"/>
                <w:lang w:eastAsia="en-US"/>
              </w:rPr>
              <w:t>0.660</w:t>
            </w:r>
          </w:p>
        </w:tc>
        <w:tc>
          <w:tcPr>
            <w:tcW w:w="595" w:type="dxa"/>
            <w:tcBorders>
              <w:bottom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13</w:t>
            </w:r>
          </w:p>
        </w:tc>
        <w:tc>
          <w:tcPr>
            <w:tcW w:w="576"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0.641</w:t>
            </w:r>
          </w:p>
        </w:tc>
        <w:tc>
          <w:tcPr>
            <w:tcW w:w="615"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0.912</w:t>
            </w:r>
          </w:p>
        </w:tc>
        <w:tc>
          <w:tcPr>
            <w:tcW w:w="615"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0.676</w:t>
            </w:r>
          </w:p>
        </w:tc>
        <w:tc>
          <w:tcPr>
            <w:tcW w:w="595" w:type="dxa"/>
            <w:tcBorders>
              <w:bottom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13</w:t>
            </w:r>
          </w:p>
        </w:tc>
        <w:tc>
          <w:tcPr>
            <w:tcW w:w="595" w:type="dxa"/>
            <w:tcBorders>
              <w:bottom w:val="single" w:sz="4" w:space="0" w:color="auto"/>
            </w:tcBorders>
          </w:tcPr>
          <w:p w:rsidR="002A0BB5" w:rsidRPr="00B74884" w:rsidRDefault="00C41F8F">
            <w:pPr>
              <w:spacing w:after="0" w:line="240" w:lineRule="auto"/>
              <w:jc w:val="center"/>
              <w:rPr>
                <w:rFonts w:eastAsiaTheme="minorEastAsia"/>
                <w:b/>
                <w:sz w:val="18"/>
                <w:szCs w:val="18"/>
                <w:lang w:eastAsia="zh-CN"/>
              </w:rPr>
            </w:pPr>
            <w:r w:rsidRPr="00B74884">
              <w:rPr>
                <w:rFonts w:eastAsiaTheme="minorEastAsia"/>
                <w:b/>
                <w:sz w:val="18"/>
                <w:szCs w:val="18"/>
                <w:lang w:eastAsia="zh-CN"/>
              </w:rPr>
              <w:t>0.068</w:t>
            </w:r>
          </w:p>
        </w:tc>
        <w:tc>
          <w:tcPr>
            <w:tcW w:w="656" w:type="dxa"/>
            <w:tcBorders>
              <w:bottom w:val="single" w:sz="4" w:space="0" w:color="auto"/>
            </w:tcBorders>
          </w:tcPr>
          <w:p w:rsidR="002A0BB5" w:rsidRPr="00B74884" w:rsidRDefault="00C41F8F">
            <w:pPr>
              <w:spacing w:after="0" w:line="240" w:lineRule="auto"/>
              <w:jc w:val="center"/>
              <w:rPr>
                <w:rFonts w:eastAsiaTheme="minorEastAsia"/>
                <w:b/>
                <w:sz w:val="18"/>
                <w:szCs w:val="18"/>
                <w:lang w:eastAsia="zh-CN"/>
              </w:rPr>
            </w:pPr>
            <w:r w:rsidRPr="00B74884">
              <w:rPr>
                <w:rFonts w:eastAsiaTheme="minorEastAsia"/>
                <w:b/>
                <w:sz w:val="18"/>
                <w:szCs w:val="18"/>
                <w:lang w:eastAsia="zh-CN"/>
              </w:rPr>
              <w:t>0.821</w:t>
            </w:r>
          </w:p>
        </w:tc>
        <w:tc>
          <w:tcPr>
            <w:tcW w:w="615" w:type="dxa"/>
            <w:tcBorders>
              <w:bottom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0.668</w:t>
            </w:r>
          </w:p>
        </w:tc>
        <w:tc>
          <w:tcPr>
            <w:tcW w:w="635" w:type="dxa"/>
            <w:tcBorders>
              <w:bottom w:val="single" w:sz="4" w:space="0" w:color="auto"/>
            </w:tcBorders>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13</w:t>
            </w:r>
          </w:p>
        </w:tc>
        <w:tc>
          <w:tcPr>
            <w:tcW w:w="635" w:type="dxa"/>
            <w:tcBorders>
              <w:bottom w:val="single" w:sz="4" w:space="0" w:color="auto"/>
            </w:tcBorders>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0.503</w:t>
            </w:r>
          </w:p>
        </w:tc>
        <w:tc>
          <w:tcPr>
            <w:tcW w:w="635" w:type="dxa"/>
            <w:tcBorders>
              <w:bottom w:val="single" w:sz="4" w:space="0" w:color="auto"/>
            </w:tcBorders>
          </w:tcPr>
          <w:p w:rsidR="002A0BB5" w:rsidRPr="00B74884" w:rsidRDefault="00C41F8F">
            <w:pPr>
              <w:spacing w:after="0" w:line="240" w:lineRule="auto"/>
              <w:jc w:val="center"/>
              <w:rPr>
                <w:rFonts w:eastAsiaTheme="minorEastAsia"/>
                <w:sz w:val="18"/>
                <w:szCs w:val="18"/>
                <w:lang w:eastAsia="zh-CN"/>
              </w:rPr>
            </w:pPr>
            <w:r w:rsidRPr="00B74884">
              <w:rPr>
                <w:rFonts w:eastAsiaTheme="minorEastAsia"/>
                <w:sz w:val="18"/>
                <w:szCs w:val="18"/>
                <w:lang w:eastAsia="zh-CN"/>
              </w:rPr>
              <w:t>0.893</w:t>
            </w:r>
          </w:p>
        </w:tc>
      </w:tr>
    </w:tbl>
    <w:p w:rsidR="002A0BB5" w:rsidRDefault="00C41F8F">
      <w:pPr>
        <w:pStyle w:val="Newparagraph"/>
        <w:spacing w:after="0" w:line="240" w:lineRule="auto"/>
        <w:ind w:firstLine="0"/>
        <w:rPr>
          <w:bCs/>
          <w:sz w:val="20"/>
          <w:szCs w:val="20"/>
          <w:lang w:val="en-US"/>
        </w:rPr>
      </w:pPr>
      <w:r>
        <w:rPr>
          <w:bCs/>
          <w:sz w:val="20"/>
          <w:szCs w:val="20"/>
          <w:lang w:val="en-US"/>
        </w:rPr>
        <w:t xml:space="preserve">*: ITC stands for Item-total Correlation, and CA means Cronbach’s Alpha. The same abbreviations apply to follow-up tables. </w:t>
      </w: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2A0BB5">
      <w:pPr>
        <w:pStyle w:val="Newparagraph"/>
        <w:spacing w:after="0" w:line="240" w:lineRule="auto"/>
        <w:ind w:firstLine="0"/>
        <w:rPr>
          <w:bCs/>
          <w:sz w:val="20"/>
          <w:szCs w:val="20"/>
          <w:lang w:val="en-US"/>
        </w:rPr>
      </w:pPr>
    </w:p>
    <w:p w:rsidR="002A0BB5" w:rsidRDefault="00C41F8F">
      <w:pPr>
        <w:spacing w:after="0" w:line="240" w:lineRule="auto"/>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6</w:t>
      </w:r>
      <w:r>
        <w:rPr>
          <w:rFonts w:eastAsiaTheme="minorEastAsia"/>
          <w:b/>
          <w:lang w:val="en-US" w:eastAsia="en-US"/>
        </w:rPr>
        <w:t>.</w:t>
      </w:r>
      <w:r>
        <w:rPr>
          <w:rFonts w:eastAsiaTheme="minorEastAsia"/>
          <w:lang w:val="en-US" w:eastAsia="en-US"/>
        </w:rPr>
        <w:t xml:space="preserve"> Survey results of perceptions towards factors impacting BIM implementation </w:t>
      </w:r>
    </w:p>
    <w:tbl>
      <w:tblPr>
        <w:tblStyle w:val="TableGrid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51"/>
        <w:gridCol w:w="850"/>
        <w:gridCol w:w="992"/>
        <w:gridCol w:w="851"/>
        <w:gridCol w:w="709"/>
        <w:gridCol w:w="850"/>
      </w:tblGrid>
      <w:tr w:rsidR="002A0BB5">
        <w:tc>
          <w:tcPr>
            <w:tcW w:w="3544" w:type="dxa"/>
            <w:vMerge w:val="restart"/>
            <w:tcBorders>
              <w:top w:val="single" w:sz="12" w:space="0" w:color="auto"/>
            </w:tcBorders>
            <w:vAlign w:val="bottom"/>
          </w:tcPr>
          <w:p w:rsidR="002A0BB5" w:rsidRPr="00B74884" w:rsidRDefault="00C41F8F">
            <w:pPr>
              <w:spacing w:after="0" w:line="240" w:lineRule="auto"/>
              <w:rPr>
                <w:rFonts w:eastAsiaTheme="minorEastAsia"/>
                <w:sz w:val="20"/>
                <w:szCs w:val="20"/>
                <w:lang w:eastAsia="en-US"/>
              </w:rPr>
            </w:pPr>
            <w:r w:rsidRPr="00B74884">
              <w:rPr>
                <w:rFonts w:eastAsiaTheme="minorEastAsia"/>
                <w:sz w:val="20"/>
                <w:szCs w:val="20"/>
                <w:lang w:eastAsia="en-US"/>
              </w:rPr>
              <w:t>Factors</w:t>
            </w:r>
          </w:p>
        </w:tc>
        <w:tc>
          <w:tcPr>
            <w:tcW w:w="1701"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Shanghai respondents</w:t>
            </w:r>
          </w:p>
        </w:tc>
        <w:tc>
          <w:tcPr>
            <w:tcW w:w="1843"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Wenzhou respondents</w:t>
            </w:r>
          </w:p>
        </w:tc>
        <w:tc>
          <w:tcPr>
            <w:tcW w:w="1559"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Statistical test results</w:t>
            </w:r>
          </w:p>
        </w:tc>
      </w:tr>
      <w:tr w:rsidR="002A0BB5">
        <w:trPr>
          <w:trHeight w:val="161"/>
        </w:trPr>
        <w:tc>
          <w:tcPr>
            <w:tcW w:w="3544" w:type="dxa"/>
            <w:vMerge/>
            <w:tcBorders>
              <w:bottom w:val="single" w:sz="4" w:space="0" w:color="auto"/>
            </w:tcBorders>
          </w:tcPr>
          <w:p w:rsidR="002A0BB5" w:rsidRPr="00B74884" w:rsidRDefault="002A0BB5">
            <w:pPr>
              <w:spacing w:after="0" w:line="240" w:lineRule="auto"/>
              <w:rPr>
                <w:rFonts w:eastAsiaTheme="minorEastAsia"/>
                <w:b/>
                <w:sz w:val="20"/>
                <w:szCs w:val="20"/>
                <w:lang w:eastAsia="en-US"/>
              </w:rPr>
            </w:pP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992"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709"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t</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p</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F1. Interoperability of BIM software</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4.24</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0.83</w:t>
            </w:r>
          </w:p>
        </w:tc>
        <w:tc>
          <w:tcPr>
            <w:tcW w:w="992"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4.33</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0.61</w:t>
            </w:r>
          </w:p>
        </w:tc>
        <w:tc>
          <w:tcPr>
            <w:tcW w:w="709"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0.54</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0.589</w:t>
            </w:r>
          </w:p>
        </w:tc>
      </w:tr>
      <w:tr w:rsidR="002A0BB5">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 xml:space="preserve">F2. </w:t>
            </w:r>
            <w:r w:rsidRPr="00B74884">
              <w:rPr>
                <w:rFonts w:eastAsiaTheme="minorEastAsia"/>
                <w:color w:val="000000"/>
                <w:sz w:val="20"/>
                <w:szCs w:val="20"/>
                <w:lang w:eastAsia="zh-CN"/>
              </w:rPr>
              <w:t xml:space="preserve">Number of BIM - knowledgeable professionals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4.19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0.74</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0.88</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1.30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0.198</w:t>
            </w:r>
          </w:p>
        </w:tc>
      </w:tr>
      <w:tr w:rsidR="002A0BB5">
        <w:trPr>
          <w:trHeight w:val="197"/>
        </w:trPr>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 xml:space="preserve">F3. Project complexity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4.14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0.79</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4.31</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0.60</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0.278</w:t>
            </w:r>
          </w:p>
        </w:tc>
      </w:tr>
      <w:tr w:rsidR="002A0BB5">
        <w:trPr>
          <w:trHeight w:val="197"/>
        </w:trPr>
        <w:tc>
          <w:tcPr>
            <w:tcW w:w="3544" w:type="dxa"/>
            <w:vAlign w:val="bottom"/>
          </w:tcPr>
          <w:p w:rsidR="002A0BB5" w:rsidRPr="00B74884" w:rsidRDefault="00C41F8F">
            <w:pPr>
              <w:spacing w:after="0" w:line="240" w:lineRule="auto"/>
              <w:rPr>
                <w:rFonts w:eastAsiaTheme="minorEastAsia"/>
                <w:color w:val="000000"/>
                <w:sz w:val="20"/>
                <w:szCs w:val="20"/>
                <w:lang w:eastAsia="en-US"/>
              </w:rPr>
            </w:pPr>
            <w:r w:rsidRPr="00B74884">
              <w:rPr>
                <w:rFonts w:eastAsiaTheme="minorEastAsia"/>
                <w:color w:val="000000"/>
                <w:sz w:val="20"/>
                <w:szCs w:val="20"/>
                <w:lang w:eastAsia="en-US"/>
              </w:rPr>
              <w:t>F4. Clients’ knowledge on BIM</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4.06</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0.86</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3.60</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0.70</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2.56</w:t>
            </w:r>
          </w:p>
        </w:tc>
        <w:tc>
          <w:tcPr>
            <w:tcW w:w="850" w:type="dxa"/>
          </w:tcPr>
          <w:p w:rsidR="002A0BB5" w:rsidRPr="00B74884" w:rsidRDefault="00C41F8F">
            <w:pPr>
              <w:spacing w:after="0" w:line="240" w:lineRule="auto"/>
              <w:jc w:val="center"/>
              <w:rPr>
                <w:rFonts w:eastAsiaTheme="minorEastAsia"/>
                <w:b/>
                <w:sz w:val="20"/>
                <w:szCs w:val="20"/>
                <w:lang w:eastAsia="en-US"/>
              </w:rPr>
            </w:pPr>
            <w:r w:rsidRPr="00B74884">
              <w:rPr>
                <w:rFonts w:eastAsiaTheme="minorEastAsia"/>
                <w:b/>
                <w:sz w:val="20"/>
                <w:szCs w:val="20"/>
                <w:lang w:eastAsia="en-US"/>
              </w:rPr>
              <w:t>0.013*</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 xml:space="preserve">F5. Companies’ collaboration experience with project partners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0.91</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4.15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0.66</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0.96</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0.338</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F6. contents or type of contract encouraging or mandating BIM usage (e.g., integrated design and construction)</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0.66</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0.862</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F7. BIM technology consultants on the project team</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0.83</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3.81</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0.89</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0.574</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F8. The project nature (e.g., frequency of design changes)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1.09</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0.76</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0.28</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0.778</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F9. Project schedule</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3.71</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1.03</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4.00</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0.73</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1.40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0.166</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F10. Number of BIM-knowledgeable companies in the project</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3.67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0.99</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3.78</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0.83</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0.51</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0.608</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 xml:space="preserve">F11. Project budget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3.57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1.04</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3.93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0.78</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1.68</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0.098</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F12. Project size</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3.47</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1.08</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3.76</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0.82</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1.31</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0.193</w:t>
            </w:r>
          </w:p>
        </w:tc>
      </w:tr>
      <w:tr w:rsidR="002A0BB5">
        <w:tc>
          <w:tcPr>
            <w:tcW w:w="3544" w:type="dxa"/>
            <w:shd w:val="clear" w:color="auto" w:fill="auto"/>
          </w:tcPr>
          <w:p w:rsidR="002A0BB5" w:rsidRPr="00B74884" w:rsidRDefault="00C41F8F">
            <w:pPr>
              <w:pStyle w:val="ListParagraph1"/>
              <w:spacing w:after="0" w:line="240" w:lineRule="auto"/>
              <w:ind w:left="0"/>
              <w:rPr>
                <w:rFonts w:eastAsiaTheme="minorEastAsia"/>
                <w:color w:val="000000"/>
                <w:sz w:val="20"/>
                <w:szCs w:val="20"/>
                <w:lang w:eastAsia="en-US"/>
              </w:rPr>
            </w:pPr>
            <w:r w:rsidRPr="00B74884">
              <w:rPr>
                <w:rFonts w:eastAsia="SimSun"/>
                <w:sz w:val="20"/>
                <w:szCs w:val="20"/>
                <w:lang w:eastAsia="en-US"/>
              </w:rPr>
              <w:t>F13. Project geographic location</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3.14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3.12</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0.94</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0.923</w:t>
            </w:r>
          </w:p>
        </w:tc>
      </w:tr>
      <w:tr w:rsidR="002A0BB5">
        <w:tc>
          <w:tcPr>
            <w:tcW w:w="3544" w:type="dxa"/>
            <w:tcBorders>
              <w:bottom w:val="single" w:sz="4" w:space="0" w:color="auto"/>
            </w:tcBorders>
            <w:shd w:val="clear" w:color="auto" w:fill="auto"/>
          </w:tcPr>
          <w:p w:rsidR="002A0BB5" w:rsidRPr="00B74884" w:rsidRDefault="00C41F8F">
            <w:pPr>
              <w:pStyle w:val="ListParagraph1"/>
              <w:spacing w:after="0" w:line="240" w:lineRule="auto"/>
              <w:ind w:left="0"/>
              <w:rPr>
                <w:rFonts w:eastAsia="SimSun"/>
                <w:sz w:val="20"/>
                <w:szCs w:val="20"/>
                <w:lang w:eastAsia="en-US"/>
              </w:rPr>
            </w:pPr>
            <w:r w:rsidRPr="00B74884">
              <w:rPr>
                <w:rFonts w:eastAsia="SimSun"/>
                <w:sz w:val="20"/>
                <w:szCs w:val="20"/>
                <w:lang w:eastAsia="en-US"/>
              </w:rPr>
              <w:t xml:space="preserve">F14. Staff from different companies working in the same location </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3.00</w:t>
            </w:r>
          </w:p>
        </w:tc>
        <w:tc>
          <w:tcPr>
            <w:tcW w:w="850"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1.14</w:t>
            </w:r>
          </w:p>
        </w:tc>
        <w:tc>
          <w:tcPr>
            <w:tcW w:w="992"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3.48</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709"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1.96</w:t>
            </w:r>
          </w:p>
        </w:tc>
        <w:tc>
          <w:tcPr>
            <w:tcW w:w="850"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0.055</w:t>
            </w:r>
          </w:p>
        </w:tc>
      </w:tr>
    </w:tbl>
    <w:p w:rsidR="002A0BB5" w:rsidRDefault="00C41F8F">
      <w:pPr>
        <w:pStyle w:val="Newparagraph"/>
        <w:spacing w:after="0" w:line="240" w:lineRule="auto"/>
        <w:ind w:firstLine="0"/>
        <w:rPr>
          <w:rFonts w:eastAsiaTheme="minorEastAsia"/>
          <w:sz w:val="20"/>
          <w:szCs w:val="20"/>
          <w:lang w:val="en-US" w:eastAsia="en-US"/>
        </w:rPr>
      </w:pPr>
      <w:r>
        <w:rPr>
          <w:sz w:val="20"/>
          <w:szCs w:val="20"/>
        </w:rPr>
        <w:t xml:space="preserve">*: </w:t>
      </w:r>
      <w:r>
        <w:rPr>
          <w:rFonts w:eastAsiaTheme="minorEastAsia"/>
          <w:i/>
          <w:sz w:val="20"/>
          <w:szCs w:val="20"/>
          <w:lang w:val="en-US" w:eastAsia="en-US"/>
        </w:rPr>
        <w:t>p</w:t>
      </w:r>
      <w:r>
        <w:rPr>
          <w:rFonts w:eastAsiaTheme="minorEastAsia"/>
          <w:sz w:val="20"/>
          <w:szCs w:val="20"/>
          <w:lang w:val="en-US" w:eastAsia="en-US"/>
        </w:rPr>
        <w:t xml:space="preserve"> value lower than 0.05 indicates significantly different perceptions between </w:t>
      </w:r>
      <w:r>
        <w:rPr>
          <w:rFonts w:eastAsiaTheme="minorEastAsia"/>
          <w:sz w:val="20"/>
          <w:szCs w:val="20"/>
          <w:lang w:eastAsia="en-US"/>
        </w:rPr>
        <w:t>Shanghai</w:t>
      </w:r>
      <w:r>
        <w:rPr>
          <w:rFonts w:eastAsiaTheme="minorEastAsia"/>
          <w:sz w:val="20"/>
          <w:szCs w:val="20"/>
          <w:lang w:val="en-US" w:eastAsia="en-US"/>
        </w:rPr>
        <w:t xml:space="preserve"> and </w:t>
      </w:r>
      <w:r>
        <w:rPr>
          <w:rFonts w:eastAsiaTheme="minorEastAsia"/>
          <w:sz w:val="20"/>
          <w:szCs w:val="20"/>
          <w:lang w:eastAsia="en-US"/>
        </w:rPr>
        <w:t>Wenzhou</w:t>
      </w:r>
      <w:r>
        <w:rPr>
          <w:rFonts w:eastAsiaTheme="minorEastAsia"/>
          <w:sz w:val="20"/>
          <w:szCs w:val="20"/>
          <w:lang w:val="en-US" w:eastAsia="en-US"/>
        </w:rPr>
        <w:t xml:space="preserve"> respondents towards the given item. </w:t>
      </w: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pStyle w:val="Newparagraph"/>
        <w:spacing w:after="0" w:line="240" w:lineRule="auto"/>
        <w:ind w:firstLine="0"/>
        <w:jc w:val="both"/>
        <w:rPr>
          <w:rFonts w:eastAsiaTheme="minorEastAsia"/>
          <w:b/>
          <w:lang w:val="en-US" w:eastAsia="en-US"/>
        </w:rPr>
      </w:pPr>
    </w:p>
    <w:p w:rsidR="002A0BB5" w:rsidRDefault="00C41F8F">
      <w:pPr>
        <w:pStyle w:val="Newparagraph"/>
        <w:spacing w:after="0" w:line="240" w:lineRule="auto"/>
        <w:ind w:firstLine="0"/>
        <w:jc w:val="both"/>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7.</w:t>
      </w:r>
      <w:r>
        <w:rPr>
          <w:rFonts w:eastAsiaTheme="minorEastAsia"/>
          <w:lang w:val="en-US" w:eastAsia="en-US"/>
        </w:rPr>
        <w:t xml:space="preserve"> RII-based ranking of factors impacting BIM practice</w:t>
      </w:r>
    </w:p>
    <w:tbl>
      <w:tblPr>
        <w:tblStyle w:val="TableGrid2"/>
        <w:tblW w:w="8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594"/>
        <w:gridCol w:w="680"/>
        <w:gridCol w:w="660"/>
        <w:gridCol w:w="560"/>
        <w:gridCol w:w="640"/>
        <w:gridCol w:w="600"/>
        <w:gridCol w:w="600"/>
        <w:gridCol w:w="620"/>
        <w:gridCol w:w="600"/>
        <w:gridCol w:w="660"/>
        <w:gridCol w:w="600"/>
        <w:gridCol w:w="600"/>
        <w:gridCol w:w="600"/>
      </w:tblGrid>
      <w:tr w:rsidR="002A0BB5" w:rsidRPr="00B74884">
        <w:tc>
          <w:tcPr>
            <w:tcW w:w="594" w:type="dxa"/>
            <w:vMerge w:val="restart"/>
            <w:tcBorders>
              <w:top w:val="single" w:sz="12" w:space="0" w:color="auto"/>
              <w:bottom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Item</w:t>
            </w:r>
          </w:p>
        </w:tc>
        <w:tc>
          <w:tcPr>
            <w:tcW w:w="2540"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Shanghai Respondents</w:t>
            </w:r>
          </w:p>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Overall CA Value: 0.897</w:t>
            </w:r>
          </w:p>
        </w:tc>
        <w:tc>
          <w:tcPr>
            <w:tcW w:w="2420"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Wenzhou Respondents Overall CA Value: 0.838</w:t>
            </w:r>
          </w:p>
        </w:tc>
        <w:tc>
          <w:tcPr>
            <w:tcW w:w="2460" w:type="dxa"/>
            <w:gridSpan w:val="4"/>
            <w:tcBorders>
              <w:top w:val="single" w:sz="12" w:space="0" w:color="auto"/>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Overall sample                        Overall CA Value: 0.872</w:t>
            </w:r>
          </w:p>
        </w:tc>
      </w:tr>
      <w:tr w:rsidR="002A0BB5" w:rsidRPr="00B74884">
        <w:trPr>
          <w:trHeight w:val="197"/>
        </w:trPr>
        <w:tc>
          <w:tcPr>
            <w:tcW w:w="594" w:type="dxa"/>
            <w:vMerge/>
            <w:tcBorders>
              <w:top w:val="single" w:sz="4" w:space="0" w:color="auto"/>
              <w:bottom w:val="single" w:sz="4" w:space="0" w:color="auto"/>
            </w:tcBorders>
            <w:tcMar>
              <w:left w:w="72" w:type="dxa"/>
              <w:right w:w="72" w:type="dxa"/>
            </w:tcMar>
            <w:vAlign w:val="center"/>
          </w:tcPr>
          <w:p w:rsidR="002A0BB5" w:rsidRPr="00B74884" w:rsidRDefault="002A0BB5">
            <w:pPr>
              <w:spacing w:after="0" w:line="240" w:lineRule="auto"/>
              <w:jc w:val="center"/>
              <w:rPr>
                <w:rFonts w:eastAsiaTheme="minorEastAsia"/>
                <w:b/>
                <w:sz w:val="20"/>
                <w:szCs w:val="20"/>
                <w:lang w:eastAsia="en-US"/>
              </w:rPr>
            </w:pPr>
          </w:p>
        </w:tc>
        <w:tc>
          <w:tcPr>
            <w:tcW w:w="68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66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56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64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60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600" w:type="dxa"/>
            <w:tcBorders>
              <w:top w:val="single" w:sz="4" w:space="0" w:color="auto"/>
              <w:bottom w:val="single" w:sz="4" w:space="0" w:color="auto"/>
            </w:tcBorders>
            <w:tcMar>
              <w:left w:w="72" w:type="dxa"/>
              <w:right w:w="72" w:type="dxa"/>
            </w:tcMar>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62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60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66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60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60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600" w:type="dxa"/>
            <w:tcBorders>
              <w:top w:val="single" w:sz="4" w:space="0" w:color="auto"/>
              <w:bottom w:val="single" w:sz="4" w:space="0" w:color="auto"/>
            </w:tcBorders>
            <w:vAlign w:val="cente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r>
      <w:tr w:rsidR="002A0BB5" w:rsidRPr="00B74884">
        <w:trPr>
          <w:trHeight w:val="70"/>
        </w:trPr>
        <w:tc>
          <w:tcPr>
            <w:tcW w:w="594" w:type="dxa"/>
            <w:tcBorders>
              <w:top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w:t>
            </w:r>
          </w:p>
        </w:tc>
        <w:tc>
          <w:tcPr>
            <w:tcW w:w="680" w:type="dxa"/>
            <w:tcBorders>
              <w:top w:val="single" w:sz="4" w:space="0" w:color="auto"/>
            </w:tcBorders>
            <w:tcMar>
              <w:left w:w="72" w:type="dxa"/>
              <w:right w:w="72" w:type="dxa"/>
            </w:tcMar>
            <w:vAlign w:val="cente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0.848</w:t>
            </w:r>
          </w:p>
        </w:tc>
        <w:tc>
          <w:tcPr>
            <w:tcW w:w="660" w:type="dxa"/>
            <w:tcBorders>
              <w:top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w:t>
            </w:r>
          </w:p>
        </w:tc>
        <w:tc>
          <w:tcPr>
            <w:tcW w:w="560"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0.502</w:t>
            </w:r>
          </w:p>
        </w:tc>
        <w:tc>
          <w:tcPr>
            <w:tcW w:w="640"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0.893</w:t>
            </w:r>
          </w:p>
        </w:tc>
        <w:tc>
          <w:tcPr>
            <w:tcW w:w="600"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zh-CN"/>
              </w:rPr>
            </w:pPr>
            <w:r w:rsidRPr="00B74884">
              <w:rPr>
                <w:color w:val="000000"/>
                <w:sz w:val="18"/>
                <w:szCs w:val="18"/>
                <w:lang w:eastAsia="en-US"/>
              </w:rPr>
              <w:t>0.866</w:t>
            </w:r>
          </w:p>
        </w:tc>
        <w:tc>
          <w:tcPr>
            <w:tcW w:w="600" w:type="dxa"/>
            <w:tcBorders>
              <w:top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w:t>
            </w:r>
          </w:p>
        </w:tc>
        <w:tc>
          <w:tcPr>
            <w:tcW w:w="620"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0.293</w:t>
            </w:r>
          </w:p>
        </w:tc>
        <w:tc>
          <w:tcPr>
            <w:tcW w:w="600"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0.837</w:t>
            </w:r>
          </w:p>
        </w:tc>
        <w:tc>
          <w:tcPr>
            <w:tcW w:w="660" w:type="dxa"/>
            <w:tcBorders>
              <w:top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0.858</w:t>
            </w:r>
          </w:p>
        </w:tc>
        <w:tc>
          <w:tcPr>
            <w:tcW w:w="600" w:type="dxa"/>
            <w:tcBorders>
              <w:top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w:t>
            </w:r>
          </w:p>
        </w:tc>
        <w:tc>
          <w:tcPr>
            <w:tcW w:w="600"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0.418</w:t>
            </w:r>
          </w:p>
        </w:tc>
        <w:tc>
          <w:tcPr>
            <w:tcW w:w="600" w:type="dxa"/>
            <w:tcBorders>
              <w:top w:val="single" w:sz="4" w:space="0" w:color="auto"/>
            </w:tcBorders>
            <w:shd w:val="clear" w:color="auto" w:fill="auto"/>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0.869</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F2</w:t>
            </w:r>
          </w:p>
        </w:tc>
        <w:tc>
          <w:tcPr>
            <w:tcW w:w="680" w:type="dxa"/>
            <w:tcMar>
              <w:left w:w="72" w:type="dxa"/>
              <w:right w:w="72" w:type="dxa"/>
            </w:tcMar>
            <w:vAlign w:val="cente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0.838</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0.286</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0.900</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0.790</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5</w:t>
            </w:r>
          </w:p>
        </w:tc>
        <w:tc>
          <w:tcPr>
            <w:tcW w:w="620" w:type="dxa"/>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0.060</w:t>
            </w:r>
          </w:p>
        </w:tc>
        <w:tc>
          <w:tcPr>
            <w:tcW w:w="600" w:type="dxa"/>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0.852</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0.813</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3</w:t>
            </w:r>
          </w:p>
        </w:tc>
        <w:tc>
          <w:tcPr>
            <w:tcW w:w="600" w:type="dxa"/>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0.169</w:t>
            </w:r>
          </w:p>
        </w:tc>
        <w:tc>
          <w:tcPr>
            <w:tcW w:w="600" w:type="dxa"/>
            <w:vAlign w:val="center"/>
          </w:tcPr>
          <w:p w:rsidR="002A0BB5" w:rsidRPr="00B74884" w:rsidRDefault="00C41F8F">
            <w:pPr>
              <w:spacing w:after="0" w:line="240" w:lineRule="auto"/>
              <w:jc w:val="center"/>
              <w:rPr>
                <w:rFonts w:eastAsiaTheme="minorEastAsia"/>
                <w:b/>
                <w:bCs/>
                <w:sz w:val="18"/>
                <w:szCs w:val="18"/>
                <w:lang w:eastAsia="en-US"/>
              </w:rPr>
            </w:pPr>
            <w:r w:rsidRPr="00B74884">
              <w:rPr>
                <w:rFonts w:eastAsiaTheme="minorEastAsia"/>
                <w:b/>
                <w:bCs/>
                <w:sz w:val="18"/>
                <w:szCs w:val="18"/>
                <w:lang w:eastAsia="en-US"/>
              </w:rPr>
              <w:t>0.880</w:t>
            </w:r>
          </w:p>
        </w:tc>
      </w:tr>
      <w:tr w:rsidR="002A0BB5" w:rsidRPr="00B74884">
        <w:trPr>
          <w:trHeight w:val="9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F3</w:t>
            </w:r>
          </w:p>
        </w:tc>
        <w:tc>
          <w:tcPr>
            <w:tcW w:w="680" w:type="dxa"/>
            <w:tcMar>
              <w:left w:w="72" w:type="dxa"/>
              <w:right w:w="72" w:type="dxa"/>
            </w:tcMar>
            <w:vAlign w:val="center"/>
          </w:tcPr>
          <w:p w:rsidR="002A0BB5" w:rsidRPr="00B74884" w:rsidRDefault="00C41F8F">
            <w:pPr>
              <w:spacing w:after="0" w:line="240" w:lineRule="auto"/>
              <w:ind w:right="100"/>
              <w:rPr>
                <w:rFonts w:eastAsiaTheme="minorEastAsia"/>
                <w:color w:val="000000"/>
                <w:sz w:val="18"/>
                <w:szCs w:val="18"/>
                <w:lang w:eastAsia="en-US"/>
              </w:rPr>
            </w:pPr>
            <w:r w:rsidRPr="00B74884">
              <w:rPr>
                <w:rFonts w:eastAsiaTheme="minorEastAsia"/>
                <w:color w:val="000000"/>
                <w:sz w:val="18"/>
                <w:szCs w:val="18"/>
                <w:lang w:eastAsia="en-US"/>
              </w:rPr>
              <w:t>0.828</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3</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0.676</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0.887</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0.862</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0.292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0.837</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0.846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0.525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0.864</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F4</w:t>
            </w:r>
          </w:p>
        </w:tc>
        <w:tc>
          <w:tcPr>
            <w:tcW w:w="680" w:type="dxa"/>
            <w:tcMar>
              <w:left w:w="72" w:type="dxa"/>
              <w:right w:w="72" w:type="dxa"/>
            </w:tcMar>
            <w:vAlign w:val="center"/>
          </w:tcPr>
          <w:p w:rsidR="002A0BB5" w:rsidRPr="00B74884" w:rsidRDefault="00C41F8F">
            <w:pPr>
              <w:spacing w:after="0" w:line="240" w:lineRule="auto"/>
              <w:rPr>
                <w:sz w:val="18"/>
                <w:szCs w:val="18"/>
                <w:lang w:eastAsia="en-US"/>
              </w:rPr>
            </w:pPr>
            <w:r w:rsidRPr="00B74884">
              <w:rPr>
                <w:sz w:val="18"/>
                <w:szCs w:val="18"/>
                <w:lang w:eastAsia="en-US"/>
              </w:rPr>
              <w:t>0.812</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4</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0.485</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0.894</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0.720</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12</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0.557</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0.823</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0.762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8</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0.456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0.867</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F5</w:t>
            </w:r>
          </w:p>
        </w:tc>
        <w:tc>
          <w:tcPr>
            <w:tcW w:w="680" w:type="dxa"/>
            <w:tcMar>
              <w:left w:w="72" w:type="dxa"/>
              <w:right w:w="72" w:type="dxa"/>
            </w:tcMar>
            <w:vAlign w:val="center"/>
          </w:tcPr>
          <w:p w:rsidR="002A0BB5" w:rsidRPr="00B74884" w:rsidRDefault="00C41F8F">
            <w:pPr>
              <w:spacing w:after="0" w:line="240" w:lineRule="auto"/>
              <w:rPr>
                <w:sz w:val="18"/>
                <w:szCs w:val="18"/>
                <w:lang w:eastAsia="en-US"/>
              </w:rPr>
            </w:pPr>
            <w:r w:rsidRPr="00B74884">
              <w:rPr>
                <w:sz w:val="18"/>
                <w:szCs w:val="18"/>
                <w:lang w:eastAsia="en-US"/>
              </w:rPr>
              <w:t>0.794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5</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0.675</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0.886</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0.830</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3</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0.305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0.837</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0.813</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3</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0.526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0.864</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F6</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zh-CN"/>
              </w:rPr>
            </w:pPr>
            <w:r w:rsidRPr="00B74884">
              <w:rPr>
                <w:color w:val="000000"/>
                <w:sz w:val="18"/>
                <w:szCs w:val="18"/>
                <w:lang w:eastAsia="en-US"/>
              </w:rPr>
              <w:t>0.778</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7</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0.556</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0.891</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0.786</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0.558</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0.823</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0.782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0.558</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0.862</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F7</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0.784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0.689</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0.886</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0.762</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8</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0.511</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0.825</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0.772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7</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0.592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0.861</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F8</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0.754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8</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0.651</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0.887</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0.766</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0.568</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0.821</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0.761</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0.621</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0.858</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F9</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0.742</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0.585</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0.890</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0.800</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4</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0.574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0.821</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0.774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0.584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0.861</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F10</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0.734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10</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0.637</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0.887</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0.756</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0.544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0.823</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0.745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11</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0.595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0.860</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F11</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0.714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11</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0.665</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0.886</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0.786</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0.764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0.807</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0.753</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10</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0.705</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0.854</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F12</w:t>
            </w:r>
          </w:p>
        </w:tc>
        <w:tc>
          <w:tcPr>
            <w:tcW w:w="68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rPr>
                <w:color w:val="000000"/>
                <w:sz w:val="18"/>
                <w:szCs w:val="18"/>
                <w:lang w:eastAsia="en-US"/>
              </w:rPr>
            </w:pPr>
            <w:r w:rsidRPr="00B74884">
              <w:rPr>
                <w:color w:val="000000"/>
                <w:sz w:val="18"/>
                <w:szCs w:val="18"/>
                <w:lang w:eastAsia="en-US"/>
              </w:rPr>
              <w:t>0.694</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12</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0.728</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0.883</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0.752</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11</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0.583</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0.820</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0.726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12</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0.666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0.856</w:t>
            </w:r>
          </w:p>
        </w:tc>
      </w:tr>
      <w:tr w:rsidR="002A0BB5" w:rsidRPr="00B74884">
        <w:trPr>
          <w:trHeight w:val="70"/>
        </w:trPr>
        <w:tc>
          <w:tcPr>
            <w:tcW w:w="594" w:type="dxa"/>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F13</w:t>
            </w:r>
          </w:p>
        </w:tc>
        <w:tc>
          <w:tcPr>
            <w:tcW w:w="680" w:type="dxa"/>
            <w:tcBorders>
              <w:left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0.628</w:t>
            </w:r>
          </w:p>
        </w:tc>
        <w:tc>
          <w:tcPr>
            <w:tcW w:w="66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13</w:t>
            </w:r>
          </w:p>
        </w:tc>
        <w:tc>
          <w:tcPr>
            <w:tcW w:w="56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0.610</w:t>
            </w:r>
          </w:p>
        </w:tc>
        <w:tc>
          <w:tcPr>
            <w:tcW w:w="64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0.889</w:t>
            </w:r>
          </w:p>
        </w:tc>
        <w:tc>
          <w:tcPr>
            <w:tcW w:w="600"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0.624</w:t>
            </w:r>
          </w:p>
        </w:tc>
        <w:tc>
          <w:tcPr>
            <w:tcW w:w="600" w:type="dxa"/>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14</w:t>
            </w:r>
          </w:p>
        </w:tc>
        <w:tc>
          <w:tcPr>
            <w:tcW w:w="62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0.540</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0.823</w:t>
            </w:r>
          </w:p>
        </w:tc>
        <w:tc>
          <w:tcPr>
            <w:tcW w:w="66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0.626</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14</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0.568</w:t>
            </w:r>
          </w:p>
        </w:tc>
        <w:tc>
          <w:tcPr>
            <w:tcW w:w="600" w:type="dxa"/>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0.862</w:t>
            </w:r>
          </w:p>
        </w:tc>
      </w:tr>
      <w:tr w:rsidR="002A0BB5" w:rsidRPr="00B74884">
        <w:trPr>
          <w:trHeight w:val="70"/>
        </w:trPr>
        <w:tc>
          <w:tcPr>
            <w:tcW w:w="594" w:type="dxa"/>
            <w:tcBorders>
              <w:bottom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color w:val="000000"/>
                <w:sz w:val="18"/>
                <w:szCs w:val="18"/>
                <w:lang w:eastAsia="en-US"/>
              </w:rPr>
            </w:pPr>
            <w:r w:rsidRPr="00B74884">
              <w:rPr>
                <w:rFonts w:eastAsiaTheme="minorEastAsia"/>
                <w:color w:val="000000"/>
                <w:sz w:val="18"/>
                <w:szCs w:val="18"/>
                <w:lang w:eastAsia="en-US"/>
              </w:rPr>
              <w:t>F14</w:t>
            </w:r>
          </w:p>
        </w:tc>
        <w:tc>
          <w:tcPr>
            <w:tcW w:w="680"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0.600</w:t>
            </w:r>
          </w:p>
        </w:tc>
        <w:tc>
          <w:tcPr>
            <w:tcW w:w="660" w:type="dxa"/>
            <w:tcBorders>
              <w:bottom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14</w:t>
            </w:r>
          </w:p>
        </w:tc>
        <w:tc>
          <w:tcPr>
            <w:tcW w:w="560"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0.457</w:t>
            </w:r>
          </w:p>
        </w:tc>
        <w:tc>
          <w:tcPr>
            <w:tcW w:w="640"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0.896</w:t>
            </w:r>
          </w:p>
        </w:tc>
        <w:tc>
          <w:tcPr>
            <w:tcW w:w="600"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jc w:val="center"/>
              <w:rPr>
                <w:color w:val="000000"/>
                <w:sz w:val="18"/>
                <w:szCs w:val="18"/>
                <w:lang w:eastAsia="en-US"/>
              </w:rPr>
            </w:pPr>
            <w:r w:rsidRPr="00B74884">
              <w:rPr>
                <w:color w:val="000000"/>
                <w:sz w:val="18"/>
                <w:szCs w:val="18"/>
                <w:lang w:eastAsia="en-US"/>
              </w:rPr>
              <w:t>0.696</w:t>
            </w:r>
          </w:p>
        </w:tc>
        <w:tc>
          <w:tcPr>
            <w:tcW w:w="600" w:type="dxa"/>
            <w:tcBorders>
              <w:bottom w:val="single" w:sz="4" w:space="0" w:color="auto"/>
            </w:tcBorders>
            <w:tcMar>
              <w:left w:w="72" w:type="dxa"/>
              <w:right w:w="72" w:type="dxa"/>
            </w:tcMar>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13</w:t>
            </w:r>
          </w:p>
        </w:tc>
        <w:tc>
          <w:tcPr>
            <w:tcW w:w="62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0.473</w:t>
            </w:r>
          </w:p>
        </w:tc>
        <w:tc>
          <w:tcPr>
            <w:tcW w:w="60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0.828</w:t>
            </w:r>
          </w:p>
        </w:tc>
        <w:tc>
          <w:tcPr>
            <w:tcW w:w="66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0.652</w:t>
            </w:r>
          </w:p>
        </w:tc>
        <w:tc>
          <w:tcPr>
            <w:tcW w:w="60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13</w:t>
            </w:r>
          </w:p>
        </w:tc>
        <w:tc>
          <w:tcPr>
            <w:tcW w:w="60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0.463</w:t>
            </w:r>
          </w:p>
        </w:tc>
        <w:tc>
          <w:tcPr>
            <w:tcW w:w="600" w:type="dxa"/>
            <w:tcBorders>
              <w:bottom w:val="single" w:sz="4" w:space="0" w:color="auto"/>
            </w:tcBorders>
            <w:vAlign w:val="cente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0.868</w:t>
            </w:r>
          </w:p>
        </w:tc>
      </w:tr>
    </w:tbl>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C41F8F">
      <w:pPr>
        <w:spacing w:after="0" w:line="240" w:lineRule="auto"/>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8</w:t>
      </w:r>
      <w:r>
        <w:rPr>
          <w:rFonts w:eastAsiaTheme="minorEastAsia"/>
          <w:b/>
          <w:lang w:val="en-US" w:eastAsia="en-US"/>
        </w:rPr>
        <w:t>.</w:t>
      </w:r>
      <w:r>
        <w:rPr>
          <w:rFonts w:eastAsiaTheme="minorEastAsia"/>
          <w:lang w:val="en-US" w:eastAsia="en-US"/>
        </w:rPr>
        <w:t xml:space="preserve"> Survey results of perceptions towards </w:t>
      </w:r>
      <w:r>
        <w:rPr>
          <w:rFonts w:eastAsiaTheme="minorEastAsia"/>
          <w:lang w:eastAsia="en-US"/>
        </w:rPr>
        <w:t>difficulties encountered in</w:t>
      </w:r>
      <w:r>
        <w:rPr>
          <w:rFonts w:eastAsiaTheme="minorEastAsia"/>
          <w:lang w:val="en-US" w:eastAsia="en-US"/>
        </w:rPr>
        <w:t xml:space="preserve"> BIM implementation </w:t>
      </w:r>
    </w:p>
    <w:tbl>
      <w:tblPr>
        <w:tblStyle w:val="TableGrid1"/>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851"/>
        <w:gridCol w:w="850"/>
        <w:gridCol w:w="992"/>
        <w:gridCol w:w="851"/>
        <w:gridCol w:w="709"/>
        <w:gridCol w:w="850"/>
      </w:tblGrid>
      <w:tr w:rsidR="002A0BB5">
        <w:tc>
          <w:tcPr>
            <w:tcW w:w="3544" w:type="dxa"/>
            <w:vMerge w:val="restart"/>
            <w:tcBorders>
              <w:top w:val="single" w:sz="12" w:space="0" w:color="auto"/>
            </w:tcBorders>
            <w:vAlign w:val="bottom"/>
          </w:tcPr>
          <w:p w:rsidR="002A0BB5" w:rsidRPr="00B74884" w:rsidRDefault="00C41F8F">
            <w:pPr>
              <w:spacing w:after="0" w:line="240" w:lineRule="auto"/>
              <w:rPr>
                <w:rFonts w:eastAsiaTheme="minorEastAsia"/>
                <w:sz w:val="20"/>
                <w:szCs w:val="20"/>
                <w:lang w:eastAsia="en-US"/>
              </w:rPr>
            </w:pPr>
            <w:r w:rsidRPr="00B74884">
              <w:rPr>
                <w:rFonts w:eastAsiaTheme="minorEastAsia"/>
                <w:sz w:val="20"/>
                <w:szCs w:val="20"/>
                <w:lang w:eastAsia="en-US"/>
              </w:rPr>
              <w:t>Difficulties</w:t>
            </w:r>
          </w:p>
        </w:tc>
        <w:tc>
          <w:tcPr>
            <w:tcW w:w="1701"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Shanghai respondents</w:t>
            </w:r>
          </w:p>
        </w:tc>
        <w:tc>
          <w:tcPr>
            <w:tcW w:w="1843"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Wenzhou respondents</w:t>
            </w:r>
          </w:p>
        </w:tc>
        <w:tc>
          <w:tcPr>
            <w:tcW w:w="1559" w:type="dxa"/>
            <w:gridSpan w:val="2"/>
            <w:tcBorders>
              <w:top w:val="single" w:sz="12"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Statistical test results</w:t>
            </w:r>
          </w:p>
        </w:tc>
      </w:tr>
      <w:tr w:rsidR="002A0BB5">
        <w:trPr>
          <w:trHeight w:val="161"/>
        </w:trPr>
        <w:tc>
          <w:tcPr>
            <w:tcW w:w="3544" w:type="dxa"/>
            <w:vMerge/>
            <w:tcBorders>
              <w:bottom w:val="single" w:sz="4" w:space="0" w:color="auto"/>
            </w:tcBorders>
          </w:tcPr>
          <w:p w:rsidR="002A0BB5" w:rsidRPr="00B74884" w:rsidRDefault="002A0BB5">
            <w:pPr>
              <w:spacing w:after="0" w:line="240" w:lineRule="auto"/>
              <w:rPr>
                <w:rFonts w:eastAsiaTheme="minorEastAsia"/>
                <w:b/>
                <w:sz w:val="20"/>
                <w:szCs w:val="20"/>
                <w:lang w:eastAsia="en-US"/>
              </w:rPr>
            </w:pP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992"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Mean</w:t>
            </w:r>
          </w:p>
        </w:tc>
        <w:tc>
          <w:tcPr>
            <w:tcW w:w="851"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Std</w:t>
            </w:r>
          </w:p>
        </w:tc>
        <w:tc>
          <w:tcPr>
            <w:tcW w:w="709"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t</w:t>
            </w:r>
          </w:p>
        </w:tc>
        <w:tc>
          <w:tcPr>
            <w:tcW w:w="850" w:type="dxa"/>
            <w:tcBorders>
              <w:top w:val="single" w:sz="4" w:space="0" w:color="auto"/>
              <w:bottom w:val="single" w:sz="4" w:space="0" w:color="auto"/>
            </w:tcBorders>
            <w:vAlign w:val="bottom"/>
          </w:tcPr>
          <w:p w:rsidR="002A0BB5" w:rsidRPr="00B74884" w:rsidRDefault="00C41F8F">
            <w:pPr>
              <w:spacing w:after="0" w:line="240" w:lineRule="auto"/>
              <w:jc w:val="center"/>
              <w:rPr>
                <w:rFonts w:eastAsiaTheme="minorEastAsia"/>
                <w:i/>
                <w:sz w:val="20"/>
                <w:szCs w:val="20"/>
                <w:lang w:eastAsia="en-US"/>
              </w:rPr>
            </w:pPr>
            <w:r w:rsidRPr="00B74884">
              <w:rPr>
                <w:rFonts w:eastAsiaTheme="minorEastAsia"/>
                <w:i/>
                <w:sz w:val="20"/>
                <w:szCs w:val="20"/>
                <w:lang w:eastAsia="en-US"/>
              </w:rPr>
              <w:t>p</w:t>
            </w:r>
          </w:p>
        </w:tc>
      </w:tr>
      <w:tr w:rsidR="002A0BB5">
        <w:tc>
          <w:tcPr>
            <w:tcW w:w="3544" w:type="dxa"/>
            <w:vAlign w:val="bottom"/>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D1. </w:t>
            </w:r>
            <w:r w:rsidRPr="00B74884">
              <w:rPr>
                <w:rFonts w:eastAsia="SimSun"/>
                <w:sz w:val="20"/>
                <w:szCs w:val="20"/>
                <w:lang w:val="en-ZW" w:eastAsia="en-US"/>
              </w:rPr>
              <w:t xml:space="preserve">Lack of sufficient evaluation of BIM  </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3.50</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0.82</w:t>
            </w:r>
          </w:p>
        </w:tc>
        <w:tc>
          <w:tcPr>
            <w:tcW w:w="992"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3.85</w:t>
            </w:r>
          </w:p>
        </w:tc>
        <w:tc>
          <w:tcPr>
            <w:tcW w:w="851"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0.91</w:t>
            </w:r>
          </w:p>
        </w:tc>
        <w:tc>
          <w:tcPr>
            <w:tcW w:w="709"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1.71</w:t>
            </w:r>
          </w:p>
        </w:tc>
        <w:tc>
          <w:tcPr>
            <w:tcW w:w="850" w:type="dxa"/>
            <w:tcBorders>
              <w:top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0.091</w:t>
            </w:r>
          </w:p>
        </w:tc>
      </w:tr>
      <w:tr w:rsidR="002A0BB5">
        <w:tc>
          <w:tcPr>
            <w:tcW w:w="3544" w:type="dxa"/>
            <w:vAlign w:val="bottom"/>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D2. </w:t>
            </w:r>
            <w:r w:rsidRPr="00B74884">
              <w:rPr>
                <w:rFonts w:eastAsia="SimSun"/>
                <w:sz w:val="20"/>
                <w:szCs w:val="20"/>
                <w:lang w:val="en-ZW" w:eastAsia="en-US"/>
              </w:rPr>
              <w:t xml:space="preserve">Acceptance of BIM from senior management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3.35</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1.05</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3.41</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1.05</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0.812</w:t>
            </w:r>
          </w:p>
        </w:tc>
      </w:tr>
      <w:tr w:rsidR="002A0BB5">
        <w:trPr>
          <w:trHeight w:val="197"/>
        </w:trPr>
        <w:tc>
          <w:tcPr>
            <w:tcW w:w="3544" w:type="dxa"/>
            <w:vAlign w:val="bottom"/>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D3. </w:t>
            </w:r>
            <w:r w:rsidRPr="00B74884">
              <w:rPr>
                <w:rFonts w:eastAsia="SimSun"/>
                <w:sz w:val="20"/>
                <w:szCs w:val="20"/>
                <w:lang w:val="en-ZW" w:eastAsia="en-US"/>
              </w:rPr>
              <w:t xml:space="preserve">Acceptance of BIM from middle management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3.45</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1.12</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3.29</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1.05</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0.61</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0.543</w:t>
            </w:r>
          </w:p>
        </w:tc>
      </w:tr>
      <w:tr w:rsidR="002A0BB5">
        <w:trPr>
          <w:trHeight w:val="197"/>
        </w:trPr>
        <w:tc>
          <w:tcPr>
            <w:tcW w:w="3544" w:type="dxa"/>
            <w:vAlign w:val="bottom"/>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D4. </w:t>
            </w:r>
            <w:r w:rsidRPr="00B74884">
              <w:rPr>
                <w:rFonts w:eastAsia="SimSun"/>
                <w:sz w:val="20"/>
                <w:szCs w:val="20"/>
                <w:lang w:val="en-ZW" w:eastAsia="en-US"/>
              </w:rPr>
              <w:t>Lack of client requirements</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3.32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1.11</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3.43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0.84</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0.49</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0.627</w:t>
            </w:r>
          </w:p>
        </w:tc>
      </w:tr>
      <w:tr w:rsidR="002A0BB5">
        <w:tc>
          <w:tcPr>
            <w:tcW w:w="3544" w:type="dxa"/>
            <w:shd w:val="clear" w:color="auto" w:fill="auto"/>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D5. </w:t>
            </w:r>
            <w:r w:rsidRPr="00B74884">
              <w:rPr>
                <w:rFonts w:eastAsia="SimSun"/>
                <w:sz w:val="20"/>
                <w:szCs w:val="20"/>
                <w:lang w:val="en-ZW" w:eastAsia="en-US"/>
              </w:rPr>
              <w:t xml:space="preserve">Lack of government regulation   </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2.90</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1.19</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3.25</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0.90</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1.35</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0.183</w:t>
            </w:r>
          </w:p>
        </w:tc>
      </w:tr>
      <w:tr w:rsidR="002A0BB5">
        <w:tc>
          <w:tcPr>
            <w:tcW w:w="3544" w:type="dxa"/>
            <w:shd w:val="clear" w:color="auto" w:fill="auto"/>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D6. </w:t>
            </w:r>
            <w:r w:rsidRPr="00B74884">
              <w:rPr>
                <w:rFonts w:eastAsia="SimSun"/>
                <w:sz w:val="20"/>
                <w:szCs w:val="20"/>
                <w:lang w:val="en-ZW" w:eastAsia="en-US"/>
              </w:rPr>
              <w:t>Cost of hardware upgrading</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2.83</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1.05</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3.23</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1.11</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1.52</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0.134</w:t>
            </w:r>
          </w:p>
        </w:tc>
      </w:tr>
      <w:tr w:rsidR="002A0BB5">
        <w:tc>
          <w:tcPr>
            <w:tcW w:w="3544" w:type="dxa"/>
            <w:shd w:val="clear" w:color="auto" w:fill="auto"/>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D7. </w:t>
            </w:r>
            <w:r w:rsidRPr="00B74884">
              <w:rPr>
                <w:rFonts w:eastAsia="SimSun"/>
                <w:sz w:val="20"/>
                <w:szCs w:val="20"/>
                <w:lang w:val="en-ZW" w:eastAsia="en-US"/>
              </w:rPr>
              <w:t>Cost of purchasing BIM software</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2.84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0.97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3.10</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1.01</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1.11</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0.272</w:t>
            </w:r>
          </w:p>
        </w:tc>
      </w:tr>
      <w:tr w:rsidR="002A0BB5">
        <w:tc>
          <w:tcPr>
            <w:tcW w:w="3544" w:type="dxa"/>
            <w:shd w:val="clear" w:color="auto" w:fill="auto"/>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D8. </w:t>
            </w:r>
            <w:r w:rsidRPr="00B74884">
              <w:rPr>
                <w:rFonts w:eastAsia="SimSun"/>
                <w:sz w:val="20"/>
                <w:szCs w:val="20"/>
                <w:lang w:val="en-ZW" w:eastAsia="en-US"/>
              </w:rPr>
              <w:t>Acceptance of BIM from the entry-level staff</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2.84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1.37</w:t>
            </w:r>
          </w:p>
        </w:tc>
        <w:tc>
          <w:tcPr>
            <w:tcW w:w="992"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3.22</w:t>
            </w:r>
          </w:p>
        </w:tc>
        <w:tc>
          <w:tcPr>
            <w:tcW w:w="851"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1.17</w:t>
            </w:r>
          </w:p>
        </w:tc>
        <w:tc>
          <w:tcPr>
            <w:tcW w:w="709"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1.24</w:t>
            </w:r>
          </w:p>
        </w:tc>
        <w:tc>
          <w:tcPr>
            <w:tcW w:w="850" w:type="dxa"/>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0.219</w:t>
            </w:r>
          </w:p>
        </w:tc>
      </w:tr>
      <w:tr w:rsidR="002A0BB5">
        <w:tc>
          <w:tcPr>
            <w:tcW w:w="3544" w:type="dxa"/>
            <w:tcBorders>
              <w:bottom w:val="single" w:sz="4" w:space="0" w:color="auto"/>
            </w:tcBorders>
            <w:shd w:val="clear" w:color="auto" w:fill="auto"/>
          </w:tcPr>
          <w:p w:rsidR="002A0BB5" w:rsidRPr="00B74884" w:rsidRDefault="00C41F8F">
            <w:pPr>
              <w:spacing w:after="0" w:line="240" w:lineRule="auto"/>
              <w:contextualSpacing/>
              <w:rPr>
                <w:rFonts w:eastAsiaTheme="minorEastAsia"/>
                <w:color w:val="000000"/>
                <w:sz w:val="20"/>
                <w:szCs w:val="20"/>
                <w:lang w:eastAsia="en-US"/>
              </w:rPr>
            </w:pPr>
            <w:r w:rsidRPr="00B74884">
              <w:rPr>
                <w:rFonts w:eastAsia="SimSun"/>
                <w:sz w:val="20"/>
                <w:szCs w:val="20"/>
                <w:lang w:eastAsia="en-US"/>
              </w:rPr>
              <w:t xml:space="preserve">D9. </w:t>
            </w:r>
            <w:r w:rsidRPr="00B74884">
              <w:rPr>
                <w:rFonts w:eastAsia="SimSun"/>
                <w:sz w:val="20"/>
                <w:szCs w:val="20"/>
                <w:lang w:val="en-ZW" w:eastAsia="en-US"/>
              </w:rPr>
              <w:t>Effective training</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2.58</w:t>
            </w:r>
          </w:p>
        </w:tc>
        <w:tc>
          <w:tcPr>
            <w:tcW w:w="850"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1.23</w:t>
            </w:r>
          </w:p>
        </w:tc>
        <w:tc>
          <w:tcPr>
            <w:tcW w:w="992"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3.17</w:t>
            </w:r>
          </w:p>
        </w:tc>
        <w:tc>
          <w:tcPr>
            <w:tcW w:w="851"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1.10</w:t>
            </w:r>
          </w:p>
        </w:tc>
        <w:tc>
          <w:tcPr>
            <w:tcW w:w="709" w:type="dxa"/>
            <w:tcBorders>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sz w:val="20"/>
                <w:szCs w:val="20"/>
                <w:lang w:eastAsia="en-US"/>
              </w:rPr>
              <w:t>2.10</w:t>
            </w:r>
          </w:p>
        </w:tc>
        <w:tc>
          <w:tcPr>
            <w:tcW w:w="850" w:type="dxa"/>
            <w:tcBorders>
              <w:bottom w:val="single" w:sz="4" w:space="0" w:color="auto"/>
            </w:tcBorders>
          </w:tcPr>
          <w:p w:rsidR="002A0BB5" w:rsidRPr="00B74884" w:rsidRDefault="00C41F8F">
            <w:pPr>
              <w:spacing w:after="0" w:line="240" w:lineRule="auto"/>
              <w:jc w:val="center"/>
              <w:rPr>
                <w:rFonts w:eastAsiaTheme="minorEastAsia"/>
                <w:b/>
                <w:sz w:val="20"/>
                <w:szCs w:val="20"/>
                <w:lang w:eastAsia="en-US"/>
              </w:rPr>
            </w:pPr>
            <w:r w:rsidRPr="00B74884">
              <w:rPr>
                <w:rFonts w:eastAsiaTheme="minorEastAsia"/>
                <w:b/>
                <w:sz w:val="20"/>
                <w:szCs w:val="20"/>
                <w:lang w:eastAsia="en-US"/>
              </w:rPr>
              <w:t>0.040*</w:t>
            </w:r>
          </w:p>
        </w:tc>
      </w:tr>
    </w:tbl>
    <w:p w:rsidR="002A0BB5" w:rsidRDefault="00C41F8F">
      <w:pPr>
        <w:pStyle w:val="Newparagraph"/>
        <w:spacing w:after="0" w:line="240" w:lineRule="auto"/>
        <w:ind w:firstLine="0"/>
        <w:rPr>
          <w:rFonts w:eastAsiaTheme="minorEastAsia"/>
          <w:sz w:val="20"/>
          <w:szCs w:val="20"/>
          <w:lang w:val="en-US" w:eastAsia="en-US"/>
        </w:rPr>
      </w:pPr>
      <w:r>
        <w:rPr>
          <w:sz w:val="20"/>
          <w:szCs w:val="20"/>
        </w:rPr>
        <w:t xml:space="preserve">*: </w:t>
      </w:r>
      <w:r>
        <w:rPr>
          <w:rFonts w:eastAsiaTheme="minorEastAsia"/>
          <w:i/>
          <w:sz w:val="20"/>
          <w:szCs w:val="20"/>
          <w:lang w:val="en-US" w:eastAsia="en-US"/>
        </w:rPr>
        <w:t>p</w:t>
      </w:r>
      <w:r>
        <w:rPr>
          <w:rFonts w:eastAsiaTheme="minorEastAsia"/>
          <w:sz w:val="20"/>
          <w:szCs w:val="20"/>
          <w:lang w:val="en-US" w:eastAsia="en-US"/>
        </w:rPr>
        <w:t xml:space="preserve"> value lower than 0.05 indicates significantly different perceptions between </w:t>
      </w:r>
      <w:r>
        <w:rPr>
          <w:rFonts w:eastAsiaTheme="minorEastAsia"/>
          <w:sz w:val="20"/>
          <w:szCs w:val="20"/>
          <w:lang w:eastAsia="en-US"/>
        </w:rPr>
        <w:t>Shanghai</w:t>
      </w:r>
      <w:r>
        <w:rPr>
          <w:rFonts w:eastAsiaTheme="minorEastAsia"/>
          <w:sz w:val="20"/>
          <w:szCs w:val="20"/>
          <w:lang w:val="en-US" w:eastAsia="en-US"/>
        </w:rPr>
        <w:t xml:space="preserve"> and </w:t>
      </w:r>
      <w:r>
        <w:rPr>
          <w:rFonts w:eastAsiaTheme="minorEastAsia"/>
          <w:sz w:val="20"/>
          <w:szCs w:val="20"/>
          <w:lang w:eastAsia="en-US"/>
        </w:rPr>
        <w:t>Wenzhou</w:t>
      </w:r>
      <w:r>
        <w:rPr>
          <w:rFonts w:eastAsiaTheme="minorEastAsia"/>
          <w:sz w:val="20"/>
          <w:szCs w:val="20"/>
          <w:lang w:val="en-US" w:eastAsia="en-US"/>
        </w:rPr>
        <w:t xml:space="preserve"> respondents towards the given item. </w:t>
      </w: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ind w:left="567" w:hanging="283"/>
        <w:rPr>
          <w:rFonts w:eastAsia="SimSun"/>
          <w:lang w:val="en-US" w:eastAsia="zh-CN"/>
        </w:rPr>
      </w:pPr>
    </w:p>
    <w:p w:rsidR="002A0BB5" w:rsidRDefault="002A0BB5">
      <w:pPr>
        <w:spacing w:after="0" w:line="240" w:lineRule="auto"/>
        <w:rPr>
          <w:rFonts w:eastAsia="SimSun"/>
          <w:lang w:val="en-US" w:eastAsia="zh-CN"/>
        </w:rPr>
      </w:pPr>
    </w:p>
    <w:p w:rsidR="002A0BB5" w:rsidRDefault="00C41F8F">
      <w:pPr>
        <w:spacing w:after="0" w:line="240" w:lineRule="auto"/>
        <w:rPr>
          <w:rFonts w:eastAsiaTheme="minorEastAsia"/>
          <w:lang w:val="en-US" w:eastAsia="en-US"/>
        </w:rPr>
      </w:pPr>
      <w:r>
        <w:rPr>
          <w:rFonts w:eastAsiaTheme="minorEastAsia"/>
          <w:b/>
          <w:lang w:val="en-US" w:eastAsia="en-US"/>
        </w:rPr>
        <w:lastRenderedPageBreak/>
        <w:t xml:space="preserve">Table </w:t>
      </w:r>
      <w:r>
        <w:rPr>
          <w:rFonts w:eastAsiaTheme="minorEastAsia"/>
          <w:b/>
          <w:lang w:eastAsia="en-US"/>
        </w:rPr>
        <w:t>9</w:t>
      </w:r>
      <w:r>
        <w:rPr>
          <w:rFonts w:eastAsiaTheme="minorEastAsia"/>
          <w:lang w:val="en-US" w:eastAsia="en-US"/>
        </w:rPr>
        <w:t xml:space="preserve">. RII-based ranking of BIM </w:t>
      </w:r>
      <w:r>
        <w:rPr>
          <w:rFonts w:eastAsiaTheme="minorEastAsia"/>
          <w:lang w:eastAsia="en-US"/>
        </w:rPr>
        <w:t xml:space="preserve">challenge </w:t>
      </w:r>
      <w:r>
        <w:rPr>
          <w:rFonts w:eastAsiaTheme="minorEastAsia"/>
          <w:lang w:val="en-US" w:eastAsia="en-US"/>
        </w:rPr>
        <w:t>items</w:t>
      </w:r>
    </w:p>
    <w:tbl>
      <w:tblPr>
        <w:tblStyle w:val="TableGrid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567"/>
        <w:gridCol w:w="709"/>
        <w:gridCol w:w="567"/>
        <w:gridCol w:w="709"/>
        <w:gridCol w:w="709"/>
        <w:gridCol w:w="708"/>
        <w:gridCol w:w="567"/>
        <w:gridCol w:w="709"/>
        <w:gridCol w:w="709"/>
        <w:gridCol w:w="709"/>
        <w:gridCol w:w="708"/>
        <w:gridCol w:w="709"/>
        <w:gridCol w:w="709"/>
      </w:tblGrid>
      <w:tr w:rsidR="002A0BB5">
        <w:tc>
          <w:tcPr>
            <w:tcW w:w="567" w:type="dxa"/>
            <w:vMerge w:val="restart"/>
            <w:tcBorders>
              <w:top w:val="single" w:sz="12" w:space="0" w:color="auto"/>
              <w:bottom w:val="single" w:sz="4" w:space="0" w:color="auto"/>
            </w:tcBorders>
            <w:tcMar>
              <w:left w:w="72" w:type="dxa"/>
              <w:right w:w="72" w:type="dxa"/>
            </w:tcMar>
            <w:vAlign w:val="bottom"/>
          </w:tcPr>
          <w:p w:rsidR="002A0BB5" w:rsidRPr="00B74884" w:rsidRDefault="00C41F8F">
            <w:pPr>
              <w:spacing w:after="0" w:line="240" w:lineRule="auto"/>
              <w:rPr>
                <w:rFonts w:eastAsiaTheme="minorEastAsia"/>
                <w:sz w:val="20"/>
                <w:szCs w:val="20"/>
                <w:lang w:eastAsia="en-US"/>
              </w:rPr>
            </w:pPr>
            <w:r w:rsidRPr="00B74884">
              <w:rPr>
                <w:rFonts w:eastAsiaTheme="minorEastAsia"/>
                <w:sz w:val="20"/>
                <w:szCs w:val="20"/>
                <w:lang w:eastAsia="en-US"/>
              </w:rPr>
              <w:t>Item</w:t>
            </w:r>
          </w:p>
        </w:tc>
        <w:tc>
          <w:tcPr>
            <w:tcW w:w="2694"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b/>
                <w:bCs/>
                <w:sz w:val="20"/>
                <w:szCs w:val="20"/>
                <w:lang w:eastAsia="en-US"/>
              </w:rPr>
            </w:pPr>
            <w:r w:rsidRPr="00B74884">
              <w:rPr>
                <w:rFonts w:eastAsiaTheme="minorEastAsia"/>
                <w:b/>
                <w:bCs/>
                <w:sz w:val="20"/>
                <w:szCs w:val="20"/>
                <w:lang w:eastAsia="en-US"/>
              </w:rPr>
              <w:t>Shanghai Respondents</w:t>
            </w:r>
          </w:p>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Overall CA* Value: 0.835</w:t>
            </w:r>
          </w:p>
        </w:tc>
        <w:tc>
          <w:tcPr>
            <w:tcW w:w="2693" w:type="dxa"/>
            <w:gridSpan w:val="4"/>
            <w:tcBorders>
              <w:top w:val="single" w:sz="12" w:space="0" w:color="auto"/>
              <w:bottom w:val="single" w:sz="4" w:space="0" w:color="auto"/>
            </w:tcBorders>
            <w:tcMar>
              <w:left w:w="72" w:type="dxa"/>
              <w:right w:w="72" w:type="dxa"/>
            </w:tcMar>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Wenzhou Respondents Overall CA* Value: 0.839</w:t>
            </w:r>
          </w:p>
        </w:tc>
        <w:tc>
          <w:tcPr>
            <w:tcW w:w="2835" w:type="dxa"/>
            <w:gridSpan w:val="4"/>
            <w:tcBorders>
              <w:top w:val="single" w:sz="12" w:space="0" w:color="auto"/>
              <w:bottom w:val="single" w:sz="4" w:space="0" w:color="auto"/>
            </w:tcBorders>
          </w:tcPr>
          <w:p w:rsidR="002A0BB5" w:rsidRPr="00B74884" w:rsidRDefault="00C41F8F">
            <w:pPr>
              <w:spacing w:after="0" w:line="240" w:lineRule="auto"/>
              <w:jc w:val="center"/>
              <w:rPr>
                <w:rFonts w:eastAsiaTheme="minorEastAsia"/>
                <w:sz w:val="20"/>
                <w:szCs w:val="20"/>
                <w:lang w:eastAsia="en-US"/>
              </w:rPr>
            </w:pPr>
            <w:r w:rsidRPr="00B74884">
              <w:rPr>
                <w:rFonts w:eastAsiaTheme="minorEastAsia"/>
                <w:b/>
                <w:bCs/>
                <w:sz w:val="20"/>
                <w:szCs w:val="20"/>
                <w:lang w:eastAsia="en-US"/>
              </w:rPr>
              <w:t>Overall sample                        Overall CA* Value: 0.839</w:t>
            </w:r>
          </w:p>
        </w:tc>
      </w:tr>
      <w:tr w:rsidR="002A0BB5">
        <w:trPr>
          <w:trHeight w:val="197"/>
        </w:trPr>
        <w:tc>
          <w:tcPr>
            <w:tcW w:w="567" w:type="dxa"/>
            <w:vMerge/>
            <w:tcBorders>
              <w:top w:val="single" w:sz="4" w:space="0" w:color="auto"/>
              <w:bottom w:val="single" w:sz="4" w:space="0" w:color="auto"/>
            </w:tcBorders>
            <w:tcMar>
              <w:left w:w="72" w:type="dxa"/>
              <w:right w:w="72" w:type="dxa"/>
            </w:tcMar>
          </w:tcPr>
          <w:p w:rsidR="002A0BB5" w:rsidRPr="00B74884" w:rsidRDefault="002A0BB5">
            <w:pPr>
              <w:spacing w:after="0" w:line="240" w:lineRule="auto"/>
              <w:rPr>
                <w:rFonts w:eastAsiaTheme="minorEastAsia"/>
                <w:b/>
                <w:sz w:val="20"/>
                <w:szCs w:val="20"/>
                <w:lang w:eastAsia="en-US"/>
              </w:rPr>
            </w:pPr>
          </w:p>
        </w:tc>
        <w:tc>
          <w:tcPr>
            <w:tcW w:w="709"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567"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708"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567" w:type="dxa"/>
            <w:tcBorders>
              <w:top w:val="single" w:sz="4" w:space="0" w:color="auto"/>
              <w:bottom w:val="single" w:sz="4" w:space="0" w:color="auto"/>
            </w:tcBorders>
            <w:tcMar>
              <w:left w:w="72" w:type="dxa"/>
              <w:right w:w="72" w:type="dxa"/>
            </w:tcMar>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RII</w:t>
            </w:r>
          </w:p>
        </w:tc>
        <w:tc>
          <w:tcPr>
            <w:tcW w:w="708"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Rank</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ITL</w:t>
            </w:r>
          </w:p>
        </w:tc>
        <w:tc>
          <w:tcPr>
            <w:tcW w:w="709" w:type="dxa"/>
            <w:tcBorders>
              <w:top w:val="single" w:sz="4" w:space="0" w:color="auto"/>
              <w:bottom w:val="single" w:sz="4" w:space="0" w:color="auto"/>
            </w:tcBorders>
          </w:tcPr>
          <w:p w:rsidR="002A0BB5" w:rsidRPr="00B74884" w:rsidRDefault="00C41F8F">
            <w:pPr>
              <w:adjustRightInd w:val="0"/>
              <w:snapToGrid w:val="0"/>
              <w:spacing w:after="0" w:line="240" w:lineRule="auto"/>
              <w:jc w:val="center"/>
              <w:rPr>
                <w:rFonts w:eastAsiaTheme="minorEastAsia"/>
                <w:sz w:val="20"/>
                <w:szCs w:val="20"/>
                <w:lang w:eastAsia="en-US"/>
              </w:rPr>
            </w:pPr>
            <w:r w:rsidRPr="00B74884">
              <w:rPr>
                <w:rFonts w:eastAsiaTheme="minorEastAsia"/>
                <w:sz w:val="20"/>
                <w:szCs w:val="20"/>
                <w:lang w:eastAsia="en-US"/>
              </w:rPr>
              <w:t>CA</w:t>
            </w:r>
          </w:p>
        </w:tc>
      </w:tr>
      <w:tr w:rsidR="002A0BB5">
        <w:trPr>
          <w:trHeight w:val="70"/>
        </w:trPr>
        <w:tc>
          <w:tcPr>
            <w:tcW w:w="567" w:type="dxa"/>
            <w:tcBorders>
              <w:top w:val="single" w:sz="4" w:space="0" w:color="auto"/>
            </w:tcBorders>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D1</w:t>
            </w:r>
          </w:p>
        </w:tc>
        <w:tc>
          <w:tcPr>
            <w:tcW w:w="709" w:type="dxa"/>
            <w:tcBorders>
              <w:top w:val="single" w:sz="4" w:space="0" w:color="auto"/>
            </w:tcBorders>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0.700</w:t>
            </w:r>
          </w:p>
        </w:tc>
        <w:tc>
          <w:tcPr>
            <w:tcW w:w="567" w:type="dxa"/>
            <w:tcBorders>
              <w:top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w:t>
            </w:r>
          </w:p>
        </w:tc>
        <w:tc>
          <w:tcPr>
            <w:tcW w:w="709" w:type="dxa"/>
            <w:tcBorders>
              <w:top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0.637</w:t>
            </w:r>
          </w:p>
        </w:tc>
        <w:tc>
          <w:tcPr>
            <w:tcW w:w="709" w:type="dxa"/>
            <w:tcBorders>
              <w:top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0.813</w:t>
            </w:r>
          </w:p>
        </w:tc>
        <w:tc>
          <w:tcPr>
            <w:tcW w:w="708" w:type="dxa"/>
            <w:tcBorders>
              <w:top w:val="single" w:sz="4" w:space="0" w:color="auto"/>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0.770</w:t>
            </w:r>
          </w:p>
        </w:tc>
        <w:tc>
          <w:tcPr>
            <w:tcW w:w="567" w:type="dxa"/>
            <w:tcBorders>
              <w:top w:val="single" w:sz="4" w:space="0" w:color="auto"/>
            </w:tcBorders>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1</w:t>
            </w:r>
          </w:p>
        </w:tc>
        <w:tc>
          <w:tcPr>
            <w:tcW w:w="709" w:type="dxa"/>
            <w:tcBorders>
              <w:top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0.559</w:t>
            </w:r>
          </w:p>
        </w:tc>
        <w:tc>
          <w:tcPr>
            <w:tcW w:w="709" w:type="dxa"/>
            <w:tcBorders>
              <w:top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0.822</w:t>
            </w:r>
          </w:p>
        </w:tc>
        <w:tc>
          <w:tcPr>
            <w:tcW w:w="709" w:type="dxa"/>
            <w:tcBorders>
              <w:top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0.741</w:t>
            </w:r>
          </w:p>
        </w:tc>
        <w:tc>
          <w:tcPr>
            <w:tcW w:w="708" w:type="dxa"/>
            <w:tcBorders>
              <w:top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1</w:t>
            </w:r>
          </w:p>
        </w:tc>
        <w:tc>
          <w:tcPr>
            <w:tcW w:w="709" w:type="dxa"/>
            <w:tcBorders>
              <w:top w:val="single" w:sz="4" w:space="0" w:color="auto"/>
            </w:tcBorders>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0.600</w:t>
            </w:r>
          </w:p>
        </w:tc>
        <w:tc>
          <w:tcPr>
            <w:tcW w:w="709" w:type="dxa"/>
            <w:tcBorders>
              <w:top w:val="single" w:sz="4" w:space="0" w:color="auto"/>
            </w:tcBorders>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0.819</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D2</w:t>
            </w:r>
          </w:p>
        </w:tc>
        <w:tc>
          <w:tcPr>
            <w:tcW w:w="709"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0.670</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3</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0.616</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0.811</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0.682</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3</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0.708</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0.804</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0.678</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0.656</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0.810</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D3</w:t>
            </w:r>
          </w:p>
        </w:tc>
        <w:tc>
          <w:tcPr>
            <w:tcW w:w="709"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0.690</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0.601</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0.812</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0.658</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4</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0.712</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0.804</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0.672</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4</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0.639</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0.812</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D4</w:t>
            </w:r>
          </w:p>
        </w:tc>
        <w:tc>
          <w:tcPr>
            <w:tcW w:w="709" w:type="dxa"/>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0.664</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4</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0.589</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0.814</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0.686</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2</w:t>
            </w:r>
          </w:p>
        </w:tc>
        <w:tc>
          <w:tcPr>
            <w:tcW w:w="709" w:type="dxa"/>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0.364</w:t>
            </w:r>
          </w:p>
        </w:tc>
        <w:tc>
          <w:tcPr>
            <w:tcW w:w="709" w:type="dxa"/>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0.840</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0.678</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2</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0.460</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0.831</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D5</w:t>
            </w:r>
          </w:p>
        </w:tc>
        <w:tc>
          <w:tcPr>
            <w:tcW w:w="709" w:type="dxa"/>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0.580</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5</w:t>
            </w:r>
          </w:p>
        </w:tc>
        <w:tc>
          <w:tcPr>
            <w:tcW w:w="709" w:type="dxa"/>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0.248</w:t>
            </w:r>
          </w:p>
        </w:tc>
        <w:tc>
          <w:tcPr>
            <w:tcW w:w="709" w:type="dxa"/>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0.852</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0.650</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5</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0.465</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0.831</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0.620</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5</w:t>
            </w:r>
          </w:p>
        </w:tc>
        <w:tc>
          <w:tcPr>
            <w:tcW w:w="709" w:type="dxa"/>
          </w:tcPr>
          <w:p w:rsidR="002A0BB5" w:rsidRPr="00B74884" w:rsidRDefault="00C41F8F">
            <w:pPr>
              <w:spacing w:after="0" w:line="240" w:lineRule="auto"/>
              <w:ind w:right="100"/>
              <w:jc w:val="both"/>
              <w:rPr>
                <w:rFonts w:eastAsiaTheme="minorEastAsia"/>
                <w:b/>
                <w:color w:val="000000"/>
                <w:sz w:val="18"/>
                <w:szCs w:val="18"/>
                <w:lang w:eastAsia="en-US"/>
              </w:rPr>
            </w:pPr>
            <w:r w:rsidRPr="00B74884">
              <w:rPr>
                <w:rFonts w:eastAsiaTheme="minorEastAsia"/>
                <w:b/>
                <w:color w:val="000000"/>
                <w:sz w:val="18"/>
                <w:szCs w:val="18"/>
                <w:lang w:eastAsia="en-US"/>
              </w:rPr>
              <w:t>0.363</w:t>
            </w:r>
          </w:p>
        </w:tc>
        <w:tc>
          <w:tcPr>
            <w:tcW w:w="709" w:type="dxa"/>
          </w:tcPr>
          <w:p w:rsidR="002A0BB5" w:rsidRPr="00B74884" w:rsidRDefault="00C41F8F">
            <w:pPr>
              <w:spacing w:after="0" w:line="240" w:lineRule="auto"/>
              <w:ind w:right="100"/>
              <w:jc w:val="both"/>
              <w:rPr>
                <w:rFonts w:eastAsiaTheme="minorEastAsia"/>
                <w:b/>
                <w:color w:val="000000"/>
                <w:sz w:val="18"/>
                <w:szCs w:val="18"/>
                <w:lang w:eastAsia="en-US"/>
              </w:rPr>
            </w:pPr>
            <w:r w:rsidRPr="00B74884">
              <w:rPr>
                <w:rFonts w:eastAsiaTheme="minorEastAsia"/>
                <w:b/>
                <w:color w:val="000000"/>
                <w:sz w:val="18"/>
                <w:szCs w:val="18"/>
                <w:lang w:eastAsia="en-US"/>
              </w:rPr>
              <w:t>0.841</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D6</w:t>
            </w:r>
          </w:p>
        </w:tc>
        <w:tc>
          <w:tcPr>
            <w:tcW w:w="709" w:type="dxa"/>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0.566</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8</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0.398</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0.834</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0.646</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6</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0.651</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0.810</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0.612</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0.548</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0.822</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D7</w:t>
            </w:r>
          </w:p>
        </w:tc>
        <w:tc>
          <w:tcPr>
            <w:tcW w:w="709" w:type="dxa"/>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0.568</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0.442</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0.828</w:t>
            </w:r>
          </w:p>
        </w:tc>
        <w:tc>
          <w:tcPr>
            <w:tcW w:w="708" w:type="dxa"/>
            <w:tcBorders>
              <w:left w:val="nil"/>
              <w:bottom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0.620</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9</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0.614</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0.815</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0.597</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8</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0.549</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0.822</w:t>
            </w:r>
          </w:p>
        </w:tc>
      </w:tr>
      <w:tr w:rsidR="002A0BB5">
        <w:trPr>
          <w:trHeight w:val="70"/>
        </w:trPr>
        <w:tc>
          <w:tcPr>
            <w:tcW w:w="567" w:type="dxa"/>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D8</w:t>
            </w:r>
          </w:p>
        </w:tc>
        <w:tc>
          <w:tcPr>
            <w:tcW w:w="709" w:type="dxa"/>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0.568</w:t>
            </w:r>
          </w:p>
        </w:tc>
        <w:tc>
          <w:tcPr>
            <w:tcW w:w="567" w:type="dxa"/>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6</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0.802</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0.783</w:t>
            </w:r>
          </w:p>
        </w:tc>
        <w:tc>
          <w:tcPr>
            <w:tcW w:w="708" w:type="dxa"/>
            <w:tcBorders>
              <w:left w:val="nil"/>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0.644</w:t>
            </w:r>
          </w:p>
        </w:tc>
        <w:tc>
          <w:tcPr>
            <w:tcW w:w="567" w:type="dxa"/>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7</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0.608</w:t>
            </w:r>
          </w:p>
        </w:tc>
        <w:tc>
          <w:tcPr>
            <w:tcW w:w="709" w:type="dxa"/>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0.816</w:t>
            </w:r>
          </w:p>
        </w:tc>
        <w:tc>
          <w:tcPr>
            <w:tcW w:w="709"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0.611</w:t>
            </w:r>
          </w:p>
        </w:tc>
        <w:tc>
          <w:tcPr>
            <w:tcW w:w="708" w:type="dxa"/>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7</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0.703</w:t>
            </w:r>
          </w:p>
        </w:tc>
        <w:tc>
          <w:tcPr>
            <w:tcW w:w="709" w:type="dxa"/>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0.803</w:t>
            </w:r>
          </w:p>
        </w:tc>
      </w:tr>
      <w:tr w:rsidR="002A0BB5">
        <w:trPr>
          <w:trHeight w:val="70"/>
        </w:trPr>
        <w:tc>
          <w:tcPr>
            <w:tcW w:w="567" w:type="dxa"/>
            <w:tcBorders>
              <w:bottom w:val="single" w:sz="4" w:space="0" w:color="auto"/>
            </w:tcBorders>
            <w:tcMar>
              <w:left w:w="72" w:type="dxa"/>
              <w:right w:w="72" w:type="dxa"/>
            </w:tcMar>
            <w:vAlign w:val="bottom"/>
          </w:tcPr>
          <w:p w:rsidR="002A0BB5" w:rsidRPr="00B74884" w:rsidRDefault="00C41F8F">
            <w:pPr>
              <w:spacing w:after="0" w:line="240" w:lineRule="auto"/>
              <w:rPr>
                <w:rFonts w:eastAsiaTheme="minorEastAsia"/>
                <w:color w:val="000000"/>
                <w:sz w:val="18"/>
                <w:szCs w:val="18"/>
                <w:lang w:eastAsia="en-US"/>
              </w:rPr>
            </w:pPr>
            <w:r w:rsidRPr="00B74884">
              <w:rPr>
                <w:rFonts w:eastAsiaTheme="minorEastAsia"/>
                <w:color w:val="000000"/>
                <w:sz w:val="18"/>
                <w:szCs w:val="18"/>
                <w:lang w:eastAsia="en-US"/>
              </w:rPr>
              <w:t>D9</w:t>
            </w:r>
          </w:p>
        </w:tc>
        <w:tc>
          <w:tcPr>
            <w:tcW w:w="709" w:type="dxa"/>
            <w:tcBorders>
              <w:bottom w:val="single" w:sz="4" w:space="0" w:color="auto"/>
            </w:tcBorders>
            <w:tcMar>
              <w:left w:w="72" w:type="dxa"/>
              <w:right w:w="72" w:type="dxa"/>
            </w:tcMar>
          </w:tcPr>
          <w:p w:rsidR="002A0BB5" w:rsidRPr="00B74884" w:rsidRDefault="00C41F8F">
            <w:pPr>
              <w:spacing w:after="0" w:line="240" w:lineRule="auto"/>
              <w:jc w:val="center"/>
              <w:rPr>
                <w:sz w:val="18"/>
                <w:szCs w:val="18"/>
                <w:lang w:eastAsia="en-US"/>
              </w:rPr>
            </w:pPr>
            <w:r w:rsidRPr="00B74884">
              <w:rPr>
                <w:sz w:val="18"/>
                <w:szCs w:val="18"/>
                <w:lang w:eastAsia="en-US"/>
              </w:rPr>
              <w:t>0.516</w:t>
            </w:r>
          </w:p>
        </w:tc>
        <w:tc>
          <w:tcPr>
            <w:tcW w:w="567" w:type="dxa"/>
            <w:tcBorders>
              <w:bottom w:val="single" w:sz="4" w:space="0" w:color="auto"/>
            </w:tcBorders>
            <w:tcMar>
              <w:left w:w="72" w:type="dxa"/>
              <w:right w:w="72" w:type="dxa"/>
            </w:tcMar>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709" w:type="dxa"/>
            <w:tcBorders>
              <w:bottom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0.631</w:t>
            </w:r>
          </w:p>
        </w:tc>
        <w:tc>
          <w:tcPr>
            <w:tcW w:w="709" w:type="dxa"/>
            <w:tcBorders>
              <w:bottom w:val="single" w:sz="4" w:space="0" w:color="auto"/>
            </w:tcBorders>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0.808</w:t>
            </w:r>
          </w:p>
        </w:tc>
        <w:tc>
          <w:tcPr>
            <w:tcW w:w="708" w:type="dxa"/>
            <w:tcBorders>
              <w:left w:val="nil"/>
              <w:bottom w:val="single" w:sz="4" w:space="0" w:color="auto"/>
              <w:right w:val="nil"/>
            </w:tcBorders>
            <w:shd w:val="clear" w:color="auto" w:fill="auto"/>
            <w:tcMar>
              <w:left w:w="72" w:type="dxa"/>
              <w:right w:w="72" w:type="dxa"/>
            </w:tcMar>
            <w:vAlign w:val="cente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0.634</w:t>
            </w:r>
          </w:p>
        </w:tc>
        <w:tc>
          <w:tcPr>
            <w:tcW w:w="567" w:type="dxa"/>
            <w:tcBorders>
              <w:bottom w:val="single" w:sz="4" w:space="0" w:color="auto"/>
            </w:tcBorders>
            <w:tcMar>
              <w:left w:w="72" w:type="dxa"/>
              <w:right w:w="72" w:type="dxa"/>
            </w:tcMar>
          </w:tcPr>
          <w:p w:rsidR="002A0BB5" w:rsidRPr="00B74884" w:rsidRDefault="00C41F8F">
            <w:pPr>
              <w:spacing w:after="0" w:line="240" w:lineRule="auto"/>
              <w:ind w:right="100"/>
              <w:jc w:val="center"/>
              <w:rPr>
                <w:rFonts w:eastAsiaTheme="minorEastAsia"/>
                <w:color w:val="000000"/>
                <w:sz w:val="18"/>
                <w:szCs w:val="18"/>
                <w:lang w:eastAsia="en-US"/>
              </w:rPr>
            </w:pPr>
            <w:r w:rsidRPr="00B74884">
              <w:rPr>
                <w:rFonts w:eastAsiaTheme="minorEastAsia"/>
                <w:color w:val="000000"/>
                <w:sz w:val="18"/>
                <w:szCs w:val="18"/>
                <w:lang w:eastAsia="en-US"/>
              </w:rPr>
              <w:t>8</w:t>
            </w:r>
          </w:p>
        </w:tc>
        <w:tc>
          <w:tcPr>
            <w:tcW w:w="709" w:type="dxa"/>
            <w:tcBorders>
              <w:bottom w:val="single" w:sz="4" w:space="0" w:color="auto"/>
            </w:tcBorders>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0.295</w:t>
            </w:r>
          </w:p>
        </w:tc>
        <w:tc>
          <w:tcPr>
            <w:tcW w:w="709" w:type="dxa"/>
            <w:tcBorders>
              <w:bottom w:val="single" w:sz="4" w:space="0" w:color="auto"/>
            </w:tcBorders>
          </w:tcPr>
          <w:p w:rsidR="002A0BB5" w:rsidRPr="00B74884" w:rsidRDefault="00C41F8F">
            <w:pPr>
              <w:spacing w:after="0" w:line="240" w:lineRule="auto"/>
              <w:ind w:right="100"/>
              <w:jc w:val="center"/>
              <w:rPr>
                <w:rFonts w:eastAsiaTheme="minorEastAsia"/>
                <w:b/>
                <w:bCs/>
                <w:color w:val="000000"/>
                <w:sz w:val="18"/>
                <w:szCs w:val="18"/>
                <w:lang w:eastAsia="en-US"/>
              </w:rPr>
            </w:pPr>
            <w:r w:rsidRPr="00B74884">
              <w:rPr>
                <w:rFonts w:eastAsiaTheme="minorEastAsia"/>
                <w:b/>
                <w:bCs/>
                <w:color w:val="000000"/>
                <w:sz w:val="18"/>
                <w:szCs w:val="18"/>
                <w:lang w:eastAsia="en-US"/>
              </w:rPr>
              <w:t>0.852</w:t>
            </w:r>
          </w:p>
        </w:tc>
        <w:tc>
          <w:tcPr>
            <w:tcW w:w="709" w:type="dxa"/>
            <w:tcBorders>
              <w:bottom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0.584</w:t>
            </w:r>
          </w:p>
        </w:tc>
        <w:tc>
          <w:tcPr>
            <w:tcW w:w="708" w:type="dxa"/>
            <w:tcBorders>
              <w:bottom w:val="single" w:sz="4" w:space="0" w:color="auto"/>
            </w:tcBorders>
          </w:tcPr>
          <w:p w:rsidR="002A0BB5" w:rsidRPr="00B74884" w:rsidRDefault="00C41F8F">
            <w:pPr>
              <w:spacing w:after="0" w:line="240" w:lineRule="auto"/>
              <w:jc w:val="center"/>
              <w:rPr>
                <w:rFonts w:eastAsiaTheme="minorEastAsia"/>
                <w:sz w:val="18"/>
                <w:szCs w:val="18"/>
                <w:lang w:eastAsia="en-US"/>
              </w:rPr>
            </w:pPr>
            <w:r w:rsidRPr="00B74884">
              <w:rPr>
                <w:rFonts w:eastAsiaTheme="minorEastAsia"/>
                <w:sz w:val="18"/>
                <w:szCs w:val="18"/>
                <w:lang w:eastAsia="en-US"/>
              </w:rPr>
              <w:t>9</w:t>
            </w:r>
          </w:p>
        </w:tc>
        <w:tc>
          <w:tcPr>
            <w:tcW w:w="709" w:type="dxa"/>
            <w:tcBorders>
              <w:bottom w:val="single" w:sz="4" w:space="0" w:color="auto"/>
            </w:tcBorders>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0.459</w:t>
            </w:r>
          </w:p>
        </w:tc>
        <w:tc>
          <w:tcPr>
            <w:tcW w:w="709" w:type="dxa"/>
            <w:tcBorders>
              <w:bottom w:val="single" w:sz="4" w:space="0" w:color="auto"/>
            </w:tcBorders>
          </w:tcPr>
          <w:p w:rsidR="002A0BB5" w:rsidRPr="00B74884" w:rsidRDefault="00C41F8F">
            <w:pPr>
              <w:spacing w:after="0" w:line="240" w:lineRule="auto"/>
              <w:ind w:right="100"/>
              <w:jc w:val="both"/>
              <w:rPr>
                <w:rFonts w:eastAsiaTheme="minorEastAsia"/>
                <w:color w:val="000000"/>
                <w:sz w:val="18"/>
                <w:szCs w:val="18"/>
                <w:lang w:eastAsia="en-US"/>
              </w:rPr>
            </w:pPr>
            <w:r w:rsidRPr="00B74884">
              <w:rPr>
                <w:rFonts w:eastAsiaTheme="minorEastAsia"/>
                <w:color w:val="000000"/>
                <w:sz w:val="18"/>
                <w:szCs w:val="18"/>
                <w:lang w:eastAsia="en-US"/>
              </w:rPr>
              <w:t>0.834</w:t>
            </w:r>
          </w:p>
        </w:tc>
      </w:tr>
    </w:tbl>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2A0BB5">
      <w:pPr>
        <w:pStyle w:val="Newparagraph"/>
        <w:spacing w:after="0"/>
        <w:ind w:firstLine="426"/>
        <w:jc w:val="both"/>
        <w:rPr>
          <w:bCs/>
          <w:lang w:eastAsia="zh-CN"/>
        </w:rPr>
      </w:pPr>
    </w:p>
    <w:p w:rsidR="002A0BB5" w:rsidRDefault="00C41F8F">
      <w:pPr>
        <w:pStyle w:val="Newparagraph"/>
        <w:spacing w:after="0" w:line="240" w:lineRule="auto"/>
        <w:ind w:firstLine="0"/>
        <w:rPr>
          <w:rFonts w:cs="Arial"/>
          <w:b/>
          <w:bCs/>
          <w:i/>
          <w:iCs/>
          <w:szCs w:val="28"/>
        </w:rPr>
      </w:pPr>
      <w:r>
        <w:rPr>
          <w:b/>
          <w:bCs/>
          <w:szCs w:val="28"/>
        </w:rPr>
        <w:lastRenderedPageBreak/>
        <w:t xml:space="preserve">Table 10. </w:t>
      </w:r>
      <w:r>
        <w:rPr>
          <w:szCs w:val="28"/>
        </w:rPr>
        <w:t xml:space="preserve">Percentages of survey participants on perceiving different risks in BIM implementation </w:t>
      </w:r>
    </w:p>
    <w:tbl>
      <w:tblPr>
        <w:tblStyle w:val="TableGrid"/>
        <w:tblW w:w="8075" w:type="dxa"/>
        <w:tblLayout w:type="fixed"/>
        <w:tblLook w:val="04A0" w:firstRow="1" w:lastRow="0" w:firstColumn="1" w:lastColumn="0" w:noHBand="0" w:noVBand="1"/>
      </w:tblPr>
      <w:tblGrid>
        <w:gridCol w:w="4531"/>
        <w:gridCol w:w="709"/>
        <w:gridCol w:w="709"/>
        <w:gridCol w:w="1276"/>
        <w:gridCol w:w="850"/>
      </w:tblGrid>
      <w:tr w:rsidR="002A0BB5">
        <w:tc>
          <w:tcPr>
            <w:tcW w:w="4531" w:type="dxa"/>
            <w:tcBorders>
              <w:bottom w:val="single" w:sz="4" w:space="0" w:color="auto"/>
            </w:tcBorders>
          </w:tcPr>
          <w:p w:rsidR="002A0BB5" w:rsidRDefault="002A0BB5">
            <w:pPr>
              <w:pStyle w:val="Newparagraph"/>
              <w:spacing w:after="0" w:line="240" w:lineRule="auto"/>
              <w:ind w:firstLine="0"/>
              <w:rPr>
                <w:sz w:val="20"/>
                <w:szCs w:val="20"/>
              </w:rPr>
            </w:pPr>
          </w:p>
        </w:tc>
        <w:tc>
          <w:tcPr>
            <w:tcW w:w="709" w:type="dxa"/>
            <w:tcBorders>
              <w:bottom w:val="single" w:sz="4" w:space="0" w:color="auto"/>
            </w:tcBorders>
          </w:tcPr>
          <w:p w:rsidR="002A0BB5" w:rsidRDefault="00C41F8F">
            <w:pPr>
              <w:pStyle w:val="Newparagraph"/>
              <w:spacing w:after="0" w:line="240" w:lineRule="auto"/>
              <w:ind w:firstLine="0"/>
              <w:rPr>
                <w:sz w:val="20"/>
                <w:szCs w:val="20"/>
              </w:rPr>
            </w:pPr>
            <w:r>
              <w:rPr>
                <w:sz w:val="20"/>
                <w:szCs w:val="20"/>
              </w:rPr>
              <w:t>Shan-ghai (%)</w:t>
            </w:r>
          </w:p>
        </w:tc>
        <w:tc>
          <w:tcPr>
            <w:tcW w:w="709" w:type="dxa"/>
            <w:tcBorders>
              <w:bottom w:val="single" w:sz="4" w:space="0" w:color="auto"/>
            </w:tcBorders>
          </w:tcPr>
          <w:p w:rsidR="002A0BB5" w:rsidRDefault="00C41F8F">
            <w:pPr>
              <w:pStyle w:val="Newparagraph"/>
              <w:spacing w:after="0" w:line="240" w:lineRule="auto"/>
              <w:ind w:firstLine="0"/>
              <w:rPr>
                <w:sz w:val="20"/>
                <w:szCs w:val="20"/>
              </w:rPr>
            </w:pPr>
            <w:r>
              <w:rPr>
                <w:sz w:val="20"/>
                <w:szCs w:val="20"/>
              </w:rPr>
              <w:t>Wen-zhou (%)</w:t>
            </w:r>
          </w:p>
        </w:tc>
        <w:tc>
          <w:tcPr>
            <w:tcW w:w="1276" w:type="dxa"/>
            <w:tcBorders>
              <w:bottom w:val="single" w:sz="4" w:space="0" w:color="auto"/>
            </w:tcBorders>
          </w:tcPr>
          <w:p w:rsidR="002A0BB5" w:rsidRDefault="00C41F8F">
            <w:pPr>
              <w:pStyle w:val="Newparagraph"/>
              <w:spacing w:after="0" w:line="240" w:lineRule="auto"/>
              <w:ind w:firstLine="0"/>
              <w:rPr>
                <w:sz w:val="20"/>
                <w:szCs w:val="20"/>
              </w:rPr>
            </w:pPr>
            <w:r>
              <w:rPr>
                <w:sz w:val="20"/>
                <w:szCs w:val="20"/>
              </w:rPr>
              <w:t>Chi-squared value</w:t>
            </w:r>
          </w:p>
        </w:tc>
        <w:tc>
          <w:tcPr>
            <w:tcW w:w="850" w:type="dxa"/>
            <w:tcBorders>
              <w:bottom w:val="single" w:sz="4" w:space="0" w:color="auto"/>
            </w:tcBorders>
          </w:tcPr>
          <w:p w:rsidR="002A0BB5" w:rsidRDefault="00C41F8F">
            <w:pPr>
              <w:pStyle w:val="Newparagraph"/>
              <w:spacing w:after="0" w:line="240" w:lineRule="auto"/>
              <w:ind w:firstLine="0"/>
              <w:rPr>
                <w:sz w:val="20"/>
                <w:szCs w:val="20"/>
              </w:rPr>
            </w:pPr>
            <w:r>
              <w:rPr>
                <w:i/>
                <w:sz w:val="20"/>
                <w:szCs w:val="20"/>
              </w:rPr>
              <w:t>p</w:t>
            </w:r>
            <w:r>
              <w:rPr>
                <w:sz w:val="20"/>
                <w:szCs w:val="20"/>
              </w:rPr>
              <w:t xml:space="preserve"> value</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lang w:eastAsia="zh-CN"/>
              </w:rPr>
            </w:pPr>
            <w:r>
              <w:rPr>
                <w:color w:val="000000"/>
                <w:sz w:val="20"/>
                <w:szCs w:val="20"/>
              </w:rPr>
              <w:t>T1: Insufficient capabilities of existing BIM software package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rPr>
              <w:t>53%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lang w:eastAsia="zh-CN"/>
              </w:rPr>
              <w:t>0.118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0.731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T2:</w:t>
            </w:r>
            <w:r>
              <w:rPr>
                <w:sz w:val="20"/>
                <w:szCs w:val="20"/>
              </w:rPr>
              <w:t xml:space="preserve"> </w:t>
            </w:r>
            <w:r>
              <w:rPr>
                <w:color w:val="000000"/>
                <w:sz w:val="20"/>
                <w:szCs w:val="20"/>
              </w:rPr>
              <w:t>Rapid update of BIM technologies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2.527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0.112</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T3: The difficulty of understanding and applying BIM technologies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4.678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0.031*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T4:</w:t>
            </w:r>
            <w:r>
              <w:rPr>
                <w:sz w:val="20"/>
                <w:szCs w:val="20"/>
              </w:rPr>
              <w:t xml:space="preserve"> </w:t>
            </w:r>
            <w:r>
              <w:rPr>
                <w:color w:val="000000"/>
                <w:sz w:val="20"/>
                <w:szCs w:val="20"/>
              </w:rPr>
              <w:t xml:space="preserve">Poor adaption of BIM technologies in specific AEC projects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5.346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0.021*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H1:</w:t>
            </w:r>
            <w:r>
              <w:rPr>
                <w:sz w:val="20"/>
                <w:szCs w:val="20"/>
              </w:rPr>
              <w:t xml:space="preserve"> </w:t>
            </w:r>
            <w:r>
              <w:rPr>
                <w:color w:val="000000"/>
                <w:sz w:val="20"/>
                <w:szCs w:val="20"/>
              </w:rPr>
              <w:t>Tight schedule of current business</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rPr>
              <w:t>25%</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0.702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0.402</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 xml:space="preserve">H2: Lack of BIM </w:t>
            </w:r>
            <w:r>
              <w:rPr>
                <w:color w:val="000000"/>
                <w:sz w:val="20"/>
                <w:szCs w:val="20"/>
                <w:lang w:val="en-US"/>
              </w:rPr>
              <w:t xml:space="preserve">knowledgeable employees  </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72%</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0.532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0.466</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H3: Reluctance to accept new BIM technologies</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44%</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0.264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0.607</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H4: Lack of knowledge and capabilities among current employees</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38%</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1.442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0.230</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E1: Long period of return on investment</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rPr>
              <w:t>47%</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0.007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0.932</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E2: Uncertainty of profit</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59%</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0.119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0.730</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E3:</w:t>
            </w:r>
            <w:r>
              <w:rPr>
                <w:sz w:val="20"/>
                <w:szCs w:val="20"/>
              </w:rPr>
              <w:t xml:space="preserve"> </w:t>
            </w:r>
            <w:r>
              <w:rPr>
                <w:color w:val="000000"/>
                <w:sz w:val="20"/>
                <w:szCs w:val="20"/>
              </w:rPr>
              <w:t>High cost of Shanghaiort-term investment</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63%</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1.251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0.263</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M1: Reluctance to adopt BIM from the management level</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lang w:eastAsia="zh-CN"/>
              </w:rPr>
            </w:pPr>
            <w:r>
              <w:rPr>
                <w:color w:val="000000"/>
                <w:sz w:val="20"/>
                <w:szCs w:val="20"/>
              </w:rPr>
              <w:t>28%</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0.085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0.771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M2: The difficult transition of business procedures</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41%</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1.872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0.171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M3: The difficult transition of management pattern</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81%</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4.771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b/>
                <w:color w:val="000000"/>
                <w:sz w:val="20"/>
                <w:szCs w:val="20"/>
              </w:rPr>
            </w:pPr>
            <w:r>
              <w:rPr>
                <w:b/>
                <w:color w:val="000000"/>
                <w:sz w:val="20"/>
                <w:szCs w:val="20"/>
              </w:rPr>
              <w:t>0.030*</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O1: Low social recognition</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25%</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1.028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0.311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O2: Unclear legal liability</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31%</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0.603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0.438</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O3: Unknown intellectual property</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28%</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0.305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0.581</w:t>
            </w:r>
          </w:p>
        </w:tc>
      </w:tr>
      <w:tr w:rsidR="002A0BB5">
        <w:tc>
          <w:tcPr>
            <w:tcW w:w="4531"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rPr>
                <w:color w:val="000000"/>
                <w:sz w:val="20"/>
                <w:szCs w:val="20"/>
              </w:rPr>
            </w:pPr>
            <w:r>
              <w:rPr>
                <w:color w:val="000000"/>
                <w:sz w:val="20"/>
                <w:szCs w:val="20"/>
              </w:rPr>
              <w:t>O4: Lack of industry standards</w:t>
            </w:r>
          </w:p>
        </w:tc>
        <w:tc>
          <w:tcPr>
            <w:tcW w:w="709" w:type="dxa"/>
            <w:tcBorders>
              <w:top w:val="single" w:sz="4" w:space="0" w:color="auto"/>
              <w:left w:val="nil"/>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69%</w:t>
            </w:r>
          </w:p>
        </w:tc>
        <w:tc>
          <w:tcPr>
            <w:tcW w:w="709" w:type="dxa"/>
            <w:tcBorders>
              <w:top w:val="single" w:sz="4" w:space="0" w:color="auto"/>
              <w:left w:val="single" w:sz="4" w:space="0" w:color="auto"/>
              <w:bottom w:val="single" w:sz="4" w:space="0" w:color="auto"/>
              <w:right w:val="nil"/>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0.204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A0BB5" w:rsidRDefault="00C41F8F">
            <w:pPr>
              <w:spacing w:after="0" w:line="240" w:lineRule="auto"/>
              <w:jc w:val="center"/>
              <w:rPr>
                <w:color w:val="000000"/>
                <w:sz w:val="20"/>
                <w:szCs w:val="20"/>
              </w:rPr>
            </w:pPr>
            <w:r>
              <w:rPr>
                <w:color w:val="000000"/>
                <w:sz w:val="20"/>
                <w:szCs w:val="20"/>
              </w:rPr>
              <w:t>0.652</w:t>
            </w:r>
          </w:p>
        </w:tc>
      </w:tr>
    </w:tbl>
    <w:p w:rsidR="002A0BB5" w:rsidRDefault="00C41F8F">
      <w:pPr>
        <w:pStyle w:val="Newparagraph"/>
        <w:spacing w:after="0" w:line="240" w:lineRule="auto"/>
        <w:ind w:firstLine="0"/>
        <w:rPr>
          <w:bCs/>
          <w:iCs/>
          <w:sz w:val="20"/>
          <w:szCs w:val="20"/>
        </w:rPr>
      </w:pPr>
      <w:r>
        <w:rPr>
          <w:bCs/>
          <w:i/>
          <w:iCs/>
          <w:sz w:val="20"/>
          <w:szCs w:val="20"/>
        </w:rPr>
        <w:t>*</w:t>
      </w:r>
      <w:r>
        <w:rPr>
          <w:bCs/>
          <w:iCs/>
          <w:sz w:val="20"/>
          <w:szCs w:val="20"/>
        </w:rPr>
        <w:t xml:space="preserve">: a </w:t>
      </w:r>
      <w:r>
        <w:rPr>
          <w:bCs/>
          <w:i/>
          <w:iCs/>
          <w:sz w:val="20"/>
          <w:szCs w:val="20"/>
        </w:rPr>
        <w:t>p</w:t>
      </w:r>
      <w:r>
        <w:rPr>
          <w:bCs/>
          <w:iCs/>
          <w:sz w:val="20"/>
          <w:szCs w:val="20"/>
        </w:rPr>
        <w:t xml:space="preserve"> value lower than 0.05 indicates significantly different percentages between Shanghai and Wenzhou respondents on perceiving the given risk item in BIM implementation </w:t>
      </w:r>
    </w:p>
    <w:p w:rsidR="002A0BB5" w:rsidRDefault="002A0BB5">
      <w:pPr>
        <w:pStyle w:val="Newparagraph"/>
        <w:spacing w:after="0"/>
        <w:ind w:firstLine="426"/>
        <w:jc w:val="both"/>
        <w:rPr>
          <w:bCs/>
          <w:lang w:eastAsia="zh-CN"/>
        </w:rPr>
      </w:pPr>
    </w:p>
    <w:p w:rsidR="002A0BB5" w:rsidRDefault="002A0BB5">
      <w:pPr>
        <w:spacing w:after="0" w:line="240" w:lineRule="auto"/>
        <w:ind w:left="567" w:hanging="283"/>
        <w:rPr>
          <w:rFonts w:eastAsia="SimSun"/>
          <w:lang w:val="en-US" w:eastAsia="zh-CN"/>
        </w:rPr>
      </w:pPr>
    </w:p>
    <w:sectPr w:rsidR="002A0BB5">
      <w:footerReference w:type="default" r:id="rId15"/>
      <w:pgSz w:w="11901"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EC" w:rsidRDefault="008E72EC">
      <w:pPr>
        <w:spacing w:after="0" w:line="240" w:lineRule="auto"/>
      </w:pPr>
      <w:r>
        <w:separator/>
      </w:r>
    </w:p>
  </w:endnote>
  <w:endnote w:type="continuationSeparator" w:id="0">
    <w:p w:rsidR="008E72EC" w:rsidRDefault="008E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BB5" w:rsidRDefault="00C41F8F">
    <w:pPr>
      <w:pStyle w:val="Footer"/>
      <w:jc w:val="center"/>
    </w:pPr>
    <w:r>
      <w:fldChar w:fldCharType="begin"/>
    </w:r>
    <w:r>
      <w:instrText xml:space="preserve"> PAGE  \* MERGEFORMAT </w:instrText>
    </w:r>
    <w:r>
      <w:fldChar w:fldCharType="separate"/>
    </w:r>
    <w:r w:rsidR="00367FB4">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EC" w:rsidRDefault="008E72EC">
      <w:pPr>
        <w:spacing w:after="0" w:line="240" w:lineRule="auto"/>
      </w:pPr>
      <w:r>
        <w:separator/>
      </w:r>
    </w:p>
  </w:footnote>
  <w:footnote w:type="continuationSeparator" w:id="0">
    <w:p w:rsidR="008E72EC" w:rsidRDefault="008E72EC">
      <w:pPr>
        <w:spacing w:after="0" w:line="240" w:lineRule="auto"/>
      </w:pPr>
      <w:r>
        <w:continuationSeparator/>
      </w:r>
    </w:p>
  </w:footnote>
  <w:footnote w:id="1">
    <w:p w:rsidR="002A0BB5" w:rsidRDefault="00C41F8F">
      <w:pPr>
        <w:pStyle w:val="Affiliation"/>
        <w:spacing w:before="0" w:after="0" w:line="240" w:lineRule="auto"/>
        <w:rPr>
          <w:sz w:val="20"/>
          <w:szCs w:val="20"/>
        </w:rPr>
      </w:pPr>
      <w:r>
        <w:rPr>
          <w:rStyle w:val="FootnoteReference"/>
          <w:sz w:val="20"/>
          <w:szCs w:val="20"/>
        </w:rPr>
        <w:footnoteRef/>
      </w:r>
      <w:r>
        <w:rPr>
          <w:sz w:val="20"/>
          <w:szCs w:val="20"/>
        </w:rPr>
        <w:t xml:space="preserve"> </w:t>
      </w:r>
      <w:r>
        <w:rPr>
          <w:i w:val="0"/>
          <w:iCs/>
          <w:sz w:val="20"/>
          <w:szCs w:val="20"/>
        </w:rPr>
        <w:t>Engineer,</w:t>
      </w:r>
      <w:r>
        <w:rPr>
          <w:sz w:val="20"/>
          <w:szCs w:val="20"/>
        </w:rPr>
        <w:t xml:space="preserve"> </w:t>
      </w:r>
      <w:r>
        <w:rPr>
          <w:i w:val="0"/>
          <w:sz w:val="20"/>
          <w:szCs w:val="20"/>
        </w:rPr>
        <w:t xml:space="preserve">Wenzhou Design Assembly Company Ltd., Chezhan Avenue, Jinlin Huayuan Bld 2., 325000, Wenzhou, China. Phone: +86 13738744405, Email: </w:t>
      </w:r>
      <w:hyperlink r:id="rId1" w:history="1">
        <w:r>
          <w:rPr>
            <w:sz w:val="20"/>
            <w:szCs w:val="20"/>
          </w:rPr>
          <w:t>suifengyiyang@126.com</w:t>
        </w:r>
      </w:hyperlink>
      <w:r>
        <w:rPr>
          <w:sz w:val="20"/>
          <w:szCs w:val="20"/>
        </w:rPr>
        <w:t xml:space="preserve"> </w:t>
      </w:r>
      <w:r>
        <w:rPr>
          <w:i w:val="0"/>
          <w:sz w:val="20"/>
          <w:szCs w:val="20"/>
        </w:rPr>
        <w:t xml:space="preserve"> </w:t>
      </w:r>
    </w:p>
  </w:footnote>
  <w:footnote w:id="2">
    <w:p w:rsidR="002A0BB5" w:rsidRDefault="00C41F8F">
      <w:pPr>
        <w:pStyle w:val="Notesoncontributors"/>
        <w:spacing w:before="0" w:after="0" w:line="240" w:lineRule="auto"/>
        <w:rPr>
          <w:sz w:val="20"/>
          <w:szCs w:val="20"/>
        </w:rPr>
      </w:pPr>
      <w:r>
        <w:rPr>
          <w:i/>
          <w:iCs/>
          <w:sz w:val="20"/>
          <w:szCs w:val="20"/>
          <w:vertAlign w:val="superscript"/>
          <w:lang w:val="en-US"/>
        </w:rPr>
        <w:t>2</w:t>
      </w:r>
      <w:r>
        <w:rPr>
          <w:i/>
          <w:iCs/>
          <w:sz w:val="20"/>
          <w:szCs w:val="20"/>
          <w:vertAlign w:val="superscript"/>
        </w:rPr>
        <w:t xml:space="preserve"> </w:t>
      </w:r>
      <w:r>
        <w:rPr>
          <w:sz w:val="20"/>
          <w:szCs w:val="20"/>
        </w:rPr>
        <w:t xml:space="preserve">Senior Lecturer, School of Environment and Technology, University of Brighton, C616, Cockcroft Building, Brighton, UK. BN2 4GJ. Phone: +44(0)7729 813 629, Email: </w:t>
      </w:r>
      <w:hyperlink r:id="rId2" w:history="1">
        <w:r>
          <w:rPr>
            <w:i/>
            <w:iCs/>
            <w:sz w:val="20"/>
            <w:szCs w:val="20"/>
          </w:rPr>
          <w:t>R.Jin@brighton.ac.uk</w:t>
        </w:r>
      </w:hyperlink>
      <w:r>
        <w:rPr>
          <w:i/>
          <w:iCs/>
          <w:sz w:val="20"/>
          <w:szCs w:val="20"/>
        </w:rPr>
        <w:t xml:space="preserve">    </w:t>
      </w:r>
    </w:p>
  </w:footnote>
  <w:footnote w:id="3">
    <w:p w:rsidR="002A0BB5" w:rsidRDefault="00C41F8F">
      <w:pPr>
        <w:pStyle w:val="Notesoncontributors"/>
        <w:spacing w:before="0" w:after="0" w:line="240" w:lineRule="auto"/>
        <w:rPr>
          <w:sz w:val="20"/>
          <w:szCs w:val="20"/>
        </w:rPr>
      </w:pPr>
      <w:r>
        <w:rPr>
          <w:rStyle w:val="FootnoteReference"/>
          <w:sz w:val="20"/>
          <w:szCs w:val="20"/>
        </w:rPr>
        <w:footnoteRef/>
      </w:r>
      <w:r>
        <w:rPr>
          <w:sz w:val="20"/>
          <w:szCs w:val="20"/>
        </w:rPr>
        <w:t xml:space="preserve"> Principal Lecturer, School of Environment and Technology, University of Brighton, C</w:t>
      </w:r>
      <w:r>
        <w:rPr>
          <w:iCs/>
          <w:sz w:val="20"/>
          <w:szCs w:val="20"/>
        </w:rPr>
        <w:t xml:space="preserve">620, </w:t>
      </w:r>
      <w:r>
        <w:rPr>
          <w:sz w:val="20"/>
          <w:szCs w:val="20"/>
        </w:rPr>
        <w:t>Cockcroft Building</w:t>
      </w:r>
      <w:r>
        <w:rPr>
          <w:iCs/>
          <w:sz w:val="20"/>
          <w:szCs w:val="20"/>
        </w:rPr>
        <w:t>,</w:t>
      </w:r>
      <w:r>
        <w:rPr>
          <w:sz w:val="20"/>
          <w:szCs w:val="20"/>
        </w:rPr>
        <w:t xml:space="preserve"> Brighton, UK. BN2 4GJ. Phone: +44(0)1273 642421, Email: </w:t>
      </w:r>
      <w:hyperlink r:id="rId3" w:history="1">
        <w:r>
          <w:rPr>
            <w:i/>
            <w:iCs/>
            <w:sz w:val="20"/>
            <w:szCs w:val="20"/>
          </w:rPr>
          <w:t>A.E.Piroozfar@brighton.ac.uk</w:t>
        </w:r>
      </w:hyperlink>
      <w:r>
        <w:rPr>
          <w:i/>
          <w:iCs/>
          <w:sz w:val="20"/>
          <w:szCs w:val="20"/>
        </w:rPr>
        <w:t xml:space="preserve"> </w:t>
      </w:r>
      <w:r>
        <w:rPr>
          <w:sz w:val="20"/>
          <w:szCs w:val="20"/>
        </w:rPr>
        <w:t xml:space="preserve">  </w:t>
      </w:r>
    </w:p>
  </w:footnote>
  <w:footnote w:id="4">
    <w:p w:rsidR="002A0BB5" w:rsidRDefault="00C41F8F">
      <w:pPr>
        <w:pStyle w:val="Affiliation"/>
        <w:spacing w:before="0" w:after="0" w:line="240" w:lineRule="auto"/>
        <w:rPr>
          <w:sz w:val="20"/>
          <w:szCs w:val="20"/>
        </w:rPr>
      </w:pPr>
      <w:r>
        <w:rPr>
          <w:rStyle w:val="FootnoteReference"/>
          <w:sz w:val="20"/>
          <w:szCs w:val="20"/>
        </w:rPr>
        <w:footnoteRef/>
      </w:r>
      <w:r>
        <w:rPr>
          <w:sz w:val="20"/>
          <w:szCs w:val="20"/>
        </w:rPr>
        <w:t xml:space="preserve"> </w:t>
      </w:r>
      <w:r>
        <w:rPr>
          <w:i w:val="0"/>
          <w:iCs/>
          <w:sz w:val="20"/>
          <w:szCs w:val="20"/>
        </w:rPr>
        <w:t xml:space="preserve">Associate Professor, </w:t>
      </w:r>
      <w:r>
        <w:rPr>
          <w:i w:val="0"/>
          <w:sz w:val="20"/>
          <w:szCs w:val="20"/>
        </w:rPr>
        <w:t xml:space="preserve">School of Management, Guangzhou University, 230 Guangzhou University City Outer Ring Road, Guangzhou, China, 510006. Phone: +86 13828411298, Email: </w:t>
      </w:r>
      <w:hyperlink r:id="rId4" w:history="1">
        <w:r>
          <w:rPr>
            <w:sz w:val="20"/>
            <w:szCs w:val="20"/>
          </w:rPr>
          <w:t>907840351@qq.com</w:t>
        </w:r>
      </w:hyperlink>
      <w:r>
        <w:rPr>
          <w:i w:val="0"/>
          <w:sz w:val="20"/>
          <w:szCs w:val="20"/>
        </w:rPr>
        <w:t xml:space="preserve"> </w:t>
      </w:r>
    </w:p>
  </w:footnote>
  <w:footnote w:id="5">
    <w:p w:rsidR="002A0BB5" w:rsidRDefault="00C41F8F">
      <w:pPr>
        <w:pStyle w:val="Affiliation"/>
        <w:spacing w:before="0" w:after="0" w:line="240" w:lineRule="auto"/>
        <w:rPr>
          <w:sz w:val="20"/>
          <w:szCs w:val="20"/>
        </w:rPr>
      </w:pPr>
      <w:r>
        <w:rPr>
          <w:rStyle w:val="FootnoteReference"/>
          <w:sz w:val="20"/>
          <w:szCs w:val="20"/>
        </w:rPr>
        <w:footnoteRef/>
      </w:r>
      <w:r>
        <w:rPr>
          <w:sz w:val="20"/>
          <w:szCs w:val="20"/>
        </w:rPr>
        <w:t xml:space="preserve"> </w:t>
      </w:r>
      <w:r>
        <w:rPr>
          <w:i w:val="0"/>
          <w:iCs/>
          <w:sz w:val="20"/>
          <w:szCs w:val="20"/>
        </w:rPr>
        <w:t xml:space="preserve">Assistant Professor, </w:t>
      </w:r>
      <w:r>
        <w:rPr>
          <w:i w:val="0"/>
          <w:sz w:val="20"/>
          <w:szCs w:val="20"/>
        </w:rPr>
        <w:t>Department of Civil Engineering, University of Nottingham Ningbo China, Ningbo,</w:t>
      </w:r>
      <w:r>
        <w:rPr>
          <w:sz w:val="20"/>
          <w:szCs w:val="20"/>
        </w:rPr>
        <w:t xml:space="preserve"> </w:t>
      </w:r>
      <w:r>
        <w:rPr>
          <w:i w:val="0"/>
          <w:sz w:val="20"/>
          <w:szCs w:val="20"/>
        </w:rPr>
        <w:t xml:space="preserve">315100, China. Phone: +86 574 8818 8671, Email: </w:t>
      </w:r>
      <w:r>
        <w:rPr>
          <w:iCs/>
          <w:sz w:val="20"/>
          <w:szCs w:val="20"/>
        </w:rPr>
        <w:t>Byung-Gyoo.Kang@nottingham.edu.cn</w:t>
      </w:r>
    </w:p>
  </w:footnote>
  <w:footnote w:id="6">
    <w:p w:rsidR="002A0BB5" w:rsidRDefault="00C41F8F">
      <w:pPr>
        <w:pStyle w:val="Affiliation"/>
        <w:spacing w:before="0" w:after="0" w:line="240" w:lineRule="auto"/>
        <w:rPr>
          <w:sz w:val="20"/>
          <w:szCs w:val="20"/>
        </w:rPr>
      </w:pPr>
      <w:r>
        <w:rPr>
          <w:rStyle w:val="FootnoteReference"/>
          <w:sz w:val="20"/>
          <w:szCs w:val="20"/>
        </w:rPr>
        <w:footnoteRef/>
      </w:r>
      <w:r>
        <w:rPr>
          <w:sz w:val="20"/>
          <w:szCs w:val="20"/>
        </w:rPr>
        <w:t xml:space="preserve"> </w:t>
      </w:r>
      <w:r>
        <w:rPr>
          <w:i w:val="0"/>
          <w:iCs/>
          <w:sz w:val="20"/>
          <w:szCs w:val="20"/>
        </w:rPr>
        <w:t xml:space="preserve">Lecturer, </w:t>
      </w:r>
      <w:r>
        <w:rPr>
          <w:i w:val="0"/>
          <w:sz w:val="20"/>
          <w:szCs w:val="20"/>
        </w:rPr>
        <w:t xml:space="preserve">School of Management, Shanghai University, </w:t>
      </w:r>
      <w:r>
        <w:rPr>
          <w:rFonts w:eastAsiaTheme="minorEastAsia" w:hint="eastAsia"/>
          <w:i w:val="0"/>
          <w:sz w:val="20"/>
          <w:szCs w:val="20"/>
          <w:lang w:eastAsia="zh-CN"/>
        </w:rPr>
        <w:t xml:space="preserve">599 </w:t>
      </w:r>
      <w:r>
        <w:rPr>
          <w:rFonts w:eastAsiaTheme="minorEastAsia"/>
          <w:i w:val="0"/>
          <w:sz w:val="20"/>
          <w:szCs w:val="20"/>
          <w:lang w:eastAsia="zh-CN"/>
        </w:rPr>
        <w:t>Sh</w:t>
      </w:r>
      <w:r>
        <w:rPr>
          <w:rFonts w:eastAsiaTheme="minorEastAsia" w:hint="eastAsia"/>
          <w:i w:val="0"/>
          <w:sz w:val="20"/>
          <w:szCs w:val="20"/>
          <w:lang w:eastAsia="zh-CN"/>
        </w:rPr>
        <w:t xml:space="preserve">angda Road, </w:t>
      </w:r>
      <w:r>
        <w:rPr>
          <w:i w:val="0"/>
          <w:sz w:val="20"/>
          <w:szCs w:val="20"/>
        </w:rPr>
        <w:t>Shanghai, China</w:t>
      </w:r>
      <w:r>
        <w:rPr>
          <w:rFonts w:eastAsiaTheme="minorEastAsia" w:hint="eastAsia"/>
          <w:i w:val="0"/>
          <w:sz w:val="20"/>
          <w:szCs w:val="20"/>
          <w:lang w:eastAsia="zh-CN"/>
        </w:rPr>
        <w:t xml:space="preserve">, 200444. </w:t>
      </w:r>
      <w:r>
        <w:rPr>
          <w:i w:val="0"/>
          <w:sz w:val="20"/>
          <w:szCs w:val="20"/>
        </w:rPr>
        <w:t>Phone: +86 138</w:t>
      </w:r>
      <w:r>
        <w:rPr>
          <w:rFonts w:eastAsiaTheme="minorEastAsia" w:hint="eastAsia"/>
          <w:i w:val="0"/>
          <w:sz w:val="20"/>
          <w:szCs w:val="20"/>
          <w:lang w:eastAsia="zh-CN"/>
        </w:rPr>
        <w:t>16899923</w:t>
      </w:r>
      <w:r>
        <w:rPr>
          <w:i w:val="0"/>
          <w:sz w:val="20"/>
          <w:szCs w:val="20"/>
        </w:rPr>
        <w:t xml:space="preserve">, Email: </w:t>
      </w:r>
      <w:r>
        <w:rPr>
          <w:rFonts w:eastAsiaTheme="minorEastAsia" w:hint="eastAsia"/>
          <w:sz w:val="20"/>
          <w:szCs w:val="20"/>
          <w:lang w:eastAsia="zh-CN"/>
        </w:rPr>
        <w:t>liangma@</w:t>
      </w:r>
      <w:r>
        <w:rPr>
          <w:rFonts w:eastAsiaTheme="minorEastAsia"/>
          <w:sz w:val="20"/>
          <w:szCs w:val="20"/>
          <w:lang w:eastAsia="zh-CN"/>
        </w:rPr>
        <w:t>Shanghai</w:t>
      </w:r>
      <w:r>
        <w:rPr>
          <w:rFonts w:eastAsiaTheme="minorEastAsia" w:hint="eastAsia"/>
          <w:sz w:val="20"/>
          <w:szCs w:val="20"/>
          <w:lang w:eastAsia="zh-CN"/>
        </w:rPr>
        <w:t>u.edu.cn</w:t>
      </w:r>
    </w:p>
  </w:footnote>
  <w:footnote w:id="7">
    <w:p w:rsidR="002A0BB5" w:rsidRDefault="00C41F8F">
      <w:pPr>
        <w:pStyle w:val="Affiliation"/>
        <w:spacing w:before="0" w:after="0" w:line="240" w:lineRule="auto"/>
        <w:rPr>
          <w:sz w:val="20"/>
          <w:szCs w:val="20"/>
        </w:rPr>
      </w:pPr>
      <w:r>
        <w:rPr>
          <w:rStyle w:val="FootnoteReference"/>
          <w:sz w:val="20"/>
          <w:szCs w:val="20"/>
        </w:rPr>
        <w:footnoteRef/>
      </w:r>
      <w:r>
        <w:rPr>
          <w:sz w:val="20"/>
          <w:szCs w:val="20"/>
        </w:rPr>
        <w:t xml:space="preserve"> </w:t>
      </w:r>
      <w:r>
        <w:rPr>
          <w:i w:val="0"/>
          <w:iCs/>
          <w:sz w:val="20"/>
          <w:szCs w:val="20"/>
        </w:rPr>
        <w:t xml:space="preserve">Professor, </w:t>
      </w:r>
      <w:r>
        <w:rPr>
          <w:i w:val="0"/>
          <w:sz w:val="20"/>
          <w:szCs w:val="20"/>
        </w:rPr>
        <w:t>School of Civil Engineering, Faculty of Engineering, University of Leeds, Leeds, UK.</w:t>
      </w:r>
      <w:r>
        <w:rPr>
          <w:sz w:val="20"/>
          <w:szCs w:val="20"/>
        </w:rPr>
        <w:t xml:space="preserve"> LS2 9JT. Phone: +44(0)7481 462 480, Email: </w:t>
      </w:r>
      <w:hyperlink r:id="rId5" w:history="1">
        <w:r>
          <w:rPr>
            <w:sz w:val="20"/>
            <w:szCs w:val="20"/>
          </w:rPr>
          <w:t>D.Wan@leeds.ac.uk</w:t>
        </w:r>
      </w:hyperlink>
    </w:p>
  </w:footnote>
  <w:footnote w:id="8">
    <w:p w:rsidR="002A0BB5" w:rsidRDefault="00C41F8F">
      <w:pPr>
        <w:pStyle w:val="Affiliation"/>
        <w:spacing w:before="0" w:after="0" w:line="240" w:lineRule="auto"/>
        <w:rPr>
          <w:i w:val="0"/>
          <w:sz w:val="20"/>
          <w:szCs w:val="20"/>
        </w:rPr>
      </w:pPr>
      <w:r>
        <w:rPr>
          <w:rStyle w:val="FootnoteReference"/>
          <w:sz w:val="20"/>
          <w:szCs w:val="20"/>
        </w:rPr>
        <w:footnoteRef/>
      </w:r>
      <w:r>
        <w:rPr>
          <w:sz w:val="20"/>
          <w:szCs w:val="20"/>
        </w:rPr>
        <w:t xml:space="preserve"> </w:t>
      </w:r>
      <w:r>
        <w:rPr>
          <w:i w:val="0"/>
          <w:iCs/>
          <w:sz w:val="20"/>
          <w:szCs w:val="20"/>
        </w:rPr>
        <w:t xml:space="preserve">Senior Lecturer, </w:t>
      </w:r>
      <w:r>
        <w:rPr>
          <w:i w:val="0"/>
          <w:sz w:val="20"/>
          <w:szCs w:val="20"/>
        </w:rPr>
        <w:t xml:space="preserve">Faculty of Science and Technology, Middlesex University, London, UK </w:t>
      </w:r>
    </w:p>
    <w:p w:rsidR="002A0BB5" w:rsidRDefault="00C41F8F">
      <w:pPr>
        <w:pStyle w:val="Affiliation"/>
        <w:spacing w:before="0" w:after="0" w:line="240" w:lineRule="auto"/>
        <w:rPr>
          <w:i w:val="0"/>
          <w:sz w:val="20"/>
          <w:szCs w:val="20"/>
        </w:rPr>
      </w:pPr>
      <w:r>
        <w:rPr>
          <w:i w:val="0"/>
          <w:sz w:val="20"/>
          <w:szCs w:val="20"/>
        </w:rPr>
        <w:t>The Burroughs, Hendon, London NW4 4BT. Phone: +44 (0)208 411 3427 Email:</w:t>
      </w:r>
      <w:r>
        <w:rPr>
          <w:sz w:val="20"/>
          <w:szCs w:val="20"/>
        </w:rPr>
        <w:t xml:space="preserve"> </w:t>
      </w:r>
      <w:hyperlink r:id="rId6" w:history="1">
        <w:r>
          <w:rPr>
            <w:sz w:val="20"/>
            <w:szCs w:val="20"/>
          </w:rPr>
          <w:t>t.yang@mdx.ac.uk</w:t>
        </w:r>
      </w:hyperlink>
    </w:p>
    <w:p w:rsidR="002A0BB5" w:rsidRDefault="002A0BB5">
      <w:pPr>
        <w:pStyle w:val="FootnoteText"/>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D0C07"/>
    <w:multiLevelType w:val="multilevel"/>
    <w:tmpl w:val="3C5D0C07"/>
    <w:lvl w:ilvl="0">
      <w:start w:val="1"/>
      <w:numFmt w:val="decimal"/>
      <w:pStyle w:val="Numberedlist"/>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D96BF8"/>
    <w:multiLevelType w:val="multilevel"/>
    <w:tmpl w:val="5BD96BF8"/>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99"/>
    <w:rsid w:val="000028D1"/>
    <w:rsid w:val="00003DEF"/>
    <w:rsid w:val="000049AD"/>
    <w:rsid w:val="0000681B"/>
    <w:rsid w:val="00010302"/>
    <w:rsid w:val="000131DB"/>
    <w:rsid w:val="000133C0"/>
    <w:rsid w:val="00014C4E"/>
    <w:rsid w:val="00015735"/>
    <w:rsid w:val="00017107"/>
    <w:rsid w:val="000202E2"/>
    <w:rsid w:val="00020421"/>
    <w:rsid w:val="0002161D"/>
    <w:rsid w:val="00022441"/>
    <w:rsid w:val="0002261E"/>
    <w:rsid w:val="00023279"/>
    <w:rsid w:val="0002358B"/>
    <w:rsid w:val="00024839"/>
    <w:rsid w:val="00026871"/>
    <w:rsid w:val="00027971"/>
    <w:rsid w:val="00030C71"/>
    <w:rsid w:val="00032B19"/>
    <w:rsid w:val="00037A98"/>
    <w:rsid w:val="000427FB"/>
    <w:rsid w:val="00043A7D"/>
    <w:rsid w:val="0004455E"/>
    <w:rsid w:val="00045CF3"/>
    <w:rsid w:val="00047CB5"/>
    <w:rsid w:val="00050CEA"/>
    <w:rsid w:val="00050F5E"/>
    <w:rsid w:val="00051FAA"/>
    <w:rsid w:val="00052CBB"/>
    <w:rsid w:val="00054FBD"/>
    <w:rsid w:val="000572A9"/>
    <w:rsid w:val="00061325"/>
    <w:rsid w:val="00065917"/>
    <w:rsid w:val="000733AC"/>
    <w:rsid w:val="00074B81"/>
    <w:rsid w:val="00074D22"/>
    <w:rsid w:val="00075081"/>
    <w:rsid w:val="0007528A"/>
    <w:rsid w:val="000757DD"/>
    <w:rsid w:val="00076664"/>
    <w:rsid w:val="000811AB"/>
    <w:rsid w:val="00083C5F"/>
    <w:rsid w:val="000903FF"/>
    <w:rsid w:val="00090C17"/>
    <w:rsid w:val="0009172C"/>
    <w:rsid w:val="00092012"/>
    <w:rsid w:val="000930EC"/>
    <w:rsid w:val="00095E61"/>
    <w:rsid w:val="000966C1"/>
    <w:rsid w:val="000970AC"/>
    <w:rsid w:val="000A1167"/>
    <w:rsid w:val="000A134C"/>
    <w:rsid w:val="000A16CE"/>
    <w:rsid w:val="000A1AF5"/>
    <w:rsid w:val="000A2253"/>
    <w:rsid w:val="000A2A81"/>
    <w:rsid w:val="000A3E73"/>
    <w:rsid w:val="000A4428"/>
    <w:rsid w:val="000A519B"/>
    <w:rsid w:val="000A6D40"/>
    <w:rsid w:val="000A7BC3"/>
    <w:rsid w:val="000B1661"/>
    <w:rsid w:val="000B173A"/>
    <w:rsid w:val="000B1F0B"/>
    <w:rsid w:val="000B2E88"/>
    <w:rsid w:val="000B4603"/>
    <w:rsid w:val="000C09BE"/>
    <w:rsid w:val="000C1380"/>
    <w:rsid w:val="000C14B9"/>
    <w:rsid w:val="000C2D1E"/>
    <w:rsid w:val="000C32D7"/>
    <w:rsid w:val="000C554F"/>
    <w:rsid w:val="000C5BCD"/>
    <w:rsid w:val="000D06C7"/>
    <w:rsid w:val="000D0DC5"/>
    <w:rsid w:val="000D15FF"/>
    <w:rsid w:val="000D28DF"/>
    <w:rsid w:val="000D3BBD"/>
    <w:rsid w:val="000D488B"/>
    <w:rsid w:val="000D54F2"/>
    <w:rsid w:val="000D68DF"/>
    <w:rsid w:val="000D6E4A"/>
    <w:rsid w:val="000E138D"/>
    <w:rsid w:val="000E187A"/>
    <w:rsid w:val="000E2975"/>
    <w:rsid w:val="000E2D61"/>
    <w:rsid w:val="000E450E"/>
    <w:rsid w:val="000E5297"/>
    <w:rsid w:val="000E592A"/>
    <w:rsid w:val="000E6259"/>
    <w:rsid w:val="000F2CF1"/>
    <w:rsid w:val="000F4677"/>
    <w:rsid w:val="000F5BE0"/>
    <w:rsid w:val="000F655A"/>
    <w:rsid w:val="000F6E8C"/>
    <w:rsid w:val="000F77F0"/>
    <w:rsid w:val="00100204"/>
    <w:rsid w:val="00100587"/>
    <w:rsid w:val="0010284E"/>
    <w:rsid w:val="00103122"/>
    <w:rsid w:val="0010336A"/>
    <w:rsid w:val="001033F1"/>
    <w:rsid w:val="001050F1"/>
    <w:rsid w:val="00105AEA"/>
    <w:rsid w:val="00106DAF"/>
    <w:rsid w:val="00107199"/>
    <w:rsid w:val="00107EBD"/>
    <w:rsid w:val="00110C2D"/>
    <w:rsid w:val="0011337A"/>
    <w:rsid w:val="001133CE"/>
    <w:rsid w:val="00113F2A"/>
    <w:rsid w:val="00114ABE"/>
    <w:rsid w:val="00115B35"/>
    <w:rsid w:val="00116023"/>
    <w:rsid w:val="00126405"/>
    <w:rsid w:val="0012746C"/>
    <w:rsid w:val="00130D62"/>
    <w:rsid w:val="00134851"/>
    <w:rsid w:val="00134A51"/>
    <w:rsid w:val="00137495"/>
    <w:rsid w:val="00140727"/>
    <w:rsid w:val="001432D4"/>
    <w:rsid w:val="00147050"/>
    <w:rsid w:val="001472A0"/>
    <w:rsid w:val="001475E0"/>
    <w:rsid w:val="00160628"/>
    <w:rsid w:val="00161344"/>
    <w:rsid w:val="00162195"/>
    <w:rsid w:val="0016322A"/>
    <w:rsid w:val="00164C35"/>
    <w:rsid w:val="00164D82"/>
    <w:rsid w:val="00165A21"/>
    <w:rsid w:val="00165BC5"/>
    <w:rsid w:val="001705CE"/>
    <w:rsid w:val="00171C36"/>
    <w:rsid w:val="00172A27"/>
    <w:rsid w:val="0017427E"/>
    <w:rsid w:val="00174F26"/>
    <w:rsid w:val="0017714B"/>
    <w:rsid w:val="0017748C"/>
    <w:rsid w:val="00177EF9"/>
    <w:rsid w:val="001804DF"/>
    <w:rsid w:val="00181BDC"/>
    <w:rsid w:val="00181DB0"/>
    <w:rsid w:val="001829E3"/>
    <w:rsid w:val="00183B0D"/>
    <w:rsid w:val="001861F4"/>
    <w:rsid w:val="001924C0"/>
    <w:rsid w:val="0019383F"/>
    <w:rsid w:val="00194A41"/>
    <w:rsid w:val="00195F44"/>
    <w:rsid w:val="0019731E"/>
    <w:rsid w:val="001A09FE"/>
    <w:rsid w:val="001A170B"/>
    <w:rsid w:val="001A25F0"/>
    <w:rsid w:val="001A2EA4"/>
    <w:rsid w:val="001A4491"/>
    <w:rsid w:val="001A67C9"/>
    <w:rsid w:val="001A69DE"/>
    <w:rsid w:val="001A713C"/>
    <w:rsid w:val="001A7CE9"/>
    <w:rsid w:val="001A7E4F"/>
    <w:rsid w:val="001B1C7C"/>
    <w:rsid w:val="001B398F"/>
    <w:rsid w:val="001B46C6"/>
    <w:rsid w:val="001B48D0"/>
    <w:rsid w:val="001B4B48"/>
    <w:rsid w:val="001B4D1F"/>
    <w:rsid w:val="001B6F34"/>
    <w:rsid w:val="001B7681"/>
    <w:rsid w:val="001B7CAE"/>
    <w:rsid w:val="001C037B"/>
    <w:rsid w:val="001C0772"/>
    <w:rsid w:val="001C0D4F"/>
    <w:rsid w:val="001C1BA3"/>
    <w:rsid w:val="001C1DEC"/>
    <w:rsid w:val="001C2133"/>
    <w:rsid w:val="001C5736"/>
    <w:rsid w:val="001D0CA2"/>
    <w:rsid w:val="001D25E2"/>
    <w:rsid w:val="001D4EB5"/>
    <w:rsid w:val="001D4FEC"/>
    <w:rsid w:val="001D5E29"/>
    <w:rsid w:val="001D647F"/>
    <w:rsid w:val="001D6857"/>
    <w:rsid w:val="001E03FC"/>
    <w:rsid w:val="001E0572"/>
    <w:rsid w:val="001E0A67"/>
    <w:rsid w:val="001E1028"/>
    <w:rsid w:val="001E14E2"/>
    <w:rsid w:val="001E2E68"/>
    <w:rsid w:val="001E6302"/>
    <w:rsid w:val="001E6E88"/>
    <w:rsid w:val="001E7DCB"/>
    <w:rsid w:val="001F1349"/>
    <w:rsid w:val="001F2E58"/>
    <w:rsid w:val="001F3411"/>
    <w:rsid w:val="001F3AD5"/>
    <w:rsid w:val="001F4287"/>
    <w:rsid w:val="001F4DBA"/>
    <w:rsid w:val="001F5D6D"/>
    <w:rsid w:val="0020415E"/>
    <w:rsid w:val="00204FF4"/>
    <w:rsid w:val="00207BB6"/>
    <w:rsid w:val="0021056E"/>
    <w:rsid w:val="0021075D"/>
    <w:rsid w:val="0021165A"/>
    <w:rsid w:val="00211A65"/>
    <w:rsid w:val="00211BC9"/>
    <w:rsid w:val="0021620C"/>
    <w:rsid w:val="00216E78"/>
    <w:rsid w:val="00217275"/>
    <w:rsid w:val="00224B41"/>
    <w:rsid w:val="00226255"/>
    <w:rsid w:val="00227841"/>
    <w:rsid w:val="00232179"/>
    <w:rsid w:val="00236F4B"/>
    <w:rsid w:val="00237CEA"/>
    <w:rsid w:val="00242B0D"/>
    <w:rsid w:val="00242DFA"/>
    <w:rsid w:val="00245C65"/>
    <w:rsid w:val="0024648F"/>
    <w:rsid w:val="002467C6"/>
    <w:rsid w:val="0024692A"/>
    <w:rsid w:val="00247278"/>
    <w:rsid w:val="00251EEC"/>
    <w:rsid w:val="00252BBA"/>
    <w:rsid w:val="00253123"/>
    <w:rsid w:val="002554E8"/>
    <w:rsid w:val="00256FC1"/>
    <w:rsid w:val="0026002F"/>
    <w:rsid w:val="00261F11"/>
    <w:rsid w:val="00262FA7"/>
    <w:rsid w:val="00264001"/>
    <w:rsid w:val="00264E34"/>
    <w:rsid w:val="00265E07"/>
    <w:rsid w:val="00266354"/>
    <w:rsid w:val="00267A18"/>
    <w:rsid w:val="00273462"/>
    <w:rsid w:val="0027395B"/>
    <w:rsid w:val="00275854"/>
    <w:rsid w:val="00276D44"/>
    <w:rsid w:val="002812A6"/>
    <w:rsid w:val="0028311E"/>
    <w:rsid w:val="00283839"/>
    <w:rsid w:val="00283B41"/>
    <w:rsid w:val="00285F07"/>
    <w:rsid w:val="00285F28"/>
    <w:rsid w:val="00286398"/>
    <w:rsid w:val="00287985"/>
    <w:rsid w:val="00291C40"/>
    <w:rsid w:val="0029379F"/>
    <w:rsid w:val="0029403A"/>
    <w:rsid w:val="002A0BB5"/>
    <w:rsid w:val="002A3C42"/>
    <w:rsid w:val="002A4365"/>
    <w:rsid w:val="002A4C03"/>
    <w:rsid w:val="002A5D75"/>
    <w:rsid w:val="002B09D0"/>
    <w:rsid w:val="002B0BEE"/>
    <w:rsid w:val="002B1B1A"/>
    <w:rsid w:val="002B22AD"/>
    <w:rsid w:val="002B30F6"/>
    <w:rsid w:val="002B66BA"/>
    <w:rsid w:val="002B6E78"/>
    <w:rsid w:val="002B7228"/>
    <w:rsid w:val="002C343B"/>
    <w:rsid w:val="002C37B9"/>
    <w:rsid w:val="002C53EE"/>
    <w:rsid w:val="002C782B"/>
    <w:rsid w:val="002C790C"/>
    <w:rsid w:val="002D225F"/>
    <w:rsid w:val="002D24F7"/>
    <w:rsid w:val="002D2799"/>
    <w:rsid w:val="002D2CD7"/>
    <w:rsid w:val="002D4DDC"/>
    <w:rsid w:val="002D4F75"/>
    <w:rsid w:val="002D56BC"/>
    <w:rsid w:val="002D6493"/>
    <w:rsid w:val="002D7AB6"/>
    <w:rsid w:val="002E0187"/>
    <w:rsid w:val="002E06D0"/>
    <w:rsid w:val="002E3C27"/>
    <w:rsid w:val="002E3C70"/>
    <w:rsid w:val="002E403A"/>
    <w:rsid w:val="002E4657"/>
    <w:rsid w:val="002E5BA6"/>
    <w:rsid w:val="002E7019"/>
    <w:rsid w:val="002E7F3A"/>
    <w:rsid w:val="002F2BCD"/>
    <w:rsid w:val="002F3EDB"/>
    <w:rsid w:val="002F4EDB"/>
    <w:rsid w:val="002F6054"/>
    <w:rsid w:val="00303E1B"/>
    <w:rsid w:val="00306C35"/>
    <w:rsid w:val="00307C04"/>
    <w:rsid w:val="00310E13"/>
    <w:rsid w:val="00315713"/>
    <w:rsid w:val="0031686C"/>
    <w:rsid w:val="00316FE0"/>
    <w:rsid w:val="003204D2"/>
    <w:rsid w:val="00325984"/>
    <w:rsid w:val="0032605E"/>
    <w:rsid w:val="00326662"/>
    <w:rsid w:val="003275D1"/>
    <w:rsid w:val="0032793F"/>
    <w:rsid w:val="00330291"/>
    <w:rsid w:val="00330B2A"/>
    <w:rsid w:val="00331E17"/>
    <w:rsid w:val="00333063"/>
    <w:rsid w:val="003350BF"/>
    <w:rsid w:val="003361FE"/>
    <w:rsid w:val="00336A5F"/>
    <w:rsid w:val="003408E3"/>
    <w:rsid w:val="00340B1A"/>
    <w:rsid w:val="00343480"/>
    <w:rsid w:val="0034423E"/>
    <w:rsid w:val="00345E89"/>
    <w:rsid w:val="00347B88"/>
    <w:rsid w:val="003511E5"/>
    <w:rsid w:val="003522A1"/>
    <w:rsid w:val="0035254B"/>
    <w:rsid w:val="00352B09"/>
    <w:rsid w:val="00353555"/>
    <w:rsid w:val="003543F9"/>
    <w:rsid w:val="0035483D"/>
    <w:rsid w:val="003565D4"/>
    <w:rsid w:val="003607FB"/>
    <w:rsid w:val="00360FD5"/>
    <w:rsid w:val="003624EE"/>
    <w:rsid w:val="00362B9E"/>
    <w:rsid w:val="00362D9D"/>
    <w:rsid w:val="0036340D"/>
    <w:rsid w:val="003634A5"/>
    <w:rsid w:val="00363645"/>
    <w:rsid w:val="00366868"/>
    <w:rsid w:val="00367506"/>
    <w:rsid w:val="0036750C"/>
    <w:rsid w:val="00367FB4"/>
    <w:rsid w:val="00370085"/>
    <w:rsid w:val="00370091"/>
    <w:rsid w:val="003712F5"/>
    <w:rsid w:val="003718C7"/>
    <w:rsid w:val="003731AC"/>
    <w:rsid w:val="003744A7"/>
    <w:rsid w:val="003750C2"/>
    <w:rsid w:val="00376235"/>
    <w:rsid w:val="00381FB6"/>
    <w:rsid w:val="003836D3"/>
    <w:rsid w:val="00383A52"/>
    <w:rsid w:val="00383AE9"/>
    <w:rsid w:val="0038445E"/>
    <w:rsid w:val="00386DF5"/>
    <w:rsid w:val="00391652"/>
    <w:rsid w:val="00392596"/>
    <w:rsid w:val="0039356B"/>
    <w:rsid w:val="0039507F"/>
    <w:rsid w:val="00395D43"/>
    <w:rsid w:val="0039670E"/>
    <w:rsid w:val="003A1260"/>
    <w:rsid w:val="003A295F"/>
    <w:rsid w:val="003A3B56"/>
    <w:rsid w:val="003A41DD"/>
    <w:rsid w:val="003A5C2E"/>
    <w:rsid w:val="003A7033"/>
    <w:rsid w:val="003B0BAB"/>
    <w:rsid w:val="003B1154"/>
    <w:rsid w:val="003B47FE"/>
    <w:rsid w:val="003B5673"/>
    <w:rsid w:val="003B6287"/>
    <w:rsid w:val="003B62C9"/>
    <w:rsid w:val="003C3B04"/>
    <w:rsid w:val="003C7176"/>
    <w:rsid w:val="003D0929"/>
    <w:rsid w:val="003D0AAB"/>
    <w:rsid w:val="003D2E06"/>
    <w:rsid w:val="003D4729"/>
    <w:rsid w:val="003D727F"/>
    <w:rsid w:val="003D7DD6"/>
    <w:rsid w:val="003E2E69"/>
    <w:rsid w:val="003E42D2"/>
    <w:rsid w:val="003E5AAF"/>
    <w:rsid w:val="003E600D"/>
    <w:rsid w:val="003E64DF"/>
    <w:rsid w:val="003E6A5D"/>
    <w:rsid w:val="003F0B5B"/>
    <w:rsid w:val="003F0D6B"/>
    <w:rsid w:val="003F193A"/>
    <w:rsid w:val="003F4207"/>
    <w:rsid w:val="003F5C46"/>
    <w:rsid w:val="003F6569"/>
    <w:rsid w:val="003F7CBB"/>
    <w:rsid w:val="003F7D34"/>
    <w:rsid w:val="00402635"/>
    <w:rsid w:val="00402FCB"/>
    <w:rsid w:val="004107B3"/>
    <w:rsid w:val="00411372"/>
    <w:rsid w:val="00411C68"/>
    <w:rsid w:val="00412C8E"/>
    <w:rsid w:val="0041518D"/>
    <w:rsid w:val="004162D1"/>
    <w:rsid w:val="0042221D"/>
    <w:rsid w:val="00423B67"/>
    <w:rsid w:val="00424DD3"/>
    <w:rsid w:val="004257BD"/>
    <w:rsid w:val="004269C5"/>
    <w:rsid w:val="0043010A"/>
    <w:rsid w:val="00434D5F"/>
    <w:rsid w:val="004353EC"/>
    <w:rsid w:val="00435939"/>
    <w:rsid w:val="00437CC7"/>
    <w:rsid w:val="00442B9C"/>
    <w:rsid w:val="00444232"/>
    <w:rsid w:val="00445EFA"/>
    <w:rsid w:val="004464AD"/>
    <w:rsid w:val="0044738A"/>
    <w:rsid w:val="004473D3"/>
    <w:rsid w:val="00452231"/>
    <w:rsid w:val="00454FD0"/>
    <w:rsid w:val="00456A1A"/>
    <w:rsid w:val="00460C13"/>
    <w:rsid w:val="00463228"/>
    <w:rsid w:val="00463782"/>
    <w:rsid w:val="00465FD2"/>
    <w:rsid w:val="004667E0"/>
    <w:rsid w:val="0046760E"/>
    <w:rsid w:val="00470E10"/>
    <w:rsid w:val="00471C0D"/>
    <w:rsid w:val="00473E9D"/>
    <w:rsid w:val="00477A97"/>
    <w:rsid w:val="00481343"/>
    <w:rsid w:val="00482C90"/>
    <w:rsid w:val="004833B2"/>
    <w:rsid w:val="0048549E"/>
    <w:rsid w:val="00491081"/>
    <w:rsid w:val="004920B6"/>
    <w:rsid w:val="004927DD"/>
    <w:rsid w:val="00493347"/>
    <w:rsid w:val="00494A4D"/>
    <w:rsid w:val="00496092"/>
    <w:rsid w:val="0049703F"/>
    <w:rsid w:val="004A08DB"/>
    <w:rsid w:val="004A25D0"/>
    <w:rsid w:val="004A37E8"/>
    <w:rsid w:val="004A7549"/>
    <w:rsid w:val="004B09D4"/>
    <w:rsid w:val="004B309D"/>
    <w:rsid w:val="004B330A"/>
    <w:rsid w:val="004B7C8E"/>
    <w:rsid w:val="004C1AC4"/>
    <w:rsid w:val="004C2CA2"/>
    <w:rsid w:val="004C3737"/>
    <w:rsid w:val="004C3AFD"/>
    <w:rsid w:val="004C3D3C"/>
    <w:rsid w:val="004C524F"/>
    <w:rsid w:val="004C548F"/>
    <w:rsid w:val="004C5CEA"/>
    <w:rsid w:val="004C745A"/>
    <w:rsid w:val="004D0EDC"/>
    <w:rsid w:val="004D1220"/>
    <w:rsid w:val="004D14B3"/>
    <w:rsid w:val="004D1529"/>
    <w:rsid w:val="004D2253"/>
    <w:rsid w:val="004D455F"/>
    <w:rsid w:val="004D5514"/>
    <w:rsid w:val="004D56C3"/>
    <w:rsid w:val="004E0338"/>
    <w:rsid w:val="004E05DA"/>
    <w:rsid w:val="004E4FF3"/>
    <w:rsid w:val="004E56A8"/>
    <w:rsid w:val="004F3B55"/>
    <w:rsid w:val="004F3CD2"/>
    <w:rsid w:val="004F4E46"/>
    <w:rsid w:val="004F50A6"/>
    <w:rsid w:val="004F6B7D"/>
    <w:rsid w:val="005015F6"/>
    <w:rsid w:val="00501A3A"/>
    <w:rsid w:val="005030C4"/>
    <w:rsid w:val="005031C5"/>
    <w:rsid w:val="00504FDC"/>
    <w:rsid w:val="00506A6A"/>
    <w:rsid w:val="00506B57"/>
    <w:rsid w:val="00511444"/>
    <w:rsid w:val="005118BE"/>
    <w:rsid w:val="005120CC"/>
    <w:rsid w:val="00512B7B"/>
    <w:rsid w:val="00514AC7"/>
    <w:rsid w:val="00514EA1"/>
    <w:rsid w:val="00516184"/>
    <w:rsid w:val="0051798B"/>
    <w:rsid w:val="00520282"/>
    <w:rsid w:val="00521F5A"/>
    <w:rsid w:val="00523938"/>
    <w:rsid w:val="00525D06"/>
    <w:rsid w:val="00525E06"/>
    <w:rsid w:val="00526454"/>
    <w:rsid w:val="0052752B"/>
    <w:rsid w:val="00531823"/>
    <w:rsid w:val="005327B2"/>
    <w:rsid w:val="00534ECC"/>
    <w:rsid w:val="00534FD9"/>
    <w:rsid w:val="00535A73"/>
    <w:rsid w:val="0053720D"/>
    <w:rsid w:val="00540332"/>
    <w:rsid w:val="00540E1F"/>
    <w:rsid w:val="00540EF5"/>
    <w:rsid w:val="0054195A"/>
    <w:rsid w:val="00541BF3"/>
    <w:rsid w:val="00541CD3"/>
    <w:rsid w:val="00542C06"/>
    <w:rsid w:val="0054325D"/>
    <w:rsid w:val="005476FA"/>
    <w:rsid w:val="005512BA"/>
    <w:rsid w:val="00554536"/>
    <w:rsid w:val="0055595E"/>
    <w:rsid w:val="00557988"/>
    <w:rsid w:val="00562C49"/>
    <w:rsid w:val="00562DEF"/>
    <w:rsid w:val="0056321A"/>
    <w:rsid w:val="00563A35"/>
    <w:rsid w:val="00566596"/>
    <w:rsid w:val="005678D7"/>
    <w:rsid w:val="005741E9"/>
    <w:rsid w:val="005748CF"/>
    <w:rsid w:val="00575630"/>
    <w:rsid w:val="0057590D"/>
    <w:rsid w:val="00576164"/>
    <w:rsid w:val="00576E1D"/>
    <w:rsid w:val="0058125C"/>
    <w:rsid w:val="00583659"/>
    <w:rsid w:val="00584270"/>
    <w:rsid w:val="00584738"/>
    <w:rsid w:val="00586256"/>
    <w:rsid w:val="005920B0"/>
    <w:rsid w:val="0059380D"/>
    <w:rsid w:val="00595A8F"/>
    <w:rsid w:val="00596A40"/>
    <w:rsid w:val="005977C2"/>
    <w:rsid w:val="00597BF2"/>
    <w:rsid w:val="005A107F"/>
    <w:rsid w:val="005A2B4D"/>
    <w:rsid w:val="005A471E"/>
    <w:rsid w:val="005A693A"/>
    <w:rsid w:val="005B0D15"/>
    <w:rsid w:val="005B134E"/>
    <w:rsid w:val="005B2039"/>
    <w:rsid w:val="005B21F8"/>
    <w:rsid w:val="005B344F"/>
    <w:rsid w:val="005B3C33"/>
    <w:rsid w:val="005B3FBA"/>
    <w:rsid w:val="005B4A1D"/>
    <w:rsid w:val="005B674D"/>
    <w:rsid w:val="005C0CBE"/>
    <w:rsid w:val="005C1FCF"/>
    <w:rsid w:val="005C3B08"/>
    <w:rsid w:val="005C4268"/>
    <w:rsid w:val="005C5165"/>
    <w:rsid w:val="005D1885"/>
    <w:rsid w:val="005D2198"/>
    <w:rsid w:val="005D436B"/>
    <w:rsid w:val="005D4A38"/>
    <w:rsid w:val="005D6BE8"/>
    <w:rsid w:val="005D7884"/>
    <w:rsid w:val="005D7ADE"/>
    <w:rsid w:val="005E0227"/>
    <w:rsid w:val="005E2EEA"/>
    <w:rsid w:val="005E3708"/>
    <w:rsid w:val="005E3CCD"/>
    <w:rsid w:val="005E3D6B"/>
    <w:rsid w:val="005E41F6"/>
    <w:rsid w:val="005E5B55"/>
    <w:rsid w:val="005E5E4A"/>
    <w:rsid w:val="005E693D"/>
    <w:rsid w:val="005E75BF"/>
    <w:rsid w:val="005E7C18"/>
    <w:rsid w:val="005F3319"/>
    <w:rsid w:val="005F40CF"/>
    <w:rsid w:val="005F57BA"/>
    <w:rsid w:val="005F58AC"/>
    <w:rsid w:val="005F61E6"/>
    <w:rsid w:val="005F65FE"/>
    <w:rsid w:val="005F6C45"/>
    <w:rsid w:val="006024BB"/>
    <w:rsid w:val="006040B7"/>
    <w:rsid w:val="006040F3"/>
    <w:rsid w:val="00605A69"/>
    <w:rsid w:val="006063D7"/>
    <w:rsid w:val="00606C54"/>
    <w:rsid w:val="006122D6"/>
    <w:rsid w:val="00614375"/>
    <w:rsid w:val="00614976"/>
    <w:rsid w:val="00614C99"/>
    <w:rsid w:val="00615118"/>
    <w:rsid w:val="00615B0A"/>
    <w:rsid w:val="006168CF"/>
    <w:rsid w:val="0062011B"/>
    <w:rsid w:val="00626DE0"/>
    <w:rsid w:val="00630901"/>
    <w:rsid w:val="006315C6"/>
    <w:rsid w:val="00631F8E"/>
    <w:rsid w:val="00634C2D"/>
    <w:rsid w:val="006352C9"/>
    <w:rsid w:val="006357BF"/>
    <w:rsid w:val="006361FA"/>
    <w:rsid w:val="00636EE9"/>
    <w:rsid w:val="00640950"/>
    <w:rsid w:val="00641AE7"/>
    <w:rsid w:val="00642629"/>
    <w:rsid w:val="00647620"/>
    <w:rsid w:val="006502E7"/>
    <w:rsid w:val="0065038A"/>
    <w:rsid w:val="00651368"/>
    <w:rsid w:val="0065293D"/>
    <w:rsid w:val="00653EFC"/>
    <w:rsid w:val="00654021"/>
    <w:rsid w:val="00654ED5"/>
    <w:rsid w:val="0065670E"/>
    <w:rsid w:val="006567AB"/>
    <w:rsid w:val="0066055D"/>
    <w:rsid w:val="00661045"/>
    <w:rsid w:val="00666DA8"/>
    <w:rsid w:val="0066743C"/>
    <w:rsid w:val="00671057"/>
    <w:rsid w:val="006717DC"/>
    <w:rsid w:val="00675AAF"/>
    <w:rsid w:val="006768C5"/>
    <w:rsid w:val="0068031A"/>
    <w:rsid w:val="0068077A"/>
    <w:rsid w:val="00681B2F"/>
    <w:rsid w:val="0068335F"/>
    <w:rsid w:val="00687217"/>
    <w:rsid w:val="00693302"/>
    <w:rsid w:val="00695511"/>
    <w:rsid w:val="0069640B"/>
    <w:rsid w:val="006A1B83"/>
    <w:rsid w:val="006A21CD"/>
    <w:rsid w:val="006A286D"/>
    <w:rsid w:val="006A2A61"/>
    <w:rsid w:val="006A5918"/>
    <w:rsid w:val="006B21B2"/>
    <w:rsid w:val="006B21CE"/>
    <w:rsid w:val="006B4A4A"/>
    <w:rsid w:val="006B5806"/>
    <w:rsid w:val="006C19B2"/>
    <w:rsid w:val="006C2FA4"/>
    <w:rsid w:val="006C4409"/>
    <w:rsid w:val="006C5BB8"/>
    <w:rsid w:val="006C6936"/>
    <w:rsid w:val="006C6A71"/>
    <w:rsid w:val="006C6ABA"/>
    <w:rsid w:val="006C6C6E"/>
    <w:rsid w:val="006C78C6"/>
    <w:rsid w:val="006C7B01"/>
    <w:rsid w:val="006D0FE8"/>
    <w:rsid w:val="006D214E"/>
    <w:rsid w:val="006D43DC"/>
    <w:rsid w:val="006D4B2B"/>
    <w:rsid w:val="006D4F3C"/>
    <w:rsid w:val="006D5C66"/>
    <w:rsid w:val="006E1B3C"/>
    <w:rsid w:val="006E23FB"/>
    <w:rsid w:val="006E3103"/>
    <w:rsid w:val="006E325A"/>
    <w:rsid w:val="006E33EC"/>
    <w:rsid w:val="006E3802"/>
    <w:rsid w:val="006E6C02"/>
    <w:rsid w:val="006E7B34"/>
    <w:rsid w:val="006F06F1"/>
    <w:rsid w:val="006F0F13"/>
    <w:rsid w:val="006F1296"/>
    <w:rsid w:val="006F231A"/>
    <w:rsid w:val="006F232F"/>
    <w:rsid w:val="006F5651"/>
    <w:rsid w:val="006F5E00"/>
    <w:rsid w:val="006F6B55"/>
    <w:rsid w:val="006F788D"/>
    <w:rsid w:val="006F78E1"/>
    <w:rsid w:val="006F7C03"/>
    <w:rsid w:val="00700A50"/>
    <w:rsid w:val="00701072"/>
    <w:rsid w:val="00702054"/>
    <w:rsid w:val="007035A4"/>
    <w:rsid w:val="00703AEF"/>
    <w:rsid w:val="007064DE"/>
    <w:rsid w:val="007069E8"/>
    <w:rsid w:val="00711799"/>
    <w:rsid w:val="00712675"/>
    <w:rsid w:val="00712B78"/>
    <w:rsid w:val="0071393B"/>
    <w:rsid w:val="00713EE2"/>
    <w:rsid w:val="007177FC"/>
    <w:rsid w:val="00720C5E"/>
    <w:rsid w:val="00721701"/>
    <w:rsid w:val="0072307C"/>
    <w:rsid w:val="00731835"/>
    <w:rsid w:val="00732717"/>
    <w:rsid w:val="007341F8"/>
    <w:rsid w:val="00734372"/>
    <w:rsid w:val="00734EB8"/>
    <w:rsid w:val="00735F8B"/>
    <w:rsid w:val="00740372"/>
    <w:rsid w:val="00742D1F"/>
    <w:rsid w:val="00743D41"/>
    <w:rsid w:val="00743EBA"/>
    <w:rsid w:val="00744C8E"/>
    <w:rsid w:val="00746729"/>
    <w:rsid w:val="0074707E"/>
    <w:rsid w:val="007516DC"/>
    <w:rsid w:val="00752E58"/>
    <w:rsid w:val="007547C9"/>
    <w:rsid w:val="00754B80"/>
    <w:rsid w:val="007613F4"/>
    <w:rsid w:val="00761918"/>
    <w:rsid w:val="00762F03"/>
    <w:rsid w:val="007633F5"/>
    <w:rsid w:val="0076413B"/>
    <w:rsid w:val="007648AE"/>
    <w:rsid w:val="00764BF8"/>
    <w:rsid w:val="0076514D"/>
    <w:rsid w:val="00766DD6"/>
    <w:rsid w:val="00773B9D"/>
    <w:rsid w:val="00773D59"/>
    <w:rsid w:val="007756FB"/>
    <w:rsid w:val="007802D2"/>
    <w:rsid w:val="00780660"/>
    <w:rsid w:val="00780ADC"/>
    <w:rsid w:val="00781003"/>
    <w:rsid w:val="007848F3"/>
    <w:rsid w:val="007909A2"/>
    <w:rsid w:val="007911FD"/>
    <w:rsid w:val="00792A7F"/>
    <w:rsid w:val="00793930"/>
    <w:rsid w:val="00793DD1"/>
    <w:rsid w:val="00794FEC"/>
    <w:rsid w:val="007A003E"/>
    <w:rsid w:val="007A1965"/>
    <w:rsid w:val="007A2ED1"/>
    <w:rsid w:val="007A4258"/>
    <w:rsid w:val="007A4BE6"/>
    <w:rsid w:val="007A5CF4"/>
    <w:rsid w:val="007A620D"/>
    <w:rsid w:val="007B0DC6"/>
    <w:rsid w:val="007B1094"/>
    <w:rsid w:val="007B1762"/>
    <w:rsid w:val="007B3320"/>
    <w:rsid w:val="007B354C"/>
    <w:rsid w:val="007B3C5A"/>
    <w:rsid w:val="007C0355"/>
    <w:rsid w:val="007C0BA1"/>
    <w:rsid w:val="007C117B"/>
    <w:rsid w:val="007C16A0"/>
    <w:rsid w:val="007C301F"/>
    <w:rsid w:val="007C32D2"/>
    <w:rsid w:val="007C4540"/>
    <w:rsid w:val="007C65AF"/>
    <w:rsid w:val="007C676F"/>
    <w:rsid w:val="007D06B3"/>
    <w:rsid w:val="007D135D"/>
    <w:rsid w:val="007D2560"/>
    <w:rsid w:val="007D64BA"/>
    <w:rsid w:val="007D730F"/>
    <w:rsid w:val="007D7CD8"/>
    <w:rsid w:val="007E3AA7"/>
    <w:rsid w:val="007F08E8"/>
    <w:rsid w:val="007F45F9"/>
    <w:rsid w:val="007F737D"/>
    <w:rsid w:val="00802CA5"/>
    <w:rsid w:val="0080308E"/>
    <w:rsid w:val="00805303"/>
    <w:rsid w:val="00805E4F"/>
    <w:rsid w:val="00806705"/>
    <w:rsid w:val="00806738"/>
    <w:rsid w:val="00812F3B"/>
    <w:rsid w:val="00813A7A"/>
    <w:rsid w:val="0081471F"/>
    <w:rsid w:val="00817BCB"/>
    <w:rsid w:val="008216D5"/>
    <w:rsid w:val="00821A83"/>
    <w:rsid w:val="008249CE"/>
    <w:rsid w:val="00825D20"/>
    <w:rsid w:val="008310B0"/>
    <w:rsid w:val="00831A50"/>
    <w:rsid w:val="00831B3C"/>
    <w:rsid w:val="00831C89"/>
    <w:rsid w:val="00832114"/>
    <w:rsid w:val="0083218B"/>
    <w:rsid w:val="00834C46"/>
    <w:rsid w:val="0083529D"/>
    <w:rsid w:val="0083718E"/>
    <w:rsid w:val="00837D20"/>
    <w:rsid w:val="0084093E"/>
    <w:rsid w:val="00840C80"/>
    <w:rsid w:val="00841CE1"/>
    <w:rsid w:val="00844B32"/>
    <w:rsid w:val="008451FA"/>
    <w:rsid w:val="00846C3F"/>
    <w:rsid w:val="008473D8"/>
    <w:rsid w:val="008528DC"/>
    <w:rsid w:val="00852B8C"/>
    <w:rsid w:val="00854981"/>
    <w:rsid w:val="00864B2E"/>
    <w:rsid w:val="00864F63"/>
    <w:rsid w:val="00865963"/>
    <w:rsid w:val="00865DE0"/>
    <w:rsid w:val="00871C1D"/>
    <w:rsid w:val="008737C6"/>
    <w:rsid w:val="0087450E"/>
    <w:rsid w:val="00875A82"/>
    <w:rsid w:val="00876CA3"/>
    <w:rsid w:val="00876DAF"/>
    <w:rsid w:val="008772FE"/>
    <w:rsid w:val="008775F1"/>
    <w:rsid w:val="008807D4"/>
    <w:rsid w:val="0088193B"/>
    <w:rsid w:val="008821AE"/>
    <w:rsid w:val="00883D3A"/>
    <w:rsid w:val="008854F7"/>
    <w:rsid w:val="00885A9D"/>
    <w:rsid w:val="00886329"/>
    <w:rsid w:val="00887000"/>
    <w:rsid w:val="00890B03"/>
    <w:rsid w:val="008917B1"/>
    <w:rsid w:val="008929D2"/>
    <w:rsid w:val="00893636"/>
    <w:rsid w:val="00893B94"/>
    <w:rsid w:val="008946BB"/>
    <w:rsid w:val="00896E9D"/>
    <w:rsid w:val="00896F11"/>
    <w:rsid w:val="008A0651"/>
    <w:rsid w:val="008A1049"/>
    <w:rsid w:val="008A14AD"/>
    <w:rsid w:val="008A1C98"/>
    <w:rsid w:val="008A322D"/>
    <w:rsid w:val="008A4D72"/>
    <w:rsid w:val="008A4DAA"/>
    <w:rsid w:val="008A6285"/>
    <w:rsid w:val="008A63B2"/>
    <w:rsid w:val="008B345D"/>
    <w:rsid w:val="008B3762"/>
    <w:rsid w:val="008B3E18"/>
    <w:rsid w:val="008C1FC2"/>
    <w:rsid w:val="008C2980"/>
    <w:rsid w:val="008C37E5"/>
    <w:rsid w:val="008C4DD6"/>
    <w:rsid w:val="008C5872"/>
    <w:rsid w:val="008C5AFB"/>
    <w:rsid w:val="008D07FB"/>
    <w:rsid w:val="008D0C02"/>
    <w:rsid w:val="008D2CAE"/>
    <w:rsid w:val="008D2CE3"/>
    <w:rsid w:val="008D357D"/>
    <w:rsid w:val="008D435A"/>
    <w:rsid w:val="008E12B1"/>
    <w:rsid w:val="008E1E5A"/>
    <w:rsid w:val="008E387B"/>
    <w:rsid w:val="008E5BC5"/>
    <w:rsid w:val="008E6087"/>
    <w:rsid w:val="008E6984"/>
    <w:rsid w:val="008E72EC"/>
    <w:rsid w:val="008E758D"/>
    <w:rsid w:val="008F04A0"/>
    <w:rsid w:val="008F10A7"/>
    <w:rsid w:val="008F3BA2"/>
    <w:rsid w:val="008F6789"/>
    <w:rsid w:val="008F755D"/>
    <w:rsid w:val="008F7A39"/>
    <w:rsid w:val="00901F29"/>
    <w:rsid w:val="009021E8"/>
    <w:rsid w:val="00902FA2"/>
    <w:rsid w:val="00904677"/>
    <w:rsid w:val="009058A1"/>
    <w:rsid w:val="00905EE2"/>
    <w:rsid w:val="00906CD9"/>
    <w:rsid w:val="0091036A"/>
    <w:rsid w:val="00911440"/>
    <w:rsid w:val="00911712"/>
    <w:rsid w:val="00911B27"/>
    <w:rsid w:val="009136BF"/>
    <w:rsid w:val="009170BE"/>
    <w:rsid w:val="00920B55"/>
    <w:rsid w:val="009250B7"/>
    <w:rsid w:val="00925501"/>
    <w:rsid w:val="009262C9"/>
    <w:rsid w:val="00930EB9"/>
    <w:rsid w:val="00933DC7"/>
    <w:rsid w:val="009368F9"/>
    <w:rsid w:val="009418F4"/>
    <w:rsid w:val="00942BBC"/>
    <w:rsid w:val="0094355E"/>
    <w:rsid w:val="00943F42"/>
    <w:rsid w:val="00944180"/>
    <w:rsid w:val="009447A2"/>
    <w:rsid w:val="0094485F"/>
    <w:rsid w:val="00944AA0"/>
    <w:rsid w:val="009473C0"/>
    <w:rsid w:val="00947DA2"/>
    <w:rsid w:val="00950CBD"/>
    <w:rsid w:val="00951177"/>
    <w:rsid w:val="00956152"/>
    <w:rsid w:val="00963F1F"/>
    <w:rsid w:val="009673E8"/>
    <w:rsid w:val="009704E2"/>
    <w:rsid w:val="009746B2"/>
    <w:rsid w:val="00974BF4"/>
    <w:rsid w:val="00974DB8"/>
    <w:rsid w:val="009805FD"/>
    <w:rsid w:val="00980661"/>
    <w:rsid w:val="0098093B"/>
    <w:rsid w:val="00980DF0"/>
    <w:rsid w:val="0098310A"/>
    <w:rsid w:val="00983901"/>
    <w:rsid w:val="0098457C"/>
    <w:rsid w:val="009845CA"/>
    <w:rsid w:val="009876D4"/>
    <w:rsid w:val="009902A6"/>
    <w:rsid w:val="009914A5"/>
    <w:rsid w:val="009947B5"/>
    <w:rsid w:val="0099548E"/>
    <w:rsid w:val="00995A19"/>
    <w:rsid w:val="00996456"/>
    <w:rsid w:val="00996A12"/>
    <w:rsid w:val="00996B81"/>
    <w:rsid w:val="00997805"/>
    <w:rsid w:val="00997B0F"/>
    <w:rsid w:val="009A0CC3"/>
    <w:rsid w:val="009A1ADF"/>
    <w:rsid w:val="009A1CAD"/>
    <w:rsid w:val="009A2220"/>
    <w:rsid w:val="009A2C27"/>
    <w:rsid w:val="009A3440"/>
    <w:rsid w:val="009A5832"/>
    <w:rsid w:val="009A6838"/>
    <w:rsid w:val="009A72D7"/>
    <w:rsid w:val="009B1621"/>
    <w:rsid w:val="009B24B5"/>
    <w:rsid w:val="009B37AD"/>
    <w:rsid w:val="009B4EBC"/>
    <w:rsid w:val="009B5ABB"/>
    <w:rsid w:val="009B6968"/>
    <w:rsid w:val="009B73CE"/>
    <w:rsid w:val="009C2461"/>
    <w:rsid w:val="009C324C"/>
    <w:rsid w:val="009C6379"/>
    <w:rsid w:val="009C6FE2"/>
    <w:rsid w:val="009C7674"/>
    <w:rsid w:val="009C7DB3"/>
    <w:rsid w:val="009D004A"/>
    <w:rsid w:val="009D5880"/>
    <w:rsid w:val="009D7A74"/>
    <w:rsid w:val="009E1FD4"/>
    <w:rsid w:val="009E3B07"/>
    <w:rsid w:val="009E48BA"/>
    <w:rsid w:val="009E51D1"/>
    <w:rsid w:val="009E5531"/>
    <w:rsid w:val="009E6E94"/>
    <w:rsid w:val="009F171E"/>
    <w:rsid w:val="009F1741"/>
    <w:rsid w:val="009F3D2F"/>
    <w:rsid w:val="009F5884"/>
    <w:rsid w:val="009F60DD"/>
    <w:rsid w:val="009F7052"/>
    <w:rsid w:val="00A02668"/>
    <w:rsid w:val="00A02801"/>
    <w:rsid w:val="00A043EE"/>
    <w:rsid w:val="00A066E0"/>
    <w:rsid w:val="00A06A39"/>
    <w:rsid w:val="00A07F58"/>
    <w:rsid w:val="00A131CB"/>
    <w:rsid w:val="00A14847"/>
    <w:rsid w:val="00A16D6D"/>
    <w:rsid w:val="00A17B5C"/>
    <w:rsid w:val="00A21383"/>
    <w:rsid w:val="00A2199F"/>
    <w:rsid w:val="00A21B31"/>
    <w:rsid w:val="00A2360E"/>
    <w:rsid w:val="00A24137"/>
    <w:rsid w:val="00A245D8"/>
    <w:rsid w:val="00A25066"/>
    <w:rsid w:val="00A26594"/>
    <w:rsid w:val="00A26B55"/>
    <w:rsid w:val="00A26E0C"/>
    <w:rsid w:val="00A2775E"/>
    <w:rsid w:val="00A32FCB"/>
    <w:rsid w:val="00A33AC7"/>
    <w:rsid w:val="00A33C9F"/>
    <w:rsid w:val="00A34C25"/>
    <w:rsid w:val="00A3507D"/>
    <w:rsid w:val="00A3717A"/>
    <w:rsid w:val="00A401D3"/>
    <w:rsid w:val="00A4088C"/>
    <w:rsid w:val="00A40CF3"/>
    <w:rsid w:val="00A411C4"/>
    <w:rsid w:val="00A4143B"/>
    <w:rsid w:val="00A42CB6"/>
    <w:rsid w:val="00A4456B"/>
    <w:rsid w:val="00A448D4"/>
    <w:rsid w:val="00A452E0"/>
    <w:rsid w:val="00A47E6D"/>
    <w:rsid w:val="00A51501"/>
    <w:rsid w:val="00A51EA5"/>
    <w:rsid w:val="00A53742"/>
    <w:rsid w:val="00A557A1"/>
    <w:rsid w:val="00A63059"/>
    <w:rsid w:val="00A63AE3"/>
    <w:rsid w:val="00A644C4"/>
    <w:rsid w:val="00A651A4"/>
    <w:rsid w:val="00A65478"/>
    <w:rsid w:val="00A665B0"/>
    <w:rsid w:val="00A71361"/>
    <w:rsid w:val="00A7244B"/>
    <w:rsid w:val="00A746E2"/>
    <w:rsid w:val="00A81FF2"/>
    <w:rsid w:val="00A83904"/>
    <w:rsid w:val="00A84094"/>
    <w:rsid w:val="00A856A0"/>
    <w:rsid w:val="00A86054"/>
    <w:rsid w:val="00A906AE"/>
    <w:rsid w:val="00A90A79"/>
    <w:rsid w:val="00A91397"/>
    <w:rsid w:val="00A92590"/>
    <w:rsid w:val="00A96B30"/>
    <w:rsid w:val="00AA170A"/>
    <w:rsid w:val="00AA2844"/>
    <w:rsid w:val="00AA59B5"/>
    <w:rsid w:val="00AA7777"/>
    <w:rsid w:val="00AA7B84"/>
    <w:rsid w:val="00AB287E"/>
    <w:rsid w:val="00AB2E40"/>
    <w:rsid w:val="00AB3933"/>
    <w:rsid w:val="00AB5C28"/>
    <w:rsid w:val="00AC0B4C"/>
    <w:rsid w:val="00AC0BCF"/>
    <w:rsid w:val="00AC1164"/>
    <w:rsid w:val="00AC1C50"/>
    <w:rsid w:val="00AC2296"/>
    <w:rsid w:val="00AC2334"/>
    <w:rsid w:val="00AC2754"/>
    <w:rsid w:val="00AC48B0"/>
    <w:rsid w:val="00AC4ACD"/>
    <w:rsid w:val="00AC5DFB"/>
    <w:rsid w:val="00AC649A"/>
    <w:rsid w:val="00AC65DE"/>
    <w:rsid w:val="00AD13DC"/>
    <w:rsid w:val="00AD6DE2"/>
    <w:rsid w:val="00AE0A40"/>
    <w:rsid w:val="00AE1ED4"/>
    <w:rsid w:val="00AE21E1"/>
    <w:rsid w:val="00AE2F8D"/>
    <w:rsid w:val="00AE3BAE"/>
    <w:rsid w:val="00AE6A21"/>
    <w:rsid w:val="00AF0D41"/>
    <w:rsid w:val="00AF1C8F"/>
    <w:rsid w:val="00AF24DC"/>
    <w:rsid w:val="00AF2674"/>
    <w:rsid w:val="00AF2B68"/>
    <w:rsid w:val="00AF2C92"/>
    <w:rsid w:val="00AF3EC1"/>
    <w:rsid w:val="00AF5025"/>
    <w:rsid w:val="00AF519F"/>
    <w:rsid w:val="00AF5387"/>
    <w:rsid w:val="00AF55F5"/>
    <w:rsid w:val="00AF602B"/>
    <w:rsid w:val="00AF643E"/>
    <w:rsid w:val="00AF7E86"/>
    <w:rsid w:val="00B01825"/>
    <w:rsid w:val="00B01C68"/>
    <w:rsid w:val="00B024B9"/>
    <w:rsid w:val="00B056D8"/>
    <w:rsid w:val="00B077FA"/>
    <w:rsid w:val="00B07DBC"/>
    <w:rsid w:val="00B105B2"/>
    <w:rsid w:val="00B127D7"/>
    <w:rsid w:val="00B13B0C"/>
    <w:rsid w:val="00B13E1A"/>
    <w:rsid w:val="00B1453A"/>
    <w:rsid w:val="00B15BA6"/>
    <w:rsid w:val="00B17AEF"/>
    <w:rsid w:val="00B20F82"/>
    <w:rsid w:val="00B24804"/>
    <w:rsid w:val="00B25BD5"/>
    <w:rsid w:val="00B2738E"/>
    <w:rsid w:val="00B306C6"/>
    <w:rsid w:val="00B30BFA"/>
    <w:rsid w:val="00B31CE3"/>
    <w:rsid w:val="00B34079"/>
    <w:rsid w:val="00B3793A"/>
    <w:rsid w:val="00B401BA"/>
    <w:rsid w:val="00B406EF"/>
    <w:rsid w:val="00B407E2"/>
    <w:rsid w:val="00B407E4"/>
    <w:rsid w:val="00B41272"/>
    <w:rsid w:val="00B425B6"/>
    <w:rsid w:val="00B42A72"/>
    <w:rsid w:val="00B441AE"/>
    <w:rsid w:val="00B456E0"/>
    <w:rsid w:val="00B45A65"/>
    <w:rsid w:val="00B45F33"/>
    <w:rsid w:val="00B46D50"/>
    <w:rsid w:val="00B51310"/>
    <w:rsid w:val="00B53170"/>
    <w:rsid w:val="00B53962"/>
    <w:rsid w:val="00B542F7"/>
    <w:rsid w:val="00B548B9"/>
    <w:rsid w:val="00B56DBE"/>
    <w:rsid w:val="00B6184F"/>
    <w:rsid w:val="00B62545"/>
    <w:rsid w:val="00B6283C"/>
    <w:rsid w:val="00B628DA"/>
    <w:rsid w:val="00B62999"/>
    <w:rsid w:val="00B63BE3"/>
    <w:rsid w:val="00B64559"/>
    <w:rsid w:val="00B64885"/>
    <w:rsid w:val="00B649AF"/>
    <w:rsid w:val="00B66810"/>
    <w:rsid w:val="00B6722A"/>
    <w:rsid w:val="00B72BE3"/>
    <w:rsid w:val="00B73B80"/>
    <w:rsid w:val="00B741DF"/>
    <w:rsid w:val="00B745BE"/>
    <w:rsid w:val="00B74884"/>
    <w:rsid w:val="00B75B72"/>
    <w:rsid w:val="00B75E88"/>
    <w:rsid w:val="00B76B19"/>
    <w:rsid w:val="00B770C7"/>
    <w:rsid w:val="00B7746C"/>
    <w:rsid w:val="00B80F26"/>
    <w:rsid w:val="00B822BD"/>
    <w:rsid w:val="00B842F4"/>
    <w:rsid w:val="00B85C8B"/>
    <w:rsid w:val="00B90941"/>
    <w:rsid w:val="00B91A7B"/>
    <w:rsid w:val="00B929DD"/>
    <w:rsid w:val="00B92C65"/>
    <w:rsid w:val="00B93AF6"/>
    <w:rsid w:val="00B95405"/>
    <w:rsid w:val="00B963F1"/>
    <w:rsid w:val="00BA020A"/>
    <w:rsid w:val="00BA0492"/>
    <w:rsid w:val="00BA3075"/>
    <w:rsid w:val="00BA74D2"/>
    <w:rsid w:val="00BB025A"/>
    <w:rsid w:val="00BB02A4"/>
    <w:rsid w:val="00BB1270"/>
    <w:rsid w:val="00BB1E44"/>
    <w:rsid w:val="00BB2143"/>
    <w:rsid w:val="00BB3BF7"/>
    <w:rsid w:val="00BB5267"/>
    <w:rsid w:val="00BB52B8"/>
    <w:rsid w:val="00BB59D8"/>
    <w:rsid w:val="00BB62CB"/>
    <w:rsid w:val="00BB7E69"/>
    <w:rsid w:val="00BC0E51"/>
    <w:rsid w:val="00BC3C1F"/>
    <w:rsid w:val="00BC7CE7"/>
    <w:rsid w:val="00BD295E"/>
    <w:rsid w:val="00BD384C"/>
    <w:rsid w:val="00BD4664"/>
    <w:rsid w:val="00BD46BC"/>
    <w:rsid w:val="00BE1193"/>
    <w:rsid w:val="00BE6259"/>
    <w:rsid w:val="00BE64D7"/>
    <w:rsid w:val="00BF0939"/>
    <w:rsid w:val="00BF3A1F"/>
    <w:rsid w:val="00BF4849"/>
    <w:rsid w:val="00BF4EA7"/>
    <w:rsid w:val="00BF6DA6"/>
    <w:rsid w:val="00C00EDB"/>
    <w:rsid w:val="00C01753"/>
    <w:rsid w:val="00C02863"/>
    <w:rsid w:val="00C0383A"/>
    <w:rsid w:val="00C03E0A"/>
    <w:rsid w:val="00C067FF"/>
    <w:rsid w:val="00C07659"/>
    <w:rsid w:val="00C11AC5"/>
    <w:rsid w:val="00C12862"/>
    <w:rsid w:val="00C13D28"/>
    <w:rsid w:val="00C14585"/>
    <w:rsid w:val="00C1503D"/>
    <w:rsid w:val="00C165A0"/>
    <w:rsid w:val="00C1717D"/>
    <w:rsid w:val="00C21369"/>
    <w:rsid w:val="00C216CE"/>
    <w:rsid w:val="00C2184F"/>
    <w:rsid w:val="00C22223"/>
    <w:rsid w:val="00C22A78"/>
    <w:rsid w:val="00C22DF2"/>
    <w:rsid w:val="00C23C7E"/>
    <w:rsid w:val="00C246C5"/>
    <w:rsid w:val="00C25A82"/>
    <w:rsid w:val="00C26CDA"/>
    <w:rsid w:val="00C30A2A"/>
    <w:rsid w:val="00C33993"/>
    <w:rsid w:val="00C34F1E"/>
    <w:rsid w:val="00C36E26"/>
    <w:rsid w:val="00C40648"/>
    <w:rsid w:val="00C4069E"/>
    <w:rsid w:val="00C41ADC"/>
    <w:rsid w:val="00C41F8F"/>
    <w:rsid w:val="00C44149"/>
    <w:rsid w:val="00C44184"/>
    <w:rsid w:val="00C44410"/>
    <w:rsid w:val="00C44A15"/>
    <w:rsid w:val="00C4630A"/>
    <w:rsid w:val="00C51494"/>
    <w:rsid w:val="00C523F0"/>
    <w:rsid w:val="00C526D2"/>
    <w:rsid w:val="00C53A91"/>
    <w:rsid w:val="00C54EDC"/>
    <w:rsid w:val="00C5794E"/>
    <w:rsid w:val="00C6071F"/>
    <w:rsid w:val="00C60968"/>
    <w:rsid w:val="00C63D39"/>
    <w:rsid w:val="00C63EDD"/>
    <w:rsid w:val="00C65B36"/>
    <w:rsid w:val="00C705E6"/>
    <w:rsid w:val="00C7120D"/>
    <w:rsid w:val="00C71535"/>
    <w:rsid w:val="00C7208D"/>
    <w:rsid w:val="00C7292E"/>
    <w:rsid w:val="00C72A2F"/>
    <w:rsid w:val="00C74E88"/>
    <w:rsid w:val="00C80924"/>
    <w:rsid w:val="00C82284"/>
    <w:rsid w:val="00C8286B"/>
    <w:rsid w:val="00C93F6E"/>
    <w:rsid w:val="00C947F8"/>
    <w:rsid w:val="00C948D0"/>
    <w:rsid w:val="00C9515F"/>
    <w:rsid w:val="00C963C5"/>
    <w:rsid w:val="00C96528"/>
    <w:rsid w:val="00C979D4"/>
    <w:rsid w:val="00CA030C"/>
    <w:rsid w:val="00CA1D5C"/>
    <w:rsid w:val="00CA1F41"/>
    <w:rsid w:val="00CA32EE"/>
    <w:rsid w:val="00CA35E8"/>
    <w:rsid w:val="00CA35F5"/>
    <w:rsid w:val="00CA4263"/>
    <w:rsid w:val="00CA565D"/>
    <w:rsid w:val="00CA5771"/>
    <w:rsid w:val="00CA594D"/>
    <w:rsid w:val="00CA6A1A"/>
    <w:rsid w:val="00CA6C10"/>
    <w:rsid w:val="00CB0112"/>
    <w:rsid w:val="00CC1E75"/>
    <w:rsid w:val="00CC2E0E"/>
    <w:rsid w:val="00CC361C"/>
    <w:rsid w:val="00CC474B"/>
    <w:rsid w:val="00CC5246"/>
    <w:rsid w:val="00CC658C"/>
    <w:rsid w:val="00CC67BF"/>
    <w:rsid w:val="00CD0843"/>
    <w:rsid w:val="00CD4E31"/>
    <w:rsid w:val="00CD5A78"/>
    <w:rsid w:val="00CD7345"/>
    <w:rsid w:val="00CE0559"/>
    <w:rsid w:val="00CE0635"/>
    <w:rsid w:val="00CE315A"/>
    <w:rsid w:val="00CE372E"/>
    <w:rsid w:val="00CF0A1B"/>
    <w:rsid w:val="00CF19F6"/>
    <w:rsid w:val="00CF2F4F"/>
    <w:rsid w:val="00CF536D"/>
    <w:rsid w:val="00CF59C8"/>
    <w:rsid w:val="00D01B6F"/>
    <w:rsid w:val="00D02C7F"/>
    <w:rsid w:val="00D02E9D"/>
    <w:rsid w:val="00D02EF7"/>
    <w:rsid w:val="00D041F0"/>
    <w:rsid w:val="00D06602"/>
    <w:rsid w:val="00D1073C"/>
    <w:rsid w:val="00D10CB8"/>
    <w:rsid w:val="00D12806"/>
    <w:rsid w:val="00D12D44"/>
    <w:rsid w:val="00D13A48"/>
    <w:rsid w:val="00D1464E"/>
    <w:rsid w:val="00D15018"/>
    <w:rsid w:val="00D158AC"/>
    <w:rsid w:val="00D1694C"/>
    <w:rsid w:val="00D20F5E"/>
    <w:rsid w:val="00D22D42"/>
    <w:rsid w:val="00D23B76"/>
    <w:rsid w:val="00D24B4A"/>
    <w:rsid w:val="00D2525D"/>
    <w:rsid w:val="00D263E0"/>
    <w:rsid w:val="00D30130"/>
    <w:rsid w:val="00D34E8B"/>
    <w:rsid w:val="00D367A9"/>
    <w:rsid w:val="00D379A3"/>
    <w:rsid w:val="00D45FF3"/>
    <w:rsid w:val="00D47D54"/>
    <w:rsid w:val="00D512CF"/>
    <w:rsid w:val="00D528B9"/>
    <w:rsid w:val="00D53186"/>
    <w:rsid w:val="00D5487D"/>
    <w:rsid w:val="00D551B0"/>
    <w:rsid w:val="00D55BD9"/>
    <w:rsid w:val="00D60140"/>
    <w:rsid w:val="00D6024A"/>
    <w:rsid w:val="00D605D2"/>
    <w:rsid w:val="00D608B5"/>
    <w:rsid w:val="00D64739"/>
    <w:rsid w:val="00D65820"/>
    <w:rsid w:val="00D71F99"/>
    <w:rsid w:val="00D73CA4"/>
    <w:rsid w:val="00D73D71"/>
    <w:rsid w:val="00D74396"/>
    <w:rsid w:val="00D7460D"/>
    <w:rsid w:val="00D80284"/>
    <w:rsid w:val="00D809C1"/>
    <w:rsid w:val="00D81DA0"/>
    <w:rsid w:val="00D81F71"/>
    <w:rsid w:val="00D8245F"/>
    <w:rsid w:val="00D8642D"/>
    <w:rsid w:val="00D90A5E"/>
    <w:rsid w:val="00D91A68"/>
    <w:rsid w:val="00D945F3"/>
    <w:rsid w:val="00D95A68"/>
    <w:rsid w:val="00D95F27"/>
    <w:rsid w:val="00DA17C7"/>
    <w:rsid w:val="00DA5BAF"/>
    <w:rsid w:val="00DA6A9A"/>
    <w:rsid w:val="00DB01F8"/>
    <w:rsid w:val="00DB0B3F"/>
    <w:rsid w:val="00DB1EFD"/>
    <w:rsid w:val="00DB3EAF"/>
    <w:rsid w:val="00DB46C6"/>
    <w:rsid w:val="00DB5179"/>
    <w:rsid w:val="00DB6167"/>
    <w:rsid w:val="00DC1FD9"/>
    <w:rsid w:val="00DC2E39"/>
    <w:rsid w:val="00DC3203"/>
    <w:rsid w:val="00DC39DD"/>
    <w:rsid w:val="00DC3C99"/>
    <w:rsid w:val="00DC52F5"/>
    <w:rsid w:val="00DC5FD0"/>
    <w:rsid w:val="00DC6D2B"/>
    <w:rsid w:val="00DD0354"/>
    <w:rsid w:val="00DD1C45"/>
    <w:rsid w:val="00DD27D7"/>
    <w:rsid w:val="00DD458C"/>
    <w:rsid w:val="00DD573C"/>
    <w:rsid w:val="00DD72E9"/>
    <w:rsid w:val="00DD7605"/>
    <w:rsid w:val="00DE2020"/>
    <w:rsid w:val="00DE2174"/>
    <w:rsid w:val="00DE3476"/>
    <w:rsid w:val="00DE66C3"/>
    <w:rsid w:val="00DE7472"/>
    <w:rsid w:val="00DE7BEA"/>
    <w:rsid w:val="00DF4821"/>
    <w:rsid w:val="00DF5B84"/>
    <w:rsid w:val="00DF5E4C"/>
    <w:rsid w:val="00DF6D5B"/>
    <w:rsid w:val="00DF771B"/>
    <w:rsid w:val="00DF7EE2"/>
    <w:rsid w:val="00E01A81"/>
    <w:rsid w:val="00E01BAA"/>
    <w:rsid w:val="00E0282A"/>
    <w:rsid w:val="00E02F9B"/>
    <w:rsid w:val="00E0445C"/>
    <w:rsid w:val="00E0519E"/>
    <w:rsid w:val="00E07E14"/>
    <w:rsid w:val="00E10AB6"/>
    <w:rsid w:val="00E14F94"/>
    <w:rsid w:val="00E16AD8"/>
    <w:rsid w:val="00E16D35"/>
    <w:rsid w:val="00E16E76"/>
    <w:rsid w:val="00E17336"/>
    <w:rsid w:val="00E17D15"/>
    <w:rsid w:val="00E217B7"/>
    <w:rsid w:val="00E21A93"/>
    <w:rsid w:val="00E22B95"/>
    <w:rsid w:val="00E25B16"/>
    <w:rsid w:val="00E26203"/>
    <w:rsid w:val="00E27959"/>
    <w:rsid w:val="00E30331"/>
    <w:rsid w:val="00E3066D"/>
    <w:rsid w:val="00E30BB8"/>
    <w:rsid w:val="00E31F9C"/>
    <w:rsid w:val="00E34B8D"/>
    <w:rsid w:val="00E37C67"/>
    <w:rsid w:val="00E40488"/>
    <w:rsid w:val="00E419BB"/>
    <w:rsid w:val="00E431F4"/>
    <w:rsid w:val="00E43F0C"/>
    <w:rsid w:val="00E50367"/>
    <w:rsid w:val="00E505FF"/>
    <w:rsid w:val="00E51288"/>
    <w:rsid w:val="00E51ABA"/>
    <w:rsid w:val="00E51B44"/>
    <w:rsid w:val="00E524CB"/>
    <w:rsid w:val="00E54C15"/>
    <w:rsid w:val="00E609A0"/>
    <w:rsid w:val="00E626F5"/>
    <w:rsid w:val="00E6272B"/>
    <w:rsid w:val="00E62AC5"/>
    <w:rsid w:val="00E63F11"/>
    <w:rsid w:val="00E64D97"/>
    <w:rsid w:val="00E65456"/>
    <w:rsid w:val="00E6564C"/>
    <w:rsid w:val="00E65A91"/>
    <w:rsid w:val="00E65EED"/>
    <w:rsid w:val="00E66188"/>
    <w:rsid w:val="00E664FB"/>
    <w:rsid w:val="00E672F0"/>
    <w:rsid w:val="00E70373"/>
    <w:rsid w:val="00E71DA3"/>
    <w:rsid w:val="00E72E40"/>
    <w:rsid w:val="00E73665"/>
    <w:rsid w:val="00E73999"/>
    <w:rsid w:val="00E73BDC"/>
    <w:rsid w:val="00E73E9E"/>
    <w:rsid w:val="00E75CE9"/>
    <w:rsid w:val="00E76B9C"/>
    <w:rsid w:val="00E81660"/>
    <w:rsid w:val="00E81B87"/>
    <w:rsid w:val="00E854FE"/>
    <w:rsid w:val="00E906CC"/>
    <w:rsid w:val="00E90B09"/>
    <w:rsid w:val="00E9175D"/>
    <w:rsid w:val="00E939A0"/>
    <w:rsid w:val="00E948E7"/>
    <w:rsid w:val="00E96360"/>
    <w:rsid w:val="00E96E83"/>
    <w:rsid w:val="00E97E4E"/>
    <w:rsid w:val="00EA1CC2"/>
    <w:rsid w:val="00EA297D"/>
    <w:rsid w:val="00EA2D76"/>
    <w:rsid w:val="00EA4644"/>
    <w:rsid w:val="00EA758A"/>
    <w:rsid w:val="00EB096F"/>
    <w:rsid w:val="00EB0B32"/>
    <w:rsid w:val="00EB199F"/>
    <w:rsid w:val="00EB27C4"/>
    <w:rsid w:val="00EB3575"/>
    <w:rsid w:val="00EB5387"/>
    <w:rsid w:val="00EB5C10"/>
    <w:rsid w:val="00EB6498"/>
    <w:rsid w:val="00EB7322"/>
    <w:rsid w:val="00EC0FE9"/>
    <w:rsid w:val="00EC198B"/>
    <w:rsid w:val="00EC32F6"/>
    <w:rsid w:val="00EC426D"/>
    <w:rsid w:val="00EC4DCD"/>
    <w:rsid w:val="00EC571B"/>
    <w:rsid w:val="00EC57D7"/>
    <w:rsid w:val="00EC6385"/>
    <w:rsid w:val="00ED1DE9"/>
    <w:rsid w:val="00ED23D4"/>
    <w:rsid w:val="00ED23F0"/>
    <w:rsid w:val="00ED5E0B"/>
    <w:rsid w:val="00ED6730"/>
    <w:rsid w:val="00EE37B6"/>
    <w:rsid w:val="00EE4A4F"/>
    <w:rsid w:val="00EF0F45"/>
    <w:rsid w:val="00EF57EC"/>
    <w:rsid w:val="00EF6249"/>
    <w:rsid w:val="00EF7463"/>
    <w:rsid w:val="00EF7971"/>
    <w:rsid w:val="00F002EF"/>
    <w:rsid w:val="00F01EE9"/>
    <w:rsid w:val="00F029EB"/>
    <w:rsid w:val="00F02BD6"/>
    <w:rsid w:val="00F04900"/>
    <w:rsid w:val="00F060D1"/>
    <w:rsid w:val="00F065A4"/>
    <w:rsid w:val="00F069EE"/>
    <w:rsid w:val="00F111B5"/>
    <w:rsid w:val="00F126B9"/>
    <w:rsid w:val="00F12715"/>
    <w:rsid w:val="00F144D5"/>
    <w:rsid w:val="00F146F0"/>
    <w:rsid w:val="00F15039"/>
    <w:rsid w:val="00F16109"/>
    <w:rsid w:val="00F17F8F"/>
    <w:rsid w:val="00F20FF3"/>
    <w:rsid w:val="00F2190B"/>
    <w:rsid w:val="00F228B5"/>
    <w:rsid w:val="00F229BE"/>
    <w:rsid w:val="00F2389C"/>
    <w:rsid w:val="00F25C67"/>
    <w:rsid w:val="00F26E91"/>
    <w:rsid w:val="00F30DFF"/>
    <w:rsid w:val="00F32B80"/>
    <w:rsid w:val="00F340EB"/>
    <w:rsid w:val="00F35285"/>
    <w:rsid w:val="00F43B9D"/>
    <w:rsid w:val="00F44D5E"/>
    <w:rsid w:val="00F50556"/>
    <w:rsid w:val="00F53A35"/>
    <w:rsid w:val="00F53CFF"/>
    <w:rsid w:val="00F55A3D"/>
    <w:rsid w:val="00F56E39"/>
    <w:rsid w:val="00F5744B"/>
    <w:rsid w:val="00F61209"/>
    <w:rsid w:val="00F6259E"/>
    <w:rsid w:val="00F65DD4"/>
    <w:rsid w:val="00F672B2"/>
    <w:rsid w:val="00F73B06"/>
    <w:rsid w:val="00F743EA"/>
    <w:rsid w:val="00F766C9"/>
    <w:rsid w:val="00F76E4C"/>
    <w:rsid w:val="00F83973"/>
    <w:rsid w:val="00F85389"/>
    <w:rsid w:val="00F86328"/>
    <w:rsid w:val="00F87FA3"/>
    <w:rsid w:val="00F93D8C"/>
    <w:rsid w:val="00F93EA6"/>
    <w:rsid w:val="00F95424"/>
    <w:rsid w:val="00FA094C"/>
    <w:rsid w:val="00FA1090"/>
    <w:rsid w:val="00FA1EED"/>
    <w:rsid w:val="00FA225D"/>
    <w:rsid w:val="00FA3102"/>
    <w:rsid w:val="00FA48D4"/>
    <w:rsid w:val="00FA4A7B"/>
    <w:rsid w:val="00FA54FA"/>
    <w:rsid w:val="00FA6B9F"/>
    <w:rsid w:val="00FA6D39"/>
    <w:rsid w:val="00FB091D"/>
    <w:rsid w:val="00FB227E"/>
    <w:rsid w:val="00FB37B4"/>
    <w:rsid w:val="00FB3D61"/>
    <w:rsid w:val="00FB44CE"/>
    <w:rsid w:val="00FB5009"/>
    <w:rsid w:val="00FB76AB"/>
    <w:rsid w:val="00FC14D7"/>
    <w:rsid w:val="00FC259B"/>
    <w:rsid w:val="00FC43B1"/>
    <w:rsid w:val="00FC4D77"/>
    <w:rsid w:val="00FD03FE"/>
    <w:rsid w:val="00FD0ACD"/>
    <w:rsid w:val="00FD126E"/>
    <w:rsid w:val="00FD3C36"/>
    <w:rsid w:val="00FD3D2C"/>
    <w:rsid w:val="00FD4D81"/>
    <w:rsid w:val="00FD5258"/>
    <w:rsid w:val="00FD7498"/>
    <w:rsid w:val="00FD7BA4"/>
    <w:rsid w:val="00FD7FB3"/>
    <w:rsid w:val="00FE05AB"/>
    <w:rsid w:val="00FE4713"/>
    <w:rsid w:val="00FF1F44"/>
    <w:rsid w:val="00FF225E"/>
    <w:rsid w:val="00FF3BE9"/>
    <w:rsid w:val="00FF57F3"/>
    <w:rsid w:val="00FF672C"/>
    <w:rsid w:val="00FF6884"/>
    <w:rsid w:val="00FF6CE8"/>
    <w:rsid w:val="01437A64"/>
    <w:rsid w:val="017C69B9"/>
    <w:rsid w:val="019644D8"/>
    <w:rsid w:val="01D37EE5"/>
    <w:rsid w:val="01D6797C"/>
    <w:rsid w:val="01E6521A"/>
    <w:rsid w:val="01EC436A"/>
    <w:rsid w:val="02375A4A"/>
    <w:rsid w:val="02513AEC"/>
    <w:rsid w:val="029C191F"/>
    <w:rsid w:val="030A2AFE"/>
    <w:rsid w:val="032D76D4"/>
    <w:rsid w:val="033A688B"/>
    <w:rsid w:val="034D7CD1"/>
    <w:rsid w:val="03537AE6"/>
    <w:rsid w:val="035763C2"/>
    <w:rsid w:val="038A1EA3"/>
    <w:rsid w:val="03AB19E1"/>
    <w:rsid w:val="042B3CC3"/>
    <w:rsid w:val="042E0754"/>
    <w:rsid w:val="04564C10"/>
    <w:rsid w:val="04582AF3"/>
    <w:rsid w:val="049979EF"/>
    <w:rsid w:val="04BE382F"/>
    <w:rsid w:val="050632D7"/>
    <w:rsid w:val="054955F9"/>
    <w:rsid w:val="054D00D4"/>
    <w:rsid w:val="056173AD"/>
    <w:rsid w:val="058F522A"/>
    <w:rsid w:val="05CA7324"/>
    <w:rsid w:val="06455E28"/>
    <w:rsid w:val="067A5054"/>
    <w:rsid w:val="068D3451"/>
    <w:rsid w:val="069B3F4D"/>
    <w:rsid w:val="06B047C8"/>
    <w:rsid w:val="06F22D80"/>
    <w:rsid w:val="07493A92"/>
    <w:rsid w:val="076324DB"/>
    <w:rsid w:val="07763327"/>
    <w:rsid w:val="0785082C"/>
    <w:rsid w:val="078D7FDD"/>
    <w:rsid w:val="07912513"/>
    <w:rsid w:val="07A1099B"/>
    <w:rsid w:val="07CC56A8"/>
    <w:rsid w:val="07FC1594"/>
    <w:rsid w:val="080C304F"/>
    <w:rsid w:val="081379F6"/>
    <w:rsid w:val="083812C9"/>
    <w:rsid w:val="08460845"/>
    <w:rsid w:val="08757DF8"/>
    <w:rsid w:val="08830649"/>
    <w:rsid w:val="088D7BB2"/>
    <w:rsid w:val="08A943E4"/>
    <w:rsid w:val="08C05F53"/>
    <w:rsid w:val="08E44CB5"/>
    <w:rsid w:val="09487BCC"/>
    <w:rsid w:val="0950568A"/>
    <w:rsid w:val="09FD5C3C"/>
    <w:rsid w:val="0A063364"/>
    <w:rsid w:val="0A1D4580"/>
    <w:rsid w:val="0A3D00E8"/>
    <w:rsid w:val="0ABA03D8"/>
    <w:rsid w:val="0ABA3150"/>
    <w:rsid w:val="0B037FEA"/>
    <w:rsid w:val="0B170BE4"/>
    <w:rsid w:val="0B2348A7"/>
    <w:rsid w:val="0B3B53FC"/>
    <w:rsid w:val="0B6672DF"/>
    <w:rsid w:val="0B6E1117"/>
    <w:rsid w:val="0B7833E8"/>
    <w:rsid w:val="0C040D5D"/>
    <w:rsid w:val="0C5946C6"/>
    <w:rsid w:val="0C637CD3"/>
    <w:rsid w:val="0C930B43"/>
    <w:rsid w:val="0CA92DB5"/>
    <w:rsid w:val="0CB12A49"/>
    <w:rsid w:val="0CCA303E"/>
    <w:rsid w:val="0CEE0298"/>
    <w:rsid w:val="0D055A4E"/>
    <w:rsid w:val="0D071D48"/>
    <w:rsid w:val="0D454EDB"/>
    <w:rsid w:val="0D4574A1"/>
    <w:rsid w:val="0D5D58C0"/>
    <w:rsid w:val="0D792CB1"/>
    <w:rsid w:val="0E0045B7"/>
    <w:rsid w:val="0E0805B8"/>
    <w:rsid w:val="0E16593A"/>
    <w:rsid w:val="0F705632"/>
    <w:rsid w:val="0FD74084"/>
    <w:rsid w:val="10282292"/>
    <w:rsid w:val="105C4B8D"/>
    <w:rsid w:val="10816964"/>
    <w:rsid w:val="10953534"/>
    <w:rsid w:val="10E9112B"/>
    <w:rsid w:val="10F60B81"/>
    <w:rsid w:val="11201E1E"/>
    <w:rsid w:val="119963E4"/>
    <w:rsid w:val="11FE448F"/>
    <w:rsid w:val="120E2C09"/>
    <w:rsid w:val="122A16C0"/>
    <w:rsid w:val="12B30F09"/>
    <w:rsid w:val="12B37485"/>
    <w:rsid w:val="12F24A3F"/>
    <w:rsid w:val="12FC5802"/>
    <w:rsid w:val="1338794E"/>
    <w:rsid w:val="133F07F6"/>
    <w:rsid w:val="134C2427"/>
    <w:rsid w:val="135B0876"/>
    <w:rsid w:val="14144F54"/>
    <w:rsid w:val="14182458"/>
    <w:rsid w:val="14270FC4"/>
    <w:rsid w:val="14350CCD"/>
    <w:rsid w:val="14474AEC"/>
    <w:rsid w:val="144B1CDF"/>
    <w:rsid w:val="147E64E8"/>
    <w:rsid w:val="148F23B8"/>
    <w:rsid w:val="14AC07BF"/>
    <w:rsid w:val="14C277C1"/>
    <w:rsid w:val="14E861F3"/>
    <w:rsid w:val="151927D3"/>
    <w:rsid w:val="15207A86"/>
    <w:rsid w:val="15262178"/>
    <w:rsid w:val="15430688"/>
    <w:rsid w:val="158D53A2"/>
    <w:rsid w:val="159C5B86"/>
    <w:rsid w:val="15C02AAE"/>
    <w:rsid w:val="15C13ED3"/>
    <w:rsid w:val="16536451"/>
    <w:rsid w:val="16541399"/>
    <w:rsid w:val="16AE1866"/>
    <w:rsid w:val="16DA6847"/>
    <w:rsid w:val="16E51684"/>
    <w:rsid w:val="17387F8F"/>
    <w:rsid w:val="176C71E8"/>
    <w:rsid w:val="17A81AAE"/>
    <w:rsid w:val="17FA06EB"/>
    <w:rsid w:val="1807352C"/>
    <w:rsid w:val="18104B2C"/>
    <w:rsid w:val="18160220"/>
    <w:rsid w:val="184D7E46"/>
    <w:rsid w:val="18CA728D"/>
    <w:rsid w:val="18D07D5D"/>
    <w:rsid w:val="18D47E21"/>
    <w:rsid w:val="18F76759"/>
    <w:rsid w:val="1906248A"/>
    <w:rsid w:val="19073AF2"/>
    <w:rsid w:val="191C773C"/>
    <w:rsid w:val="19B64830"/>
    <w:rsid w:val="1A01664B"/>
    <w:rsid w:val="1A137EFA"/>
    <w:rsid w:val="1A380C5D"/>
    <w:rsid w:val="1A3C03E6"/>
    <w:rsid w:val="1A443136"/>
    <w:rsid w:val="1A5C4542"/>
    <w:rsid w:val="1A6C54DF"/>
    <w:rsid w:val="1A825D64"/>
    <w:rsid w:val="1A9B7E2F"/>
    <w:rsid w:val="1AB026FC"/>
    <w:rsid w:val="1B040D71"/>
    <w:rsid w:val="1B295AC4"/>
    <w:rsid w:val="1B2E61E6"/>
    <w:rsid w:val="1B9A5F7D"/>
    <w:rsid w:val="1B9E0574"/>
    <w:rsid w:val="1BB66639"/>
    <w:rsid w:val="1BB92557"/>
    <w:rsid w:val="1BD50A68"/>
    <w:rsid w:val="1C197133"/>
    <w:rsid w:val="1C1A1CF3"/>
    <w:rsid w:val="1C3F0163"/>
    <w:rsid w:val="1C5B59B8"/>
    <w:rsid w:val="1CB1474C"/>
    <w:rsid w:val="1CCB29BC"/>
    <w:rsid w:val="1CD822F1"/>
    <w:rsid w:val="1CF74D32"/>
    <w:rsid w:val="1D1C402D"/>
    <w:rsid w:val="1D370D6A"/>
    <w:rsid w:val="1D3A5DA8"/>
    <w:rsid w:val="1D46669B"/>
    <w:rsid w:val="1D501B1A"/>
    <w:rsid w:val="1D73269F"/>
    <w:rsid w:val="1D840497"/>
    <w:rsid w:val="1DA85307"/>
    <w:rsid w:val="1E3309EE"/>
    <w:rsid w:val="1E4D65C3"/>
    <w:rsid w:val="1E562865"/>
    <w:rsid w:val="1E5D4F8E"/>
    <w:rsid w:val="1E7704A8"/>
    <w:rsid w:val="1E787333"/>
    <w:rsid w:val="1E826E89"/>
    <w:rsid w:val="1EED0261"/>
    <w:rsid w:val="1F112624"/>
    <w:rsid w:val="1F253454"/>
    <w:rsid w:val="1F36273C"/>
    <w:rsid w:val="1F3C49FC"/>
    <w:rsid w:val="1F464429"/>
    <w:rsid w:val="1F551ABD"/>
    <w:rsid w:val="1F5A3BC9"/>
    <w:rsid w:val="1F7E76AA"/>
    <w:rsid w:val="1F870C0B"/>
    <w:rsid w:val="1FCF1294"/>
    <w:rsid w:val="1FD75804"/>
    <w:rsid w:val="2014361E"/>
    <w:rsid w:val="20185CDE"/>
    <w:rsid w:val="20400705"/>
    <w:rsid w:val="205A5B20"/>
    <w:rsid w:val="205D6057"/>
    <w:rsid w:val="20996866"/>
    <w:rsid w:val="20C76DE8"/>
    <w:rsid w:val="20F45B0C"/>
    <w:rsid w:val="20FF0905"/>
    <w:rsid w:val="212A3156"/>
    <w:rsid w:val="214C4308"/>
    <w:rsid w:val="216A0B01"/>
    <w:rsid w:val="21962663"/>
    <w:rsid w:val="219771CA"/>
    <w:rsid w:val="21E67D9A"/>
    <w:rsid w:val="21EA792F"/>
    <w:rsid w:val="21EF7FC9"/>
    <w:rsid w:val="22046422"/>
    <w:rsid w:val="222B487D"/>
    <w:rsid w:val="222D3D50"/>
    <w:rsid w:val="227D5753"/>
    <w:rsid w:val="229F293E"/>
    <w:rsid w:val="22B905CF"/>
    <w:rsid w:val="22C450A9"/>
    <w:rsid w:val="22C533C0"/>
    <w:rsid w:val="22D167CA"/>
    <w:rsid w:val="22F321A0"/>
    <w:rsid w:val="23336DB3"/>
    <w:rsid w:val="23392665"/>
    <w:rsid w:val="23855EC2"/>
    <w:rsid w:val="23A6419C"/>
    <w:rsid w:val="23DA2011"/>
    <w:rsid w:val="23DF2622"/>
    <w:rsid w:val="242C061D"/>
    <w:rsid w:val="242E282C"/>
    <w:rsid w:val="244B7081"/>
    <w:rsid w:val="24674B1F"/>
    <w:rsid w:val="247A0E3D"/>
    <w:rsid w:val="24FA468C"/>
    <w:rsid w:val="251232D5"/>
    <w:rsid w:val="25144DF8"/>
    <w:rsid w:val="253C3A25"/>
    <w:rsid w:val="255001B5"/>
    <w:rsid w:val="25693695"/>
    <w:rsid w:val="25B42181"/>
    <w:rsid w:val="25B91C26"/>
    <w:rsid w:val="25CE0534"/>
    <w:rsid w:val="25F15196"/>
    <w:rsid w:val="260A7AF9"/>
    <w:rsid w:val="260B4B2E"/>
    <w:rsid w:val="26233E9E"/>
    <w:rsid w:val="262D0622"/>
    <w:rsid w:val="263C6DBC"/>
    <w:rsid w:val="26615534"/>
    <w:rsid w:val="26B47F1A"/>
    <w:rsid w:val="26DE1431"/>
    <w:rsid w:val="26F16F06"/>
    <w:rsid w:val="26FA4F64"/>
    <w:rsid w:val="27090449"/>
    <w:rsid w:val="2720124E"/>
    <w:rsid w:val="274F1C15"/>
    <w:rsid w:val="27586445"/>
    <w:rsid w:val="27B452F6"/>
    <w:rsid w:val="27C24A6C"/>
    <w:rsid w:val="27D06C65"/>
    <w:rsid w:val="27F90C7F"/>
    <w:rsid w:val="28010A1E"/>
    <w:rsid w:val="280B2BF3"/>
    <w:rsid w:val="28281D0B"/>
    <w:rsid w:val="28A376DE"/>
    <w:rsid w:val="28EB2924"/>
    <w:rsid w:val="294465BA"/>
    <w:rsid w:val="29A2355F"/>
    <w:rsid w:val="2A2104EA"/>
    <w:rsid w:val="2A25220D"/>
    <w:rsid w:val="2A66391C"/>
    <w:rsid w:val="2A7B6996"/>
    <w:rsid w:val="2A9575A8"/>
    <w:rsid w:val="2ACB4EA1"/>
    <w:rsid w:val="2B154DED"/>
    <w:rsid w:val="2B4832D7"/>
    <w:rsid w:val="2B6441A0"/>
    <w:rsid w:val="2BDA0917"/>
    <w:rsid w:val="2BDC3BE1"/>
    <w:rsid w:val="2BDD6F7E"/>
    <w:rsid w:val="2C133BD9"/>
    <w:rsid w:val="2C2721F6"/>
    <w:rsid w:val="2C2E67C7"/>
    <w:rsid w:val="2C835CE4"/>
    <w:rsid w:val="2CB73FDA"/>
    <w:rsid w:val="2CB834ED"/>
    <w:rsid w:val="2CB909BA"/>
    <w:rsid w:val="2CEF0162"/>
    <w:rsid w:val="2CFB6C8E"/>
    <w:rsid w:val="2D0870C4"/>
    <w:rsid w:val="2D0C01FF"/>
    <w:rsid w:val="2D26228E"/>
    <w:rsid w:val="2D334F4A"/>
    <w:rsid w:val="2D5F5B6A"/>
    <w:rsid w:val="2D670BD3"/>
    <w:rsid w:val="2D745B96"/>
    <w:rsid w:val="2D8F58DD"/>
    <w:rsid w:val="2DD2326F"/>
    <w:rsid w:val="2DE378CF"/>
    <w:rsid w:val="2E0E3F03"/>
    <w:rsid w:val="2E3B1723"/>
    <w:rsid w:val="2E467447"/>
    <w:rsid w:val="2E53381E"/>
    <w:rsid w:val="2E8A5682"/>
    <w:rsid w:val="2E8C0A5D"/>
    <w:rsid w:val="2E8F47F3"/>
    <w:rsid w:val="2EAA3008"/>
    <w:rsid w:val="2F400831"/>
    <w:rsid w:val="2F48344E"/>
    <w:rsid w:val="2F4B122C"/>
    <w:rsid w:val="2F602172"/>
    <w:rsid w:val="2F624F0D"/>
    <w:rsid w:val="2F6C2F5E"/>
    <w:rsid w:val="2F7E03E3"/>
    <w:rsid w:val="2FD617A8"/>
    <w:rsid w:val="2FE657CD"/>
    <w:rsid w:val="2FE75EBD"/>
    <w:rsid w:val="2FFE58C9"/>
    <w:rsid w:val="30056DF6"/>
    <w:rsid w:val="3031504D"/>
    <w:rsid w:val="305A35C8"/>
    <w:rsid w:val="307B792E"/>
    <w:rsid w:val="307D4EFE"/>
    <w:rsid w:val="309F624F"/>
    <w:rsid w:val="30BE5619"/>
    <w:rsid w:val="30CC5B83"/>
    <w:rsid w:val="30DB652F"/>
    <w:rsid w:val="30F63269"/>
    <w:rsid w:val="310A765D"/>
    <w:rsid w:val="31207543"/>
    <w:rsid w:val="31316283"/>
    <w:rsid w:val="313D0BE1"/>
    <w:rsid w:val="315C084E"/>
    <w:rsid w:val="31E6796D"/>
    <w:rsid w:val="31EF6A6C"/>
    <w:rsid w:val="31F8704E"/>
    <w:rsid w:val="325675C4"/>
    <w:rsid w:val="32C85D2C"/>
    <w:rsid w:val="32E47B98"/>
    <w:rsid w:val="335F74F0"/>
    <w:rsid w:val="339E680E"/>
    <w:rsid w:val="33A83D3D"/>
    <w:rsid w:val="33C91E84"/>
    <w:rsid w:val="3430360C"/>
    <w:rsid w:val="34550B67"/>
    <w:rsid w:val="34C57C0F"/>
    <w:rsid w:val="34EF3ADB"/>
    <w:rsid w:val="351E5159"/>
    <w:rsid w:val="352014C6"/>
    <w:rsid w:val="354E171E"/>
    <w:rsid w:val="35582BB0"/>
    <w:rsid w:val="35655C50"/>
    <w:rsid w:val="356572B0"/>
    <w:rsid w:val="35A30880"/>
    <w:rsid w:val="36061526"/>
    <w:rsid w:val="36061680"/>
    <w:rsid w:val="360D2618"/>
    <w:rsid w:val="36252BA7"/>
    <w:rsid w:val="362F7862"/>
    <w:rsid w:val="3634651F"/>
    <w:rsid w:val="36F173FA"/>
    <w:rsid w:val="36F810DC"/>
    <w:rsid w:val="37282420"/>
    <w:rsid w:val="373C4DE4"/>
    <w:rsid w:val="37AB3FC4"/>
    <w:rsid w:val="37BC7909"/>
    <w:rsid w:val="37C01B72"/>
    <w:rsid w:val="37F11936"/>
    <w:rsid w:val="37F304ED"/>
    <w:rsid w:val="37F629E7"/>
    <w:rsid w:val="37FD2C76"/>
    <w:rsid w:val="3819490D"/>
    <w:rsid w:val="3862640E"/>
    <w:rsid w:val="389860E3"/>
    <w:rsid w:val="38AC61CF"/>
    <w:rsid w:val="38BB727C"/>
    <w:rsid w:val="38ED5D9E"/>
    <w:rsid w:val="38F021F3"/>
    <w:rsid w:val="38F33E5E"/>
    <w:rsid w:val="392B6C84"/>
    <w:rsid w:val="39433143"/>
    <w:rsid w:val="39773066"/>
    <w:rsid w:val="39962C5A"/>
    <w:rsid w:val="39972242"/>
    <w:rsid w:val="39BF57D8"/>
    <w:rsid w:val="3A1722AB"/>
    <w:rsid w:val="3A2218ED"/>
    <w:rsid w:val="3A275B92"/>
    <w:rsid w:val="3A55059E"/>
    <w:rsid w:val="3A591872"/>
    <w:rsid w:val="3A9842CF"/>
    <w:rsid w:val="3AC833B1"/>
    <w:rsid w:val="3ACC0A0F"/>
    <w:rsid w:val="3AE112E1"/>
    <w:rsid w:val="3AE507B2"/>
    <w:rsid w:val="3AF942C8"/>
    <w:rsid w:val="3B00329F"/>
    <w:rsid w:val="3B091052"/>
    <w:rsid w:val="3B3A531F"/>
    <w:rsid w:val="3B4D6A6B"/>
    <w:rsid w:val="3B5D56BC"/>
    <w:rsid w:val="3B7F358D"/>
    <w:rsid w:val="3B8E4CF0"/>
    <w:rsid w:val="3B905BBD"/>
    <w:rsid w:val="3BBE0214"/>
    <w:rsid w:val="3BFE79E8"/>
    <w:rsid w:val="3C306C86"/>
    <w:rsid w:val="3C672780"/>
    <w:rsid w:val="3C991D7D"/>
    <w:rsid w:val="3C9B0122"/>
    <w:rsid w:val="3D031D46"/>
    <w:rsid w:val="3D0F5C3D"/>
    <w:rsid w:val="3D6D0492"/>
    <w:rsid w:val="3D6E3E71"/>
    <w:rsid w:val="3D945458"/>
    <w:rsid w:val="3DF24A0A"/>
    <w:rsid w:val="3DF30FE1"/>
    <w:rsid w:val="3E016937"/>
    <w:rsid w:val="3E0B06E0"/>
    <w:rsid w:val="3E1D5925"/>
    <w:rsid w:val="3E1F61BE"/>
    <w:rsid w:val="3E39755E"/>
    <w:rsid w:val="3E821E9C"/>
    <w:rsid w:val="3EBA15B9"/>
    <w:rsid w:val="3EC86C85"/>
    <w:rsid w:val="3EF26B7E"/>
    <w:rsid w:val="3EF6704B"/>
    <w:rsid w:val="3F0A71CD"/>
    <w:rsid w:val="3F363F62"/>
    <w:rsid w:val="3F44549D"/>
    <w:rsid w:val="3F53767B"/>
    <w:rsid w:val="3F537CEC"/>
    <w:rsid w:val="3F811B25"/>
    <w:rsid w:val="3F9C333C"/>
    <w:rsid w:val="3FD8721A"/>
    <w:rsid w:val="3FFE2D5E"/>
    <w:rsid w:val="403B39BD"/>
    <w:rsid w:val="406441F0"/>
    <w:rsid w:val="40A7015F"/>
    <w:rsid w:val="40EE01DF"/>
    <w:rsid w:val="410138F6"/>
    <w:rsid w:val="41412C97"/>
    <w:rsid w:val="414B02A0"/>
    <w:rsid w:val="41552164"/>
    <w:rsid w:val="415B5E4A"/>
    <w:rsid w:val="417D660A"/>
    <w:rsid w:val="418902C1"/>
    <w:rsid w:val="418E7484"/>
    <w:rsid w:val="41916559"/>
    <w:rsid w:val="41984BC1"/>
    <w:rsid w:val="41AB543B"/>
    <w:rsid w:val="423B16B8"/>
    <w:rsid w:val="42980CDB"/>
    <w:rsid w:val="42984AA5"/>
    <w:rsid w:val="42A27F2B"/>
    <w:rsid w:val="42C46F74"/>
    <w:rsid w:val="42D16149"/>
    <w:rsid w:val="431736A6"/>
    <w:rsid w:val="4332599B"/>
    <w:rsid w:val="433F65F0"/>
    <w:rsid w:val="435103AF"/>
    <w:rsid w:val="43746DBE"/>
    <w:rsid w:val="43767FB0"/>
    <w:rsid w:val="43840C5B"/>
    <w:rsid w:val="438858AD"/>
    <w:rsid w:val="43C138DA"/>
    <w:rsid w:val="43E71447"/>
    <w:rsid w:val="43E93F68"/>
    <w:rsid w:val="43FB7E66"/>
    <w:rsid w:val="44085C2A"/>
    <w:rsid w:val="446C02E0"/>
    <w:rsid w:val="447C2CE3"/>
    <w:rsid w:val="448A3A06"/>
    <w:rsid w:val="44C57AA8"/>
    <w:rsid w:val="44FC1BD5"/>
    <w:rsid w:val="45547166"/>
    <w:rsid w:val="45610F8C"/>
    <w:rsid w:val="45C7513D"/>
    <w:rsid w:val="45FD6E33"/>
    <w:rsid w:val="460E2F28"/>
    <w:rsid w:val="4629404E"/>
    <w:rsid w:val="462A5F57"/>
    <w:rsid w:val="46710805"/>
    <w:rsid w:val="469322BF"/>
    <w:rsid w:val="46950188"/>
    <w:rsid w:val="46A64D32"/>
    <w:rsid w:val="46D074E5"/>
    <w:rsid w:val="47150C9A"/>
    <w:rsid w:val="472D2597"/>
    <w:rsid w:val="474F5BB9"/>
    <w:rsid w:val="47500741"/>
    <w:rsid w:val="47814C14"/>
    <w:rsid w:val="47870716"/>
    <w:rsid w:val="47A10216"/>
    <w:rsid w:val="482829A5"/>
    <w:rsid w:val="48493750"/>
    <w:rsid w:val="485B6D1B"/>
    <w:rsid w:val="48A7288E"/>
    <w:rsid w:val="48BB04AE"/>
    <w:rsid w:val="49003465"/>
    <w:rsid w:val="49AD4D86"/>
    <w:rsid w:val="49B83E3F"/>
    <w:rsid w:val="49D03E12"/>
    <w:rsid w:val="49E1680E"/>
    <w:rsid w:val="4A640215"/>
    <w:rsid w:val="4A740104"/>
    <w:rsid w:val="4A987E75"/>
    <w:rsid w:val="4A9A17BD"/>
    <w:rsid w:val="4AB06252"/>
    <w:rsid w:val="4ABE338C"/>
    <w:rsid w:val="4AEE309A"/>
    <w:rsid w:val="4AF02B19"/>
    <w:rsid w:val="4B071C8B"/>
    <w:rsid w:val="4B255B4C"/>
    <w:rsid w:val="4B2E2549"/>
    <w:rsid w:val="4B432F29"/>
    <w:rsid w:val="4B44418D"/>
    <w:rsid w:val="4B7F3EE5"/>
    <w:rsid w:val="4B8C6B5B"/>
    <w:rsid w:val="4B9C77EB"/>
    <w:rsid w:val="4BB05480"/>
    <w:rsid w:val="4BC42C1C"/>
    <w:rsid w:val="4BD14A64"/>
    <w:rsid w:val="4BD1536A"/>
    <w:rsid w:val="4BEE17CB"/>
    <w:rsid w:val="4C666F8B"/>
    <w:rsid w:val="4C7105DB"/>
    <w:rsid w:val="4C915C6D"/>
    <w:rsid w:val="4C9670B9"/>
    <w:rsid w:val="4C9C017B"/>
    <w:rsid w:val="4CB661AD"/>
    <w:rsid w:val="4CFB2F4C"/>
    <w:rsid w:val="4D6B6AF6"/>
    <w:rsid w:val="4D910D39"/>
    <w:rsid w:val="4DA41B9E"/>
    <w:rsid w:val="4DCB6654"/>
    <w:rsid w:val="4DD841D8"/>
    <w:rsid w:val="4DDE49A7"/>
    <w:rsid w:val="4DEF1523"/>
    <w:rsid w:val="4E056DF5"/>
    <w:rsid w:val="4E071447"/>
    <w:rsid w:val="4E191ECE"/>
    <w:rsid w:val="4E1B231C"/>
    <w:rsid w:val="4E1E17F9"/>
    <w:rsid w:val="4E44421B"/>
    <w:rsid w:val="4E641701"/>
    <w:rsid w:val="4E731430"/>
    <w:rsid w:val="4EB37204"/>
    <w:rsid w:val="4ECC4EAB"/>
    <w:rsid w:val="4ED5532C"/>
    <w:rsid w:val="4F054FC0"/>
    <w:rsid w:val="4F4108A5"/>
    <w:rsid w:val="4F56683B"/>
    <w:rsid w:val="4F950DD2"/>
    <w:rsid w:val="4FB1655F"/>
    <w:rsid w:val="50223F27"/>
    <w:rsid w:val="508443F8"/>
    <w:rsid w:val="50BD1C03"/>
    <w:rsid w:val="50C459C1"/>
    <w:rsid w:val="50CF6E6C"/>
    <w:rsid w:val="50E90FC8"/>
    <w:rsid w:val="511F7925"/>
    <w:rsid w:val="512150B7"/>
    <w:rsid w:val="513A2A7D"/>
    <w:rsid w:val="515A396F"/>
    <w:rsid w:val="5162064B"/>
    <w:rsid w:val="51695BAE"/>
    <w:rsid w:val="51AB56FC"/>
    <w:rsid w:val="51F02879"/>
    <w:rsid w:val="52060E26"/>
    <w:rsid w:val="52142BB1"/>
    <w:rsid w:val="521B5694"/>
    <w:rsid w:val="523639BC"/>
    <w:rsid w:val="52392812"/>
    <w:rsid w:val="52524B24"/>
    <w:rsid w:val="52915A61"/>
    <w:rsid w:val="52BD3287"/>
    <w:rsid w:val="53076933"/>
    <w:rsid w:val="534F7179"/>
    <w:rsid w:val="536C25FA"/>
    <w:rsid w:val="536E1F00"/>
    <w:rsid w:val="538154A7"/>
    <w:rsid w:val="53AF1282"/>
    <w:rsid w:val="53AF76A4"/>
    <w:rsid w:val="53C40874"/>
    <w:rsid w:val="53F1467A"/>
    <w:rsid w:val="540648A2"/>
    <w:rsid w:val="541635DC"/>
    <w:rsid w:val="54B56786"/>
    <w:rsid w:val="54F01FA7"/>
    <w:rsid w:val="55145CDD"/>
    <w:rsid w:val="55B42CCF"/>
    <w:rsid w:val="55F350C7"/>
    <w:rsid w:val="5620721B"/>
    <w:rsid w:val="56291E9B"/>
    <w:rsid w:val="56294345"/>
    <w:rsid w:val="562C2C19"/>
    <w:rsid w:val="563F1A2A"/>
    <w:rsid w:val="564A134D"/>
    <w:rsid w:val="56572CF2"/>
    <w:rsid w:val="56661CE8"/>
    <w:rsid w:val="566A4A26"/>
    <w:rsid w:val="569100D3"/>
    <w:rsid w:val="56D922D3"/>
    <w:rsid w:val="573F4C39"/>
    <w:rsid w:val="577C01A5"/>
    <w:rsid w:val="57B8248B"/>
    <w:rsid w:val="57BF080D"/>
    <w:rsid w:val="58581264"/>
    <w:rsid w:val="58591E0B"/>
    <w:rsid w:val="589253B1"/>
    <w:rsid w:val="589564E7"/>
    <w:rsid w:val="58F75582"/>
    <w:rsid w:val="595C43CB"/>
    <w:rsid w:val="59613B42"/>
    <w:rsid w:val="59714DA6"/>
    <w:rsid w:val="5981497C"/>
    <w:rsid w:val="598E7D5E"/>
    <w:rsid w:val="59B3485B"/>
    <w:rsid w:val="59C70184"/>
    <w:rsid w:val="59FE0F38"/>
    <w:rsid w:val="5A0F7F0C"/>
    <w:rsid w:val="5A594992"/>
    <w:rsid w:val="5A6066EE"/>
    <w:rsid w:val="5A7B113F"/>
    <w:rsid w:val="5A7B7A19"/>
    <w:rsid w:val="5A84192B"/>
    <w:rsid w:val="5AD47C79"/>
    <w:rsid w:val="5B0966AD"/>
    <w:rsid w:val="5B22065D"/>
    <w:rsid w:val="5B34351C"/>
    <w:rsid w:val="5B4D7E7D"/>
    <w:rsid w:val="5B746124"/>
    <w:rsid w:val="5B950F53"/>
    <w:rsid w:val="5BFB74E0"/>
    <w:rsid w:val="5C4048C6"/>
    <w:rsid w:val="5C64717C"/>
    <w:rsid w:val="5C8E5A32"/>
    <w:rsid w:val="5CC63493"/>
    <w:rsid w:val="5CD27018"/>
    <w:rsid w:val="5CD4641F"/>
    <w:rsid w:val="5D085B73"/>
    <w:rsid w:val="5D2852DE"/>
    <w:rsid w:val="5D627C1A"/>
    <w:rsid w:val="5D8C6DED"/>
    <w:rsid w:val="5D9777CC"/>
    <w:rsid w:val="5DC25D9D"/>
    <w:rsid w:val="5E0B0D5B"/>
    <w:rsid w:val="5E1F47EE"/>
    <w:rsid w:val="5E3170D3"/>
    <w:rsid w:val="5E376AF5"/>
    <w:rsid w:val="5E3F1456"/>
    <w:rsid w:val="5E424DD5"/>
    <w:rsid w:val="5E8A7BEA"/>
    <w:rsid w:val="5EC90C78"/>
    <w:rsid w:val="5EE2176D"/>
    <w:rsid w:val="5EE34EA4"/>
    <w:rsid w:val="5F1D2CE6"/>
    <w:rsid w:val="5F22448F"/>
    <w:rsid w:val="5F4D1A9E"/>
    <w:rsid w:val="5F6932CA"/>
    <w:rsid w:val="5F6F790C"/>
    <w:rsid w:val="5FF72FE8"/>
    <w:rsid w:val="606761D5"/>
    <w:rsid w:val="606F022C"/>
    <w:rsid w:val="60744BEC"/>
    <w:rsid w:val="613130CE"/>
    <w:rsid w:val="613F09B8"/>
    <w:rsid w:val="61452375"/>
    <w:rsid w:val="614C2303"/>
    <w:rsid w:val="614D2B5B"/>
    <w:rsid w:val="6189699A"/>
    <w:rsid w:val="61BF39E8"/>
    <w:rsid w:val="620673C9"/>
    <w:rsid w:val="621552E9"/>
    <w:rsid w:val="62187AB2"/>
    <w:rsid w:val="621C1F63"/>
    <w:rsid w:val="62927258"/>
    <w:rsid w:val="62A14E95"/>
    <w:rsid w:val="62A713D7"/>
    <w:rsid w:val="62B66940"/>
    <w:rsid w:val="633F6AC2"/>
    <w:rsid w:val="63BE67A6"/>
    <w:rsid w:val="63C32EAD"/>
    <w:rsid w:val="63DA6E62"/>
    <w:rsid w:val="63EE3F90"/>
    <w:rsid w:val="64196AE9"/>
    <w:rsid w:val="642E370D"/>
    <w:rsid w:val="64415259"/>
    <w:rsid w:val="647161B5"/>
    <w:rsid w:val="648724CD"/>
    <w:rsid w:val="64C248B1"/>
    <w:rsid w:val="64E563B1"/>
    <w:rsid w:val="65207522"/>
    <w:rsid w:val="653348CF"/>
    <w:rsid w:val="65577E3A"/>
    <w:rsid w:val="65A31908"/>
    <w:rsid w:val="65BC0110"/>
    <w:rsid w:val="65E80890"/>
    <w:rsid w:val="665A02C0"/>
    <w:rsid w:val="6680568B"/>
    <w:rsid w:val="66987D1F"/>
    <w:rsid w:val="66B63CBD"/>
    <w:rsid w:val="66BF571B"/>
    <w:rsid w:val="66BF7B59"/>
    <w:rsid w:val="66D644C9"/>
    <w:rsid w:val="66FF1D9E"/>
    <w:rsid w:val="670D7B60"/>
    <w:rsid w:val="672867A0"/>
    <w:rsid w:val="67467CC8"/>
    <w:rsid w:val="674B76A3"/>
    <w:rsid w:val="674F689B"/>
    <w:rsid w:val="67620CCF"/>
    <w:rsid w:val="676C647A"/>
    <w:rsid w:val="678050EE"/>
    <w:rsid w:val="67877155"/>
    <w:rsid w:val="67953C2A"/>
    <w:rsid w:val="67A11776"/>
    <w:rsid w:val="67EA4F56"/>
    <w:rsid w:val="681B08AA"/>
    <w:rsid w:val="689B59CF"/>
    <w:rsid w:val="68A46A2E"/>
    <w:rsid w:val="68AE30D6"/>
    <w:rsid w:val="68B1767D"/>
    <w:rsid w:val="68B64265"/>
    <w:rsid w:val="68C360A4"/>
    <w:rsid w:val="68CA3A26"/>
    <w:rsid w:val="68DE2983"/>
    <w:rsid w:val="690143D2"/>
    <w:rsid w:val="691E5099"/>
    <w:rsid w:val="692457FE"/>
    <w:rsid w:val="697376F3"/>
    <w:rsid w:val="699632A3"/>
    <w:rsid w:val="69A33EAA"/>
    <w:rsid w:val="69BA7106"/>
    <w:rsid w:val="6A03630B"/>
    <w:rsid w:val="6A353A48"/>
    <w:rsid w:val="6A493C11"/>
    <w:rsid w:val="6A501F27"/>
    <w:rsid w:val="6A716BF0"/>
    <w:rsid w:val="6AA342D6"/>
    <w:rsid w:val="6B0264FF"/>
    <w:rsid w:val="6B0F705F"/>
    <w:rsid w:val="6B206A27"/>
    <w:rsid w:val="6B543ECB"/>
    <w:rsid w:val="6B80353B"/>
    <w:rsid w:val="6B8736B1"/>
    <w:rsid w:val="6BB81AE1"/>
    <w:rsid w:val="6BCC18DB"/>
    <w:rsid w:val="6BE341EE"/>
    <w:rsid w:val="6BFA7D8C"/>
    <w:rsid w:val="6C0F1F2B"/>
    <w:rsid w:val="6C221578"/>
    <w:rsid w:val="6C2D6C2C"/>
    <w:rsid w:val="6C3A0244"/>
    <w:rsid w:val="6C3E486B"/>
    <w:rsid w:val="6C466CFF"/>
    <w:rsid w:val="6C6650B2"/>
    <w:rsid w:val="6C6B123C"/>
    <w:rsid w:val="6C87718B"/>
    <w:rsid w:val="6C8C3539"/>
    <w:rsid w:val="6CD645BB"/>
    <w:rsid w:val="6CE858F8"/>
    <w:rsid w:val="6D38505C"/>
    <w:rsid w:val="6D4339AB"/>
    <w:rsid w:val="6D7A1DBE"/>
    <w:rsid w:val="6D964998"/>
    <w:rsid w:val="6DA164F4"/>
    <w:rsid w:val="6DA5301C"/>
    <w:rsid w:val="6E1C7AA5"/>
    <w:rsid w:val="6E2B7B1D"/>
    <w:rsid w:val="6E2C04E2"/>
    <w:rsid w:val="6E4C1B70"/>
    <w:rsid w:val="6E5374ED"/>
    <w:rsid w:val="6E69187D"/>
    <w:rsid w:val="6EBD290F"/>
    <w:rsid w:val="6EE77FDF"/>
    <w:rsid w:val="6F00276A"/>
    <w:rsid w:val="6F3441D3"/>
    <w:rsid w:val="6F500795"/>
    <w:rsid w:val="6F5D0485"/>
    <w:rsid w:val="6F98271B"/>
    <w:rsid w:val="6F9F53EC"/>
    <w:rsid w:val="6FBC29BA"/>
    <w:rsid w:val="6FE063F6"/>
    <w:rsid w:val="70111C5D"/>
    <w:rsid w:val="70244BA3"/>
    <w:rsid w:val="70276993"/>
    <w:rsid w:val="702A0AC3"/>
    <w:rsid w:val="70743D15"/>
    <w:rsid w:val="7088456D"/>
    <w:rsid w:val="708B2F40"/>
    <w:rsid w:val="70AD0A80"/>
    <w:rsid w:val="70BA72CB"/>
    <w:rsid w:val="70C01731"/>
    <w:rsid w:val="70D131A6"/>
    <w:rsid w:val="70DC3343"/>
    <w:rsid w:val="70F14CEA"/>
    <w:rsid w:val="70F37427"/>
    <w:rsid w:val="70F85878"/>
    <w:rsid w:val="711A336F"/>
    <w:rsid w:val="71220CEA"/>
    <w:rsid w:val="712B53B8"/>
    <w:rsid w:val="7159777D"/>
    <w:rsid w:val="71787690"/>
    <w:rsid w:val="718A174C"/>
    <w:rsid w:val="7192669F"/>
    <w:rsid w:val="7193357F"/>
    <w:rsid w:val="71CA2556"/>
    <w:rsid w:val="71F36227"/>
    <w:rsid w:val="71FC05F4"/>
    <w:rsid w:val="721E32B1"/>
    <w:rsid w:val="7231599A"/>
    <w:rsid w:val="724578C3"/>
    <w:rsid w:val="725106C1"/>
    <w:rsid w:val="725C2110"/>
    <w:rsid w:val="727D6074"/>
    <w:rsid w:val="729A2AE9"/>
    <w:rsid w:val="72C16A00"/>
    <w:rsid w:val="72E170AE"/>
    <w:rsid w:val="73197E32"/>
    <w:rsid w:val="7328309E"/>
    <w:rsid w:val="73290C04"/>
    <w:rsid w:val="732C0472"/>
    <w:rsid w:val="73630EB3"/>
    <w:rsid w:val="736841E8"/>
    <w:rsid w:val="73836A81"/>
    <w:rsid w:val="739B61FD"/>
    <w:rsid w:val="73A876D3"/>
    <w:rsid w:val="74047103"/>
    <w:rsid w:val="741C2E83"/>
    <w:rsid w:val="743D0676"/>
    <w:rsid w:val="74523F60"/>
    <w:rsid w:val="74E71ABF"/>
    <w:rsid w:val="75C1551E"/>
    <w:rsid w:val="75DA27A0"/>
    <w:rsid w:val="75DF3DC3"/>
    <w:rsid w:val="75F52C59"/>
    <w:rsid w:val="761C36AA"/>
    <w:rsid w:val="762831D7"/>
    <w:rsid w:val="762E102A"/>
    <w:rsid w:val="7650348E"/>
    <w:rsid w:val="7686012C"/>
    <w:rsid w:val="76AE778B"/>
    <w:rsid w:val="76B67420"/>
    <w:rsid w:val="76DA569A"/>
    <w:rsid w:val="76F96D1D"/>
    <w:rsid w:val="76F974AA"/>
    <w:rsid w:val="77093676"/>
    <w:rsid w:val="77351A1F"/>
    <w:rsid w:val="77655642"/>
    <w:rsid w:val="77DE2897"/>
    <w:rsid w:val="78257457"/>
    <w:rsid w:val="78601DC1"/>
    <w:rsid w:val="7874066B"/>
    <w:rsid w:val="7877367E"/>
    <w:rsid w:val="78815754"/>
    <w:rsid w:val="78A3272F"/>
    <w:rsid w:val="78B1080B"/>
    <w:rsid w:val="78B15E91"/>
    <w:rsid w:val="78CF4F93"/>
    <w:rsid w:val="79215824"/>
    <w:rsid w:val="79230B1C"/>
    <w:rsid w:val="7940463F"/>
    <w:rsid w:val="794E528A"/>
    <w:rsid w:val="795A1D13"/>
    <w:rsid w:val="795C1030"/>
    <w:rsid w:val="79790547"/>
    <w:rsid w:val="797B0380"/>
    <w:rsid w:val="79D8159C"/>
    <w:rsid w:val="7A264ABD"/>
    <w:rsid w:val="7A317422"/>
    <w:rsid w:val="7A44584F"/>
    <w:rsid w:val="7A45080D"/>
    <w:rsid w:val="7A9121E3"/>
    <w:rsid w:val="7A935D85"/>
    <w:rsid w:val="7AAE77D2"/>
    <w:rsid w:val="7AAF7B68"/>
    <w:rsid w:val="7AB67B87"/>
    <w:rsid w:val="7AE079EB"/>
    <w:rsid w:val="7AE10860"/>
    <w:rsid w:val="7B0A0F5F"/>
    <w:rsid w:val="7B704C88"/>
    <w:rsid w:val="7BB24AFC"/>
    <w:rsid w:val="7BCB2B9A"/>
    <w:rsid w:val="7BF6770A"/>
    <w:rsid w:val="7BFE2A5B"/>
    <w:rsid w:val="7C474610"/>
    <w:rsid w:val="7C6A0EC6"/>
    <w:rsid w:val="7C6E649D"/>
    <w:rsid w:val="7C8219B8"/>
    <w:rsid w:val="7CA35908"/>
    <w:rsid w:val="7CA85021"/>
    <w:rsid w:val="7CD13012"/>
    <w:rsid w:val="7CF3013F"/>
    <w:rsid w:val="7D017A0C"/>
    <w:rsid w:val="7D030824"/>
    <w:rsid w:val="7D2664A1"/>
    <w:rsid w:val="7D2F0A9B"/>
    <w:rsid w:val="7D311E42"/>
    <w:rsid w:val="7D4E5F89"/>
    <w:rsid w:val="7D9816C9"/>
    <w:rsid w:val="7D9F2780"/>
    <w:rsid w:val="7DA9615C"/>
    <w:rsid w:val="7DD51E87"/>
    <w:rsid w:val="7DDF4BCB"/>
    <w:rsid w:val="7DE757EB"/>
    <w:rsid w:val="7DEA1AF5"/>
    <w:rsid w:val="7DEE4CAF"/>
    <w:rsid w:val="7E5224AB"/>
    <w:rsid w:val="7E562472"/>
    <w:rsid w:val="7E670594"/>
    <w:rsid w:val="7E686245"/>
    <w:rsid w:val="7E6B7A22"/>
    <w:rsid w:val="7E773D77"/>
    <w:rsid w:val="7E817659"/>
    <w:rsid w:val="7EC11C67"/>
    <w:rsid w:val="7EC71FA6"/>
    <w:rsid w:val="7EDC2F65"/>
    <w:rsid w:val="7EEC75E3"/>
    <w:rsid w:val="7EF35532"/>
    <w:rsid w:val="7EFE71D1"/>
    <w:rsid w:val="7F1E0043"/>
    <w:rsid w:val="7F3C4093"/>
    <w:rsid w:val="7F965857"/>
    <w:rsid w:val="7FE608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4A970-D5B0-4015-9E85-980872B7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unhideWhenUsed="1" w:qFormat="1"/>
    <w:lsdException w:name="header" w:qFormat="1"/>
    <w:lsdException w:name="footer"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rFonts w:eastAsia="Times New Roman"/>
      <w:sz w:val="24"/>
      <w:szCs w:val="24"/>
      <w:lang w:eastAsia="en-GB"/>
    </w:rPr>
  </w:style>
  <w:style w:type="paragraph" w:styleId="Heading1">
    <w:name w:val="heading 1"/>
    <w:basedOn w:val="Normal"/>
    <w:next w:val="Paragraph"/>
    <w:link w:val="Heading1Char"/>
    <w:qFormat/>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pPr>
      <w:widowControl w:val="0"/>
      <w:spacing w:before="240"/>
    </w:pPr>
  </w:style>
  <w:style w:type="paragraph" w:customStyle="1" w:styleId="Newparagraph">
    <w:name w:val="New paragraph"/>
    <w:basedOn w:val="Normal"/>
    <w:qFormat/>
    <w:pPr>
      <w:ind w:firstLine="720"/>
    </w:pPr>
  </w:style>
  <w:style w:type="paragraph" w:styleId="BalloonText">
    <w:name w:val="Balloon Text"/>
    <w:basedOn w:val="Normal"/>
    <w:link w:val="BalloonTextChar"/>
    <w:unhideWhenUsed/>
    <w:qFormat/>
    <w:pPr>
      <w:spacing w:after="0" w:line="240" w:lineRule="auto"/>
    </w:pPr>
    <w:rPr>
      <w:sz w:val="18"/>
      <w:szCs w:val="18"/>
    </w:rPr>
  </w:style>
  <w:style w:type="paragraph" w:styleId="CommentText">
    <w:name w:val="annotation text"/>
    <w:basedOn w:val="Normal"/>
    <w:link w:val="CommentTextChar"/>
    <w:unhideWhenUsed/>
    <w:qFormat/>
    <w:pPr>
      <w:spacing w:line="240" w:lineRule="auto"/>
    </w:pPr>
  </w:style>
  <w:style w:type="paragraph" w:styleId="CommentSubject">
    <w:name w:val="annotation subject"/>
    <w:basedOn w:val="CommentText"/>
    <w:next w:val="CommentText"/>
    <w:link w:val="CommentSubjectChar"/>
    <w:unhideWhenUsed/>
    <w:qFormat/>
    <w:rPr>
      <w:b/>
      <w:bCs/>
      <w:sz w:val="20"/>
      <w:szCs w:val="20"/>
    </w:rPr>
  </w:style>
  <w:style w:type="paragraph" w:styleId="EndnoteText">
    <w:name w:val="endnote text"/>
    <w:basedOn w:val="Normal"/>
    <w:link w:val="EndnoteTextChar"/>
    <w:qFormat/>
    <w:pPr>
      <w:ind w:left="284" w:hanging="284"/>
    </w:pPr>
    <w:rPr>
      <w:sz w:val="22"/>
      <w:szCs w:val="20"/>
    </w:rPr>
  </w:style>
  <w:style w:type="paragraph" w:styleId="Footer">
    <w:name w:val="footer"/>
    <w:basedOn w:val="Normal"/>
    <w:link w:val="FooterChar"/>
    <w:qFormat/>
    <w:pPr>
      <w:tabs>
        <w:tab w:val="center" w:pos="4320"/>
        <w:tab w:val="right" w:pos="8640"/>
      </w:tabs>
      <w:spacing w:before="240" w:line="240" w:lineRule="auto"/>
      <w:contextualSpacing/>
    </w:pPr>
  </w:style>
  <w:style w:type="paragraph" w:styleId="FootnoteText">
    <w:name w:val="footnote text"/>
    <w:basedOn w:val="Normal"/>
    <w:link w:val="FootnoteTextChar"/>
    <w:qFormat/>
    <w:pPr>
      <w:ind w:left="284" w:hanging="284"/>
    </w:pPr>
    <w:rPr>
      <w:sz w:val="22"/>
      <w:szCs w:val="20"/>
    </w:rPr>
  </w:style>
  <w:style w:type="paragraph" w:styleId="Header">
    <w:name w:val="header"/>
    <w:basedOn w:val="Normal"/>
    <w:link w:val="HeaderChar"/>
    <w:qFormat/>
    <w:pPr>
      <w:tabs>
        <w:tab w:val="center" w:pos="4320"/>
        <w:tab w:val="right" w:pos="8640"/>
      </w:tabs>
      <w:spacing w:after="120" w:line="240" w:lineRule="auto"/>
      <w:contextualSpacing/>
    </w:pPr>
  </w:style>
  <w:style w:type="paragraph" w:styleId="NormalIndent">
    <w:name w:val="Normal Indent"/>
    <w:basedOn w:val="Normal"/>
    <w:qFormat/>
    <w:pPr>
      <w:ind w:left="720"/>
    </w:pPr>
  </w:style>
  <w:style w:type="character" w:styleId="CommentReference">
    <w:name w:val="annotation reference"/>
    <w:basedOn w:val="DefaultParagraphFont"/>
    <w:unhideWhenUsed/>
    <w:qFormat/>
    <w:rPr>
      <w:sz w:val="18"/>
      <w:szCs w:val="18"/>
    </w:rPr>
  </w:style>
  <w:style w:type="character" w:styleId="EndnoteReference">
    <w:name w:val="endnote reference"/>
    <w:basedOn w:val="DefaultParagraphFont"/>
    <w:qFormat/>
    <w:rPr>
      <w:vertAlign w:val="superscript"/>
    </w:rPr>
  </w:style>
  <w:style w:type="character" w:styleId="FootnoteReference">
    <w:name w:val="footnote reference"/>
    <w:basedOn w:val="DefaultParagraphFont"/>
    <w:qFormat/>
    <w:rPr>
      <w:vertAlign w:val="superscript"/>
    </w:rPr>
  </w:style>
  <w:style w:type="character" w:styleId="Hyperlink">
    <w:name w:val="Hyperlink"/>
    <w:basedOn w:val="DefaultParagraphFont"/>
    <w:unhideWhenUsed/>
    <w:qFormat/>
    <w:rPr>
      <w:color w:val="0000FF"/>
      <w:u w:val="single"/>
    </w:rPr>
  </w:style>
  <w:style w:type="character" w:styleId="LineNumber">
    <w:name w:val="line number"/>
    <w:basedOn w:val="DefaultParagraphFont"/>
    <w:unhideWhenUsed/>
  </w:style>
  <w:style w:type="table" w:styleId="TableGrid">
    <w:name w:val="Table Grid"/>
    <w:basedOn w:val="TableNormal"/>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itle">
    <w:name w:val="Article title"/>
    <w:basedOn w:val="Normal"/>
    <w:next w:val="Normal"/>
    <w:qFormat/>
    <w:pPr>
      <w:spacing w:after="120" w:line="360" w:lineRule="auto"/>
    </w:pPr>
    <w:rPr>
      <w:b/>
      <w:sz w:val="28"/>
    </w:rPr>
  </w:style>
  <w:style w:type="paragraph" w:customStyle="1" w:styleId="Authornames">
    <w:name w:val="Author names"/>
    <w:basedOn w:val="Normal"/>
    <w:next w:val="Normal"/>
    <w:qFormat/>
    <w:pPr>
      <w:spacing w:before="240" w:line="360" w:lineRule="auto"/>
    </w:pPr>
    <w:rPr>
      <w:sz w:val="28"/>
    </w:rPr>
  </w:style>
  <w:style w:type="paragraph" w:customStyle="1" w:styleId="Affiliation">
    <w:name w:val="Affiliation"/>
    <w:basedOn w:val="Normal"/>
    <w:qFormat/>
    <w:pPr>
      <w:spacing w:before="240" w:line="360" w:lineRule="auto"/>
    </w:pPr>
    <w:rPr>
      <w:i/>
    </w:rPr>
  </w:style>
  <w:style w:type="paragraph" w:customStyle="1" w:styleId="Receiveddates">
    <w:name w:val="Received dates"/>
    <w:basedOn w:val="Affiliation"/>
    <w:next w:val="Normal"/>
    <w:qFormat/>
  </w:style>
  <w:style w:type="paragraph" w:customStyle="1" w:styleId="Abstract">
    <w:name w:val="Abstract"/>
    <w:basedOn w:val="Normal"/>
    <w:next w:val="Keywords"/>
    <w:qFormat/>
    <w:pPr>
      <w:spacing w:before="360" w:after="300" w:line="360" w:lineRule="auto"/>
      <w:ind w:left="720" w:right="567"/>
    </w:pPr>
    <w:rPr>
      <w:sz w:val="22"/>
    </w:rPr>
  </w:style>
  <w:style w:type="paragraph" w:customStyle="1" w:styleId="Keywords">
    <w:name w:val="Keywords"/>
    <w:basedOn w:val="Normal"/>
    <w:next w:val="Paragraph"/>
    <w:qFormat/>
    <w:pPr>
      <w:spacing w:before="240" w:after="240" w:line="360" w:lineRule="auto"/>
      <w:ind w:left="720" w:right="567"/>
    </w:pPr>
    <w:rPr>
      <w:sz w:val="22"/>
    </w:rPr>
  </w:style>
  <w:style w:type="paragraph" w:customStyle="1" w:styleId="Correspondencedetails">
    <w:name w:val="Correspondence details"/>
    <w:basedOn w:val="Normal"/>
    <w:qFormat/>
    <w:pPr>
      <w:spacing w:before="240" w:line="360" w:lineRule="auto"/>
    </w:pPr>
  </w:style>
  <w:style w:type="paragraph" w:customStyle="1" w:styleId="Displayedquotation">
    <w:name w:val="Displayed quotation"/>
    <w:basedOn w:val="Normal"/>
    <w:qFormat/>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pPr>
      <w:widowControl/>
      <w:numPr>
        <w:numId w:val="1"/>
      </w:numPr>
      <w:spacing w:after="240"/>
      <w:contextualSpacing/>
    </w:pPr>
  </w:style>
  <w:style w:type="paragraph" w:customStyle="1" w:styleId="Displayedequation">
    <w:name w:val="Displayed equation"/>
    <w:basedOn w:val="Normal"/>
    <w:next w:val="Paragraph"/>
    <w:qFormat/>
    <w:pPr>
      <w:tabs>
        <w:tab w:val="center" w:pos="4253"/>
        <w:tab w:val="right" w:pos="8222"/>
      </w:tabs>
      <w:spacing w:before="240" w:after="240"/>
      <w:jc w:val="center"/>
    </w:pPr>
  </w:style>
  <w:style w:type="paragraph" w:customStyle="1" w:styleId="Acknowledgements">
    <w:name w:val="Acknowledgements"/>
    <w:basedOn w:val="Normal"/>
    <w:next w:val="Normal"/>
    <w:qFormat/>
    <w:pPr>
      <w:spacing w:before="120" w:line="360" w:lineRule="auto"/>
    </w:pPr>
    <w:rPr>
      <w:sz w:val="22"/>
    </w:rPr>
  </w:style>
  <w:style w:type="paragraph" w:customStyle="1" w:styleId="Tabletitle">
    <w:name w:val="Table title"/>
    <w:basedOn w:val="Normal"/>
    <w:next w:val="Normal"/>
    <w:qFormat/>
    <w:pPr>
      <w:spacing w:before="240" w:line="360" w:lineRule="auto"/>
    </w:pPr>
  </w:style>
  <w:style w:type="paragraph" w:customStyle="1" w:styleId="Figurecaption">
    <w:name w:val="Figure caption"/>
    <w:basedOn w:val="Normal"/>
    <w:next w:val="Normal"/>
    <w:qFormat/>
    <w:pPr>
      <w:spacing w:before="240" w:line="360" w:lineRule="auto"/>
    </w:pPr>
  </w:style>
  <w:style w:type="paragraph" w:customStyle="1" w:styleId="Footnotes">
    <w:name w:val="Footnotes"/>
    <w:basedOn w:val="Normal"/>
    <w:qFormat/>
    <w:pPr>
      <w:spacing w:before="120" w:line="360" w:lineRule="auto"/>
      <w:ind w:left="482" w:hanging="482"/>
      <w:contextualSpacing/>
    </w:pPr>
    <w:rPr>
      <w:sz w:val="22"/>
    </w:rPr>
  </w:style>
  <w:style w:type="paragraph" w:customStyle="1" w:styleId="Notesoncontributors">
    <w:name w:val="Notes on contributors"/>
    <w:basedOn w:val="Normal"/>
    <w:qFormat/>
    <w:pPr>
      <w:spacing w:before="240" w:line="360" w:lineRule="auto"/>
    </w:pPr>
    <w:rPr>
      <w:sz w:val="22"/>
    </w:rPr>
  </w:style>
  <w:style w:type="paragraph" w:customStyle="1" w:styleId="Normalparagraphstyle">
    <w:name w:val="Normal paragraph style"/>
    <w:basedOn w:val="Normal"/>
    <w:next w:val="Normal"/>
    <w:qFormat/>
  </w:style>
  <w:style w:type="paragraph" w:customStyle="1" w:styleId="References">
    <w:name w:val="References"/>
    <w:basedOn w:val="Normal"/>
    <w:qFormat/>
    <w:pPr>
      <w:spacing w:before="120" w:line="360" w:lineRule="auto"/>
      <w:ind w:left="720" w:hanging="720"/>
      <w:contextualSpacing/>
    </w:pPr>
  </w:style>
  <w:style w:type="paragraph" w:customStyle="1" w:styleId="Subjectcodes">
    <w:name w:val="Subject codes"/>
    <w:basedOn w:val="Keywords"/>
    <w:next w:val="Paragraph"/>
    <w:qFormat/>
  </w:style>
  <w:style w:type="character" w:customStyle="1" w:styleId="Heading2Char">
    <w:name w:val="Heading 2 Char"/>
    <w:basedOn w:val="DefaultParagraphFont"/>
    <w:link w:val="Heading2"/>
    <w:qFormat/>
    <w:rPr>
      <w:rFonts w:cs="Arial"/>
      <w:b/>
      <w:bCs/>
      <w:i/>
      <w:iCs/>
      <w:sz w:val="24"/>
      <w:szCs w:val="28"/>
    </w:rPr>
  </w:style>
  <w:style w:type="character" w:customStyle="1" w:styleId="Heading1Char">
    <w:name w:val="Heading 1 Char"/>
    <w:basedOn w:val="DefaultParagraphFont"/>
    <w:link w:val="Heading1"/>
    <w:qFormat/>
    <w:rPr>
      <w:rFonts w:cs="Arial"/>
      <w:b/>
      <w:bCs/>
      <w:kern w:val="32"/>
      <w:sz w:val="24"/>
      <w:szCs w:val="32"/>
    </w:rPr>
  </w:style>
  <w:style w:type="character" w:customStyle="1" w:styleId="Heading3Char">
    <w:name w:val="Heading 3 Char"/>
    <w:basedOn w:val="DefaultParagraphFont"/>
    <w:link w:val="Heading3"/>
    <w:qFormat/>
    <w:rPr>
      <w:rFonts w:eastAsia="Times New Roman" w:cs="Arial"/>
      <w:bCs/>
      <w:i/>
      <w:sz w:val="24"/>
      <w:szCs w:val="26"/>
      <w:lang w:eastAsia="en-GB"/>
    </w:rPr>
  </w:style>
  <w:style w:type="paragraph" w:customStyle="1" w:styleId="Bulletedlist">
    <w:name w:val="Bulleted list"/>
    <w:basedOn w:val="Paragraph"/>
    <w:next w:val="Paragraph"/>
    <w:qFormat/>
    <w:pPr>
      <w:widowControl/>
      <w:numPr>
        <w:numId w:val="2"/>
      </w:numPr>
      <w:spacing w:after="240"/>
      <w:contextualSpacing/>
    </w:pPr>
  </w:style>
  <w:style w:type="character" w:customStyle="1" w:styleId="FootnoteTextChar">
    <w:name w:val="Footnote Text Char"/>
    <w:basedOn w:val="DefaultParagraphFont"/>
    <w:link w:val="FootnoteText"/>
    <w:qFormat/>
    <w:rPr>
      <w:sz w:val="22"/>
    </w:rPr>
  </w:style>
  <w:style w:type="character" w:customStyle="1" w:styleId="EndnoteTextChar">
    <w:name w:val="Endnote Text Char"/>
    <w:basedOn w:val="DefaultParagraphFont"/>
    <w:link w:val="EndnoteText"/>
    <w:qFormat/>
    <w:rPr>
      <w:sz w:val="22"/>
    </w:rPr>
  </w:style>
  <w:style w:type="character" w:customStyle="1" w:styleId="Heading4Char">
    <w:name w:val="Heading 4 Char"/>
    <w:basedOn w:val="DefaultParagraphFont"/>
    <w:link w:val="Heading4"/>
    <w:qFormat/>
    <w:rPr>
      <w:bCs/>
      <w:sz w:val="24"/>
      <w:szCs w:val="28"/>
    </w:rPr>
  </w:style>
  <w:style w:type="character" w:customStyle="1" w:styleId="HeaderChar">
    <w:name w:val="Header Char"/>
    <w:basedOn w:val="DefaultParagraphFont"/>
    <w:link w:val="Header"/>
    <w:qFormat/>
    <w:rPr>
      <w:rFonts w:eastAsia="Times New Roman"/>
      <w:sz w:val="24"/>
      <w:szCs w:val="24"/>
      <w:lang w:eastAsia="en-GB"/>
    </w:rPr>
  </w:style>
  <w:style w:type="character" w:customStyle="1" w:styleId="FooterChar">
    <w:name w:val="Footer Char"/>
    <w:basedOn w:val="DefaultParagraphFont"/>
    <w:link w:val="Footer"/>
    <w:qFormat/>
    <w:rPr>
      <w:sz w:val="24"/>
      <w:szCs w:val="24"/>
    </w:rPr>
  </w:style>
  <w:style w:type="paragraph" w:customStyle="1" w:styleId="Heading4Paragraph">
    <w:name w:val="Heading 4 + Paragraph"/>
    <w:basedOn w:val="Paragraph"/>
    <w:next w:val="Newparagraph"/>
    <w:qFormat/>
    <w:pPr>
      <w:widowControl/>
      <w:spacing w:before="360"/>
    </w:pPr>
  </w:style>
  <w:style w:type="table" w:customStyle="1" w:styleId="TableGrid1">
    <w:name w:val="Table Grid1"/>
    <w:basedOn w:val="TableNormal"/>
    <w:uiPriority w:val="59"/>
    <w:qFormat/>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table" w:customStyle="1" w:styleId="TableGrid21">
    <w:name w:val="Table Grid21"/>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a">
    <w:name w:val="普通表格"/>
    <w:semiHidden/>
    <w:qFormat/>
    <w:pPr>
      <w:spacing w:after="200" w:line="276" w:lineRule="auto"/>
    </w:pPr>
    <w:rPr>
      <w:sz w:val="22"/>
      <w:szCs w:val="22"/>
    </w:rPr>
    <w:tblPr>
      <w:tblCellMar>
        <w:top w:w="0" w:type="dxa"/>
        <w:left w:w="108" w:type="dxa"/>
        <w:bottom w:w="0" w:type="dxa"/>
        <w:right w:w="108" w:type="dxa"/>
      </w:tblCellMar>
    </w:tblPr>
  </w:style>
  <w:style w:type="character" w:customStyle="1" w:styleId="BalloonTextChar">
    <w:name w:val="Balloon Text Char"/>
    <w:basedOn w:val="DefaultParagraphFont"/>
    <w:link w:val="BalloonText"/>
    <w:semiHidden/>
    <w:qFormat/>
    <w:rPr>
      <w:rFonts w:ascii="Times New Roman" w:eastAsia="Times New Roman" w:hAnsi="Times New Roman"/>
      <w:sz w:val="18"/>
      <w:szCs w:val="18"/>
    </w:rPr>
  </w:style>
  <w:style w:type="character" w:customStyle="1" w:styleId="CommentTextChar">
    <w:name w:val="Comment Text Char"/>
    <w:basedOn w:val="DefaultParagraphFont"/>
    <w:link w:val="CommentText"/>
    <w:semiHidden/>
    <w:qFormat/>
    <w:rPr>
      <w:rFonts w:ascii="Times New Roman" w:eastAsia="Times New Roman" w:hAnsi="Times New Roman"/>
      <w:sz w:val="24"/>
      <w:szCs w:val="24"/>
    </w:rPr>
  </w:style>
  <w:style w:type="character" w:customStyle="1" w:styleId="CommentSubjectChar">
    <w:name w:val="Comment Subject Char"/>
    <w:basedOn w:val="CommentTextChar"/>
    <w:link w:val="CommentSubject"/>
    <w:semiHidden/>
    <w:qFormat/>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ngye.com.cn/web/BIM/Index.as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3ds.com/industries/architecture-engineering-construction/what-is-b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ntley.com/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utodesk.com/company" TargetMode="External"/><Relationship Id="rId4" Type="http://schemas.openxmlformats.org/officeDocument/2006/relationships/styles" Target="styles.xml"/><Relationship Id="rId9" Type="http://schemas.openxmlformats.org/officeDocument/2006/relationships/hyperlink" Target="https://www.researchgate.net/profile/Poorang_Piroozfar?_iepl%5bviewId%5d=uPR1AfKoWAc9fbRGjaliL1AG3twl6ZcAwmzf&amp;_iepl%5bcontexts%5d%5b0%5d=prfhpi&amp;_iepl%5bdata%5d%5bstandardItemCount%5d=3&amp;_iepl%5bdata%5d%5buserSelectedItemCount%5d=0&amp;_iepl%5bdata%5d%5btopHighlightCount%5d=2&amp;_iepl%5bdata%5d%5bstandardItemIndex%5d=1&amp;_iepl%5bdata%5d%5bstandardItem1of3%5d=1&amp;_iepl%5btargetEntityId%5d=PB:318641045&amp;_iepl%5binteractionType%5d=publicationViewCoAuthorProfile" TargetMode="External"/><Relationship Id="rId14" Type="http://schemas.openxmlformats.org/officeDocument/2006/relationships/hyperlink" Target="https://www.researchgate.net/publication/317718381_Investigation_of_BIM_Investment_Returns_and_Risks_in_China's_AEC_Industries?_iepl%5bviewId%5d=lUnOm0OCE4Tu2Z18cZQJu20wq3tOMCRA4MVn&amp;_iepl%5bcontexts%5d%5b0%5d=prfhpi&amp;_iepl%5bdata%5d%5bstandardItemCount%5d=4&amp;_iepl%5bdata%5d%5buserSelectedItemCount%5d=0&amp;_iepl%5bdata%5d%5btopHighlightCount%5d=2&amp;_iepl%5bdata%5d%5bstandardItemIndex%5d=3&amp;_iepl%5bdata%5d%5bstandardItem3of4%5d=1&amp;_iepl%5btargetEntityId%5d=PB:317718381&amp;_iepl%5binteractionType%5d=publicationTit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R.Jin@brighton.ac.uk" TargetMode="External"/><Relationship Id="rId2" Type="http://schemas.openxmlformats.org/officeDocument/2006/relationships/hyperlink" Target="mailto:R.Jin@brighton.ac.uk" TargetMode="External"/><Relationship Id="rId1" Type="http://schemas.openxmlformats.org/officeDocument/2006/relationships/hyperlink" Target="mailto:suifengyiyang@126.com" TargetMode="External"/><Relationship Id="rId6" Type="http://schemas.openxmlformats.org/officeDocument/2006/relationships/hyperlink" Target="mailto:t.yang@mdx.ac.uk" TargetMode="External"/><Relationship Id="rId5" Type="http://schemas.openxmlformats.org/officeDocument/2006/relationships/hyperlink" Target="mailto:D.Wan@leeds.ac.uk" TargetMode="External"/><Relationship Id="rId4" Type="http://schemas.openxmlformats.org/officeDocument/2006/relationships/hyperlink" Target="mailto:907840351@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4EAA5-1F7C-436E-B39E-5974BBD6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11925</Words>
  <Characters>67973</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University of Brighton</Company>
  <LinksUpToDate>false</LinksUpToDate>
  <CharactersWithSpaces>79739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Roy JIN</dc:creator>
  <cp:lastModifiedBy>Ruoyu Jin</cp:lastModifiedBy>
  <cp:revision>4</cp:revision>
  <cp:lastPrinted>2018-02-22T11:48:00Z</cp:lastPrinted>
  <dcterms:created xsi:type="dcterms:W3CDTF">2018-04-20T09:54:00Z</dcterms:created>
  <dcterms:modified xsi:type="dcterms:W3CDTF">2018-04-30T16:08:00Z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