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E00B" w14:textId="49E5A76D" w:rsidR="00820A59" w:rsidRPr="00C70B73" w:rsidRDefault="00820A59" w:rsidP="00E916BA">
      <w:pPr>
        <w:pStyle w:val="Title"/>
        <w:jc w:val="center"/>
        <w:rPr>
          <w:b/>
          <w:color w:val="0D0D0D" w:themeColor="text1" w:themeTint="F2"/>
          <w:spacing w:val="0"/>
          <w:sz w:val="72"/>
          <w14:shadow w14:blurRad="50800" w14:dist="50800" w14:dir="5400000" w14:sx="100000" w14:sy="100000" w14:kx="0" w14:ky="0" w14:algn="ctr">
            <w14:schemeClr w14:val="bg2">
              <w14:lumMod w14:val="9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pPr>
      <w:proofErr w:type="spellStart"/>
      <w:r w:rsidRPr="00C70B73">
        <w:rPr>
          <w:b/>
          <w:color w:val="0D0D0D" w:themeColor="text1" w:themeTint="F2"/>
          <w:spacing w:val="0"/>
          <w:sz w:val="72"/>
          <w14:shadow w14:blurRad="50800" w14:dist="50800" w14:dir="5400000" w14:sx="100000" w14:sy="100000" w14:kx="0" w14:ky="0" w14:algn="ctr">
            <w14:schemeClr w14:val="bg2">
              <w14:lumMod w14:val="90000"/>
            </w14:schemeClr>
          </w14:shadow>
          <w14:reflection w14:blurRad="6350" w14:stA="50000" w14:stPos="0" w14:endA="300" w14:endPos="50000" w14:dist="29997" w14:dir="5400000" w14:fadeDir="5400000" w14:sx="100000" w14:sy="-100000" w14:kx="0" w14:ky="0" w14:algn="bl"/>
          <w14:textOutline w14:w="9525" w14:cap="flat" w14:cmpd="sng" w14:algn="ctr">
            <w14:solidFill>
              <w14:schemeClr w14:val="bg1"/>
            </w14:solidFill>
            <w14:prstDash w14:val="solid"/>
            <w14:round/>
          </w14:textOutline>
        </w:rPr>
        <w:t>Word</w:t>
      </w:r>
      <w:r w:rsidR="00E916BA" w:rsidRPr="00C70B73">
        <w:rPr>
          <w:b/>
          <w:color w:val="0D0D0D" w:themeColor="text1" w:themeTint="F2"/>
          <w:spacing w:val="0"/>
          <w:sz w:val="72"/>
          <w14:shadow w14:blurRad="50800" w14:dist="50800" w14:dir="5400000" w14:sx="100000" w14:sy="100000" w14:kx="0" w14:ky="0" w14:algn="ctr">
            <w14:schemeClr w14:val="bg2">
              <w14:lumMod w14:val="90000"/>
            </w14:schemeClr>
          </w14:shadow>
          <w14:reflection w14:blurRad="6350" w14:stA="50000" w14:stPos="0" w14:endA="300" w14:endPos="50000" w14:dist="29997" w14:dir="5400000" w14:fadeDir="5400000" w14:sx="100000" w14:sy="-100000" w14:kx="0" w14:ky="0" w14:algn="bl"/>
          <w14:textOutline w14:w="9525" w14:cap="flat" w14:cmpd="sng" w14:algn="ctr">
            <w14:solidFill>
              <w14:schemeClr w14:val="bg1"/>
            </w14:solidFill>
            <w14:prstDash w14:val="solid"/>
            <w14:round/>
          </w14:textOutline>
        </w:rPr>
        <w:t>fulness</w:t>
      </w:r>
      <w:proofErr w:type="spellEnd"/>
      <w:r w:rsidR="00E916BA" w:rsidRPr="00C70B73">
        <w:rPr>
          <w:b/>
          <w:color w:val="0D0D0D" w:themeColor="text1" w:themeTint="F2"/>
          <w:spacing w:val="0"/>
          <w:sz w:val="72"/>
          <w14:shadow w14:blurRad="50800" w14:dist="50800" w14:dir="5400000" w14:sx="100000" w14:sy="100000" w14:kx="0" w14:ky="0" w14:algn="ctr">
            <w14:schemeClr w14:val="bg2">
              <w14:lumMod w14:val="90000"/>
            </w14:schemeClr>
          </w14:shadow>
          <w14:reflection w14:blurRad="6350" w14:stA="50000" w14:stPos="0" w14:endA="300" w14:endPos="50000" w14:dist="29997" w14:dir="5400000" w14:fadeDir="5400000" w14:sx="100000" w14:sy="-100000" w14:kx="0" w14:ky="0" w14:algn="bl"/>
          <w14:textOutline w14:w="9525" w14:cap="flat" w14:cmpd="sng" w14:algn="ctr">
            <w14:solidFill>
              <w14:schemeClr w14:val="bg1"/>
            </w14:solidFill>
            <w14:prstDash w14:val="solid"/>
            <w14:round/>
          </w14:textOutline>
        </w:rPr>
        <w:t xml:space="preserve"> for Neophytes</w:t>
      </w:r>
    </w:p>
    <w:p w14:paraId="584ECE0D" w14:textId="77777777" w:rsidR="00E916BA" w:rsidRPr="00C70B73" w:rsidRDefault="00E916BA" w:rsidP="00820A59">
      <w:pPr>
        <w:pStyle w:val="Quote"/>
        <w:jc w:val="center"/>
        <w:rPr>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9977B0A" w14:textId="77777777" w:rsidR="001E0282" w:rsidRDefault="00820A59" w:rsidP="00E916BA">
      <w:pPr>
        <w:pStyle w:val="Quote"/>
        <w:ind w:left="0"/>
        <w:jc w:val="center"/>
        <w:rPr>
          <w:color w:val="0D0D0D" w:themeColor="text1" w:themeTint="F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70B73">
        <w:rPr>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2007D6" w:rsidRPr="00C70B73">
        <w:rPr>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limits of the language (</w:t>
      </w:r>
      <w:r w:rsidR="002007D6" w:rsidRPr="00C70B73">
        <w:rPr>
          <w:b/>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w:t>
      </w:r>
      <w:r w:rsidR="002007D6" w:rsidRPr="00C70B73">
        <w:rPr>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language which I understand) mean the limits of </w:t>
      </w:r>
      <w:r w:rsidR="002007D6" w:rsidRPr="00C70B73">
        <w:rPr>
          <w:b/>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my</w:t>
      </w:r>
      <w:r w:rsidR="002007D6" w:rsidRPr="00C70B73">
        <w:rPr>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world</w:t>
      </w:r>
      <w:r w:rsidRPr="00C70B73">
        <w:rPr>
          <w:color w:val="0D0D0D" w:themeColor="text1" w:themeTint="F2"/>
          <w14:shadow w14:blurRad="50800" w14:dist="50800" w14:dir="5400000" w14:sx="0" w14:sy="0" w14:kx="0" w14:ky="0" w14:algn="ctr">
            <w14:schemeClr w14:val="bg2">
              <w14:lumMod w14:val="90000"/>
            </w14:scheme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2007D6" w:rsidRPr="00E916BA">
        <w:rPr>
          <w:color w:val="0D0D0D" w:themeColor="text1" w:themeTint="F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0E59B982" w14:textId="72A25B5A" w:rsidR="002007D6" w:rsidRPr="00E916BA" w:rsidRDefault="002007D6" w:rsidP="00E916BA">
      <w:pPr>
        <w:pStyle w:val="Quote"/>
        <w:ind w:left="0"/>
        <w:jc w:val="center"/>
        <w:rPr>
          <w:color w:val="0D0D0D" w:themeColor="text1" w:themeTint="F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6BA">
        <w:rPr>
          <w:color w:val="0D0D0D" w:themeColor="text1" w:themeTint="F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(Ludwig Wittgenstein)</w:t>
      </w:r>
      <w:r w:rsidRPr="00E916BA">
        <w:rPr>
          <w:rStyle w:val="FootnoteReference"/>
          <w:color w:val="0D0D0D" w:themeColor="text1" w:themeTint="F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footnoteReference w:id="2"/>
      </w:r>
    </w:p>
    <w:p w14:paraId="17C525C2" w14:textId="301E80D3" w:rsidR="00C70B73" w:rsidRDefault="00C70B73" w:rsidP="00C70B73">
      <w:pPr>
        <w:pStyle w:val="Heading1"/>
        <w:ind w:left="630"/>
      </w:pPr>
      <w:r>
        <w:t>Abstract</w:t>
      </w:r>
    </w:p>
    <w:p w14:paraId="447023B9" w14:textId="0533418B" w:rsidR="00C70B73" w:rsidRPr="00C70B73" w:rsidRDefault="00C70B73" w:rsidP="00C70B73">
      <w:pPr>
        <w:ind w:left="630"/>
        <w:rPr>
          <w:sz w:val="20"/>
        </w:rPr>
      </w:pPr>
      <w:r w:rsidRPr="00C70B73">
        <w:rPr>
          <w:sz w:val="20"/>
        </w:rPr>
        <w:t>Jurisprudence can be put to work to open the minds of neophyte students, whose past educational experiences have been in many ways narrowing. Three useful distinctions are explored: conclusory verdicts from motivations, reasons and justifications; factive from normative; and incontestable from uncontested-contestable and contested-contestable concepts. A tentative taxonomy of concept-contestation is offered. Whilst the paper concentrates on ‘Why try?’, it concludes with some suggestions of ‘How to?’</w:t>
      </w:r>
    </w:p>
    <w:p w14:paraId="08FD042F" w14:textId="5920C5EC" w:rsidR="005739EA" w:rsidRDefault="005739EA" w:rsidP="00081396">
      <w:pPr>
        <w:pStyle w:val="Heading1"/>
      </w:pPr>
      <w:r>
        <w:t>Introduction</w:t>
      </w:r>
    </w:p>
    <w:p w14:paraId="523B5603" w14:textId="7EF31F8A" w:rsidR="00FD2C13" w:rsidRPr="00F97B8D" w:rsidRDefault="00B62496" w:rsidP="00443D66">
      <w:r>
        <w:t>This article</w:t>
      </w:r>
      <w:r w:rsidR="004D023C">
        <w:t xml:space="preserve"> </w:t>
      </w:r>
      <w:r w:rsidR="00742F4A">
        <w:t>explores ways</w:t>
      </w:r>
      <w:r w:rsidR="004D023C">
        <w:t xml:space="preserve"> that </w:t>
      </w:r>
      <w:r w:rsidR="00742F4A">
        <w:t xml:space="preserve">jurisprudence might be </w:t>
      </w:r>
      <w:r w:rsidR="008E65B7">
        <w:t xml:space="preserve">‘put to work’ </w:t>
      </w:r>
      <w:r w:rsidR="00742F4A">
        <w:t>to</w:t>
      </w:r>
      <w:r w:rsidR="00CA2619">
        <w:t xml:space="preserve"> </w:t>
      </w:r>
      <w:r w:rsidR="00261574">
        <w:t>assist law students and law teachers</w:t>
      </w:r>
      <w:r w:rsidR="00742F4A">
        <w:t>.</w:t>
      </w:r>
      <w:r w:rsidR="004B12DE">
        <w:t xml:space="preserve"> </w:t>
      </w:r>
      <w:r w:rsidR="00742F4A">
        <w:t>A</w:t>
      </w:r>
      <w:r w:rsidR="00443D66">
        <w:t>dapt</w:t>
      </w:r>
      <w:r w:rsidR="00742F4A">
        <w:t>ing</w:t>
      </w:r>
      <w:r w:rsidR="002007D6">
        <w:t xml:space="preserve"> Wittgenstein</w:t>
      </w:r>
      <w:r w:rsidR="00443D66">
        <w:t xml:space="preserve"> aphorism</w:t>
      </w:r>
      <w:r w:rsidR="002007D6">
        <w:t xml:space="preserve">, </w:t>
      </w:r>
      <w:r w:rsidR="00742F4A">
        <w:t>legal educators might say</w:t>
      </w:r>
      <w:r w:rsidR="00443D66">
        <w:t>,</w:t>
      </w:r>
      <w:r w:rsidR="00443D66" w:rsidRPr="00F97B8D">
        <w:t xml:space="preserve"> </w:t>
      </w:r>
      <w:r w:rsidR="00F97B8D" w:rsidRPr="00F97B8D">
        <w:t>‘The limits of a student’s language are the limits of that student’s world’</w:t>
      </w:r>
      <w:r w:rsidR="00443D66">
        <w:t xml:space="preserve">. </w:t>
      </w:r>
      <w:r w:rsidR="002007D6">
        <w:t>T</w:t>
      </w:r>
      <w:r w:rsidR="00443D66">
        <w:t xml:space="preserve">o </w:t>
      </w:r>
      <w:r w:rsidR="00D62899">
        <w:t xml:space="preserve">explore and </w:t>
      </w:r>
      <w:r w:rsidR="00443D66">
        <w:t xml:space="preserve">expand </w:t>
      </w:r>
      <w:r w:rsidR="00D62899">
        <w:t xml:space="preserve">some of </w:t>
      </w:r>
      <w:r w:rsidR="00443D66">
        <w:t>those limits, I offer five ‘armchair hypotheses’. ‘Armchair’ because</w:t>
      </w:r>
      <w:r w:rsidR="004B12DE">
        <w:t xml:space="preserve"> they are</w:t>
      </w:r>
      <w:r w:rsidR="00D62899">
        <w:t xml:space="preserve"> </w:t>
      </w:r>
      <w:r w:rsidR="004B12DE">
        <w:t>not</w:t>
      </w:r>
      <w:r w:rsidR="00D62899">
        <w:t xml:space="preserve"> yet</w:t>
      </w:r>
      <w:r w:rsidR="004B12DE">
        <w:t xml:space="preserve"> </w:t>
      </w:r>
      <w:r w:rsidR="00D62899">
        <w:t xml:space="preserve">rigorously </w:t>
      </w:r>
      <w:r w:rsidR="004B12DE">
        <w:t>tested</w:t>
      </w:r>
      <w:r w:rsidR="00443D66">
        <w:t>.</w:t>
      </w:r>
    </w:p>
    <w:p w14:paraId="35E5BCB1" w14:textId="5D891559" w:rsidR="00D77790" w:rsidRDefault="00F97B8D" w:rsidP="000525C6">
      <w:pPr>
        <w:pStyle w:val="Heading2"/>
      </w:pPr>
      <w:r w:rsidRPr="00F97B8D">
        <w:t>Hypothesis 1</w:t>
      </w:r>
      <w:r w:rsidR="004A7EDA">
        <w:t>: A Cognitive Cultural Clash</w:t>
      </w:r>
    </w:p>
    <w:p w14:paraId="3B8B34D6" w14:textId="2F0BDDB6" w:rsidR="009A01CD" w:rsidRDefault="000525C6" w:rsidP="009A01CD">
      <w:r>
        <w:t>On returning to teaching in 2009 (after a break of some 20 years)</w:t>
      </w:r>
      <w:r w:rsidR="00FF33CD">
        <w:t>,</w:t>
      </w:r>
      <w:r w:rsidR="00081396">
        <w:t xml:space="preserve"> </w:t>
      </w:r>
      <w:r w:rsidR="00FF33CD">
        <w:t>it struck me</w:t>
      </w:r>
      <w:r>
        <w:t xml:space="preserve"> that </w:t>
      </w:r>
      <w:r w:rsidR="005F4E54">
        <w:t>predominant</w:t>
      </w:r>
      <w:r>
        <w:t xml:space="preserve"> student attitudes had changed </w:t>
      </w:r>
      <w:r w:rsidR="00081396">
        <w:t xml:space="preserve">a good deal </w:t>
      </w:r>
      <w:r>
        <w:t xml:space="preserve">since I started in 1966. </w:t>
      </w:r>
      <w:r w:rsidR="00D62899">
        <w:t>A greater</w:t>
      </w:r>
      <w:r w:rsidR="00081396">
        <w:t xml:space="preserve"> </w:t>
      </w:r>
      <w:r w:rsidR="00FF33CD">
        <w:t xml:space="preserve">proportion </w:t>
      </w:r>
      <w:r w:rsidR="00D62899">
        <w:t xml:space="preserve">seemed to thirst </w:t>
      </w:r>
      <w:r w:rsidR="00081396">
        <w:t>for simple certainties</w:t>
      </w:r>
      <w:r w:rsidR="00FF33CD">
        <w:t>—</w:t>
      </w:r>
      <w:r w:rsidR="00081396">
        <w:t xml:space="preserve">or, perhaps, </w:t>
      </w:r>
      <w:r w:rsidR="00D62899">
        <w:t xml:space="preserve">were making that </w:t>
      </w:r>
      <w:r w:rsidR="00FF33CD">
        <w:t>more</w:t>
      </w:r>
      <w:r w:rsidR="00081396">
        <w:t xml:space="preserve"> apparent </w:t>
      </w:r>
      <w:r w:rsidR="00B078BF">
        <w:t>by</w:t>
      </w:r>
      <w:r w:rsidR="00D62899">
        <w:t xml:space="preserve"> their</w:t>
      </w:r>
      <w:r w:rsidR="00081396">
        <w:t xml:space="preserve"> behaviour and demands. </w:t>
      </w:r>
      <w:r w:rsidR="005F4E54">
        <w:t>W</w:t>
      </w:r>
      <w:r w:rsidR="00081396">
        <w:t xml:space="preserve">illingness to invest effort in exploring issues, reading cases, etc. </w:t>
      </w:r>
      <w:r w:rsidR="00691179">
        <w:t>seemed</w:t>
      </w:r>
      <w:r w:rsidR="00081396">
        <w:t xml:space="preserve"> to have diminished correspondingly. </w:t>
      </w:r>
      <w:r w:rsidR="00B078BF">
        <w:t>There was less c</w:t>
      </w:r>
      <w:r w:rsidR="00E103DA">
        <w:t xml:space="preserve">uriosity about </w:t>
      </w:r>
      <w:r w:rsidR="008B6E8E">
        <w:t>‘</w:t>
      </w:r>
      <w:r w:rsidR="00E103DA">
        <w:t>what is going on?</w:t>
      </w:r>
      <w:r w:rsidR="008B6E8E">
        <w:t>’ in a case or a developing area of law</w:t>
      </w:r>
      <w:r w:rsidR="00B078BF">
        <w:t>.</w:t>
      </w:r>
      <w:r w:rsidR="008B6E8E">
        <w:t xml:space="preserve"> </w:t>
      </w:r>
      <w:r w:rsidR="00D62899">
        <w:t>Minds</w:t>
      </w:r>
      <w:r w:rsidR="009A01CD">
        <w:t xml:space="preserve"> seem</w:t>
      </w:r>
      <w:r w:rsidR="00D62899">
        <w:t>ed</w:t>
      </w:r>
      <w:r w:rsidR="009A01CD">
        <w:t xml:space="preserve"> set</w:t>
      </w:r>
      <w:r w:rsidR="00B078BF">
        <w:t xml:space="preserve"> and</w:t>
      </w:r>
      <w:r w:rsidR="00922B76">
        <w:t xml:space="preserve"> </w:t>
      </w:r>
      <w:r w:rsidR="009A01CD">
        <w:t>Bacon’s 1605 warning</w:t>
      </w:r>
      <w:r w:rsidR="00B078BF">
        <w:t xml:space="preserve"> ignored</w:t>
      </w:r>
      <w:r w:rsidR="009A01CD">
        <w:t>,</w:t>
      </w:r>
    </w:p>
    <w:p w14:paraId="6676B954" w14:textId="45DC1364" w:rsidR="009A01CD" w:rsidRDefault="00E62F47" w:rsidP="009A01CD">
      <w:pPr>
        <w:ind w:left="720"/>
      </w:pPr>
      <w:r>
        <w:rPr>
          <w:noProof/>
        </w:rPr>
        <mc:AlternateContent>
          <mc:Choice Requires="wps">
            <w:drawing>
              <wp:anchor distT="45720" distB="45720" distL="114300" distR="114300" simplePos="0" relativeHeight="251659264" behindDoc="0" locked="0" layoutInCell="1" allowOverlap="1" wp14:anchorId="702AD749" wp14:editId="58F2CB1E">
                <wp:simplePos x="0" y="0"/>
                <wp:positionH relativeFrom="column">
                  <wp:posOffset>387350</wp:posOffset>
                </wp:positionH>
                <wp:positionV relativeFrom="page">
                  <wp:posOffset>8134350</wp:posOffset>
                </wp:positionV>
                <wp:extent cx="5244465" cy="6064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606425"/>
                        </a:xfrm>
                        <a:prstGeom prst="rect">
                          <a:avLst/>
                        </a:prstGeom>
                        <a:solidFill>
                          <a:srgbClr val="FFFFFF"/>
                        </a:solidFill>
                        <a:ln w="9525">
                          <a:noFill/>
                          <a:miter lim="800000"/>
                          <a:headEnd/>
                          <a:tailEnd/>
                        </a:ln>
                      </wps:spPr>
                      <wps:txbx>
                        <w:txbxContent>
                          <w:p w14:paraId="32EF474C" w14:textId="11AFEF10" w:rsidR="0056761C" w:rsidRDefault="0056761C" w:rsidP="00E62F47">
                            <w:pPr>
                              <w:rPr>
                                <w:sz w:val="18"/>
                                <w:szCs w:val="18"/>
                              </w:rPr>
                            </w:pPr>
                            <w:r>
                              <w:rPr>
                                <w:sz w:val="18"/>
                                <w:szCs w:val="18"/>
                              </w:rPr>
                              <w:t xml:space="preserve">* </w:t>
                            </w:r>
                            <w:r w:rsidRPr="00823C9B">
                              <w:rPr>
                                <w:sz w:val="18"/>
                                <w:szCs w:val="18"/>
                              </w:rPr>
                              <w:t>This paper develop</w:t>
                            </w:r>
                            <w:r>
                              <w:rPr>
                                <w:sz w:val="18"/>
                                <w:szCs w:val="18"/>
                              </w:rPr>
                              <w:t>ed from</w:t>
                            </w:r>
                            <w:r w:rsidRPr="00823C9B">
                              <w:rPr>
                                <w:sz w:val="18"/>
                                <w:szCs w:val="18"/>
                              </w:rPr>
                              <w:t xml:space="preserve"> ideas and materials </w:t>
                            </w:r>
                            <w:r>
                              <w:rPr>
                                <w:sz w:val="18"/>
                                <w:szCs w:val="18"/>
                              </w:rPr>
                              <w:t xml:space="preserve">I </w:t>
                            </w:r>
                            <w:r w:rsidRPr="00823C9B">
                              <w:rPr>
                                <w:sz w:val="18"/>
                                <w:szCs w:val="18"/>
                              </w:rPr>
                              <w:t>presented to the SLS Jurisprudence Group at Conferences in 2015 and 2017 and at LSBU in 2017.</w:t>
                            </w:r>
                            <w:r>
                              <w:rPr>
                                <w:sz w:val="18"/>
                                <w:szCs w:val="18"/>
                              </w:rPr>
                              <w:t xml:space="preserve"> </w:t>
                            </w:r>
                            <w:r w:rsidRPr="00823C9B">
                              <w:rPr>
                                <w:sz w:val="18"/>
                                <w:szCs w:val="18"/>
                              </w:rPr>
                              <w:t>I gratefully a</w:t>
                            </w:r>
                            <w:r>
                              <w:rPr>
                                <w:sz w:val="18"/>
                                <w:szCs w:val="18"/>
                              </w:rPr>
                              <w:t>cknowledge help from Dan Priel,</w:t>
                            </w:r>
                            <w:r w:rsidRPr="00823C9B">
                              <w:rPr>
                                <w:sz w:val="18"/>
                                <w:szCs w:val="18"/>
                              </w:rPr>
                              <w:t xml:space="preserve"> Andy Unger, Kim Silver, Mike Rodney, Cherry James, and Tracey Aquino, but remain </w:t>
                            </w:r>
                            <w:r>
                              <w:rPr>
                                <w:sz w:val="18"/>
                                <w:szCs w:val="18"/>
                              </w:rPr>
                              <w:t xml:space="preserve">fully </w:t>
                            </w:r>
                            <w:r w:rsidRPr="00823C9B">
                              <w:rPr>
                                <w:sz w:val="18"/>
                                <w:szCs w:val="18"/>
                              </w:rPr>
                              <w:t>responsible for the surviving shortcomings.</w:t>
                            </w:r>
                          </w:p>
                          <w:p w14:paraId="652C2165" w14:textId="35609312" w:rsidR="0056761C" w:rsidRDefault="00567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AD749" id="_x0000_t202" coordsize="21600,21600" o:spt="202" path="m,l,21600r21600,l21600,xe">
                <v:stroke joinstyle="miter"/>
                <v:path gradientshapeok="t" o:connecttype="rect"/>
              </v:shapetype>
              <v:shape id="Text Box 2" o:spid="_x0000_s1026" type="#_x0000_t202" style="position:absolute;left:0;text-align:left;margin-left:30.5pt;margin-top:640.5pt;width:412.95pt;height:4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" stroked="f">
                <v:textbox>
                  <w:txbxContent>
                    <w:p w14:paraId="32EF474C" w14:textId="11AFEF10" w:rsidR="0056761C" w:rsidRDefault="0056761C" w:rsidP="00E62F47">
                      <w:pPr>
                        <w:rPr>
                          <w:sz w:val="18"/>
                          <w:szCs w:val="18"/>
                        </w:rPr>
                      </w:pPr>
                      <w:r>
                        <w:rPr>
                          <w:sz w:val="18"/>
                          <w:szCs w:val="18"/>
                        </w:rPr>
                        <w:t xml:space="preserve">* </w:t>
                      </w:r>
                      <w:r w:rsidRPr="00823C9B">
                        <w:rPr>
                          <w:sz w:val="18"/>
                          <w:szCs w:val="18"/>
                        </w:rPr>
                        <w:t>This paper develop</w:t>
                      </w:r>
                      <w:r>
                        <w:rPr>
                          <w:sz w:val="18"/>
                          <w:szCs w:val="18"/>
                        </w:rPr>
                        <w:t>ed from</w:t>
                      </w:r>
                      <w:r w:rsidRPr="00823C9B">
                        <w:rPr>
                          <w:sz w:val="18"/>
                          <w:szCs w:val="18"/>
                        </w:rPr>
                        <w:t xml:space="preserve"> ideas and materials </w:t>
                      </w:r>
                      <w:r>
                        <w:rPr>
                          <w:sz w:val="18"/>
                          <w:szCs w:val="18"/>
                        </w:rPr>
                        <w:t xml:space="preserve">I </w:t>
                      </w:r>
                      <w:r w:rsidRPr="00823C9B">
                        <w:rPr>
                          <w:sz w:val="18"/>
                          <w:szCs w:val="18"/>
                        </w:rPr>
                        <w:t>presented to the SLS Jurisprudence Group at Conferences in 2015 and 2017 and at LSBU in 2017.</w:t>
                      </w:r>
                      <w:r>
                        <w:rPr>
                          <w:sz w:val="18"/>
                          <w:szCs w:val="18"/>
                        </w:rPr>
                        <w:t xml:space="preserve"> </w:t>
                      </w:r>
                      <w:r w:rsidRPr="00823C9B">
                        <w:rPr>
                          <w:sz w:val="18"/>
                          <w:szCs w:val="18"/>
                        </w:rPr>
                        <w:t>I gratefully a</w:t>
                      </w:r>
                      <w:r>
                        <w:rPr>
                          <w:sz w:val="18"/>
                          <w:szCs w:val="18"/>
                        </w:rPr>
                        <w:t>cknowledge help from Dan Priel,</w:t>
                      </w:r>
                      <w:r w:rsidRPr="00823C9B">
                        <w:rPr>
                          <w:sz w:val="18"/>
                          <w:szCs w:val="18"/>
                        </w:rPr>
                        <w:t xml:space="preserve"> Andy Unger, Kim Silver, Mike Rodney, Cherry James, and Tracey Aquino, but remain </w:t>
                      </w:r>
                      <w:r>
                        <w:rPr>
                          <w:sz w:val="18"/>
                          <w:szCs w:val="18"/>
                        </w:rPr>
                        <w:t xml:space="preserve">fully </w:t>
                      </w:r>
                      <w:r w:rsidRPr="00823C9B">
                        <w:rPr>
                          <w:sz w:val="18"/>
                          <w:szCs w:val="18"/>
                        </w:rPr>
                        <w:t>responsible for the surviving shortcomings.</w:t>
                      </w:r>
                    </w:p>
                    <w:p w14:paraId="652C2165" w14:textId="35609312" w:rsidR="0056761C" w:rsidRDefault="0056761C"/>
                  </w:txbxContent>
                </v:textbox>
                <w10:wrap type="square" anchory="page"/>
              </v:shape>
            </w:pict>
          </mc:Fallback>
        </mc:AlternateContent>
      </w:r>
      <w:r w:rsidR="009A01CD" w:rsidRPr="00195BE5">
        <w:rPr>
          <w:rStyle w:val="QuoteChar"/>
        </w:rPr>
        <w:t>‘</w:t>
      </w:r>
      <w:r w:rsidR="0048084C">
        <w:rPr>
          <w:rStyle w:val="QuoteChar"/>
        </w:rPr>
        <w:t>[I]</w:t>
      </w:r>
      <w:r w:rsidR="009A01CD" w:rsidRPr="00195BE5">
        <w:rPr>
          <w:rStyle w:val="QuoteChar"/>
        </w:rPr>
        <w:t>f a man will begin with certainties, he shall end in doubts; but if he will be content to begin with doubts, he shall end in certainties.’</w:t>
      </w:r>
      <w:r w:rsidR="009A01CD">
        <w:rPr>
          <w:rStyle w:val="FootnoteReference"/>
        </w:rPr>
        <w:footnoteReference w:id="3"/>
      </w:r>
      <w:r w:rsidR="009A01CD" w:rsidRPr="00607A4D">
        <w:t xml:space="preserve"> </w:t>
      </w:r>
    </w:p>
    <w:p w14:paraId="4418C0CF" w14:textId="4D4659FC" w:rsidR="000525C6" w:rsidRDefault="00081396" w:rsidP="000525C6">
      <w:r>
        <w:lastRenderedPageBreak/>
        <w:t>To exp</w:t>
      </w:r>
      <w:r w:rsidR="00691179">
        <w:t>lore this</w:t>
      </w:r>
      <w:r w:rsidR="00BB026B">
        <w:t xml:space="preserve"> </w:t>
      </w:r>
      <w:r w:rsidR="001F0628">
        <w:t>phenomenon</w:t>
      </w:r>
      <w:r w:rsidR="00691179">
        <w:t>, my first hypothesis</w:t>
      </w:r>
      <w:r>
        <w:t xml:space="preserve"> posit</w:t>
      </w:r>
      <w:r w:rsidR="00691179">
        <w:t>s</w:t>
      </w:r>
      <w:r>
        <w:t xml:space="preserve"> model</w:t>
      </w:r>
      <w:r w:rsidR="00D62899">
        <w:t xml:space="preserve"> </w:t>
      </w:r>
      <w:r>
        <w:t>neophyte law student</w:t>
      </w:r>
      <w:r w:rsidR="00542770">
        <w:t xml:space="preserve">s who have been </w:t>
      </w:r>
      <w:r w:rsidR="007D3694">
        <w:t xml:space="preserve">affected by </w:t>
      </w:r>
      <w:r>
        <w:t xml:space="preserve">three </w:t>
      </w:r>
      <w:r w:rsidR="007D3694">
        <w:t>factors</w:t>
      </w:r>
      <w:r w:rsidR="00607A4D">
        <w:t>:</w:t>
      </w:r>
    </w:p>
    <w:p w14:paraId="41B337E1" w14:textId="0B473580" w:rsidR="00607A4D" w:rsidRPr="00195BE5" w:rsidRDefault="00F540B2" w:rsidP="005F4E54">
      <w:pPr>
        <w:pStyle w:val="ListParagraph"/>
        <w:ind w:hanging="720"/>
        <w:contextualSpacing w:val="0"/>
      </w:pPr>
      <w:r>
        <w:t>Neophytes are accustomed to</w:t>
      </w:r>
      <w:r w:rsidR="00DE5821">
        <w:t xml:space="preserve"> a ‘one-click</w:t>
      </w:r>
      <w:r w:rsidR="00F20585">
        <w:t>’</w:t>
      </w:r>
      <w:r w:rsidR="001B0E4A">
        <w:t xml:space="preserve"> </w:t>
      </w:r>
      <w:r w:rsidR="00DF4963">
        <w:t>pattern of approach</w:t>
      </w:r>
      <w:r>
        <w:t>.</w:t>
      </w:r>
    </w:p>
    <w:p w14:paraId="1B9CDB85" w14:textId="2BE69B19" w:rsidR="00607A4D" w:rsidRPr="00195BE5" w:rsidRDefault="00F540B2" w:rsidP="005F4E54">
      <w:pPr>
        <w:pStyle w:val="ListParagraph"/>
        <w:ind w:hanging="720"/>
        <w:contextualSpacing w:val="0"/>
      </w:pPr>
      <w:r>
        <w:t>They have been ‘t</w:t>
      </w:r>
      <w:r w:rsidR="00607A4D" w:rsidRPr="00195BE5">
        <w:t>aught to the test</w:t>
      </w:r>
      <w:r>
        <w:t>’.</w:t>
      </w:r>
      <w:r w:rsidR="001F0628">
        <w:rPr>
          <w:rStyle w:val="FootnoteReference"/>
        </w:rPr>
        <w:footnoteReference w:id="4"/>
      </w:r>
    </w:p>
    <w:p w14:paraId="328B9DD3" w14:textId="2083C7D2" w:rsidR="00607A4D" w:rsidRDefault="00F540B2" w:rsidP="005F4E54">
      <w:pPr>
        <w:pStyle w:val="ListParagraph"/>
        <w:ind w:hanging="720"/>
        <w:contextualSpacing w:val="0"/>
      </w:pPr>
      <w:r>
        <w:t>They see themselves as ‘c</w:t>
      </w:r>
      <w:r w:rsidR="00607A4D" w:rsidRPr="00195BE5">
        <w:t>ustomers</w:t>
      </w:r>
      <w:r>
        <w:t>’</w:t>
      </w:r>
      <w:r w:rsidR="00607A4D" w:rsidRPr="00195BE5">
        <w:t xml:space="preserve"> </w:t>
      </w:r>
      <w:r w:rsidR="00E17FCC">
        <w:t>purchasi</w:t>
      </w:r>
      <w:r>
        <w:t>ng</w:t>
      </w:r>
      <w:r w:rsidR="00607A4D" w:rsidRPr="00195BE5">
        <w:t xml:space="preserve"> </w:t>
      </w:r>
      <w:r>
        <w:t>‘</w:t>
      </w:r>
      <w:r w:rsidR="00607A4D" w:rsidRPr="00195BE5">
        <w:t>outcomes</w:t>
      </w:r>
      <w:r>
        <w:t>’</w:t>
      </w:r>
      <w:r w:rsidR="00607A4D" w:rsidRPr="00195BE5">
        <w:t xml:space="preserve"> (‘good degrees’)</w:t>
      </w:r>
      <w:r w:rsidR="00E17FCC">
        <w:t xml:space="preserve"> rather than an </w:t>
      </w:r>
      <w:r w:rsidR="00484104">
        <w:t>‘</w:t>
      </w:r>
      <w:r w:rsidR="006C026C">
        <w:t>educational experience</w:t>
      </w:r>
      <w:r w:rsidR="00B078BF">
        <w:t>s</w:t>
      </w:r>
      <w:r w:rsidR="00DC2277">
        <w:t>’</w:t>
      </w:r>
      <w:r>
        <w:t>.</w:t>
      </w:r>
      <w:r w:rsidR="00607A4D" w:rsidRPr="00195BE5">
        <w:t xml:space="preserve"> </w:t>
      </w:r>
    </w:p>
    <w:p w14:paraId="7B622DDB" w14:textId="5BDA427E" w:rsidR="00195BE5" w:rsidRPr="00195BE5" w:rsidRDefault="0004486E" w:rsidP="00195BE5">
      <w:r>
        <w:rPr>
          <w:bCs/>
        </w:rPr>
        <w:t>S</w:t>
      </w:r>
      <w:r w:rsidR="00443D66">
        <w:rPr>
          <w:bCs/>
        </w:rPr>
        <w:t>tudents</w:t>
      </w:r>
      <w:r>
        <w:rPr>
          <w:bCs/>
        </w:rPr>
        <w:t xml:space="preserve"> who</w:t>
      </w:r>
      <w:r w:rsidR="00E17FCC">
        <w:rPr>
          <w:rFonts w:cs="Calibri Light"/>
          <w:bCs/>
        </w:rPr>
        <w:t xml:space="preserve"> </w:t>
      </w:r>
      <w:r w:rsidR="00C70B73">
        <w:rPr>
          <w:rFonts w:cs="Calibri Light"/>
          <w:bCs/>
        </w:rPr>
        <w:t xml:space="preserve">more-or-less </w:t>
      </w:r>
      <w:r w:rsidR="00E17FCC">
        <w:rPr>
          <w:rFonts w:cs="Calibri Light"/>
          <w:bCs/>
        </w:rPr>
        <w:t xml:space="preserve">fit </w:t>
      </w:r>
      <w:r w:rsidR="00C70B73">
        <w:t>this</w:t>
      </w:r>
      <w:r w:rsidR="00607A4D">
        <w:t xml:space="preserve"> </w:t>
      </w:r>
      <w:r w:rsidR="008F0913">
        <w:rPr>
          <w:bCs/>
        </w:rPr>
        <w:t>model</w:t>
      </w:r>
      <w:r w:rsidR="00E17FCC">
        <w:rPr>
          <w:bCs/>
        </w:rPr>
        <w:t xml:space="preserve"> </w:t>
      </w:r>
      <w:r w:rsidR="00443D66">
        <w:rPr>
          <w:bCs/>
        </w:rPr>
        <w:t xml:space="preserve">experience </w:t>
      </w:r>
      <w:r w:rsidR="00195BE5">
        <w:rPr>
          <w:bCs/>
        </w:rPr>
        <w:t xml:space="preserve">a </w:t>
      </w:r>
      <w:r w:rsidR="00195BE5" w:rsidRPr="00195BE5">
        <w:rPr>
          <w:bCs/>
        </w:rPr>
        <w:t>cultural cognitive clash with common law method’s mix of change and predictability</w:t>
      </w:r>
      <w:r w:rsidR="008F0913">
        <w:rPr>
          <w:bCs/>
        </w:rPr>
        <w:t>. Th</w:t>
      </w:r>
      <w:r w:rsidR="00E17FCC">
        <w:rPr>
          <w:bCs/>
        </w:rPr>
        <w:t>at</w:t>
      </w:r>
      <w:r w:rsidR="00853C5E">
        <w:rPr>
          <w:bCs/>
        </w:rPr>
        <w:t xml:space="preserve"> </w:t>
      </w:r>
      <w:r w:rsidR="00443D66">
        <w:rPr>
          <w:bCs/>
        </w:rPr>
        <w:t xml:space="preserve">troubles them and inhibits their learning. </w:t>
      </w:r>
      <w:r w:rsidR="00C70B73">
        <w:rPr>
          <w:bCs/>
        </w:rPr>
        <w:t>The clash</w:t>
      </w:r>
      <w:r w:rsidR="00443D66">
        <w:rPr>
          <w:bCs/>
        </w:rPr>
        <w:t xml:space="preserve"> is</w:t>
      </w:r>
      <w:r w:rsidR="00724A78">
        <w:rPr>
          <w:bCs/>
        </w:rPr>
        <w:t xml:space="preserve"> </w:t>
      </w:r>
      <w:r w:rsidR="00C70B73">
        <w:rPr>
          <w:bCs/>
        </w:rPr>
        <w:t xml:space="preserve">summarised in </w:t>
      </w:r>
      <w:r w:rsidR="00C70B73">
        <w:rPr>
          <w:bCs/>
        </w:rPr>
        <w:fldChar w:fldCharType="begin"/>
      </w:r>
      <w:r w:rsidR="00C70B73">
        <w:rPr>
          <w:bCs/>
        </w:rPr>
        <w:instrText xml:space="preserve"> REF _Ref522886595 \h </w:instrText>
      </w:r>
      <w:r w:rsidR="00C70B73">
        <w:rPr>
          <w:bCs/>
        </w:rPr>
      </w:r>
      <w:r w:rsidR="00C70B73">
        <w:rPr>
          <w:bCs/>
        </w:rPr>
        <w:fldChar w:fldCharType="separate"/>
      </w:r>
      <w:r w:rsidR="00AE595E">
        <w:t xml:space="preserve">Table </w:t>
      </w:r>
      <w:r w:rsidR="00AE595E">
        <w:rPr>
          <w:noProof/>
        </w:rPr>
        <w:t>1</w:t>
      </w:r>
      <w:r w:rsidR="00C70B73">
        <w:rPr>
          <w:bCs/>
        </w:rPr>
        <w:fldChar w:fldCharType="end"/>
      </w:r>
      <w:r w:rsidR="00691179">
        <w:rPr>
          <w:bCs/>
        </w:rPr>
        <w:t>.</w:t>
      </w:r>
    </w:p>
    <w:p w14:paraId="47894FA9" w14:textId="0D1C3128" w:rsidR="004A7EDA" w:rsidRDefault="004A7EDA" w:rsidP="004A7EDA">
      <w:pPr>
        <w:pStyle w:val="Caption"/>
        <w:keepNext/>
      </w:pPr>
      <w:bookmarkStart w:id="0" w:name="_Ref522886595"/>
      <w:r>
        <w:t xml:space="preserve">Table </w:t>
      </w:r>
      <w:r w:rsidR="00BF3561">
        <w:rPr>
          <w:noProof/>
        </w:rPr>
        <w:fldChar w:fldCharType="begin"/>
      </w:r>
      <w:r w:rsidR="00BF3561">
        <w:rPr>
          <w:noProof/>
        </w:rPr>
        <w:instrText xml:space="preserve"> SEQ Table \* ARABIC </w:instrText>
      </w:r>
      <w:r w:rsidR="00BF3561">
        <w:rPr>
          <w:noProof/>
        </w:rPr>
        <w:fldChar w:fldCharType="separate"/>
      </w:r>
      <w:r w:rsidR="00AE595E">
        <w:rPr>
          <w:noProof/>
        </w:rPr>
        <w:t>1</w:t>
      </w:r>
      <w:r w:rsidR="00BF3561">
        <w:rPr>
          <w:noProof/>
        </w:rPr>
        <w:fldChar w:fldCharType="end"/>
      </w:r>
      <w:bookmarkEnd w:id="0"/>
      <w:r>
        <w:t>: Cultural Cognitive Clash</w:t>
      </w:r>
    </w:p>
    <w:tbl>
      <w:tblPr>
        <w:tblStyle w:val="GridTable5Dark-Accent3"/>
        <w:tblW w:w="0" w:type="auto"/>
        <w:tblLook w:val="04A0" w:firstRow="1" w:lastRow="0" w:firstColumn="1" w:lastColumn="0" w:noHBand="0" w:noVBand="1"/>
      </w:tblPr>
      <w:tblGrid>
        <w:gridCol w:w="4719"/>
        <w:gridCol w:w="4297"/>
      </w:tblGrid>
      <w:tr w:rsidR="00DA090F" w:rsidRPr="00DA090F" w14:paraId="5C0B9BB9" w14:textId="77777777" w:rsidTr="00B91FC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23A225A7" w14:textId="0525BFBD" w:rsidR="00DA090F" w:rsidRPr="0046401E" w:rsidRDefault="00DA090F" w:rsidP="0046401E">
            <w:pPr>
              <w:keepNext/>
              <w:rPr>
                <w:bCs w:val="0"/>
                <w:sz w:val="20"/>
              </w:rPr>
            </w:pPr>
            <w:r w:rsidRPr="0046401E">
              <w:rPr>
                <w:bCs w:val="0"/>
                <w:sz w:val="20"/>
              </w:rPr>
              <w:t>Neophyte</w:t>
            </w:r>
            <w:r w:rsidR="004A7EDA" w:rsidRPr="0046401E">
              <w:rPr>
                <w:bCs w:val="0"/>
                <w:sz w:val="20"/>
              </w:rPr>
              <w:t>s’</w:t>
            </w:r>
            <w:r w:rsidRPr="0046401E">
              <w:rPr>
                <w:bCs w:val="0"/>
                <w:sz w:val="20"/>
              </w:rPr>
              <w:t xml:space="preserve"> </w:t>
            </w:r>
            <w:r w:rsidR="004A7EDA" w:rsidRPr="0046401E">
              <w:rPr>
                <w:bCs w:val="0"/>
                <w:sz w:val="20"/>
              </w:rPr>
              <w:t>‘</w:t>
            </w:r>
            <w:r w:rsidRPr="0046401E">
              <w:rPr>
                <w:bCs w:val="0"/>
                <w:sz w:val="20"/>
              </w:rPr>
              <w:t>expectations</w:t>
            </w:r>
            <w:r w:rsidR="004A7EDA" w:rsidRPr="0046401E">
              <w:rPr>
                <w:bCs w:val="0"/>
                <w:sz w:val="20"/>
              </w:rPr>
              <w:t>’</w:t>
            </w:r>
            <w:r w:rsidR="00985E2C">
              <w:rPr>
                <w:rStyle w:val="FootnoteReference"/>
                <w:bCs w:val="0"/>
                <w:sz w:val="20"/>
              </w:rPr>
              <w:footnoteReference w:id="5"/>
            </w:r>
          </w:p>
        </w:tc>
        <w:tc>
          <w:tcPr>
            <w:tcW w:w="4297" w:type="dxa"/>
            <w:shd w:val="clear" w:color="auto" w:fill="E7E6E6" w:themeFill="background2"/>
            <w:tcMar>
              <w:top w:w="29" w:type="dxa"/>
              <w:left w:w="115" w:type="dxa"/>
              <w:bottom w:w="29" w:type="dxa"/>
              <w:right w:w="115" w:type="dxa"/>
            </w:tcMar>
            <w:vAlign w:val="center"/>
          </w:tcPr>
          <w:p w14:paraId="1E8B2B5F" w14:textId="5349D58C" w:rsidR="00DA090F" w:rsidRPr="0046401E" w:rsidRDefault="00DA090F" w:rsidP="0046401E">
            <w:pPr>
              <w:keepNext/>
              <w:ind w:left="360"/>
              <w:cnfStyle w:val="100000000000" w:firstRow="1" w:lastRow="0" w:firstColumn="0" w:lastColumn="0" w:oddVBand="0" w:evenVBand="0" w:oddHBand="0" w:evenHBand="0" w:firstRowFirstColumn="0" w:firstRowLastColumn="0" w:lastRowFirstColumn="0" w:lastRowLastColumn="0"/>
              <w:rPr>
                <w:sz w:val="20"/>
              </w:rPr>
            </w:pPr>
            <w:r w:rsidRPr="0046401E">
              <w:rPr>
                <w:bCs w:val="0"/>
                <w:color w:val="auto"/>
                <w:sz w:val="20"/>
              </w:rPr>
              <w:t>Common Law ‘method’</w:t>
            </w:r>
          </w:p>
        </w:tc>
      </w:tr>
      <w:tr w:rsidR="00691179" w:rsidRPr="00691179" w14:paraId="3D28603F" w14:textId="05AC2F50" w:rsidTr="00B91FC6">
        <w:trPr>
          <w:cnfStyle w:val="000000100000" w:firstRow="0" w:lastRow="0" w:firstColumn="0" w:lastColumn="0" w:oddVBand="0" w:evenVBand="0" w:oddHBand="1" w:evenHBand="0" w:firstRowFirstColumn="0" w:firstRowLastColumn="0" w:lastRowFirstColumn="0" w:lastRowLastColumn="0"/>
          <w:cantSplit/>
          <w:trHeight w:val="762"/>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3B1559F2" w14:textId="4F9D1734" w:rsidR="00691179" w:rsidRPr="0046401E" w:rsidRDefault="00691179" w:rsidP="00B91FC6">
            <w:pPr>
              <w:rPr>
                <w:b w:val="0"/>
                <w:sz w:val="20"/>
              </w:rPr>
            </w:pPr>
            <w:r w:rsidRPr="0046401E">
              <w:rPr>
                <w:b w:val="0"/>
                <w:sz w:val="20"/>
              </w:rPr>
              <w:t xml:space="preserve">Our neophyte is conditioned </w:t>
            </w:r>
            <w:r w:rsidRPr="0046401E">
              <w:rPr>
                <w:sz w:val="20"/>
              </w:rPr>
              <w:t>emotionally</w:t>
            </w:r>
            <w:r w:rsidRPr="0046401E">
              <w:rPr>
                <w:b w:val="0"/>
                <w:sz w:val="20"/>
              </w:rPr>
              <w:t xml:space="preserve"> and </w:t>
            </w:r>
            <w:r w:rsidRPr="0046401E">
              <w:rPr>
                <w:sz w:val="20"/>
              </w:rPr>
              <w:t>intellectually</w:t>
            </w:r>
            <w:r w:rsidRPr="0046401E">
              <w:rPr>
                <w:b w:val="0"/>
                <w:sz w:val="20"/>
              </w:rPr>
              <w:t xml:space="preserve"> to ‘expect’ </w:t>
            </w:r>
          </w:p>
        </w:tc>
        <w:tc>
          <w:tcPr>
            <w:tcW w:w="4297" w:type="dxa"/>
            <w:tcMar>
              <w:top w:w="29" w:type="dxa"/>
              <w:left w:w="115" w:type="dxa"/>
              <w:bottom w:w="29" w:type="dxa"/>
              <w:right w:w="115" w:type="dxa"/>
            </w:tcMar>
            <w:vAlign w:val="center"/>
          </w:tcPr>
          <w:p w14:paraId="399FD479" w14:textId="7AB445B6" w:rsidR="00691179" w:rsidRPr="0046401E" w:rsidRDefault="00691179" w:rsidP="00B91FC6">
            <w:pPr>
              <w:cnfStyle w:val="000000100000" w:firstRow="0" w:lastRow="0" w:firstColumn="0" w:lastColumn="0" w:oddVBand="0" w:evenVBand="0" w:oddHBand="1" w:evenHBand="0" w:firstRowFirstColumn="0" w:firstRowLastColumn="0" w:lastRowFirstColumn="0" w:lastRowLastColumn="0"/>
              <w:rPr>
                <w:bCs/>
                <w:sz w:val="20"/>
              </w:rPr>
            </w:pPr>
            <w:r w:rsidRPr="0046401E">
              <w:rPr>
                <w:sz w:val="20"/>
              </w:rPr>
              <w:t>Whereas, the methods of the common law have very different attributes:</w:t>
            </w:r>
          </w:p>
        </w:tc>
      </w:tr>
      <w:tr w:rsidR="00691179" w:rsidRPr="00691179" w14:paraId="345DF86B" w14:textId="532CAB1F" w:rsidTr="00B91FC6">
        <w:trPr>
          <w:cantSplit/>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510127BA" w14:textId="1DF23818" w:rsidR="00691179" w:rsidRPr="0046401E" w:rsidRDefault="005F4E54" w:rsidP="002E410C">
            <w:pPr>
              <w:pStyle w:val="ListParagraph"/>
              <w:numPr>
                <w:ilvl w:val="0"/>
                <w:numId w:val="3"/>
              </w:numPr>
              <w:ind w:left="335"/>
              <w:rPr>
                <w:b w:val="0"/>
                <w:sz w:val="20"/>
              </w:rPr>
            </w:pPr>
            <w:r>
              <w:rPr>
                <w:b w:val="0"/>
                <w:sz w:val="20"/>
              </w:rPr>
              <w:t xml:space="preserve">A </w:t>
            </w:r>
            <w:r w:rsidR="00691179" w:rsidRPr="0046401E">
              <w:rPr>
                <w:b w:val="0"/>
                <w:sz w:val="20"/>
              </w:rPr>
              <w:t xml:space="preserve">clear </w:t>
            </w:r>
            <w:r w:rsidR="009D4F5D">
              <w:rPr>
                <w:b w:val="0"/>
                <w:sz w:val="20"/>
              </w:rPr>
              <w:t xml:space="preserve">but ahistorical </w:t>
            </w:r>
            <w:r w:rsidR="00691179" w:rsidRPr="0046401E">
              <w:rPr>
                <w:b w:val="0"/>
                <w:sz w:val="20"/>
              </w:rPr>
              <w:t xml:space="preserve">separation of law-application from law-making </w:t>
            </w:r>
          </w:p>
        </w:tc>
        <w:tc>
          <w:tcPr>
            <w:tcW w:w="4297" w:type="dxa"/>
            <w:tcMar>
              <w:top w:w="29" w:type="dxa"/>
              <w:left w:w="115" w:type="dxa"/>
              <w:bottom w:w="29" w:type="dxa"/>
              <w:right w:w="115" w:type="dxa"/>
            </w:tcMar>
            <w:vAlign w:val="center"/>
          </w:tcPr>
          <w:p w14:paraId="2CAB870C" w14:textId="77777777" w:rsidR="00985E2C" w:rsidRDefault="00691179" w:rsidP="002E410C">
            <w:pPr>
              <w:pStyle w:val="ListParagraph"/>
              <w:numPr>
                <w:ilvl w:val="0"/>
                <w:numId w:val="4"/>
              </w:numPr>
              <w:tabs>
                <w:tab w:val="left" w:pos="291"/>
              </w:tabs>
              <w:ind w:left="291" w:hanging="270"/>
              <w:cnfStyle w:val="000000000000" w:firstRow="0" w:lastRow="0" w:firstColumn="0" w:lastColumn="0" w:oddVBand="0" w:evenVBand="0" w:oddHBand="0" w:evenHBand="0" w:firstRowFirstColumn="0" w:firstRowLastColumn="0" w:lastRowFirstColumn="0" w:lastRowLastColumn="0"/>
              <w:rPr>
                <w:sz w:val="20"/>
              </w:rPr>
            </w:pPr>
            <w:r w:rsidRPr="0046401E">
              <w:rPr>
                <w:sz w:val="20"/>
              </w:rPr>
              <w:t>Common law is judge-made</w:t>
            </w:r>
            <w:r w:rsidR="00985E2C" w:rsidRPr="0046401E">
              <w:rPr>
                <w:sz w:val="20"/>
              </w:rPr>
              <w:t xml:space="preserve"> </w:t>
            </w:r>
          </w:p>
          <w:p w14:paraId="55D1C099" w14:textId="637AE823" w:rsidR="00985E2C" w:rsidRPr="0046401E" w:rsidRDefault="00985E2C" w:rsidP="002E410C">
            <w:pPr>
              <w:pStyle w:val="ListParagraph"/>
              <w:numPr>
                <w:ilvl w:val="0"/>
                <w:numId w:val="4"/>
              </w:numPr>
              <w:tabs>
                <w:tab w:val="left" w:pos="291"/>
              </w:tabs>
              <w:ind w:left="291" w:hanging="270"/>
              <w:cnfStyle w:val="000000000000" w:firstRow="0" w:lastRow="0" w:firstColumn="0" w:lastColumn="0" w:oddVBand="0" w:evenVBand="0" w:oddHBand="0" w:evenHBand="0" w:firstRowFirstColumn="0" w:firstRowLastColumn="0" w:lastRowFirstColumn="0" w:lastRowLastColumn="0"/>
              <w:rPr>
                <w:sz w:val="20"/>
              </w:rPr>
            </w:pPr>
            <w:r w:rsidRPr="0046401E">
              <w:rPr>
                <w:sz w:val="20"/>
              </w:rPr>
              <w:t>Judicial l</w:t>
            </w:r>
            <w:r>
              <w:rPr>
                <w:sz w:val="20"/>
              </w:rPr>
              <w:t xml:space="preserve">egislative self-restraint comes, not from the words used, but </w:t>
            </w:r>
            <w:r w:rsidRPr="0046401E">
              <w:rPr>
                <w:sz w:val="20"/>
              </w:rPr>
              <w:t xml:space="preserve">from </w:t>
            </w:r>
            <w:r w:rsidR="00B23C54">
              <w:rPr>
                <w:sz w:val="20"/>
              </w:rPr>
              <w:t xml:space="preserve">judges’ </w:t>
            </w:r>
            <w:r w:rsidRPr="0046401E">
              <w:rPr>
                <w:sz w:val="20"/>
              </w:rPr>
              <w:t>appreciation of the constitutional context</w:t>
            </w:r>
            <w:r w:rsidR="00B23C54" w:rsidRPr="00985E2C">
              <w:rPr>
                <w:vertAlign w:val="superscript"/>
              </w:rPr>
              <w:footnoteReference w:id="6"/>
            </w:r>
            <w:r w:rsidRPr="0046401E">
              <w:rPr>
                <w:sz w:val="20"/>
              </w:rPr>
              <w:t xml:space="preserve">: </w:t>
            </w:r>
          </w:p>
          <w:p w14:paraId="6AD689F7" w14:textId="276679A1" w:rsidR="00985E2C" w:rsidRPr="0046401E" w:rsidRDefault="00985E2C" w:rsidP="002E410C">
            <w:pPr>
              <w:pStyle w:val="ListParagraph"/>
              <w:numPr>
                <w:ilvl w:val="1"/>
                <w:numId w:val="4"/>
              </w:numPr>
              <w:tabs>
                <w:tab w:val="left" w:pos="291"/>
              </w:tabs>
              <w:ind w:left="831" w:hanging="519"/>
              <w:cnfStyle w:val="000000000000" w:firstRow="0" w:lastRow="0" w:firstColumn="0" w:lastColumn="0" w:oddVBand="0" w:evenVBand="0" w:oddHBand="0" w:evenHBand="0" w:firstRowFirstColumn="0" w:firstRowLastColumn="0" w:lastRowFirstColumn="0" w:lastRowLastColumn="0"/>
              <w:rPr>
                <w:sz w:val="20"/>
              </w:rPr>
            </w:pPr>
            <w:r w:rsidRPr="0046401E">
              <w:rPr>
                <w:sz w:val="20"/>
              </w:rPr>
              <w:t>unelected</w:t>
            </w:r>
          </w:p>
          <w:p w14:paraId="73AD99E7" w14:textId="4AEFA2BB" w:rsidR="00691179" w:rsidRPr="0046401E" w:rsidRDefault="00985E2C" w:rsidP="002E410C">
            <w:pPr>
              <w:pStyle w:val="ListParagraph"/>
              <w:numPr>
                <w:ilvl w:val="1"/>
                <w:numId w:val="4"/>
              </w:numPr>
              <w:tabs>
                <w:tab w:val="left" w:pos="291"/>
              </w:tabs>
              <w:ind w:left="831" w:hanging="519"/>
              <w:cnfStyle w:val="000000000000" w:firstRow="0" w:lastRow="0" w:firstColumn="0" w:lastColumn="0" w:oddVBand="0" w:evenVBand="0" w:oddHBand="0" w:evenHBand="0" w:firstRowFirstColumn="0" w:firstRowLastColumn="0" w:lastRowFirstColumn="0" w:lastRowLastColumn="0"/>
              <w:rPr>
                <w:sz w:val="20"/>
              </w:rPr>
            </w:pPr>
            <w:r w:rsidRPr="0046401E">
              <w:rPr>
                <w:sz w:val="20"/>
              </w:rPr>
              <w:t xml:space="preserve">unable </w:t>
            </w:r>
            <w:r w:rsidR="009D4F5D">
              <w:rPr>
                <w:sz w:val="20"/>
              </w:rPr>
              <w:t>to create systems or</w:t>
            </w:r>
            <w:r w:rsidRPr="0046401E">
              <w:rPr>
                <w:sz w:val="20"/>
              </w:rPr>
              <w:t xml:space="preserve"> institutions</w:t>
            </w:r>
          </w:p>
        </w:tc>
      </w:tr>
      <w:tr w:rsidR="00691179" w:rsidRPr="00691179" w14:paraId="3FF5D91F" w14:textId="0AD7D67F" w:rsidTr="00B91F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140FDF4A" w14:textId="3ADF0442" w:rsidR="00691179" w:rsidRPr="0046401E" w:rsidRDefault="00691179" w:rsidP="002E410C">
            <w:pPr>
              <w:pStyle w:val="ListParagraph"/>
              <w:numPr>
                <w:ilvl w:val="0"/>
                <w:numId w:val="3"/>
              </w:numPr>
              <w:ind w:left="335"/>
              <w:rPr>
                <w:b w:val="0"/>
                <w:sz w:val="20"/>
              </w:rPr>
            </w:pPr>
            <w:r w:rsidRPr="0046401E">
              <w:rPr>
                <w:b w:val="0"/>
                <w:sz w:val="20"/>
              </w:rPr>
              <w:t xml:space="preserve">certainty, predictability </w:t>
            </w:r>
            <w:r w:rsidR="004A7EDA" w:rsidRPr="0046401E">
              <w:rPr>
                <w:b w:val="0"/>
                <w:sz w:val="20"/>
              </w:rPr>
              <w:br/>
            </w:r>
            <w:r w:rsidRPr="0046401E">
              <w:rPr>
                <w:b w:val="0"/>
                <w:sz w:val="20"/>
              </w:rPr>
              <w:t>(simplistic ‘rule of law’</w:t>
            </w:r>
            <w:r w:rsidR="004A7EDA" w:rsidRPr="0046401E">
              <w:rPr>
                <w:b w:val="0"/>
                <w:sz w:val="20"/>
              </w:rPr>
              <w:t xml:space="preserve"> thinking</w:t>
            </w:r>
            <w:r w:rsidRPr="0046401E">
              <w:rPr>
                <w:b w:val="0"/>
                <w:sz w:val="20"/>
              </w:rPr>
              <w:t xml:space="preserve">) </w:t>
            </w:r>
          </w:p>
        </w:tc>
        <w:tc>
          <w:tcPr>
            <w:tcW w:w="4297" w:type="dxa"/>
            <w:tcMar>
              <w:top w:w="29" w:type="dxa"/>
              <w:left w:w="115" w:type="dxa"/>
              <w:bottom w:w="29" w:type="dxa"/>
              <w:right w:w="115" w:type="dxa"/>
            </w:tcMar>
            <w:vAlign w:val="center"/>
          </w:tcPr>
          <w:p w14:paraId="7690F3B8" w14:textId="37684686" w:rsidR="004A7EDA" w:rsidRPr="0046401E" w:rsidRDefault="00EB60B4" w:rsidP="002E410C">
            <w:pPr>
              <w:pStyle w:val="ListParagraph"/>
              <w:numPr>
                <w:ilvl w:val="0"/>
                <w:numId w:val="4"/>
              </w:numPr>
              <w:tabs>
                <w:tab w:val="left" w:pos="291"/>
              </w:tabs>
              <w:ind w:left="291" w:hanging="270"/>
              <w:cnfStyle w:val="000000100000" w:firstRow="0" w:lastRow="0" w:firstColumn="0" w:lastColumn="0" w:oddVBand="0" w:evenVBand="0" w:oddHBand="1" w:evenHBand="0" w:firstRowFirstColumn="0" w:firstRowLastColumn="0" w:lastRowFirstColumn="0" w:lastRowLastColumn="0"/>
              <w:rPr>
                <w:sz w:val="20"/>
              </w:rPr>
            </w:pPr>
            <w:r>
              <w:rPr>
                <w:sz w:val="20"/>
              </w:rPr>
              <w:t>Common law</w:t>
            </w:r>
            <w:r w:rsidR="004A7EDA" w:rsidRPr="0046401E">
              <w:rPr>
                <w:sz w:val="20"/>
              </w:rPr>
              <w:t xml:space="preserve"> c</w:t>
            </w:r>
            <w:r w:rsidR="00691179" w:rsidRPr="0046401E">
              <w:rPr>
                <w:sz w:val="20"/>
              </w:rPr>
              <w:t xml:space="preserve">hanges </w:t>
            </w:r>
            <w:r w:rsidR="004A7EDA" w:rsidRPr="0046401E">
              <w:rPr>
                <w:sz w:val="20"/>
              </w:rPr>
              <w:t>incrementally</w:t>
            </w:r>
            <w:r w:rsidR="00691179" w:rsidRPr="0046401E">
              <w:rPr>
                <w:sz w:val="20"/>
              </w:rPr>
              <w:t xml:space="preserve"> </w:t>
            </w:r>
          </w:p>
          <w:p w14:paraId="154C8F0B" w14:textId="69A8AAC3" w:rsidR="00691179" w:rsidRPr="0046401E" w:rsidRDefault="00691179" w:rsidP="002E410C">
            <w:pPr>
              <w:pStyle w:val="ListParagraph"/>
              <w:numPr>
                <w:ilvl w:val="0"/>
                <w:numId w:val="4"/>
              </w:numPr>
              <w:tabs>
                <w:tab w:val="left" w:pos="291"/>
              </w:tabs>
              <w:ind w:left="291" w:hanging="270"/>
              <w:cnfStyle w:val="000000100000" w:firstRow="0" w:lastRow="0" w:firstColumn="0" w:lastColumn="0" w:oddVBand="0" w:evenVBand="0" w:oddHBand="1" w:evenHBand="0" w:firstRowFirstColumn="0" w:firstRowLastColumn="0" w:lastRowFirstColumn="0" w:lastRowLastColumn="0"/>
              <w:rPr>
                <w:sz w:val="20"/>
              </w:rPr>
            </w:pPr>
            <w:r w:rsidRPr="0046401E">
              <w:rPr>
                <w:sz w:val="20"/>
              </w:rPr>
              <w:t>with occasional</w:t>
            </w:r>
            <w:r w:rsidR="004A7EDA" w:rsidRPr="0046401E">
              <w:rPr>
                <w:sz w:val="20"/>
              </w:rPr>
              <w:t xml:space="preserve">, more radical, </w:t>
            </w:r>
            <w:r w:rsidRPr="0046401E">
              <w:rPr>
                <w:sz w:val="20"/>
              </w:rPr>
              <w:t>interventions</w:t>
            </w:r>
          </w:p>
        </w:tc>
      </w:tr>
      <w:tr w:rsidR="00B91FC6" w:rsidRPr="00691179" w14:paraId="7CF9160B" w14:textId="77777777" w:rsidTr="00B91FC6">
        <w:trPr>
          <w:cantSplit/>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5EF7EA2B" w14:textId="4FD2F5B4" w:rsidR="00B91FC6" w:rsidRPr="00B91FC6" w:rsidRDefault="00B91FC6" w:rsidP="002E410C">
            <w:pPr>
              <w:pStyle w:val="ListParagraph"/>
              <w:numPr>
                <w:ilvl w:val="0"/>
                <w:numId w:val="3"/>
              </w:numPr>
              <w:ind w:left="335"/>
              <w:rPr>
                <w:b w:val="0"/>
                <w:sz w:val="20"/>
              </w:rPr>
            </w:pPr>
            <w:r w:rsidRPr="00B91FC6">
              <w:rPr>
                <w:b w:val="0"/>
                <w:sz w:val="20"/>
              </w:rPr>
              <w:t>‘subjects’ with water-tight boundaries</w:t>
            </w:r>
          </w:p>
        </w:tc>
        <w:tc>
          <w:tcPr>
            <w:tcW w:w="4297" w:type="dxa"/>
            <w:tcMar>
              <w:top w:w="29" w:type="dxa"/>
              <w:left w:w="115" w:type="dxa"/>
              <w:bottom w:w="29" w:type="dxa"/>
              <w:right w:w="115" w:type="dxa"/>
            </w:tcMar>
            <w:vAlign w:val="center"/>
          </w:tcPr>
          <w:p w14:paraId="3A725FF6" w14:textId="77777777" w:rsidR="00B91FC6" w:rsidRDefault="00B91FC6" w:rsidP="002E410C">
            <w:pPr>
              <w:pStyle w:val="ListParagraph"/>
              <w:numPr>
                <w:ilvl w:val="0"/>
                <w:numId w:val="4"/>
              </w:numPr>
              <w:tabs>
                <w:tab w:val="left" w:pos="291"/>
              </w:tabs>
              <w:ind w:left="291" w:hanging="270"/>
              <w:cnfStyle w:val="000000000000" w:firstRow="0" w:lastRow="0" w:firstColumn="0" w:lastColumn="0" w:oddVBand="0" w:evenVBand="0" w:oddHBand="0" w:evenHBand="0" w:firstRowFirstColumn="0" w:firstRowLastColumn="0" w:lastRowFirstColumn="0" w:lastRowLastColumn="0"/>
              <w:rPr>
                <w:sz w:val="20"/>
              </w:rPr>
            </w:pPr>
            <w:r>
              <w:rPr>
                <w:sz w:val="20"/>
              </w:rPr>
              <w:t>Developments in one area of law sometimes permeate to others</w:t>
            </w:r>
          </w:p>
          <w:p w14:paraId="67DF4F7B" w14:textId="6C08EF24" w:rsidR="00B91FC6" w:rsidRPr="0046401E" w:rsidRDefault="00B91FC6" w:rsidP="002E410C">
            <w:pPr>
              <w:pStyle w:val="ListParagraph"/>
              <w:numPr>
                <w:ilvl w:val="0"/>
                <w:numId w:val="4"/>
              </w:numPr>
              <w:tabs>
                <w:tab w:val="left" w:pos="291"/>
              </w:tabs>
              <w:ind w:left="291" w:hanging="270"/>
              <w:cnfStyle w:val="000000000000" w:firstRow="0" w:lastRow="0" w:firstColumn="0" w:lastColumn="0" w:oddVBand="0" w:evenVBand="0" w:oddHBand="0" w:evenHBand="0" w:firstRowFirstColumn="0" w:firstRowLastColumn="0" w:lastRowFirstColumn="0" w:lastRowLastColumn="0"/>
              <w:rPr>
                <w:sz w:val="20"/>
              </w:rPr>
            </w:pPr>
            <w:r>
              <w:rPr>
                <w:sz w:val="20"/>
              </w:rPr>
              <w:t xml:space="preserve">Some issue can be framed </w:t>
            </w:r>
            <w:r w:rsidRPr="00B91FC6">
              <w:rPr>
                <w:i/>
                <w:sz w:val="20"/>
              </w:rPr>
              <w:t>(e.g</w:t>
            </w:r>
            <w:r w:rsidR="00C70B73">
              <w:rPr>
                <w:i/>
                <w:sz w:val="20"/>
              </w:rPr>
              <w:t>.</w:t>
            </w:r>
            <w:r w:rsidRPr="00B91FC6">
              <w:rPr>
                <w:i/>
                <w:sz w:val="20"/>
              </w:rPr>
              <w:t>)</w:t>
            </w:r>
            <w:r>
              <w:rPr>
                <w:sz w:val="20"/>
              </w:rPr>
              <w:t xml:space="preserve"> in contract, or tort, or both</w:t>
            </w:r>
          </w:p>
        </w:tc>
      </w:tr>
      <w:tr w:rsidR="005F4E54" w:rsidRPr="00691179" w14:paraId="26CC3661" w14:textId="77777777" w:rsidTr="00B91F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62CF89BF" w14:textId="159F5383" w:rsidR="005F4E54" w:rsidRPr="0046401E" w:rsidRDefault="005F4E54" w:rsidP="006273A2">
            <w:pPr>
              <w:keepNext/>
              <w:ind w:left="-23"/>
              <w:rPr>
                <w:b w:val="0"/>
                <w:sz w:val="20"/>
              </w:rPr>
            </w:pPr>
            <w:r w:rsidRPr="005F4E54">
              <w:rPr>
                <w:b w:val="0"/>
                <w:sz w:val="20"/>
              </w:rPr>
              <w:lastRenderedPageBreak/>
              <w:t>OR, at least</w:t>
            </w:r>
          </w:p>
        </w:tc>
        <w:tc>
          <w:tcPr>
            <w:tcW w:w="4297" w:type="dxa"/>
            <w:tcMar>
              <w:top w:w="29" w:type="dxa"/>
              <w:left w:w="115" w:type="dxa"/>
              <w:bottom w:w="29" w:type="dxa"/>
              <w:right w:w="115" w:type="dxa"/>
            </w:tcMar>
            <w:vAlign w:val="center"/>
          </w:tcPr>
          <w:p w14:paraId="4EE448DD" w14:textId="77777777" w:rsidR="005F4E54" w:rsidRPr="0046401E" w:rsidRDefault="005F4E54" w:rsidP="00B91FC6">
            <w:pPr>
              <w:ind w:left="360"/>
              <w:cnfStyle w:val="000000100000" w:firstRow="0" w:lastRow="0" w:firstColumn="0" w:lastColumn="0" w:oddVBand="0" w:evenVBand="0" w:oddHBand="1" w:evenHBand="0" w:firstRowFirstColumn="0" w:firstRowLastColumn="0" w:lastRowFirstColumn="0" w:lastRowLastColumn="0"/>
              <w:rPr>
                <w:sz w:val="20"/>
              </w:rPr>
            </w:pPr>
          </w:p>
        </w:tc>
      </w:tr>
      <w:tr w:rsidR="00691179" w:rsidRPr="00691179" w14:paraId="2B42A6F2" w14:textId="4756DDA8" w:rsidTr="00B91FC6">
        <w:trPr>
          <w:cantSplit/>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55975FCA" w14:textId="6DA4CB0F" w:rsidR="00691179" w:rsidRPr="0046401E" w:rsidRDefault="005F4E54" w:rsidP="002E410C">
            <w:pPr>
              <w:pStyle w:val="ListParagraph"/>
              <w:numPr>
                <w:ilvl w:val="0"/>
                <w:numId w:val="3"/>
              </w:numPr>
              <w:ind w:left="335"/>
              <w:rPr>
                <w:b w:val="0"/>
                <w:sz w:val="20"/>
              </w:rPr>
            </w:pPr>
            <w:r w:rsidRPr="005F4E54">
              <w:rPr>
                <w:b w:val="0"/>
                <w:sz w:val="20"/>
              </w:rPr>
              <w:t>fixed and precise meanings of words,</w:t>
            </w:r>
            <w:r w:rsidRPr="005F4E54">
              <w:rPr>
                <w:b w:val="0"/>
                <w:sz w:val="20"/>
              </w:rPr>
              <w:br/>
              <w:t xml:space="preserve">as with quasi-mathematical concepts </w:t>
            </w:r>
            <w:r w:rsidRPr="005F4E54">
              <w:rPr>
                <w:b w:val="0"/>
                <w:sz w:val="20"/>
              </w:rPr>
              <w:br/>
              <w:t>(</w:t>
            </w:r>
            <w:r w:rsidRPr="00E17FCC">
              <w:rPr>
                <w:b w:val="0"/>
                <w:i/>
                <w:sz w:val="20"/>
              </w:rPr>
              <w:t>e.g.</w:t>
            </w:r>
            <w:r w:rsidRPr="005F4E54">
              <w:rPr>
                <w:b w:val="0"/>
                <w:sz w:val="20"/>
              </w:rPr>
              <w:t xml:space="preserve"> two-ness, triangularity)</w:t>
            </w:r>
          </w:p>
        </w:tc>
        <w:tc>
          <w:tcPr>
            <w:tcW w:w="4297" w:type="dxa"/>
            <w:tcMar>
              <w:top w:w="29" w:type="dxa"/>
              <w:left w:w="115" w:type="dxa"/>
              <w:bottom w:w="29" w:type="dxa"/>
              <w:right w:w="115" w:type="dxa"/>
            </w:tcMar>
            <w:vAlign w:val="center"/>
          </w:tcPr>
          <w:p w14:paraId="64A8C678" w14:textId="77777777" w:rsidR="005F4E54" w:rsidRPr="005F4E54" w:rsidRDefault="005F4E54" w:rsidP="002E410C">
            <w:pPr>
              <w:pStyle w:val="ListParagraph"/>
              <w:numPr>
                <w:ilvl w:val="0"/>
                <w:numId w:val="4"/>
              </w:numPr>
              <w:tabs>
                <w:tab w:val="left" w:pos="291"/>
              </w:tabs>
              <w:ind w:left="291" w:hanging="270"/>
              <w:cnfStyle w:val="000000000000" w:firstRow="0" w:lastRow="0" w:firstColumn="0" w:lastColumn="0" w:oddVBand="0" w:evenVBand="0" w:oddHBand="0" w:evenHBand="0" w:firstRowFirstColumn="0" w:firstRowLastColumn="0" w:lastRowFirstColumn="0" w:lastRowLastColumn="0"/>
              <w:rPr>
                <w:sz w:val="20"/>
              </w:rPr>
            </w:pPr>
            <w:r w:rsidRPr="005F4E54">
              <w:rPr>
                <w:sz w:val="20"/>
              </w:rPr>
              <w:t xml:space="preserve">The stability of non-quasi-mathematical words comes from social consensus </w:t>
            </w:r>
          </w:p>
          <w:p w14:paraId="6A825E67" w14:textId="39D2DE56" w:rsidR="00691179" w:rsidRPr="0046401E" w:rsidRDefault="005F4E54" w:rsidP="002E410C">
            <w:pPr>
              <w:pStyle w:val="ListParagraph"/>
              <w:numPr>
                <w:ilvl w:val="0"/>
                <w:numId w:val="4"/>
              </w:numPr>
              <w:tabs>
                <w:tab w:val="left" w:pos="291"/>
              </w:tabs>
              <w:ind w:left="291" w:hanging="270"/>
              <w:cnfStyle w:val="000000000000" w:firstRow="0" w:lastRow="0" w:firstColumn="0" w:lastColumn="0" w:oddVBand="0" w:evenVBand="0" w:oddHBand="0" w:evenHBand="0" w:firstRowFirstColumn="0" w:firstRowLastColumn="0" w:lastRowFirstColumn="0" w:lastRowLastColumn="0"/>
              <w:rPr>
                <w:sz w:val="20"/>
              </w:rPr>
            </w:pPr>
            <w:r w:rsidRPr="005F4E54">
              <w:rPr>
                <w:sz w:val="20"/>
              </w:rPr>
              <w:t>Because usage determines meaning</w:t>
            </w:r>
          </w:p>
        </w:tc>
      </w:tr>
      <w:tr w:rsidR="00691179" w:rsidRPr="00691179" w14:paraId="1E34AE7B" w14:textId="591A0F3A" w:rsidTr="00B91F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19" w:type="dxa"/>
            <w:tcMar>
              <w:top w:w="29" w:type="dxa"/>
              <w:left w:w="115" w:type="dxa"/>
              <w:bottom w:w="29" w:type="dxa"/>
              <w:right w:w="115" w:type="dxa"/>
            </w:tcMar>
            <w:vAlign w:val="center"/>
          </w:tcPr>
          <w:p w14:paraId="6DF9AB7C" w14:textId="69C36C40" w:rsidR="00691179" w:rsidRPr="0046401E" w:rsidRDefault="00B91FC6" w:rsidP="002E410C">
            <w:pPr>
              <w:pStyle w:val="ListParagraph"/>
              <w:numPr>
                <w:ilvl w:val="0"/>
                <w:numId w:val="3"/>
              </w:numPr>
              <w:ind w:left="335"/>
              <w:rPr>
                <w:b w:val="0"/>
                <w:sz w:val="20"/>
              </w:rPr>
            </w:pPr>
            <w:r>
              <w:rPr>
                <w:b w:val="0"/>
                <w:sz w:val="20"/>
              </w:rPr>
              <w:t xml:space="preserve">Concepts with </w:t>
            </w:r>
            <w:r w:rsidR="005F4E54" w:rsidRPr="005F4E54">
              <w:rPr>
                <w:b w:val="0"/>
                <w:sz w:val="20"/>
              </w:rPr>
              <w:t>a definite core with a penumbra that is an area for ‘modest interpretation’</w:t>
            </w:r>
          </w:p>
        </w:tc>
        <w:tc>
          <w:tcPr>
            <w:tcW w:w="4297" w:type="dxa"/>
            <w:tcMar>
              <w:top w:w="29" w:type="dxa"/>
              <w:left w:w="115" w:type="dxa"/>
              <w:bottom w:w="29" w:type="dxa"/>
              <w:right w:w="115" w:type="dxa"/>
            </w:tcMar>
            <w:vAlign w:val="center"/>
          </w:tcPr>
          <w:p w14:paraId="3165AA55" w14:textId="77777777" w:rsidR="005F4E54" w:rsidRPr="005F4E54" w:rsidRDefault="005F4E54" w:rsidP="002E410C">
            <w:pPr>
              <w:pStyle w:val="ListParagraph"/>
              <w:numPr>
                <w:ilvl w:val="0"/>
                <w:numId w:val="4"/>
              </w:numPr>
              <w:tabs>
                <w:tab w:val="left" w:pos="291"/>
              </w:tabs>
              <w:ind w:left="291" w:hanging="270"/>
              <w:cnfStyle w:val="000000100000" w:firstRow="0" w:lastRow="0" w:firstColumn="0" w:lastColumn="0" w:oddVBand="0" w:evenVBand="0" w:oddHBand="1" w:evenHBand="0" w:firstRowFirstColumn="0" w:firstRowLastColumn="0" w:lastRowFirstColumn="0" w:lastRowLastColumn="0"/>
              <w:rPr>
                <w:sz w:val="20"/>
              </w:rPr>
            </w:pPr>
            <w:r w:rsidRPr="005F4E54">
              <w:rPr>
                <w:sz w:val="20"/>
              </w:rPr>
              <w:t>The scope for interpretation can extend to the whole concept</w:t>
            </w:r>
          </w:p>
          <w:p w14:paraId="57C708B3" w14:textId="244441CB" w:rsidR="00691179" w:rsidRPr="0046401E" w:rsidRDefault="005F4E54" w:rsidP="002E410C">
            <w:pPr>
              <w:pStyle w:val="ListParagraph"/>
              <w:numPr>
                <w:ilvl w:val="0"/>
                <w:numId w:val="4"/>
              </w:numPr>
              <w:tabs>
                <w:tab w:val="left" w:pos="291"/>
              </w:tabs>
              <w:ind w:left="291" w:hanging="270"/>
              <w:cnfStyle w:val="000000100000" w:firstRow="0" w:lastRow="0" w:firstColumn="0" w:lastColumn="0" w:oddVBand="0" w:evenVBand="0" w:oddHBand="1" w:evenHBand="0" w:firstRowFirstColumn="0" w:firstRowLastColumn="0" w:lastRowFirstColumn="0" w:lastRowLastColumn="0"/>
              <w:rPr>
                <w:sz w:val="20"/>
              </w:rPr>
            </w:pPr>
            <w:r w:rsidRPr="005F4E54">
              <w:rPr>
                <w:sz w:val="20"/>
              </w:rPr>
              <w:t>Often no ‘bright line’ between ‘core’ and ‘penumbra’</w:t>
            </w:r>
          </w:p>
        </w:tc>
      </w:tr>
    </w:tbl>
    <w:p w14:paraId="0B4A16C1" w14:textId="3C4C71C3" w:rsidR="00D77790" w:rsidRPr="00F97B8D" w:rsidRDefault="00F97B8D" w:rsidP="00716787">
      <w:pPr>
        <w:pStyle w:val="Heading2"/>
        <w:spacing w:before="240"/>
      </w:pPr>
      <w:r w:rsidRPr="00F97B8D">
        <w:t>Hypothesis 2</w:t>
      </w:r>
    </w:p>
    <w:p w14:paraId="30845F7A" w14:textId="03D95131" w:rsidR="00F97B8D" w:rsidRPr="00F97B8D" w:rsidRDefault="00663791" w:rsidP="00F97B8D">
      <w:r>
        <w:t>This</w:t>
      </w:r>
      <w:r w:rsidR="004250CC">
        <w:t xml:space="preserve"> thirst for certainty</w:t>
      </w:r>
      <w:r w:rsidR="00F97B8D" w:rsidRPr="00F97B8D">
        <w:t xml:space="preserve"> imports a </w:t>
      </w:r>
      <w:r>
        <w:t xml:space="preserve">naïve </w:t>
      </w:r>
      <w:r w:rsidR="00F97B8D" w:rsidRPr="00F97B8D">
        <w:t>form of ‘</w:t>
      </w:r>
      <w:r w:rsidR="005F4E54">
        <w:t>metaphysi</w:t>
      </w:r>
      <w:r w:rsidR="00F97B8D" w:rsidRPr="00F97B8D">
        <w:t>cal realism’</w:t>
      </w:r>
      <w:r>
        <w:t>, manifested in</w:t>
      </w:r>
      <w:r w:rsidR="00F97B8D" w:rsidRPr="00F97B8D">
        <w:t xml:space="preserve"> an expectation that legal concepts have a </w:t>
      </w:r>
      <w:r w:rsidR="00F97B8D" w:rsidRPr="004250CC">
        <w:rPr>
          <w:i/>
        </w:rPr>
        <w:t>mind-independent</w:t>
      </w:r>
      <w:r w:rsidR="00F97B8D" w:rsidRPr="00F97B8D">
        <w:t xml:space="preserve"> existence</w:t>
      </w:r>
      <w:r w:rsidR="004250CC">
        <w:t>—</w:t>
      </w:r>
      <w:r w:rsidR="00F97B8D" w:rsidRPr="00F97B8D">
        <w:t xml:space="preserve">as </w:t>
      </w:r>
      <w:r w:rsidR="005F4E54">
        <w:t>I</w:t>
      </w:r>
      <w:r w:rsidR="00F97B8D" w:rsidRPr="00F97B8D">
        <w:t xml:space="preserve"> might </w:t>
      </w:r>
      <w:r w:rsidR="00B5025E">
        <w:t>think</w:t>
      </w:r>
      <w:r w:rsidR="00F97B8D" w:rsidRPr="00F97B8D">
        <w:t xml:space="preserve"> </w:t>
      </w:r>
      <w:r w:rsidR="005F4E54">
        <w:t>my desk has</w:t>
      </w:r>
      <w:r>
        <w:t xml:space="preserve">. But, I </w:t>
      </w:r>
      <w:r w:rsidR="00985E2C">
        <w:t>contend</w:t>
      </w:r>
      <w:r>
        <w:t xml:space="preserve"> that </w:t>
      </w:r>
      <w:r w:rsidR="00F97B8D" w:rsidRPr="00F97B8D">
        <w:t xml:space="preserve">we should </w:t>
      </w:r>
      <w:r w:rsidR="00BC209C">
        <w:t xml:space="preserve">not </w:t>
      </w:r>
      <w:r w:rsidR="004250CC">
        <w:t>over-</w:t>
      </w:r>
      <w:r w:rsidR="00BC209C">
        <w:t>indulge</w:t>
      </w:r>
      <w:r w:rsidR="00F97B8D" w:rsidRPr="00F97B8D">
        <w:t xml:space="preserve"> our certainty-seeking neophyte</w:t>
      </w:r>
      <w:r w:rsidR="00BC209C">
        <w:t>s—</w:t>
      </w:r>
      <w:r>
        <w:t xml:space="preserve">and that </w:t>
      </w:r>
      <w:r w:rsidR="00F97B8D" w:rsidRPr="00F97B8D">
        <w:t>‘</w:t>
      </w:r>
      <w:r>
        <w:t>j</w:t>
      </w:r>
      <w:r w:rsidR="00F97B8D" w:rsidRPr="00F97B8D">
        <w:t>urisprudence’ should be engaged</w:t>
      </w:r>
      <w:r>
        <w:t xml:space="preserve"> </w:t>
      </w:r>
      <w:r w:rsidR="00BC209C">
        <w:t xml:space="preserve">early </w:t>
      </w:r>
      <w:r>
        <w:t>in th</w:t>
      </w:r>
      <w:r w:rsidR="00BC209C">
        <w:t>eir legal education</w:t>
      </w:r>
      <w:r>
        <w:t>.</w:t>
      </w:r>
    </w:p>
    <w:p w14:paraId="614F975F" w14:textId="77777777" w:rsidR="00D77790" w:rsidRPr="00F97B8D" w:rsidRDefault="00F97B8D" w:rsidP="00F37F4F">
      <w:pPr>
        <w:pStyle w:val="Heading3"/>
      </w:pPr>
      <w:r w:rsidRPr="00F97B8D">
        <w:t>A different ‘realism’</w:t>
      </w:r>
    </w:p>
    <w:p w14:paraId="12E09FBB" w14:textId="144B6508" w:rsidR="00607170" w:rsidRDefault="004250CC" w:rsidP="00F97B8D">
      <w:r>
        <w:t>By contrast, ‘</w:t>
      </w:r>
      <w:r w:rsidR="00F97B8D" w:rsidRPr="00F97B8D">
        <w:t>American legal real</w:t>
      </w:r>
      <w:r w:rsidR="00607170">
        <w:t xml:space="preserve">ism’ </w:t>
      </w:r>
      <w:r>
        <w:t xml:space="preserve">emphasises </w:t>
      </w:r>
      <w:r w:rsidRPr="004250CC">
        <w:rPr>
          <w:i/>
        </w:rPr>
        <w:t>mind-dependency</w:t>
      </w:r>
      <w:r>
        <w:t xml:space="preserve">. It aims to be realistic about </w:t>
      </w:r>
      <w:r w:rsidR="00607170">
        <w:t xml:space="preserve">what </w:t>
      </w:r>
      <w:r w:rsidR="005F4E54">
        <w:t>goes on</w:t>
      </w:r>
      <w:r w:rsidR="00607170">
        <w:t xml:space="preserve"> in lawyering</w:t>
      </w:r>
      <w:r w:rsidR="00D1344A">
        <w:t>,</w:t>
      </w:r>
      <w:r w:rsidR="00607170">
        <w:t xml:space="preserve"> judicial </w:t>
      </w:r>
      <w:r w:rsidR="00053851">
        <w:t>decision-making,</w:t>
      </w:r>
      <w:r w:rsidR="00D1344A">
        <w:t xml:space="preserve"> and rule-following</w:t>
      </w:r>
      <w:r w:rsidR="00607170">
        <w:t xml:space="preserve">. Here are some headlines, based on </w:t>
      </w:r>
      <w:r w:rsidR="00607170" w:rsidRPr="00F97B8D">
        <w:t>Karl Llewellyn</w:t>
      </w:r>
      <w:r w:rsidR="00607170">
        <w:t>’s</w:t>
      </w:r>
      <w:r w:rsidR="00607170" w:rsidRPr="00F97B8D">
        <w:t xml:space="preserve"> ‘Some Realism about Realism’</w:t>
      </w:r>
      <w:r w:rsidR="00607170">
        <w:t>.</w:t>
      </w:r>
      <w:r w:rsidR="00607170">
        <w:rPr>
          <w:rStyle w:val="FootnoteReference"/>
        </w:rPr>
        <w:footnoteReference w:id="7"/>
      </w:r>
    </w:p>
    <w:p w14:paraId="4E47632F" w14:textId="0E6438A5" w:rsidR="00F97B8D" w:rsidRPr="00F97B8D" w:rsidRDefault="00F97B8D" w:rsidP="002E410C">
      <w:pPr>
        <w:pStyle w:val="ListParagraph"/>
        <w:numPr>
          <w:ilvl w:val="0"/>
          <w:numId w:val="5"/>
        </w:numPr>
        <w:ind w:hanging="720"/>
        <w:contextualSpacing w:val="0"/>
      </w:pPr>
      <w:r w:rsidRPr="00F97B8D">
        <w:t>concepts such as ‘negligence’, intention’,</w:t>
      </w:r>
      <w:r w:rsidR="00607170">
        <w:t xml:space="preserve"> ‘contract’ are mind-dependent</w:t>
      </w:r>
    </w:p>
    <w:p w14:paraId="23B4D818" w14:textId="1E51E606" w:rsidR="00F97B8D" w:rsidRPr="00F97B8D" w:rsidRDefault="00607170" w:rsidP="002E410C">
      <w:pPr>
        <w:pStyle w:val="ListParagraph"/>
        <w:numPr>
          <w:ilvl w:val="0"/>
          <w:numId w:val="5"/>
        </w:numPr>
        <w:ind w:hanging="720"/>
        <w:contextualSpacing w:val="0"/>
      </w:pPr>
      <w:r>
        <w:t xml:space="preserve">hence, </w:t>
      </w:r>
      <w:r w:rsidR="00F97B8D" w:rsidRPr="00F97B8D">
        <w:t>the workings of the various minds involved must be investigated</w:t>
      </w:r>
    </w:p>
    <w:p w14:paraId="6BD2D846" w14:textId="179EA576" w:rsidR="00F97B8D" w:rsidRPr="00F97B8D" w:rsidRDefault="00F97B8D" w:rsidP="002E410C">
      <w:pPr>
        <w:pStyle w:val="ListParagraph"/>
        <w:numPr>
          <w:ilvl w:val="0"/>
          <w:numId w:val="5"/>
        </w:numPr>
        <w:ind w:hanging="720"/>
        <w:contextualSpacing w:val="0"/>
      </w:pPr>
      <w:r w:rsidRPr="00F97B8D">
        <w:t>the common law is judge-made—and it changes</w:t>
      </w:r>
    </w:p>
    <w:p w14:paraId="12BFE12E" w14:textId="3E55258A" w:rsidR="00F97B8D" w:rsidRPr="00F97B8D" w:rsidRDefault="00F97B8D" w:rsidP="002E410C">
      <w:pPr>
        <w:pStyle w:val="ListParagraph"/>
        <w:numPr>
          <w:ilvl w:val="0"/>
          <w:numId w:val="5"/>
        </w:numPr>
        <w:ind w:hanging="720"/>
        <w:contextualSpacing w:val="0"/>
      </w:pPr>
      <w:r w:rsidRPr="00F97B8D">
        <w:t xml:space="preserve">law should be assessed by means of its social effects </w:t>
      </w:r>
    </w:p>
    <w:p w14:paraId="662E5CFA" w14:textId="5347056F" w:rsidR="00F97B8D" w:rsidRPr="00F97B8D" w:rsidRDefault="00F97B8D" w:rsidP="002E410C">
      <w:pPr>
        <w:pStyle w:val="ListParagraph"/>
        <w:numPr>
          <w:ilvl w:val="0"/>
          <w:numId w:val="5"/>
        </w:numPr>
        <w:ind w:hanging="720"/>
        <w:contextualSpacing w:val="0"/>
      </w:pPr>
      <w:r w:rsidRPr="00F97B8D">
        <w:t>legal change</w:t>
      </w:r>
      <w:r w:rsidR="00607170">
        <w:t>s</w:t>
      </w:r>
      <w:r w:rsidRPr="00F97B8D">
        <w:t xml:space="preserve"> tend to lag behind social changes</w:t>
      </w:r>
    </w:p>
    <w:p w14:paraId="1BB1D6A9" w14:textId="22E42ABF" w:rsidR="00F97B8D" w:rsidRPr="00F97B8D" w:rsidRDefault="00F97B8D" w:rsidP="002E410C">
      <w:pPr>
        <w:pStyle w:val="ListParagraph"/>
        <w:numPr>
          <w:ilvl w:val="0"/>
          <w:numId w:val="5"/>
        </w:numPr>
        <w:ind w:hanging="720"/>
        <w:contextualSpacing w:val="0"/>
      </w:pPr>
      <w:r w:rsidRPr="00F97B8D">
        <w:t xml:space="preserve">traditional rules </w:t>
      </w:r>
      <w:r w:rsidR="004250CC">
        <w:t xml:space="preserve">are </w:t>
      </w:r>
      <w:r w:rsidRPr="00F97B8D">
        <w:t xml:space="preserve">not always the best predictors of what courts will do </w:t>
      </w:r>
    </w:p>
    <w:p w14:paraId="4DEE69FF" w14:textId="4C81FF6B" w:rsidR="00D77790" w:rsidRPr="00F97B8D" w:rsidRDefault="00742F4A" w:rsidP="00195BE5">
      <w:pPr>
        <w:pStyle w:val="Heading2"/>
      </w:pPr>
      <w:r>
        <w:t>H</w:t>
      </w:r>
      <w:r w:rsidR="00F97B8D" w:rsidRPr="00F97B8D">
        <w:t>ypothesis 3</w:t>
      </w:r>
    </w:p>
    <w:p w14:paraId="1529445E" w14:textId="0884FE31" w:rsidR="00F97B8D" w:rsidRPr="00F97B8D" w:rsidRDefault="004250CC" w:rsidP="00F97B8D">
      <w:r>
        <w:t>Legal</w:t>
      </w:r>
      <w:r w:rsidR="00F97B8D" w:rsidRPr="00F97B8D">
        <w:t xml:space="preserve"> </w:t>
      </w:r>
      <w:r w:rsidR="001B1894">
        <w:t xml:space="preserve">education </w:t>
      </w:r>
      <w:r>
        <w:t>sometimes</w:t>
      </w:r>
      <w:r w:rsidR="00F97B8D" w:rsidRPr="00F97B8D">
        <w:t xml:space="preserve"> indulge</w:t>
      </w:r>
      <w:r>
        <w:t>s</w:t>
      </w:r>
      <w:r w:rsidR="00F97B8D" w:rsidRPr="00F97B8D">
        <w:t xml:space="preserve"> neophytes’ thirst for certainty</w:t>
      </w:r>
      <w:r w:rsidR="00F81844">
        <w:t>, rather</w:t>
      </w:r>
      <w:r w:rsidR="00F97B8D" w:rsidRPr="00F97B8D">
        <w:t xml:space="preserve"> as parents teach the very young about Santa Claus</w:t>
      </w:r>
      <w:r w:rsidR="007F4C42">
        <w:t xml:space="preserve">. </w:t>
      </w:r>
      <w:r w:rsidR="004243D3">
        <w:t xml:space="preserve">For example, </w:t>
      </w:r>
      <w:r w:rsidR="00665BC2" w:rsidRPr="00F97B8D">
        <w:t>‘formation of contract’</w:t>
      </w:r>
      <w:r w:rsidR="00665BC2">
        <w:t xml:space="preserve"> is </w:t>
      </w:r>
      <w:r w:rsidR="00445D58">
        <w:t xml:space="preserve">typically </w:t>
      </w:r>
      <w:r w:rsidR="004A791E">
        <w:t>chosen</w:t>
      </w:r>
      <w:r w:rsidR="00665BC2">
        <w:t xml:space="preserve"> as</w:t>
      </w:r>
      <w:r w:rsidR="00F97B8D" w:rsidRPr="00F97B8D">
        <w:t xml:space="preserve"> </w:t>
      </w:r>
      <w:r w:rsidR="00E750BA">
        <w:t>the</w:t>
      </w:r>
      <w:r w:rsidR="00F97B8D" w:rsidRPr="00F97B8D">
        <w:t xml:space="preserve"> first common law</w:t>
      </w:r>
      <w:r w:rsidR="00E750BA">
        <w:t xml:space="preserve"> subject</w:t>
      </w:r>
      <w:r w:rsidR="00445D58">
        <w:t>—and</w:t>
      </w:r>
      <w:r w:rsidR="00B078BF">
        <w:t>,</w:t>
      </w:r>
      <w:r w:rsidR="00445D58">
        <w:t xml:space="preserve"> implicitly</w:t>
      </w:r>
      <w:r w:rsidR="00B078BF">
        <w:t>,</w:t>
      </w:r>
      <w:r w:rsidR="00445D58">
        <w:t xml:space="preserve"> as the </w:t>
      </w:r>
      <w:r w:rsidR="007F383D">
        <w:t>‘</w:t>
      </w:r>
      <w:r w:rsidR="00445D58">
        <w:t>model</w:t>
      </w:r>
      <w:r w:rsidR="007F383D">
        <w:t>’</w:t>
      </w:r>
      <w:r w:rsidR="00445D58">
        <w:t xml:space="preserve"> of common law method</w:t>
      </w:r>
      <w:r w:rsidR="00E750BA">
        <w:t xml:space="preserve">. </w:t>
      </w:r>
      <w:r w:rsidR="004A791E">
        <w:t>But</w:t>
      </w:r>
      <w:r w:rsidR="00274603">
        <w:t>,</w:t>
      </w:r>
      <w:r w:rsidR="004A791E">
        <w:t xml:space="preserve"> </w:t>
      </w:r>
      <w:r>
        <w:t>without careful</w:t>
      </w:r>
      <w:r w:rsidR="00274603" w:rsidRPr="00F97B8D">
        <w:t xml:space="preserve"> investigat</w:t>
      </w:r>
      <w:r>
        <w:t>ion of</w:t>
      </w:r>
      <w:r w:rsidR="00274603" w:rsidRPr="00F97B8D">
        <w:t xml:space="preserve"> the function and policy aspects of</w:t>
      </w:r>
      <w:r w:rsidR="005F3636">
        <w:t xml:space="preserve"> </w:t>
      </w:r>
      <w:r w:rsidR="00274603" w:rsidRPr="00F97B8D">
        <w:t>consideration and intention to create legal relations</w:t>
      </w:r>
      <w:r w:rsidR="0076233D">
        <w:t>, that strategy</w:t>
      </w:r>
      <w:r w:rsidR="00E73BCA">
        <w:t xml:space="preserve"> will</w:t>
      </w:r>
      <w:r w:rsidR="00F97B8D" w:rsidRPr="00F97B8D">
        <w:t xml:space="preserve"> len</w:t>
      </w:r>
      <w:r w:rsidR="005F3636">
        <w:t>d</w:t>
      </w:r>
      <w:r w:rsidR="00F97B8D" w:rsidRPr="00F97B8D">
        <w:t xml:space="preserve"> </w:t>
      </w:r>
      <w:r>
        <w:t xml:space="preserve">common law method </w:t>
      </w:r>
      <w:r w:rsidR="00AA6930">
        <w:t xml:space="preserve">a </w:t>
      </w:r>
      <w:r w:rsidR="00F97B8D" w:rsidRPr="00F97B8D">
        <w:t>mechanistic tone</w:t>
      </w:r>
      <w:r w:rsidR="00230E3C">
        <w:t>—</w:t>
      </w:r>
      <w:r w:rsidR="005F3636">
        <w:t>a ‘</w:t>
      </w:r>
      <w:r w:rsidR="005F3636" w:rsidRPr="00F97B8D">
        <w:t xml:space="preserve">Mrs </w:t>
      </w:r>
      <w:proofErr w:type="spellStart"/>
      <w:r w:rsidR="005F3636" w:rsidRPr="00F97B8D">
        <w:t>Beeton</w:t>
      </w:r>
      <w:proofErr w:type="spellEnd"/>
      <w:r w:rsidR="005F3636" w:rsidRPr="00F97B8D">
        <w:t xml:space="preserve"> approach’</w:t>
      </w:r>
      <w:r w:rsidR="00445D58">
        <w:rPr>
          <w:rStyle w:val="FootnoteReference"/>
        </w:rPr>
        <w:footnoteReference w:id="8"/>
      </w:r>
      <w:r w:rsidR="000D118F">
        <w:t>—and</w:t>
      </w:r>
      <w:r w:rsidR="00977ADA">
        <w:t xml:space="preserve"> </w:t>
      </w:r>
      <w:r>
        <w:t xml:space="preserve">does not </w:t>
      </w:r>
      <w:r>
        <w:lastRenderedPageBreak/>
        <w:t>counter</w:t>
      </w:r>
      <w:r w:rsidR="00977ADA">
        <w:t xml:space="preserve"> neophytes’ </w:t>
      </w:r>
      <w:r w:rsidR="00F97B8D" w:rsidRPr="00F97B8D">
        <w:t>pre-conditioning</w:t>
      </w:r>
      <w:r w:rsidR="005D40D0">
        <w:t xml:space="preserve">. </w:t>
      </w:r>
      <w:r w:rsidR="000D118F">
        <w:t>Neophytes</w:t>
      </w:r>
      <w:r w:rsidR="00F97B8D" w:rsidRPr="00F97B8D">
        <w:t xml:space="preserve"> will warm to the mechanistic aspects </w:t>
      </w:r>
      <w:r w:rsidR="00980341">
        <w:t>but</w:t>
      </w:r>
      <w:r w:rsidR="0013699F">
        <w:t xml:space="preserve"> </w:t>
      </w:r>
      <w:r w:rsidR="00F97B8D" w:rsidRPr="00F97B8D">
        <w:t xml:space="preserve">will tend to </w:t>
      </w:r>
      <w:r w:rsidR="000D118F">
        <w:t>side-line</w:t>
      </w:r>
      <w:r w:rsidR="00AA6930">
        <w:t xml:space="preserve"> </w:t>
      </w:r>
      <w:r w:rsidR="00D74B7C">
        <w:t>inconveniently s</w:t>
      </w:r>
      <w:r w:rsidR="00F97B8D" w:rsidRPr="00F97B8D">
        <w:t>ubtle policy point</w:t>
      </w:r>
      <w:r w:rsidR="00724383">
        <w:t>s and</w:t>
      </w:r>
      <w:r w:rsidR="00542922">
        <w:t xml:space="preserve"> be </w:t>
      </w:r>
      <w:r w:rsidR="00AA6930">
        <w:t>blind</w:t>
      </w:r>
      <w:r w:rsidR="00542922">
        <w:t xml:space="preserve"> to the common law’s dynamic.</w:t>
      </w:r>
    </w:p>
    <w:p w14:paraId="419D4EC6" w14:textId="533A9B2B" w:rsidR="00D77790" w:rsidRPr="00F97B8D" w:rsidRDefault="00F97B8D" w:rsidP="00607170">
      <w:r w:rsidRPr="00F97B8D">
        <w:t xml:space="preserve">Of course, although some </w:t>
      </w:r>
      <w:r w:rsidR="0030189C">
        <w:t>might be too much inclined to leave the myth undisturbed</w:t>
      </w:r>
      <w:r w:rsidR="006416FF">
        <w:t>,</w:t>
      </w:r>
      <w:r w:rsidR="006416FF" w:rsidRPr="006416FF">
        <w:t xml:space="preserve"> </w:t>
      </w:r>
      <w:r w:rsidR="006416FF" w:rsidRPr="00F97B8D">
        <w:t>no law teacher actually believes in Santa Claus</w:t>
      </w:r>
      <w:r w:rsidR="006416FF">
        <w:t>.</w:t>
      </w:r>
      <w:r w:rsidR="0030189C">
        <w:t xml:space="preserve"> </w:t>
      </w:r>
      <w:r w:rsidR="004809AB">
        <w:t>But some</w:t>
      </w:r>
      <w:r w:rsidR="0030189C">
        <w:t xml:space="preserve"> </w:t>
      </w:r>
      <w:r w:rsidRPr="00F97B8D">
        <w:t>might well be described as ‘doctrinalists’</w:t>
      </w:r>
      <w:r w:rsidR="0030189C">
        <w:t>, who take their main business to be the identification, refinement and ap</w:t>
      </w:r>
      <w:r w:rsidR="000D118F">
        <w:t>plication of doctrinal concepts and</w:t>
      </w:r>
      <w:r w:rsidR="0030189C">
        <w:t xml:space="preserve"> </w:t>
      </w:r>
      <w:r w:rsidR="00603D08">
        <w:t>present</w:t>
      </w:r>
      <w:r w:rsidR="0030189C">
        <w:t xml:space="preserve"> th</w:t>
      </w:r>
      <w:r w:rsidR="000D118F">
        <w:t>ose</w:t>
      </w:r>
      <w:r w:rsidR="0030189C">
        <w:t xml:space="preserve"> concepts</w:t>
      </w:r>
      <w:r w:rsidR="00603D08">
        <w:t xml:space="preserve"> as</w:t>
      </w:r>
      <w:r w:rsidR="0030189C">
        <w:t xml:space="preserve"> hav</w:t>
      </w:r>
      <w:r w:rsidR="00603D08">
        <w:t>ing</w:t>
      </w:r>
      <w:r w:rsidR="0030189C">
        <w:t xml:space="preserve"> a </w:t>
      </w:r>
      <w:r w:rsidR="000D118F" w:rsidRPr="000D118F">
        <w:rPr>
          <w:i/>
        </w:rPr>
        <w:t>mind-independent</w:t>
      </w:r>
      <w:r w:rsidR="000D118F">
        <w:t xml:space="preserve"> </w:t>
      </w:r>
      <w:r w:rsidR="0030189C">
        <w:t>fixed core meaning</w:t>
      </w:r>
      <w:r w:rsidR="00A11185">
        <w:t>.</w:t>
      </w:r>
      <w:bookmarkStart w:id="1" w:name="_Ref520535750"/>
      <w:r w:rsidR="00A11185">
        <w:rPr>
          <w:rStyle w:val="FootnoteReference"/>
        </w:rPr>
        <w:footnoteReference w:id="9"/>
      </w:r>
      <w:bookmarkEnd w:id="1"/>
      <w:r w:rsidR="00B06386">
        <w:t xml:space="preserve"> Ernest </w:t>
      </w:r>
      <w:proofErr w:type="spellStart"/>
      <w:r w:rsidR="00B06386">
        <w:t>Weinrib’s</w:t>
      </w:r>
      <w:proofErr w:type="spellEnd"/>
      <w:r w:rsidR="00B06386">
        <w:t xml:space="preserve"> exposition of ‘the </w:t>
      </w:r>
      <w:r w:rsidR="00B06386" w:rsidRPr="000A3EA8">
        <w:rPr>
          <w:i/>
        </w:rPr>
        <w:t>whole</w:t>
      </w:r>
      <w:r w:rsidR="00B06386">
        <w:t xml:space="preserve"> law of obligations’ as an aspect of ‘</w:t>
      </w:r>
      <w:r w:rsidR="00B06386" w:rsidRPr="000A3EA8">
        <w:rPr>
          <w:i/>
        </w:rPr>
        <w:t>corrective</w:t>
      </w:r>
      <w:r w:rsidR="00B06386">
        <w:t xml:space="preserve"> justice’</w:t>
      </w:r>
      <w:r w:rsidR="008A7890">
        <w:t xml:space="preserve">—based on </w:t>
      </w:r>
      <w:r w:rsidR="00B06386">
        <w:t>‘personality’ and the ‘correlativity’ of</w:t>
      </w:r>
      <w:r w:rsidR="00EA7F33">
        <w:t xml:space="preserve"> the</w:t>
      </w:r>
      <w:r w:rsidR="00B06386">
        <w:t xml:space="preserve"> ‘rights</w:t>
      </w:r>
      <w:bookmarkStart w:id="2" w:name="_Ref520365236"/>
      <w:r w:rsidR="008A7890">
        <w:t>’</w:t>
      </w:r>
      <w:r w:rsidR="00EA7F33">
        <w:t xml:space="preserve"> that </w:t>
      </w:r>
      <w:r w:rsidR="00AA6930">
        <w:t>‘</w:t>
      </w:r>
      <w:r w:rsidR="00EA7F33">
        <w:t>persons</w:t>
      </w:r>
      <w:r w:rsidR="00AA6930">
        <w:t>’</w:t>
      </w:r>
      <w:r w:rsidR="00EA7F33">
        <w:t xml:space="preserve"> necessarily have</w:t>
      </w:r>
      <w:r w:rsidR="008A7890">
        <w:t>—</w:t>
      </w:r>
      <w:r w:rsidR="00D55D48">
        <w:t>provides a paradigm.</w:t>
      </w:r>
      <w:bookmarkStart w:id="3" w:name="_Ref522441328"/>
      <w:r w:rsidR="00B06386">
        <w:rPr>
          <w:rStyle w:val="FootnoteReference"/>
        </w:rPr>
        <w:footnoteReference w:id="10"/>
      </w:r>
      <w:bookmarkEnd w:id="2"/>
      <w:bookmarkEnd w:id="3"/>
      <w:r w:rsidR="00D55D48">
        <w:t xml:space="preserve"> </w:t>
      </w:r>
      <w:r w:rsidR="00445D58">
        <w:t>Although</w:t>
      </w:r>
      <w:r w:rsidR="008A1787">
        <w:t xml:space="preserve"> </w:t>
      </w:r>
      <w:proofErr w:type="spellStart"/>
      <w:r w:rsidR="008C162F">
        <w:t>Weinrib’s</w:t>
      </w:r>
      <w:proofErr w:type="spellEnd"/>
      <w:r w:rsidR="008C162F">
        <w:t xml:space="preserve"> </w:t>
      </w:r>
      <w:r w:rsidR="00D55D48">
        <w:t>exposition</w:t>
      </w:r>
      <w:r w:rsidR="00B06386">
        <w:t xml:space="preserve"> is </w:t>
      </w:r>
      <w:r w:rsidR="00496F90">
        <w:t xml:space="preserve">elegant and </w:t>
      </w:r>
      <w:r w:rsidR="00B06386">
        <w:t>insightful</w:t>
      </w:r>
      <w:r w:rsidR="008A1787">
        <w:t xml:space="preserve">, it </w:t>
      </w:r>
      <w:r w:rsidR="00496F90">
        <w:t xml:space="preserve">is </w:t>
      </w:r>
      <w:r w:rsidR="00B06386">
        <w:t>restrictive</w:t>
      </w:r>
      <w:r w:rsidR="000D118F">
        <w:t>ly</w:t>
      </w:r>
      <w:r w:rsidR="00430517">
        <w:t xml:space="preserve"> fixate</w:t>
      </w:r>
      <w:r w:rsidR="00ED4111">
        <w:t xml:space="preserve">d on a conception of </w:t>
      </w:r>
      <w:r w:rsidR="00C05C6E">
        <w:t>p</w:t>
      </w:r>
      <w:r w:rsidR="00ED4111">
        <w:t xml:space="preserve">urely private </w:t>
      </w:r>
      <w:r w:rsidR="00C05C6E">
        <w:t>law that deals only in corrective justice</w:t>
      </w:r>
      <w:r w:rsidR="00496F90">
        <w:t>.</w:t>
      </w:r>
    </w:p>
    <w:p w14:paraId="24C8CB57" w14:textId="09F51F07" w:rsidR="00F97B8D" w:rsidRPr="00F97B8D" w:rsidRDefault="00F97B8D" w:rsidP="009C62D5">
      <w:pPr>
        <w:pStyle w:val="Quote"/>
      </w:pPr>
      <w:r w:rsidRPr="00F97B8D">
        <w:t xml:space="preserve">‘For purposes of justifying a determination, the correlative structure of liability </w:t>
      </w:r>
      <w:r w:rsidRPr="009C62D5">
        <w:rPr>
          <w:bCs/>
          <w:i/>
        </w:rPr>
        <w:t>entails</w:t>
      </w:r>
      <w:r w:rsidRPr="00F97B8D">
        <w:t xml:space="preserve"> the </w:t>
      </w:r>
      <w:r w:rsidRPr="009C62D5">
        <w:rPr>
          <w:bCs/>
          <w:i/>
        </w:rPr>
        <w:t xml:space="preserve">irrelevance </w:t>
      </w:r>
      <w:r w:rsidRPr="00F97B8D">
        <w:t xml:space="preserve">of </w:t>
      </w:r>
      <w:r w:rsidRPr="009C62D5">
        <w:rPr>
          <w:bCs/>
          <w:i/>
        </w:rPr>
        <w:t>any factor</w:t>
      </w:r>
      <w:r w:rsidRPr="00F97B8D">
        <w:rPr>
          <w:b/>
          <w:bCs/>
        </w:rPr>
        <w:t xml:space="preserve"> </w:t>
      </w:r>
      <w:r w:rsidRPr="00F97B8D">
        <w:t xml:space="preserve">that is normatively significant only because of its possible role in a </w:t>
      </w:r>
      <w:r w:rsidRPr="004A790F">
        <w:rPr>
          <w:i/>
        </w:rPr>
        <w:t>distributive</w:t>
      </w:r>
      <w:r w:rsidRPr="00F97B8D">
        <w:t xml:space="preserve"> comparison</w:t>
      </w:r>
      <w:r w:rsidR="00B06386" w:rsidRPr="009C62D5">
        <w:rPr>
          <w:bCs/>
          <w:i/>
        </w:rPr>
        <w:t>…</w:t>
      </w:r>
      <w:r w:rsidRPr="009C62D5">
        <w:rPr>
          <w:bCs/>
          <w:i/>
        </w:rPr>
        <w:t>[T]he notion of right and correlative duty would be undone by the non-correlative conception of the content of those rights as being based on welfare.’</w:t>
      </w:r>
      <w:r w:rsidR="009C62D5">
        <w:rPr>
          <w:rStyle w:val="FootnoteReference"/>
        </w:rPr>
        <w:footnoteReference w:id="11"/>
      </w:r>
    </w:p>
    <w:p w14:paraId="3EABF657" w14:textId="158896B1" w:rsidR="00CD244A" w:rsidRDefault="00AA6930" w:rsidP="00F97B8D">
      <w:r>
        <w:t xml:space="preserve">This armchair </w:t>
      </w:r>
      <w:r w:rsidRPr="00AA6930">
        <w:rPr>
          <w:i/>
        </w:rPr>
        <w:t>fiat</w:t>
      </w:r>
      <w:r>
        <w:rPr>
          <w:i/>
        </w:rPr>
        <w:t xml:space="preserve"> </w:t>
      </w:r>
      <w:r w:rsidR="0079516A">
        <w:t>makes strangers</w:t>
      </w:r>
      <w:r w:rsidR="00033C46">
        <w:t xml:space="preserve"> to </w:t>
      </w:r>
      <w:r w:rsidR="00571578">
        <w:t xml:space="preserve">the </w:t>
      </w:r>
      <w:r>
        <w:t>‘</w:t>
      </w:r>
      <w:r w:rsidR="00571578">
        <w:t>law of obligations</w:t>
      </w:r>
      <w:r>
        <w:t>’</w:t>
      </w:r>
      <w:r w:rsidR="0079516A">
        <w:t xml:space="preserve"> of</w:t>
      </w:r>
      <w:r w:rsidR="00571578">
        <w:t>:</w:t>
      </w:r>
      <w:r w:rsidR="00033C46">
        <w:t xml:space="preserve"> stricter </w:t>
      </w:r>
      <w:r>
        <w:t>liabilities in tort</w:t>
      </w:r>
      <w:bookmarkStart w:id="4" w:name="_Ref521573995"/>
      <w:r w:rsidR="00033C46">
        <w:rPr>
          <w:rStyle w:val="FootnoteReference"/>
        </w:rPr>
        <w:footnoteReference w:id="12"/>
      </w:r>
      <w:bookmarkEnd w:id="4"/>
      <w:r w:rsidR="00033C46">
        <w:t xml:space="preserve"> </w:t>
      </w:r>
      <w:r>
        <w:t>(including</w:t>
      </w:r>
      <w:r w:rsidR="00033C46">
        <w:t xml:space="preserve"> vicarious liability</w:t>
      </w:r>
      <w:r w:rsidR="00BC5816">
        <w:t>)</w:t>
      </w:r>
      <w:r w:rsidR="000D118F">
        <w:t>;</w:t>
      </w:r>
      <w:bookmarkStart w:id="5" w:name="_Ref522441337"/>
      <w:r w:rsidR="00EC39CE">
        <w:rPr>
          <w:rStyle w:val="FootnoteReference"/>
        </w:rPr>
        <w:footnoteReference w:id="13"/>
      </w:r>
      <w:bookmarkEnd w:id="5"/>
      <w:r w:rsidR="00033C46">
        <w:t xml:space="preserve"> </w:t>
      </w:r>
      <w:r w:rsidR="00571578">
        <w:t xml:space="preserve">and </w:t>
      </w:r>
      <w:r w:rsidR="00033C46">
        <w:t xml:space="preserve">the implication of contractual terms that would </w:t>
      </w:r>
      <w:r w:rsidR="000C592E">
        <w:t>fail the classical</w:t>
      </w:r>
      <w:r w:rsidR="00033C46">
        <w:t xml:space="preserve"> </w:t>
      </w:r>
      <w:r w:rsidR="00461A25">
        <w:t>‘</w:t>
      </w:r>
      <w:r w:rsidR="00033C46">
        <w:t xml:space="preserve">officious </w:t>
      </w:r>
      <w:r w:rsidR="00033C46">
        <w:lastRenderedPageBreak/>
        <w:t>bystander</w:t>
      </w:r>
      <w:r w:rsidR="00461A25">
        <w:t>’</w:t>
      </w:r>
      <w:r w:rsidR="00033C46">
        <w:t xml:space="preserve"> test</w:t>
      </w:r>
      <w:r w:rsidR="00E41BE6">
        <w:t xml:space="preserve"> that seeks to reconcile adding terms to a contract with the (libertarian) will-theory</w:t>
      </w:r>
      <w:r w:rsidR="00033C46">
        <w:t>.</w:t>
      </w:r>
      <w:bookmarkStart w:id="6" w:name="_Ref522004239"/>
      <w:r w:rsidR="00EC39CE">
        <w:rPr>
          <w:rStyle w:val="FootnoteReference"/>
        </w:rPr>
        <w:footnoteReference w:id="14"/>
      </w:r>
      <w:bookmarkEnd w:id="6"/>
      <w:r w:rsidR="00033C46">
        <w:t xml:space="preserve"> </w:t>
      </w:r>
      <w:r w:rsidR="00935355">
        <w:t>Furthermore,</w:t>
      </w:r>
      <w:r w:rsidR="001971ED">
        <w:t xml:space="preserve"> hi</w:t>
      </w:r>
      <w:r w:rsidR="00094017">
        <w:t xml:space="preserve">s view of </w:t>
      </w:r>
      <w:r w:rsidR="001971ED">
        <w:t xml:space="preserve">human </w:t>
      </w:r>
      <w:r w:rsidR="00094017">
        <w:t xml:space="preserve">agency is </w:t>
      </w:r>
      <w:r w:rsidR="00571578">
        <w:t xml:space="preserve">exclusively </w:t>
      </w:r>
      <w:r w:rsidR="00094017">
        <w:t>force-dynamic</w:t>
      </w:r>
      <w:bookmarkStart w:id="7" w:name="_Ref522784248"/>
      <w:r w:rsidR="00457AA9">
        <w:rPr>
          <w:rStyle w:val="FootnoteReference"/>
        </w:rPr>
        <w:footnoteReference w:id="15"/>
      </w:r>
      <w:bookmarkEnd w:id="7"/>
      <w:r w:rsidR="00094017">
        <w:t xml:space="preserve"> </w:t>
      </w:r>
      <w:r w:rsidR="00C778BD">
        <w:t xml:space="preserve">or action-based, </w:t>
      </w:r>
      <w:r w:rsidR="00094017">
        <w:t>making</w:t>
      </w:r>
      <w:r w:rsidR="007B45DE">
        <w:t xml:space="preserve"> </w:t>
      </w:r>
      <w:r w:rsidR="00094017">
        <w:t>liability for omissions difficult to justify</w:t>
      </w:r>
      <w:r w:rsidR="00BC44A5">
        <w:t xml:space="preserve"> except in contract</w:t>
      </w:r>
      <w:r w:rsidR="00094017">
        <w:t>.</w:t>
      </w:r>
      <w:bookmarkStart w:id="8" w:name="_Ref522441447"/>
      <w:r w:rsidR="00094017">
        <w:rPr>
          <w:rStyle w:val="FootnoteReference"/>
        </w:rPr>
        <w:footnoteReference w:id="16"/>
      </w:r>
      <w:bookmarkEnd w:id="8"/>
      <w:r w:rsidR="00094017">
        <w:t xml:space="preserve"> </w:t>
      </w:r>
    </w:p>
    <w:p w14:paraId="57054BC8" w14:textId="77777777" w:rsidR="00C526E7" w:rsidRPr="00D974F7" w:rsidRDefault="00C526E7" w:rsidP="00F37F4F">
      <w:pPr>
        <w:pStyle w:val="Heading3"/>
      </w:pPr>
      <w:r w:rsidRPr="00D974F7">
        <w:t>Confronting Santa Syndrome</w:t>
      </w:r>
    </w:p>
    <w:p w14:paraId="48D8AE9C" w14:textId="300B1550" w:rsidR="00F97B8D" w:rsidRPr="00F97B8D" w:rsidRDefault="00C526E7" w:rsidP="00F97B8D">
      <w:r>
        <w:t>When and how shall we alert</w:t>
      </w:r>
      <w:r w:rsidR="00094017">
        <w:t xml:space="preserve"> </w:t>
      </w:r>
      <w:r>
        <w:t>neophytes</w:t>
      </w:r>
      <w:r w:rsidR="006777DF">
        <w:t xml:space="preserve"> </w:t>
      </w:r>
      <w:r>
        <w:t xml:space="preserve">to the </w:t>
      </w:r>
      <w:r w:rsidR="00CD244A">
        <w:t>consequen</w:t>
      </w:r>
      <w:r w:rsidR="00C91F5F">
        <w:t>ti</w:t>
      </w:r>
      <w:r w:rsidR="00140D84">
        <w:t>alistic policy thinking,</w:t>
      </w:r>
      <w:r w:rsidR="006777DF">
        <w:t xml:space="preserve"> </w:t>
      </w:r>
      <w:r w:rsidR="00961F65">
        <w:t xml:space="preserve">welfarism and </w:t>
      </w:r>
      <w:r w:rsidR="006777DF">
        <w:t xml:space="preserve">distributive </w:t>
      </w:r>
      <w:r w:rsidR="00961F65">
        <w:t xml:space="preserve">justice </w:t>
      </w:r>
      <w:r>
        <w:t xml:space="preserve">that </w:t>
      </w:r>
      <w:r w:rsidR="00D30621">
        <w:t>often</w:t>
      </w:r>
      <w:r w:rsidR="00457AA9">
        <w:t xml:space="preserve"> motivate</w:t>
      </w:r>
      <w:r>
        <w:t>s</w:t>
      </w:r>
      <w:r w:rsidR="00457AA9">
        <w:t xml:space="preserve"> judicial decisions</w:t>
      </w:r>
      <w:r w:rsidR="00D30621">
        <w:t>, especially when the relevant common law is in flux?</w:t>
      </w:r>
      <w:r>
        <w:t xml:space="preserve"> </w:t>
      </w:r>
      <w:r w:rsidR="00F97B8D" w:rsidRPr="00F97B8D">
        <w:t>To ensure that their offspring do not enter the adult world believing in Santa, parents can:</w:t>
      </w:r>
    </w:p>
    <w:p w14:paraId="56BDE944" w14:textId="005AB6C6" w:rsidR="00F97B8D" w:rsidRPr="00F97B8D" w:rsidRDefault="00F97B8D" w:rsidP="002E410C">
      <w:pPr>
        <w:numPr>
          <w:ilvl w:val="0"/>
          <w:numId w:val="1"/>
        </w:numPr>
        <w:ind w:hanging="720"/>
      </w:pPr>
      <w:r w:rsidRPr="00F97B8D">
        <w:lastRenderedPageBreak/>
        <w:t>refuse to teach them Santa and tell their offspring that other children are being taught fairy tales</w:t>
      </w:r>
      <w:r w:rsidR="00457AA9">
        <w:t>—c</w:t>
      </w:r>
      <w:r w:rsidRPr="00F97B8D">
        <w:t>all this ‘begin as you mean to go on’</w:t>
      </w:r>
      <w:r w:rsidR="00457AA9">
        <w:t>;</w:t>
      </w:r>
    </w:p>
    <w:p w14:paraId="4EAABEC1" w14:textId="328468F2" w:rsidR="00D77790" w:rsidRPr="00F97B8D" w:rsidRDefault="00F97B8D" w:rsidP="002E410C">
      <w:pPr>
        <w:numPr>
          <w:ilvl w:val="0"/>
          <w:numId w:val="1"/>
        </w:numPr>
        <w:ind w:hanging="720"/>
      </w:pPr>
      <w:r w:rsidRPr="00F97B8D">
        <w:t>teach them Santa but</w:t>
      </w:r>
      <w:r w:rsidR="004F0AFE">
        <w:t>, having entrenched</w:t>
      </w:r>
      <w:r w:rsidRPr="00F97B8D">
        <w:t xml:space="preserve"> </w:t>
      </w:r>
      <w:r w:rsidR="004F0AFE">
        <w:t xml:space="preserve">Santa in their minds, </w:t>
      </w:r>
      <w:r w:rsidR="00C526E7">
        <w:t>later</w:t>
      </w:r>
      <w:r w:rsidR="004F0AFE">
        <w:t xml:space="preserve"> </w:t>
      </w:r>
      <w:r w:rsidRPr="00F97B8D">
        <w:t>break the news of Santa’s unreality</w:t>
      </w:r>
      <w:r w:rsidR="00457AA9">
        <w:t>; or</w:t>
      </w:r>
    </w:p>
    <w:p w14:paraId="3EFCF7D1" w14:textId="48A86C97" w:rsidR="00D77790" w:rsidRPr="00F97B8D" w:rsidRDefault="00F97B8D" w:rsidP="002E410C">
      <w:pPr>
        <w:numPr>
          <w:ilvl w:val="0"/>
          <w:numId w:val="1"/>
        </w:numPr>
        <w:ind w:hanging="720"/>
      </w:pPr>
      <w:r w:rsidRPr="00F97B8D">
        <w:t>assume that their offspring will learn the news sometime or somehow</w:t>
      </w:r>
      <w:r w:rsidR="00FD5ECB">
        <w:t>.</w:t>
      </w:r>
    </w:p>
    <w:p w14:paraId="09BBDA7B" w14:textId="04A252B2" w:rsidR="00F97B8D" w:rsidRPr="00F97B8D" w:rsidRDefault="00B078BF" w:rsidP="00F97B8D">
      <w:r>
        <w:t>I</w:t>
      </w:r>
      <w:r w:rsidR="00F97B8D" w:rsidRPr="00F97B8D">
        <w:t xml:space="preserve"> </w:t>
      </w:r>
      <w:r w:rsidR="002871E0">
        <w:t xml:space="preserve">shall </w:t>
      </w:r>
      <w:r w:rsidR="00F97B8D" w:rsidRPr="00F97B8D">
        <w:t>explore and commend option 1</w:t>
      </w:r>
      <w:r w:rsidR="00457AA9">
        <w:t>.</w:t>
      </w:r>
    </w:p>
    <w:p w14:paraId="06B95417" w14:textId="32309A64" w:rsidR="00F97B8D" w:rsidRPr="00F97B8D" w:rsidRDefault="00D974F7" w:rsidP="00A95605">
      <w:pPr>
        <w:pStyle w:val="Heading2"/>
      </w:pPr>
      <w:r>
        <w:t>Hypothesis 4</w:t>
      </w:r>
    </w:p>
    <w:p w14:paraId="4CD19F16" w14:textId="624B34ED" w:rsidR="003E2BEB" w:rsidRDefault="00571578" w:rsidP="003E2BEB">
      <w:r>
        <w:t xml:space="preserve">Although </w:t>
      </w:r>
      <w:r w:rsidR="009B080E">
        <w:t>untested</w:t>
      </w:r>
      <w:r>
        <w:t xml:space="preserve"> empirically,</w:t>
      </w:r>
      <w:r w:rsidR="009B080E">
        <w:t xml:space="preserve"> </w:t>
      </w:r>
      <w:r>
        <w:t>H</w:t>
      </w:r>
      <w:r w:rsidR="00580894">
        <w:t>ypothesis</w:t>
      </w:r>
      <w:r>
        <w:t xml:space="preserve"> 4</w:t>
      </w:r>
      <w:r w:rsidR="00DC6D11">
        <w:t xml:space="preserve"> </w:t>
      </w:r>
      <w:r w:rsidR="00580894">
        <w:t xml:space="preserve">is </w:t>
      </w:r>
      <w:r w:rsidR="00DC6D11">
        <w:t>a key assumpt</w:t>
      </w:r>
      <w:r w:rsidR="00DD67D7">
        <w:t>ion</w:t>
      </w:r>
      <w:r>
        <w:t>. I</w:t>
      </w:r>
      <w:r w:rsidR="00DD67D7">
        <w:t>t</w:t>
      </w:r>
      <w:r w:rsidR="00FD5ECB">
        <w:t xml:space="preserve"> can be stated briefly</w:t>
      </w:r>
      <w:r w:rsidR="003E2BEB">
        <w:t xml:space="preserve">. </w:t>
      </w:r>
    </w:p>
    <w:p w14:paraId="0EDB9AB3" w14:textId="6D1EACA1" w:rsidR="00F97B8D" w:rsidRPr="00F97B8D" w:rsidRDefault="00285C7B" w:rsidP="003E2BEB">
      <w:pPr>
        <w:ind w:left="720"/>
      </w:pPr>
      <w:r>
        <w:t>M</w:t>
      </w:r>
      <w:r w:rsidR="00F97B8D" w:rsidRPr="00F97B8D">
        <w:t xml:space="preserve">ost neophyte law students have the </w:t>
      </w:r>
      <w:r w:rsidR="00F97B8D" w:rsidRPr="00457AA9">
        <w:rPr>
          <w:i/>
        </w:rPr>
        <w:t xml:space="preserve">intellectual </w:t>
      </w:r>
      <w:r w:rsidR="00F97B8D" w:rsidRPr="00F97B8D">
        <w:t xml:space="preserve">equipment to cope with uncertainty—our problem is to overcome their </w:t>
      </w:r>
      <w:r w:rsidR="00F97B8D" w:rsidRPr="00457AA9">
        <w:rPr>
          <w:i/>
        </w:rPr>
        <w:t>emotionally entrenched</w:t>
      </w:r>
      <w:r w:rsidR="00F97B8D" w:rsidRPr="00F97B8D">
        <w:t xml:space="preserve"> pre-conditioning</w:t>
      </w:r>
      <w:r w:rsidR="00457AA9">
        <w:t>.</w:t>
      </w:r>
    </w:p>
    <w:p w14:paraId="2A553504" w14:textId="1C6D88AD" w:rsidR="00E63C5C" w:rsidRPr="00F97B8D" w:rsidRDefault="00571578" w:rsidP="00E63C5C">
      <w:pPr>
        <w:pStyle w:val="Heading2"/>
      </w:pPr>
      <w:r>
        <w:t>H</w:t>
      </w:r>
      <w:r w:rsidR="00E63C5C" w:rsidRPr="00F97B8D">
        <w:t>ypothesis 5: three useful distinctions</w:t>
      </w:r>
    </w:p>
    <w:p w14:paraId="2CDBC52D" w14:textId="20D0FFE9" w:rsidR="00571578" w:rsidRDefault="00571578" w:rsidP="00F97B8D">
      <w:r>
        <w:t xml:space="preserve">Hypothesis 5 is also untested empirically. It is factive and predictive. </w:t>
      </w:r>
    </w:p>
    <w:p w14:paraId="19CA7C2D" w14:textId="34254F45" w:rsidR="00F97B8D" w:rsidRDefault="00571578" w:rsidP="003E2BEB">
      <w:pPr>
        <w:ind w:left="720"/>
      </w:pPr>
      <w:r>
        <w:t>C</w:t>
      </w:r>
      <w:r w:rsidR="007E6490">
        <w:t>areful</w:t>
      </w:r>
      <w:r w:rsidR="00C526E7">
        <w:t xml:space="preserve"> treatment of</w:t>
      </w:r>
      <w:r w:rsidR="007E6490">
        <w:t xml:space="preserve"> the following three disti</w:t>
      </w:r>
      <w:r w:rsidR="00250FCD">
        <w:t>n</w:t>
      </w:r>
      <w:r w:rsidR="007E6490">
        <w:t>ctions</w:t>
      </w:r>
      <w:r w:rsidR="00250FCD">
        <w:t xml:space="preserve"> will</w:t>
      </w:r>
      <w:r w:rsidR="009747D1">
        <w:rPr>
          <w:rFonts w:cstheme="minorHAnsi"/>
        </w:rPr>
        <w:t xml:space="preserve"> </w:t>
      </w:r>
      <w:r w:rsidR="00AF26E1">
        <w:t>be reasonably effective in overcoming Santa Syndrome</w:t>
      </w:r>
      <w:r w:rsidR="009747D1">
        <w:t xml:space="preserve">, provided they are addressed explicitly and taught, choosing opportunities </w:t>
      </w:r>
      <w:r w:rsidR="00DE66E5">
        <w:t>wisely</w:t>
      </w:r>
      <w:r w:rsidR="009747D1">
        <w:t>, from the beginning of a course</w:t>
      </w:r>
      <w:r w:rsidR="00473837">
        <w:t>.</w:t>
      </w:r>
    </w:p>
    <w:p w14:paraId="7E1DDCCC" w14:textId="690E7706" w:rsidR="0096062E" w:rsidRDefault="0096062E" w:rsidP="002E410C">
      <w:pPr>
        <w:pStyle w:val="ListParagraph"/>
        <w:numPr>
          <w:ilvl w:val="0"/>
          <w:numId w:val="12"/>
        </w:numPr>
        <w:ind w:left="1440" w:hanging="720"/>
        <w:contextualSpacing w:val="0"/>
      </w:pPr>
      <w:r>
        <w:t>Conclusions and verdicts are not motivations, reasons or justifications.</w:t>
      </w:r>
    </w:p>
    <w:p w14:paraId="411DACFB" w14:textId="2D6CC765" w:rsidR="00ED3917" w:rsidRDefault="00ED3917" w:rsidP="002E410C">
      <w:pPr>
        <w:pStyle w:val="ListParagraph"/>
        <w:numPr>
          <w:ilvl w:val="0"/>
          <w:numId w:val="12"/>
        </w:numPr>
        <w:ind w:left="1440" w:hanging="720"/>
        <w:contextualSpacing w:val="0"/>
      </w:pPr>
      <w:r>
        <w:t>Facts and norms are different in kind.</w:t>
      </w:r>
      <w:r w:rsidR="000B2808" w:rsidRPr="000B2808">
        <w:t xml:space="preserve"> </w:t>
      </w:r>
      <w:r w:rsidR="000B2808">
        <w:t>One cannot get a normative ‘ought’ from a factive ‘is’.</w:t>
      </w:r>
    </w:p>
    <w:p w14:paraId="4C0558BD" w14:textId="77777777" w:rsidR="00ED3917" w:rsidRDefault="00ED3917" w:rsidP="002E410C">
      <w:pPr>
        <w:pStyle w:val="ListParagraph"/>
        <w:numPr>
          <w:ilvl w:val="0"/>
          <w:numId w:val="12"/>
        </w:numPr>
        <w:ind w:left="1440" w:hanging="720"/>
        <w:contextualSpacing w:val="0"/>
      </w:pPr>
      <w:r>
        <w:t>Three categories of concept</w:t>
      </w:r>
    </w:p>
    <w:p w14:paraId="498ADE0E" w14:textId="33115958" w:rsidR="00197014" w:rsidRDefault="00ED3917" w:rsidP="003E2BEB">
      <w:pPr>
        <w:ind w:left="1440"/>
      </w:pPr>
      <w:r>
        <w:t xml:space="preserve">Legal rules can be composed of concepts </w:t>
      </w:r>
      <w:r w:rsidR="00421132">
        <w:t>from</w:t>
      </w:r>
      <w:r>
        <w:t xml:space="preserve"> any of the following categories</w:t>
      </w:r>
      <w:r w:rsidR="00B54C11">
        <w:t xml:space="preserve">: </w:t>
      </w:r>
      <w:r w:rsidR="00962643">
        <w:t xml:space="preserve">(a) </w:t>
      </w:r>
      <w:r w:rsidR="00B54C11">
        <w:t>incontestabl</w:t>
      </w:r>
      <w:r w:rsidR="00962643">
        <w:t xml:space="preserve">e (quasi-mathematical, tautologically </w:t>
      </w:r>
      <w:r w:rsidR="00921A24">
        <w:t>true); (b) contestable-but-not-contested; and (c) contestable-and-</w:t>
      </w:r>
      <w:r w:rsidR="00962643">
        <w:t xml:space="preserve">contested. </w:t>
      </w:r>
    </w:p>
    <w:p w14:paraId="1D290B52" w14:textId="32743066" w:rsidR="00197014" w:rsidRDefault="00962643" w:rsidP="003E2BEB">
      <w:pPr>
        <w:ind w:left="1440"/>
      </w:pPr>
      <w:r>
        <w:t xml:space="preserve">The distinction of (a) from (b) and (c) </w:t>
      </w:r>
      <w:r w:rsidR="00DE66E5">
        <w:t xml:space="preserve">is stable and </w:t>
      </w:r>
      <w:r>
        <w:t xml:space="preserve">lies in the different nature of the concepts. </w:t>
      </w:r>
      <w:r w:rsidR="00DE66E5">
        <w:t>But t</w:t>
      </w:r>
      <w:r>
        <w:t xml:space="preserve">hat between (b) and (c) </w:t>
      </w:r>
      <w:r w:rsidR="00DE66E5">
        <w:t>can fluctuate, being</w:t>
      </w:r>
      <w:r>
        <w:t xml:space="preserve"> consensus-contingent and context-contingent</w:t>
      </w:r>
      <w:r w:rsidR="00565CD9">
        <w:t>.</w:t>
      </w:r>
      <w:r w:rsidR="001F0B0D">
        <w:t xml:space="preserve"> </w:t>
      </w:r>
      <w:r w:rsidR="008F02CF">
        <w:t xml:space="preserve">Responding to shifts in the dominant </w:t>
      </w:r>
      <w:r w:rsidR="00F664B1">
        <w:t xml:space="preserve">social </w:t>
      </w:r>
      <w:r>
        <w:t>consensus</w:t>
      </w:r>
      <w:r w:rsidR="00DE66E5">
        <w:t xml:space="preserve"> i</w:t>
      </w:r>
      <w:r w:rsidR="00921A24">
        <w:t xml:space="preserve">nherently contestable concepts </w:t>
      </w:r>
      <w:r w:rsidR="007370DD">
        <w:t xml:space="preserve">can </w:t>
      </w:r>
      <w:r w:rsidR="00921A24">
        <w:t>shif</w:t>
      </w:r>
      <w:r w:rsidR="00267296">
        <w:t>t—</w:t>
      </w:r>
      <w:r w:rsidR="00921A24">
        <w:t>for ‘policy’ reasons</w:t>
      </w:r>
      <w:r w:rsidR="00267296">
        <w:t>—between</w:t>
      </w:r>
      <w:r w:rsidR="00921A24">
        <w:t xml:space="preserve"> </w:t>
      </w:r>
      <w:r w:rsidR="00DE66E5">
        <w:t xml:space="preserve">(b) </w:t>
      </w:r>
      <w:r w:rsidR="00921A24">
        <w:t xml:space="preserve">uncontested and </w:t>
      </w:r>
      <w:r w:rsidR="00DE66E5">
        <w:t xml:space="preserve">(c) </w:t>
      </w:r>
      <w:r w:rsidR="00921A24">
        <w:t>contested</w:t>
      </w:r>
      <w:r w:rsidR="008F5878">
        <w:t xml:space="preserve">. </w:t>
      </w:r>
      <w:r w:rsidR="00921A24">
        <w:t xml:space="preserve">There are also interestingly </w:t>
      </w:r>
      <w:r w:rsidR="00197014">
        <w:t>different mode</w:t>
      </w:r>
      <w:r w:rsidR="00DE66E5">
        <w:t>s</w:t>
      </w:r>
      <w:r w:rsidR="00197014">
        <w:t xml:space="preserve"> of contestation</w:t>
      </w:r>
      <w:r w:rsidR="00E819B5">
        <w:t>, some of which are explored below.</w:t>
      </w:r>
    </w:p>
    <w:p w14:paraId="0C8D6BDD" w14:textId="0499AD4D" w:rsidR="00962643" w:rsidRPr="00CD3088" w:rsidRDefault="00A444DC" w:rsidP="00962643">
      <w:r>
        <w:t>The</w:t>
      </w:r>
      <w:r w:rsidR="00DE66E5">
        <w:t>se</w:t>
      </w:r>
      <w:r w:rsidR="00962643" w:rsidRPr="00F97B8D">
        <w:t xml:space="preserve"> three distinctions</w:t>
      </w:r>
      <w:r w:rsidR="008E2BA8">
        <w:t xml:space="preserve"> are examined</w:t>
      </w:r>
      <w:r w:rsidR="00962643" w:rsidRPr="00F97B8D">
        <w:t xml:space="preserve"> in turn</w:t>
      </w:r>
      <w:r w:rsidR="00962643">
        <w:t xml:space="preserve">, exploring </w:t>
      </w:r>
      <w:r w:rsidR="00267296">
        <w:t xml:space="preserve">their utility in illuminating caselaw and developing </w:t>
      </w:r>
      <w:r w:rsidR="00ED3917">
        <w:t>comprehension</w:t>
      </w:r>
      <w:r w:rsidR="00962643">
        <w:t xml:space="preserve"> and analytical skills. I hope thereby to demonstrate something of the</w:t>
      </w:r>
      <w:r w:rsidR="00962643" w:rsidRPr="00CD3088">
        <w:t xml:space="preserve"> explanatory power</w:t>
      </w:r>
      <w:r w:rsidR="00962643">
        <w:t xml:space="preserve"> of this style of analysis and its potential </w:t>
      </w:r>
      <w:r w:rsidR="00267296">
        <w:t>to</w:t>
      </w:r>
      <w:r w:rsidR="00962643">
        <w:t xml:space="preserve"> encourag</w:t>
      </w:r>
      <w:r w:rsidR="00267296">
        <w:t>e</w:t>
      </w:r>
      <w:r w:rsidR="00962643">
        <w:t xml:space="preserve"> neophyte</w:t>
      </w:r>
      <w:r w:rsidR="00267296">
        <w:t>s</w:t>
      </w:r>
      <w:r w:rsidR="00962643">
        <w:t xml:space="preserve"> to look beyond memorising doctrine to ask,</w:t>
      </w:r>
      <w:r w:rsidR="00962643" w:rsidRPr="00CD3088">
        <w:t xml:space="preserve"> </w:t>
      </w:r>
      <w:r w:rsidR="00962643">
        <w:t>‘</w:t>
      </w:r>
      <w:r w:rsidR="00962643" w:rsidRPr="00CD3088">
        <w:t xml:space="preserve">What’s going on </w:t>
      </w:r>
      <w:r w:rsidR="00962643">
        <w:t>i</w:t>
      </w:r>
      <w:r w:rsidR="00962643" w:rsidRPr="00CD3088">
        <w:t>n this case?</w:t>
      </w:r>
      <w:r w:rsidR="00962643">
        <w:t>’</w:t>
      </w:r>
    </w:p>
    <w:p w14:paraId="33D12ABA" w14:textId="6542F409" w:rsidR="00921A24" w:rsidRPr="00F97B8D" w:rsidRDefault="00921A24" w:rsidP="00921A24">
      <w:r>
        <w:lastRenderedPageBreak/>
        <w:t xml:space="preserve">The third distinction (or cluster of distinctions), being richer and </w:t>
      </w:r>
      <w:r w:rsidR="009747D1">
        <w:t>un</w:t>
      </w:r>
      <w:r>
        <w:t>tid</w:t>
      </w:r>
      <w:r w:rsidR="009747D1">
        <w:t>ier</w:t>
      </w:r>
      <w:r>
        <w:t xml:space="preserve"> than the </w:t>
      </w:r>
      <w:r w:rsidR="002871E0">
        <w:t>others</w:t>
      </w:r>
      <w:r>
        <w:t xml:space="preserve">, </w:t>
      </w:r>
      <w:r w:rsidR="009747D1">
        <w:t>uses the most</w:t>
      </w:r>
      <w:r>
        <w:t xml:space="preserve"> space. </w:t>
      </w:r>
      <w:r w:rsidR="009747D1">
        <w:t xml:space="preserve">In the shadows, we </w:t>
      </w:r>
      <w:r w:rsidR="00267296">
        <w:t>sha</w:t>
      </w:r>
      <w:r w:rsidR="00DE66E5">
        <w:t>ll</w:t>
      </w:r>
      <w:r w:rsidR="009747D1">
        <w:t xml:space="preserve"> notice </w:t>
      </w:r>
      <w:r>
        <w:t xml:space="preserve">another pedagogic </w:t>
      </w:r>
      <w:r w:rsidR="001A167D">
        <w:t>question</w:t>
      </w:r>
      <w:r>
        <w:t xml:space="preserve"> lurk</w:t>
      </w:r>
      <w:r w:rsidR="009747D1">
        <w:t>ing</w:t>
      </w:r>
      <w:r>
        <w:t xml:space="preserve">: do textbooks—by distilling doctrine—discourage the exploration of </w:t>
      </w:r>
      <w:r w:rsidR="00D7113B">
        <w:t>the</w:t>
      </w:r>
      <w:r>
        <w:t xml:space="preserve"> three distinctions?</w:t>
      </w:r>
    </w:p>
    <w:p w14:paraId="7929859B" w14:textId="3DF2F56C" w:rsidR="00004C38" w:rsidRPr="00761F1B" w:rsidRDefault="005E5428" w:rsidP="00197014">
      <w:pPr>
        <w:pStyle w:val="Heading1"/>
      </w:pPr>
      <w:r>
        <w:t>I.</w:t>
      </w:r>
      <w:r>
        <w:tab/>
      </w:r>
      <w:r w:rsidR="00F97B8D" w:rsidRPr="00761F1B">
        <w:t xml:space="preserve">Verdicts </w:t>
      </w:r>
      <w:r w:rsidR="0079516A">
        <w:t>are not motivations, r</w:t>
      </w:r>
      <w:r w:rsidR="00F97B8D" w:rsidRPr="00761F1B">
        <w:t xml:space="preserve">easons </w:t>
      </w:r>
      <w:r w:rsidR="0079516A">
        <w:t>or j</w:t>
      </w:r>
      <w:r w:rsidR="00F97B8D" w:rsidRPr="00761F1B">
        <w:t>ustifications</w:t>
      </w:r>
      <w:r w:rsidR="006860F6" w:rsidRPr="00761F1B">
        <w:t xml:space="preserve">. </w:t>
      </w:r>
    </w:p>
    <w:p w14:paraId="2D16B54B" w14:textId="0EE0DE2A" w:rsidR="007F2422" w:rsidRPr="004B64C7" w:rsidRDefault="0079516A" w:rsidP="00004C38">
      <w:r>
        <w:t>A</w:t>
      </w:r>
      <w:r w:rsidR="00EF3173">
        <w:t>dopting</w:t>
      </w:r>
      <w:r w:rsidR="00BB44E5">
        <w:t xml:space="preserve"> JL Austin</w:t>
      </w:r>
      <w:r w:rsidR="00591C53">
        <w:t>’s concept of ver</w:t>
      </w:r>
      <w:r w:rsidR="00EF3173">
        <w:t>d</w:t>
      </w:r>
      <w:r w:rsidR="00591C53">
        <w:t>i</w:t>
      </w:r>
      <w:r w:rsidR="00EF3173">
        <w:t>c</w:t>
      </w:r>
      <w:r w:rsidR="00591C53">
        <w:t>tiveness</w:t>
      </w:r>
      <w:r>
        <w:t>,</w:t>
      </w:r>
      <w:r w:rsidR="00B7587C">
        <w:rPr>
          <w:rStyle w:val="FootnoteReference"/>
        </w:rPr>
        <w:footnoteReference w:id="17"/>
      </w:r>
      <w:r w:rsidR="006860F6">
        <w:t xml:space="preserve"> </w:t>
      </w:r>
      <w:r w:rsidR="00302A6E">
        <w:t>a ‘</w:t>
      </w:r>
      <w:r w:rsidR="00F97B8D" w:rsidRPr="00F97B8D">
        <w:t>verdict</w:t>
      </w:r>
      <w:r w:rsidR="00302A6E">
        <w:t>’</w:t>
      </w:r>
      <w:r w:rsidR="006234FD">
        <w:t xml:space="preserve"> (</w:t>
      </w:r>
      <w:r w:rsidR="006234FD" w:rsidRPr="006234FD">
        <w:rPr>
          <w:i/>
        </w:rPr>
        <w:t>simpliciter</w:t>
      </w:r>
      <w:r w:rsidR="006234FD">
        <w:t>)</w:t>
      </w:r>
      <w:r w:rsidR="00F97B8D" w:rsidRPr="00F97B8D">
        <w:t xml:space="preserve"> just </w:t>
      </w:r>
      <w:r w:rsidR="00F97B8D" w:rsidRPr="00BE6CEA">
        <w:rPr>
          <w:i/>
          <w:iCs/>
        </w:rPr>
        <w:t>is</w:t>
      </w:r>
      <w:r w:rsidR="002A573B">
        <w:t>.</w:t>
      </w:r>
      <w:r w:rsidR="00F508A4">
        <w:t xml:space="preserve"> </w:t>
      </w:r>
      <w:r w:rsidR="009C62D5">
        <w:t>For example, ‘I shall sell my diesel car’</w:t>
      </w:r>
      <w:r w:rsidR="00F508A4">
        <w:t xml:space="preserve"> </w:t>
      </w:r>
      <w:r w:rsidR="00850E56">
        <w:t>speaks</w:t>
      </w:r>
      <w:r w:rsidR="00F508A4">
        <w:t xml:space="preserve"> nothing </w:t>
      </w:r>
      <w:r w:rsidR="008027D8">
        <w:t xml:space="preserve">of why </w:t>
      </w:r>
      <w:r w:rsidR="00033C46">
        <w:t>that verdict</w:t>
      </w:r>
      <w:r w:rsidR="008027D8">
        <w:t xml:space="preserve"> was arrived at</w:t>
      </w:r>
      <w:r w:rsidR="006234FD">
        <w:t xml:space="preserve"> </w:t>
      </w:r>
      <w:r w:rsidR="00CF1838">
        <w:t>or of how it might be justif</w:t>
      </w:r>
      <w:r w:rsidR="00591C53">
        <w:t>ied.</w:t>
      </w:r>
      <w:r w:rsidR="002A573B">
        <w:t xml:space="preserve"> </w:t>
      </w:r>
      <w:r w:rsidR="00267296">
        <w:t>Unlike the verdicts they prompt,</w:t>
      </w:r>
      <w:r w:rsidR="00D85A9D">
        <w:t xml:space="preserve"> ‘</w:t>
      </w:r>
      <w:r w:rsidR="00267296">
        <w:t>motives</w:t>
      </w:r>
      <w:r w:rsidR="00D85A9D">
        <w:t>’</w:t>
      </w:r>
      <w:r w:rsidR="004B64C7">
        <w:t xml:space="preserve"> </w:t>
      </w:r>
      <w:r w:rsidR="00F97B8D" w:rsidRPr="00F97B8D">
        <w:t xml:space="preserve">are </w:t>
      </w:r>
      <w:r w:rsidR="001B11D4" w:rsidRPr="001B11D4">
        <w:rPr>
          <w:i/>
        </w:rPr>
        <w:t xml:space="preserve">explanatory </w:t>
      </w:r>
      <w:r w:rsidR="00F97B8D" w:rsidRPr="00BE6CEA">
        <w:rPr>
          <w:i/>
          <w:iCs/>
        </w:rPr>
        <w:t>causal stories</w:t>
      </w:r>
      <w:r w:rsidR="00800A0F">
        <w:rPr>
          <w:i/>
          <w:iCs/>
        </w:rPr>
        <w:t xml:space="preserve"> </w:t>
      </w:r>
      <w:r w:rsidR="00BA32BF">
        <w:rPr>
          <w:iCs/>
        </w:rPr>
        <w:t>of the effects of instinct</w:t>
      </w:r>
      <w:r w:rsidR="001B11D4">
        <w:rPr>
          <w:iCs/>
        </w:rPr>
        <w:t xml:space="preserve"> (D </w:t>
      </w:r>
      <w:r w:rsidR="001B11D4" w:rsidRPr="00315BDF">
        <w:rPr>
          <w:i/>
          <w:iCs/>
        </w:rPr>
        <w:t>acted</w:t>
      </w:r>
      <w:r w:rsidR="001B11D4">
        <w:rPr>
          <w:iCs/>
        </w:rPr>
        <w:t xml:space="preserve"> in self-defence)</w:t>
      </w:r>
      <w:r w:rsidR="00BA32BF">
        <w:rPr>
          <w:iCs/>
        </w:rPr>
        <w:t xml:space="preserve">, </w:t>
      </w:r>
      <w:r w:rsidR="00700ACC">
        <w:rPr>
          <w:iCs/>
        </w:rPr>
        <w:t>social conditioning</w:t>
      </w:r>
      <w:r w:rsidR="00661970">
        <w:rPr>
          <w:iCs/>
        </w:rPr>
        <w:t xml:space="preserve">, </w:t>
      </w:r>
      <w:r w:rsidR="001B11D4">
        <w:rPr>
          <w:iCs/>
        </w:rPr>
        <w:t xml:space="preserve">the state of the judicial </w:t>
      </w:r>
      <w:r w:rsidR="00661970">
        <w:rPr>
          <w:iCs/>
        </w:rPr>
        <w:t>digestion</w:t>
      </w:r>
      <w:r w:rsidR="001B11D4">
        <w:rPr>
          <w:iCs/>
        </w:rPr>
        <w:t>,</w:t>
      </w:r>
      <w:r w:rsidR="00661970">
        <w:rPr>
          <w:iCs/>
        </w:rPr>
        <w:t xml:space="preserve"> or more noble loyalty to </w:t>
      </w:r>
      <w:r w:rsidR="00353F93">
        <w:rPr>
          <w:iCs/>
        </w:rPr>
        <w:t>the rule of law or</w:t>
      </w:r>
      <w:r w:rsidR="003716F2">
        <w:rPr>
          <w:iCs/>
        </w:rPr>
        <w:t xml:space="preserve"> to</w:t>
      </w:r>
      <w:r w:rsidR="00353F93">
        <w:rPr>
          <w:iCs/>
        </w:rPr>
        <w:t xml:space="preserve"> particular conceptions of justice</w:t>
      </w:r>
      <w:r w:rsidR="004B64C7">
        <w:t xml:space="preserve">. </w:t>
      </w:r>
      <w:r>
        <w:t>And</w:t>
      </w:r>
      <w:r w:rsidR="00D85A9D">
        <w:t xml:space="preserve"> </w:t>
      </w:r>
      <w:r w:rsidR="004B64C7" w:rsidRPr="004B64C7">
        <w:rPr>
          <w:i/>
        </w:rPr>
        <w:t>justificatory</w:t>
      </w:r>
      <w:r w:rsidR="004B64C7">
        <w:t xml:space="preserve"> </w:t>
      </w:r>
      <w:r w:rsidR="001B11D4" w:rsidRPr="004B64C7">
        <w:rPr>
          <w:i/>
        </w:rPr>
        <w:t>reasons</w:t>
      </w:r>
      <w:r w:rsidR="001B11D4">
        <w:t xml:space="preserve"> </w:t>
      </w:r>
      <w:r w:rsidR="00F97B8D" w:rsidRPr="00F97B8D">
        <w:t xml:space="preserve">are </w:t>
      </w:r>
      <w:r w:rsidR="004B64C7" w:rsidRPr="004B64C7">
        <w:rPr>
          <w:i/>
        </w:rPr>
        <w:t>normative</w:t>
      </w:r>
      <w:r w:rsidR="00F97B8D" w:rsidRPr="00F97B8D">
        <w:t xml:space="preserve"> </w:t>
      </w:r>
      <w:r w:rsidR="00267296" w:rsidRPr="00267296">
        <w:rPr>
          <w:iCs/>
        </w:rPr>
        <w:t>claims</w:t>
      </w:r>
      <w:r w:rsidR="00267296">
        <w:rPr>
          <w:iCs/>
        </w:rPr>
        <w:t xml:space="preserve"> </w:t>
      </w:r>
      <w:r w:rsidR="00267296">
        <w:t xml:space="preserve">(D is </w:t>
      </w:r>
      <w:r w:rsidR="00267296" w:rsidRPr="00315BDF">
        <w:rPr>
          <w:i/>
        </w:rPr>
        <w:t>entitled</w:t>
      </w:r>
      <w:r w:rsidR="00267296">
        <w:t xml:space="preserve"> to act in self-defence)</w:t>
      </w:r>
      <w:r w:rsidR="004B64C7">
        <w:rPr>
          <w:i/>
          <w:iCs/>
        </w:rPr>
        <w:t>.</w:t>
      </w:r>
    </w:p>
    <w:p w14:paraId="0AAAA33B" w14:textId="7037B31A" w:rsidR="00197014" w:rsidRPr="00F97B8D" w:rsidRDefault="001B11D4" w:rsidP="00197014">
      <w:r>
        <w:t>In January 2018, I</w:t>
      </w:r>
      <w:r w:rsidR="00197014">
        <w:t xml:space="preserve"> sold </w:t>
      </w:r>
      <w:r w:rsidR="00850E56">
        <w:t>my</w:t>
      </w:r>
      <w:r w:rsidR="00197014">
        <w:t xml:space="preserve"> </w:t>
      </w:r>
      <w:r w:rsidR="00197014" w:rsidRPr="00F97B8D">
        <w:t xml:space="preserve">BMW 3 series diesel </w:t>
      </w:r>
      <w:r>
        <w:t xml:space="preserve">car </w:t>
      </w:r>
      <w:r w:rsidR="00197014" w:rsidRPr="00F97B8D">
        <w:t xml:space="preserve">and </w:t>
      </w:r>
      <w:r w:rsidR="00197014">
        <w:t xml:space="preserve">bought a </w:t>
      </w:r>
      <w:r w:rsidR="00197014" w:rsidRPr="00F97B8D">
        <w:t>JCW Mini Cooper S</w:t>
      </w:r>
      <w:r w:rsidR="00197014">
        <w:t xml:space="preserve">. </w:t>
      </w:r>
      <w:r w:rsidR="00850E56">
        <w:t>I reached</w:t>
      </w:r>
      <w:r w:rsidR="00197014">
        <w:t xml:space="preserve"> two ‘verdicts’: Verdict 1, </w:t>
      </w:r>
      <w:r w:rsidR="00197014" w:rsidRPr="00F97B8D">
        <w:t>‘sell diesel car’</w:t>
      </w:r>
      <w:r w:rsidR="00197014">
        <w:t xml:space="preserve">; Verdict 2 ‘buy the hot, petrol-engined Mini’. </w:t>
      </w:r>
      <w:r w:rsidR="002871E0">
        <w:t>N</w:t>
      </w:r>
      <w:r w:rsidR="00197014">
        <w:t xml:space="preserve">either </w:t>
      </w:r>
      <w:r w:rsidR="00850E56">
        <w:t>is</w:t>
      </w:r>
      <w:r w:rsidR="002871E0">
        <w:t xml:space="preserve">, </w:t>
      </w:r>
      <w:r w:rsidR="002871E0" w:rsidRPr="002871E0">
        <w:rPr>
          <w:i/>
        </w:rPr>
        <w:t>ex facie</w:t>
      </w:r>
      <w:r w:rsidR="002871E0">
        <w:t>,</w:t>
      </w:r>
      <w:r w:rsidR="00197014">
        <w:t xml:space="preserve"> </w:t>
      </w:r>
      <w:r w:rsidR="00267296">
        <w:t xml:space="preserve">a </w:t>
      </w:r>
      <w:r w:rsidR="00850E56">
        <w:t>causal</w:t>
      </w:r>
      <w:r w:rsidR="00197014">
        <w:t xml:space="preserve"> explanation or a normative justification. What</w:t>
      </w:r>
      <w:r w:rsidR="00C16682">
        <w:t xml:space="preserve"> </w:t>
      </w:r>
      <w:r w:rsidR="002871E0">
        <w:t>were</w:t>
      </w:r>
      <w:r w:rsidR="00197014">
        <w:t xml:space="preserve"> my motives—the psychological causes of </w:t>
      </w:r>
      <w:r w:rsidR="00C16682">
        <w:t>my</w:t>
      </w:r>
      <w:r w:rsidR="00197014">
        <w:t xml:space="preserve"> verdict</w:t>
      </w:r>
      <w:r w:rsidR="00801008">
        <w:t>s</w:t>
      </w:r>
      <w:r w:rsidR="00197014">
        <w:t>?</w:t>
      </w:r>
    </w:p>
    <w:p w14:paraId="4F44C940" w14:textId="13118836" w:rsidR="00197014" w:rsidRPr="00F97B8D" w:rsidRDefault="00197014" w:rsidP="002E410C">
      <w:pPr>
        <w:numPr>
          <w:ilvl w:val="0"/>
          <w:numId w:val="9"/>
        </w:numPr>
        <w:ind w:hanging="720"/>
      </w:pPr>
      <w:r w:rsidRPr="00F97B8D">
        <w:t xml:space="preserve">Ecological considerations? </w:t>
      </w:r>
      <w:r w:rsidR="001B11D4">
        <w:t>Perhaps</w:t>
      </w:r>
      <w:r w:rsidR="00161D66">
        <w:t>.</w:t>
      </w:r>
      <w:r w:rsidR="00801008" w:rsidRPr="00801008">
        <w:t xml:space="preserve"> </w:t>
      </w:r>
      <w:r w:rsidR="00801008">
        <w:t xml:space="preserve">But I realised that </w:t>
      </w:r>
      <w:r w:rsidR="00801008" w:rsidRPr="00F97B8D">
        <w:t xml:space="preserve">someone will buy the </w:t>
      </w:r>
      <w:r w:rsidR="00C16682">
        <w:t>diesel</w:t>
      </w:r>
      <w:r w:rsidR="00801008" w:rsidRPr="00F97B8D">
        <w:t xml:space="preserve"> and</w:t>
      </w:r>
      <w:r w:rsidR="00226D4B">
        <w:t xml:space="preserve"> would</w:t>
      </w:r>
      <w:r w:rsidR="00801008">
        <w:t>, very probably,</w:t>
      </w:r>
      <w:r w:rsidR="00801008" w:rsidRPr="00F97B8D">
        <w:t xml:space="preserve"> do more miles </w:t>
      </w:r>
      <w:r w:rsidR="00801008">
        <w:t>each year in it than I would have</w:t>
      </w:r>
      <w:r w:rsidR="00801008" w:rsidRPr="00F97B8D">
        <w:t xml:space="preserve">. Ecologically, I </w:t>
      </w:r>
      <w:r w:rsidR="00663495">
        <w:t>ought to</w:t>
      </w:r>
      <w:r w:rsidR="00801008" w:rsidRPr="00F97B8D">
        <w:t xml:space="preserve"> have scrapped the car.</w:t>
      </w:r>
      <w:r w:rsidR="00801008">
        <w:t xml:space="preserve"> Furthermore, </w:t>
      </w:r>
      <w:r w:rsidR="00663495">
        <w:t>if</w:t>
      </w:r>
      <w:r w:rsidR="00801008">
        <w:t xml:space="preserve"> I was really concerned about the environment I would have bought an electric car or a hybrid.</w:t>
      </w:r>
    </w:p>
    <w:p w14:paraId="1C44C106" w14:textId="0433D6F6" w:rsidR="00197014" w:rsidRPr="00F97B8D" w:rsidRDefault="00197014" w:rsidP="002E410C">
      <w:pPr>
        <w:numPr>
          <w:ilvl w:val="0"/>
          <w:numId w:val="9"/>
        </w:numPr>
        <w:ind w:hanging="720"/>
      </w:pPr>
      <w:r w:rsidRPr="00F97B8D">
        <w:t>De</w:t>
      </w:r>
      <w:r>
        <w:t>sire for something sportier</w:t>
      </w:r>
      <w:r w:rsidRPr="00F97B8D">
        <w:t>? Definitely a factor</w:t>
      </w:r>
      <w:r>
        <w:t>.</w:t>
      </w:r>
      <w:r w:rsidRPr="00B95025">
        <w:t xml:space="preserve"> </w:t>
      </w:r>
      <w:r w:rsidR="00C16682">
        <w:t>I’m</w:t>
      </w:r>
      <w:r w:rsidRPr="00F97B8D">
        <w:t xml:space="preserve"> from a family of </w:t>
      </w:r>
      <w:r w:rsidR="001B11D4">
        <w:t>petrolheads.</w:t>
      </w:r>
    </w:p>
    <w:p w14:paraId="6AEE328A" w14:textId="26B073E6" w:rsidR="00197014" w:rsidRPr="00F97B8D" w:rsidRDefault="00663495" w:rsidP="00197014">
      <w:r>
        <w:t xml:space="preserve">Whilst </w:t>
      </w:r>
      <w:r w:rsidR="00C16682">
        <w:t>(a) is the more</w:t>
      </w:r>
      <w:r w:rsidR="00801008">
        <w:t xml:space="preserve"> suitable to be claimed as</w:t>
      </w:r>
      <w:r>
        <w:t xml:space="preserve"> a respectable normative</w:t>
      </w:r>
      <w:r w:rsidR="00801008">
        <w:t xml:space="preserve"> justification,</w:t>
      </w:r>
      <w:r>
        <w:t xml:space="preserve"> it is unavailable because </w:t>
      </w:r>
      <w:r w:rsidR="00C16682">
        <w:t>I cannot establish my reliance on it</w:t>
      </w:r>
      <w:r w:rsidR="00801008">
        <w:t xml:space="preserve">. I </w:t>
      </w:r>
      <w:r w:rsidR="00C16682">
        <w:t>have to fall back on (b) and</w:t>
      </w:r>
      <w:r w:rsidR="00801008">
        <w:t xml:space="preserve"> claim that I’m </w:t>
      </w:r>
      <w:r w:rsidR="00801008" w:rsidRPr="00C16682">
        <w:rPr>
          <w:i/>
        </w:rPr>
        <w:t>entitled</w:t>
      </w:r>
      <w:r w:rsidR="00801008">
        <w:t xml:space="preserve"> to some fun.</w:t>
      </w:r>
    </w:p>
    <w:p w14:paraId="4F15D723" w14:textId="35B3E477" w:rsidR="00197014" w:rsidRDefault="00C16682" w:rsidP="00197014">
      <w:r>
        <w:t>Judges decide disputes.</w:t>
      </w:r>
      <w:r w:rsidR="00197014" w:rsidRPr="00F97B8D">
        <w:t xml:space="preserve"> </w:t>
      </w:r>
      <w:r>
        <w:t>‘Issuing</w:t>
      </w:r>
      <w:r w:rsidR="00197014">
        <w:t xml:space="preserve"> v</w:t>
      </w:r>
      <w:r w:rsidR="00197014" w:rsidRPr="00F97B8D">
        <w:t xml:space="preserve">erdicts’ is what </w:t>
      </w:r>
      <w:r>
        <w:t>they do</w:t>
      </w:r>
      <w:r w:rsidR="00663495">
        <w:t>. F</w:t>
      </w:r>
      <w:r w:rsidR="00197014">
        <w:t>or example, Verdict (i) ‘</w:t>
      </w:r>
      <w:r w:rsidR="00197014" w:rsidRPr="00F97B8D">
        <w:t>D is not liable to C in negligence</w:t>
      </w:r>
      <w:r w:rsidR="00197014">
        <w:t>.</w:t>
      </w:r>
      <w:r w:rsidR="00197014" w:rsidRPr="00F97B8D">
        <w:t>’</w:t>
      </w:r>
      <w:r w:rsidR="00197014">
        <w:t xml:space="preserve"> </w:t>
      </w:r>
      <w:r w:rsidR="00663495">
        <w:t>That</w:t>
      </w:r>
      <w:r w:rsidR="00197014">
        <w:t xml:space="preserve"> is o</w:t>
      </w:r>
      <w:r w:rsidR="00197014" w:rsidRPr="00F97B8D">
        <w:t xml:space="preserve">bviously </w:t>
      </w:r>
      <w:r w:rsidR="00663495">
        <w:t xml:space="preserve">formally </w:t>
      </w:r>
      <w:r w:rsidR="00197014" w:rsidRPr="00F97B8D">
        <w:t>verdictive</w:t>
      </w:r>
      <w:r w:rsidR="00663495">
        <w:t>,</w:t>
      </w:r>
      <w:r w:rsidR="00197014">
        <w:t xml:space="preserve"> </w:t>
      </w:r>
      <w:r w:rsidR="00DC2F1E">
        <w:t>but</w:t>
      </w:r>
      <w:r w:rsidR="00197014">
        <w:t xml:space="preserve"> </w:t>
      </w:r>
      <w:r w:rsidR="00663495">
        <w:t xml:space="preserve">it </w:t>
      </w:r>
      <w:r w:rsidR="00197014">
        <w:t>lacks any patent</w:t>
      </w:r>
      <w:r w:rsidR="00197014" w:rsidRPr="00F97B8D">
        <w:t xml:space="preserve"> explanation or </w:t>
      </w:r>
      <w:r w:rsidR="00663495">
        <w:t xml:space="preserve">normative </w:t>
      </w:r>
      <w:r w:rsidR="00197014" w:rsidRPr="00F97B8D">
        <w:t>justification</w:t>
      </w:r>
      <w:r w:rsidR="00197014">
        <w:t xml:space="preserve">. Verdict (i) will probably be </w:t>
      </w:r>
      <w:r w:rsidR="00F91BB1">
        <w:t xml:space="preserve">‘justified’ </w:t>
      </w:r>
      <w:r w:rsidR="00197014">
        <w:t xml:space="preserve">by invoking </w:t>
      </w:r>
      <w:r w:rsidR="00F91BB1">
        <w:t>another verdict</w:t>
      </w:r>
      <w:r w:rsidR="00197014">
        <w:t>, such as</w:t>
      </w:r>
      <w:r w:rsidR="00197014" w:rsidRPr="00F97B8D">
        <w:t xml:space="preserve"> </w:t>
      </w:r>
      <w:r w:rsidR="00197014">
        <w:t xml:space="preserve">Verdict (ii) </w:t>
      </w:r>
      <w:r w:rsidR="00197014" w:rsidRPr="00F97B8D">
        <w:t>‘there is no duty of care’</w:t>
      </w:r>
      <w:r w:rsidR="00197014">
        <w:t xml:space="preserve">. </w:t>
      </w:r>
      <w:r w:rsidR="000D33F2">
        <w:t>Although V</w:t>
      </w:r>
      <w:r w:rsidR="00D532DA">
        <w:t xml:space="preserve">erdict </w:t>
      </w:r>
      <w:r w:rsidR="00197014">
        <w:t>(ii) looks like and is—in formal terms—</w:t>
      </w:r>
      <w:r w:rsidR="00197014" w:rsidRPr="00F97B8D">
        <w:t>a justification</w:t>
      </w:r>
      <w:r w:rsidR="00F91BB1">
        <w:t xml:space="preserve"> of Verdict (i)</w:t>
      </w:r>
      <w:r w:rsidR="00D532DA">
        <w:t>, i</w:t>
      </w:r>
      <w:r w:rsidR="00197014">
        <w:t xml:space="preserve">t too lacks any patent </w:t>
      </w:r>
      <w:r w:rsidR="00663495">
        <w:t>norma</w:t>
      </w:r>
      <w:r w:rsidR="000D33F2">
        <w:t xml:space="preserve">tive </w:t>
      </w:r>
      <w:r w:rsidR="00197014">
        <w:t>explanation or justification</w:t>
      </w:r>
      <w:r w:rsidR="000D33F2">
        <w:t xml:space="preserve">. </w:t>
      </w:r>
      <w:r w:rsidR="00F91BB1">
        <w:t xml:space="preserve">If </w:t>
      </w:r>
      <w:r w:rsidR="00663495">
        <w:t>asked</w:t>
      </w:r>
      <w:r w:rsidR="00197014" w:rsidRPr="00F97B8D">
        <w:t xml:space="preserve"> </w:t>
      </w:r>
      <w:r>
        <w:t>to justify</w:t>
      </w:r>
      <w:r w:rsidR="00663495">
        <w:t xml:space="preserve"> Verdict (ii)</w:t>
      </w:r>
      <w:r w:rsidR="00F91BB1">
        <w:t>,</w:t>
      </w:r>
      <w:r w:rsidR="00197014">
        <w:t xml:space="preserve"> a judge might well invoke Verdict (iii)</w:t>
      </w:r>
      <w:r w:rsidR="00197014" w:rsidRPr="0098200F">
        <w:t xml:space="preserve"> </w:t>
      </w:r>
      <w:r w:rsidR="00197014" w:rsidRPr="00F97B8D">
        <w:t>‘there is insufficient proximity between C and D’</w:t>
      </w:r>
      <w:r w:rsidR="00197014">
        <w:t xml:space="preserve">. In the scheme of the negligence tort, Verdict (iii) </w:t>
      </w:r>
      <w:r w:rsidR="000D33F2">
        <w:t>is also formally justificatory</w:t>
      </w:r>
      <w:r w:rsidR="00F91BB1">
        <w:t xml:space="preserve"> but</w:t>
      </w:r>
      <w:r>
        <w:t>,</w:t>
      </w:r>
      <w:r w:rsidR="00F91BB1">
        <w:t xml:space="preserve"> </w:t>
      </w:r>
      <w:r>
        <w:t xml:space="preserve">if simply asserted, </w:t>
      </w:r>
      <w:r w:rsidR="00663495">
        <w:t xml:space="preserve">it too </w:t>
      </w:r>
      <w:r w:rsidR="00F91BB1">
        <w:t xml:space="preserve">lacks </w:t>
      </w:r>
      <w:r w:rsidR="00663495">
        <w:t xml:space="preserve">normative </w:t>
      </w:r>
      <w:r w:rsidR="00F91BB1">
        <w:t>substance.</w:t>
      </w:r>
    </w:p>
    <w:p w14:paraId="5B7539D0" w14:textId="23DEE442" w:rsidR="00D532DA" w:rsidRDefault="00F91BB1" w:rsidP="00D532DA">
      <w:r>
        <w:t>Nevertheless, s</w:t>
      </w:r>
      <w:r w:rsidR="00197014">
        <w:t xml:space="preserve">uch </w:t>
      </w:r>
      <w:r w:rsidR="006F2642">
        <w:t xml:space="preserve">formalistic </w:t>
      </w:r>
      <w:r w:rsidR="00197014">
        <w:t xml:space="preserve">reasoning might satisfy a doctrinalist and might appeal to our neophyte law student as neat and learnable for regurgitation in examinations. But until we know what factors about the circumstances of the case were weighed </w:t>
      </w:r>
      <w:r w:rsidR="00197014" w:rsidRPr="001A718B">
        <w:rPr>
          <w:i/>
        </w:rPr>
        <w:t>ex ante</w:t>
      </w:r>
      <w:r w:rsidR="00197014">
        <w:t xml:space="preserve"> to arrive at Verdict (</w:t>
      </w:r>
      <w:r w:rsidR="00D532DA">
        <w:t>iii)—or</w:t>
      </w:r>
      <w:r w:rsidR="00197014">
        <w:t xml:space="preserve"> </w:t>
      </w:r>
      <w:r w:rsidR="000D33F2">
        <w:t xml:space="preserve">were </w:t>
      </w:r>
      <w:r w:rsidR="00197014">
        <w:t xml:space="preserve">invoked </w:t>
      </w:r>
      <w:r w:rsidR="00197014" w:rsidRPr="0098200F">
        <w:rPr>
          <w:i/>
        </w:rPr>
        <w:lastRenderedPageBreak/>
        <w:t>ex post</w:t>
      </w:r>
      <w:r w:rsidR="00197014">
        <w:t xml:space="preserve"> to rationalise the hunch, intuitio</w:t>
      </w:r>
      <w:r w:rsidR="006F2642">
        <w:t>n or prejudice that prompted that</w:t>
      </w:r>
      <w:r w:rsidR="00197014">
        <w:t xml:space="preserve"> verdict</w:t>
      </w:r>
      <w:r w:rsidR="00197014">
        <w:rPr>
          <w:rFonts w:cs="Calibri Light"/>
        </w:rPr>
        <w:t>—</w:t>
      </w:r>
      <w:r w:rsidR="00197014">
        <w:t>we do not understand the rule in the case</w:t>
      </w:r>
      <w:r w:rsidR="000D33F2">
        <w:t xml:space="preserve">, </w:t>
      </w:r>
      <w:r w:rsidR="00197014">
        <w:t>cannot use it reliably to predict future case outcomes</w:t>
      </w:r>
      <w:r w:rsidR="000D33F2">
        <w:t xml:space="preserve"> and should not accept it as justification</w:t>
      </w:r>
      <w:r w:rsidR="00197014">
        <w:t>.</w:t>
      </w:r>
      <w:r w:rsidR="00D532DA" w:rsidRPr="00D532DA">
        <w:t xml:space="preserve"> </w:t>
      </w:r>
      <w:r w:rsidR="00663495">
        <w:t>N</w:t>
      </w:r>
      <w:r>
        <w:t>evertheless</w:t>
      </w:r>
      <w:r w:rsidR="00C13B26">
        <w:t>,</w:t>
      </w:r>
      <w:r w:rsidR="000D33F2">
        <w:t xml:space="preserve"> such reasoning as Verdicts (i)-(iii)</w:t>
      </w:r>
      <w:r w:rsidR="006F2642">
        <w:t xml:space="preserve"> exemplify</w:t>
      </w:r>
      <w:r w:rsidR="000D33F2">
        <w:t xml:space="preserve"> is very often used</w:t>
      </w:r>
      <w:r w:rsidR="002871E0">
        <w:t>,</w:t>
      </w:r>
      <w:r w:rsidR="000D33F2">
        <w:t xml:space="preserve"> </w:t>
      </w:r>
      <w:r w:rsidR="006F2642">
        <w:t>as</w:t>
      </w:r>
      <w:r w:rsidR="000D33F2">
        <w:t xml:space="preserve"> </w:t>
      </w:r>
      <w:r w:rsidR="00D532DA">
        <w:t>Robert Wright</w:t>
      </w:r>
      <w:r w:rsidR="000D33F2">
        <w:t xml:space="preserve"> describes.</w:t>
      </w:r>
    </w:p>
    <w:p w14:paraId="3B37C09F" w14:textId="0128422B" w:rsidR="00D532DA" w:rsidRDefault="00D532DA" w:rsidP="00D532DA">
      <w:pPr>
        <w:pStyle w:val="Quote"/>
      </w:pPr>
      <w:r>
        <w:t>‘</w:t>
      </w:r>
      <w:r w:rsidR="000D33F2">
        <w:t>[T]</w:t>
      </w:r>
      <w:r w:rsidRPr="00F97B8D">
        <w:t>he human brain is</w:t>
      </w:r>
      <w:r>
        <w:t>, in large part,</w:t>
      </w:r>
      <w:r w:rsidRPr="00F97B8D">
        <w:t xml:space="preserve"> a machine for winning arguments, a machine for convincing others that its owner is in the right—and thus a machine for convinci</w:t>
      </w:r>
      <w:r w:rsidR="000D33F2">
        <w:t>ng its owner of the same thing…</w:t>
      </w:r>
      <w:r w:rsidR="000D33F2">
        <w:rPr>
          <w:sz w:val="20"/>
        </w:rPr>
        <w:t>T</w:t>
      </w:r>
      <w:r w:rsidRPr="00F97B8D">
        <w:t>he brain is like a good lawyer: given any set of interests to defend, it sets about convincing the world of their moral and logical worth, regardless of whether they in fact have any of either. Like a lawyer, the human brain wants victory, not truth</w:t>
      </w:r>
      <w:r>
        <w:t>; and, like a lawyer, it is sometimes more admirable for skill than for virtue</w:t>
      </w:r>
      <w:r w:rsidRPr="00F97B8D">
        <w:t>.</w:t>
      </w:r>
      <w:r>
        <w:t>’</w:t>
      </w:r>
      <w:r>
        <w:rPr>
          <w:rStyle w:val="FootnoteReference"/>
        </w:rPr>
        <w:footnoteReference w:id="18"/>
      </w:r>
    </w:p>
    <w:p w14:paraId="20F3ED0D" w14:textId="3DFB24B3" w:rsidR="00573521" w:rsidRPr="00F97B8D" w:rsidRDefault="005E5428" w:rsidP="00D532DA">
      <w:pPr>
        <w:pStyle w:val="Heading1"/>
      </w:pPr>
      <w:r>
        <w:t>II.</w:t>
      </w:r>
      <w:r>
        <w:tab/>
      </w:r>
      <w:r w:rsidR="00573521" w:rsidRPr="00F97B8D">
        <w:t xml:space="preserve">Factive </w:t>
      </w:r>
      <w:r w:rsidR="00D532DA">
        <w:t>v</w:t>
      </w:r>
      <w:r w:rsidR="00573521" w:rsidRPr="00F97B8D">
        <w:t xml:space="preserve">erdicts </w:t>
      </w:r>
      <w:r w:rsidR="00D532DA">
        <w:t xml:space="preserve">differ categorically </w:t>
      </w:r>
      <w:r w:rsidR="00573521" w:rsidRPr="00F262A0">
        <w:rPr>
          <w:i/>
          <w:iCs/>
        </w:rPr>
        <w:t>from</w:t>
      </w:r>
      <w:r w:rsidR="00D532DA">
        <w:t xml:space="preserve"> normative v</w:t>
      </w:r>
      <w:r w:rsidR="00573521" w:rsidRPr="00F97B8D">
        <w:t>erdicts</w:t>
      </w:r>
    </w:p>
    <w:p w14:paraId="2909CD58" w14:textId="6D1F237B" w:rsidR="000B2808" w:rsidRDefault="00D240F7" w:rsidP="00573521">
      <w:r>
        <w:t xml:space="preserve">Verdicts can be factive or normative. </w:t>
      </w:r>
      <w:r w:rsidR="00DA33CB">
        <w:t>N</w:t>
      </w:r>
      <w:r w:rsidR="00176DD1">
        <w:t xml:space="preserve">eophytes know the difference between </w:t>
      </w:r>
      <w:r w:rsidR="00176DD1" w:rsidRPr="001D4B0A">
        <w:rPr>
          <w:i/>
        </w:rPr>
        <w:t>reading</w:t>
      </w:r>
      <w:r w:rsidR="00176DD1">
        <w:t xml:space="preserve"> a case</w:t>
      </w:r>
      <w:r w:rsidR="00C8155A">
        <w:t xml:space="preserve"> (factive</w:t>
      </w:r>
      <w:r w:rsidR="008549AD">
        <w:t>)</w:t>
      </w:r>
      <w:r w:rsidR="00176DD1">
        <w:t xml:space="preserve"> and </w:t>
      </w:r>
      <w:r w:rsidR="002871E0">
        <w:t xml:space="preserve">feeling they </w:t>
      </w:r>
      <w:r w:rsidR="00176DD1" w:rsidRPr="00170279">
        <w:rPr>
          <w:i/>
        </w:rPr>
        <w:t>ought</w:t>
      </w:r>
      <w:r w:rsidR="00176DD1">
        <w:t xml:space="preserve"> to</w:t>
      </w:r>
      <w:r w:rsidR="008549AD">
        <w:t xml:space="preserve"> (normative)</w:t>
      </w:r>
      <w:r w:rsidR="00176DD1">
        <w:t xml:space="preserve">. </w:t>
      </w:r>
    </w:p>
    <w:p w14:paraId="0ABBDE00" w14:textId="173ED18B" w:rsidR="000C6C5F" w:rsidRDefault="006F2642" w:rsidP="00573521">
      <w:r>
        <w:t>N</w:t>
      </w:r>
      <w:r w:rsidR="009716AB">
        <w:t>ever</w:t>
      </w:r>
      <w:r>
        <w:t>theless</w:t>
      </w:r>
      <w:r w:rsidR="009716AB">
        <w:t>, t</w:t>
      </w:r>
      <w:r w:rsidR="00176DD1">
        <w:t xml:space="preserve">hey </w:t>
      </w:r>
      <w:r w:rsidR="00913047">
        <w:t>often</w:t>
      </w:r>
      <w:r w:rsidR="00176DD1">
        <w:t xml:space="preserve"> find formation of contract problems relatively congenial because they </w:t>
      </w:r>
      <w:r w:rsidR="00DE5821">
        <w:t>present as</w:t>
      </w:r>
      <w:r w:rsidR="00DE5821">
        <w:rPr>
          <w:rStyle w:val="FootnoteReference"/>
        </w:rPr>
        <w:footnoteReference w:id="19"/>
      </w:r>
      <w:r w:rsidR="00176DD1">
        <w:t xml:space="preserve"> reducible to ‘</w:t>
      </w:r>
      <w:r w:rsidR="00211EE2" w:rsidRPr="00170279">
        <w:rPr>
          <w:i/>
        </w:rPr>
        <w:t>I</w:t>
      </w:r>
      <w:r w:rsidR="00176DD1" w:rsidRPr="00170279">
        <w:rPr>
          <w:i/>
        </w:rPr>
        <w:t>s</w:t>
      </w:r>
      <w:r w:rsidR="00176DD1">
        <w:t xml:space="preserve"> there a contract?’ and ‘</w:t>
      </w:r>
      <w:r w:rsidR="00176DD1" w:rsidRPr="008475F4">
        <w:rPr>
          <w:i/>
        </w:rPr>
        <w:t>Are</w:t>
      </w:r>
      <w:r w:rsidR="00176DD1">
        <w:t xml:space="preserve"> all the ingredients there?’ </w:t>
      </w:r>
      <w:r w:rsidR="007F02E2">
        <w:t xml:space="preserve">I </w:t>
      </w:r>
      <w:r w:rsidR="004E469C">
        <w:t>fear</w:t>
      </w:r>
      <w:r w:rsidR="00913047">
        <w:t xml:space="preserve"> they are tempted</w:t>
      </w:r>
      <w:r w:rsidR="00BC7DB5" w:rsidRPr="00BC7DB5">
        <w:t xml:space="preserve"> to think </w:t>
      </w:r>
      <w:r w:rsidR="00913047">
        <w:t>(mistakenly)</w:t>
      </w:r>
      <w:r w:rsidR="00BC7DB5" w:rsidRPr="00BC7DB5">
        <w:t xml:space="preserve"> of legal concepts (offer, acceptance, considerations, intention to create legal relations) as having a reality that is context</w:t>
      </w:r>
      <w:r w:rsidR="00712A62">
        <w:t xml:space="preserve">-independent </w:t>
      </w:r>
      <w:r w:rsidR="00BC7DB5" w:rsidRPr="00BC7DB5">
        <w:t>and function</w:t>
      </w:r>
      <w:r w:rsidR="00712A62">
        <w:t>-</w:t>
      </w:r>
      <w:r w:rsidR="00BC7DB5" w:rsidRPr="00BC7DB5">
        <w:t xml:space="preserve">independent in the way that flour, fat, </w:t>
      </w:r>
      <w:r w:rsidR="00053851" w:rsidRPr="00BC7DB5">
        <w:t>eggs,</w:t>
      </w:r>
      <w:r w:rsidR="00BC7DB5" w:rsidRPr="00BC7DB5">
        <w:t xml:space="preserve"> and sugar exist independently of Mrs </w:t>
      </w:r>
      <w:proofErr w:type="spellStart"/>
      <w:r w:rsidR="00BC7DB5" w:rsidRPr="00BC7DB5">
        <w:t>Beeton</w:t>
      </w:r>
      <w:r w:rsidR="00DC1552">
        <w:t>’</w:t>
      </w:r>
      <w:r w:rsidR="00BC7DB5" w:rsidRPr="00BC7DB5">
        <w:t>s</w:t>
      </w:r>
      <w:proofErr w:type="spellEnd"/>
      <w:r w:rsidR="00BC7DB5" w:rsidRPr="00BC7DB5">
        <w:t xml:space="preserve"> intention to tran</w:t>
      </w:r>
      <w:r w:rsidR="00BB7188">
        <w:t>smogrify</w:t>
      </w:r>
      <w:r w:rsidR="00BC7DB5" w:rsidRPr="00BC7DB5">
        <w:t xml:space="preserve"> </w:t>
      </w:r>
      <w:r w:rsidR="00BB7188">
        <w:t>them</w:t>
      </w:r>
      <w:r w:rsidR="00687E7A">
        <w:rPr>
          <w:rFonts w:cs="Calibri Light"/>
        </w:rPr>
        <w:t>—</w:t>
      </w:r>
      <w:r w:rsidR="00687E7A">
        <w:t>once-and-for-all</w:t>
      </w:r>
      <w:r w:rsidR="00687E7A">
        <w:rPr>
          <w:rStyle w:val="FootnoteReference"/>
        </w:rPr>
        <w:footnoteReference w:id="20"/>
      </w:r>
      <w:r w:rsidR="00687E7A">
        <w:rPr>
          <w:rFonts w:cs="Calibri Light"/>
        </w:rPr>
        <w:t>—</w:t>
      </w:r>
      <w:r w:rsidR="00BB7188">
        <w:t xml:space="preserve">into </w:t>
      </w:r>
      <w:r w:rsidR="00BC7DB5" w:rsidRPr="00BC7DB5">
        <w:t xml:space="preserve">a </w:t>
      </w:r>
      <w:r w:rsidR="00913047">
        <w:t xml:space="preserve">Victoria </w:t>
      </w:r>
      <w:r w:rsidR="00BC7DB5" w:rsidRPr="00BC7DB5">
        <w:t>sponge.</w:t>
      </w:r>
      <w:r w:rsidR="00583CCB">
        <w:t xml:space="preserve"> </w:t>
      </w:r>
      <w:r w:rsidR="00190B76">
        <w:t xml:space="preserve">Of course, </w:t>
      </w:r>
      <w:r w:rsidR="00414EFB">
        <w:t>properly considered</w:t>
      </w:r>
      <w:r w:rsidR="00381F91">
        <w:t xml:space="preserve">, </w:t>
      </w:r>
      <w:r w:rsidR="00190B76">
        <w:t>the question</w:t>
      </w:r>
      <w:r w:rsidR="006F3F5E">
        <w:t xml:space="preserve"> ‘Are all the </w:t>
      </w:r>
      <w:r w:rsidR="00BB7188">
        <w:t xml:space="preserve">contractual </w:t>
      </w:r>
      <w:r w:rsidR="006F3F5E">
        <w:t xml:space="preserve">ingredients there?’ </w:t>
      </w:r>
      <w:r w:rsidR="00583CCB">
        <w:t xml:space="preserve">engages </w:t>
      </w:r>
      <w:r w:rsidR="00190B76">
        <w:t>several normative subtleties</w:t>
      </w:r>
      <w:r w:rsidR="00381F91">
        <w:t>.</w:t>
      </w:r>
      <w:r w:rsidR="00190B76">
        <w:t xml:space="preserve"> </w:t>
      </w:r>
      <w:r w:rsidR="00C13B26">
        <w:t>If</w:t>
      </w:r>
      <w:r w:rsidR="00190B76">
        <w:t xml:space="preserve"> neophytes can stay calm and get by without paying them too much attention</w:t>
      </w:r>
      <w:r w:rsidR="00C13B26">
        <w:t>,</w:t>
      </w:r>
      <w:r w:rsidR="000C6C5F">
        <w:t xml:space="preserve"> a </w:t>
      </w:r>
      <w:r w:rsidR="00283F5A">
        <w:t xml:space="preserve">rather mechanistic conception of common law </w:t>
      </w:r>
      <w:r w:rsidR="00454495">
        <w:t>method</w:t>
      </w:r>
      <w:r>
        <w:t xml:space="preserve"> gets entrenched</w:t>
      </w:r>
      <w:r w:rsidR="00723AF1">
        <w:t>.</w:t>
      </w:r>
    </w:p>
    <w:p w14:paraId="1715AB4A" w14:textId="268550E9" w:rsidR="00626706" w:rsidRDefault="00913047" w:rsidP="00573521">
      <w:r>
        <w:t>N</w:t>
      </w:r>
      <w:r w:rsidR="00723AF1">
        <w:t>eophytes</w:t>
      </w:r>
      <w:r w:rsidR="00176DD1">
        <w:t xml:space="preserve"> </w:t>
      </w:r>
      <w:r>
        <w:t>commonly</w:t>
      </w:r>
      <w:r w:rsidR="00176DD1">
        <w:t xml:space="preserve"> find negligence problems</w:t>
      </w:r>
      <w:r w:rsidR="00190B76">
        <w:rPr>
          <w:rStyle w:val="FootnoteReference"/>
        </w:rPr>
        <w:footnoteReference w:id="21"/>
      </w:r>
      <w:r w:rsidR="00176DD1">
        <w:t xml:space="preserve"> less congenial</w:t>
      </w:r>
      <w:r w:rsidR="006D45AC">
        <w:rPr>
          <w:rFonts w:cs="Calibri Light"/>
        </w:rPr>
        <w:t>—</w:t>
      </w:r>
      <w:r w:rsidR="006D45AC">
        <w:t>even threatening</w:t>
      </w:r>
      <w:r w:rsidR="006D45AC">
        <w:rPr>
          <w:rFonts w:cs="Calibri Light"/>
        </w:rPr>
        <w:t>—</w:t>
      </w:r>
      <w:r w:rsidR="006261BB">
        <w:t>because the question</w:t>
      </w:r>
      <w:r w:rsidR="00176DD1">
        <w:t xml:space="preserve"> ‘Is there a duty of care?’ does not lead to a list of </w:t>
      </w:r>
      <w:r w:rsidR="00D240F7">
        <w:t>‘</w:t>
      </w:r>
      <w:r w:rsidR="00176DD1">
        <w:t>ingredients</w:t>
      </w:r>
      <w:r w:rsidR="00D240F7">
        <w:t>’</w:t>
      </w:r>
      <w:r w:rsidR="00176DD1">
        <w:t xml:space="preserve"> but to </w:t>
      </w:r>
      <w:r w:rsidR="00211EE2">
        <w:t xml:space="preserve">a </w:t>
      </w:r>
      <w:r w:rsidR="00176DD1">
        <w:t xml:space="preserve">range of open-textured </w:t>
      </w:r>
      <w:r w:rsidR="000F17C5">
        <w:t>‘</w:t>
      </w:r>
      <w:r w:rsidR="00176DD1">
        <w:t>tests</w:t>
      </w:r>
      <w:r w:rsidR="0025284D">
        <w:t>’</w:t>
      </w:r>
      <w:r>
        <w:rPr>
          <w:rStyle w:val="FootnoteReference"/>
        </w:rPr>
        <w:footnoteReference w:id="22"/>
      </w:r>
      <w:r w:rsidR="0030202F">
        <w:t>—</w:t>
      </w:r>
      <w:r w:rsidR="00211EE2">
        <w:t>mos</w:t>
      </w:r>
      <w:r w:rsidR="00176DD1">
        <w:t>t obviously that of ‘reasonable foreseeability’.</w:t>
      </w:r>
      <w:r w:rsidR="00211EE2">
        <w:t xml:space="preserve"> </w:t>
      </w:r>
      <w:r>
        <w:t>Many neophytes do not appreciate the</w:t>
      </w:r>
      <w:r w:rsidR="00211EE2">
        <w:t xml:space="preserve"> uncomfortably demanding degree of care in the use of language (reading, listening, </w:t>
      </w:r>
      <w:r w:rsidR="00211EE2">
        <w:lastRenderedPageBreak/>
        <w:t>speaking, writing</w:t>
      </w:r>
      <w:r w:rsidR="00D240F7">
        <w:t>) required—</w:t>
      </w:r>
      <w:r w:rsidR="00B15894">
        <w:t>especially</w:t>
      </w:r>
      <w:r w:rsidR="00D240F7">
        <w:t xml:space="preserve"> as </w:t>
      </w:r>
      <w:r w:rsidR="00B15894">
        <w:t>even judges</w:t>
      </w:r>
      <w:r w:rsidR="00D240F7">
        <w:t xml:space="preserve"> sometimes use ‘foreseeability’ as shorthand for ‘reasonable foreseeability’</w:t>
      </w:r>
      <w:r w:rsidR="00B15894">
        <w:t>.</w:t>
      </w:r>
      <w:r w:rsidR="00211EE2">
        <w:t xml:space="preserve"> </w:t>
      </w:r>
    </w:p>
    <w:p w14:paraId="403472C6" w14:textId="49695EAA" w:rsidR="00190B76" w:rsidRDefault="00211EE2" w:rsidP="00573521">
      <w:r>
        <w:t>Neophytes miss</w:t>
      </w:r>
      <w:r w:rsidR="00190B76">
        <w:t xml:space="preserve"> subtleties</w:t>
      </w:r>
      <w:r w:rsidR="00F5074D">
        <w:t xml:space="preserve"> like the following</w:t>
      </w:r>
      <w:r w:rsidR="00190B76">
        <w:t xml:space="preserve"> too often. Assume that D has caused C harm.</w:t>
      </w:r>
    </w:p>
    <w:p w14:paraId="59B0647B" w14:textId="73674639" w:rsidR="00211EE2" w:rsidRDefault="00B15894" w:rsidP="002E410C">
      <w:pPr>
        <w:pStyle w:val="ListParagraph"/>
        <w:numPr>
          <w:ilvl w:val="0"/>
          <w:numId w:val="16"/>
        </w:numPr>
        <w:ind w:hanging="720"/>
        <w:contextualSpacing w:val="0"/>
      </w:pPr>
      <w:r>
        <w:rPr>
          <w:rStyle w:val="Heading5Char"/>
        </w:rPr>
        <w:t xml:space="preserve">(Factive) </w:t>
      </w:r>
      <w:r w:rsidR="00211EE2" w:rsidRPr="00211EE2">
        <w:rPr>
          <w:rStyle w:val="Heading5Char"/>
        </w:rPr>
        <w:t>Foresight</w:t>
      </w:r>
      <w:r w:rsidR="00211EE2">
        <w:t>: If D actually foresaw the harm, D</w:t>
      </w:r>
      <w:r w:rsidR="004B12DE">
        <w:t>’s actions were intentional or reckless, not merely negligently</w:t>
      </w:r>
      <w:r w:rsidR="00211EE2">
        <w:t>.</w:t>
      </w:r>
      <w:r w:rsidR="008E4B99">
        <w:t xml:space="preserve"> </w:t>
      </w:r>
      <w:r w:rsidR="004B12DE">
        <w:t xml:space="preserve">Thus, </w:t>
      </w:r>
      <w:r w:rsidR="00FC399B">
        <w:t xml:space="preserve">neophytes </w:t>
      </w:r>
      <w:r w:rsidR="00A662FF">
        <w:t xml:space="preserve">who </w:t>
      </w:r>
      <w:r w:rsidR="008E4B99">
        <w:t xml:space="preserve">highlight and memorise this </w:t>
      </w:r>
      <w:r w:rsidR="004B12DE">
        <w:t>passage</w:t>
      </w:r>
      <w:r w:rsidR="008E4B99">
        <w:t xml:space="preserve"> from the judgment in </w:t>
      </w:r>
      <w:r w:rsidR="008E4B99" w:rsidRPr="008E4B99">
        <w:rPr>
          <w:i/>
        </w:rPr>
        <w:t>Wagon</w:t>
      </w:r>
      <w:r w:rsidR="00714544">
        <w:rPr>
          <w:i/>
        </w:rPr>
        <w:t xml:space="preserve"> M</w:t>
      </w:r>
      <w:r w:rsidR="008E4B99" w:rsidRPr="008E4B99">
        <w:rPr>
          <w:i/>
        </w:rPr>
        <w:t xml:space="preserve">ound </w:t>
      </w:r>
      <w:r w:rsidR="00714544">
        <w:rPr>
          <w:i/>
        </w:rPr>
        <w:t>(</w:t>
      </w:r>
      <w:r w:rsidR="00211405">
        <w:rPr>
          <w:i/>
        </w:rPr>
        <w:t>N</w:t>
      </w:r>
      <w:r w:rsidR="008E4B99" w:rsidRPr="008E4B99">
        <w:rPr>
          <w:i/>
        </w:rPr>
        <w:t>o. 1</w:t>
      </w:r>
      <w:r w:rsidR="00714544">
        <w:rPr>
          <w:i/>
        </w:rPr>
        <w:t>)</w:t>
      </w:r>
      <w:r w:rsidR="008E4B99">
        <w:rPr>
          <w:i/>
        </w:rPr>
        <w:t xml:space="preserve"> </w:t>
      </w:r>
      <w:r w:rsidR="008E4B99">
        <w:t xml:space="preserve">as </w:t>
      </w:r>
      <w:r w:rsidR="00FC399B">
        <w:t xml:space="preserve">capturing </w:t>
      </w:r>
      <w:r w:rsidR="008E4B99">
        <w:t>the gist of the new approach to remoteness of damage that the Privy Council was openly introducing</w:t>
      </w:r>
      <w:r w:rsidR="004B12DE">
        <w:t xml:space="preserve">, </w:t>
      </w:r>
      <w:r w:rsidR="00A662FF">
        <w:t>are</w:t>
      </w:r>
      <w:r w:rsidR="004B12DE">
        <w:t xml:space="preserve"> </w:t>
      </w:r>
      <w:r w:rsidR="006F2642">
        <w:t xml:space="preserve">seriously </w:t>
      </w:r>
      <w:r w:rsidR="004B12DE">
        <w:t>misleading themselves</w:t>
      </w:r>
      <w:r w:rsidR="008E4B99">
        <w:t>.</w:t>
      </w:r>
    </w:p>
    <w:p w14:paraId="593BBA94" w14:textId="572750C2" w:rsidR="008E4B99" w:rsidRDefault="008E4B99" w:rsidP="008E4B99">
      <w:pPr>
        <w:pStyle w:val="Quote"/>
        <w:ind w:left="1440"/>
      </w:pPr>
      <w:r>
        <w:t>‘</w:t>
      </w:r>
      <w:r w:rsidRPr="008E4B99">
        <w:t>As Denning L</w:t>
      </w:r>
      <w:r w:rsidR="002871E0">
        <w:t xml:space="preserve">J </w:t>
      </w:r>
      <w:r w:rsidRPr="008E4B99">
        <w:t xml:space="preserve">said in </w:t>
      </w:r>
      <w:r w:rsidRPr="00A662FF">
        <w:rPr>
          <w:i/>
          <w:iCs/>
        </w:rPr>
        <w:t>King v. Phillips</w:t>
      </w:r>
      <w:r w:rsidR="00A662FF">
        <w:rPr>
          <w:rStyle w:val="FootnoteReference"/>
        </w:rPr>
        <w:footnoteReference w:id="23"/>
      </w:r>
      <w:r w:rsidRPr="008E4B99">
        <w:t xml:space="preserve">: "there can be no doubt since </w:t>
      </w:r>
      <w:r w:rsidRPr="008E4B99">
        <w:rPr>
          <w:i/>
          <w:iCs/>
        </w:rPr>
        <w:t>Bourhill v. Young</w:t>
      </w:r>
      <w:r w:rsidRPr="008E4B99">
        <w:t xml:space="preserve"> that the test of </w:t>
      </w:r>
      <w:r w:rsidRPr="008E4B99">
        <w:rPr>
          <w:i/>
          <w:iCs/>
        </w:rPr>
        <w:t xml:space="preserve">liability for shock </w:t>
      </w:r>
      <w:r w:rsidRPr="008E4B99">
        <w:t xml:space="preserve">is foreseeability of </w:t>
      </w:r>
      <w:r>
        <w:rPr>
          <w:i/>
          <w:iCs/>
        </w:rPr>
        <w:t>injury by shock</w:t>
      </w:r>
      <w:r w:rsidRPr="008E4B99">
        <w:rPr>
          <w:i/>
          <w:iCs/>
        </w:rPr>
        <w:t xml:space="preserve"> </w:t>
      </w:r>
      <w:r w:rsidRPr="008E4B99">
        <w:t xml:space="preserve">" </w:t>
      </w:r>
      <w:r w:rsidR="002871E0">
        <w:t>[We]</w:t>
      </w:r>
      <w:r w:rsidRPr="008E4B99">
        <w:t xml:space="preserve"> substitute the word "fire" for "shock" and endorse this statement of the law</w:t>
      </w:r>
      <w:r>
        <w:t>.’</w:t>
      </w:r>
      <w:r w:rsidR="00A662FF">
        <w:rPr>
          <w:rStyle w:val="FootnoteReference"/>
        </w:rPr>
        <w:footnoteReference w:id="24"/>
      </w:r>
    </w:p>
    <w:p w14:paraId="5F6BF0A2" w14:textId="77777777" w:rsidR="009667B7" w:rsidRDefault="00A662FF" w:rsidP="007A7AF3">
      <w:pPr>
        <w:ind w:left="720"/>
      </w:pPr>
      <w:r>
        <w:t>T</w:t>
      </w:r>
      <w:r w:rsidR="002A160B">
        <w:t>aken literally</w:t>
      </w:r>
      <w:r w:rsidR="00714544">
        <w:t>,</w:t>
      </w:r>
      <w:r w:rsidR="002A160B">
        <w:t xml:space="preserve"> </w:t>
      </w:r>
      <w:r w:rsidR="006F2642">
        <w:t>these</w:t>
      </w:r>
      <w:r>
        <w:t xml:space="preserve"> sentence</w:t>
      </w:r>
      <w:r w:rsidR="006F2642">
        <w:t>s</w:t>
      </w:r>
      <w:r>
        <w:t xml:space="preserve"> assert</w:t>
      </w:r>
      <w:r w:rsidR="002A160B">
        <w:t xml:space="preserve"> that, if it is </w:t>
      </w:r>
      <w:r w:rsidR="002A160B" w:rsidRPr="002A160B">
        <w:rPr>
          <w:i/>
        </w:rPr>
        <w:t xml:space="preserve">factively </w:t>
      </w:r>
      <w:r w:rsidR="002A160B">
        <w:t>possible for some people to foresee the fire risk, there is liability for it.</w:t>
      </w:r>
      <w:r>
        <w:t>’</w:t>
      </w:r>
      <w:r w:rsidR="002A160B">
        <w:t xml:space="preserve"> </w:t>
      </w:r>
      <w:r w:rsidR="007A7AF3">
        <w:t xml:space="preserve">But </w:t>
      </w:r>
      <w:r w:rsidR="002A160B">
        <w:t>that runs counter to the outcome of the case</w:t>
      </w:r>
      <w:r w:rsidR="007A7AF3">
        <w:t>.</w:t>
      </w:r>
      <w:r w:rsidR="0056051C">
        <w:t xml:space="preserve"> The</w:t>
      </w:r>
      <w:r w:rsidR="0062335D">
        <w:t xml:space="preserve"> </w:t>
      </w:r>
      <w:r w:rsidR="009C20A3">
        <w:t>claimant</w:t>
      </w:r>
      <w:r w:rsidR="0062335D">
        <w:t xml:space="preserve"> ship repairers</w:t>
      </w:r>
      <w:r w:rsidR="009C20A3">
        <w:t>’</w:t>
      </w:r>
      <w:r w:rsidR="0012475C">
        <w:t xml:space="preserve"> employees</w:t>
      </w:r>
      <w:r w:rsidR="00C51C9B">
        <w:t xml:space="preserve"> stopped using oxyacetylene repair equipment </w:t>
      </w:r>
      <w:r w:rsidR="0062335D">
        <w:t xml:space="preserve">as soon </w:t>
      </w:r>
      <w:r w:rsidR="007A7AF3">
        <w:t>as they saw oil in the water</w:t>
      </w:r>
      <w:r w:rsidR="007A7AF3">
        <w:rPr>
          <w:rStyle w:val="FootnoteReference"/>
        </w:rPr>
        <w:footnoteReference w:id="25"/>
      </w:r>
      <w:r w:rsidR="007A7AF3">
        <w:t xml:space="preserve"> and the </w:t>
      </w:r>
      <w:r w:rsidR="007A7AF3" w:rsidRPr="00714544">
        <w:rPr>
          <w:i/>
        </w:rPr>
        <w:t>Sydney Morning Herald</w:t>
      </w:r>
      <w:r w:rsidR="007A7AF3">
        <w:t xml:space="preserve"> reported workmen saying, ‘</w:t>
      </w:r>
      <w:r w:rsidR="00714544">
        <w:t>We</w:t>
      </w:r>
      <w:r w:rsidR="007A7AF3" w:rsidRPr="007A7AF3">
        <w:t xml:space="preserve"> have been expecting </w:t>
      </w:r>
      <w:r w:rsidR="007A7AF3">
        <w:t xml:space="preserve">a </w:t>
      </w:r>
      <w:r w:rsidR="007A7AF3" w:rsidRPr="007A7AF3">
        <w:t xml:space="preserve">fire </w:t>
      </w:r>
      <w:r w:rsidR="007A7AF3">
        <w:t xml:space="preserve">here. </w:t>
      </w:r>
      <w:r w:rsidR="007A7AF3" w:rsidRPr="007A7AF3">
        <w:t xml:space="preserve">It had to </w:t>
      </w:r>
      <w:r w:rsidR="007A7AF3">
        <w:t xml:space="preserve">come sooner or </w:t>
      </w:r>
      <w:r w:rsidR="007A7AF3" w:rsidRPr="007A7AF3">
        <w:t>later</w:t>
      </w:r>
      <w:r w:rsidR="00714544">
        <w:t>,</w:t>
      </w:r>
      <w:r w:rsidR="007A7AF3" w:rsidRPr="007A7AF3">
        <w:t xml:space="preserve"> with so much </w:t>
      </w:r>
      <w:r w:rsidR="007A7AF3">
        <w:t xml:space="preserve">oil </w:t>
      </w:r>
      <w:r w:rsidR="007A7AF3" w:rsidRPr="007A7AF3">
        <w:t>about.'</w:t>
      </w:r>
      <w:r w:rsidR="007A7AF3">
        <w:rPr>
          <w:rStyle w:val="FootnoteReference"/>
        </w:rPr>
        <w:footnoteReference w:id="26"/>
      </w:r>
      <w:r w:rsidR="0012475C">
        <w:t xml:space="preserve"> </w:t>
      </w:r>
      <w:r w:rsidR="006F2642">
        <w:t xml:space="preserve">Despite </w:t>
      </w:r>
      <w:r w:rsidR="009667B7">
        <w:t xml:space="preserve">this </w:t>
      </w:r>
      <w:r w:rsidR="006F2642">
        <w:t xml:space="preserve">clear evidence that the fire was actually foreseen, the claim failed. </w:t>
      </w:r>
    </w:p>
    <w:p w14:paraId="4CEF3C7F" w14:textId="5E211195" w:rsidR="008E4B99" w:rsidRPr="008E4B99" w:rsidRDefault="009667B7" w:rsidP="007A7AF3">
      <w:pPr>
        <w:ind w:left="720"/>
      </w:pPr>
      <w:r>
        <w:t>However,</w:t>
      </w:r>
      <w:r w:rsidR="00714544">
        <w:t xml:space="preserve"> if neophytes are alert to the factive/normative distinction, they will note that,</w:t>
      </w:r>
      <w:r w:rsidR="002A160B">
        <w:t xml:space="preserve"> only </w:t>
      </w:r>
      <w:r w:rsidR="008E4B99">
        <w:t>a few words earlier</w:t>
      </w:r>
      <w:r w:rsidR="002A160B">
        <w:t xml:space="preserve"> in the judgement, there is </w:t>
      </w:r>
      <w:r w:rsidR="008E4B99">
        <w:t xml:space="preserve">a </w:t>
      </w:r>
      <w:r w:rsidR="002A160B">
        <w:t xml:space="preserve">patently </w:t>
      </w:r>
      <w:r w:rsidR="002A160B" w:rsidRPr="002A160B">
        <w:rPr>
          <w:i/>
        </w:rPr>
        <w:t>normative</w:t>
      </w:r>
      <w:r w:rsidR="002A160B">
        <w:t xml:space="preserve"> </w:t>
      </w:r>
      <w:r w:rsidR="008E4B99">
        <w:t>sentence</w:t>
      </w:r>
      <w:r w:rsidR="002A160B">
        <w:t>, which</w:t>
      </w:r>
      <w:r w:rsidR="008E4B99">
        <w:t xml:space="preserve"> concludes that a claim ‘</w:t>
      </w:r>
      <w:r w:rsidR="008E4B99" w:rsidRPr="008E4B99">
        <w:t xml:space="preserve">will fail if it can be established that the damage could not </w:t>
      </w:r>
      <w:r w:rsidR="008E4B99" w:rsidRPr="008E4B99">
        <w:rPr>
          <w:i/>
        </w:rPr>
        <w:t>reasonably</w:t>
      </w:r>
      <w:r w:rsidR="008E4B99" w:rsidRPr="008E4B99">
        <w:t xml:space="preserve"> be foreseen</w:t>
      </w:r>
      <w:r w:rsidR="008E4B99">
        <w:t>’</w:t>
      </w:r>
      <w:r>
        <w:t>.</w:t>
      </w:r>
      <w:r>
        <w:rPr>
          <w:rStyle w:val="FootnoteReference"/>
        </w:rPr>
        <w:footnoteReference w:id="27"/>
      </w:r>
      <w:r w:rsidR="00FC399B">
        <w:t xml:space="preserve"> </w:t>
      </w:r>
      <w:r w:rsidR="00714544">
        <w:t>That shows the court</w:t>
      </w:r>
      <w:r w:rsidR="002871E0">
        <w:t>’s</w:t>
      </w:r>
      <w:r w:rsidR="00714544">
        <w:t xml:space="preserve"> </w:t>
      </w:r>
      <w:r w:rsidR="002871E0">
        <w:t xml:space="preserve">concern </w:t>
      </w:r>
      <w:r w:rsidR="007365B1">
        <w:t xml:space="preserve">was </w:t>
      </w:r>
      <w:bookmarkStart w:id="9" w:name="_GoBack"/>
      <w:bookmarkEnd w:id="9"/>
      <w:r w:rsidR="00714544">
        <w:t xml:space="preserve">whether the defendant </w:t>
      </w:r>
      <w:r w:rsidR="00714544" w:rsidRPr="00714544">
        <w:rPr>
          <w:i/>
        </w:rPr>
        <w:t>ought</w:t>
      </w:r>
      <w:r>
        <w:t xml:space="preserve"> </w:t>
      </w:r>
      <w:r w:rsidR="002871E0">
        <w:t xml:space="preserve">(reasonably) </w:t>
      </w:r>
      <w:r>
        <w:t>to have foreseen fire damage—which is code for</w:t>
      </w:r>
      <w:r w:rsidR="00714544">
        <w:t xml:space="preserve"> whether the defendant </w:t>
      </w:r>
      <w:r w:rsidR="00714544" w:rsidRPr="009667B7">
        <w:rPr>
          <w:i/>
        </w:rPr>
        <w:t>ought</w:t>
      </w:r>
      <w:r w:rsidR="00714544">
        <w:t xml:space="preserve"> to be held responsible for it.</w:t>
      </w:r>
      <w:r w:rsidR="008E1734">
        <w:rPr>
          <w:rStyle w:val="FootnoteReference"/>
        </w:rPr>
        <w:footnoteReference w:id="28"/>
      </w:r>
    </w:p>
    <w:p w14:paraId="43EC3F95" w14:textId="122FF11E" w:rsidR="00211EE2" w:rsidRPr="00190B76" w:rsidRDefault="00B15894" w:rsidP="002E410C">
      <w:pPr>
        <w:pStyle w:val="ListParagraph"/>
        <w:numPr>
          <w:ilvl w:val="0"/>
          <w:numId w:val="16"/>
        </w:numPr>
        <w:ind w:hanging="720"/>
        <w:contextualSpacing w:val="0"/>
      </w:pPr>
      <w:r>
        <w:rPr>
          <w:rStyle w:val="Heading5Char"/>
        </w:rPr>
        <w:t xml:space="preserve">(Factive) </w:t>
      </w:r>
      <w:r w:rsidR="00211EE2">
        <w:rPr>
          <w:rStyle w:val="Heading5Char"/>
        </w:rPr>
        <w:t>Foreseeability</w:t>
      </w:r>
      <w:r w:rsidR="00211EE2" w:rsidRPr="00190B76">
        <w:rPr>
          <w:rStyle w:val="Heading5Char"/>
        </w:rPr>
        <w:t xml:space="preserve">: </w:t>
      </w:r>
      <w:r w:rsidR="00211EE2" w:rsidRPr="00190B76">
        <w:t>some people somewhere</w:t>
      </w:r>
      <w:r w:rsidR="00190B76" w:rsidRPr="00190B76">
        <w:t xml:space="preserve"> might well have </w:t>
      </w:r>
      <w:r w:rsidR="00190B76" w:rsidRPr="002871E0">
        <w:rPr>
          <w:i/>
        </w:rPr>
        <w:t>actually</w:t>
      </w:r>
      <w:r w:rsidR="00190B76" w:rsidRPr="00190B76">
        <w:t xml:space="preserve"> foreseen </w:t>
      </w:r>
      <w:r w:rsidR="00714544">
        <w:t xml:space="preserve">a </w:t>
      </w:r>
      <w:r w:rsidR="00190B76" w:rsidRPr="00190B76">
        <w:t>risk</w:t>
      </w:r>
      <w:r w:rsidR="00211EE2" w:rsidRPr="00190B76">
        <w:t xml:space="preserve">, but </w:t>
      </w:r>
      <w:r w:rsidR="009667B7" w:rsidRPr="009667B7">
        <w:rPr>
          <w:i/>
        </w:rPr>
        <w:t>non sequitur</w:t>
      </w:r>
      <w:r w:rsidR="009667B7">
        <w:t xml:space="preserve"> </w:t>
      </w:r>
      <w:r w:rsidR="00211EE2" w:rsidRPr="00190B76">
        <w:t>that D</w:t>
      </w:r>
      <w:r w:rsidR="00211EE2" w:rsidRPr="002C3E57">
        <w:rPr>
          <w:i/>
        </w:rPr>
        <w:t xml:space="preserve"> ought</w:t>
      </w:r>
      <w:r w:rsidR="00211EE2" w:rsidRPr="00190B76">
        <w:t xml:space="preserve"> to have foreseen it.</w:t>
      </w:r>
      <w:r w:rsidR="00D240F7" w:rsidRPr="00D240F7">
        <w:t xml:space="preserve"> </w:t>
      </w:r>
      <w:r w:rsidR="00D240F7">
        <w:t xml:space="preserve">Nevertheless, factive foreseeability </w:t>
      </w:r>
      <w:r w:rsidR="009667B7">
        <w:t>functions as</w:t>
      </w:r>
      <w:r w:rsidR="00D240F7">
        <w:t xml:space="preserve"> a </w:t>
      </w:r>
      <w:r w:rsidR="009667B7">
        <w:t>filter</w:t>
      </w:r>
      <w:r w:rsidR="00714544">
        <w:t>. I</w:t>
      </w:r>
      <w:r w:rsidR="00D240F7">
        <w:t>t is surely unreasonable to hold D liable</w:t>
      </w:r>
      <w:r w:rsidR="008C26CB">
        <w:t>, at least</w:t>
      </w:r>
      <w:r w:rsidR="00D240F7">
        <w:t xml:space="preserve"> in negligence</w:t>
      </w:r>
      <w:r w:rsidR="008C26CB">
        <w:t xml:space="preserve">, </w:t>
      </w:r>
      <w:r w:rsidR="00D240F7">
        <w:t>for harm that</w:t>
      </w:r>
      <w:r w:rsidR="00714544">
        <w:t>, on the balance of probabilities,</w:t>
      </w:r>
      <w:r w:rsidR="00D240F7">
        <w:t xml:space="preserve"> next to no-one has, or could have, foreseen.</w:t>
      </w:r>
    </w:p>
    <w:p w14:paraId="29009A2C" w14:textId="5631A4A6" w:rsidR="00211EE2" w:rsidRDefault="00B15894" w:rsidP="002E410C">
      <w:pPr>
        <w:pStyle w:val="ListParagraph"/>
        <w:numPr>
          <w:ilvl w:val="0"/>
          <w:numId w:val="16"/>
        </w:numPr>
        <w:ind w:hanging="720"/>
        <w:contextualSpacing w:val="0"/>
      </w:pPr>
      <w:r>
        <w:rPr>
          <w:rStyle w:val="Heading5Char"/>
        </w:rPr>
        <w:t xml:space="preserve">(Normative) </w:t>
      </w:r>
      <w:r w:rsidR="00190B76" w:rsidRPr="00190B76">
        <w:rPr>
          <w:rStyle w:val="Heading5Char"/>
        </w:rPr>
        <w:t>Reasonable foresee</w:t>
      </w:r>
      <w:r w:rsidR="00190B76" w:rsidRPr="00396551">
        <w:rPr>
          <w:rStyle w:val="Heading5Char"/>
          <w:i/>
        </w:rPr>
        <w:t>ability</w:t>
      </w:r>
      <w:r w:rsidR="00190B76" w:rsidRPr="00190B76">
        <w:rPr>
          <w:rStyle w:val="Heading5Char"/>
        </w:rPr>
        <w:t xml:space="preserve">: </w:t>
      </w:r>
      <w:r w:rsidR="00190B76" w:rsidRPr="00190B76">
        <w:t xml:space="preserve">We could </w:t>
      </w:r>
      <w:r w:rsidR="00B213AF">
        <w:t xml:space="preserve">plausibly </w:t>
      </w:r>
      <w:r w:rsidR="009667B7">
        <w:t>dispense with</w:t>
      </w:r>
      <w:r w:rsidR="00190B76" w:rsidRPr="00190B76">
        <w:t xml:space="preserve"> the second word but not the first. </w:t>
      </w:r>
      <w:r w:rsidR="00211EE2" w:rsidRPr="00190B76">
        <w:t xml:space="preserve">All depends on the </w:t>
      </w:r>
      <w:r>
        <w:t xml:space="preserve">normative value-judgement of the </w:t>
      </w:r>
      <w:r w:rsidR="00211EE2" w:rsidRPr="002871E0">
        <w:rPr>
          <w:i/>
        </w:rPr>
        <w:t>reasonableness</w:t>
      </w:r>
      <w:r w:rsidR="00190B76" w:rsidRPr="00190B76">
        <w:t xml:space="preserve"> of requiring D to take responsibility for the harm to C.</w:t>
      </w:r>
      <w:r>
        <w:t xml:space="preserve"> </w:t>
      </w:r>
      <w:r w:rsidR="00D240F7">
        <w:t xml:space="preserve">Here neophytes find themselves </w:t>
      </w:r>
      <w:r w:rsidR="00D240F7">
        <w:lastRenderedPageBreak/>
        <w:t xml:space="preserve">navigating </w:t>
      </w:r>
      <w:r w:rsidR="008E1734">
        <w:t>treacherous seas</w:t>
      </w:r>
      <w:r w:rsidR="00486836">
        <w:t xml:space="preserve"> </w:t>
      </w:r>
      <w:r w:rsidR="00D240F7">
        <w:t xml:space="preserve">that their previous education has </w:t>
      </w:r>
      <w:r w:rsidR="009667B7">
        <w:t>n</w:t>
      </w:r>
      <w:r w:rsidR="00E9106D">
        <w:t>ot</w:t>
      </w:r>
      <w:r w:rsidR="009667B7">
        <w:t xml:space="preserve"> </w:t>
      </w:r>
      <w:r w:rsidR="00D240F7">
        <w:t xml:space="preserve">led them to expect </w:t>
      </w:r>
      <w:r w:rsidR="00E9106D">
        <w:t>or prepared them for.</w:t>
      </w:r>
    </w:p>
    <w:p w14:paraId="55EC47C8" w14:textId="1148C4D7" w:rsidR="00190B76" w:rsidRPr="00190B76" w:rsidRDefault="00190B76" w:rsidP="002E410C">
      <w:pPr>
        <w:pStyle w:val="ListParagraph"/>
        <w:numPr>
          <w:ilvl w:val="0"/>
          <w:numId w:val="16"/>
        </w:numPr>
        <w:ind w:hanging="720"/>
        <w:contextualSpacing w:val="0"/>
      </w:pPr>
      <w:r>
        <w:rPr>
          <w:rStyle w:val="Heading5Char"/>
        </w:rPr>
        <w:t>Reasonable fore</w:t>
      </w:r>
      <w:r w:rsidRPr="00396551">
        <w:rPr>
          <w:rStyle w:val="Heading5Char"/>
          <w:i/>
        </w:rPr>
        <w:t>sight</w:t>
      </w:r>
      <w:r>
        <w:rPr>
          <w:rStyle w:val="Heading5Char"/>
        </w:rPr>
        <w:t xml:space="preserve">: </w:t>
      </w:r>
      <w:r>
        <w:t>is a</w:t>
      </w:r>
      <w:r w:rsidR="00396551">
        <w:t>n</w:t>
      </w:r>
      <w:r w:rsidRPr="00190B76">
        <w:t xml:space="preserve"> </w:t>
      </w:r>
      <w:r w:rsidR="00396551">
        <w:t xml:space="preserve">inapt </w:t>
      </w:r>
      <w:r w:rsidRPr="00190B76">
        <w:t>concept</w:t>
      </w:r>
      <w:r>
        <w:t xml:space="preserve">, </w:t>
      </w:r>
      <w:r w:rsidR="00396551">
        <w:t xml:space="preserve">hopelessly conflating </w:t>
      </w:r>
      <w:r>
        <w:t>factive and normative.</w:t>
      </w:r>
    </w:p>
    <w:p w14:paraId="7EE99682" w14:textId="7F79C188" w:rsidR="00C8318E" w:rsidRDefault="00396551" w:rsidP="00175B35">
      <w:pPr>
        <w:keepNext/>
      </w:pPr>
      <w:r>
        <w:t>Prophylactically or therapeutically</w:t>
      </w:r>
      <w:r w:rsidR="005366BC">
        <w:t>, n</w:t>
      </w:r>
      <w:r w:rsidR="00B15894">
        <w:t xml:space="preserve">eophytes </w:t>
      </w:r>
      <w:r>
        <w:t>must</w:t>
      </w:r>
      <w:r w:rsidR="00B15894">
        <w:t xml:space="preserve"> master the </w:t>
      </w:r>
      <w:r w:rsidR="00F52264">
        <w:t>categorical distinction</w:t>
      </w:r>
      <w:r w:rsidR="00B52A77">
        <w:t xml:space="preserve"> between</w:t>
      </w:r>
      <w:r w:rsidR="00C8318E">
        <w:t>:</w:t>
      </w:r>
    </w:p>
    <w:p w14:paraId="7CD0B8FB" w14:textId="44F6A0DB" w:rsidR="00EA6D44" w:rsidRDefault="008E1734" w:rsidP="002E410C">
      <w:pPr>
        <w:pStyle w:val="ListParagraph"/>
        <w:numPr>
          <w:ilvl w:val="0"/>
          <w:numId w:val="7"/>
        </w:numPr>
        <w:ind w:hanging="720"/>
        <w:contextualSpacing w:val="0"/>
      </w:pPr>
      <w:r>
        <w:t>upholding</w:t>
      </w:r>
      <w:r w:rsidR="00B52A77">
        <w:t xml:space="preserve"> a factive </w:t>
      </w:r>
      <w:r w:rsidR="002D056E">
        <w:t xml:space="preserve">proposition as </w:t>
      </w:r>
      <w:r>
        <w:t>the</w:t>
      </w:r>
      <w:r w:rsidR="002D056E">
        <w:t xml:space="preserve"> Popperian hypothesis</w:t>
      </w:r>
      <w:r w:rsidR="00F43724">
        <w:rPr>
          <w:rStyle w:val="FootnoteReference"/>
        </w:rPr>
        <w:footnoteReference w:id="29"/>
      </w:r>
      <w:r w:rsidR="002D056E">
        <w:t xml:space="preserve"> that </w:t>
      </w:r>
      <w:r w:rsidR="00F43724">
        <w:t>that best ‘explains’</w:t>
      </w:r>
      <w:r w:rsidR="00F43724">
        <w:rPr>
          <w:rStyle w:val="FootnoteReference"/>
        </w:rPr>
        <w:footnoteReference w:id="30"/>
      </w:r>
      <w:r w:rsidR="00F43724">
        <w:t xml:space="preserve"> the available empirical evidence and </w:t>
      </w:r>
      <w:r w:rsidR="002D056E">
        <w:t>has not</w:t>
      </w:r>
      <w:r w:rsidR="00396551">
        <w:t xml:space="preserve"> </w:t>
      </w:r>
      <w:r w:rsidR="00053851">
        <w:t>yet</w:t>
      </w:r>
      <w:r w:rsidR="002D056E">
        <w:t>, been falsified</w:t>
      </w:r>
      <w:r w:rsidR="003D74BA">
        <w:t xml:space="preserve"> by </w:t>
      </w:r>
      <w:r w:rsidR="00175B35">
        <w:t>further</w:t>
      </w:r>
      <w:r w:rsidR="003D74BA">
        <w:t xml:space="preserve"> </w:t>
      </w:r>
      <w:r w:rsidR="00175B35">
        <w:t xml:space="preserve">incompatible </w:t>
      </w:r>
      <w:r w:rsidR="004C4225">
        <w:t>empirical evidence</w:t>
      </w:r>
      <w:r w:rsidR="00396551">
        <w:t xml:space="preserve"> (</w:t>
      </w:r>
      <w:r w:rsidR="00EA6D44">
        <w:t>w</w:t>
      </w:r>
      <w:r w:rsidR="00637281">
        <w:t xml:space="preserve">e </w:t>
      </w:r>
      <w:r w:rsidR="005F6D67">
        <w:t>could</w:t>
      </w:r>
      <w:r w:rsidR="00637281">
        <w:t xml:space="preserve"> </w:t>
      </w:r>
      <w:r w:rsidR="005142B6">
        <w:t xml:space="preserve">only </w:t>
      </w:r>
      <w:r w:rsidR="005F6D67">
        <w:t>reasonably</w:t>
      </w:r>
      <w:r w:rsidR="005142B6">
        <w:t xml:space="preserve"> </w:t>
      </w:r>
      <w:r w:rsidR="00637281">
        <w:t xml:space="preserve">believe that the </w:t>
      </w:r>
      <w:r w:rsidR="005142B6">
        <w:t xml:space="preserve">moon </w:t>
      </w:r>
      <w:r w:rsidR="005142B6" w:rsidRPr="00307A5A">
        <w:rPr>
          <w:i/>
        </w:rPr>
        <w:t>is</w:t>
      </w:r>
      <w:r w:rsidR="005142B6">
        <w:t xml:space="preserve"> made </w:t>
      </w:r>
      <w:r w:rsidR="00357CE5">
        <w:t xml:space="preserve">entirely </w:t>
      </w:r>
      <w:r w:rsidR="005142B6">
        <w:t xml:space="preserve">of cheese until </w:t>
      </w:r>
      <w:r w:rsidR="00357CE5">
        <w:t xml:space="preserve">samples of its surface have been analysed and found </w:t>
      </w:r>
      <w:r w:rsidR="00357CE5" w:rsidRPr="00D003D8">
        <w:t>no</w:t>
      </w:r>
      <w:r w:rsidR="00D003D8" w:rsidRPr="00D003D8">
        <w:t>t</w:t>
      </w:r>
      <w:r w:rsidR="00357CE5">
        <w:t xml:space="preserve"> to be cheese</w:t>
      </w:r>
      <w:r w:rsidR="00396551">
        <w:t>)</w:t>
      </w:r>
      <w:r w:rsidR="00EA6D44">
        <w:t>; and</w:t>
      </w:r>
    </w:p>
    <w:p w14:paraId="1AA5699C" w14:textId="69710C86" w:rsidR="00EB024E" w:rsidRDefault="005F3C2C" w:rsidP="002E410C">
      <w:pPr>
        <w:pStyle w:val="ListParagraph"/>
        <w:numPr>
          <w:ilvl w:val="0"/>
          <w:numId w:val="7"/>
        </w:numPr>
        <w:ind w:hanging="720"/>
      </w:pPr>
      <w:r>
        <w:t>appeal</w:t>
      </w:r>
      <w:r w:rsidR="00396551">
        <w:t>s</w:t>
      </w:r>
      <w:r>
        <w:t xml:space="preserve"> to reason by </w:t>
      </w:r>
      <w:r w:rsidR="003475FB">
        <w:t>which normative propositions</w:t>
      </w:r>
      <w:r>
        <w:t xml:space="preserve"> </w:t>
      </w:r>
      <w:r w:rsidR="00F51212">
        <w:t xml:space="preserve">(surgeons </w:t>
      </w:r>
      <w:r w:rsidR="00F51212" w:rsidRPr="00307A5A">
        <w:rPr>
          <w:i/>
        </w:rPr>
        <w:t>ought</w:t>
      </w:r>
      <w:r w:rsidR="00F51212">
        <w:t xml:space="preserve"> to take care to ensure that patients are well-informed about treatment options) </w:t>
      </w:r>
      <w:r w:rsidR="003475FB">
        <w:t xml:space="preserve">are </w:t>
      </w:r>
      <w:r w:rsidR="00572DDF">
        <w:t>justified</w:t>
      </w:r>
      <w:r w:rsidR="00393094">
        <w:t>.</w:t>
      </w:r>
    </w:p>
    <w:p w14:paraId="232F1999" w14:textId="77777777" w:rsidR="00175B35" w:rsidRDefault="000B2808" w:rsidP="009F565F">
      <w:r>
        <w:t xml:space="preserve">As already mentioned, factive propositions and normative propositions differ in kind. </w:t>
      </w:r>
      <w:r w:rsidR="00F43724">
        <w:t>A factive proposition</w:t>
      </w:r>
      <w:r>
        <w:t xml:space="preserve"> (it </w:t>
      </w:r>
      <w:r w:rsidRPr="007F4331">
        <w:rPr>
          <w:i/>
        </w:rPr>
        <w:t>is the case</w:t>
      </w:r>
      <w:r>
        <w:t xml:space="preserve"> that our vicar never swears)</w:t>
      </w:r>
      <w:r w:rsidR="00F43724">
        <w:t xml:space="preserve"> is</w:t>
      </w:r>
      <w:r>
        <w:t xml:space="preserve"> </w:t>
      </w:r>
      <w:r w:rsidRPr="000B2808">
        <w:rPr>
          <w:i/>
        </w:rPr>
        <w:t>falsifiable</w:t>
      </w:r>
      <w:r>
        <w:t xml:space="preserve"> by incompatible empirical evidence as it becomes available (our vicar is heard to say ’</w:t>
      </w:r>
      <w:proofErr w:type="spellStart"/>
      <w:r>
        <w:t>bl</w:t>
      </w:r>
      <w:proofErr w:type="spellEnd"/>
      <w:r>
        <w:t>**</w:t>
      </w:r>
      <w:proofErr w:type="spellStart"/>
      <w:r>
        <w:t>dy</w:t>
      </w:r>
      <w:proofErr w:type="spellEnd"/>
      <w:r>
        <w:t xml:space="preserve">’). Whereas, normative propositions (clergymen </w:t>
      </w:r>
      <w:r w:rsidRPr="007F4331">
        <w:rPr>
          <w:i/>
        </w:rPr>
        <w:t>ought</w:t>
      </w:r>
      <w:r>
        <w:t xml:space="preserve"> not to swear)</w:t>
      </w:r>
      <w:r w:rsidR="00175B35">
        <w:t>:</w:t>
      </w:r>
    </w:p>
    <w:p w14:paraId="0893F028" w14:textId="768609D5" w:rsidR="00175B35" w:rsidRDefault="000B2808" w:rsidP="002E410C">
      <w:pPr>
        <w:pStyle w:val="ListParagraph"/>
        <w:numPr>
          <w:ilvl w:val="0"/>
          <w:numId w:val="17"/>
        </w:numPr>
        <w:ind w:left="720"/>
        <w:contextualSpacing w:val="0"/>
      </w:pPr>
      <w:r>
        <w:t>can be</w:t>
      </w:r>
      <w:r w:rsidR="00452F5E">
        <w:t xml:space="preserve"> argumentatively</w:t>
      </w:r>
      <w:r w:rsidR="00452F5E">
        <w:rPr>
          <w:rStyle w:val="FootnoteReference"/>
        </w:rPr>
        <w:footnoteReference w:id="31"/>
      </w:r>
      <w:r w:rsidR="00452F5E">
        <w:t xml:space="preserve"> </w:t>
      </w:r>
      <w:r w:rsidRPr="007F4331">
        <w:rPr>
          <w:i/>
        </w:rPr>
        <w:t>contested</w:t>
      </w:r>
      <w:r>
        <w:t xml:space="preserve"> on the grounds of moral value (a utilitarian might claim that swearing does no harm)</w:t>
      </w:r>
      <w:r w:rsidR="00175B35">
        <w:t>;</w:t>
      </w:r>
      <w:r>
        <w:t xml:space="preserve"> but </w:t>
      </w:r>
    </w:p>
    <w:p w14:paraId="3E7C067E" w14:textId="2B1E1999" w:rsidR="009F565F" w:rsidRDefault="000B2808" w:rsidP="002E410C">
      <w:pPr>
        <w:pStyle w:val="ListParagraph"/>
        <w:numPr>
          <w:ilvl w:val="0"/>
          <w:numId w:val="17"/>
        </w:numPr>
        <w:ind w:left="720"/>
      </w:pPr>
      <w:r>
        <w:t xml:space="preserve">cannot be </w:t>
      </w:r>
      <w:r w:rsidRPr="007F4331">
        <w:rPr>
          <w:i/>
        </w:rPr>
        <w:t>falsified</w:t>
      </w:r>
      <w:r>
        <w:t>, although a claim of a particular norm’s</w:t>
      </w:r>
      <w:r w:rsidRPr="00F97B8D">
        <w:t xml:space="preserve"> existence </w:t>
      </w:r>
      <w:r>
        <w:t>can be (no smartphones at the table).</w:t>
      </w:r>
      <w:r w:rsidR="00F43724">
        <w:t xml:space="preserve"> </w:t>
      </w:r>
      <w:r w:rsidR="00E67110">
        <w:t>M</w:t>
      </w:r>
      <w:r w:rsidR="001940D2">
        <w:t>o</w:t>
      </w:r>
      <w:r w:rsidR="00E67110">
        <w:t>r</w:t>
      </w:r>
      <w:r w:rsidR="001940D2">
        <w:t>e</w:t>
      </w:r>
      <w:r w:rsidR="00E67110">
        <w:t>o</w:t>
      </w:r>
      <w:r w:rsidR="001940D2">
        <w:t>ver</w:t>
      </w:r>
      <w:r w:rsidR="005002F6">
        <w:t xml:space="preserve">, the </w:t>
      </w:r>
      <w:r w:rsidR="00F43724">
        <w:t xml:space="preserve">as-yet-unfalsified hypothesis </w:t>
      </w:r>
      <w:r w:rsidR="00585CA0">
        <w:t>that</w:t>
      </w:r>
      <w:r w:rsidR="005002F6">
        <w:t xml:space="preserve"> </w:t>
      </w:r>
      <w:r w:rsidR="00E67110">
        <w:t>some</w:t>
      </w:r>
      <w:r w:rsidR="001815EA">
        <w:t xml:space="preserve"> </w:t>
      </w:r>
      <w:r w:rsidR="00585CA0">
        <w:t xml:space="preserve">moral </w:t>
      </w:r>
      <w:r w:rsidR="00F43724">
        <w:t>nor</w:t>
      </w:r>
      <w:r w:rsidR="00E67110">
        <w:t>ms are</w:t>
      </w:r>
      <w:r w:rsidR="00585CA0">
        <w:t xml:space="preserve"> widely held</w:t>
      </w:r>
      <w:r w:rsidR="00F43724">
        <w:t xml:space="preserve"> will </w:t>
      </w:r>
      <w:r w:rsidR="00F5412A">
        <w:t>lead</w:t>
      </w:r>
      <w:r w:rsidR="00F43724">
        <w:t xml:space="preserve"> (un-American)</w:t>
      </w:r>
      <w:r w:rsidR="00F5412A">
        <w:t xml:space="preserve"> </w:t>
      </w:r>
      <w:r w:rsidR="00F43724">
        <w:t xml:space="preserve">‘moral realists’ </w:t>
      </w:r>
      <w:r w:rsidR="00F5412A">
        <w:t xml:space="preserve">to describe </w:t>
      </w:r>
      <w:r w:rsidR="00E67110">
        <w:t>them as</w:t>
      </w:r>
      <w:r w:rsidR="00EF41EB">
        <w:t xml:space="preserve"> </w:t>
      </w:r>
      <w:r w:rsidR="00FE5705">
        <w:t>‘</w:t>
      </w:r>
      <w:r w:rsidR="00EF41EB">
        <w:t>moral fact</w:t>
      </w:r>
      <w:r w:rsidR="00E67110">
        <w:t>s</w:t>
      </w:r>
      <w:r w:rsidR="00FE5705">
        <w:t>’</w:t>
      </w:r>
      <w:r w:rsidR="00F57821">
        <w:t>.</w:t>
      </w:r>
      <w:r w:rsidR="00B5025E">
        <w:rPr>
          <w:rStyle w:val="FootnoteReference"/>
        </w:rPr>
        <w:footnoteReference w:id="32"/>
      </w:r>
    </w:p>
    <w:p w14:paraId="4B7C612A" w14:textId="53C9474E" w:rsidR="003351D8" w:rsidRDefault="00624DBD" w:rsidP="00214EBB">
      <w:r>
        <w:t>Ou</w:t>
      </w:r>
      <w:r w:rsidR="00A75488">
        <w:t xml:space="preserve">r judgements of what </w:t>
      </w:r>
      <w:r w:rsidR="00A75488" w:rsidRPr="00E576A4">
        <w:rPr>
          <w:i/>
        </w:rPr>
        <w:t>is</w:t>
      </w:r>
      <w:r w:rsidR="00A75488">
        <w:t xml:space="preserve"> the case</w:t>
      </w:r>
      <w:r w:rsidR="00DE5821">
        <w:t xml:space="preserve"> (</w:t>
      </w:r>
      <w:r w:rsidR="003351D8">
        <w:t xml:space="preserve">Do we </w:t>
      </w:r>
      <w:r w:rsidR="003351D8" w:rsidRPr="00306301">
        <w:rPr>
          <w:i/>
        </w:rPr>
        <w:t>believe</w:t>
      </w:r>
      <w:r w:rsidR="003351D8">
        <w:t xml:space="preserve"> X’s account? Did Y </w:t>
      </w:r>
      <w:r w:rsidR="003351D8" w:rsidRPr="00306301">
        <w:rPr>
          <w:i/>
        </w:rPr>
        <w:t>cause</w:t>
      </w:r>
      <w:r w:rsidR="00306301">
        <w:t xml:space="preserve"> that</w:t>
      </w:r>
      <w:r w:rsidR="003351D8">
        <w:t xml:space="preserve"> harm to Z?</w:t>
      </w:r>
      <w:r w:rsidR="00DE5821">
        <w:t xml:space="preserve">) </w:t>
      </w:r>
      <w:r w:rsidR="003351D8">
        <w:t xml:space="preserve">and of what </w:t>
      </w:r>
      <w:r w:rsidR="004D51E5">
        <w:t xml:space="preserve">someone </w:t>
      </w:r>
      <w:r w:rsidR="004D51E5" w:rsidRPr="00E576A4">
        <w:rPr>
          <w:i/>
        </w:rPr>
        <w:t>ought</w:t>
      </w:r>
      <w:r w:rsidR="004D51E5">
        <w:t xml:space="preserve"> to do</w:t>
      </w:r>
      <w:r w:rsidR="00DE5821">
        <w:t xml:space="preserve"> (</w:t>
      </w:r>
      <w:r w:rsidR="003351D8">
        <w:t>Ought Y to compensate Z?</w:t>
      </w:r>
      <w:r w:rsidR="00DE5821">
        <w:t xml:space="preserve">) </w:t>
      </w:r>
      <w:r w:rsidR="00A75488">
        <w:t>are</w:t>
      </w:r>
      <w:r w:rsidR="00DE5821">
        <w:t>:</w:t>
      </w:r>
      <w:r w:rsidR="00A75488">
        <w:t xml:space="preserve"> sometimes instinctual</w:t>
      </w:r>
      <w:r w:rsidR="00DE5821">
        <w:t>;</w:t>
      </w:r>
      <w:r w:rsidR="00A75488">
        <w:t xml:space="preserve"> sometimes the </w:t>
      </w:r>
      <w:r w:rsidR="00A75488">
        <w:lastRenderedPageBreak/>
        <w:t>result of deep social conditioning</w:t>
      </w:r>
      <w:r w:rsidR="00DE5821">
        <w:t>;</w:t>
      </w:r>
      <w:r w:rsidR="00A75488">
        <w:t xml:space="preserve"> and sometimes more objective</w:t>
      </w:r>
      <w:r w:rsidR="00306301">
        <w:t>—although</w:t>
      </w:r>
      <w:r w:rsidR="00A75488">
        <w:t xml:space="preserve"> we </w:t>
      </w:r>
      <w:r w:rsidR="00306301">
        <w:t>are adept at using</w:t>
      </w:r>
      <w:r w:rsidR="00A75488">
        <w:t xml:space="preserve"> our brains</w:t>
      </w:r>
      <w:r w:rsidR="003351D8">
        <w:t xml:space="preserve"> to convince ourselves and others </w:t>
      </w:r>
      <w:r w:rsidR="00306301">
        <w:t>of that</w:t>
      </w:r>
      <w:r w:rsidR="003351D8">
        <w:t xml:space="preserve"> objectiv</w:t>
      </w:r>
      <w:r w:rsidR="00306301">
        <w:t>ity</w:t>
      </w:r>
      <w:r w:rsidR="003351D8">
        <w:t>.</w:t>
      </w:r>
      <w:r w:rsidR="00A75488">
        <w:t xml:space="preserve"> </w:t>
      </w:r>
    </w:p>
    <w:p w14:paraId="51537242" w14:textId="7F0240D2" w:rsidR="001E3672" w:rsidRDefault="00E67110" w:rsidP="00214EBB">
      <w:r>
        <w:t>We can summarise the practical</w:t>
      </w:r>
      <w:r w:rsidR="003351D8">
        <w:t xml:space="preserve"> reasons</w:t>
      </w:r>
      <w:r w:rsidR="00EE418A">
        <w:t xml:space="preserve"> </w:t>
      </w:r>
      <w:r w:rsidR="003351D8">
        <w:t>neophyte</w:t>
      </w:r>
      <w:r w:rsidR="00DE5821">
        <w:t>s</w:t>
      </w:r>
      <w:r w:rsidR="003351D8">
        <w:t xml:space="preserve"> </w:t>
      </w:r>
      <w:r w:rsidR="00EE418A">
        <w:t>should</w:t>
      </w:r>
      <w:r w:rsidR="003351D8">
        <w:t xml:space="preserve"> </w:t>
      </w:r>
      <w:r w:rsidR="00175B35">
        <w:t>master this distinction</w:t>
      </w:r>
      <w:r w:rsidR="003351D8">
        <w:t>:</w:t>
      </w:r>
      <w:r w:rsidR="001A32CC">
        <w:t xml:space="preserve"> </w:t>
      </w:r>
    </w:p>
    <w:p w14:paraId="3E0A9ECD" w14:textId="77C107E9" w:rsidR="003351D8" w:rsidRDefault="00E67110" w:rsidP="002E410C">
      <w:pPr>
        <w:pStyle w:val="ListParagraph"/>
        <w:numPr>
          <w:ilvl w:val="0"/>
          <w:numId w:val="8"/>
        </w:numPr>
        <w:ind w:hanging="720"/>
        <w:contextualSpacing w:val="0"/>
      </w:pPr>
      <w:r>
        <w:t>Dif</w:t>
      </w:r>
      <w:r w:rsidR="003351D8">
        <w:t xml:space="preserve">ferent modes of </w:t>
      </w:r>
      <w:r>
        <w:t>‘</w:t>
      </w:r>
      <w:r w:rsidR="003351D8">
        <w:t>proof</w:t>
      </w:r>
      <w:r>
        <w:t>’</w:t>
      </w:r>
      <w:r w:rsidR="003351D8">
        <w:t xml:space="preserve"> or evaluation are appropriate</w:t>
      </w:r>
      <w:r w:rsidR="002F14CB">
        <w:t>.</w:t>
      </w:r>
    </w:p>
    <w:p w14:paraId="10DD454D" w14:textId="406AC9A2" w:rsidR="00F65930" w:rsidRDefault="003351D8" w:rsidP="002E410C">
      <w:pPr>
        <w:pStyle w:val="ListParagraph"/>
        <w:numPr>
          <w:ilvl w:val="0"/>
          <w:numId w:val="8"/>
        </w:numPr>
        <w:ind w:hanging="720"/>
        <w:contextualSpacing w:val="0"/>
      </w:pPr>
      <w:r>
        <w:t>Strictly, except where a factive verdict is manifestly perverse, only normative verdicts can raise questions of law and be appealed.</w:t>
      </w:r>
      <w:r w:rsidR="00175B35">
        <w:rPr>
          <w:rStyle w:val="FootnoteReference"/>
        </w:rPr>
        <w:footnoteReference w:id="33"/>
      </w:r>
      <w:r>
        <w:t xml:space="preserve"> However, appeal judges will sometimes </w:t>
      </w:r>
      <w:r w:rsidR="00FF15C8">
        <w:t>take cover by categorising a normative verdict as ‘a matter of fact’ best left to the trial judge.</w:t>
      </w:r>
    </w:p>
    <w:p w14:paraId="77F447DC" w14:textId="0E3995E7" w:rsidR="00246B4A" w:rsidRPr="00D863F7" w:rsidRDefault="00FF15C8" w:rsidP="002E410C">
      <w:pPr>
        <w:pStyle w:val="ListParagraph"/>
        <w:numPr>
          <w:ilvl w:val="0"/>
          <w:numId w:val="8"/>
        </w:numPr>
        <w:ind w:hanging="720"/>
        <w:contextualSpacing w:val="0"/>
      </w:pPr>
      <w:r w:rsidRPr="00D863F7">
        <w:t>C</w:t>
      </w:r>
      <w:r w:rsidR="00246B4A" w:rsidRPr="00D863F7">
        <w:t>onfusingly for neophyte</w:t>
      </w:r>
      <w:r w:rsidR="00DE5821">
        <w:t>s</w:t>
      </w:r>
      <w:r w:rsidR="00246B4A" w:rsidRPr="00D863F7">
        <w:t xml:space="preserve">, normative verdicts are often expressed in </w:t>
      </w:r>
      <w:r w:rsidR="008F75EF" w:rsidRPr="00493D1B">
        <w:rPr>
          <w:i/>
        </w:rPr>
        <w:t>ostensibly</w:t>
      </w:r>
      <w:r w:rsidR="008F75EF" w:rsidRPr="00D863F7">
        <w:t xml:space="preserve"> factive langu</w:t>
      </w:r>
      <w:r w:rsidR="00065916" w:rsidRPr="00D863F7">
        <w:t>age</w:t>
      </w:r>
      <w:r w:rsidR="00DE5821">
        <w:t>.</w:t>
      </w:r>
    </w:p>
    <w:p w14:paraId="318F6196" w14:textId="588E31F1" w:rsidR="00AA515A" w:rsidRDefault="00D863F7" w:rsidP="002E410C">
      <w:pPr>
        <w:pStyle w:val="ListParagraph"/>
        <w:numPr>
          <w:ilvl w:val="0"/>
          <w:numId w:val="8"/>
        </w:numPr>
        <w:ind w:hanging="720"/>
        <w:contextualSpacing w:val="0"/>
      </w:pPr>
      <w:r>
        <w:t xml:space="preserve">If only </w:t>
      </w:r>
      <w:r w:rsidR="007C23B1">
        <w:t xml:space="preserve">the </w:t>
      </w:r>
      <w:r>
        <w:t xml:space="preserve">same factors </w:t>
      </w:r>
      <w:r w:rsidR="00493D1B">
        <w:t>are</w:t>
      </w:r>
      <w:r>
        <w:t xml:space="preserve"> weighed for Verdict</w:t>
      </w:r>
      <w:r w:rsidR="00493D1B">
        <w:t>s A and</w:t>
      </w:r>
      <w:r>
        <w:t xml:space="preserve"> B, </w:t>
      </w:r>
      <w:r w:rsidR="00811393">
        <w:t>issues</w:t>
      </w:r>
      <w:r>
        <w:t xml:space="preserve"> A and B are not conceptually different. They just are different labels for the same concept (</w:t>
      </w:r>
      <w:r w:rsidR="00BF6DC9">
        <w:t>consider:</w:t>
      </w:r>
      <w:r>
        <w:t xml:space="preserve"> ‘reasonable foreseeability’, [sufficient] ‘proximity’, ‘fair, just and reasonable’)</w:t>
      </w:r>
      <w:r w:rsidR="00BF6DC9">
        <w:rPr>
          <w:rStyle w:val="FootnoteReference"/>
        </w:rPr>
        <w:footnoteReference w:id="34"/>
      </w:r>
      <w:r>
        <w:t xml:space="preserve"> and convenient means for avoiding precedents.</w:t>
      </w:r>
    </w:p>
    <w:p w14:paraId="7B7ED366" w14:textId="018FCF6E" w:rsidR="00197014" w:rsidRDefault="00197014" w:rsidP="002E410C">
      <w:pPr>
        <w:pStyle w:val="ListParagraph"/>
        <w:numPr>
          <w:ilvl w:val="0"/>
          <w:numId w:val="8"/>
        </w:numPr>
        <w:ind w:hanging="720"/>
        <w:contextualSpacing w:val="0"/>
      </w:pPr>
      <w:r>
        <w:t>‘</w:t>
      </w:r>
      <w:r w:rsidRPr="00F97B8D">
        <w:t>Fact-finding</w:t>
      </w:r>
      <w:r>
        <w:t>’</w:t>
      </w:r>
      <w:r w:rsidRPr="00F97B8D">
        <w:t xml:space="preserve"> is not mind-independent</w:t>
      </w:r>
      <w:r w:rsidR="007C23B1">
        <w:t>. Here are</w:t>
      </w:r>
      <w:r>
        <w:t xml:space="preserve"> </w:t>
      </w:r>
      <w:r w:rsidR="00DE5E1C">
        <w:t>three</w:t>
      </w:r>
      <w:r>
        <w:t xml:space="preserve"> ostensibly matter-of-fact issues. None is mind-independent</w:t>
      </w:r>
      <w:r w:rsidR="005D1150">
        <w:t>.</w:t>
      </w:r>
      <w:r>
        <w:t xml:space="preserve"> </w:t>
      </w:r>
      <w:r w:rsidR="005D1150">
        <w:t>W</w:t>
      </w:r>
      <w:r w:rsidR="00452F5E">
        <w:t xml:space="preserve">ithout realising that, </w:t>
      </w:r>
      <w:r>
        <w:t>our neophyte</w:t>
      </w:r>
      <w:r w:rsidR="00DE5821">
        <w:t>s</w:t>
      </w:r>
      <w:r>
        <w:t xml:space="preserve"> will not learn to understand and/or challenge propositions.</w:t>
      </w:r>
    </w:p>
    <w:p w14:paraId="29D5F45A" w14:textId="17FCCA6E" w:rsidR="00197014" w:rsidRPr="005D1150" w:rsidRDefault="00197014" w:rsidP="002E410C">
      <w:pPr>
        <w:pStyle w:val="ListParagraph"/>
        <w:numPr>
          <w:ilvl w:val="1"/>
          <w:numId w:val="8"/>
        </w:numPr>
        <w:ind w:hanging="731"/>
        <w:contextualSpacing w:val="0"/>
      </w:pPr>
      <w:r w:rsidRPr="007F4331">
        <w:rPr>
          <w:b/>
        </w:rPr>
        <w:t>Which evidence to believe?</w:t>
      </w:r>
      <w:r w:rsidRPr="005D1150">
        <w:rPr>
          <w:b/>
        </w:rPr>
        <w:t xml:space="preserve"> </w:t>
      </w:r>
      <w:r w:rsidR="00804BBE" w:rsidRPr="005D1150">
        <w:t xml:space="preserve">Here we should seek the </w:t>
      </w:r>
      <w:r w:rsidRPr="005D1150">
        <w:t xml:space="preserve">inference to best </w:t>
      </w:r>
      <w:r w:rsidR="00804BBE" w:rsidRPr="005D1150">
        <w:t xml:space="preserve">or most probable </w:t>
      </w:r>
      <w:r w:rsidRPr="005D1150">
        <w:t>explanation</w:t>
      </w:r>
      <w:r w:rsidR="00804BBE" w:rsidRPr="005D1150">
        <w:t xml:space="preserve"> of the available evidence. However, we might be </w:t>
      </w:r>
      <w:r w:rsidRPr="005D1150">
        <w:t xml:space="preserve">affected by preconceptions acquired from direct experience or vicariously, which provide a framework </w:t>
      </w:r>
      <w:r w:rsidR="00804BBE" w:rsidRPr="005D1150">
        <w:t>for our judgements.</w:t>
      </w:r>
      <w:r w:rsidRPr="005D1150">
        <w:t xml:space="preserve"> </w:t>
      </w:r>
      <w:r w:rsidR="00804BBE" w:rsidRPr="005D1150">
        <w:t>By contrast</w:t>
      </w:r>
      <w:r w:rsidRPr="005D1150">
        <w:t xml:space="preserve">, the objectivity </w:t>
      </w:r>
      <w:r w:rsidR="00BF6DC9" w:rsidRPr="005D1150">
        <w:t xml:space="preserve">(I resist the word ‘truth’) </w:t>
      </w:r>
      <w:r w:rsidRPr="005D1150">
        <w:t>of normative propositions is not a matter of probabilistic best fit with the available evidence.</w:t>
      </w:r>
      <w:r w:rsidR="00804BBE" w:rsidRPr="005D1150">
        <w:rPr>
          <w:vertAlign w:val="superscript"/>
        </w:rPr>
        <w:footnoteReference w:id="35"/>
      </w:r>
    </w:p>
    <w:p w14:paraId="33C88BC6" w14:textId="5B60A303" w:rsidR="00197014" w:rsidRPr="00F97B8D" w:rsidRDefault="00197014" w:rsidP="002E410C">
      <w:pPr>
        <w:pStyle w:val="ListParagraph"/>
        <w:numPr>
          <w:ilvl w:val="1"/>
          <w:numId w:val="8"/>
        </w:numPr>
        <w:ind w:hanging="731"/>
        <w:contextualSpacing w:val="0"/>
      </w:pPr>
      <w:r w:rsidRPr="007F4331">
        <w:rPr>
          <w:b/>
        </w:rPr>
        <w:t>Choosing</w:t>
      </w:r>
      <w:r w:rsidR="00493D1B">
        <w:rPr>
          <w:b/>
        </w:rPr>
        <w:t xml:space="preserve"> an</w:t>
      </w:r>
      <w:r w:rsidRPr="007F4331">
        <w:rPr>
          <w:b/>
        </w:rPr>
        <w:t xml:space="preserve"> ‘operative’ or ‘proximate’ cause </w:t>
      </w:r>
      <w:r w:rsidR="008E3666" w:rsidRPr="007F4331">
        <w:rPr>
          <w:b/>
        </w:rPr>
        <w:t>of a</w:t>
      </w:r>
      <w:r w:rsidR="000B2910" w:rsidRPr="007F4331">
        <w:rPr>
          <w:b/>
        </w:rPr>
        <w:t xml:space="preserve">n </w:t>
      </w:r>
      <w:r w:rsidR="008E3666" w:rsidRPr="007F4331">
        <w:rPr>
          <w:b/>
        </w:rPr>
        <w:t xml:space="preserve">event </w:t>
      </w:r>
      <w:r w:rsidRPr="007F4331">
        <w:rPr>
          <w:b/>
        </w:rPr>
        <w:t xml:space="preserve">from </w:t>
      </w:r>
      <w:r w:rsidR="000B2910" w:rsidRPr="007F4331">
        <w:rPr>
          <w:b/>
        </w:rPr>
        <w:t>its</w:t>
      </w:r>
      <w:r w:rsidRPr="007F4331">
        <w:rPr>
          <w:b/>
        </w:rPr>
        <w:t xml:space="preserve"> numerous </w:t>
      </w:r>
      <w:proofErr w:type="spellStart"/>
      <w:r w:rsidRPr="007F4331">
        <w:rPr>
          <w:b/>
          <w:i/>
        </w:rPr>
        <w:t>causae</w:t>
      </w:r>
      <w:proofErr w:type="spellEnd"/>
      <w:r w:rsidRPr="007F4331">
        <w:rPr>
          <w:b/>
          <w:i/>
        </w:rPr>
        <w:t xml:space="preserve"> sine qua non</w:t>
      </w:r>
      <w:r w:rsidR="004B12DE" w:rsidRPr="007F4331">
        <w:rPr>
          <w:b/>
          <w:i/>
        </w:rPr>
        <w:t>.</w:t>
      </w:r>
      <w:r w:rsidR="004B12DE" w:rsidRPr="00804BBE">
        <w:rPr>
          <w:rStyle w:val="FootnoteReference"/>
          <w:iCs/>
        </w:rPr>
        <w:footnoteReference w:id="36"/>
      </w:r>
      <w:r w:rsidR="00553546">
        <w:rPr>
          <w:iCs/>
        </w:rPr>
        <w:t xml:space="preserve"> We </w:t>
      </w:r>
      <w:r w:rsidR="005D1150">
        <w:rPr>
          <w:iCs/>
        </w:rPr>
        <w:t xml:space="preserve">might be </w:t>
      </w:r>
      <w:r w:rsidR="00553546">
        <w:rPr>
          <w:iCs/>
        </w:rPr>
        <w:t xml:space="preserve">simply </w:t>
      </w:r>
      <w:r w:rsidR="00553546" w:rsidRPr="00F97B8D">
        <w:t xml:space="preserve">trying to </w:t>
      </w:r>
      <w:r w:rsidR="00553546" w:rsidRPr="005D1150">
        <w:rPr>
          <w:i/>
        </w:rPr>
        <w:t>explain what happened</w:t>
      </w:r>
      <w:r w:rsidR="005D1150">
        <w:t xml:space="preserve"> </w:t>
      </w:r>
      <w:r w:rsidR="00553546">
        <w:rPr>
          <w:iCs/>
        </w:rPr>
        <w:t xml:space="preserve">but, for example, our values lead us to choose force-dynamic actions rather than omissions. </w:t>
      </w:r>
    </w:p>
    <w:p w14:paraId="3488D596" w14:textId="2DE8DAE0" w:rsidR="00197014" w:rsidRPr="00F97B8D" w:rsidRDefault="00197014" w:rsidP="002E410C">
      <w:pPr>
        <w:pStyle w:val="ListParagraph"/>
        <w:numPr>
          <w:ilvl w:val="1"/>
          <w:numId w:val="8"/>
        </w:numPr>
        <w:ind w:hanging="731"/>
      </w:pPr>
      <w:r w:rsidRPr="007F4331">
        <w:rPr>
          <w:b/>
        </w:rPr>
        <w:t>Determining states of mind</w:t>
      </w:r>
      <w:r w:rsidR="00BF6DC9">
        <w:rPr>
          <w:b/>
        </w:rPr>
        <w:t>.</w:t>
      </w:r>
      <w:r w:rsidR="00BF6DC9">
        <w:t xml:space="preserve"> To find that D intended to, or was reckless, in striking C is clearly factive and Popperian.</w:t>
      </w:r>
      <w:r w:rsidR="00DE5E1C">
        <w:t xml:space="preserve"> So too are determinations of D’s motives.</w:t>
      </w:r>
    </w:p>
    <w:p w14:paraId="2A978616" w14:textId="0778AFA5" w:rsidR="00A0015D" w:rsidRDefault="007C23B1" w:rsidP="00F37F4F">
      <w:pPr>
        <w:pStyle w:val="Heading3"/>
      </w:pPr>
      <w:r>
        <w:t>I</w:t>
      </w:r>
      <w:r w:rsidR="00A0015D">
        <w:t>nference and imputation</w:t>
      </w:r>
    </w:p>
    <w:p w14:paraId="5CBAB2A3" w14:textId="5EACDE06" w:rsidR="000F0E90" w:rsidRDefault="000F0E90" w:rsidP="00197014">
      <w:r>
        <w:t xml:space="preserve">One can </w:t>
      </w:r>
      <w:r w:rsidR="00C63CEE">
        <w:t xml:space="preserve">legitimately </w:t>
      </w:r>
      <w:r w:rsidRPr="00A0015D">
        <w:rPr>
          <w:i/>
        </w:rPr>
        <w:t xml:space="preserve">infer </w:t>
      </w:r>
      <w:r>
        <w:t>that D is liable to C from:</w:t>
      </w:r>
    </w:p>
    <w:p w14:paraId="2654C520" w14:textId="0376C6CD" w:rsidR="000F0E90" w:rsidRDefault="000F0E90" w:rsidP="002E410C">
      <w:pPr>
        <w:pStyle w:val="ListParagraph"/>
        <w:numPr>
          <w:ilvl w:val="0"/>
          <w:numId w:val="14"/>
        </w:numPr>
        <w:ind w:hanging="720"/>
        <w:contextualSpacing w:val="0"/>
      </w:pPr>
      <w:r>
        <w:lastRenderedPageBreak/>
        <w:t xml:space="preserve">a </w:t>
      </w:r>
      <w:r w:rsidR="00A0015D">
        <w:t>normative rule—</w:t>
      </w:r>
      <w:r w:rsidRPr="005D1150">
        <w:rPr>
          <w:i/>
        </w:rPr>
        <w:t xml:space="preserve">intentional </w:t>
      </w:r>
      <w:r>
        <w:t>shooting of another is battery;</w:t>
      </w:r>
      <w:r w:rsidR="005D1150">
        <w:t xml:space="preserve"> </w:t>
      </w:r>
      <w:r>
        <w:t xml:space="preserve">plus </w:t>
      </w:r>
    </w:p>
    <w:p w14:paraId="5857634D" w14:textId="5E98A6E4" w:rsidR="000F0E90" w:rsidRDefault="00A0015D" w:rsidP="002E410C">
      <w:pPr>
        <w:pStyle w:val="ListParagraph"/>
        <w:numPr>
          <w:ilvl w:val="0"/>
          <w:numId w:val="14"/>
        </w:numPr>
        <w:ind w:hanging="720"/>
        <w:contextualSpacing w:val="0"/>
      </w:pPr>
      <w:r>
        <w:t xml:space="preserve">empirical </w:t>
      </w:r>
      <w:r w:rsidR="000F0E90">
        <w:t>evidence</w:t>
      </w:r>
      <w:r w:rsidR="005D1150">
        <w:t xml:space="preserve"> that </w:t>
      </w:r>
      <w:r w:rsidR="000F0E90">
        <w:t>D shot at C</w:t>
      </w:r>
      <w:r w:rsidR="005D1150">
        <w:t xml:space="preserve">: </w:t>
      </w:r>
      <w:r w:rsidR="007C23B1">
        <w:t>a witness</w:t>
      </w:r>
      <w:r w:rsidR="000F0E90">
        <w:t xml:space="preserve"> testifies that D took aim at C and</w:t>
      </w:r>
      <w:r w:rsidR="005D1150">
        <w:t>, shouting</w:t>
      </w:r>
      <w:r>
        <w:t>,</w:t>
      </w:r>
      <w:r w:rsidR="000F0E90">
        <w:t xml:space="preserve"> ‘</w:t>
      </w:r>
      <w:r>
        <w:t>T</w:t>
      </w:r>
      <w:r w:rsidR="000F0E90">
        <w:t>ake that you b******d’</w:t>
      </w:r>
      <w:r w:rsidR="005D1150">
        <w:t>,</w:t>
      </w:r>
      <w:r w:rsidR="000F0E90">
        <w:t xml:space="preserve"> fired, hitting C.</w:t>
      </w:r>
    </w:p>
    <w:p w14:paraId="5A487FB2" w14:textId="0FFFC1B7" w:rsidR="00761DCE" w:rsidRPr="00F97B8D" w:rsidRDefault="00C63CEE" w:rsidP="00197014">
      <w:r>
        <w:t>Similarly, o</w:t>
      </w:r>
      <w:r w:rsidR="00761DCE">
        <w:t xml:space="preserve">ne can </w:t>
      </w:r>
      <w:r w:rsidR="00761DCE" w:rsidRPr="000F0E90">
        <w:rPr>
          <w:i/>
        </w:rPr>
        <w:t>infer</w:t>
      </w:r>
      <w:r w:rsidR="00761DCE">
        <w:t xml:space="preserve"> from evidence that D </w:t>
      </w:r>
      <w:r w:rsidR="00761DCE" w:rsidRPr="000F0E90">
        <w:rPr>
          <w:i/>
        </w:rPr>
        <w:t>intended</w:t>
      </w:r>
      <w:r w:rsidR="00761DCE">
        <w:t xml:space="preserve"> to shoot T (a third party) but missed and shot C. </w:t>
      </w:r>
      <w:r>
        <w:t xml:space="preserve">However, to hold D liable for intentionally shooting C—as in transferred intention cases—is to decide to treat D </w:t>
      </w:r>
      <w:r w:rsidRPr="000F0E90">
        <w:rPr>
          <w:i/>
        </w:rPr>
        <w:t>as if</w:t>
      </w:r>
      <w:r>
        <w:t xml:space="preserve"> D intended to shoot C. That is not </w:t>
      </w:r>
      <w:r w:rsidRPr="00C63CEE">
        <w:rPr>
          <w:i/>
        </w:rPr>
        <w:t>inference</w:t>
      </w:r>
      <w:r>
        <w:t xml:space="preserve"> of </w:t>
      </w:r>
      <w:r w:rsidRPr="00C63CEE">
        <w:rPr>
          <w:i/>
        </w:rPr>
        <w:t>factive</w:t>
      </w:r>
      <w:r>
        <w:t xml:space="preserve"> intent that brings D within the scope of the battery rule but a</w:t>
      </w:r>
      <w:r>
        <w:rPr>
          <w:i/>
        </w:rPr>
        <w:t xml:space="preserve"> normative </w:t>
      </w:r>
      <w:r w:rsidRPr="00C63CEE">
        <w:rPr>
          <w:i/>
        </w:rPr>
        <w:t>imputation</w:t>
      </w:r>
      <w:r>
        <w:rPr>
          <w:i/>
        </w:rPr>
        <w:t>—</w:t>
      </w:r>
      <w:r w:rsidRPr="00A0015D">
        <w:t>a value judgem</w:t>
      </w:r>
      <w:r w:rsidR="00A0015D" w:rsidRPr="00A0015D">
        <w:t>e</w:t>
      </w:r>
      <w:r w:rsidRPr="00A0015D">
        <w:t>nt that</w:t>
      </w:r>
      <w:r w:rsidR="00A0015D" w:rsidRPr="00A0015D">
        <w:t xml:space="preserve"> D</w:t>
      </w:r>
      <w:r w:rsidR="00A0015D">
        <w:rPr>
          <w:i/>
        </w:rPr>
        <w:t xml:space="preserve"> ought </w:t>
      </w:r>
      <w:r w:rsidR="00A0015D">
        <w:t>to be</w:t>
      </w:r>
      <w:r w:rsidR="00A0015D">
        <w:rPr>
          <w:i/>
        </w:rPr>
        <w:t xml:space="preserve"> </w:t>
      </w:r>
      <w:r w:rsidR="00A0015D">
        <w:t>brought within the rule’s scope.</w:t>
      </w:r>
      <w:r w:rsidR="00A0015D">
        <w:rPr>
          <w:rStyle w:val="FootnoteReference"/>
        </w:rPr>
        <w:footnoteReference w:id="37"/>
      </w:r>
      <w:r w:rsidR="00A0015D">
        <w:rPr>
          <w:i/>
        </w:rPr>
        <w:t xml:space="preserve"> </w:t>
      </w:r>
      <w:r w:rsidR="00A0015D" w:rsidRPr="00A0015D">
        <w:t xml:space="preserve">When judges impute (even if they say they are </w:t>
      </w:r>
      <w:r w:rsidR="00DE5E1C">
        <w:t>‘</w:t>
      </w:r>
      <w:r w:rsidR="00A0015D" w:rsidRPr="00A0015D">
        <w:t>inferring</w:t>
      </w:r>
      <w:r w:rsidR="00DE5E1C">
        <w:t>’</w:t>
      </w:r>
      <w:r w:rsidR="00A0015D" w:rsidRPr="00A0015D">
        <w:t>)</w:t>
      </w:r>
      <w:r w:rsidR="00A0015D">
        <w:t xml:space="preserve"> they are making normative (not factive) judgements.</w:t>
      </w:r>
    </w:p>
    <w:p w14:paraId="747DDA53" w14:textId="77777777" w:rsidR="00A20FE1" w:rsidRDefault="00A20FE1" w:rsidP="00F37F4F">
      <w:pPr>
        <w:pStyle w:val="Heading3"/>
      </w:pPr>
      <w:r>
        <w:t>Two cautionary examples</w:t>
      </w:r>
    </w:p>
    <w:p w14:paraId="2E04AD49" w14:textId="0FD1E842" w:rsidR="00197014" w:rsidRPr="00F97B8D" w:rsidRDefault="00A20FE1" w:rsidP="00197014">
      <w:r w:rsidRPr="00A20FE1">
        <w:t>First</w:t>
      </w:r>
      <w:r w:rsidR="003B57F1">
        <w:t>,</w:t>
      </w:r>
      <w:r w:rsidRPr="00A20FE1">
        <w:t xml:space="preserve"> </w:t>
      </w:r>
      <w:proofErr w:type="spellStart"/>
      <w:r w:rsidR="00197014" w:rsidRPr="007F4331">
        <w:rPr>
          <w:i/>
        </w:rPr>
        <w:t>Ardron</w:t>
      </w:r>
      <w:proofErr w:type="spellEnd"/>
      <w:r w:rsidR="00197014" w:rsidRPr="007F4331">
        <w:rPr>
          <w:i/>
        </w:rPr>
        <w:t xml:space="preserve"> </w:t>
      </w:r>
      <w:r w:rsidR="00197014" w:rsidRPr="007F4331">
        <w:t xml:space="preserve">v. </w:t>
      </w:r>
      <w:r w:rsidR="00197014" w:rsidRPr="007F4331">
        <w:rPr>
          <w:i/>
        </w:rPr>
        <w:t>Sussex Partnership NHS Foundation Trust</w:t>
      </w:r>
      <w:r>
        <w:t xml:space="preserve">, in which </w:t>
      </w:r>
      <w:r w:rsidR="00493D1B">
        <w:rPr>
          <w:bCs/>
        </w:rPr>
        <w:t xml:space="preserve">the judge, </w:t>
      </w:r>
      <w:proofErr w:type="spellStart"/>
      <w:r w:rsidR="00493D1B">
        <w:rPr>
          <w:bCs/>
        </w:rPr>
        <w:t>Pushpinder</w:t>
      </w:r>
      <w:proofErr w:type="spellEnd"/>
      <w:r w:rsidR="00493D1B">
        <w:rPr>
          <w:bCs/>
        </w:rPr>
        <w:t xml:space="preserve"> Saini QC</w:t>
      </w:r>
      <w:r w:rsidR="005373C2">
        <w:rPr>
          <w:bCs/>
        </w:rPr>
        <w:t>,</w:t>
      </w:r>
      <w:r w:rsidR="00493D1B">
        <w:t xml:space="preserve"> designated </w:t>
      </w:r>
      <w:r w:rsidR="00197014" w:rsidRPr="00F97B8D">
        <w:t>‘</w:t>
      </w:r>
      <w:r>
        <w:t>g</w:t>
      </w:r>
      <w:r w:rsidR="00197014" w:rsidRPr="00F97B8D">
        <w:t xml:space="preserve">ross misconduct’ </w:t>
      </w:r>
      <w:r>
        <w:t>(conduct sufficient to justify summary dismissal</w:t>
      </w:r>
      <w:r w:rsidR="005373C2">
        <w:t>)</w:t>
      </w:r>
      <w:r w:rsidR="00197014" w:rsidRPr="00F97B8D">
        <w:t xml:space="preserve"> </w:t>
      </w:r>
      <w:r w:rsidR="00493D1B">
        <w:t>‘</w:t>
      </w:r>
      <w:r w:rsidR="00197014" w:rsidRPr="00F97B8D">
        <w:t xml:space="preserve">a </w:t>
      </w:r>
      <w:r w:rsidR="00493D1B">
        <w:t>question</w:t>
      </w:r>
      <w:r w:rsidR="00197014" w:rsidRPr="00F97B8D">
        <w:t xml:space="preserve"> of fact</w:t>
      </w:r>
      <w:r w:rsidR="00493D1B">
        <w:t>.’</w:t>
      </w:r>
      <w:r>
        <w:rPr>
          <w:rStyle w:val="FootnoteReference"/>
        </w:rPr>
        <w:footnoteReference w:id="38"/>
      </w:r>
      <w:r w:rsidR="00AB26E1">
        <w:t xml:space="preserve"> However</w:t>
      </w:r>
      <w:r w:rsidR="00493D1B">
        <w:t xml:space="preserve">, </w:t>
      </w:r>
      <w:r w:rsidR="005373C2">
        <w:t xml:space="preserve">when </w:t>
      </w:r>
      <w:r w:rsidR="00493D1B">
        <w:t>he</w:t>
      </w:r>
      <w:r w:rsidR="00AB26E1">
        <w:t xml:space="preserve"> insisted that an employer</w:t>
      </w:r>
      <w:r w:rsidR="00197014" w:rsidRPr="00F97B8D">
        <w:t xml:space="preserve"> cannot set the threshold </w:t>
      </w:r>
      <w:r>
        <w:t xml:space="preserve">of required grossness any </w:t>
      </w:r>
      <w:r w:rsidR="00197014" w:rsidRPr="00F97B8D">
        <w:t>lower than the general law provides</w:t>
      </w:r>
      <w:r w:rsidR="005373C2">
        <w:t>, he set</w:t>
      </w:r>
      <w:r>
        <w:t xml:space="preserve"> a </w:t>
      </w:r>
      <w:r w:rsidRPr="00E44694">
        <w:rPr>
          <w:i/>
        </w:rPr>
        <w:t>standard</w:t>
      </w:r>
      <w:r>
        <w:t xml:space="preserve">, rather than </w:t>
      </w:r>
      <w:r w:rsidR="005373C2">
        <w:t>found</w:t>
      </w:r>
      <w:r>
        <w:t xml:space="preserve"> a </w:t>
      </w:r>
      <w:r w:rsidRPr="00E44694">
        <w:rPr>
          <w:i/>
        </w:rPr>
        <w:t>fact</w:t>
      </w:r>
      <w:r>
        <w:t>. He said,</w:t>
      </w:r>
    </w:p>
    <w:p w14:paraId="0478907B" w14:textId="77777777" w:rsidR="00197014" w:rsidRPr="00F97B8D" w:rsidRDefault="00197014" w:rsidP="007F4331">
      <w:pPr>
        <w:pStyle w:val="Quote"/>
      </w:pPr>
      <w:r w:rsidRPr="00F97B8D">
        <w:t>[37] …’the relevant conduct undoubtedly has to meet a threshold of seriousness. The earlier case law underlines the seriousness of the conduct which needs to be established in cases of claimed gross misconduct and gross negligence.’</w:t>
      </w:r>
    </w:p>
    <w:p w14:paraId="204B72B0" w14:textId="77777777" w:rsidR="00197014" w:rsidRPr="00F97B8D" w:rsidRDefault="00197014" w:rsidP="007F4331">
      <w:pPr>
        <w:pStyle w:val="Quote"/>
      </w:pPr>
      <w:r w:rsidRPr="00F97B8D">
        <w:t>[38] ‘[D] was not in law entitled to apply these [contractual] definitions [of ‘gross misconduct’] without a gloss which requires serious wrongdoing such as to justify dismissal’</w:t>
      </w:r>
    </w:p>
    <w:p w14:paraId="61DD594C" w14:textId="30F1A8D3" w:rsidR="00197014" w:rsidRPr="00F97B8D" w:rsidRDefault="003B57F1" w:rsidP="00197014">
      <w:r>
        <w:t>Secondly, h</w:t>
      </w:r>
      <w:r w:rsidR="00954780">
        <w:t>ere’s a single bullet point, wrenched (as neophytes might)</w:t>
      </w:r>
      <w:r w:rsidR="00197014" w:rsidRPr="00F97B8D">
        <w:t xml:space="preserve"> from a summary pa</w:t>
      </w:r>
      <w:r w:rsidR="00B5462B">
        <w:t>nel in a short book on tort law</w:t>
      </w:r>
      <w:r>
        <w:t>.</w:t>
      </w:r>
      <w:r w:rsidR="00B5462B" w:rsidRPr="00B5462B">
        <w:t xml:space="preserve"> </w:t>
      </w:r>
      <w:r w:rsidR="005373C2">
        <w:t>Unfortunately,</w:t>
      </w:r>
      <w:r w:rsidR="00B5462B">
        <w:t xml:space="preserve"> ‘reasonable’ </w:t>
      </w:r>
      <w:r w:rsidR="005373C2">
        <w:t>before ‘foreseeability’ and ‘sufficient’ before ‘proximity’</w:t>
      </w:r>
      <w:r w:rsidR="00C033F4" w:rsidRPr="00C033F4">
        <w:t xml:space="preserve"> </w:t>
      </w:r>
      <w:r w:rsidR="00C033F4">
        <w:t>are omitted</w:t>
      </w:r>
      <w:r w:rsidR="00141D2D">
        <w:t>.</w:t>
      </w:r>
    </w:p>
    <w:p w14:paraId="03B7AFD3" w14:textId="6E762057" w:rsidR="00197014" w:rsidRPr="00F97B8D" w:rsidRDefault="00197014" w:rsidP="007F4331">
      <w:pPr>
        <w:pStyle w:val="Quote"/>
      </w:pPr>
      <w:r w:rsidRPr="00F97B8D">
        <w:t>‘The factors which courts take into account in determining duty of care are foreseeability of harm, proximity, and whether imposing a duty would be fair, just, and reasonable</w:t>
      </w:r>
      <w:r w:rsidR="00B5462B">
        <w:t>.</w:t>
      </w:r>
      <w:r w:rsidRPr="00F97B8D">
        <w:t>’</w:t>
      </w:r>
      <w:r w:rsidR="00B5462B">
        <w:rPr>
          <w:rStyle w:val="FootnoteReference"/>
        </w:rPr>
        <w:footnoteReference w:id="39"/>
      </w:r>
      <w:r w:rsidRPr="00F97B8D">
        <w:t xml:space="preserve"> </w:t>
      </w:r>
    </w:p>
    <w:p w14:paraId="6FCCCF86" w14:textId="41121EB0" w:rsidR="00954780" w:rsidRPr="00954780" w:rsidRDefault="00B5462B" w:rsidP="00954780">
      <w:r>
        <w:t>Being treated as factive,</w:t>
      </w:r>
      <w:r w:rsidR="00864360" w:rsidRPr="00F97B8D">
        <w:t xml:space="preserve"> </w:t>
      </w:r>
      <w:r>
        <w:t>‘foreseeability’ and ‘</w:t>
      </w:r>
      <w:r w:rsidR="00864360">
        <w:t xml:space="preserve">proximity’ are </w:t>
      </w:r>
      <w:r w:rsidR="00864360" w:rsidRPr="00F97B8D">
        <w:t>mis-named and reified as ‘factors’</w:t>
      </w:r>
      <w:r w:rsidR="005B1ED6">
        <w:t>.</w:t>
      </w:r>
      <w:r>
        <w:t xml:space="preserve"> </w:t>
      </w:r>
      <w:r w:rsidR="00954780">
        <w:t xml:space="preserve">Despite the preceding bullet point: </w:t>
      </w:r>
      <w:r w:rsidR="00062823">
        <w:t>‘</w:t>
      </w:r>
      <w:r w:rsidR="00954780">
        <w:t>The duty of care</w:t>
      </w:r>
      <w:r w:rsidR="00062823">
        <w:t>…</w:t>
      </w:r>
      <w:r w:rsidR="00954780" w:rsidRPr="00954780">
        <w:rPr>
          <w:lang w:val="en"/>
        </w:rPr>
        <w:t xml:space="preserve"> is a matter of law and is strongly policy-based’</w:t>
      </w:r>
      <w:r w:rsidR="00062823">
        <w:rPr>
          <w:lang w:val="en"/>
        </w:rPr>
        <w:t>,</w:t>
      </w:r>
    </w:p>
    <w:p w14:paraId="1CFC376C" w14:textId="11ECDA83" w:rsidR="00295815" w:rsidRDefault="00864360" w:rsidP="005B1ED6">
      <w:r>
        <w:lastRenderedPageBreak/>
        <w:t xml:space="preserve">neophytes </w:t>
      </w:r>
      <w:r w:rsidR="00062823">
        <w:t xml:space="preserve">might well be distracted </w:t>
      </w:r>
      <w:r>
        <w:t xml:space="preserve">from asking </w:t>
      </w:r>
      <w:r w:rsidRPr="00F97B8D">
        <w:t>what factors about the circumstances of case</w:t>
      </w:r>
      <w:r w:rsidR="00062823">
        <w:t>s that</w:t>
      </w:r>
      <w:r w:rsidRPr="00F97B8D">
        <w:t xml:space="preserve"> led to </w:t>
      </w:r>
      <w:r w:rsidR="00062823">
        <w:t xml:space="preserve">reasonable foreseeability and sufficient proximity </w:t>
      </w:r>
      <w:r w:rsidRPr="00F97B8D">
        <w:t>verdicts</w:t>
      </w:r>
      <w:r w:rsidR="00062823">
        <w:t xml:space="preserve">—especially if they have already absorbed the </w:t>
      </w:r>
      <w:r w:rsidR="00B5462B">
        <w:t xml:space="preserve">Mrs </w:t>
      </w:r>
      <w:proofErr w:type="spellStart"/>
      <w:r w:rsidR="00B5462B">
        <w:t>Beeton</w:t>
      </w:r>
      <w:proofErr w:type="spellEnd"/>
      <w:r w:rsidR="00B5462B">
        <w:t xml:space="preserve"> approach</w:t>
      </w:r>
      <w:r w:rsidR="005B1ED6">
        <w:t>.</w:t>
      </w:r>
      <w:r w:rsidR="00B5462B">
        <w:t xml:space="preserve"> </w:t>
      </w:r>
      <w:r w:rsidR="005B1ED6">
        <w:t xml:space="preserve">Furthermore, </w:t>
      </w:r>
      <w:r w:rsidR="00062823">
        <w:t xml:space="preserve">in isolation, </w:t>
      </w:r>
      <w:r w:rsidR="007C6505">
        <w:t>the bullet</w:t>
      </w:r>
      <w:r w:rsidR="005B1ED6">
        <w:t xml:space="preserve"> </w:t>
      </w:r>
      <w:r w:rsidR="00062823">
        <w:t>does not point neophytes towards</w:t>
      </w:r>
      <w:r w:rsidR="005B1ED6">
        <w:t xml:space="preserve"> Lord Bridge’s description, in </w:t>
      </w:r>
      <w:r w:rsidR="00295815" w:rsidRPr="00295815">
        <w:rPr>
          <w:i/>
        </w:rPr>
        <w:t>C</w:t>
      </w:r>
      <w:r w:rsidR="00295815" w:rsidRPr="00295815">
        <w:rPr>
          <w:bCs/>
          <w:i/>
        </w:rPr>
        <w:t>aparo Industries Plc. v. Dickman</w:t>
      </w:r>
      <w:r w:rsidR="005B1ED6">
        <w:rPr>
          <w:i/>
        </w:rPr>
        <w:t>,</w:t>
      </w:r>
      <w:r w:rsidR="005B1ED6">
        <w:t xml:space="preserve"> of ‘fair, just and reasonable’</w:t>
      </w:r>
      <w:r w:rsidR="005B1ED6" w:rsidRPr="005B1ED6">
        <w:t xml:space="preserve"> as</w:t>
      </w:r>
      <w:r w:rsidR="00295815">
        <w:t xml:space="preserve">, </w:t>
      </w:r>
    </w:p>
    <w:p w14:paraId="6145E1F8" w14:textId="653D1062" w:rsidR="00197014" w:rsidRPr="00295815" w:rsidRDefault="00295815" w:rsidP="00295815">
      <w:pPr>
        <w:pStyle w:val="Quote"/>
      </w:pPr>
      <w:r>
        <w:t>‘little more</w:t>
      </w:r>
      <w:r w:rsidR="005B1ED6" w:rsidRPr="005B1ED6">
        <w:t xml:space="preserve"> than convenient labels to attach to the features of </w:t>
      </w:r>
      <w:r w:rsidR="005B1ED6" w:rsidRPr="00A92699">
        <w:rPr>
          <w:i/>
        </w:rPr>
        <w:t>different specific situations</w:t>
      </w:r>
      <w:r w:rsidR="005B1ED6" w:rsidRPr="005B1ED6">
        <w:t xml:space="preserve"> which, on a </w:t>
      </w:r>
      <w:r w:rsidR="005B1ED6" w:rsidRPr="00A92699">
        <w:rPr>
          <w:i/>
        </w:rPr>
        <w:t>detailed examination of all the circumstances</w:t>
      </w:r>
      <w:r w:rsidR="005B1ED6" w:rsidRPr="005B1ED6">
        <w:t xml:space="preserve">, the law recognises </w:t>
      </w:r>
      <w:r w:rsidR="005B1ED6" w:rsidRPr="00A92699">
        <w:rPr>
          <w:i/>
        </w:rPr>
        <w:t>pragmatically</w:t>
      </w:r>
      <w:r w:rsidR="005B1ED6" w:rsidRPr="005B1ED6">
        <w:t xml:space="preserve"> as giving rise to a duty of care of a given scope</w:t>
      </w:r>
      <w:r>
        <w:t>.’</w:t>
      </w:r>
      <w:r>
        <w:rPr>
          <w:rStyle w:val="FootnoteReference"/>
        </w:rPr>
        <w:footnoteReference w:id="40"/>
      </w:r>
    </w:p>
    <w:p w14:paraId="767B0D3A" w14:textId="398C6B8E" w:rsidR="005E5428" w:rsidRDefault="0021290E" w:rsidP="005E5428">
      <w:pPr>
        <w:pStyle w:val="Heading1"/>
      </w:pPr>
      <w:r>
        <w:t>III.</w:t>
      </w:r>
      <w:r>
        <w:tab/>
      </w:r>
      <w:r w:rsidR="005E5428" w:rsidRPr="00E46129">
        <w:t>Incontestable</w:t>
      </w:r>
      <w:r w:rsidR="005E5428">
        <w:t>, c</w:t>
      </w:r>
      <w:r w:rsidR="005E5428" w:rsidRPr="00E46129">
        <w:t xml:space="preserve">ontestable </w:t>
      </w:r>
      <w:r w:rsidR="005E5428">
        <w:t>(</w:t>
      </w:r>
      <w:r w:rsidR="005E5428" w:rsidRPr="00E46129">
        <w:t>and sometime</w:t>
      </w:r>
      <w:r w:rsidR="005E5428">
        <w:t>s contested) c</w:t>
      </w:r>
      <w:r w:rsidR="005E5428" w:rsidRPr="00E46129">
        <w:t>oncepts</w:t>
      </w:r>
    </w:p>
    <w:p w14:paraId="69B76866" w14:textId="31AFBBD8" w:rsidR="005E5428" w:rsidRDefault="005E5428" w:rsidP="005E5428">
      <w:r>
        <w:t xml:space="preserve">Legal concepts are not ornaments to be collected and displayed. Whether incontestable or contestable, they </w:t>
      </w:r>
      <w:r w:rsidRPr="00EA1355">
        <w:rPr>
          <w:i/>
        </w:rPr>
        <w:t>function</w:t>
      </w:r>
      <w:r>
        <w:t xml:space="preserve"> in the justification of submissions and verdicts of liability and of what the rule is or ought to be. </w:t>
      </w:r>
      <w:r w:rsidR="007C6505">
        <w:t>C</w:t>
      </w:r>
      <w:r>
        <w:t xml:space="preserve">onsider the pesky </w:t>
      </w:r>
      <w:r w:rsidRPr="00F97B8D">
        <w:t>Brexit Referendum</w:t>
      </w:r>
      <w:r>
        <w:t>. Conceptually,</w:t>
      </w:r>
      <w:r w:rsidRPr="00F97B8D">
        <w:t xml:space="preserve"> </w:t>
      </w:r>
      <w:r>
        <w:t xml:space="preserve">just as there can be no four-sided triangles, </w:t>
      </w:r>
      <w:r w:rsidRPr="00F97B8D">
        <w:t xml:space="preserve">‘Remain’ </w:t>
      </w:r>
      <w:r>
        <w:t xml:space="preserve">admitted of no competing conceptions. It amounted to maintaining the </w:t>
      </w:r>
      <w:r w:rsidRPr="007744D8">
        <w:rPr>
          <w:i/>
        </w:rPr>
        <w:t>status quo</w:t>
      </w:r>
      <w:r>
        <w:t>.</w:t>
      </w:r>
      <w:r>
        <w:rPr>
          <w:rStyle w:val="FootnoteReference"/>
        </w:rPr>
        <w:footnoteReference w:id="41"/>
      </w:r>
      <w:r>
        <w:t xml:space="preserve"> Whereas,</w:t>
      </w:r>
      <w:r w:rsidRPr="00F97B8D">
        <w:t xml:space="preserve"> ‘Leave’ </w:t>
      </w:r>
      <w:r>
        <w:t>has proved</w:t>
      </w:r>
      <w:r w:rsidRPr="00F97B8D">
        <w:t xml:space="preserve"> eminently </w:t>
      </w:r>
      <w:r w:rsidRPr="00EA1355">
        <w:rPr>
          <w:i/>
        </w:rPr>
        <w:t>contestable</w:t>
      </w:r>
      <w:r w:rsidRPr="00F97B8D">
        <w:t xml:space="preserve">—and </w:t>
      </w:r>
      <w:r>
        <w:t xml:space="preserve">fiercely </w:t>
      </w:r>
      <w:r w:rsidRPr="00EA1355">
        <w:rPr>
          <w:i/>
        </w:rPr>
        <w:t>contested</w:t>
      </w:r>
      <w:r>
        <w:t>. Th</w:t>
      </w:r>
      <w:r w:rsidR="00F4215D">
        <w:t xml:space="preserve">e distinction is rather like that between the </w:t>
      </w:r>
      <w:r w:rsidRPr="00F97B8D">
        <w:t>functionalit</w:t>
      </w:r>
      <w:r>
        <w:t>ies</w:t>
      </w:r>
      <w:r w:rsidRPr="00F97B8D">
        <w:t xml:space="preserve"> of </w:t>
      </w:r>
      <w:r>
        <w:t xml:space="preserve">an </w:t>
      </w:r>
      <w:r w:rsidRPr="00F97B8D">
        <w:t>on/off switch</w:t>
      </w:r>
      <w:r>
        <w:t xml:space="preserve"> (binary)</w:t>
      </w:r>
      <w:r w:rsidRPr="00F97B8D">
        <w:t xml:space="preserve"> and </w:t>
      </w:r>
      <w:r>
        <w:t xml:space="preserve">a continuously variable </w:t>
      </w:r>
      <w:r w:rsidRPr="00F97B8D">
        <w:t>volume control</w:t>
      </w:r>
      <w:r>
        <w:t xml:space="preserve"> (analogue). </w:t>
      </w:r>
    </w:p>
    <w:p w14:paraId="7DA1F213" w14:textId="3C8FB708" w:rsidR="008E6DB1" w:rsidRDefault="008E6DB1" w:rsidP="008E6DB1">
      <w:r>
        <w:t xml:space="preserve">The character of a rule is in large part determined by the character of the concepts of which it is composed. </w:t>
      </w:r>
      <w:r w:rsidR="006759F8">
        <w:t>Sometimes the concepts involved are incontestable. Often, they are contestable. Less often, but frequently, they are contested.</w:t>
      </w:r>
    </w:p>
    <w:p w14:paraId="6C7BDE7A" w14:textId="25780DC3" w:rsidR="00337D58" w:rsidRDefault="006759F8" w:rsidP="005E5428">
      <w:r>
        <w:t>Whilst i</w:t>
      </w:r>
      <w:r w:rsidR="005E5428">
        <w:t>ncontestable concepts are not mind-dependent</w:t>
      </w:r>
      <w:r>
        <w:t xml:space="preserve"> and can be</w:t>
      </w:r>
      <w:r w:rsidR="005E5428">
        <w:t xml:space="preserve"> applied by un-intelligent machines</w:t>
      </w:r>
      <w:r>
        <w:t xml:space="preserve">, </w:t>
      </w:r>
      <w:r w:rsidR="00F4215D">
        <w:t>c</w:t>
      </w:r>
      <w:r w:rsidR="005E5428">
        <w:t xml:space="preserve">ontestable concepts are </w:t>
      </w:r>
      <w:r w:rsidR="00F4215D">
        <w:t xml:space="preserve">necessarily </w:t>
      </w:r>
      <w:r w:rsidR="005E5428">
        <w:t>mind-dependent in application</w:t>
      </w:r>
      <w:r w:rsidR="00337D58">
        <w:t xml:space="preserve">, </w:t>
      </w:r>
      <w:r w:rsidR="00F4215D">
        <w:t>whether</w:t>
      </w:r>
      <w:r w:rsidR="007C6505" w:rsidRPr="007C6505">
        <w:t xml:space="preserve"> </w:t>
      </w:r>
      <w:r w:rsidR="007C6505">
        <w:t>the mind in question,</w:t>
      </w:r>
      <w:r w:rsidR="00337D58">
        <w:t xml:space="preserve"> </w:t>
      </w:r>
    </w:p>
    <w:p w14:paraId="05C7B7A3" w14:textId="7E96B212" w:rsidR="00337D58" w:rsidRDefault="00F4215D" w:rsidP="002E410C">
      <w:pPr>
        <w:pStyle w:val="ListParagraph"/>
        <w:numPr>
          <w:ilvl w:val="0"/>
          <w:numId w:val="13"/>
        </w:numPr>
        <w:ind w:hanging="1080"/>
        <w:contextualSpacing w:val="0"/>
      </w:pPr>
      <w:r>
        <w:t>takes the meaning for granted</w:t>
      </w:r>
      <w:r w:rsidR="00337D58">
        <w:t xml:space="preserve">, </w:t>
      </w:r>
      <w:r>
        <w:t xml:space="preserve">giving </w:t>
      </w:r>
      <w:r w:rsidR="00337D58">
        <w:t xml:space="preserve">rise to </w:t>
      </w:r>
      <w:r>
        <w:t>uncontested-</w:t>
      </w:r>
      <w:proofErr w:type="spellStart"/>
      <w:r>
        <w:t>contestables</w:t>
      </w:r>
      <w:proofErr w:type="spellEnd"/>
      <w:r>
        <w:t xml:space="preserve">, which </w:t>
      </w:r>
      <w:r w:rsidR="005E5428">
        <w:t>occur when most of the dominant minds think alike or simply share the same intuitions</w:t>
      </w:r>
      <w:r w:rsidR="00337D58">
        <w:t xml:space="preserve"> and can be easily mistaken for </w:t>
      </w:r>
      <w:proofErr w:type="spellStart"/>
      <w:r w:rsidR="00337D58">
        <w:t>incontestables</w:t>
      </w:r>
      <w:proofErr w:type="spellEnd"/>
      <w:r w:rsidR="00337D58">
        <w:t xml:space="preserve">; or </w:t>
      </w:r>
    </w:p>
    <w:p w14:paraId="1777D408" w14:textId="252E7695" w:rsidR="005E5428" w:rsidRDefault="00F4215D" w:rsidP="002E410C">
      <w:pPr>
        <w:pStyle w:val="ListParagraph"/>
        <w:numPr>
          <w:ilvl w:val="0"/>
          <w:numId w:val="13"/>
        </w:numPr>
        <w:ind w:hanging="1080"/>
      </w:pPr>
      <w:r>
        <w:t>engages in interpretation</w:t>
      </w:r>
      <w:r w:rsidR="00337D58">
        <w:t>, which will often be contested.</w:t>
      </w:r>
    </w:p>
    <w:p w14:paraId="3C73305A" w14:textId="77777777" w:rsidR="00F97B8D" w:rsidRPr="00122ACB" w:rsidRDefault="00D974F7" w:rsidP="00D32560">
      <w:pPr>
        <w:pStyle w:val="Heading2"/>
      </w:pPr>
      <w:r w:rsidRPr="00122ACB">
        <w:t>Incontestable</w:t>
      </w:r>
      <w:r w:rsidR="00F97B8D" w:rsidRPr="00122ACB">
        <w:t xml:space="preserve"> Concepts</w:t>
      </w:r>
    </w:p>
    <w:p w14:paraId="2A12D167" w14:textId="77777777" w:rsidR="00F4215D" w:rsidRDefault="00F4215D" w:rsidP="00F4215D">
      <w:r w:rsidRPr="004F61DB">
        <w:t xml:space="preserve">‘Parking meter rules’ provide a </w:t>
      </w:r>
      <w:r>
        <w:t xml:space="preserve">paradigm for rules that depend almost completely upon incontestable concepts. </w:t>
      </w:r>
    </w:p>
    <w:p w14:paraId="2EF814B1" w14:textId="755EA1C1" w:rsidR="00F4215D" w:rsidRDefault="00F4215D" w:rsidP="00F4215D">
      <w:pPr>
        <w:pStyle w:val="Quote"/>
      </w:pPr>
      <w:r>
        <w:t xml:space="preserve">IF my car is ‘present in the meter bay’ for ‘longer than the time for which I have paid’ THEN I am liable to pay a penalty. </w:t>
      </w:r>
    </w:p>
    <w:p w14:paraId="7E3E8D95" w14:textId="5462C74F" w:rsidR="00F4215D" w:rsidRDefault="00F4215D" w:rsidP="00F4215D">
      <w:r>
        <w:lastRenderedPageBreak/>
        <w:t>Neither of that rule’s two key concepts—'physical presence’ and ‘time’—admits of competing conceptions. ‘Time’ can be measured mechanically and officially by the meter. ‘Presence’ can be determined by observation, whether human or CCTV. The rule can operate almost completely mind-independently.</w:t>
      </w:r>
    </w:p>
    <w:p w14:paraId="40CA91AD" w14:textId="707DBB42" w:rsidR="00F4215D" w:rsidRDefault="00F4215D" w:rsidP="00F4215D">
      <w:r>
        <w:t>However, there is a mind-dependent issue of possible liability if the car has already moved halfway out of the bay when the meter flag goes up. This is akin to deciding whether to round 1.5 up to 2 or down to 1. Whichever option is chosen, the conceptions of one-ness and two-ness—being incontestable quasi-mathematical (or necessarily irrefutable) concepts—are not (and cannot be) contested. We can call this kind of question marginal or penumbral.</w:t>
      </w:r>
      <w:r w:rsidR="007C6505">
        <w:rPr>
          <w:rStyle w:val="FootnoteReference"/>
        </w:rPr>
        <w:footnoteReference w:id="42"/>
      </w:r>
      <w:r w:rsidR="00C94A54" w:rsidRPr="00C94A54">
        <w:rPr>
          <w:highlight w:val="yellow"/>
        </w:rPr>
        <w:t xml:space="preserve"> </w:t>
      </w:r>
    </w:p>
    <w:p w14:paraId="45DC6D0A" w14:textId="5EDA389B" w:rsidR="00F4215D" w:rsidRDefault="00F4215D" w:rsidP="00F4215D">
      <w:r>
        <w:t xml:space="preserve">That apart, we can say that parking meter rules are ‘all core and no penumbra’. They have a quasi-mathematical irrefutability. In application, they raise factive </w:t>
      </w:r>
      <w:r w:rsidR="00E2516E">
        <w:t xml:space="preserve">issues </w:t>
      </w:r>
      <w:r>
        <w:t xml:space="preserve">of </w:t>
      </w:r>
      <w:r w:rsidRPr="001A718B">
        <w:t>perception and measurement</w:t>
      </w:r>
      <w:r>
        <w:t xml:space="preserve"> but no competing conceptions of their key concepts. Artificial </w:t>
      </w:r>
      <w:r w:rsidRPr="00645620">
        <w:rPr>
          <w:i/>
        </w:rPr>
        <w:t>un</w:t>
      </w:r>
      <w:r>
        <w:t>-Intelligence can easily be used to enforce them. Comprising incontestable concepts, they are neither context-specific nor consensus-specific.</w:t>
      </w:r>
    </w:p>
    <w:p w14:paraId="1A6FC8DD" w14:textId="485DBE38" w:rsidR="00F4215D" w:rsidRDefault="00F4215D" w:rsidP="00F4215D">
      <w:pPr>
        <w:pStyle w:val="Heading2"/>
      </w:pPr>
      <w:r>
        <w:t>Latent and patent contestability</w:t>
      </w:r>
    </w:p>
    <w:p w14:paraId="74D609C1" w14:textId="74D51239" w:rsidR="00337D58" w:rsidRDefault="00C94A54" w:rsidP="005E5428">
      <w:pPr>
        <w:rPr>
          <w:bCs/>
        </w:rPr>
      </w:pPr>
      <w:r>
        <w:t>Hence</w:t>
      </w:r>
      <w:r w:rsidR="005E5428">
        <w:t xml:space="preserve">, </w:t>
      </w:r>
      <w:r w:rsidR="00337D58">
        <w:t xml:space="preserve">as already mentioned and </w:t>
      </w:r>
      <w:r w:rsidR="005E5428">
        <w:fldChar w:fldCharType="begin"/>
      </w:r>
      <w:r w:rsidR="005E5428">
        <w:instrText xml:space="preserve"> REF _Ref520544091 \h </w:instrText>
      </w:r>
      <w:r w:rsidR="005E5428">
        <w:fldChar w:fldCharType="separate"/>
      </w:r>
      <w:r w:rsidR="00AE595E">
        <w:t xml:space="preserve">Figure </w:t>
      </w:r>
      <w:r w:rsidR="00AE595E">
        <w:rPr>
          <w:noProof/>
        </w:rPr>
        <w:t>1</w:t>
      </w:r>
      <w:r w:rsidR="005E5428">
        <w:fldChar w:fldCharType="end"/>
      </w:r>
      <w:r w:rsidR="005E5428">
        <w:t xml:space="preserve"> illustrates, </w:t>
      </w:r>
      <w:r w:rsidR="00337D58">
        <w:t>there is</w:t>
      </w:r>
      <w:r w:rsidR="005E5428">
        <w:rPr>
          <w:bCs/>
        </w:rPr>
        <w:t xml:space="preserve"> a crucial sub-division of contestable concepts between: (i) ‘contestable but not presently contested’; and (ii) ‘contestable and currently contested’. (i) occurs when</w:t>
      </w:r>
      <w:r w:rsidR="005E5428" w:rsidRPr="005C167A">
        <w:rPr>
          <w:bCs/>
        </w:rPr>
        <w:t xml:space="preserve"> </w:t>
      </w:r>
      <w:r w:rsidR="005E5428">
        <w:rPr>
          <w:bCs/>
        </w:rPr>
        <w:t>the relevant social consensus is strong. (ii) occurs as consensus breaks down.</w:t>
      </w:r>
      <w:r w:rsidR="00BC5540">
        <w:rPr>
          <w:rStyle w:val="FootnoteReference"/>
          <w:bCs/>
        </w:rPr>
        <w:footnoteReference w:id="43"/>
      </w:r>
      <w:r w:rsidR="005E5428">
        <w:rPr>
          <w:bCs/>
        </w:rPr>
        <w:t xml:space="preserve"> </w:t>
      </w:r>
    </w:p>
    <w:p w14:paraId="413ADE12" w14:textId="24230972" w:rsidR="00337D58" w:rsidRDefault="004D624B" w:rsidP="005E5428">
      <w:pPr>
        <w:rPr>
          <w:bCs/>
        </w:rPr>
      </w:pPr>
      <w:r>
        <w:rPr>
          <w:bCs/>
        </w:rPr>
        <w:t>There is no bright line between uncontested-</w:t>
      </w:r>
      <w:proofErr w:type="spellStart"/>
      <w:r>
        <w:rPr>
          <w:bCs/>
        </w:rPr>
        <w:t>contestables</w:t>
      </w:r>
      <w:proofErr w:type="spellEnd"/>
      <w:r>
        <w:rPr>
          <w:bCs/>
        </w:rPr>
        <w:t xml:space="preserve"> and contested-</w:t>
      </w:r>
      <w:proofErr w:type="spellStart"/>
      <w:r>
        <w:rPr>
          <w:bCs/>
        </w:rPr>
        <w:t>contestables</w:t>
      </w:r>
      <w:proofErr w:type="spellEnd"/>
      <w:r>
        <w:rPr>
          <w:bCs/>
        </w:rPr>
        <w:t xml:space="preserve">. But, given human nature, our neophyte will tend to think otherwise, or at least, that is what Hans </w:t>
      </w:r>
      <w:proofErr w:type="spellStart"/>
      <w:r>
        <w:rPr>
          <w:bCs/>
        </w:rPr>
        <w:t>Rosling</w:t>
      </w:r>
      <w:proofErr w:type="spellEnd"/>
      <w:r>
        <w:rPr>
          <w:bCs/>
        </w:rPr>
        <w:t>, John Dewey and Hermann Hesse contend.</w:t>
      </w:r>
    </w:p>
    <w:p w14:paraId="26771A1B" w14:textId="77777777" w:rsidR="004D624B" w:rsidRPr="004D624B" w:rsidRDefault="004D624B" w:rsidP="004D624B">
      <w:pPr>
        <w:pStyle w:val="Quote"/>
      </w:pPr>
      <w:r w:rsidRPr="004D624B">
        <w:t xml:space="preserve">‘We love to dichotomize…Dividing the world into two distinct sides is simple and intuitive, and also dramatic because it implies conflict, and we do it without thinking, all the time…[We] imagine division where there is just a smooth range, difference where there is convergence, and conflict where there is agreement.’ (Hans </w:t>
      </w:r>
      <w:proofErr w:type="spellStart"/>
      <w:r w:rsidRPr="004D624B">
        <w:t>Rosling</w:t>
      </w:r>
      <w:proofErr w:type="spellEnd"/>
      <w:r w:rsidRPr="004D624B">
        <w:t>)</w:t>
      </w:r>
      <w:bookmarkStart w:id="11" w:name="_Ref521397919"/>
      <w:r w:rsidRPr="004D624B">
        <w:rPr>
          <w:vertAlign w:val="superscript"/>
        </w:rPr>
        <w:footnoteReference w:id="44"/>
      </w:r>
      <w:bookmarkEnd w:id="11"/>
    </w:p>
    <w:p w14:paraId="423156C0" w14:textId="77777777" w:rsidR="004D624B" w:rsidRPr="004D624B" w:rsidRDefault="004D624B" w:rsidP="004D624B">
      <w:pPr>
        <w:pStyle w:val="Quote"/>
      </w:pPr>
      <w:r w:rsidRPr="004D624B">
        <w:t>‘Mankind likes to think in terms of extreme opposites. It is given to formulating its beliefs in terms of Either-</w:t>
      </w:r>
      <w:proofErr w:type="spellStart"/>
      <w:r w:rsidRPr="004D624B">
        <w:t>Ors</w:t>
      </w:r>
      <w:proofErr w:type="spellEnd"/>
      <w:r w:rsidRPr="004D624B">
        <w:t xml:space="preserve">, between which it recognizes no intermediate possibilities. When forced to recognize that the extremes cannot be acted upon, it is still inclined to hold that they are </w:t>
      </w:r>
      <w:r w:rsidRPr="004D624B">
        <w:lastRenderedPageBreak/>
        <w:t>all right in theory but that when it comes to practical matters circumstances compel us to compromise.’ (John Dewey)</w:t>
      </w:r>
      <w:r w:rsidRPr="004D624B">
        <w:rPr>
          <w:vertAlign w:val="superscript"/>
        </w:rPr>
        <w:footnoteReference w:id="45"/>
      </w:r>
      <w:r w:rsidRPr="004D624B">
        <w:t xml:space="preserve"> </w:t>
      </w:r>
    </w:p>
    <w:p w14:paraId="79D9DA07" w14:textId="7CBD92EF" w:rsidR="004D624B" w:rsidRDefault="004D624B" w:rsidP="004D624B">
      <w:pPr>
        <w:pStyle w:val="Quote"/>
      </w:pPr>
      <w:r w:rsidRPr="004D624B">
        <w:t>‘Our mind is capable of passing beyond the dividing line we have drawn for it. Beyond the pairs of opposites of which the world consists, other, new insights begin.’ (Hermann Hesse)</w:t>
      </w:r>
      <w:r w:rsidRPr="004D624B">
        <w:rPr>
          <w:vertAlign w:val="superscript"/>
        </w:rPr>
        <w:footnoteReference w:id="46"/>
      </w:r>
    </w:p>
    <w:p w14:paraId="3E175CDD" w14:textId="78C613F3" w:rsidR="004D624B" w:rsidRDefault="004D624B" w:rsidP="004D624B">
      <w:r>
        <w:t>The trap here is to think—dichotomously—</w:t>
      </w:r>
      <w:r w:rsidR="00E44694">
        <w:t xml:space="preserve">of </w:t>
      </w:r>
      <w:r>
        <w:t>only two categories: (a) incontestable quasi-mathematical (or necessarily irrefutable) concepts, such as an isosceles triangle or two-ness; and (b) ‘essentially contest</w:t>
      </w:r>
      <w:r w:rsidRPr="00BE4A91">
        <w:rPr>
          <w:i/>
        </w:rPr>
        <w:t>able</w:t>
      </w:r>
      <w:r>
        <w:t xml:space="preserve"> concepts’.</w:t>
      </w:r>
      <w:r>
        <w:rPr>
          <w:rStyle w:val="FootnoteReference"/>
        </w:rPr>
        <w:footnoteReference w:id="47"/>
      </w:r>
      <w:r>
        <w:t xml:space="preserve"> The on/off switch fits well with (a) and the continuously-variable volume control fits well with (b). But you might have a convention that having set the level when you first used the amplifier you simply do not move the control, until you discover solo guitar recordings and feel the need to increase the volume. </w:t>
      </w:r>
    </w:p>
    <w:p w14:paraId="72E4FCF2" w14:textId="0942C329" w:rsidR="004D624B" w:rsidRDefault="004D624B" w:rsidP="004D624B">
      <w:pPr>
        <w:pStyle w:val="Caption"/>
      </w:pPr>
      <w:bookmarkStart w:id="12" w:name="_Ref520544091"/>
      <w:r>
        <w:t xml:space="preserve">Figure </w:t>
      </w:r>
      <w:r>
        <w:rPr>
          <w:noProof/>
        </w:rPr>
        <w:fldChar w:fldCharType="begin"/>
      </w:r>
      <w:r>
        <w:rPr>
          <w:noProof/>
        </w:rPr>
        <w:instrText xml:space="preserve"> SEQ Figure \* ARABIC </w:instrText>
      </w:r>
      <w:r>
        <w:rPr>
          <w:noProof/>
        </w:rPr>
        <w:fldChar w:fldCharType="separate"/>
      </w:r>
      <w:r w:rsidR="00AE595E">
        <w:rPr>
          <w:noProof/>
        </w:rPr>
        <w:t>1</w:t>
      </w:r>
      <w:r>
        <w:rPr>
          <w:noProof/>
        </w:rPr>
        <w:fldChar w:fldCharType="end"/>
      </w:r>
      <w:bookmarkEnd w:id="12"/>
      <w:r>
        <w:t xml:space="preserve"> Incontestable, Contestable and Contested concepts</w:t>
      </w:r>
    </w:p>
    <w:p w14:paraId="55C8C374" w14:textId="77777777" w:rsidR="004D624B" w:rsidRDefault="004D624B" w:rsidP="004D624B">
      <w:pPr>
        <w:rPr>
          <w:bCs/>
        </w:rPr>
      </w:pPr>
      <w:r>
        <w:rPr>
          <w:noProof/>
        </w:rPr>
        <w:drawing>
          <wp:inline distT="0" distB="0" distL="0" distR="0" wp14:anchorId="11FF1694" wp14:editId="0211F2A7">
            <wp:extent cx="5731510" cy="2756139"/>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83" r="1"/>
                    <a:stretch/>
                  </pic:blipFill>
                  <pic:spPr bwMode="auto">
                    <a:xfrm>
                      <a:off x="0" y="0"/>
                      <a:ext cx="5731510" cy="2756139"/>
                    </a:xfrm>
                    <a:prstGeom prst="rect">
                      <a:avLst/>
                    </a:prstGeom>
                    <a:noFill/>
                    <a:ln>
                      <a:noFill/>
                    </a:ln>
                    <a:extLst>
                      <a:ext uri="{53640926-AAD7-44D8-BBD7-CCE9431645EC}">
                        <a14:shadowObscured xmlns:a14="http://schemas.microsoft.com/office/drawing/2010/main"/>
                      </a:ext>
                    </a:extLst>
                  </pic:spPr>
                </pic:pic>
              </a:graphicData>
            </a:graphic>
          </wp:inline>
        </w:drawing>
      </w:r>
    </w:p>
    <w:p w14:paraId="6B0DE5E2" w14:textId="79689EFE" w:rsidR="005E5428" w:rsidRDefault="00BE4A91" w:rsidP="005E5428">
      <w:pPr>
        <w:rPr>
          <w:bCs/>
        </w:rPr>
      </w:pPr>
      <w:r>
        <w:rPr>
          <w:bCs/>
        </w:rPr>
        <w:t>This</w:t>
      </w:r>
      <w:r w:rsidR="004D624B">
        <w:rPr>
          <w:bCs/>
        </w:rPr>
        <w:t xml:space="preserve"> necessary shift</w:t>
      </w:r>
      <w:r w:rsidR="005E5428">
        <w:rPr>
          <w:bCs/>
        </w:rPr>
        <w:t xml:space="preserve"> away from dichotomous thinking not only increases the effective number of categories from two to three, but introduces two continuously variable factors:</w:t>
      </w:r>
    </w:p>
    <w:p w14:paraId="0F390B09" w14:textId="07B862EA" w:rsidR="005E5428" w:rsidRDefault="005E5428" w:rsidP="002E410C">
      <w:pPr>
        <w:pStyle w:val="ListParagraph"/>
        <w:numPr>
          <w:ilvl w:val="0"/>
          <w:numId w:val="11"/>
        </w:numPr>
        <w:ind w:hanging="720"/>
        <w:contextualSpacing w:val="0"/>
        <w:rPr>
          <w:bCs/>
        </w:rPr>
      </w:pPr>
      <w:r w:rsidRPr="000744F5">
        <w:rPr>
          <w:bCs/>
        </w:rPr>
        <w:lastRenderedPageBreak/>
        <w:t xml:space="preserve">A well-established consensus will probably dissipate gradually. It might decline gradually. I’ve drawn a straight line in </w:t>
      </w:r>
      <w:r w:rsidRPr="000744F5">
        <w:rPr>
          <w:bCs/>
        </w:rPr>
        <w:fldChar w:fldCharType="begin"/>
      </w:r>
      <w:r w:rsidRPr="000744F5">
        <w:rPr>
          <w:bCs/>
        </w:rPr>
        <w:instrText xml:space="preserve"> REF _Ref520544091 \h </w:instrText>
      </w:r>
      <w:r w:rsidRPr="000744F5">
        <w:rPr>
          <w:bCs/>
        </w:rPr>
      </w:r>
      <w:r w:rsidRPr="000744F5">
        <w:rPr>
          <w:bCs/>
        </w:rPr>
        <w:fldChar w:fldCharType="separate"/>
      </w:r>
      <w:r w:rsidR="00AE595E">
        <w:t xml:space="preserve">Figure </w:t>
      </w:r>
      <w:r w:rsidR="00AE595E">
        <w:rPr>
          <w:noProof/>
        </w:rPr>
        <w:t>1</w:t>
      </w:r>
      <w:r w:rsidRPr="000744F5">
        <w:rPr>
          <w:bCs/>
        </w:rPr>
        <w:fldChar w:fldCharType="end"/>
      </w:r>
      <w:r w:rsidRPr="000744F5">
        <w:rPr>
          <w:bCs/>
        </w:rPr>
        <w:t>, probably because we tend</w:t>
      </w:r>
      <w:r w:rsidR="00BE4A91">
        <w:rPr>
          <w:bCs/>
        </w:rPr>
        <w:t>—often wrongly—</w:t>
      </w:r>
      <w:r w:rsidRPr="000744F5">
        <w:rPr>
          <w:bCs/>
        </w:rPr>
        <w:t>to assume straight lines.</w:t>
      </w:r>
      <w:r>
        <w:rPr>
          <w:rStyle w:val="FootnoteReference"/>
          <w:bCs/>
        </w:rPr>
        <w:footnoteReference w:id="48"/>
      </w:r>
      <w:r w:rsidRPr="000744F5">
        <w:rPr>
          <w:bCs/>
        </w:rPr>
        <w:t xml:space="preserve"> But there could </w:t>
      </w:r>
      <w:r w:rsidR="00BE4A91">
        <w:rPr>
          <w:bCs/>
        </w:rPr>
        <w:t xml:space="preserve">very well </w:t>
      </w:r>
      <w:r w:rsidRPr="000744F5">
        <w:rPr>
          <w:bCs/>
        </w:rPr>
        <w:t xml:space="preserve">be sudden dips, </w:t>
      </w:r>
      <w:r w:rsidR="00053851" w:rsidRPr="000744F5">
        <w:rPr>
          <w:bCs/>
        </w:rPr>
        <w:t>plateaux,</w:t>
      </w:r>
      <w:r w:rsidRPr="000744F5">
        <w:rPr>
          <w:bCs/>
        </w:rPr>
        <w:t xml:space="preserve"> and even small upturns. </w:t>
      </w:r>
    </w:p>
    <w:p w14:paraId="1A691C88" w14:textId="09D6D9F1" w:rsidR="005E5428" w:rsidRDefault="005E5428" w:rsidP="002E410C">
      <w:pPr>
        <w:pStyle w:val="ListParagraph"/>
        <w:numPr>
          <w:ilvl w:val="0"/>
          <w:numId w:val="11"/>
        </w:numPr>
        <w:ind w:hanging="720"/>
        <w:rPr>
          <w:bCs/>
        </w:rPr>
      </w:pPr>
      <w:r w:rsidRPr="000744F5">
        <w:rPr>
          <w:bCs/>
        </w:rPr>
        <w:t xml:space="preserve">Similarly, despite my upward diagonal straight line in </w:t>
      </w:r>
      <w:r w:rsidRPr="000744F5">
        <w:rPr>
          <w:bCs/>
        </w:rPr>
        <w:fldChar w:fldCharType="begin"/>
      </w:r>
      <w:r w:rsidRPr="000744F5">
        <w:rPr>
          <w:bCs/>
        </w:rPr>
        <w:instrText xml:space="preserve"> REF _Ref520544091 \h </w:instrText>
      </w:r>
      <w:r w:rsidRPr="000744F5">
        <w:rPr>
          <w:bCs/>
        </w:rPr>
      </w:r>
      <w:r w:rsidRPr="000744F5">
        <w:rPr>
          <w:bCs/>
        </w:rPr>
        <w:fldChar w:fldCharType="separate"/>
      </w:r>
      <w:r w:rsidR="00AE595E">
        <w:t xml:space="preserve">Figure </w:t>
      </w:r>
      <w:r w:rsidR="00AE595E">
        <w:rPr>
          <w:noProof/>
        </w:rPr>
        <w:t>1</w:t>
      </w:r>
      <w:r w:rsidRPr="000744F5">
        <w:rPr>
          <w:bCs/>
        </w:rPr>
        <w:fldChar w:fldCharType="end"/>
      </w:r>
      <w:r w:rsidRPr="000744F5">
        <w:rPr>
          <w:bCs/>
        </w:rPr>
        <w:t>, lawyers’ and judges’ practical recognition of contestability is likely to start slowly and then move more rapidly as test cases emerge.</w:t>
      </w:r>
    </w:p>
    <w:p w14:paraId="1FEE56E6" w14:textId="47B0AC07" w:rsidR="00BE4A91" w:rsidRDefault="00BE4A91" w:rsidP="00BE4A91">
      <w:r w:rsidRPr="00F97B8D">
        <w:t>Of course</w:t>
      </w:r>
      <w:r>
        <w:t>,</w:t>
      </w:r>
      <w:r w:rsidRPr="00F97B8D">
        <w:t xml:space="preserve"> there are differences in kind</w:t>
      </w:r>
      <w:r>
        <w:t xml:space="preserve">: </w:t>
      </w:r>
      <w:r w:rsidRPr="00F97B8D">
        <w:t xml:space="preserve"> </w:t>
      </w:r>
      <w:r>
        <w:t>a</w:t>
      </w:r>
      <w:r w:rsidRPr="00F97B8D">
        <w:t xml:space="preserve"> cow is not a dog</w:t>
      </w:r>
      <w:r>
        <w:t>; a</w:t>
      </w:r>
      <w:r w:rsidRPr="00F97B8D">
        <w:t>n animal is not a stone</w:t>
      </w:r>
      <w:r>
        <w:t>; a</w:t>
      </w:r>
      <w:r w:rsidRPr="00F97B8D">
        <w:t xml:space="preserve"> stone is not a vegetable</w:t>
      </w:r>
      <w:r>
        <w:t xml:space="preserve">. But we must also be alert for some subtle shifts. Whilst </w:t>
      </w:r>
      <w:r w:rsidRPr="00F97B8D">
        <w:t xml:space="preserve">a triangle </w:t>
      </w:r>
      <w:r>
        <w:t>must have</w:t>
      </w:r>
      <w:r w:rsidRPr="00F97B8D">
        <w:t xml:space="preserve"> three sides </w:t>
      </w:r>
      <w:r>
        <w:t xml:space="preserve">that are </w:t>
      </w:r>
      <w:r w:rsidRPr="00F97B8D">
        <w:t>joined</w:t>
      </w:r>
      <w:r w:rsidR="00B76F3B">
        <w:t>—</w:t>
      </w:r>
      <w:r w:rsidRPr="00F97B8D">
        <w:t>without rounding</w:t>
      </w:r>
      <w:r w:rsidR="00B76F3B">
        <w:t>—</w:t>
      </w:r>
      <w:r w:rsidRPr="00F97B8D">
        <w:t>at angles</w:t>
      </w:r>
      <w:r>
        <w:t xml:space="preserve"> that</w:t>
      </w:r>
      <w:r w:rsidRPr="00F97B8D">
        <w:t xml:space="preserve"> must always sum to 180</w:t>
      </w:r>
      <w:r w:rsidRPr="00BE4A91">
        <w:rPr>
          <w:vertAlign w:val="superscript"/>
        </w:rPr>
        <w:t>o</w:t>
      </w:r>
      <w:r>
        <w:t>, ‘</w:t>
      </w:r>
      <w:r w:rsidRPr="00F97B8D">
        <w:t>triangularity’ is a matter of degree</w:t>
      </w:r>
      <w:r>
        <w:t>.</w:t>
      </w:r>
    </w:p>
    <w:p w14:paraId="01AEAD9D" w14:textId="3E57598E" w:rsidR="005E5428" w:rsidRDefault="005E5428" w:rsidP="005E5428">
      <w:pPr>
        <w:pStyle w:val="Caption"/>
        <w:keepNext/>
      </w:pPr>
      <w:r>
        <w:t xml:space="preserve">Figure </w:t>
      </w:r>
      <w:r>
        <w:rPr>
          <w:noProof/>
        </w:rPr>
        <w:fldChar w:fldCharType="begin"/>
      </w:r>
      <w:r>
        <w:rPr>
          <w:noProof/>
        </w:rPr>
        <w:instrText xml:space="preserve"> SEQ Figure \* ARABIC </w:instrText>
      </w:r>
      <w:r>
        <w:rPr>
          <w:noProof/>
        </w:rPr>
        <w:fldChar w:fldCharType="separate"/>
      </w:r>
      <w:r w:rsidR="00AE595E">
        <w:rPr>
          <w:noProof/>
        </w:rPr>
        <w:t>2</w:t>
      </w:r>
      <w:r>
        <w:rPr>
          <w:noProof/>
        </w:rPr>
        <w:fldChar w:fldCharType="end"/>
      </w:r>
      <w:r>
        <w:t>: Are both the road sign and the floral display 'triangular'?</w:t>
      </w:r>
    </w:p>
    <w:p w14:paraId="25471C5B" w14:textId="77777777" w:rsidR="005E5428" w:rsidRDefault="005E5428" w:rsidP="005E5428">
      <w:r>
        <w:rPr>
          <w:noProof/>
        </w:rPr>
        <w:drawing>
          <wp:inline distT="0" distB="0" distL="0" distR="0" wp14:anchorId="59676562" wp14:editId="6EA9339F">
            <wp:extent cx="3209544" cy="12161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544" cy="1216152"/>
                    </a:xfrm>
                    <a:prstGeom prst="rect">
                      <a:avLst/>
                    </a:prstGeom>
                    <a:noFill/>
                  </pic:spPr>
                </pic:pic>
              </a:graphicData>
            </a:graphic>
          </wp:inline>
        </w:drawing>
      </w:r>
    </w:p>
    <w:p w14:paraId="648CFEF8" w14:textId="184E4453" w:rsidR="00197014" w:rsidRDefault="00B76F3B" w:rsidP="00197014">
      <w:r>
        <w:t>I have</w:t>
      </w:r>
      <w:r w:rsidR="00BE4A91">
        <w:t xml:space="preserve"> begu</w:t>
      </w:r>
      <w:r w:rsidR="00197014">
        <w:t>n</w:t>
      </w:r>
      <w:r w:rsidR="00197014" w:rsidRPr="00D32560">
        <w:t xml:space="preserve"> </w:t>
      </w:r>
      <w:r>
        <w:t xml:space="preserve">here </w:t>
      </w:r>
      <w:r w:rsidR="00197014" w:rsidRPr="00D32560">
        <w:t xml:space="preserve">to account for the paradox of change and stability </w:t>
      </w:r>
      <w:r w:rsidR="00197014">
        <w:t xml:space="preserve">in the </w:t>
      </w:r>
      <w:r w:rsidR="00197014" w:rsidRPr="00D32560">
        <w:t>common law that</w:t>
      </w:r>
      <w:r>
        <w:t>,</w:t>
      </w:r>
      <w:r w:rsidR="00197014" w:rsidRPr="00D32560">
        <w:t xml:space="preserve"> I </w:t>
      </w:r>
      <w:r w:rsidR="00197014">
        <w:t>contend</w:t>
      </w:r>
      <w:r>
        <w:t>,</w:t>
      </w:r>
      <w:r w:rsidR="00197014">
        <w:t xml:space="preserve"> is a particular barrier for our</w:t>
      </w:r>
      <w:r w:rsidR="00197014" w:rsidRPr="00D32560">
        <w:t xml:space="preserve"> neophyte. </w:t>
      </w:r>
      <w:r>
        <w:t>But</w:t>
      </w:r>
      <w:r w:rsidR="00197014">
        <w:t xml:space="preserve"> neophyte</w:t>
      </w:r>
      <w:r>
        <w:t>s’</w:t>
      </w:r>
      <w:r w:rsidR="00197014">
        <w:t xml:space="preserve"> </w:t>
      </w:r>
      <w:r>
        <w:t xml:space="preserve">(and doctrinalists’) </w:t>
      </w:r>
      <w:r w:rsidR="00197014">
        <w:t>tendency to imagine that legal concepts have a mind-independent reality that offers only penumbral scope for interpretation.</w:t>
      </w:r>
    </w:p>
    <w:p w14:paraId="4A5CE0D3" w14:textId="77777777" w:rsidR="00AF366D" w:rsidRDefault="00AF366D" w:rsidP="00AF366D">
      <w:pPr>
        <w:pStyle w:val="Heading2"/>
      </w:pPr>
      <w:r>
        <w:t>More contestability than meets the eye</w:t>
      </w:r>
    </w:p>
    <w:p w14:paraId="6829CA8D" w14:textId="77777777" w:rsidR="00AF366D" w:rsidRDefault="00AF366D" w:rsidP="00AF366D">
      <w:r>
        <w:t>Whilst there are m</w:t>
      </w:r>
      <w:r w:rsidRPr="00F97B8D">
        <w:t>any obvious cases of</w:t>
      </w:r>
      <w:r>
        <w:t xml:space="preserve"> contestability, some contestable concepts seem to present uncontroversially—appearing much like the factive label for objects—and remain uncontested until particular circumstances cause lawyers, concerned to achieve a result that now seems demanded by circumstances of social need, put pressure on the concept.</w:t>
      </w:r>
    </w:p>
    <w:p w14:paraId="264C8380" w14:textId="57981F90" w:rsidR="00AF366D" w:rsidRDefault="00B76F3B" w:rsidP="00AF366D">
      <w:r>
        <w:t>L</w:t>
      </w:r>
      <w:r w:rsidR="00AF366D">
        <w:t>anguage fixed by Parliamen</w:t>
      </w:r>
      <w:r>
        <w:t>t can be seen to be contestable</w:t>
      </w:r>
      <w:r w:rsidR="00AF366D">
        <w:t>. Lord Bingham thought there to be</w:t>
      </w:r>
    </w:p>
    <w:p w14:paraId="605D9E23" w14:textId="01FFC53D" w:rsidR="00AF366D" w:rsidRDefault="00AF366D" w:rsidP="00AF366D">
      <w:pPr>
        <w:pStyle w:val="Quote"/>
      </w:pPr>
      <w:r>
        <w:t xml:space="preserve">‘no inconsistency between the rule that statutory language retains the meaning it had when Parliament used it and the rule that a statute is always speaking. If Parliament, however long ago, passed an Act applicable to dogs, it could not properly be interpreted to apply to cats; but it could properly be held to apply to animals which were not regarded as dogs when the Act was passed but are so regarded now. </w:t>
      </w:r>
      <w:r w:rsidRPr="008A37F8">
        <w:t xml:space="preserve">The meaning of ‘cruel and unusual punishments’ </w:t>
      </w:r>
      <w:r w:rsidRPr="008A37F8">
        <w:lastRenderedPageBreak/>
        <w:t>has not changed over the years since 1689, but many punishments</w:t>
      </w:r>
      <w:r>
        <w:t xml:space="preserve"> </w:t>
      </w:r>
      <w:r w:rsidRPr="00834B5D">
        <w:t>which were not then thought to fall within that category would now be held to do so</w:t>
      </w:r>
      <w:r>
        <w:t>.’</w:t>
      </w:r>
      <w:r>
        <w:rPr>
          <w:rStyle w:val="FootnoteReference"/>
        </w:rPr>
        <w:footnoteReference w:id="49"/>
      </w:r>
    </w:p>
    <w:p w14:paraId="4C3E542E" w14:textId="2758C93E" w:rsidR="00B76F3B" w:rsidRPr="00B76F3B" w:rsidRDefault="00B76F3B" w:rsidP="00B76F3B">
      <w:r w:rsidRPr="00B76F3B">
        <w:rPr>
          <w:i/>
        </w:rPr>
        <w:t>A fortiori</w:t>
      </w:r>
      <w:r>
        <w:t>, the many of the concepts of judge-made law are contestable.</w:t>
      </w:r>
    </w:p>
    <w:p w14:paraId="1A0E6E95" w14:textId="77777777" w:rsidR="00AF366D" w:rsidRPr="00F97B8D" w:rsidRDefault="00AF366D" w:rsidP="00AF366D">
      <w:pPr>
        <w:pStyle w:val="Heading2"/>
      </w:pPr>
      <w:r w:rsidRPr="00F97B8D">
        <w:t>Fact-sensitivity</w:t>
      </w:r>
    </w:p>
    <w:p w14:paraId="0D3CB9FF" w14:textId="61414374" w:rsidR="00AF366D" w:rsidRDefault="00AF366D" w:rsidP="00AF366D">
      <w:r>
        <w:t>To say, as judges often do, that a concept is ‘f</w:t>
      </w:r>
      <w:r w:rsidRPr="00F97B8D">
        <w:t>act-sensitiv</w:t>
      </w:r>
      <w:r>
        <w:t>e’</w:t>
      </w:r>
      <w:r w:rsidRPr="00F97B8D">
        <w:t xml:space="preserve"> recognises that</w:t>
      </w:r>
      <w:r>
        <w:t xml:space="preserve"> it cannot be mind-independent, because:</w:t>
      </w:r>
      <w:r w:rsidRPr="00F97B8D">
        <w:t xml:space="preserve"> </w:t>
      </w:r>
    </w:p>
    <w:p w14:paraId="6DB834FD" w14:textId="77777777" w:rsidR="00AF366D" w:rsidRDefault="00AF366D" w:rsidP="002E410C">
      <w:pPr>
        <w:pStyle w:val="ListParagraph"/>
        <w:numPr>
          <w:ilvl w:val="0"/>
          <w:numId w:val="10"/>
        </w:numPr>
        <w:ind w:hanging="720"/>
        <w:contextualSpacing w:val="0"/>
      </w:pPr>
      <w:r>
        <w:t>it is open-textured in the way that parking meter rules are not;</w:t>
      </w:r>
    </w:p>
    <w:p w14:paraId="4ED5C771" w14:textId="77777777" w:rsidR="00AF366D" w:rsidRDefault="00AF366D" w:rsidP="002E410C">
      <w:pPr>
        <w:pStyle w:val="ListParagraph"/>
        <w:numPr>
          <w:ilvl w:val="0"/>
          <w:numId w:val="10"/>
        </w:numPr>
        <w:ind w:hanging="720"/>
        <w:contextualSpacing w:val="0"/>
      </w:pPr>
      <w:r>
        <w:t xml:space="preserve">case-by-case variations in the parties’ circumstances will affect the concept’s application; and </w:t>
      </w:r>
    </w:p>
    <w:p w14:paraId="7A512BDD" w14:textId="7CAE536C" w:rsidR="00AF366D" w:rsidRPr="00F97B8D" w:rsidRDefault="00AF366D" w:rsidP="002E410C">
      <w:pPr>
        <w:pStyle w:val="ListParagraph"/>
        <w:numPr>
          <w:ilvl w:val="0"/>
          <w:numId w:val="10"/>
        </w:numPr>
        <w:ind w:hanging="720"/>
        <w:contextualSpacing w:val="0"/>
      </w:pPr>
      <w:r>
        <w:t xml:space="preserve">the concept is contestable and </w:t>
      </w:r>
      <w:r w:rsidR="00B76F3B">
        <w:t>sometimes</w:t>
      </w:r>
      <w:r>
        <w:t xml:space="preserve"> contested.</w:t>
      </w:r>
    </w:p>
    <w:p w14:paraId="58A46A23" w14:textId="664118DC" w:rsidR="002303F2" w:rsidRDefault="00B76F3B" w:rsidP="00AF366D">
      <w:r>
        <w:t>Fact-sensitive concepts</w:t>
      </w:r>
      <w:r w:rsidR="00AF366D">
        <w:t xml:space="preserve"> do </w:t>
      </w:r>
      <w:r>
        <w:t xml:space="preserve">not constitute a discrete class. They </w:t>
      </w:r>
      <w:r w:rsidR="00AF366D">
        <w:t>are simply contested-</w:t>
      </w:r>
      <w:proofErr w:type="spellStart"/>
      <w:r w:rsidR="00AF366D">
        <w:t>contestables</w:t>
      </w:r>
      <w:proofErr w:type="spellEnd"/>
      <w:r w:rsidR="00AF366D">
        <w:t xml:space="preserve"> that are applied</w:t>
      </w:r>
      <w:r w:rsidR="00CB7974">
        <w:t xml:space="preserve"> </w:t>
      </w:r>
      <w:r w:rsidR="00AF366D">
        <w:t>mind-dependently</w:t>
      </w:r>
      <w:r w:rsidR="00CB7974">
        <w:t xml:space="preserve">. </w:t>
      </w:r>
      <w:r w:rsidR="00AF366D">
        <w:t xml:space="preserve">For example, </w:t>
      </w:r>
      <w:r w:rsidR="00CB7974">
        <w:t xml:space="preserve">in </w:t>
      </w:r>
      <w:r w:rsidR="00CB7974" w:rsidRPr="00CB7974">
        <w:rPr>
          <w:bCs/>
          <w:i/>
        </w:rPr>
        <w:t xml:space="preserve">Richard </w:t>
      </w:r>
      <w:r w:rsidR="00CB7974" w:rsidRPr="00CB7974">
        <w:rPr>
          <w:bCs/>
        </w:rPr>
        <w:t>v</w:t>
      </w:r>
      <w:r w:rsidR="00CB7974">
        <w:rPr>
          <w:bCs/>
          <w:i/>
        </w:rPr>
        <w:t>.</w:t>
      </w:r>
      <w:r w:rsidR="00CB7974" w:rsidRPr="00CB7974">
        <w:rPr>
          <w:bCs/>
          <w:i/>
        </w:rPr>
        <w:t xml:space="preserve"> </w:t>
      </w:r>
      <w:bookmarkStart w:id="13" w:name="ORIGHIT_2"/>
      <w:bookmarkStart w:id="14" w:name="HIT_2"/>
      <w:bookmarkEnd w:id="13"/>
      <w:bookmarkEnd w:id="14"/>
      <w:r w:rsidR="00CB7974" w:rsidRPr="00CB7974">
        <w:rPr>
          <w:bCs/>
          <w:i/>
        </w:rPr>
        <w:t>British Broadcasting Corporation</w:t>
      </w:r>
      <w:r w:rsidR="00CB7974">
        <w:t>, Mann J thought the question of a reasonable expectation of privacy in a police investigation ‘fact sensitive’ and ‘</w:t>
      </w:r>
      <w:r w:rsidR="00CB7974" w:rsidRPr="00F97B8D">
        <w:t>not capable of a universal answer one way or the other</w:t>
      </w:r>
      <w:r w:rsidR="00CB7974">
        <w:t>’. He wondered</w:t>
      </w:r>
      <w:r w:rsidR="00CB7974" w:rsidRPr="00CB7974">
        <w:t xml:space="preserve"> </w:t>
      </w:r>
      <w:r w:rsidR="00CB7974">
        <w:t>‘</w:t>
      </w:r>
      <w:r w:rsidR="00CB7974" w:rsidRPr="00F97B8D">
        <w:t xml:space="preserve">whether there is a </w:t>
      </w:r>
      <w:r w:rsidR="00CB7974" w:rsidRPr="00F97B8D">
        <w:rPr>
          <w:i/>
          <w:iCs/>
        </w:rPr>
        <w:t xml:space="preserve">prima facie </w:t>
      </w:r>
      <w:r w:rsidR="00CB7974" w:rsidRPr="00F97B8D">
        <w:t>answer, or a usual answer, to act as a starting point (and gene</w:t>
      </w:r>
      <w:r w:rsidR="00CB7974">
        <w:t>ral guidance) in any given case’.</w:t>
      </w:r>
      <w:r w:rsidR="00CB7974">
        <w:rPr>
          <w:rStyle w:val="FootnoteReference"/>
        </w:rPr>
        <w:footnoteReference w:id="50"/>
      </w:r>
      <w:r w:rsidR="00CB7974">
        <w:t xml:space="preserve"> </w:t>
      </w:r>
      <w:r>
        <w:t>T</w:t>
      </w:r>
      <w:r w:rsidR="002303F2">
        <w:t xml:space="preserve">hen </w:t>
      </w:r>
      <w:r>
        <w:t xml:space="preserve">he </w:t>
      </w:r>
      <w:r w:rsidR="002303F2">
        <w:t>ruled that, ‘</w:t>
      </w:r>
      <w:r w:rsidR="00AF366D" w:rsidRPr="00F97B8D">
        <w:t>on the authorities, and as a matter of general principle, a suspect has a reasonable expectation of privacy in rel</w:t>
      </w:r>
      <w:r w:rsidR="002303F2">
        <w:t>ation to a police investigation’,</w:t>
      </w:r>
      <w:r w:rsidR="002303F2">
        <w:rPr>
          <w:rStyle w:val="FootnoteReference"/>
        </w:rPr>
        <w:footnoteReference w:id="51"/>
      </w:r>
      <w:r w:rsidR="00AF366D" w:rsidRPr="00F97B8D">
        <w:t xml:space="preserve"> </w:t>
      </w:r>
      <w:r w:rsidR="002303F2">
        <w:t>adding that there is no ‘</w:t>
      </w:r>
      <w:r w:rsidR="002303F2" w:rsidRPr="00F97B8D">
        <w:t>invariable right to privacy</w:t>
      </w:r>
      <w:r w:rsidR="002303F2">
        <w:t xml:space="preserve">’—no litmus test. </w:t>
      </w:r>
    </w:p>
    <w:p w14:paraId="6A8D19AC" w14:textId="75BFC2E3" w:rsidR="00AF366D" w:rsidRPr="00F97B8D" w:rsidRDefault="002303F2" w:rsidP="002303F2">
      <w:pPr>
        <w:pStyle w:val="Quote"/>
      </w:pPr>
      <w:r>
        <w:t>‘</w:t>
      </w:r>
      <w:r w:rsidR="00AF366D" w:rsidRPr="00F97B8D">
        <w:t>There may be all sorts of reasons why, in a given case, there is no reasonable expectation of privacy, or why an original reasonable expectation is displaced.</w:t>
      </w:r>
      <w:r>
        <w:t>’</w:t>
      </w:r>
      <w:r>
        <w:rPr>
          <w:rStyle w:val="FootnoteReference"/>
        </w:rPr>
        <w:footnoteReference w:id="52"/>
      </w:r>
    </w:p>
    <w:p w14:paraId="66B3FFCD" w14:textId="08A2FB44" w:rsidR="00197014" w:rsidRDefault="00BE4A91" w:rsidP="00197014">
      <w:pPr>
        <w:pStyle w:val="Heading2"/>
      </w:pPr>
      <w:r>
        <w:t>C</w:t>
      </w:r>
      <w:r w:rsidR="00197014">
        <w:t>ontestation</w:t>
      </w:r>
      <w:r>
        <w:t>: marginal and whole</w:t>
      </w:r>
      <w:r w:rsidR="00B76F3B">
        <w:t>-</w:t>
      </w:r>
      <w:r>
        <w:t>concept models</w:t>
      </w:r>
    </w:p>
    <w:p w14:paraId="22694C64" w14:textId="059D8C95" w:rsidR="00197014" w:rsidRDefault="00177AB1" w:rsidP="00197014">
      <w:r>
        <w:t>Our tripartite distinction</w:t>
      </w:r>
      <w:r w:rsidR="00BE4A91">
        <w:t xml:space="preserve"> might well set our neophyte on the right track, but it might also help to find </w:t>
      </w:r>
      <w:r>
        <w:t xml:space="preserve">occasional </w:t>
      </w:r>
      <w:r w:rsidR="00BE4A91">
        <w:t xml:space="preserve">curriculum opportunities to explain something of the </w:t>
      </w:r>
      <w:r w:rsidR="00197014">
        <w:t xml:space="preserve">further </w:t>
      </w:r>
      <w:r>
        <w:t>distinction</w:t>
      </w:r>
      <w:r w:rsidR="00197014">
        <w:t xml:space="preserve"> between: </w:t>
      </w:r>
    </w:p>
    <w:p w14:paraId="3CA467E7" w14:textId="2C9655B8" w:rsidR="00992B86" w:rsidRDefault="00D32560" w:rsidP="00992B86">
      <w:pPr>
        <w:ind w:left="720" w:hanging="720"/>
      </w:pPr>
      <w:r>
        <w:t>(a</w:t>
      </w:r>
      <w:r w:rsidR="00992B86">
        <w:t>)</w:t>
      </w:r>
      <w:r w:rsidR="00992B86">
        <w:tab/>
      </w:r>
      <w:r>
        <w:t>cases of marginal or penumbral contestation, in which the core remains uncontroversial, as</w:t>
      </w:r>
      <w:r w:rsidR="00B76F3B">
        <w:t xml:space="preserve"> when</w:t>
      </w:r>
      <w:r w:rsidR="009A1909">
        <w:t xml:space="preserve"> the penalty flag comes up, the car</w:t>
      </w:r>
      <w:r>
        <w:t xml:space="preserve"> having part-exited the parking bay; and </w:t>
      </w:r>
    </w:p>
    <w:p w14:paraId="0A32DF04" w14:textId="77777777" w:rsidR="00197014" w:rsidRDefault="00197014" w:rsidP="00197014">
      <w:pPr>
        <w:ind w:left="720" w:hanging="720"/>
      </w:pPr>
      <w:r>
        <w:t>(b)</w:t>
      </w:r>
      <w:r>
        <w:tab/>
        <w:t xml:space="preserve">cases in which there are contestable, and-contested, conceptions of the whole concept. </w:t>
      </w:r>
    </w:p>
    <w:p w14:paraId="5F216CDA" w14:textId="0A9DF7C4" w:rsidR="009A1909" w:rsidRDefault="00197014" w:rsidP="00197014">
      <w:r>
        <w:t xml:space="preserve">In both classes the </w:t>
      </w:r>
      <w:r w:rsidR="00BA5582">
        <w:t>broad-</w:t>
      </w:r>
      <w:r w:rsidR="00BE4A91">
        <w:t xml:space="preserve">brush </w:t>
      </w:r>
      <w:r>
        <w:t xml:space="preserve">concept of ‘extension’ might be used, but (a) adding a conservatory to a house is very different from (b) turning the house into a school with a rear extension. Furthermore, in the following examples, several variants of (b) can be identified: re-interpretation; supplementation; sub-division; displacement; and expansion. </w:t>
      </w:r>
    </w:p>
    <w:p w14:paraId="5CA2449D" w14:textId="452CE4F1" w:rsidR="00197014" w:rsidRDefault="00197014" w:rsidP="00197014">
      <w:r>
        <w:lastRenderedPageBreak/>
        <w:t>As an achievable pedagogic target for our neophyte’s learning, we should probably concentrate on the (a)/(b) distinction rather than distinguishing the variants</w:t>
      </w:r>
      <w:r w:rsidR="00177AB1">
        <w:t>. But I explore them here</w:t>
      </w:r>
      <w:r>
        <w:t xml:space="preserve"> to illustrate the </w:t>
      </w:r>
      <w:r w:rsidR="00F256EC">
        <w:t>potential of</w:t>
      </w:r>
      <w:r>
        <w:t xml:space="preserve"> this kind of analysis.</w:t>
      </w:r>
    </w:p>
    <w:p w14:paraId="582F22A9" w14:textId="55D827A5" w:rsidR="00197014" w:rsidRPr="00F37F4F" w:rsidRDefault="00F256EC" w:rsidP="002E410C">
      <w:pPr>
        <w:pStyle w:val="Heading3"/>
        <w:numPr>
          <w:ilvl w:val="0"/>
          <w:numId w:val="19"/>
        </w:numPr>
      </w:pPr>
      <w:r w:rsidRPr="00F37F4F">
        <w:t>Core/penumbra</w:t>
      </w:r>
      <w:r w:rsidR="00197014" w:rsidRPr="00F37F4F">
        <w:t>: the on/off switch</w:t>
      </w:r>
    </w:p>
    <w:p w14:paraId="23518F41" w14:textId="5AAC3A9F" w:rsidR="00D32560" w:rsidRDefault="00D32560" w:rsidP="00D32560">
      <w:r w:rsidRPr="00151751">
        <w:t xml:space="preserve">Despite the binary nature of the action envisaged, </w:t>
      </w:r>
      <w:r w:rsidRPr="007F2244">
        <w:rPr>
          <w:i/>
        </w:rPr>
        <w:t>A</w:t>
      </w:r>
      <w:r>
        <w:rPr>
          <w:i/>
        </w:rPr>
        <w:t xml:space="preserve">n NHS </w:t>
      </w:r>
      <w:r w:rsidRPr="007F2244">
        <w:rPr>
          <w:i/>
        </w:rPr>
        <w:t>Trust</w:t>
      </w:r>
      <w:r>
        <w:t xml:space="preserve"> v. </w:t>
      </w:r>
      <w:r w:rsidRPr="00BE11B0">
        <w:rPr>
          <w:i/>
        </w:rPr>
        <w:t>Y</w:t>
      </w:r>
      <w:r>
        <w:rPr>
          <w:i/>
        </w:rPr>
        <w:t xml:space="preserve"> </w:t>
      </w:r>
      <w:r>
        <w:t>evidences considerable uncertainties.</w:t>
      </w:r>
      <w:bookmarkStart w:id="15" w:name="_Ref521064605"/>
      <w:r>
        <w:rPr>
          <w:rStyle w:val="FootnoteReference"/>
        </w:rPr>
        <w:footnoteReference w:id="53"/>
      </w:r>
      <w:bookmarkEnd w:id="15"/>
      <w:r>
        <w:t xml:space="preserve"> After 90 paragraphs reviewing the fairly extensive case law and medical guidelines and a further 35 paragraphs </w:t>
      </w:r>
      <w:r w:rsidR="00992B86">
        <w:t xml:space="preserve">of </w:t>
      </w:r>
      <w:r>
        <w:t>discussion, the verdict emerge</w:t>
      </w:r>
      <w:r w:rsidR="00992B86">
        <w:t>s</w:t>
      </w:r>
      <w:r>
        <w:t xml:space="preserve"> that there is no common law (or Convention-derived rule) requiring prior judicial sanction for </w:t>
      </w:r>
      <w:r w:rsidRPr="00992B86">
        <w:rPr>
          <w:i/>
        </w:rPr>
        <w:t>all</w:t>
      </w:r>
      <w:r>
        <w:t xml:space="preserve"> life-ending decisions to withdraw treatment of patients who evidence a ‘</w:t>
      </w:r>
      <w:r w:rsidRPr="007073C7">
        <w:t>prolonged disorder of consciousness</w:t>
      </w:r>
      <w:r>
        <w:t>’</w:t>
      </w:r>
      <w:r w:rsidR="00992B86">
        <w:t>.</w:t>
      </w:r>
      <w:r>
        <w:rPr>
          <w:rStyle w:val="FootnoteReference"/>
        </w:rPr>
        <w:footnoteReference w:id="54"/>
      </w:r>
      <w:r>
        <w:t xml:space="preserve"> </w:t>
      </w:r>
      <w:r w:rsidR="00992B86">
        <w:t xml:space="preserve">Further, it was decided </w:t>
      </w:r>
      <w:r>
        <w:t xml:space="preserve">that treatment can be withdrawn without seeking a declaration provided that: professional guidelines are followed; and medical and family opinions on whether withdrawing treatment is in the patient’s best interests coincide. </w:t>
      </w:r>
    </w:p>
    <w:p w14:paraId="0AF16CA2" w14:textId="11231BF7" w:rsidR="00D32560" w:rsidRPr="00242408" w:rsidRDefault="00D32560" w:rsidP="00D32560">
      <w:r>
        <w:t xml:space="preserve">That much being clear, our neophyte could simply record and learn </w:t>
      </w:r>
      <w:r w:rsidR="00F256EC">
        <w:t>it</w:t>
      </w:r>
      <w:r>
        <w:t xml:space="preserve">. </w:t>
      </w:r>
      <w:r w:rsidR="0089648D">
        <w:t xml:space="preserve">However, </w:t>
      </w:r>
      <w:r w:rsidR="00197014">
        <w:t>the</w:t>
      </w:r>
      <w:r w:rsidR="00F256EC">
        <w:t xml:space="preserve"> two provisos are open-</w:t>
      </w:r>
      <w:r w:rsidR="00053851">
        <w:t>textured,</w:t>
      </w:r>
      <w:r w:rsidR="00F256EC">
        <w:t xml:space="preserve"> and</w:t>
      </w:r>
      <w:r w:rsidR="00197014">
        <w:t xml:space="preserve"> the judgment offers no clear test of: who counts as a relevant medical professional; or what to do if the patient’s spouse is against withdrawal and the one adult child thinks withdrawal preferable. Core-penumbra </w:t>
      </w:r>
      <w:r w:rsidR="002F3DFF">
        <w:t xml:space="preserve">(a) </w:t>
      </w:r>
      <w:r w:rsidR="00197014">
        <w:t xml:space="preserve">analysis </w:t>
      </w:r>
      <w:r w:rsidR="0089648D">
        <w:t>fits well enough</w:t>
      </w:r>
      <w:r>
        <w:t>.</w:t>
      </w:r>
    </w:p>
    <w:p w14:paraId="6AE14948" w14:textId="0725A090" w:rsidR="00197014" w:rsidRPr="00F97B8D" w:rsidRDefault="002F3DFF" w:rsidP="002E410C">
      <w:pPr>
        <w:pStyle w:val="Heading3"/>
        <w:numPr>
          <w:ilvl w:val="0"/>
          <w:numId w:val="19"/>
        </w:numPr>
      </w:pPr>
      <w:r>
        <w:t>Re-interpretation</w:t>
      </w:r>
      <w:r w:rsidR="00197014">
        <w:t xml:space="preserve">: </w:t>
      </w:r>
      <w:r w:rsidR="00197014" w:rsidRPr="00F97B8D">
        <w:t>‘</w:t>
      </w:r>
      <w:r w:rsidR="00197014">
        <w:t>h</w:t>
      </w:r>
      <w:r w:rsidR="00197014" w:rsidRPr="00F97B8D">
        <w:t>ome’</w:t>
      </w:r>
    </w:p>
    <w:p w14:paraId="5FC54577" w14:textId="7CD7CA5C" w:rsidR="00D32560" w:rsidRPr="00F97B8D" w:rsidRDefault="00197014" w:rsidP="00D32560">
      <w:r>
        <w:t>The</w:t>
      </w:r>
      <w:r w:rsidR="00D32560">
        <w:t xml:space="preserve"> core-penumbra approach is less apt to describe the issue in </w:t>
      </w:r>
      <w:r w:rsidR="00D32560" w:rsidRPr="00F97B8D">
        <w:rPr>
          <w:i/>
          <w:iCs/>
        </w:rPr>
        <w:t>R (Walford)</w:t>
      </w:r>
      <w:r w:rsidR="00D32560" w:rsidRPr="00F97B8D">
        <w:t xml:space="preserve"> v. </w:t>
      </w:r>
      <w:r w:rsidR="00D32560" w:rsidRPr="00F97B8D">
        <w:rPr>
          <w:i/>
          <w:iCs/>
        </w:rPr>
        <w:t>Worcestershire County Council</w:t>
      </w:r>
      <w:r w:rsidR="00D32560">
        <w:rPr>
          <w:i/>
          <w:iCs/>
        </w:rPr>
        <w:t>,</w:t>
      </w:r>
      <w:r w:rsidR="00D32560" w:rsidRPr="00B64ACC">
        <w:rPr>
          <w:rStyle w:val="FootnoteReference"/>
          <w:iCs/>
        </w:rPr>
        <w:footnoteReference w:id="55"/>
      </w:r>
      <w:r w:rsidR="00D32560">
        <w:rPr>
          <w:i/>
          <w:iCs/>
        </w:rPr>
        <w:t xml:space="preserve"> viz.</w:t>
      </w:r>
      <w:r w:rsidR="00D32560">
        <w:rPr>
          <w:iCs/>
        </w:rPr>
        <w:t xml:space="preserve"> whether Ms Walford was entitled to regard as her ‘home’ her mother’s house, in which her mother had lived until going into care. If so, the value of the house would be disregarded in assessing the mother’s ability to pay the </w:t>
      </w:r>
      <w:r w:rsidR="00992B86">
        <w:rPr>
          <w:iCs/>
        </w:rPr>
        <w:t xml:space="preserve">care </w:t>
      </w:r>
      <w:r w:rsidR="00D32560">
        <w:rPr>
          <w:iCs/>
        </w:rPr>
        <w:t xml:space="preserve">costs. Ms Walford lived elsewhere but kept a room and office at her mother’s and intended to live there on retirement. On a narrow view, </w:t>
      </w:r>
      <w:r w:rsidR="00D32560" w:rsidRPr="00F97B8D">
        <w:t xml:space="preserve">‘home’ </w:t>
      </w:r>
      <w:r w:rsidR="00D32560">
        <w:t xml:space="preserve">is </w:t>
      </w:r>
      <w:r w:rsidR="00D32560" w:rsidRPr="00F97B8D">
        <w:t>simply the building in which one usually sleeps and from which one is entitled to exclude others</w:t>
      </w:r>
      <w:r w:rsidR="00D32560">
        <w:t xml:space="preserve">. </w:t>
      </w:r>
      <w:r>
        <w:t>On a bro</w:t>
      </w:r>
      <w:r w:rsidR="002F3DFF">
        <w:t>a</w:t>
      </w:r>
      <w:r>
        <w:t>der view, ‘home’ is</w:t>
      </w:r>
      <w:r w:rsidR="00D32560">
        <w:rPr>
          <w:rFonts w:cstheme="minorHAnsi"/>
        </w:rPr>
        <w:t>—</w:t>
      </w:r>
      <w:r w:rsidR="00D32560">
        <w:t xml:space="preserve">to use Margaret </w:t>
      </w:r>
      <w:proofErr w:type="spellStart"/>
      <w:r w:rsidR="00D32560">
        <w:t>Radin’s</w:t>
      </w:r>
      <w:proofErr w:type="spellEnd"/>
      <w:r w:rsidR="00D32560">
        <w:t xml:space="preserve"> expression</w:t>
      </w:r>
      <w:r w:rsidR="00D32560">
        <w:rPr>
          <w:rFonts w:cstheme="minorHAnsi"/>
        </w:rPr>
        <w:t>—</w:t>
      </w:r>
      <w:r w:rsidR="00D32560" w:rsidRPr="00F97B8D">
        <w:t>‘affirmatively part of oneself’</w:t>
      </w:r>
      <w:r w:rsidR="00D32560">
        <w:t xml:space="preserve">? To find for Ms Walford, </w:t>
      </w:r>
      <w:proofErr w:type="spellStart"/>
      <w:r w:rsidR="00D32560">
        <w:t>Supperstone</w:t>
      </w:r>
      <w:proofErr w:type="spellEnd"/>
      <w:r w:rsidR="00D32560">
        <w:t xml:space="preserve"> J had to adopt the latter broader—psychological rather than geophysical—conception of the concept of ‘home’.</w:t>
      </w:r>
    </w:p>
    <w:p w14:paraId="2E06DF3E" w14:textId="77777777" w:rsidR="00D32560" w:rsidRDefault="00D32560" w:rsidP="00D32560">
      <w:pPr>
        <w:pStyle w:val="Quote"/>
      </w:pPr>
      <w:r w:rsidRPr="00F97B8D">
        <w:t xml:space="preserve">‘Home is a place to which a person has a degree of attachment both physical and emotional. The test as to whether a person occupies premises as their </w:t>
      </w:r>
      <w:r>
        <w:t>“</w:t>
      </w:r>
      <w:r w:rsidRPr="00F97B8D">
        <w:t>home</w:t>
      </w:r>
      <w:r>
        <w:t>”</w:t>
      </w:r>
      <w:r w:rsidRPr="00F97B8D">
        <w:t xml:space="preserve"> is both qualitative and quantitative.’</w:t>
      </w:r>
    </w:p>
    <w:p w14:paraId="58AF0E69" w14:textId="5AAA8C73" w:rsidR="00D32560" w:rsidRPr="00E36C5E" w:rsidRDefault="00D32560" w:rsidP="00D32560">
      <w:r>
        <w:lastRenderedPageBreak/>
        <w:t>Interestingly, this broader conception was common ground between the parties at first instance. Furthermore, in finding (effectively)</w:t>
      </w:r>
      <w:r>
        <w:rPr>
          <w:rStyle w:val="FootnoteReference"/>
        </w:rPr>
        <w:footnoteReference w:id="56"/>
      </w:r>
      <w:r>
        <w:t xml:space="preserve"> for the local authority, the Court of Appeal did not reject the broader conception but focused on its quantitative aspect, holding that keeping rooms there was insufficient. This is not core-penumbral but </w:t>
      </w:r>
      <w:r w:rsidR="008C458C">
        <w:t>whole-concept</w:t>
      </w:r>
      <w:r>
        <w:t xml:space="preserve"> thinking. Any answer to the question ‘insufficient for what?’ must engage with the broader conception of ‘home’.</w:t>
      </w:r>
      <w:r w:rsidR="000B7B04">
        <w:rPr>
          <w:rStyle w:val="FootnoteReference"/>
          <w:shd w:val="clear" w:color="auto" w:fill="FFFFFF"/>
        </w:rPr>
        <w:footnoteReference w:id="57"/>
      </w:r>
    </w:p>
    <w:p w14:paraId="6BBC54E5" w14:textId="7C9F420D" w:rsidR="00197014" w:rsidRPr="00F97B8D" w:rsidRDefault="002F3DFF" w:rsidP="002E410C">
      <w:pPr>
        <w:pStyle w:val="Heading3"/>
        <w:numPr>
          <w:ilvl w:val="0"/>
          <w:numId w:val="19"/>
        </w:numPr>
      </w:pPr>
      <w:r>
        <w:t>Supplementation</w:t>
      </w:r>
      <w:r w:rsidR="003D05A8">
        <w:t>:</w:t>
      </w:r>
      <w:r w:rsidR="00197014">
        <w:t xml:space="preserve"> ‘invisible handcuffs’</w:t>
      </w:r>
    </w:p>
    <w:p w14:paraId="3311B6C0" w14:textId="1374B8AA" w:rsidR="00D32560" w:rsidRDefault="00F37F4F" w:rsidP="00D32560">
      <w:pPr>
        <w:tabs>
          <w:tab w:val="left" w:pos="709"/>
        </w:tabs>
      </w:pPr>
      <w:r>
        <w:t>O</w:t>
      </w:r>
      <w:r w:rsidR="00D32560">
        <w:t>ne might imagine that the false imprisonment tort enables victims of enslavement by ‘invisible handcuffs’</w:t>
      </w:r>
      <w:r w:rsidR="002F3DFF">
        <w:t xml:space="preserve">, </w:t>
      </w:r>
      <w:r w:rsidR="00D32560">
        <w:t xml:space="preserve">or those acting </w:t>
      </w:r>
      <w:r w:rsidR="002F3DFF">
        <w:t>for them</w:t>
      </w:r>
      <w:r w:rsidR="008C458C">
        <w:t xml:space="preserve">, </w:t>
      </w:r>
      <w:r w:rsidR="00D32560">
        <w:t>to bring tort actions for compensation</w:t>
      </w:r>
      <w:r w:rsidR="004C71B2">
        <w:t xml:space="preserve"> rather than rely on criminal prosecution</w:t>
      </w:r>
      <w:r w:rsidR="002F3DFF">
        <w:t xml:space="preserve">s </w:t>
      </w:r>
      <w:r w:rsidR="008C458C">
        <w:t>(which</w:t>
      </w:r>
      <w:r w:rsidR="002F3DFF">
        <w:t xml:space="preserve"> demand a</w:t>
      </w:r>
      <w:r w:rsidR="004C71B2">
        <w:t xml:space="preserve"> higher standard of proof and, even if private, </w:t>
      </w:r>
      <w:r w:rsidR="002F3DFF">
        <w:t xml:space="preserve">are </w:t>
      </w:r>
      <w:r w:rsidR="004C71B2">
        <w:t>subject to Crown Prosecution Service control</w:t>
      </w:r>
      <w:r w:rsidR="008C458C">
        <w:t>)</w:t>
      </w:r>
      <w:r w:rsidR="00D32560">
        <w:t>.</w:t>
      </w:r>
      <w:r w:rsidR="00992B86">
        <w:rPr>
          <w:rStyle w:val="FootnoteReference"/>
        </w:rPr>
        <w:footnoteReference w:id="58"/>
      </w:r>
      <w:r w:rsidR="00D32560">
        <w:t xml:space="preserve"> However, the dominant conception of </w:t>
      </w:r>
      <w:r w:rsidR="003D05A8">
        <w:t xml:space="preserve">tortious </w:t>
      </w:r>
      <w:r w:rsidR="00D32560">
        <w:t xml:space="preserve">‘imprisonment’ </w:t>
      </w:r>
      <w:r w:rsidR="003D05A8">
        <w:t xml:space="preserve">has been </w:t>
      </w:r>
      <w:r w:rsidR="00D32560">
        <w:t xml:space="preserve">geo-physical, with </w:t>
      </w:r>
      <w:r w:rsidR="00D32560" w:rsidRPr="00F97B8D">
        <w:rPr>
          <w:i/>
          <w:iCs/>
        </w:rPr>
        <w:t>Bird</w:t>
      </w:r>
      <w:r w:rsidR="00D32560" w:rsidRPr="00F97B8D">
        <w:t xml:space="preserve"> v. </w:t>
      </w:r>
      <w:r w:rsidR="00D32560" w:rsidRPr="00F97B8D">
        <w:rPr>
          <w:i/>
          <w:iCs/>
        </w:rPr>
        <w:t>Jones</w:t>
      </w:r>
      <w:r w:rsidR="00AA0C06">
        <w:rPr>
          <w:rStyle w:val="FootnoteReference"/>
        </w:rPr>
        <w:footnoteReference w:id="59"/>
      </w:r>
      <w:r w:rsidR="00AA0C06">
        <w:t xml:space="preserve"> </w:t>
      </w:r>
      <w:r w:rsidR="00D32560">
        <w:t>taken as the paradigm</w:t>
      </w:r>
      <w:r w:rsidR="00AA0C06">
        <w:t xml:space="preserve"> and entrenched in the textbooks</w:t>
      </w:r>
      <w:r w:rsidR="00D32560">
        <w:t xml:space="preserve">. </w:t>
      </w:r>
      <w:r w:rsidR="003D05A8">
        <w:t>T</w:t>
      </w:r>
      <w:r w:rsidR="00AA0C06">
        <w:t>hat</w:t>
      </w:r>
      <w:r w:rsidR="00D32560">
        <w:t xml:space="preserve"> conception </w:t>
      </w:r>
      <w:r w:rsidR="003D05A8">
        <w:t>advantages claimants who suffer</w:t>
      </w:r>
      <w:r w:rsidR="00D32560">
        <w:t xml:space="preserve"> the indignity of imprisonment whilst </w:t>
      </w:r>
      <w:r w:rsidR="001D509E">
        <w:t>unaware</w:t>
      </w:r>
      <w:r w:rsidR="003D05A8">
        <w:t>,</w:t>
      </w:r>
      <w:r w:rsidR="00AA0C06">
        <w:rPr>
          <w:rStyle w:val="FootnoteReference"/>
        </w:rPr>
        <w:footnoteReference w:id="60"/>
      </w:r>
      <w:r w:rsidR="003D05A8">
        <w:t xml:space="preserve"> whose claims would,</w:t>
      </w:r>
      <w:r w:rsidR="00D32560">
        <w:t xml:space="preserve"> on a purely psychological conception</w:t>
      </w:r>
      <w:r w:rsidR="003D05A8">
        <w:t>, fail absent</w:t>
      </w:r>
      <w:r w:rsidR="00D32560">
        <w:t xml:space="preserve"> some repu</w:t>
      </w:r>
      <w:r w:rsidR="002F3DFF">
        <w:t>tational damage. B</w:t>
      </w:r>
      <w:r w:rsidR="003D05A8">
        <w:t xml:space="preserve">ut </w:t>
      </w:r>
      <w:r w:rsidR="002F3DFF">
        <w:t xml:space="preserve">it </w:t>
      </w:r>
      <w:r w:rsidR="003D05A8">
        <w:t xml:space="preserve">does nothing for those in ‘invisible handcuffs’. </w:t>
      </w:r>
    </w:p>
    <w:p w14:paraId="10FF9033" w14:textId="1E53AF6D" w:rsidR="00A11591" w:rsidRDefault="008C458C" w:rsidP="00D32560">
      <w:pPr>
        <w:tabs>
          <w:tab w:val="left" w:pos="709"/>
        </w:tabs>
        <w:rPr>
          <w:rFonts w:cstheme="minorHAnsi"/>
        </w:rPr>
      </w:pPr>
      <w:r>
        <w:t xml:space="preserve">However, </w:t>
      </w:r>
      <w:r w:rsidR="00D32560">
        <w:t>the psychological and physica</w:t>
      </w:r>
      <w:r w:rsidR="00C45A30">
        <w:t xml:space="preserve">l conceptions can co-exist. </w:t>
      </w:r>
      <w:r w:rsidR="00DF1A64">
        <w:t>The</w:t>
      </w:r>
      <w:r w:rsidR="00DF1A64" w:rsidRPr="00DF1A64">
        <w:t xml:space="preserve"> </w:t>
      </w:r>
      <w:r w:rsidR="00DF1A64">
        <w:t>Newfoundland Supreme Court has</w:t>
      </w:r>
      <w:r w:rsidR="00D32560">
        <w:t xml:space="preserve"> </w:t>
      </w:r>
      <w:r w:rsidR="00C45A30">
        <w:t>accommodate</w:t>
      </w:r>
      <w:r w:rsidR="00DF1A64">
        <w:t>d</w:t>
      </w:r>
      <w:r w:rsidR="00C45A30">
        <w:t xml:space="preserve"> a psychological conception</w:t>
      </w:r>
      <w:r>
        <w:t>;</w:t>
      </w:r>
      <w:r w:rsidR="00D32560">
        <w:rPr>
          <w:rStyle w:val="FootnoteReference"/>
        </w:rPr>
        <w:footnoteReference w:id="61"/>
      </w:r>
      <w:r w:rsidR="00D32560">
        <w:t xml:space="preserve"> </w:t>
      </w:r>
      <w:r w:rsidR="0098273C">
        <w:t xml:space="preserve">Denman CJ </w:t>
      </w:r>
      <w:r w:rsidR="001D509E">
        <w:t>took a similar line</w:t>
      </w:r>
      <w:r w:rsidR="003D05A8">
        <w:t>, unsuccessfully,</w:t>
      </w:r>
      <w:r w:rsidR="0098273C">
        <w:t xml:space="preserve"> </w:t>
      </w:r>
      <w:r w:rsidR="00D32560">
        <w:t xml:space="preserve">in </w:t>
      </w:r>
      <w:r w:rsidR="00D32560" w:rsidRPr="00C76B62">
        <w:rPr>
          <w:i/>
        </w:rPr>
        <w:t>Bird</w:t>
      </w:r>
      <w:r w:rsidR="00D32560">
        <w:t xml:space="preserve"> v. </w:t>
      </w:r>
      <w:r w:rsidR="00D32560" w:rsidRPr="00C76B62">
        <w:rPr>
          <w:i/>
        </w:rPr>
        <w:t>Jones</w:t>
      </w:r>
      <w:r w:rsidR="00D32560">
        <w:t xml:space="preserve"> itself</w:t>
      </w:r>
      <w:r>
        <w:t>;</w:t>
      </w:r>
      <w:r w:rsidR="00D32560">
        <w:rPr>
          <w:rStyle w:val="FootnoteReference"/>
        </w:rPr>
        <w:footnoteReference w:id="62"/>
      </w:r>
      <w:r w:rsidR="00DF1A64">
        <w:t xml:space="preserve"> </w:t>
      </w:r>
      <w:r w:rsidR="001D509E">
        <w:t>and, r</w:t>
      </w:r>
      <w:r w:rsidR="00DF1A64">
        <w:t xml:space="preserve">ecently, in </w:t>
      </w:r>
      <w:r w:rsidR="00DF1A64" w:rsidRPr="00DF1A64">
        <w:rPr>
          <w:bCs/>
          <w:i/>
        </w:rPr>
        <w:t>R (</w:t>
      </w:r>
      <w:proofErr w:type="spellStart"/>
      <w:r w:rsidR="00DF1A64" w:rsidRPr="00DF1A64">
        <w:rPr>
          <w:bCs/>
          <w:i/>
        </w:rPr>
        <w:t>Jollah</w:t>
      </w:r>
      <w:proofErr w:type="spellEnd"/>
      <w:r w:rsidR="00DF1A64" w:rsidRPr="00DF1A64">
        <w:rPr>
          <w:bCs/>
          <w:i/>
        </w:rPr>
        <w:t>)</w:t>
      </w:r>
      <w:r w:rsidR="00DF1A64" w:rsidRPr="00DF1A64">
        <w:rPr>
          <w:bCs/>
        </w:rPr>
        <w:t xml:space="preserve"> v</w:t>
      </w:r>
      <w:r w:rsidR="00DF1A64">
        <w:rPr>
          <w:bCs/>
        </w:rPr>
        <w:t>.</w:t>
      </w:r>
      <w:r w:rsidR="00DF1A64" w:rsidRPr="00DF1A64">
        <w:rPr>
          <w:bCs/>
        </w:rPr>
        <w:t xml:space="preserve"> </w:t>
      </w:r>
      <w:r w:rsidR="00DF1A64" w:rsidRPr="00DF1A64">
        <w:rPr>
          <w:bCs/>
          <w:i/>
        </w:rPr>
        <w:t>Secretary of State for the Home Department</w:t>
      </w:r>
      <w:r w:rsidR="00DF1A64">
        <w:rPr>
          <w:rFonts w:cstheme="minorHAnsi"/>
        </w:rPr>
        <w:t xml:space="preserve">, the </w:t>
      </w:r>
      <w:r w:rsidR="00DF1A64">
        <w:rPr>
          <w:rFonts w:cstheme="minorHAnsi"/>
        </w:rPr>
        <w:lastRenderedPageBreak/>
        <w:t xml:space="preserve">Court of Appeal </w:t>
      </w:r>
      <w:r w:rsidR="003D05A8">
        <w:rPr>
          <w:rFonts w:cstheme="minorHAnsi"/>
        </w:rPr>
        <w:t>endorsed</w:t>
      </w:r>
      <w:r w:rsidR="00DF1A64">
        <w:rPr>
          <w:rFonts w:cstheme="minorHAnsi"/>
        </w:rPr>
        <w:t xml:space="preserve"> a similar move. Under a defectively authorised night-time curfew, </w:t>
      </w:r>
      <w:r>
        <w:rPr>
          <w:rFonts w:cstheme="minorHAnsi"/>
        </w:rPr>
        <w:t xml:space="preserve">Mr </w:t>
      </w:r>
      <w:proofErr w:type="spellStart"/>
      <w:r>
        <w:rPr>
          <w:rFonts w:cstheme="minorHAnsi"/>
        </w:rPr>
        <w:t>Jollah</w:t>
      </w:r>
      <w:proofErr w:type="spellEnd"/>
      <w:r w:rsidR="00DF1A64">
        <w:rPr>
          <w:rFonts w:cstheme="minorHAnsi"/>
        </w:rPr>
        <w:t xml:space="preserve"> was tagged and under threat of sanctions </w:t>
      </w:r>
      <w:r w:rsidR="001D509E">
        <w:rPr>
          <w:rFonts w:cstheme="minorHAnsi"/>
        </w:rPr>
        <w:t xml:space="preserve">should he leave his </w:t>
      </w:r>
      <w:r w:rsidR="00AA0C06">
        <w:rPr>
          <w:rFonts w:cstheme="minorHAnsi"/>
        </w:rPr>
        <w:t>abode</w:t>
      </w:r>
      <w:r w:rsidR="00A11591">
        <w:rPr>
          <w:rFonts w:cstheme="minorHAnsi"/>
        </w:rPr>
        <w:t>.</w:t>
      </w:r>
      <w:r w:rsidR="007E5EF0">
        <w:rPr>
          <w:rFonts w:cstheme="minorHAnsi"/>
        </w:rPr>
        <w:t xml:space="preserve"> The ‘</w:t>
      </w:r>
      <w:r w:rsidR="007E5EF0" w:rsidRPr="007E5EF0">
        <w:rPr>
          <w:rFonts w:cstheme="minorHAnsi"/>
        </w:rPr>
        <w:t>restraint</w:t>
      </w:r>
      <w:r w:rsidR="007E5EF0">
        <w:rPr>
          <w:rFonts w:cstheme="minorHAnsi"/>
        </w:rPr>
        <w:t>’ was ‘</w:t>
      </w:r>
      <w:r w:rsidR="007E5EF0" w:rsidRPr="007E5EF0">
        <w:rPr>
          <w:rFonts w:cstheme="minorHAnsi"/>
        </w:rPr>
        <w:t>sufficiently “complete” for the purpose of the tort</w:t>
      </w:r>
      <w:r w:rsidR="007E5EF0">
        <w:rPr>
          <w:rFonts w:cstheme="minorHAnsi"/>
        </w:rPr>
        <w:t>’. The claimant, ‘</w:t>
      </w:r>
      <w:r w:rsidR="007E5EF0" w:rsidRPr="007E5EF0">
        <w:rPr>
          <w:rFonts w:cstheme="minorHAnsi"/>
        </w:rPr>
        <w:t>was, and felt himself to be, obliged to be confined within the parameters of his home during the specified hours.</w:t>
      </w:r>
      <w:r w:rsidR="007E5EF0">
        <w:rPr>
          <w:rFonts w:cstheme="minorHAnsi"/>
        </w:rPr>
        <w:t>’</w:t>
      </w:r>
      <w:r w:rsidR="007E5EF0">
        <w:rPr>
          <w:rStyle w:val="FootnoteReference"/>
          <w:rFonts w:cstheme="minorHAnsi"/>
        </w:rPr>
        <w:footnoteReference w:id="63"/>
      </w:r>
      <w:r w:rsidR="007E5EF0" w:rsidRPr="007E5EF0">
        <w:rPr>
          <w:rFonts w:cstheme="minorHAnsi"/>
        </w:rPr>
        <w:t xml:space="preserve"> </w:t>
      </w:r>
    </w:p>
    <w:p w14:paraId="499CAA68" w14:textId="0E82DF9C" w:rsidR="00D32560" w:rsidRDefault="00AA0C06" w:rsidP="00D32560">
      <w:pPr>
        <w:tabs>
          <w:tab w:val="left" w:pos="709"/>
        </w:tabs>
      </w:pPr>
      <w:r>
        <w:rPr>
          <w:rFonts w:cstheme="minorHAnsi"/>
        </w:rPr>
        <w:t xml:space="preserve">This is </w:t>
      </w:r>
      <w:r w:rsidR="00D32560">
        <w:t>not a mere penumbral extension but</w:t>
      </w:r>
      <w:r w:rsidR="008C458C">
        <w:t xml:space="preserve"> whole-</w:t>
      </w:r>
      <w:r>
        <w:t xml:space="preserve">concept thinking. </w:t>
      </w:r>
      <w:r w:rsidR="00021F52">
        <w:t>In response to changing conditions and a changing consensus,</w:t>
      </w:r>
      <w:r>
        <w:t xml:space="preserve"> ‘imprisonment’ now embraces both the geo-physical</w:t>
      </w:r>
      <w:r w:rsidR="00D32560">
        <w:t xml:space="preserve"> </w:t>
      </w:r>
      <w:r>
        <w:t xml:space="preserve">and psychological conceptions. </w:t>
      </w:r>
    </w:p>
    <w:p w14:paraId="2AAF4673" w14:textId="77777777" w:rsidR="00742F4A" w:rsidRDefault="00742F4A" w:rsidP="002E410C">
      <w:pPr>
        <w:pStyle w:val="Heading3"/>
        <w:numPr>
          <w:ilvl w:val="0"/>
          <w:numId w:val="19"/>
        </w:numPr>
      </w:pPr>
      <w:r>
        <w:t xml:space="preserve">Changing conceptions of consideration: replacement; entrenchment; circumvention </w:t>
      </w:r>
    </w:p>
    <w:p w14:paraId="212E74B5" w14:textId="77777777" w:rsidR="00742F4A" w:rsidRDefault="00742F4A" w:rsidP="00742F4A">
      <w:pPr>
        <w:pStyle w:val="Heading5"/>
      </w:pPr>
      <w:r>
        <w:t>Replacement</w:t>
      </w:r>
    </w:p>
    <w:p w14:paraId="0E400FCF" w14:textId="77777777" w:rsidR="00742F4A" w:rsidRDefault="00742F4A" w:rsidP="00742F4A">
      <w:r>
        <w:t>Patrick Atiyah describes the conception of consideration before, at the dawn of the nineteenth century, ‘the economic liberalism of the common law…triumph[ed] over the protective paternalism of the Chancery’</w:t>
      </w:r>
      <w:bookmarkStart w:id="16" w:name="_Ref521654692"/>
      <w:r>
        <w:t xml:space="preserve"> and ‘jury and Chancery discretions were significantly curtailed.’</w:t>
      </w:r>
      <w:r>
        <w:rPr>
          <w:rStyle w:val="FootnoteReference"/>
        </w:rPr>
        <w:footnoteReference w:id="64"/>
      </w:r>
      <w:bookmarkEnd w:id="16"/>
    </w:p>
    <w:p w14:paraId="4AAB39B0" w14:textId="57497DC0" w:rsidR="00742F4A" w:rsidRDefault="00742F4A" w:rsidP="00742F4A">
      <w:pPr>
        <w:pStyle w:val="Quote"/>
      </w:pPr>
      <w:r>
        <w:t>If (for instance) a seller brought an action for the price of something sold to the buyer, and if the buyer could persuade the jury that the price he had agreed to pay was grossly excessive, the jury might well award damages representing a fair price, rather than the agreed price. Moreover, it would be wrong to suggest even that in such a case the law “in theory was one thing”, and the law “in practice” was operating in disregard of its own rules. That…is to read later law back into the past. Th</w:t>
      </w:r>
      <w:r w:rsidR="008C458C">
        <w:t xml:space="preserve">roughout most of the eighteenth </w:t>
      </w:r>
      <w:r>
        <w:t>century Chancellors and judges knew that the common law jury had these discretionary powers “to mitigate damages”; they even encouraged their use where appropriate; and they made their own decisions on the basis that juries would continue to operate in the future as they had operated in the past.’</w:t>
      </w:r>
      <w:r>
        <w:rPr>
          <w:rStyle w:val="FootnoteReference"/>
        </w:rPr>
        <w:footnoteReference w:id="65"/>
      </w:r>
    </w:p>
    <w:p w14:paraId="25D0E556" w14:textId="77777777" w:rsidR="00742F4A" w:rsidRDefault="00742F4A" w:rsidP="00742F4A">
      <w:r w:rsidRPr="00B004C7">
        <w:t>The story of consideration</w:t>
      </w:r>
      <w:r>
        <w:rPr>
          <w:rStyle w:val="FootnoteReference"/>
        </w:rPr>
        <w:footnoteReference w:id="66"/>
      </w:r>
      <w:r w:rsidRPr="00B004C7">
        <w:t xml:space="preserve"> shows the </w:t>
      </w:r>
      <w:r w:rsidRPr="00B004C7">
        <w:rPr>
          <w:i/>
        </w:rPr>
        <w:t>replacement</w:t>
      </w:r>
      <w:r w:rsidRPr="00B004C7">
        <w:t xml:space="preserve"> of</w:t>
      </w:r>
      <w:r>
        <w:t>:</w:t>
      </w:r>
    </w:p>
    <w:p w14:paraId="59FAEA42" w14:textId="77777777" w:rsidR="00742F4A" w:rsidRDefault="00742F4A" w:rsidP="002E410C">
      <w:pPr>
        <w:pStyle w:val="ListParagraph"/>
        <w:numPr>
          <w:ilvl w:val="0"/>
          <w:numId w:val="15"/>
        </w:numPr>
        <w:ind w:hanging="720"/>
        <w:contextualSpacing w:val="0"/>
      </w:pPr>
      <w:r>
        <w:lastRenderedPageBreak/>
        <w:t>a</w:t>
      </w:r>
      <w:r w:rsidRPr="00B004C7">
        <w:t xml:space="preserve"> conception</w:t>
      </w:r>
      <w:r>
        <w:t xml:space="preserve"> of consideration as ‘a</w:t>
      </w:r>
      <w:r w:rsidRPr="00F7031A">
        <w:t xml:space="preserve"> compendious word simply indicating whether there are good reasons for enforcing a </w:t>
      </w:r>
      <w:r w:rsidRPr="000B74AC">
        <w:t>promise’</w:t>
      </w:r>
      <w:r>
        <w:rPr>
          <w:rStyle w:val="FootnoteReference"/>
        </w:rPr>
        <w:footnoteReference w:id="67"/>
      </w:r>
      <w:r>
        <w:t xml:space="preserve"> (a conception </w:t>
      </w:r>
      <w:r w:rsidRPr="000B74AC">
        <w:t>which</w:t>
      </w:r>
      <w:r w:rsidRPr="00B004C7">
        <w:t xml:space="preserve"> accommodated jury discretion and adjudication on the adequacy of the price paid</w:t>
      </w:r>
      <w:r>
        <w:t>); by</w:t>
      </w:r>
      <w:r w:rsidRPr="00B004C7">
        <w:t xml:space="preserve"> </w:t>
      </w:r>
    </w:p>
    <w:p w14:paraId="09F9D3E6" w14:textId="77777777" w:rsidR="00742F4A" w:rsidRDefault="00742F4A" w:rsidP="002E410C">
      <w:pPr>
        <w:pStyle w:val="ListParagraph"/>
        <w:numPr>
          <w:ilvl w:val="0"/>
          <w:numId w:val="15"/>
        </w:numPr>
        <w:ind w:hanging="720"/>
      </w:pPr>
      <w:r w:rsidRPr="00B004C7">
        <w:t>quite another</w:t>
      </w:r>
      <w:r>
        <w:t>—call it ‘bargained exchange’—that</w:t>
      </w:r>
      <w:r w:rsidRPr="00B004C7">
        <w:t xml:space="preserve"> appealed to the economic liberalism of the nineteenth century textbook writers and insisted that</w:t>
      </w:r>
      <w:r>
        <w:t>,</w:t>
      </w:r>
      <w:r w:rsidRPr="00B004C7">
        <w:t xml:space="preserve"> so long as some consideration moved from the promisee, its adequacy would be presumed.</w:t>
      </w:r>
    </w:p>
    <w:p w14:paraId="5042E3F0" w14:textId="77777777" w:rsidR="00742F4A" w:rsidRDefault="00742F4A" w:rsidP="00742F4A">
      <w:pPr>
        <w:pStyle w:val="Heading5"/>
      </w:pPr>
      <w:r>
        <w:t>Entrenchment</w:t>
      </w:r>
    </w:p>
    <w:p w14:paraId="312F4FAC" w14:textId="0CE76525" w:rsidR="00742F4A" w:rsidRDefault="00742F4A" w:rsidP="00742F4A">
      <w:r>
        <w:t xml:space="preserve">As formal education in English (rather than Roman) law began to develop in the nineteenth century, it required treatises and textbooks that would enable law—in keeping with the </w:t>
      </w:r>
      <w:r w:rsidRPr="00C451DD">
        <w:rPr>
          <w:i/>
        </w:rPr>
        <w:t>Zeitgeist</w:t>
      </w:r>
      <w:r>
        <w:rPr>
          <w:i/>
        </w:rPr>
        <w:t xml:space="preserve"> </w:t>
      </w:r>
      <w:r w:rsidRPr="00C451DD">
        <w:t xml:space="preserve">of economic and possessive </w:t>
      </w:r>
      <w:r>
        <w:t>indivi</w:t>
      </w:r>
      <w:r w:rsidRPr="00C451DD">
        <w:t>dualism</w:t>
      </w:r>
      <w:r>
        <w:t xml:space="preserve">—to hold its head up as ‘scientific’ along with the physical sciences. </w:t>
      </w:r>
      <w:r w:rsidRPr="006E532C">
        <w:t>Sir Henry Maine</w:t>
      </w:r>
      <w:r w:rsidR="008C458C">
        <w:t xml:space="preserve"> called this, '</w:t>
      </w:r>
      <w:r w:rsidRPr="00D53F98">
        <w:t>a reform of law-books tha</w:t>
      </w:r>
      <w:r>
        <w:t>n</w:t>
      </w:r>
      <w:r w:rsidRPr="00D53F98">
        <w:t xml:space="preserve"> a reform of law.’</w:t>
      </w:r>
      <w:r>
        <w:rPr>
          <w:rStyle w:val="FootnoteReference"/>
        </w:rPr>
        <w:footnoteReference w:id="68"/>
      </w:r>
      <w:r w:rsidRPr="00D53F98">
        <w:t xml:space="preserve"> </w:t>
      </w:r>
    </w:p>
    <w:p w14:paraId="7F103905" w14:textId="32B5588E" w:rsidR="00742F4A" w:rsidRDefault="00742F4A" w:rsidP="00742F4A">
      <w:r>
        <w:t>Textbook writers—‘legal scientists’</w:t>
      </w:r>
      <w:bookmarkStart w:id="18" w:name="_Ref522785091"/>
      <w:r>
        <w:rPr>
          <w:rStyle w:val="FootnoteReference"/>
        </w:rPr>
        <w:footnoteReference w:id="69"/>
      </w:r>
      <w:bookmarkEnd w:id="18"/>
      <w:r>
        <w:t>—laboured to</w:t>
      </w:r>
      <w:r w:rsidRPr="00D53F98">
        <w:t xml:space="preserve"> systematize Tennyson’s ‘codeless myriad of precedent’ and to bring the ‘wilderness of single instances’ under cultivation</w:t>
      </w:r>
      <w:r>
        <w:t>.</w:t>
      </w:r>
      <w:r>
        <w:rPr>
          <w:rStyle w:val="FootnoteReference"/>
        </w:rPr>
        <w:footnoteReference w:id="70"/>
      </w:r>
      <w:r>
        <w:t xml:space="preserve"> They </w:t>
      </w:r>
      <w:r w:rsidRPr="00D53F98">
        <w:t xml:space="preserve">shoehorned </w:t>
      </w:r>
      <w:r>
        <w:t xml:space="preserve">carefully selected </w:t>
      </w:r>
      <w:r w:rsidRPr="00D53F98">
        <w:t xml:space="preserve">precedents into schemata that </w:t>
      </w:r>
      <w:r>
        <w:t>reflected the dominant individualistic ideology of that period time</w:t>
      </w:r>
      <w:r>
        <w:rPr>
          <w:rFonts w:cs="Calibri Light"/>
        </w:rPr>
        <w:t>—</w:t>
      </w:r>
      <w:r>
        <w:t>lauding contract as jointly-willed by free individuals’ choices. In this systematization, conveniently supportive</w:t>
      </w:r>
      <w:r w:rsidRPr="00E104F2">
        <w:t xml:space="preserve"> dicta</w:t>
      </w:r>
      <w:r>
        <w:t xml:space="preserve"> were transformed into representations of eternal doctrine—and incompatible dicta and decisions </w:t>
      </w:r>
      <w:r w:rsidR="00C253DC">
        <w:t>con</w:t>
      </w:r>
      <w:r>
        <w:t xml:space="preserve">signed to oblivion. </w:t>
      </w:r>
      <w:r w:rsidRPr="00F722AD">
        <w:rPr>
          <w:i/>
        </w:rPr>
        <w:t>E</w:t>
      </w:r>
      <w:r w:rsidRPr="00D53F98">
        <w:rPr>
          <w:i/>
        </w:rPr>
        <w:t>x post</w:t>
      </w:r>
      <w:r w:rsidRPr="00D53F98">
        <w:t xml:space="preserve"> rationalisations were presented as </w:t>
      </w:r>
      <w:r w:rsidRPr="00D53F98">
        <w:rPr>
          <w:i/>
        </w:rPr>
        <w:t>ex ante</w:t>
      </w:r>
      <w:r w:rsidRPr="00D53F98">
        <w:t xml:space="preserve"> purposes. ‘The “form” </w:t>
      </w:r>
      <w:r>
        <w:t xml:space="preserve">[thus imposed on the law that was taught and learned] </w:t>
      </w:r>
      <w:r w:rsidRPr="00D53F98">
        <w:lastRenderedPageBreak/>
        <w:t>expressed “substantive” values and policies’.</w:t>
      </w:r>
      <w:r w:rsidRPr="00D53F98">
        <w:rPr>
          <w:vertAlign w:val="superscript"/>
        </w:rPr>
        <w:footnoteReference w:id="71"/>
      </w:r>
      <w:r>
        <w:t xml:space="preserve"> In history, such selective reading undermines the validity of an acc</w:t>
      </w:r>
      <w:r w:rsidR="00C253DC">
        <w:t>ount but, in law, ‘history’ is often</w:t>
      </w:r>
      <w:r>
        <w:t xml:space="preserve"> re-made</w:t>
      </w:r>
      <w:r>
        <w:rPr>
          <w:rFonts w:cs="Calibri Light"/>
        </w:rPr>
        <w:t>—</w:t>
      </w:r>
      <w:r w:rsidR="00C253DC">
        <w:t>despite</w:t>
      </w:r>
      <w:r>
        <w:t xml:space="preserve"> the risk of undermining law’s </w:t>
      </w:r>
      <w:r w:rsidR="00C253DC">
        <w:t>legitimac</w:t>
      </w:r>
      <w:r>
        <w:t xml:space="preserve">y. </w:t>
      </w:r>
    </w:p>
    <w:p w14:paraId="2C687638" w14:textId="33D84596" w:rsidR="00742F4A" w:rsidRDefault="00742F4A" w:rsidP="00742F4A">
      <w:r>
        <w:t>The essentially individualistic ‘sanctity’</w:t>
      </w:r>
      <w:r>
        <w:rPr>
          <w:rStyle w:val="FootnoteReference"/>
        </w:rPr>
        <w:footnoteReference w:id="72"/>
      </w:r>
      <w:r>
        <w:t xml:space="preserve"> of (supposedly freely-made) contracts was entrenched as doctrine and has remained so. Recall that c</w:t>
      </w:r>
      <w:r w:rsidRPr="00F97B8D">
        <w:t xml:space="preserve">onsideration is </w:t>
      </w:r>
      <w:r>
        <w:t>open-textured and inherently</w:t>
      </w:r>
      <w:r w:rsidRPr="00F97B8D">
        <w:t xml:space="preserve"> contest</w:t>
      </w:r>
      <w:r w:rsidRPr="00D91BF2">
        <w:rPr>
          <w:bCs/>
          <w:i/>
          <w:iCs/>
        </w:rPr>
        <w:t>able</w:t>
      </w:r>
      <w:r>
        <w:rPr>
          <w:i/>
        </w:rPr>
        <w:t xml:space="preserve">. </w:t>
      </w:r>
      <w:r>
        <w:t>A particular conception of it will be</w:t>
      </w:r>
      <w:r w:rsidR="00C253DC">
        <w:t>come</w:t>
      </w:r>
      <w:r w:rsidR="00E9092B">
        <w:t xml:space="preserve"> settled only when the rela</w:t>
      </w:r>
      <w:r>
        <w:t>t</w:t>
      </w:r>
      <w:r w:rsidR="00E9092B">
        <w:t>ed</w:t>
      </w:r>
      <w:r>
        <w:t xml:space="preserve"> (and dominant) </w:t>
      </w:r>
      <w:r w:rsidRPr="00F97B8D">
        <w:t xml:space="preserve">socio-economic </w:t>
      </w:r>
      <w:r w:rsidRPr="00D91BF2">
        <w:rPr>
          <w:bCs/>
        </w:rPr>
        <w:t>consensus</w:t>
      </w:r>
      <w:r w:rsidRPr="00F97B8D">
        <w:t xml:space="preserve"> is settled</w:t>
      </w:r>
      <w:r>
        <w:t>. In the nineteenth century that dominant consensus was settled and reflected in the doctrinal requirement that promisees must show that they have given ‘good consideration’—that they have done or refrained from doing something in exchange for the promise. In the era of self-help and social Darwinism,</w:t>
      </w:r>
      <w:r>
        <w:rPr>
          <w:rStyle w:val="FootnoteReference"/>
        </w:rPr>
        <w:footnoteReference w:id="73"/>
      </w:r>
      <w:r>
        <w:t xml:space="preserve"> the law was not concerned that C had made a bad bargain. Consideration thus </w:t>
      </w:r>
      <w:r w:rsidR="00E9092B">
        <w:t>became</w:t>
      </w:r>
      <w:r>
        <w:t xml:space="preserve"> what Atiyah calls ‘a technical requirement of the law which has little or nothing to do with the justice or desirability of enforcing a promise.’</w:t>
      </w:r>
      <w:r>
        <w:rPr>
          <w:rStyle w:val="FootnoteReference"/>
        </w:rPr>
        <w:footnoteReference w:id="74"/>
      </w:r>
      <w:r>
        <w:t xml:space="preserve"> </w:t>
      </w:r>
    </w:p>
    <w:p w14:paraId="3E8C107F" w14:textId="77777777" w:rsidR="00742F4A" w:rsidRDefault="00742F4A" w:rsidP="00742F4A">
      <w:pPr>
        <w:pStyle w:val="Heading5"/>
      </w:pPr>
      <w:r>
        <w:t>Circumvention</w:t>
      </w:r>
    </w:p>
    <w:p w14:paraId="1E619CEC" w14:textId="77777777" w:rsidR="00742F4A" w:rsidRDefault="00742F4A" w:rsidP="00742F4A">
      <w:r>
        <w:t xml:space="preserve">The dominant consensus has shifted and welfarism now is a countervailing force. But welfarism has not assaulted consideration’s citadel directly. Instead it has swerved around it. Where felt fairness demands that a promise which is not supported by bargained exchange be enforced or a that a party be relieved from a bargained exchange, courts have developed ways of working around the rigidity of the essentially nineteenth century classical conception of consideration. The previous conception could well have accommodated much of what now appears in separate textbook chapters on duress, fraud or illegality, equitable quasi-estoppel. They have become separate doctrines. </w:t>
      </w:r>
    </w:p>
    <w:p w14:paraId="21CDD9D6" w14:textId="68778307" w:rsidR="00742F4A" w:rsidRDefault="00742F4A" w:rsidP="00742F4A">
      <w:r>
        <w:t>Furthermore, the concept of ‘intention to create legal relations’ has emerged to deal with matters that earlier would have been dealt with in terms of consideration.</w:t>
      </w:r>
      <w:r>
        <w:rPr>
          <w:rStyle w:val="FootnoteReference"/>
        </w:rPr>
        <w:footnoteReference w:id="75"/>
      </w:r>
      <w:r>
        <w:t xml:space="preserve"> There is probably now some overlap between the various conceptions of the two doctrines but, as</w:t>
      </w:r>
      <w:r w:rsidRPr="00F97B8D">
        <w:t xml:space="preserve"> an ‘un-American realist</w:t>
      </w:r>
      <w:r>
        <w:t>,</w:t>
      </w:r>
      <w:r w:rsidRPr="00F97B8D">
        <w:t xml:space="preserve">’ our neophyte will be predisposed to think that the two concepts </w:t>
      </w:r>
      <w:r w:rsidR="00E9092B">
        <w:t>discrete</w:t>
      </w:r>
      <w:r>
        <w:t xml:space="preserve">. </w:t>
      </w:r>
      <w:r w:rsidR="00E9092B">
        <w:t>That would be</w:t>
      </w:r>
      <w:r>
        <w:t xml:space="preserve"> to think of legal concepts (offer, acceptance, considerations, intention to create legal relations) as having a reality that </w:t>
      </w:r>
      <w:r>
        <w:lastRenderedPageBreak/>
        <w:t xml:space="preserve">is context and function independent in the way that flour, fat, </w:t>
      </w:r>
      <w:r w:rsidR="00053851">
        <w:t>eggs,</w:t>
      </w:r>
      <w:r>
        <w:t xml:space="preserve"> and sugar exist independently of Mrs </w:t>
      </w:r>
      <w:proofErr w:type="spellStart"/>
      <w:r>
        <w:t>Beeton’s</w:t>
      </w:r>
      <w:proofErr w:type="spellEnd"/>
      <w:r>
        <w:t xml:space="preserve"> sponge-making intentions.</w:t>
      </w:r>
    </w:p>
    <w:p w14:paraId="712AA0E2" w14:textId="7382DE9E" w:rsidR="00742F4A" w:rsidRDefault="00742F4A" w:rsidP="00742F4A">
      <w:r>
        <w:t xml:space="preserve">What accounts for what Atiyah calls the ‘hardening of the arteries’ of the consideration concept? Atiyah points to the ascendancy of the possessive individualism and of the belief in economic liberalism as the engine of progress—attitudes that became dominant in the nineteenth century and which required the ready enforceability of executory contracts. </w:t>
      </w:r>
      <w:r w:rsidR="006C7F34">
        <w:t>Roughly simultaneously,</w:t>
      </w:r>
      <w:r>
        <w:t xml:space="preserve"> formal education in English law and the writing of treatises and textbooks that expounded theories</w:t>
      </w:r>
      <w:r w:rsidR="006C7F34">
        <w:t xml:space="preserve"> developed and absorbed the new conception.</w:t>
      </w:r>
    </w:p>
    <w:p w14:paraId="4B177F3F" w14:textId="3B8CD198" w:rsidR="00742F4A" w:rsidRDefault="00742F4A" w:rsidP="002E410C">
      <w:pPr>
        <w:pStyle w:val="Heading3"/>
        <w:numPr>
          <w:ilvl w:val="0"/>
          <w:numId w:val="19"/>
        </w:numPr>
      </w:pPr>
      <w:r>
        <w:t>Operational sub-division: conceptions of ‘reasonable care’</w:t>
      </w:r>
    </w:p>
    <w:p w14:paraId="5F797D3C" w14:textId="7EA340B7" w:rsidR="00742F4A" w:rsidRDefault="00742F4A" w:rsidP="00742F4A">
      <w:r>
        <w:t>We might take ‘reasonable care’ as the paradigm contestable concept. To have taken what courts will recognise as ‘reasonable care’ is a good defence to a tort claim. At this high level of abstraction there is an ostensibly stable doctrinal unity—after all, we all intuitively favour a fault principle. But it is difficult to read across from the operational standards—do this but not that—required of a doctor to those required of a body-piercer</w:t>
      </w:r>
      <w:bookmarkStart w:id="19" w:name="_Ref522787223"/>
      <w:r>
        <w:rPr>
          <w:rStyle w:val="FootnoteReference"/>
        </w:rPr>
        <w:footnoteReference w:id="76"/>
      </w:r>
      <w:bookmarkEnd w:id="19"/>
      <w:r>
        <w:t xml:space="preserve"> or of a motorist.</w:t>
      </w:r>
      <w:r>
        <w:rPr>
          <w:rStyle w:val="FootnoteReference"/>
        </w:rPr>
        <w:footnoteReference w:id="77"/>
      </w:r>
      <w:r>
        <w:t xml:space="preserve"> To get a handle on standards, we must sub-divide and look at the caselaw in quite narrow categories.</w:t>
      </w:r>
      <w:r>
        <w:rPr>
          <w:rStyle w:val="FootnoteReference"/>
        </w:rPr>
        <w:footnoteReference w:id="78"/>
      </w:r>
      <w:r>
        <w:t xml:space="preserve"> We have to group: broadly similar kinds of risk; of broadly similar kinds of harm; arising in broadly similar ways; in broadly similar circumstances; caused by broadly similar particular kinds of defendant; to broadly similar kinds of claimants. This categorisation is mind-dependent</w:t>
      </w:r>
      <w:r w:rsidR="006C7F34">
        <w:t>,</w:t>
      </w:r>
      <w:r>
        <w:t xml:space="preserve"> as are the standards required of defendants within the various categories. And, occasionally, new categories emerge, for examples: manufacturers’ liability to an ultimate consumer despite the absence of the privity so beloved of nineteenth century economic liberals;</w:t>
      </w:r>
      <w:r>
        <w:rPr>
          <w:rStyle w:val="FootnoteReference"/>
        </w:rPr>
        <w:footnoteReference w:id="79"/>
      </w:r>
      <w:r>
        <w:t xml:space="preserve"> and liability for careless misstatements on which the claimant has reasonably relied.</w:t>
      </w:r>
      <w:r>
        <w:rPr>
          <w:rStyle w:val="FootnoteReference"/>
        </w:rPr>
        <w:footnoteReference w:id="80"/>
      </w:r>
    </w:p>
    <w:p w14:paraId="52C64F79" w14:textId="00B4C360" w:rsidR="00742F4A" w:rsidRDefault="00742F4A" w:rsidP="00742F4A">
      <w:r>
        <w:lastRenderedPageBreak/>
        <w:t>Furthermore, within the particular categories of human affairs, standards shift. In 1938, to demonstrate reasonable care, a jeweller piercing ears had only to</w:t>
      </w:r>
      <w:r w:rsidRPr="00E56DC6">
        <w:t xml:space="preserve"> ‘place…his instrument in a flame and wash…his </w:t>
      </w:r>
      <w:r>
        <w:t>hands, and…</w:t>
      </w:r>
      <w:r w:rsidRPr="00E56DC6">
        <w:t xml:space="preserve">dip…both the instrument and his fingers into a glass of </w:t>
      </w:r>
      <w:r>
        <w:t>lysol before he pierced the ear’.</w:t>
      </w:r>
      <w:r w:rsidR="001F25E2">
        <w:rPr>
          <w:rStyle w:val="FootnoteReference"/>
        </w:rPr>
        <w:footnoteReference w:id="81"/>
      </w:r>
      <w:r>
        <w:t xml:space="preserve"> Nowadays, autoclaves can be purchased for</w:t>
      </w:r>
      <w:r w:rsidRPr="00E56DC6">
        <w:t xml:space="preserve"> under £100 (tax deductible for the professional) and the incidence of skin-puncturing for cosmetic reasons (and puncturists</w:t>
      </w:r>
      <w:r w:rsidR="007D6F18">
        <w:t>’ profits</w:t>
      </w:r>
      <w:r w:rsidRPr="00E56DC6">
        <w:t>) ha</w:t>
      </w:r>
      <w:r>
        <w:t>s grown exponentially. A</w:t>
      </w:r>
      <w:r w:rsidRPr="00E56DC6">
        <w:t xml:space="preserve"> modern court would probably now raise the standard of care required within th</w:t>
      </w:r>
      <w:r>
        <w:t>is</w:t>
      </w:r>
      <w:r w:rsidRPr="00E56DC6">
        <w:t xml:space="preserve"> </w:t>
      </w:r>
      <w:r>
        <w:t xml:space="preserve">non-therapeutic skin-puncturing </w:t>
      </w:r>
      <w:r w:rsidRPr="00E56DC6">
        <w:t>category.</w:t>
      </w:r>
      <w:r>
        <w:t xml:space="preserve"> </w:t>
      </w:r>
      <w:r w:rsidR="007D6F18">
        <w:t>S</w:t>
      </w:r>
      <w:r>
        <w:t>uch a decision could not be merely penumbral. It would modify the standard within the category.</w:t>
      </w:r>
    </w:p>
    <w:p w14:paraId="1CE3A548" w14:textId="466AD462" w:rsidR="00742F4A" w:rsidRPr="001A718B" w:rsidRDefault="00742F4A" w:rsidP="00742F4A">
      <w:r>
        <w:t>W</w:t>
      </w:r>
      <w:r w:rsidRPr="001A718B">
        <w:t xml:space="preserve">hat counts as, say, </w:t>
      </w:r>
      <w:r>
        <w:t xml:space="preserve">the clearly contestable </w:t>
      </w:r>
      <w:r w:rsidRPr="001A718B">
        <w:t xml:space="preserve">‘reasonable care in doctor-patient relations’ might be </w:t>
      </w:r>
      <w:r w:rsidRPr="00D91BF2">
        <w:rPr>
          <w:bCs/>
          <w:i/>
        </w:rPr>
        <w:t>uncontested</w:t>
      </w:r>
      <w:r w:rsidRPr="001A718B">
        <w:t xml:space="preserve"> for a period of time. </w:t>
      </w:r>
      <w:r>
        <w:t xml:space="preserve">For example, </w:t>
      </w:r>
      <w:r w:rsidRPr="001A718B">
        <w:t xml:space="preserve">‘Doctor knows best’ underlay the </w:t>
      </w:r>
      <w:r w:rsidR="006C7F34">
        <w:t>approach in</w:t>
      </w:r>
      <w:r w:rsidR="006C7F34" w:rsidRPr="001A718B">
        <w:rPr>
          <w:i/>
          <w:iCs/>
        </w:rPr>
        <w:t xml:space="preserve"> </w:t>
      </w:r>
      <w:proofErr w:type="spellStart"/>
      <w:r w:rsidRPr="001A718B">
        <w:rPr>
          <w:i/>
          <w:iCs/>
        </w:rPr>
        <w:t>Bolam</w:t>
      </w:r>
      <w:proofErr w:type="spellEnd"/>
      <w:r w:rsidR="006C7F34">
        <w:rPr>
          <w:i/>
          <w:iCs/>
        </w:rPr>
        <w:t xml:space="preserve"> </w:t>
      </w:r>
      <w:r w:rsidR="006C7F34" w:rsidRPr="006C7F34">
        <w:rPr>
          <w:iCs/>
        </w:rPr>
        <w:t>v.</w:t>
      </w:r>
      <w:r w:rsidR="006C7F34">
        <w:rPr>
          <w:i/>
          <w:iCs/>
        </w:rPr>
        <w:t xml:space="preserve"> </w:t>
      </w:r>
      <w:r w:rsidR="006C7F34" w:rsidRPr="006C7F34">
        <w:rPr>
          <w:i/>
          <w:iCs/>
        </w:rPr>
        <w:t>Friern Hospital Management Committee</w:t>
      </w:r>
      <w:r w:rsidRPr="001A718B">
        <w:t xml:space="preserve"> </w:t>
      </w:r>
      <w:r>
        <w:t xml:space="preserve">that </w:t>
      </w:r>
      <w:r w:rsidRPr="001A718B">
        <w:t>accordance with a significant body of medical opinion</w:t>
      </w:r>
      <w:r>
        <w:t xml:space="preserve"> is exculpatory of negligence.</w:t>
      </w:r>
      <w:r>
        <w:rPr>
          <w:rStyle w:val="FootnoteReference"/>
        </w:rPr>
        <w:footnoteReference w:id="82"/>
      </w:r>
      <w:r>
        <w:t xml:space="preserve"> </w:t>
      </w:r>
      <w:r w:rsidRPr="001A718B">
        <w:t xml:space="preserve">For a while, this </w:t>
      </w:r>
      <w:r w:rsidRPr="007B37BB">
        <w:rPr>
          <w:bCs/>
        </w:rPr>
        <w:t xml:space="preserve">conception </w:t>
      </w:r>
      <w:r w:rsidRPr="007B37BB">
        <w:t xml:space="preserve">of the </w:t>
      </w:r>
      <w:r w:rsidRPr="007B37BB">
        <w:rPr>
          <w:bCs/>
        </w:rPr>
        <w:t>concept</w:t>
      </w:r>
      <w:r w:rsidRPr="007B37BB">
        <w:t xml:space="preserve"> of ‘reasonable care in doctor-patient relations’ was </w:t>
      </w:r>
      <w:r w:rsidRPr="007B37BB">
        <w:rPr>
          <w:bCs/>
        </w:rPr>
        <w:t>broadly acceptable</w:t>
      </w:r>
      <w:r w:rsidRPr="007B37BB">
        <w:t xml:space="preserve"> and accepted</w:t>
      </w:r>
      <w:r>
        <w:t>.</w:t>
      </w:r>
      <w:r w:rsidRPr="007B37BB">
        <w:t xml:space="preserve"> </w:t>
      </w:r>
    </w:p>
    <w:p w14:paraId="64488A34" w14:textId="77777777" w:rsidR="00742F4A" w:rsidRPr="001A718B" w:rsidRDefault="00742F4A" w:rsidP="00742F4A">
      <w:r w:rsidRPr="001A718B">
        <w:t>But</w:t>
      </w:r>
      <w:r>
        <w:t>, with the rise of consumerism and developing expanding conceptions of individual rights,</w:t>
      </w:r>
      <w:r w:rsidRPr="001A718B">
        <w:t xml:space="preserve"> </w:t>
      </w:r>
      <w:r>
        <w:t xml:space="preserve">that </w:t>
      </w:r>
      <w:r w:rsidRPr="000B23A4">
        <w:rPr>
          <w:bCs/>
        </w:rPr>
        <w:t>consensus</w:t>
      </w:r>
      <w:r>
        <w:t xml:space="preserve"> began to break down—and its latent contestability became patent. By </w:t>
      </w:r>
      <w:r w:rsidRPr="001A718B">
        <w:t>1</w:t>
      </w:r>
      <w:r>
        <w:t xml:space="preserve">997, courts asserted their </w:t>
      </w:r>
      <w:r w:rsidRPr="001A718B">
        <w:t>power to override medical opinion</w:t>
      </w:r>
      <w:r>
        <w:rPr>
          <w:rStyle w:val="FootnoteReference"/>
        </w:rPr>
        <w:footnoteReference w:id="83"/>
      </w:r>
      <w:r w:rsidRPr="001A718B">
        <w:t xml:space="preserve"> </w:t>
      </w:r>
      <w:r>
        <w:t>and, b</w:t>
      </w:r>
      <w:r w:rsidRPr="001A718B">
        <w:t>y 2015</w:t>
      </w:r>
      <w:r>
        <w:t xml:space="preserve">, </w:t>
      </w:r>
      <w:r w:rsidRPr="001A718B">
        <w:t>the Supreme Court decided to insist on patients</w:t>
      </w:r>
      <w:r>
        <w:t>’ right to be informed of risks.</w:t>
      </w:r>
      <w:r>
        <w:rPr>
          <w:rStyle w:val="FootnoteReference"/>
        </w:rPr>
        <w:footnoteReference w:id="84"/>
      </w:r>
      <w:r w:rsidRPr="001A718B">
        <w:t xml:space="preserve"> </w:t>
      </w:r>
      <w:r>
        <w:t>We have probably moved to a new</w:t>
      </w:r>
      <w:r w:rsidRPr="001A718B">
        <w:t xml:space="preserve"> consensus</w:t>
      </w:r>
      <w:r>
        <w:t>.</w:t>
      </w:r>
      <w:r>
        <w:rPr>
          <w:rStyle w:val="FootnoteReference"/>
        </w:rPr>
        <w:footnoteReference w:id="85"/>
      </w:r>
      <w:r w:rsidRPr="00F8384C">
        <w:t xml:space="preserve"> </w:t>
      </w:r>
      <w:r>
        <w:t>Both context and consensus matter—and necessitate a pragmatic approach to understanding language in use. Furthermore, in these cases we see a fundamental shift in the conception of the concept of reasonable care in the category—from ‘doctor knows best’ to ‘patient autonomy’.</w:t>
      </w:r>
      <w:r>
        <w:rPr>
          <w:rStyle w:val="FootnoteReference"/>
        </w:rPr>
        <w:footnoteReference w:id="86"/>
      </w:r>
    </w:p>
    <w:p w14:paraId="0E7277A8" w14:textId="77777777" w:rsidR="00742F4A" w:rsidRDefault="00742F4A" w:rsidP="002E410C">
      <w:pPr>
        <w:pStyle w:val="Heading3"/>
        <w:numPr>
          <w:ilvl w:val="0"/>
          <w:numId w:val="19"/>
        </w:numPr>
      </w:pPr>
      <w:r>
        <w:t>Enduring and expanding: changing conceptions of vicarious liability.</w:t>
      </w:r>
    </w:p>
    <w:p w14:paraId="3D97777F" w14:textId="03BB2683" w:rsidR="00742F4A" w:rsidRPr="00742F4A" w:rsidRDefault="00742F4A" w:rsidP="00742F4A">
      <w:pPr>
        <w:tabs>
          <w:tab w:val="left" w:pos="709"/>
        </w:tabs>
      </w:pPr>
      <w:r w:rsidRPr="00742F4A">
        <w:t>That some high-level legal concepts connect naturally with folk morality—as ‘reasonable care’ does and ‘consideration’ might yet do again—can encourage their review and development as the consensus about what we are entitled to expect shifts. Any such development</w:t>
      </w:r>
      <w:r w:rsidR="007D6F18">
        <w:t>s are</w:t>
      </w:r>
      <w:r w:rsidRPr="00742F4A">
        <w:t xml:space="preserve"> not concept-</w:t>
      </w:r>
      <w:r w:rsidR="00053851" w:rsidRPr="00742F4A">
        <w:t>driven but</w:t>
      </w:r>
      <w:r w:rsidRPr="00742F4A">
        <w:t xml:space="preserve"> reflect changing responses to the equitable pull of the cases that come to court—experience, not logic.</w:t>
      </w:r>
      <w:r w:rsidRPr="00742F4A">
        <w:rPr>
          <w:vertAlign w:val="superscript"/>
        </w:rPr>
        <w:footnoteReference w:id="87"/>
      </w:r>
      <w:r w:rsidRPr="00742F4A">
        <w:t xml:space="preserve"> And earlier precedents elaborating the concept will tend to entrench particular conceptions limit development and encourage manipulative workarounds.</w:t>
      </w:r>
    </w:p>
    <w:p w14:paraId="76D01AE0" w14:textId="7C565DFA" w:rsidR="00742F4A" w:rsidRPr="00742F4A" w:rsidRDefault="00742F4A" w:rsidP="00742F4A">
      <w:pPr>
        <w:tabs>
          <w:tab w:val="left" w:pos="709"/>
        </w:tabs>
      </w:pPr>
      <w:r w:rsidRPr="00742F4A">
        <w:lastRenderedPageBreak/>
        <w:t>This direction of travel—</w:t>
      </w:r>
      <w:r w:rsidR="007D6F18">
        <w:t>'</w:t>
      </w:r>
      <w:r w:rsidRPr="00742F4A">
        <w:t>case</w:t>
      </w:r>
      <w:r w:rsidR="007D6F18">
        <w:t>s and consensus</w:t>
      </w:r>
      <w:r w:rsidRPr="00742F4A">
        <w:t xml:space="preserve"> to conception</w:t>
      </w:r>
      <w:r w:rsidR="007D6F18">
        <w:t>’</w:t>
      </w:r>
      <w:r w:rsidRPr="00742F4A">
        <w:t xml:space="preserve"> rather than the </w:t>
      </w:r>
      <w:r w:rsidR="007D6F18">
        <w:t>‘</w:t>
      </w:r>
      <w:r w:rsidRPr="00742F4A">
        <w:t>concept to conception</w:t>
      </w:r>
      <w:r w:rsidR="007D6F18">
        <w:t>’</w:t>
      </w:r>
      <w:r w:rsidRPr="00742F4A">
        <w:t xml:space="preserve"> direction that, I argue, neophytes are conditioned to expect—is well illustrated by developments in vicarious liability, which, at the highest level of abstraction, lacks obvious connection with any folk norms. The doctrine simply </w:t>
      </w:r>
      <w:r w:rsidRPr="00742F4A">
        <w:rPr>
          <w:i/>
        </w:rPr>
        <w:t>asserts</w:t>
      </w:r>
      <w:r w:rsidRPr="00742F4A">
        <w:t xml:space="preserve"> that, irrespective of any personal fault, D must indemnify C for torts committed by T, with whom D has some relevant pre-existing connection. The concept itself is silent about the nature of that connection and about any principle that might justify rules that run counter to our intuitive bias towards fault-based liability</w:t>
      </w:r>
      <w:r w:rsidRPr="00742F4A">
        <w:rPr>
          <w:vertAlign w:val="superscript"/>
        </w:rPr>
        <w:footnoteReference w:id="88"/>
      </w:r>
      <w:r w:rsidRPr="00742F4A">
        <w:t xml:space="preserve"> for force-dynamic acts.</w:t>
      </w:r>
      <w:r w:rsidRPr="00742F4A">
        <w:rPr>
          <w:vertAlign w:val="superscript"/>
        </w:rPr>
        <w:footnoteReference w:id="89"/>
      </w:r>
      <w:r w:rsidRPr="00742F4A">
        <w:t xml:space="preserve"> Thus, Lord Bramwell confessed to a Parliamentary Committee in 1876 that he had ‘never been able </w:t>
      </w:r>
      <w:r w:rsidRPr="00742F4A">
        <w:rPr>
          <w:bCs/>
        </w:rPr>
        <w:t>to see…why a man should be liable for the negligence of his servant, there being no relation constituted between him and the party complaining.’</w:t>
      </w:r>
      <w:bookmarkStart w:id="20" w:name="_Ref522788546"/>
      <w:r w:rsidRPr="00742F4A">
        <w:rPr>
          <w:bCs/>
          <w:vertAlign w:val="superscript"/>
        </w:rPr>
        <w:footnoteReference w:id="90"/>
      </w:r>
      <w:bookmarkEnd w:id="20"/>
      <w:r w:rsidRPr="00742F4A">
        <w:rPr>
          <w:bCs/>
        </w:rPr>
        <w:t xml:space="preserve"> </w:t>
      </w:r>
      <w:proofErr w:type="spellStart"/>
      <w:r w:rsidRPr="00742F4A">
        <w:rPr>
          <w:bCs/>
        </w:rPr>
        <w:t>Weinrib</w:t>
      </w:r>
      <w:proofErr w:type="spellEnd"/>
      <w:r w:rsidRPr="00742F4A">
        <w:rPr>
          <w:bCs/>
        </w:rPr>
        <w:t xml:space="preserve"> would share Bramwell’s puzzlement.</w:t>
      </w:r>
      <w:r w:rsidRPr="00742F4A">
        <w:rPr>
          <w:bCs/>
          <w:vertAlign w:val="superscript"/>
        </w:rPr>
        <w:footnoteReference w:id="91"/>
      </w:r>
    </w:p>
    <w:p w14:paraId="28A3F81D" w14:textId="04344227" w:rsidR="00742F4A" w:rsidRPr="00742F4A" w:rsidRDefault="00742F4A" w:rsidP="00742F4A">
      <w:pPr>
        <w:tabs>
          <w:tab w:val="left" w:pos="709"/>
        </w:tabs>
      </w:pPr>
      <w:r w:rsidRPr="00742F4A">
        <w:t xml:space="preserve">But, without vicarious liability, claimants injured by uninsured tortfeasors of little wealth would have themselves to bear the consequent losses. In </w:t>
      </w:r>
      <w:r w:rsidRPr="00742F4A">
        <w:rPr>
          <w:i/>
        </w:rPr>
        <w:t>Hern</w:t>
      </w:r>
      <w:r w:rsidRPr="00742F4A">
        <w:t xml:space="preserve"> v </w:t>
      </w:r>
      <w:r w:rsidRPr="00742F4A">
        <w:rPr>
          <w:i/>
        </w:rPr>
        <w:t>Nichols</w:t>
      </w:r>
      <w:r w:rsidRPr="00742F4A">
        <w:t>, Holt CJ responded to this equitable pull in a commercial context. On D’s behalf, T was trading in silk and deceived C about the quality of the goods. Holt CJ held D liable in tort for T’s tort, saying that ‘somebody must be a loser by this deceit’ and preferring that D be the ‘loser’ because D had ‘employ[ed] and put…a trust and confidence in [T]’ rather than the ‘stranger’ C who had suffered loss through no fault of his own.</w:t>
      </w:r>
      <w:r w:rsidRPr="00742F4A">
        <w:rPr>
          <w:vertAlign w:val="superscript"/>
        </w:rPr>
        <w:footnoteReference w:id="92"/>
      </w:r>
      <w:r w:rsidRPr="00742F4A">
        <w:t xml:space="preserve"> Holt thus gave innocent C access to Ds’ ‘deep pocket’. Furthermore, access to deep pockets is essential if a fault-based system of accident compensation is to pass muster in a world that injures on an industrial scale</w:t>
      </w:r>
      <w:r w:rsidR="001315F0">
        <w:t xml:space="preserve"> and where ‘[i]</w:t>
      </w:r>
      <w:r w:rsidR="001315F0" w:rsidRPr="001315F0">
        <w:t>n nine out of 10 cases the real defendants are insurance companies, with the remainder comprising large self-insured organisations or public bod</w:t>
      </w:r>
      <w:r w:rsidR="001315F0">
        <w:t>ies such as local authorities.’</w:t>
      </w:r>
      <w:r w:rsidRPr="00742F4A">
        <w:rPr>
          <w:vertAlign w:val="superscript"/>
        </w:rPr>
        <w:footnoteReference w:id="93"/>
      </w:r>
      <w:r w:rsidRPr="00742F4A">
        <w:t xml:space="preserve"> </w:t>
      </w:r>
    </w:p>
    <w:p w14:paraId="35724A60" w14:textId="77777777" w:rsidR="00742F4A" w:rsidRPr="00742F4A" w:rsidRDefault="00742F4A" w:rsidP="00742F4A">
      <w:pPr>
        <w:tabs>
          <w:tab w:val="left" w:pos="709"/>
        </w:tabs>
        <w:rPr>
          <w:bCs/>
        </w:rPr>
      </w:pPr>
      <w:r w:rsidRPr="00742F4A">
        <w:t>In 1916, Harold Laski</w:t>
      </w:r>
      <w:r w:rsidRPr="00742F4A">
        <w:rPr>
          <w:vertAlign w:val="superscript"/>
        </w:rPr>
        <w:footnoteReference w:id="94"/>
      </w:r>
      <w:r w:rsidRPr="00742F4A">
        <w:t xml:space="preserve"> reviewed the various justifications offered in the cases and thought none satisfactory. He concluded, rightly, that ‘</w:t>
      </w:r>
      <w:r w:rsidRPr="00742F4A">
        <w:rPr>
          <w:bCs/>
        </w:rPr>
        <w:t>the basis of the rule, in fact, is public policy’</w:t>
      </w:r>
      <w:r w:rsidRPr="00742F4A">
        <w:rPr>
          <w:bCs/>
          <w:vertAlign w:val="superscript"/>
        </w:rPr>
        <w:footnoteReference w:id="95"/>
      </w:r>
      <w:r w:rsidRPr="00742F4A">
        <w:t xml:space="preserve"> although putting that in terms that economic liberals would reject.</w:t>
      </w:r>
    </w:p>
    <w:p w14:paraId="7C9C168B" w14:textId="77777777" w:rsidR="00742F4A" w:rsidRPr="00742F4A" w:rsidRDefault="00742F4A" w:rsidP="00F8729A">
      <w:pPr>
        <w:pStyle w:val="Quote"/>
      </w:pPr>
      <w:r w:rsidRPr="00742F4A">
        <w:t xml:space="preserve">‘Business has ceased to be mere matter of private concern… [Vicarious liability] is simply a legal attempt to see the individual in his social context. That, at which we industrially aim, is the maximum public good as we see it. In that respect, the employer is himself no more than </w:t>
      </w:r>
      <w:r w:rsidRPr="00742F4A">
        <w:lastRenderedPageBreak/>
        <w:t>a public servant, to whom, for special purposes, a certain additional freedom of action, and therefore a greater measure of responsibility, has been vouchsafed.’</w:t>
      </w:r>
      <w:r w:rsidRPr="00742F4A">
        <w:rPr>
          <w:bCs/>
          <w:vertAlign w:val="superscript"/>
        </w:rPr>
        <w:footnoteReference w:id="96"/>
      </w:r>
    </w:p>
    <w:p w14:paraId="0B19D241" w14:textId="1E6ACF21" w:rsidR="00742F4A" w:rsidRPr="00742F4A" w:rsidRDefault="00742F4A" w:rsidP="00742F4A">
      <w:pPr>
        <w:tabs>
          <w:tab w:val="left" w:pos="709"/>
        </w:tabs>
      </w:pPr>
      <w:r w:rsidRPr="00742F4A">
        <w:t xml:space="preserve">Claimants cannot dip into just any deep enough pocket. Sir Frederick Pollock too was well aware of the weakness of justifications that were not consequentialist and thus policy-based. Pollock saw vicarious liability </w:t>
      </w:r>
      <w:r w:rsidRPr="00742F4A">
        <w:rPr>
          <w:bCs/>
        </w:rPr>
        <w:t>flowing from an obligation so to manage our affairs as not to injure others, even when conducted thorough others.</w:t>
      </w:r>
      <w:r w:rsidRPr="00742F4A">
        <w:rPr>
          <w:vertAlign w:val="superscript"/>
        </w:rPr>
        <w:t xml:space="preserve"> </w:t>
      </w:r>
      <w:r w:rsidRPr="00742F4A">
        <w:rPr>
          <w:vertAlign w:val="superscript"/>
        </w:rPr>
        <w:footnoteReference w:id="97"/>
      </w:r>
      <w:r w:rsidRPr="00742F4A">
        <w:rPr>
          <w:bCs/>
          <w:vertAlign w:val="superscript"/>
        </w:rPr>
        <w:t xml:space="preserve"> </w:t>
      </w:r>
      <w:r w:rsidRPr="00742F4A">
        <w:rPr>
          <w:bCs/>
        </w:rPr>
        <w:t xml:space="preserve"> In his </w:t>
      </w:r>
      <w:r w:rsidR="00AA6BA3">
        <w:rPr>
          <w:bCs/>
        </w:rPr>
        <w:t>textbook</w:t>
      </w:r>
      <w:r w:rsidRPr="00742F4A">
        <w:rPr>
          <w:bCs/>
        </w:rPr>
        <w:t>, he noted that the caselaw evidenced ‘considerable difficulties of principle,</w:t>
      </w:r>
      <w:r w:rsidR="007D6F18">
        <w:rPr>
          <w:bCs/>
        </w:rPr>
        <w:t xml:space="preserve"> </w:t>
      </w:r>
      <w:r w:rsidRPr="00742F4A">
        <w:rPr>
          <w:bCs/>
        </w:rPr>
        <w:t xml:space="preserve">and is often complicated with troublesome questions of fact.’ He found </w:t>
      </w:r>
      <w:r w:rsidRPr="00742F4A">
        <w:t>Willes J’s view that the master ‘has put the agent in his place to do that class of acts’</w:t>
      </w:r>
      <w:bookmarkStart w:id="21" w:name="_Ref522363412"/>
      <w:r w:rsidRPr="00742F4A">
        <w:rPr>
          <w:vertAlign w:val="superscript"/>
        </w:rPr>
        <w:footnoteReference w:id="98"/>
      </w:r>
      <w:bookmarkEnd w:id="21"/>
      <w:r w:rsidRPr="00742F4A">
        <w:t xml:space="preserve"> helpful and noted that servants often act for their masters’ benefit. He concluded by articulating ‘the rule’—‘on whatever reason founded</w:t>
      </w:r>
      <w:r w:rsidR="00AA6BA3">
        <w:t>’</w:t>
      </w:r>
      <w:r w:rsidRPr="00742F4A">
        <w:t>—setting out the two limbs that, with the substitution of employer for master and employee for servant, shaped the debate for the twentieth century: ‘1. Who is a servant. 2. What acts are deemed to be in the course of service.’</w:t>
      </w:r>
      <w:r w:rsidRPr="00742F4A">
        <w:rPr>
          <w:vertAlign w:val="superscript"/>
        </w:rPr>
        <w:footnoteReference w:id="99"/>
      </w:r>
      <w:r w:rsidRPr="00742F4A">
        <w:t xml:space="preserve"> </w:t>
      </w:r>
    </w:p>
    <w:p w14:paraId="78A3AF8C" w14:textId="77777777" w:rsidR="00742F4A" w:rsidRPr="00742F4A" w:rsidRDefault="00742F4A" w:rsidP="00742F4A">
      <w:pPr>
        <w:tabs>
          <w:tab w:val="left" w:pos="709"/>
        </w:tabs>
      </w:pPr>
      <w:r w:rsidRPr="00742F4A">
        <w:t xml:space="preserve">For the first half of the twentieth century justifications focussing on an </w:t>
      </w:r>
      <w:r w:rsidRPr="00742F4A">
        <w:rPr>
          <w:i/>
        </w:rPr>
        <w:t>employer</w:t>
      </w:r>
      <w:r w:rsidRPr="00742F4A">
        <w:t xml:space="preserve">-D’s power of </w:t>
      </w:r>
      <w:r w:rsidRPr="00742F4A">
        <w:rPr>
          <w:i/>
        </w:rPr>
        <w:t xml:space="preserve">control </w:t>
      </w:r>
      <w:r w:rsidRPr="00742F4A">
        <w:t>over employee-T (and its corollary, ‘D not liability for independent contractors’) were probably the most congenial and durable. There were marginal issues about both limbs but the pace of expansion of the doctrine’s scope accelerated in response to two phenomena: (a) the advent of the expert employee who could not be controlled in the accustomed way; and (b) the scandal of child abuse. Broadly, (a) led to considerable expansion of limb 1 and (b) led to the expansion of limb 2.</w:t>
      </w:r>
      <w:r w:rsidRPr="00742F4A">
        <w:rPr>
          <w:vertAlign w:val="superscript"/>
        </w:rPr>
        <w:footnoteReference w:id="100"/>
      </w:r>
    </w:p>
    <w:p w14:paraId="3A9286F2" w14:textId="77777777" w:rsidR="00742F4A" w:rsidRPr="00742F4A" w:rsidRDefault="00742F4A" w:rsidP="00742F4A">
      <w:pPr>
        <w:tabs>
          <w:tab w:val="left" w:pos="709"/>
        </w:tabs>
      </w:pPr>
      <w:r w:rsidRPr="00742F4A">
        <w:t>The National Health Service was not permitted to avoid vicarious liability for the torts of the many experts that it employed. The emphasis moved from control to organisational allegiance—NHS doctors are not in working for themselves. As the shocking incidence of child abuse was realised, the necessary connection between T’s actions and D was expanded to provide victims with a source of compensation. Thus, a Christian brotherhood is now liable for tortious child abuse committed by its members with whom it has a relationship ‘akin to employment’</w:t>
      </w:r>
      <w:r w:rsidRPr="00742F4A">
        <w:rPr>
          <w:vertAlign w:val="superscript"/>
        </w:rPr>
        <w:footnoteReference w:id="101"/>
      </w:r>
      <w:r w:rsidRPr="00742F4A">
        <w:t xml:space="preserve"> and a local authority similarly liable </w:t>
      </w:r>
      <w:r w:rsidRPr="00742F4A">
        <w:lastRenderedPageBreak/>
        <w:t>for abuse in fostering arrangements that it has arranged.</w:t>
      </w:r>
      <w:r w:rsidRPr="00742F4A">
        <w:rPr>
          <w:vertAlign w:val="superscript"/>
        </w:rPr>
        <w:footnoteReference w:id="102"/>
      </w:r>
      <w:r w:rsidRPr="00742F4A">
        <w:t xml:space="preserve"> A care home is liable for abuse by its employees</w:t>
      </w:r>
      <w:r w:rsidRPr="00742F4A">
        <w:rPr>
          <w:vertAlign w:val="superscript"/>
        </w:rPr>
        <w:footnoteReference w:id="103"/>
      </w:r>
      <w:r w:rsidRPr="00742F4A">
        <w:t xml:space="preserve"> and, by extension, a supermarket owner is liable for the gratuitous violence of one of its staff to a customer.</w:t>
      </w:r>
      <w:r w:rsidRPr="00742F4A">
        <w:rPr>
          <w:vertAlign w:val="superscript"/>
        </w:rPr>
        <w:footnoteReference w:id="104"/>
      </w:r>
      <w:r w:rsidRPr="00742F4A">
        <w:t xml:space="preserve"> Although such employers will say that they did not employ T to do such things, their enterprises created the opportunities.</w:t>
      </w:r>
    </w:p>
    <w:p w14:paraId="67969BD2" w14:textId="010F192E" w:rsidR="00742F4A" w:rsidRPr="00742F4A" w:rsidRDefault="00742F4A" w:rsidP="00742F4A">
      <w:pPr>
        <w:tabs>
          <w:tab w:val="left" w:pos="709"/>
        </w:tabs>
        <w:rPr>
          <w:bCs/>
        </w:rPr>
      </w:pPr>
      <w:r w:rsidRPr="00742F4A">
        <w:t>We see conceptions developing in response to claims</w:t>
      </w:r>
      <w:r w:rsidR="00AA6BA3">
        <w:t>. Hence earlier conceptions—</w:t>
      </w:r>
      <w:r w:rsidRPr="00742F4A">
        <w:t>for example, that exculpated D when T is clea</w:t>
      </w:r>
      <w:r w:rsidR="00AA6BA3">
        <w:t>rly an ‘independent contractor’—</w:t>
      </w:r>
      <w:r w:rsidRPr="00742F4A">
        <w:t>must now be considered far more flexibly.</w:t>
      </w:r>
      <w:r w:rsidR="00AA6BA3">
        <w:t xml:space="preserve"> </w:t>
      </w:r>
      <w:r w:rsidRPr="00742F4A">
        <w:t xml:space="preserve">In </w:t>
      </w:r>
      <w:r w:rsidRPr="00742F4A">
        <w:rPr>
          <w:bCs/>
          <w:i/>
        </w:rPr>
        <w:t>Barclays Bank plc</w:t>
      </w:r>
      <w:r w:rsidRPr="00742F4A">
        <w:rPr>
          <w:bCs/>
        </w:rPr>
        <w:t xml:space="preserve"> v. </w:t>
      </w:r>
      <w:r w:rsidRPr="00742F4A">
        <w:rPr>
          <w:bCs/>
          <w:i/>
        </w:rPr>
        <w:t>Various Claimants</w:t>
      </w:r>
      <w:r w:rsidRPr="00742F4A">
        <w:rPr>
          <w:bCs/>
        </w:rPr>
        <w:t>, (in which a bank was held vicariously liable for the abuse of employees by an independent contractor—who provided medical examination services regularly and was known as the firm’s doctor—of employees whilst undergoing such examination) Irwin LJ was not prepared to be ruled by any rigid conception of ‘independent contractor’. He clearly preferred (despite any consequent doctrinal untidiness) to deal with circumstances on their merits rather than to liken limb 1 to a parking meter rule or invoke core-penumbra reasoning.</w:t>
      </w:r>
    </w:p>
    <w:p w14:paraId="17E4BEA7" w14:textId="77777777" w:rsidR="00742F4A" w:rsidRPr="00742F4A" w:rsidRDefault="00742F4A" w:rsidP="00742F4A">
      <w:pPr>
        <w:pStyle w:val="Quote"/>
        <w:rPr>
          <w:bCs/>
        </w:rPr>
      </w:pPr>
      <w:bookmarkStart w:id="22" w:name="para61"/>
      <w:r w:rsidRPr="00742F4A">
        <w:t>‘It is clearly understandable that a "bright line" test, such as is said to be the status of independent contractor, would make easier the conduct of business for parties and their insurers. However, ease of business cannot displace or circumvent the principles now established by the Supreme Court. Lord Faulks advanced the status of self-employed independent contractor as representing a "coherent principle of law", thereby seeking to justify the maintenance of such a principle. The submission may be attractive at first blush. However...establishing whether an individual is an employee or a self-employed independent contractor can be full of complexity and of evidential pitfalls.</w:t>
      </w:r>
      <w:bookmarkEnd w:id="22"/>
      <w:r w:rsidRPr="00742F4A">
        <w:t>’</w:t>
      </w:r>
      <w:r w:rsidRPr="00742F4A">
        <w:rPr>
          <w:bCs/>
          <w:vertAlign w:val="superscript"/>
        </w:rPr>
        <w:t xml:space="preserve"> </w:t>
      </w:r>
      <w:r w:rsidRPr="00742F4A">
        <w:rPr>
          <w:bCs/>
          <w:vertAlign w:val="superscript"/>
        </w:rPr>
        <w:footnoteReference w:id="105"/>
      </w:r>
    </w:p>
    <w:p w14:paraId="132FF829" w14:textId="77777777" w:rsidR="005B5090" w:rsidRDefault="005B5090" w:rsidP="00AA6BA3">
      <w:pPr>
        <w:pStyle w:val="Heading1"/>
      </w:pPr>
      <w:r>
        <w:t>P</w:t>
      </w:r>
      <w:r w:rsidR="00620981">
        <w:t>edagogic p</w:t>
      </w:r>
      <w:r>
        <w:t>racticality</w:t>
      </w:r>
    </w:p>
    <w:p w14:paraId="324FE941" w14:textId="429D05AA" w:rsidR="00EC7D6E" w:rsidRPr="00EC7D6E" w:rsidRDefault="00EC7D6E" w:rsidP="00AC16F7">
      <w:pPr>
        <w:tabs>
          <w:tab w:val="left" w:pos="709"/>
        </w:tabs>
      </w:pPr>
      <w:r>
        <w:t>Reader</w:t>
      </w:r>
      <w:r w:rsidR="00D5217B">
        <w:t xml:space="preserve">s might reasonably suggest that </w:t>
      </w:r>
      <w:r w:rsidR="00901234">
        <w:t>ideas</w:t>
      </w:r>
      <w:r w:rsidR="00D5217B">
        <w:t xml:space="preserve"> of this sort would be </w:t>
      </w:r>
      <w:r w:rsidR="00BB73A1">
        <w:t>indigestible by neophytes.</w:t>
      </w:r>
      <w:r w:rsidR="00D5217B">
        <w:t xml:space="preserve"> </w:t>
      </w:r>
      <w:r w:rsidR="000101B2">
        <w:t>I certainly do not advocate</w:t>
      </w:r>
      <w:r w:rsidR="003C23A1">
        <w:t xml:space="preserve"> the</w:t>
      </w:r>
      <w:r w:rsidR="00A13A70">
        <w:t xml:space="preserve">ir </w:t>
      </w:r>
      <w:r w:rsidR="00CF72D5">
        <w:t>presentation</w:t>
      </w:r>
      <w:r w:rsidR="003C23A1">
        <w:t xml:space="preserve"> as part of some grand analytical toolkit</w:t>
      </w:r>
      <w:r w:rsidR="00994B42">
        <w:t xml:space="preserve"> and </w:t>
      </w:r>
      <w:r w:rsidR="00903204">
        <w:t>I recognise that I have here</w:t>
      </w:r>
      <w:r w:rsidR="00994B42">
        <w:t xml:space="preserve"> have gone deeper with some distinctions than would be possible in teaching neophytes. </w:t>
      </w:r>
      <w:r w:rsidR="00CE199A">
        <w:t>But I do contend</w:t>
      </w:r>
      <w:r w:rsidR="00C454E2">
        <w:t xml:space="preserve"> that</w:t>
      </w:r>
      <w:r w:rsidR="00EB5939">
        <w:t>, as and when the law on the various syllabi present</w:t>
      </w:r>
      <w:r w:rsidR="00C454E2">
        <w:t>s</w:t>
      </w:r>
      <w:r w:rsidR="00EB5939">
        <w:t xml:space="preserve"> opportunities, </w:t>
      </w:r>
      <w:r w:rsidR="005D1187">
        <w:t>we should</w:t>
      </w:r>
      <w:r w:rsidR="00AC16F7">
        <w:rPr>
          <w:rFonts w:cstheme="minorHAnsi"/>
        </w:rPr>
        <w:t>—</w:t>
      </w:r>
      <w:r w:rsidR="00AC16F7">
        <w:t>with suitable caution</w:t>
      </w:r>
      <w:r w:rsidR="00AC16F7">
        <w:rPr>
          <w:rFonts w:cstheme="minorHAnsi"/>
        </w:rPr>
        <w:t>—</w:t>
      </w:r>
      <w:r w:rsidR="00A20B93">
        <w:t xml:space="preserve">use </w:t>
      </w:r>
      <w:r w:rsidR="00262E53">
        <w:t>such</w:t>
      </w:r>
      <w:r w:rsidR="00A20B93">
        <w:t xml:space="preserve"> </w:t>
      </w:r>
      <w:r w:rsidR="009E1CFD">
        <w:t xml:space="preserve">explanatory techniques. It would, I think, be </w:t>
      </w:r>
      <w:r w:rsidR="00EB491D">
        <w:t>w</w:t>
      </w:r>
      <w:r w:rsidR="009E1CFD">
        <w:t xml:space="preserve">rong to teach </w:t>
      </w:r>
      <w:r w:rsidR="009E1CFD" w:rsidRPr="009E1CFD">
        <w:rPr>
          <w:i/>
        </w:rPr>
        <w:t>Bird</w:t>
      </w:r>
      <w:r w:rsidR="009E1CFD">
        <w:t xml:space="preserve"> v. </w:t>
      </w:r>
      <w:r w:rsidR="009E1CFD" w:rsidRPr="00EB491D">
        <w:rPr>
          <w:i/>
        </w:rPr>
        <w:t>Jones</w:t>
      </w:r>
      <w:r w:rsidR="006847B5">
        <w:rPr>
          <w:i/>
        </w:rPr>
        <w:t xml:space="preserve"> </w:t>
      </w:r>
      <w:r w:rsidR="006847B5" w:rsidRPr="006847B5">
        <w:t xml:space="preserve">without </w:t>
      </w:r>
      <w:r w:rsidR="00F06DDD">
        <w:t>touching</w:t>
      </w:r>
      <w:r w:rsidR="006847B5">
        <w:t xml:space="preserve"> on modern slavery</w:t>
      </w:r>
      <w:r w:rsidR="002D0326">
        <w:t xml:space="preserve"> in some</w:t>
      </w:r>
      <w:r w:rsidR="0010585C">
        <w:t xml:space="preserve"> way</w:t>
      </w:r>
      <w:r w:rsidR="002D0326">
        <w:t xml:space="preserve"> like the brief discussion above. </w:t>
      </w:r>
      <w:r w:rsidR="00AB1C47">
        <w:t xml:space="preserve">And, if I am right that our neophyte is preconditioned to think </w:t>
      </w:r>
      <w:r w:rsidR="0081472E">
        <w:t>parking meter rules</w:t>
      </w:r>
      <w:r w:rsidR="00A437F9">
        <w:t xml:space="preserve"> and core-penumbra thinking</w:t>
      </w:r>
      <w:r w:rsidR="0081472E">
        <w:t xml:space="preserve"> </w:t>
      </w:r>
      <w:r w:rsidR="006B4DFC">
        <w:t xml:space="preserve">paradigmatic, we </w:t>
      </w:r>
      <w:r w:rsidR="003223B3">
        <w:t>are under some pedagogic obligation</w:t>
      </w:r>
      <w:r w:rsidR="00142863">
        <w:t xml:space="preserve"> to</w:t>
      </w:r>
      <w:r w:rsidR="006B4DFC">
        <w:t xml:space="preserve"> </w:t>
      </w:r>
      <w:r w:rsidR="00142863">
        <w:t>utilise</w:t>
      </w:r>
      <w:r w:rsidR="006B4DFC">
        <w:t xml:space="preserve"> opportunit</w:t>
      </w:r>
      <w:r w:rsidR="00142863">
        <w:t xml:space="preserve">ies </w:t>
      </w:r>
      <w:r w:rsidR="006B4DFC">
        <w:t xml:space="preserve">to </w:t>
      </w:r>
      <w:r w:rsidR="00B1712D">
        <w:t xml:space="preserve">explain </w:t>
      </w:r>
      <w:r w:rsidR="008C458C">
        <w:t>whole-concept</w:t>
      </w:r>
      <w:r w:rsidR="00B1712D">
        <w:t xml:space="preserve"> contest</w:t>
      </w:r>
      <w:r w:rsidR="005D3457">
        <w:t>a</w:t>
      </w:r>
      <w:r w:rsidR="00903204">
        <w:t>bility</w:t>
      </w:r>
      <w:r w:rsidR="00994B42">
        <w:t xml:space="preserve"> and </w:t>
      </w:r>
      <w:r w:rsidR="003223B3">
        <w:t>its significant absence</w:t>
      </w:r>
      <w:r w:rsidR="00994B42" w:rsidRPr="00994B42">
        <w:t xml:space="preserve"> </w:t>
      </w:r>
      <w:r w:rsidR="00994B42">
        <w:t>when we see them.</w:t>
      </w:r>
    </w:p>
    <w:p w14:paraId="6FD932F7" w14:textId="3EF17940" w:rsidR="007C7426" w:rsidRDefault="009F6506" w:rsidP="00F97B8D">
      <w:r>
        <w:lastRenderedPageBreak/>
        <w:t>Even if</w:t>
      </w:r>
      <w:r w:rsidR="00C83364">
        <w:t xml:space="preserve"> </w:t>
      </w:r>
      <w:r w:rsidR="0048084C">
        <w:t>I have</w:t>
      </w:r>
      <w:r w:rsidR="007C7426">
        <w:t xml:space="preserve"> convinced readers of a need, </w:t>
      </w:r>
      <w:r w:rsidR="0048084C">
        <w:t>I have</w:t>
      </w:r>
      <w:r w:rsidR="007C7426">
        <w:t xml:space="preserve"> given little indication of how the formidable task might be tackled.</w:t>
      </w:r>
      <w:r w:rsidR="005A6236">
        <w:t xml:space="preserve"> </w:t>
      </w:r>
      <w:r w:rsidR="007C7426">
        <w:t>I will go to Edinburgh for the Festival but need a mode of transport, tickets and somewhere to stay.</w:t>
      </w:r>
      <w:r w:rsidR="005A6236">
        <w:t xml:space="preserve"> </w:t>
      </w:r>
    </w:p>
    <w:p w14:paraId="0357581A" w14:textId="481C6823" w:rsidR="005A6236" w:rsidRDefault="005A6236" w:rsidP="00F97B8D">
      <w:r>
        <w:t>Here’s a few suggestions:</w:t>
      </w:r>
    </w:p>
    <w:p w14:paraId="60ECCAD4" w14:textId="065D327F" w:rsidR="007C7426" w:rsidRDefault="005A6236" w:rsidP="002E410C">
      <w:pPr>
        <w:pStyle w:val="ListParagraph"/>
        <w:numPr>
          <w:ilvl w:val="0"/>
          <w:numId w:val="18"/>
        </w:numPr>
        <w:ind w:hanging="720"/>
        <w:contextualSpacing w:val="0"/>
      </w:pPr>
      <w:r>
        <w:t xml:space="preserve">If Santa Claus is not to </w:t>
      </w:r>
      <w:r w:rsidR="00AA6BA3">
        <w:t>rule their minds</w:t>
      </w:r>
      <w:r>
        <w:t>, student</w:t>
      </w:r>
      <w:r w:rsidR="001119D5">
        <w:t>s</w:t>
      </w:r>
      <w:r>
        <w:t xml:space="preserve"> need, early on, to </w:t>
      </w:r>
      <w:r w:rsidR="00206EBC">
        <w:t>engage in</w:t>
      </w:r>
      <w:r>
        <w:t xml:space="preserve"> case studies where </w:t>
      </w:r>
      <w:r w:rsidR="00AA6BA3">
        <w:t xml:space="preserve">conceptions of </w:t>
      </w:r>
      <w:r>
        <w:t>familiar everyday concepts (‘It was her fault’, ‘He intended to hit me’, ‘Why should he get that for nothing’, ’But I relied on her statement’) have changed in their legal application.</w:t>
      </w:r>
    </w:p>
    <w:p w14:paraId="04DA4B62" w14:textId="5DEC8C8D" w:rsidR="005A6236" w:rsidRDefault="005A6236" w:rsidP="002E410C">
      <w:pPr>
        <w:pStyle w:val="ListParagraph"/>
        <w:numPr>
          <w:ilvl w:val="0"/>
          <w:numId w:val="18"/>
        </w:numPr>
        <w:ind w:hanging="720"/>
        <w:contextualSpacing w:val="0"/>
      </w:pPr>
      <w:r>
        <w:t xml:space="preserve">Reading and writing skills require practice. Why not take 1,000 words from a judgment that, for example, uses ‘foreseeable’ normatively but omits ‘reasonably’ on some occasions and ask student to </w:t>
      </w:r>
      <w:r w:rsidR="00AA6BA3">
        <w:t>prepare a 250-</w:t>
      </w:r>
      <w:r w:rsidR="00E44C71">
        <w:t xml:space="preserve">word </w:t>
      </w:r>
      <w:r>
        <w:t>précis</w:t>
      </w:r>
      <w:r w:rsidR="00E44C71">
        <w:t>?</w:t>
      </w:r>
      <w:r>
        <w:t xml:space="preserve"> </w:t>
      </w:r>
    </w:p>
    <w:p w14:paraId="78FCC971" w14:textId="3252F8FF" w:rsidR="00E44C71" w:rsidRPr="00D254A6" w:rsidRDefault="00E44C71" w:rsidP="002E410C">
      <w:pPr>
        <w:pStyle w:val="ListParagraph"/>
        <w:numPr>
          <w:ilvl w:val="0"/>
          <w:numId w:val="18"/>
        </w:numPr>
        <w:ind w:hanging="630"/>
        <w:contextualSpacing w:val="0"/>
        <w:rPr>
          <w:rFonts w:ascii="Calibri" w:eastAsiaTheme="minorHAnsi" w:hAnsi="Calibri"/>
        </w:rPr>
      </w:pPr>
      <w:r>
        <w:t>Jenny Kemp suggests that students’</w:t>
      </w:r>
      <w:r w:rsidR="00D254A6">
        <w:t xml:space="preserve"> difficulties are not sim</w:t>
      </w:r>
      <w:r>
        <w:t>ply with unfamiliar</w:t>
      </w:r>
      <w:r w:rsidR="00D254A6">
        <w:t xml:space="preserve"> </w:t>
      </w:r>
      <w:r w:rsidR="006F4508">
        <w:t xml:space="preserve">single </w:t>
      </w:r>
      <w:r w:rsidR="00D254A6">
        <w:t>words</w:t>
      </w:r>
      <w:r w:rsidR="006F4508">
        <w:t>,</w:t>
      </w:r>
      <w:r w:rsidR="00D254A6">
        <w:t xml:space="preserve"> or </w:t>
      </w:r>
      <w:r w:rsidR="006F4508">
        <w:t xml:space="preserve">the </w:t>
      </w:r>
      <w:r w:rsidR="00D254A6">
        <w:t xml:space="preserve">unfamiliar usage of familiar </w:t>
      </w:r>
      <w:r w:rsidR="006F4508">
        <w:t xml:space="preserve">words, </w:t>
      </w:r>
      <w:r w:rsidR="00D254A6">
        <w:t xml:space="preserve">but with phrases for which </w:t>
      </w:r>
      <w:r w:rsidR="006F4508">
        <w:t>students</w:t>
      </w:r>
      <w:r w:rsidR="00D254A6">
        <w:t xml:space="preserve"> lack lexical priming. They lack the legal equivalent of a learned familiarity with such usage conventions</w:t>
      </w:r>
      <w:r w:rsidR="0048084C">
        <w:t xml:space="preserve"> as</w:t>
      </w:r>
      <w:r w:rsidR="00D254A6" w:rsidRPr="00D254A6">
        <w:t xml:space="preserve"> </w:t>
      </w:r>
      <w:r w:rsidR="00D254A6">
        <w:t>‘</w:t>
      </w:r>
      <w:r w:rsidR="00D254A6" w:rsidRPr="00D254A6">
        <w:t xml:space="preserve">a lift may be </w:t>
      </w:r>
      <w:r w:rsidR="00D254A6" w:rsidRPr="00D254A6">
        <w:rPr>
          <w:i/>
          <w:iCs/>
        </w:rPr>
        <w:t xml:space="preserve">out of order </w:t>
      </w:r>
      <w:r w:rsidR="00D254A6" w:rsidRPr="00D254A6">
        <w:t xml:space="preserve">if it does not function, but if a person is </w:t>
      </w:r>
      <w:r w:rsidR="00D254A6" w:rsidRPr="00D254A6">
        <w:rPr>
          <w:i/>
          <w:iCs/>
        </w:rPr>
        <w:t xml:space="preserve">out of order </w:t>
      </w:r>
      <w:r w:rsidR="00D254A6" w:rsidRPr="00D254A6">
        <w:t>it does not mean t</w:t>
      </w:r>
      <w:r w:rsidR="00D254A6">
        <w:t>hey are unwell or incapacitated</w:t>
      </w:r>
      <w:r w:rsidR="0048084C">
        <w:t>.</w:t>
      </w:r>
      <w:r w:rsidR="00D254A6">
        <w:t>’ She argues that examining collections of concordance lines (roughly phrases with some context) can help.</w:t>
      </w:r>
      <w:r w:rsidR="00D254A6">
        <w:rPr>
          <w:rStyle w:val="FootnoteReference"/>
        </w:rPr>
        <w:footnoteReference w:id="106"/>
      </w:r>
    </w:p>
    <w:p w14:paraId="20BFFA03" w14:textId="64D43F95" w:rsidR="00E44C71" w:rsidRDefault="00E44C71" w:rsidP="002E410C">
      <w:pPr>
        <w:pStyle w:val="ListParagraph"/>
        <w:numPr>
          <w:ilvl w:val="0"/>
          <w:numId w:val="18"/>
        </w:numPr>
        <w:ind w:hanging="720"/>
        <w:contextualSpacing w:val="0"/>
      </w:pPr>
      <w:r>
        <w:t xml:space="preserve">Mooting is argumentative. </w:t>
      </w:r>
      <w:r w:rsidR="00AA6BA3">
        <w:t>Mooters</w:t>
      </w:r>
      <w:r>
        <w:t xml:space="preserve"> </w:t>
      </w:r>
      <w:r w:rsidR="0048084C">
        <w:t>must:</w:t>
      </w:r>
      <w:r>
        <w:t xml:space="preserve"> </w:t>
      </w:r>
      <w:r w:rsidR="0048084C">
        <w:t xml:space="preserve">often </w:t>
      </w:r>
      <w:r>
        <w:t>argue for an outcome they intuitively reject</w:t>
      </w:r>
      <w:r w:rsidR="0048084C">
        <w:t>;</w:t>
      </w:r>
      <w:r>
        <w:t xml:space="preserve"> </w:t>
      </w:r>
      <w:r w:rsidR="0048084C">
        <w:t>devise a</w:t>
      </w:r>
      <w:r w:rsidR="0048084C" w:rsidRPr="00F97B8D">
        <w:t xml:space="preserve"> strategy</w:t>
      </w:r>
      <w:r w:rsidR="0048084C">
        <w:t xml:space="preserve">; </w:t>
      </w:r>
      <w:r>
        <w:t>anticipate their opponents’ arguments</w:t>
      </w:r>
      <w:r w:rsidR="0048084C">
        <w:t>;</w:t>
      </w:r>
      <w:r>
        <w:t xml:space="preserve"> spot</w:t>
      </w:r>
      <w:r w:rsidRPr="00F97B8D">
        <w:t xml:space="preserve"> ambiguit</w:t>
      </w:r>
      <w:r>
        <w:t>ies</w:t>
      </w:r>
      <w:r w:rsidR="0048084C">
        <w:t>;</w:t>
      </w:r>
      <w:r>
        <w:t xml:space="preserve"> find</w:t>
      </w:r>
      <w:r w:rsidRPr="00F97B8D">
        <w:t xml:space="preserve"> weaknesses</w:t>
      </w:r>
      <w:r>
        <w:t xml:space="preserve"> in their own and opponents’ arguments</w:t>
      </w:r>
      <w:r w:rsidR="0048084C">
        <w:t>;</w:t>
      </w:r>
      <w:r w:rsidRPr="00F97B8D">
        <w:t xml:space="preserve"> </w:t>
      </w:r>
      <w:r>
        <w:t xml:space="preserve">develop </w:t>
      </w:r>
      <w:r w:rsidRPr="00F97B8D">
        <w:t>counter-argument</w:t>
      </w:r>
      <w:r w:rsidR="00AA6BA3">
        <w:t>s</w:t>
      </w:r>
      <w:r w:rsidR="0048084C">
        <w:t xml:space="preserve">; </w:t>
      </w:r>
      <w:r>
        <w:t xml:space="preserve">and deal with questions as they arise in the hearing. </w:t>
      </w:r>
    </w:p>
    <w:p w14:paraId="27C44202" w14:textId="459ECCEB" w:rsidR="00E44C71" w:rsidRDefault="00E44C71" w:rsidP="002E410C">
      <w:pPr>
        <w:pStyle w:val="ListParagraph"/>
        <w:numPr>
          <w:ilvl w:val="0"/>
          <w:numId w:val="18"/>
        </w:numPr>
        <w:ind w:hanging="720"/>
        <w:contextualSpacing w:val="0"/>
      </w:pPr>
      <w:r w:rsidRPr="00E44C71">
        <w:rPr>
          <w:i/>
        </w:rPr>
        <w:t>A fortiori</w:t>
      </w:r>
      <w:r>
        <w:t xml:space="preserve"> with clinic</w:t>
      </w:r>
      <w:r w:rsidR="006F4508">
        <w:t>, which adds</w:t>
      </w:r>
      <w:r w:rsidR="006F4508" w:rsidRPr="006F4508">
        <w:t xml:space="preserve"> </w:t>
      </w:r>
      <w:r w:rsidR="006F4508" w:rsidRPr="00F97B8D">
        <w:t xml:space="preserve">finding </w:t>
      </w:r>
      <w:r w:rsidR="006F4508">
        <w:t>facts.</w:t>
      </w:r>
    </w:p>
    <w:p w14:paraId="117601BD" w14:textId="77777777" w:rsidR="00AA6BA3" w:rsidRDefault="006F4508" w:rsidP="002E410C">
      <w:pPr>
        <w:pStyle w:val="ListParagraph"/>
        <w:numPr>
          <w:ilvl w:val="0"/>
          <w:numId w:val="18"/>
        </w:numPr>
        <w:ind w:hanging="720"/>
        <w:contextualSpacing w:val="0"/>
      </w:pPr>
      <w:r>
        <w:t xml:space="preserve">Assessment and feedback are crucial. If students do not confront the issues early in the course, they will fall back on Mrs </w:t>
      </w:r>
      <w:proofErr w:type="spellStart"/>
      <w:r>
        <w:t>Beeton</w:t>
      </w:r>
      <w:proofErr w:type="spellEnd"/>
      <w:r>
        <w:t xml:space="preserve"> and nutshell summaries. If they can pass assessments by so doing their (human) confirmation bias goes unchallenged.</w:t>
      </w:r>
      <w:r w:rsidR="003703EA">
        <w:rPr>
          <w:rStyle w:val="FootnoteReference"/>
        </w:rPr>
        <w:footnoteReference w:id="107"/>
      </w:r>
      <w:r>
        <w:t xml:space="preserve"> </w:t>
      </w:r>
      <w:r w:rsidR="0074131C">
        <w:t>There is also some evidence of the forward benefits of testing. These cannot be realised within a course unit if testing is simply terminal and summative.</w:t>
      </w:r>
      <w:r w:rsidR="0074131C">
        <w:rPr>
          <w:rStyle w:val="FootnoteReference"/>
        </w:rPr>
        <w:footnoteReference w:id="108"/>
      </w:r>
      <w:r w:rsidR="0074131C">
        <w:t>left to the end of the course unit</w:t>
      </w:r>
      <w:r w:rsidR="00944E25">
        <w:t xml:space="preserve">. </w:t>
      </w:r>
    </w:p>
    <w:p w14:paraId="599BC69F" w14:textId="3D982952" w:rsidR="006F4508" w:rsidRDefault="00944E25" w:rsidP="00AA6BA3">
      <w:r>
        <w:t xml:space="preserve">But there are the SQE and wastage rate </w:t>
      </w:r>
      <w:r w:rsidR="0048084C">
        <w:t>worries</w:t>
      </w:r>
      <w:r>
        <w:t>.</w:t>
      </w:r>
    </w:p>
    <w:sectPr w:rsidR="006F4508" w:rsidSect="00B078BF">
      <w:headerReference w:type="default" r:id="rId11"/>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CC2A3" w14:textId="77777777" w:rsidR="0056761C" w:rsidRDefault="0056761C" w:rsidP="00081396">
      <w:pPr>
        <w:spacing w:after="0" w:line="240" w:lineRule="auto"/>
      </w:pPr>
      <w:r>
        <w:separator/>
      </w:r>
    </w:p>
  </w:endnote>
  <w:endnote w:type="continuationSeparator" w:id="0">
    <w:p w14:paraId="6AB53A65" w14:textId="77777777" w:rsidR="0056761C" w:rsidRDefault="0056761C" w:rsidP="00081396">
      <w:pPr>
        <w:spacing w:after="0" w:line="240" w:lineRule="auto"/>
      </w:pPr>
      <w:r>
        <w:continuationSeparator/>
      </w:r>
    </w:p>
  </w:endnote>
  <w:endnote w:type="continuationNotice" w:id="1">
    <w:p w14:paraId="7970BF4D" w14:textId="77777777" w:rsidR="0056761C" w:rsidRDefault="00567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AdvOTfc06a83e">
    <w:altName w:val="Cambria"/>
    <w:panose1 w:val="00000000000000000000"/>
    <w:charset w:val="00"/>
    <w:family w:val="roman"/>
    <w:notTrueType/>
    <w:pitch w:val="default"/>
    <w:sig w:usb0="00000003" w:usb1="00000000" w:usb2="00000000" w:usb3="00000000" w:csb0="00000001" w:csb1="00000000"/>
  </w:font>
  <w:font w:name="Arial Nova Cond">
    <w:altName w:val="Arial Nova Cond"/>
    <w:panose1 w:val="020B0506020202020204"/>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869476"/>
      <w:docPartObj>
        <w:docPartGallery w:val="Page Numbers (Bottom of Page)"/>
        <w:docPartUnique/>
      </w:docPartObj>
    </w:sdtPr>
    <w:sdtEndPr/>
    <w:sdtContent>
      <w:sdt>
        <w:sdtPr>
          <w:id w:val="1728636285"/>
          <w:docPartObj>
            <w:docPartGallery w:val="Page Numbers (Top of Page)"/>
            <w:docPartUnique/>
          </w:docPartObj>
        </w:sdtPr>
        <w:sdtEndPr/>
        <w:sdtContent>
          <w:p w14:paraId="5A29A1FE" w14:textId="31E9A8EC" w:rsidR="0056761C" w:rsidRDefault="005676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073FFF" w14:textId="77777777" w:rsidR="0056761C" w:rsidRDefault="00567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775D" w14:textId="766905C5" w:rsidR="0056761C" w:rsidRDefault="0056761C">
    <w:pPr>
      <w:rPr>
        <w:rFonts w:asciiTheme="majorHAnsi" w:eastAsiaTheme="majorEastAsia" w:hAnsiTheme="majorHAnsi" w:cstheme="majorBidi"/>
      </w:rPr>
    </w:pPr>
  </w:p>
  <w:p w14:paraId="42376F61" w14:textId="77777777" w:rsidR="0056761C" w:rsidRDefault="0056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FE86" w14:textId="77777777" w:rsidR="0056761C" w:rsidRDefault="0056761C" w:rsidP="00081396">
      <w:pPr>
        <w:spacing w:after="0" w:line="240" w:lineRule="auto"/>
      </w:pPr>
      <w:r>
        <w:separator/>
      </w:r>
    </w:p>
  </w:footnote>
  <w:footnote w:type="continuationSeparator" w:id="0">
    <w:p w14:paraId="11672FF2" w14:textId="77777777" w:rsidR="0056761C" w:rsidRDefault="0056761C" w:rsidP="00081396">
      <w:pPr>
        <w:spacing w:after="0" w:line="240" w:lineRule="auto"/>
      </w:pPr>
      <w:r>
        <w:continuationSeparator/>
      </w:r>
    </w:p>
  </w:footnote>
  <w:footnote w:type="continuationNotice" w:id="1">
    <w:p w14:paraId="2B37B9A1" w14:textId="77777777" w:rsidR="0056761C" w:rsidRDefault="0056761C">
      <w:pPr>
        <w:spacing w:after="0" w:line="240" w:lineRule="auto"/>
      </w:pPr>
    </w:p>
  </w:footnote>
  <w:footnote w:id="2">
    <w:p w14:paraId="0CD09919" w14:textId="77777777" w:rsidR="0056761C" w:rsidRPr="00F7031A" w:rsidRDefault="0056761C" w:rsidP="002007D6">
      <w:pPr>
        <w:pStyle w:val="FootnoteText"/>
      </w:pPr>
      <w:r w:rsidRPr="00F7031A">
        <w:rPr>
          <w:rStyle w:val="FootnoteReference"/>
          <w:vertAlign w:val="baseline"/>
        </w:rPr>
        <w:footnoteRef/>
      </w:r>
      <w:r w:rsidRPr="00F7031A">
        <w:t xml:space="preserve"> </w:t>
      </w:r>
      <w:r w:rsidRPr="00F7031A">
        <w:tab/>
        <w:t>Ludwig Wittgenstein</w:t>
      </w:r>
      <w:r>
        <w:t xml:space="preserve"> (</w:t>
      </w:r>
      <w:proofErr w:type="spellStart"/>
      <w:r>
        <w:t>trs</w:t>
      </w:r>
      <w:proofErr w:type="spellEnd"/>
      <w:r>
        <w:t>. Ogden),</w:t>
      </w:r>
      <w:r w:rsidRPr="00F7031A">
        <w:t xml:space="preserve"> </w:t>
      </w:r>
      <w:proofErr w:type="spellStart"/>
      <w:r w:rsidRPr="007F4331">
        <w:rPr>
          <w:i/>
        </w:rPr>
        <w:t>Tractatus</w:t>
      </w:r>
      <w:proofErr w:type="spellEnd"/>
      <w:r w:rsidRPr="007F4331">
        <w:rPr>
          <w:i/>
        </w:rPr>
        <w:t xml:space="preserve"> Logico-</w:t>
      </w:r>
      <w:proofErr w:type="spellStart"/>
      <w:r w:rsidRPr="007F4331">
        <w:rPr>
          <w:i/>
        </w:rPr>
        <w:t>Philosophicus</w:t>
      </w:r>
      <w:proofErr w:type="spellEnd"/>
      <w:r w:rsidRPr="007F4331">
        <w:rPr>
          <w:i/>
        </w:rPr>
        <w:t xml:space="preserve"> </w:t>
      </w:r>
      <w:r w:rsidRPr="007F4331">
        <w:t>(Routledge 2014, original 1921</w:t>
      </w:r>
      <w:r w:rsidRPr="008E1734">
        <w:t>)</w:t>
      </w:r>
      <w:r>
        <w:t>, 5.62</w:t>
      </w:r>
    </w:p>
  </w:footnote>
  <w:footnote w:id="3">
    <w:p w14:paraId="73B0B636" w14:textId="482762A4" w:rsidR="0056761C" w:rsidRPr="00F7031A" w:rsidRDefault="0056761C" w:rsidP="009A01CD">
      <w:pPr>
        <w:pStyle w:val="FootnoteText"/>
      </w:pPr>
      <w:r w:rsidRPr="00F7031A">
        <w:rPr>
          <w:rStyle w:val="FootnoteReference"/>
          <w:vertAlign w:val="baseline"/>
        </w:rPr>
        <w:footnoteRef/>
      </w:r>
      <w:r w:rsidRPr="00F7031A">
        <w:t xml:space="preserve"> </w:t>
      </w:r>
      <w:r w:rsidRPr="00F7031A">
        <w:tab/>
        <w:t xml:space="preserve">Francis Bacon, </w:t>
      </w:r>
      <w:r w:rsidRPr="007458BC">
        <w:rPr>
          <w:i/>
        </w:rPr>
        <w:t>The Advancement of Learning</w:t>
      </w:r>
      <w:r w:rsidRPr="00F7031A">
        <w:t xml:space="preserve"> V</w:t>
      </w:r>
      <w:r>
        <w:t xml:space="preserve"> </w:t>
      </w:r>
      <w:r w:rsidRPr="00F7031A">
        <w:t>(8) (1605) https://www.gutenberg.org/files/5500/5500-h/5500-h.htm transcribed from the 1893 Cassell &amp; Company edition</w:t>
      </w:r>
      <w:r>
        <w:t>.</w:t>
      </w:r>
    </w:p>
  </w:footnote>
  <w:footnote w:id="4">
    <w:p w14:paraId="48D8D1F8" w14:textId="17981B16" w:rsidR="0056761C" w:rsidRDefault="0056761C">
      <w:pPr>
        <w:pStyle w:val="FootnoteText"/>
      </w:pPr>
      <w:r w:rsidRPr="00080135">
        <w:rPr>
          <w:rStyle w:val="FootnoteReference"/>
          <w:vertAlign w:val="baseline"/>
        </w:rPr>
        <w:footnoteRef/>
      </w:r>
      <w:r>
        <w:t xml:space="preserve"> </w:t>
      </w:r>
      <w:r>
        <w:tab/>
      </w:r>
      <w:r w:rsidRPr="00E17FCC">
        <w:rPr>
          <w:i/>
        </w:rPr>
        <w:t>Cf</w:t>
      </w:r>
      <w:r>
        <w:t>. a leaked report of a new OFSTED inspection framework: ‘</w:t>
      </w:r>
      <w:r w:rsidRPr="00484F0A">
        <w:t>Inspectors will identify and mark down “exam factory” schools that narrowly “teach to the test” and do not offer a rich education including art, music, sport and drama.</w:t>
      </w:r>
      <w:r>
        <w:t xml:space="preserve">’ </w:t>
      </w:r>
      <w:r w:rsidRPr="00F954E0">
        <w:rPr>
          <w:i/>
        </w:rPr>
        <w:t>Sunday Times</w:t>
      </w:r>
      <w:r>
        <w:t>, 12 August 2018.</w:t>
      </w:r>
    </w:p>
  </w:footnote>
  <w:footnote w:id="5">
    <w:p w14:paraId="143972F4" w14:textId="1C004ADC" w:rsidR="0056761C" w:rsidRPr="00985E2C" w:rsidRDefault="0056761C">
      <w:pPr>
        <w:pStyle w:val="FootnoteText"/>
      </w:pPr>
      <w:r w:rsidRPr="00985E2C">
        <w:rPr>
          <w:rStyle w:val="FootnoteReference"/>
          <w:vertAlign w:val="baseline"/>
        </w:rPr>
        <w:footnoteRef/>
      </w:r>
      <w:r w:rsidRPr="00985E2C">
        <w:t xml:space="preserve"> </w:t>
      </w:r>
      <w:r w:rsidRPr="00985E2C">
        <w:tab/>
      </w:r>
      <w:r>
        <w:t>The ambiguity of ‘expectation’ brings scope for double disappointment—things being not as our neophyte thought they would (factive), or ought (normative)</w:t>
      </w:r>
      <w:r w:rsidRPr="00B078BF">
        <w:t xml:space="preserve"> </w:t>
      </w:r>
      <w:r>
        <w:t>to be.</w:t>
      </w:r>
    </w:p>
  </w:footnote>
  <w:footnote w:id="6">
    <w:p w14:paraId="5882D0E1" w14:textId="0038827D" w:rsidR="0056761C" w:rsidRPr="00F7031A" w:rsidRDefault="0056761C" w:rsidP="00B23C54">
      <w:pPr>
        <w:pStyle w:val="FootnoteText"/>
      </w:pPr>
      <w:r w:rsidRPr="00F7031A">
        <w:rPr>
          <w:rStyle w:val="FootnoteReference"/>
          <w:vertAlign w:val="baseline"/>
        </w:rPr>
        <w:footnoteRef/>
      </w:r>
      <w:r w:rsidRPr="00F7031A">
        <w:t xml:space="preserve"> </w:t>
      </w:r>
      <w:r w:rsidRPr="00F7031A">
        <w:tab/>
        <w:t xml:space="preserve">See: </w:t>
      </w:r>
      <w:r w:rsidRPr="00F7031A">
        <w:rPr>
          <w:i/>
        </w:rPr>
        <w:t>Regina (Conway)</w:t>
      </w:r>
      <w:r w:rsidRPr="00F7031A">
        <w:t xml:space="preserve"> v. </w:t>
      </w:r>
      <w:r w:rsidRPr="00F7031A">
        <w:rPr>
          <w:i/>
        </w:rPr>
        <w:t>Secretary of State for Justice</w:t>
      </w:r>
      <w:r w:rsidRPr="00F7031A">
        <w:t xml:space="preserve"> [2018] EWCA </w:t>
      </w:r>
      <w:proofErr w:type="spellStart"/>
      <w:r w:rsidRPr="00F7031A">
        <w:t>Civ</w:t>
      </w:r>
      <w:proofErr w:type="spellEnd"/>
      <w:r w:rsidRPr="00F7031A">
        <w:t xml:space="preserve"> 143</w:t>
      </w:r>
      <w:r>
        <w:t>1 [189] ‘the evidence available…</w:t>
      </w:r>
      <w:r w:rsidRPr="00F7031A">
        <w:t>is necessarily limited to that which the parties wish to adduce</w:t>
      </w:r>
      <w:r>
        <w:t>…[T]</w:t>
      </w:r>
      <w:r w:rsidRPr="00F7031A">
        <w:t xml:space="preserve">he court cannot conduct consultations with the public or any sector of it and cannot engage experts and advisers on its own account’; </w:t>
      </w:r>
      <w:r w:rsidRPr="00F7031A">
        <w:rPr>
          <w:i/>
        </w:rPr>
        <w:t>Owens</w:t>
      </w:r>
      <w:r w:rsidRPr="00F7031A">
        <w:t xml:space="preserve"> v. </w:t>
      </w:r>
      <w:r w:rsidRPr="00F7031A">
        <w:rPr>
          <w:i/>
        </w:rPr>
        <w:t>Owens</w:t>
      </w:r>
      <w:r w:rsidRPr="00F7031A">
        <w:t xml:space="preserve"> [2018] UKSC 41 [46] </w:t>
      </w:r>
      <w:r w:rsidRPr="00F7031A">
        <w:rPr>
          <w:i/>
        </w:rPr>
        <w:t>per</w:t>
      </w:r>
      <w:r w:rsidRPr="00F7031A">
        <w:t xml:space="preserve"> Lady Hale, ‘I have found this a very troubling case. It is not for us to change the law laid down by Parliament—our role is only to interpret and apply the law</w:t>
      </w:r>
      <w:r>
        <w:t xml:space="preserve"> that Parliament has given us.’</w:t>
      </w:r>
    </w:p>
  </w:footnote>
  <w:footnote w:id="7">
    <w:p w14:paraId="3EA44967" w14:textId="71183FE9" w:rsidR="0056761C" w:rsidRPr="00F7031A" w:rsidRDefault="0056761C" w:rsidP="00794FCF">
      <w:pPr>
        <w:pStyle w:val="FootnoteText"/>
      </w:pPr>
      <w:r w:rsidRPr="00F7031A">
        <w:rPr>
          <w:rStyle w:val="FootnoteReference"/>
          <w:vertAlign w:val="baseline"/>
        </w:rPr>
        <w:footnoteRef/>
      </w:r>
      <w:r w:rsidRPr="00F7031A">
        <w:t xml:space="preserve"> </w:t>
      </w:r>
      <w:r w:rsidRPr="00F7031A">
        <w:tab/>
        <w:t xml:space="preserve"> (1931) 44 </w:t>
      </w:r>
      <w:r w:rsidRPr="00F7031A">
        <w:rPr>
          <w:i/>
        </w:rPr>
        <w:t xml:space="preserve">Harvard Law Review </w:t>
      </w:r>
      <w:r w:rsidRPr="00F7031A">
        <w:t>1222, 1234-1238</w:t>
      </w:r>
    </w:p>
  </w:footnote>
  <w:footnote w:id="8">
    <w:p w14:paraId="4E2F8272" w14:textId="37AEF7E3" w:rsidR="0056761C" w:rsidRDefault="0056761C">
      <w:pPr>
        <w:pStyle w:val="FootnoteText"/>
      </w:pPr>
      <w:r w:rsidRPr="00445D58">
        <w:rPr>
          <w:rStyle w:val="FootnoteReference"/>
          <w:vertAlign w:val="baseline"/>
        </w:rPr>
        <w:footnoteRef/>
      </w:r>
      <w:r w:rsidRPr="00445D58">
        <w:t xml:space="preserve"> </w:t>
      </w:r>
      <w:r>
        <w:tab/>
        <w:t>‘[O]</w:t>
      </w:r>
      <w:r w:rsidRPr="00445D58">
        <w:t>ne of the first cookery writers to list all the ingredients at the beginning of the recipe, so that the housewife could make sure she had everything she needed before she started</w:t>
      </w:r>
      <w:r>
        <w:t xml:space="preserve">.’ (British Library: </w:t>
      </w:r>
      <w:r w:rsidRPr="00445D58">
        <w:t>https://www.bl.uk/romantics-and-victorians/articles/mrs-beeton-and-the-art-of-household-management</w:t>
      </w:r>
      <w:r>
        <w:t>, visited 6 August 2017)</w:t>
      </w:r>
      <w:r w:rsidR="003E0306">
        <w:t>.</w:t>
      </w:r>
    </w:p>
  </w:footnote>
  <w:footnote w:id="9">
    <w:p w14:paraId="450659C4" w14:textId="3D83A328" w:rsidR="0056761C" w:rsidRPr="00F7031A" w:rsidRDefault="0056761C" w:rsidP="00794FCF">
      <w:pPr>
        <w:pStyle w:val="FootnoteText"/>
      </w:pPr>
      <w:r w:rsidRPr="00F7031A">
        <w:rPr>
          <w:rStyle w:val="FootnoteReference"/>
          <w:vertAlign w:val="baseline"/>
        </w:rPr>
        <w:footnoteRef/>
      </w:r>
      <w:r w:rsidRPr="00F7031A">
        <w:t xml:space="preserve"> </w:t>
      </w:r>
      <w:r w:rsidRPr="00F7031A">
        <w:tab/>
        <w:t xml:space="preserve">See Ernest Souza in Ted </w:t>
      </w:r>
      <w:proofErr w:type="spellStart"/>
      <w:r w:rsidRPr="00F7031A">
        <w:t>Honderich</w:t>
      </w:r>
      <w:proofErr w:type="spellEnd"/>
      <w:r w:rsidRPr="00F7031A">
        <w:t xml:space="preserve"> (ed.) </w:t>
      </w:r>
      <w:r w:rsidRPr="00F7031A">
        <w:rPr>
          <w:i/>
        </w:rPr>
        <w:t xml:space="preserve">Oxford Companion to Philosophy </w:t>
      </w:r>
      <w:r w:rsidRPr="00F7031A">
        <w:t>(Oxford: OUP, 2005) 780-790.</w:t>
      </w:r>
    </w:p>
  </w:footnote>
  <w:footnote w:id="10">
    <w:p w14:paraId="2C812E4D" w14:textId="1D2B9C5D" w:rsidR="0056761C" w:rsidRPr="00F7031A" w:rsidRDefault="0056761C" w:rsidP="00203C05">
      <w:pPr>
        <w:spacing w:after="80"/>
        <w:ind w:left="720" w:hanging="720"/>
        <w:rPr>
          <w:rStyle w:val="FootnoteTextChar"/>
        </w:rPr>
      </w:pPr>
      <w:r w:rsidRPr="00F7031A">
        <w:rPr>
          <w:rStyle w:val="FootnoteReference"/>
          <w:sz w:val="20"/>
          <w:szCs w:val="20"/>
          <w:vertAlign w:val="baseline"/>
        </w:rPr>
        <w:footnoteRef/>
      </w:r>
      <w:r w:rsidRPr="00F7031A">
        <w:rPr>
          <w:sz w:val="20"/>
          <w:szCs w:val="20"/>
        </w:rPr>
        <w:t xml:space="preserve"> </w:t>
      </w:r>
      <w:r w:rsidRPr="00F7031A">
        <w:rPr>
          <w:sz w:val="20"/>
          <w:szCs w:val="20"/>
        </w:rPr>
        <w:tab/>
      </w:r>
      <w:r w:rsidRPr="00F7031A">
        <w:rPr>
          <w:rStyle w:val="FootnoteTextChar"/>
        </w:rPr>
        <w:t xml:space="preserve">Ernest </w:t>
      </w:r>
      <w:proofErr w:type="spellStart"/>
      <w:r w:rsidRPr="00F7031A">
        <w:rPr>
          <w:rStyle w:val="FootnoteTextChar"/>
        </w:rPr>
        <w:t>Weinrib</w:t>
      </w:r>
      <w:proofErr w:type="spellEnd"/>
      <w:r w:rsidRPr="00F7031A">
        <w:rPr>
          <w:rStyle w:val="FootnoteTextChar"/>
        </w:rPr>
        <w:t xml:space="preserve">, </w:t>
      </w:r>
      <w:r w:rsidRPr="00445D58">
        <w:rPr>
          <w:rStyle w:val="FootnoteTextChar"/>
          <w:i/>
        </w:rPr>
        <w:t>Corrective Justice</w:t>
      </w:r>
      <w:r w:rsidRPr="00F7031A">
        <w:rPr>
          <w:rStyle w:val="FootnoteTextChar"/>
        </w:rPr>
        <w:t xml:space="preserve"> (Oxford: OUP, 2012) 10</w:t>
      </w:r>
      <w:r>
        <w:rPr>
          <w:rStyle w:val="FootnoteTextChar"/>
        </w:rPr>
        <w:t>, my emphases</w:t>
      </w:r>
      <w:r w:rsidRPr="00F7031A">
        <w:rPr>
          <w:rStyle w:val="FootnoteTextChar"/>
        </w:rPr>
        <w:t xml:space="preserve">. Similarly, Arthur </w:t>
      </w:r>
      <w:proofErr w:type="spellStart"/>
      <w:r w:rsidRPr="00F7031A">
        <w:rPr>
          <w:rStyle w:val="FootnoteTextChar"/>
        </w:rPr>
        <w:t>Ripstein</w:t>
      </w:r>
      <w:proofErr w:type="spellEnd"/>
      <w:r w:rsidRPr="00F7031A">
        <w:rPr>
          <w:rStyle w:val="FootnoteTextChar"/>
        </w:rPr>
        <w:t xml:space="preserve">, ‘Tort Law in a Liberal State’ (2007) 1(2) </w:t>
      </w:r>
      <w:r w:rsidRPr="00F7031A">
        <w:rPr>
          <w:rStyle w:val="FootnoteTextChar"/>
          <w:i/>
        </w:rPr>
        <w:t>Journal of Tort Law</w:t>
      </w:r>
      <w:r w:rsidRPr="00F7031A">
        <w:rPr>
          <w:rStyle w:val="FootnoteTextChar"/>
        </w:rPr>
        <w:t xml:space="preserve">, Article 3, 1-43, 7: ‘[I]t is a mistake to think of tort law as having a function at all, if by that we mean a set of effects that it produces, in the light of which it is justified’. </w:t>
      </w:r>
      <w:r w:rsidRPr="00F7031A">
        <w:rPr>
          <w:rStyle w:val="FootnoteTextChar"/>
          <w:i/>
        </w:rPr>
        <w:t>Cf.</w:t>
      </w:r>
      <w:r w:rsidRPr="00F7031A">
        <w:rPr>
          <w:rStyle w:val="FootnoteTextChar"/>
        </w:rPr>
        <w:t xml:space="preserve"> John Witt, ‘Contingency, Immanence, and Inevitability in the Law of Accidents’ (2007) 1(2), </w:t>
      </w:r>
      <w:r w:rsidRPr="00F7031A">
        <w:rPr>
          <w:rStyle w:val="FootnoteTextChar"/>
          <w:i/>
        </w:rPr>
        <w:t>Journal of Tort Law</w:t>
      </w:r>
      <w:r w:rsidRPr="00F7031A">
        <w:rPr>
          <w:rStyle w:val="FootnoteTextChar"/>
        </w:rPr>
        <w:t xml:space="preserve"> Article 1, 23: [I]t would be quite startling if corrective justice’s principles were immanent in the common law’s extension of royal authority in late medieval and early modern England.’</w:t>
      </w:r>
    </w:p>
  </w:footnote>
  <w:footnote w:id="11">
    <w:p w14:paraId="1BB3F66F" w14:textId="4F0F140C" w:rsidR="0056761C" w:rsidRPr="00F7031A" w:rsidRDefault="0056761C" w:rsidP="00794FCF">
      <w:pPr>
        <w:pStyle w:val="FootnoteText"/>
      </w:pPr>
      <w:r w:rsidRPr="00F7031A">
        <w:rPr>
          <w:rStyle w:val="FootnoteReference"/>
          <w:vertAlign w:val="baseline"/>
        </w:rPr>
        <w:footnoteRef/>
      </w:r>
      <w:r w:rsidRPr="00F7031A">
        <w:t xml:space="preserve"> </w:t>
      </w:r>
      <w:r w:rsidRPr="00F7031A">
        <w:tab/>
        <w:t xml:space="preserve">Note </w:t>
      </w:r>
      <w:r w:rsidRPr="00F7031A">
        <w:fldChar w:fldCharType="begin"/>
      </w:r>
      <w:r w:rsidRPr="00F7031A">
        <w:instrText xml:space="preserve"> NOTEREF _Ref520365236 \p \h  \* MERGEFORMAT </w:instrText>
      </w:r>
      <w:r w:rsidRPr="00F7031A">
        <w:fldChar w:fldCharType="separate"/>
      </w:r>
      <w:r>
        <w:t>9</w:t>
      </w:r>
      <w:r w:rsidRPr="00F7031A">
        <w:fldChar w:fldCharType="end"/>
      </w:r>
      <w:r w:rsidRPr="00F7031A">
        <w:t xml:space="preserve"> above, 19 and 22, my emphases.</w:t>
      </w:r>
    </w:p>
  </w:footnote>
  <w:footnote w:id="12">
    <w:p w14:paraId="2533BE6E" w14:textId="401510A0" w:rsidR="0056761C" w:rsidRPr="0079516A" w:rsidRDefault="0056761C" w:rsidP="00C938F2">
      <w:pPr>
        <w:pStyle w:val="FootnoteText"/>
      </w:pPr>
      <w:r w:rsidRPr="00F7031A">
        <w:rPr>
          <w:rStyle w:val="FootnoteReference"/>
          <w:vertAlign w:val="baseline"/>
        </w:rPr>
        <w:footnoteRef/>
      </w:r>
      <w:r w:rsidRPr="00F7031A">
        <w:t xml:space="preserve"> </w:t>
      </w:r>
      <w:r w:rsidRPr="00F7031A">
        <w:tab/>
      </w:r>
      <w:r w:rsidRPr="0079516A">
        <w:rPr>
          <w:i/>
        </w:rPr>
        <w:t>E.g</w:t>
      </w:r>
      <w:r w:rsidRPr="00F7031A">
        <w:t xml:space="preserve">. </w:t>
      </w:r>
      <w:r w:rsidRPr="00F7031A">
        <w:rPr>
          <w:i/>
        </w:rPr>
        <w:t>Nettleship</w:t>
      </w:r>
      <w:r w:rsidRPr="00F7031A">
        <w:t xml:space="preserve"> v. </w:t>
      </w:r>
      <w:r w:rsidRPr="00F7031A">
        <w:rPr>
          <w:i/>
        </w:rPr>
        <w:t>Weston</w:t>
      </w:r>
      <w:r>
        <w:rPr>
          <w:i/>
        </w:rPr>
        <w:t xml:space="preserve"> </w:t>
      </w:r>
      <w:r w:rsidRPr="00F84ED6">
        <w:t>[1971] 2 QB 691</w:t>
      </w:r>
      <w:r>
        <w:t xml:space="preserve">. </w:t>
      </w:r>
      <w:proofErr w:type="spellStart"/>
      <w:r>
        <w:t>Weinrib</w:t>
      </w:r>
      <w:proofErr w:type="spellEnd"/>
      <w:r>
        <w:t xml:space="preserve"> rejects this ‘subjective standard’: see </w:t>
      </w:r>
      <w:r w:rsidRPr="008233D2">
        <w:rPr>
          <w:i/>
        </w:rPr>
        <w:t>The Idea of Private Law</w:t>
      </w:r>
      <w:r>
        <w:t xml:space="preserve"> (Oxford: OUP, 2012) 178-184. However, in </w:t>
      </w:r>
      <w:r w:rsidRPr="003E2CD2">
        <w:rPr>
          <w:i/>
        </w:rPr>
        <w:t>Corrective Justice</w:t>
      </w:r>
      <w:r>
        <w:t xml:space="preserve">, in an illuminating discussion of unjust enrichment, </w:t>
      </w:r>
      <w:proofErr w:type="spellStart"/>
      <w:r>
        <w:t>Weinrib</w:t>
      </w:r>
      <w:proofErr w:type="spellEnd"/>
      <w:r>
        <w:t xml:space="preserve"> happily accommodates some </w:t>
      </w:r>
      <w:r w:rsidRPr="00C938F2">
        <w:t>imputations</w:t>
      </w:r>
      <w:r>
        <w:t xml:space="preserve"> or ascriptions. He considers, ‘whether [an] improvement is a gift from the improver to the owner; [and, if it is not] whether…acceptance of the improvement can reasonably be imputed to the owner…[and explains that] [t]he law’s treatment of these two issues is…a matter not of fact but of juristic construction. It involves not merely ascertaining what happened but working out the relevant legal categories and ascribing meaning in their light to the conduct of the parties.’ </w:t>
      </w:r>
      <w:r w:rsidRPr="00F7031A">
        <w:t xml:space="preserve">Note </w:t>
      </w:r>
      <w:r w:rsidRPr="00F7031A">
        <w:fldChar w:fldCharType="begin"/>
      </w:r>
      <w:r w:rsidRPr="00F7031A">
        <w:instrText xml:space="preserve"> NOTEREF _Ref520365236 \p \h  \* MERGEFORMAT </w:instrText>
      </w:r>
      <w:r w:rsidRPr="00F7031A">
        <w:fldChar w:fldCharType="separate"/>
      </w:r>
      <w:r>
        <w:t>9</w:t>
      </w:r>
      <w:r w:rsidRPr="00F7031A">
        <w:fldChar w:fldCharType="end"/>
      </w:r>
      <w:r w:rsidRPr="00F7031A">
        <w:t xml:space="preserve"> above</w:t>
      </w:r>
      <w:r>
        <w:t xml:space="preserve"> 260-261.</w:t>
      </w:r>
    </w:p>
  </w:footnote>
  <w:footnote w:id="13">
    <w:p w14:paraId="76E01416" w14:textId="3CEA84A5" w:rsidR="0056761C" w:rsidRPr="00F7031A" w:rsidRDefault="0056761C" w:rsidP="00794FCF">
      <w:pPr>
        <w:pStyle w:val="FootnoteText"/>
      </w:pPr>
      <w:r w:rsidRPr="00F7031A">
        <w:rPr>
          <w:rStyle w:val="FootnoteReference"/>
          <w:vertAlign w:val="baseline"/>
        </w:rPr>
        <w:footnoteRef/>
      </w:r>
      <w:r w:rsidRPr="00F7031A">
        <w:t xml:space="preserve"> </w:t>
      </w:r>
      <w:r w:rsidRPr="00F7031A">
        <w:tab/>
        <w:t xml:space="preserve">The word ‘vicarious’ appears only once in </w:t>
      </w:r>
      <w:r w:rsidRPr="00BC5816">
        <w:rPr>
          <w:i/>
        </w:rPr>
        <w:t>Corrective Justice</w:t>
      </w:r>
      <w:r w:rsidRPr="00F7031A">
        <w:t xml:space="preserve"> and is not indexed</w:t>
      </w:r>
      <w:r>
        <w:t xml:space="preserve">. Yet, linked with insurance, the concept is vital to the survival of a fault-based system of accident compensation. However, in </w:t>
      </w:r>
      <w:r w:rsidRPr="008233D2">
        <w:rPr>
          <w:i/>
        </w:rPr>
        <w:t>The Idea of Private Law</w:t>
      </w:r>
      <w:r>
        <w:t xml:space="preserve">, note </w:t>
      </w:r>
      <w:r>
        <w:fldChar w:fldCharType="begin"/>
      </w:r>
      <w:r>
        <w:instrText xml:space="preserve"> NOTEREF _Ref521573995 \h </w:instrText>
      </w:r>
      <w:r>
        <w:fldChar w:fldCharType="separate"/>
      </w:r>
      <w:r>
        <w:t>11</w:t>
      </w:r>
      <w:r>
        <w:fldChar w:fldCharType="end"/>
      </w:r>
      <w:r>
        <w:t xml:space="preserve"> above (186-187), he seeks to explain vicarious liability as an ‘extension’ of fault-based liability. It ‘</w:t>
      </w:r>
      <w:proofErr w:type="spellStart"/>
      <w:r>
        <w:t>imput</w:t>
      </w:r>
      <w:proofErr w:type="spellEnd"/>
      <w:r>
        <w:t>[</w:t>
      </w:r>
      <w:proofErr w:type="spellStart"/>
      <w:r>
        <w:t>es</w:t>
      </w:r>
      <w:proofErr w:type="spellEnd"/>
      <w:r>
        <w:t>] the injurious wrong to the organisation as a whole.’ Most employers found vicariously liable might accept the imputation of responsibility but not of wrongfulness.</w:t>
      </w:r>
      <w:r w:rsidRPr="00BC5816">
        <w:rPr>
          <w:i/>
        </w:rPr>
        <w:t xml:space="preserve"> </w:t>
      </w:r>
      <w:r w:rsidRPr="00F7031A">
        <w:rPr>
          <w:i/>
        </w:rPr>
        <w:t>Cf</w:t>
      </w:r>
      <w:r w:rsidRPr="00F7031A">
        <w:t xml:space="preserve">. Heidi Hurd’s claim ‘that however “average the </w:t>
      </w:r>
      <w:proofErr w:type="spellStart"/>
      <w:r w:rsidRPr="00F7031A">
        <w:t>man,”·and</w:t>
      </w:r>
      <w:proofErr w:type="spellEnd"/>
      <w:r w:rsidRPr="00F7031A">
        <w:t xml:space="preserve"> however much “ordinary intelligence and prudence” he has, he is without moral blame if the </w:t>
      </w:r>
      <w:r>
        <w:t>h</w:t>
      </w:r>
      <w:r w:rsidRPr="00F7031A">
        <w:t xml:space="preserve">arm he causes another is a product of genuine inadvertence (however unreasonable) to the riskiness of his own behaviour. In other words, </w:t>
      </w:r>
      <w:r w:rsidRPr="00F7031A">
        <w:rPr>
          <w:i/>
        </w:rPr>
        <w:t xml:space="preserve">all </w:t>
      </w:r>
      <w:r w:rsidRPr="00F7031A">
        <w:t xml:space="preserve">cases of negligence are purportedly exceptional, textbook cases </w:t>
      </w:r>
      <w:r>
        <w:t xml:space="preserve">[like </w:t>
      </w:r>
      <w:r w:rsidRPr="00F7031A">
        <w:rPr>
          <w:i/>
        </w:rPr>
        <w:t>Vaughan</w:t>
      </w:r>
      <w:r w:rsidRPr="00F7031A">
        <w:t xml:space="preserve"> v. </w:t>
      </w:r>
      <w:proofErr w:type="spellStart"/>
      <w:r w:rsidRPr="00F7031A">
        <w:rPr>
          <w:i/>
        </w:rPr>
        <w:t>Menlove</w:t>
      </w:r>
      <w:proofErr w:type="spellEnd"/>
      <w:r w:rsidRPr="00F7031A">
        <w:rPr>
          <w:i/>
        </w:rPr>
        <w:t xml:space="preserve"> </w:t>
      </w:r>
      <w:r w:rsidRPr="00F7031A">
        <w:t>(1837) 132 ER 490, 492] that do the equivalent of imposing liability on foolish farmers whose harmful behaviour is a result of “the misfortune of not possessing the highest order of intelligence.”</w:t>
      </w:r>
      <w:r>
        <w:t>’</w:t>
      </w:r>
      <w:r w:rsidRPr="00F7031A">
        <w:t xml:space="preserve"> Heidi Hurd, ‘Finding No Fault with Negligence’ in John </w:t>
      </w:r>
      <w:proofErr w:type="spellStart"/>
      <w:r w:rsidRPr="00F7031A">
        <w:t>Oberdiek</w:t>
      </w:r>
      <w:proofErr w:type="spellEnd"/>
      <w:r w:rsidRPr="00F7031A">
        <w:t xml:space="preserve"> (ed.), </w:t>
      </w:r>
      <w:r w:rsidRPr="00F7031A">
        <w:rPr>
          <w:i/>
        </w:rPr>
        <w:t>Philosophical Foundations of the Law of Torts</w:t>
      </w:r>
      <w:r w:rsidRPr="00F7031A">
        <w:t xml:space="preserve"> (Oxford: OUP, 2015) 387-405, 388.</w:t>
      </w:r>
    </w:p>
  </w:footnote>
  <w:footnote w:id="14">
    <w:p w14:paraId="65BE49BB" w14:textId="77777777" w:rsidR="0056761C" w:rsidRDefault="0056761C" w:rsidP="00794FCF">
      <w:pPr>
        <w:pStyle w:val="FootnoteText"/>
      </w:pPr>
      <w:r w:rsidRPr="00F7031A">
        <w:rPr>
          <w:rStyle w:val="FootnoteReference"/>
          <w:vertAlign w:val="baseline"/>
        </w:rPr>
        <w:footnoteRef/>
      </w:r>
      <w:r w:rsidRPr="00800DE1">
        <w:t xml:space="preserve"> </w:t>
      </w:r>
      <w:r>
        <w:tab/>
        <w:t xml:space="preserve">The officious bystander test was articulated by MacKinnon LJ in </w:t>
      </w:r>
      <w:r w:rsidRPr="00800DE1">
        <w:rPr>
          <w:bCs/>
          <w:i/>
          <w:iCs/>
        </w:rPr>
        <w:t xml:space="preserve">Southern Foundries (1926) Ltd </w:t>
      </w:r>
      <w:r w:rsidRPr="00800DE1">
        <w:rPr>
          <w:bCs/>
          <w:iCs/>
        </w:rPr>
        <w:t>v.</w:t>
      </w:r>
      <w:r w:rsidRPr="00800DE1">
        <w:rPr>
          <w:bCs/>
          <w:i/>
          <w:iCs/>
        </w:rPr>
        <w:t xml:space="preserve"> </w:t>
      </w:r>
      <w:proofErr w:type="spellStart"/>
      <w:r w:rsidRPr="00800DE1">
        <w:rPr>
          <w:bCs/>
          <w:i/>
          <w:iCs/>
        </w:rPr>
        <w:t>Shirlaw</w:t>
      </w:r>
      <w:proofErr w:type="spellEnd"/>
      <w:r>
        <w:rPr>
          <w:bCs/>
          <w:i/>
          <w:iCs/>
        </w:rPr>
        <w:t xml:space="preserve"> </w:t>
      </w:r>
      <w:r w:rsidRPr="00771465">
        <w:rPr>
          <w:bCs/>
          <w:iCs/>
        </w:rPr>
        <w:t>[1939] 2 KB 206, 227</w:t>
      </w:r>
      <w:r>
        <w:rPr>
          <w:bCs/>
          <w:iCs/>
        </w:rPr>
        <w:t xml:space="preserve">. In the House of Lords in </w:t>
      </w:r>
      <w:proofErr w:type="spellStart"/>
      <w:r w:rsidRPr="00771465">
        <w:rPr>
          <w:bCs/>
          <w:i/>
          <w:iCs/>
        </w:rPr>
        <w:t>Shirlaw</w:t>
      </w:r>
      <w:proofErr w:type="spellEnd"/>
      <w:r>
        <w:rPr>
          <w:bCs/>
          <w:iCs/>
        </w:rPr>
        <w:t>, Lord Atkin said, ‘</w:t>
      </w:r>
      <w:r w:rsidRPr="00771465">
        <w:rPr>
          <w:bCs/>
          <w:iCs/>
        </w:rPr>
        <w:t>Personally I should not so much base the law on an implied term, as on a positive rule of the law of contract that conduct of either promiser or promisee which can be said to amount to himself "of his own motion" bringing about the impossibility of pe</w:t>
      </w:r>
      <w:r>
        <w:rPr>
          <w:bCs/>
          <w:iCs/>
        </w:rPr>
        <w:t>rformance is in itself a breach’</w:t>
      </w:r>
      <w:r w:rsidRPr="00771465">
        <w:t xml:space="preserve"> </w:t>
      </w:r>
      <w:r w:rsidRPr="00800DE1">
        <w:t>[1940] AC 701</w:t>
      </w:r>
      <w:r>
        <w:t>, 717. Such a rule does not depend on the parties’ intentions. On implying terms, s</w:t>
      </w:r>
      <w:r>
        <w:rPr>
          <w:bCs/>
          <w:iCs/>
        </w:rPr>
        <w:t>ee also</w:t>
      </w:r>
      <w:r>
        <w:t xml:space="preserve"> Lord Hoffman in </w:t>
      </w:r>
      <w:r w:rsidRPr="006547A7">
        <w:rPr>
          <w:rStyle w:val="Hyperlink"/>
          <w:i/>
          <w:iCs/>
          <w:color w:val="000000" w:themeColor="text1"/>
          <w:u w:val="none"/>
        </w:rPr>
        <w:t xml:space="preserve">AG of Belize </w:t>
      </w:r>
      <w:r w:rsidRPr="002E0F82">
        <w:rPr>
          <w:rStyle w:val="Hyperlink"/>
          <w:iCs/>
          <w:color w:val="000000" w:themeColor="text1"/>
          <w:u w:val="none"/>
        </w:rPr>
        <w:t>v.</w:t>
      </w:r>
      <w:r w:rsidRPr="006547A7">
        <w:rPr>
          <w:rStyle w:val="Hyperlink"/>
          <w:i/>
          <w:iCs/>
          <w:color w:val="000000" w:themeColor="text1"/>
          <w:u w:val="none"/>
        </w:rPr>
        <w:t xml:space="preserve"> Belize Telecom Ltd</w:t>
      </w:r>
      <w:r>
        <w:t xml:space="preserve"> [2009] UKPC 10 [27]. </w:t>
      </w:r>
    </w:p>
    <w:p w14:paraId="5A7F8FF0" w14:textId="23649BEB" w:rsidR="0056761C" w:rsidRPr="00AF44D6" w:rsidRDefault="0056761C" w:rsidP="00501851">
      <w:pPr>
        <w:pStyle w:val="FootnoteText"/>
        <w:ind w:firstLine="0"/>
        <w:rPr>
          <w:rFonts w:asciiTheme="majorHAnsi" w:hAnsiTheme="majorHAnsi" w:cstheme="majorHAnsi"/>
        </w:rPr>
      </w:pPr>
      <w:r>
        <w:t xml:space="preserve">In </w:t>
      </w:r>
      <w:r w:rsidRPr="00B927D6">
        <w:rPr>
          <w:i/>
        </w:rPr>
        <w:t>Liverpool City Council</w:t>
      </w:r>
      <w:r>
        <w:t xml:space="preserve"> v. </w:t>
      </w:r>
      <w:r w:rsidRPr="00B927D6">
        <w:rPr>
          <w:i/>
        </w:rPr>
        <w:t>Irwin</w:t>
      </w:r>
      <w:r>
        <w:t xml:space="preserve"> [1977] AC 239 a landlord’s obligations to a council tenant were constructed by the court despite virtually non-existent evidence of the landlord’s intention (see </w:t>
      </w:r>
      <w:r w:rsidRPr="000A0903">
        <w:t xml:space="preserve">PS Atiyah, </w:t>
      </w:r>
      <w:r w:rsidRPr="000A0903">
        <w:rPr>
          <w:i/>
        </w:rPr>
        <w:t>Essays on Contract</w:t>
      </w:r>
      <w:r w:rsidRPr="000A0903">
        <w:t xml:space="preserve"> (Oxford: OUP Clarendon, 1986)</w:t>
      </w:r>
      <w:r>
        <w:t xml:space="preserve"> 339-341. Courts have regularly implied a condition of trust and confidence in employment contracts: see (</w:t>
      </w:r>
      <w:r w:rsidRPr="00501851">
        <w:rPr>
          <w:i/>
        </w:rPr>
        <w:t>e.g.</w:t>
      </w:r>
      <w:r>
        <w:t xml:space="preserve">) </w:t>
      </w:r>
      <w:proofErr w:type="spellStart"/>
      <w:r w:rsidRPr="00AF44D6">
        <w:rPr>
          <w:rFonts w:asciiTheme="majorHAnsi" w:hAnsiTheme="majorHAnsi" w:cstheme="majorHAnsi"/>
          <w:i/>
          <w:color w:val="555555"/>
        </w:rPr>
        <w:t>Courtaulds</w:t>
      </w:r>
      <w:proofErr w:type="spellEnd"/>
      <w:r w:rsidRPr="00AF44D6">
        <w:rPr>
          <w:rFonts w:asciiTheme="majorHAnsi" w:hAnsiTheme="majorHAnsi" w:cstheme="majorHAnsi"/>
          <w:i/>
          <w:color w:val="555555"/>
        </w:rPr>
        <w:t xml:space="preserve"> Northern Textiles Limited </w:t>
      </w:r>
      <w:r w:rsidRPr="00AF44D6">
        <w:rPr>
          <w:rFonts w:asciiTheme="majorHAnsi" w:hAnsiTheme="majorHAnsi" w:cstheme="majorHAnsi"/>
          <w:color w:val="555555"/>
        </w:rPr>
        <w:t>v</w:t>
      </w:r>
      <w:r>
        <w:rPr>
          <w:rFonts w:asciiTheme="majorHAnsi" w:hAnsiTheme="majorHAnsi" w:cstheme="majorHAnsi"/>
          <w:color w:val="555555"/>
        </w:rPr>
        <w:t>.</w:t>
      </w:r>
      <w:r w:rsidRPr="00AF44D6">
        <w:rPr>
          <w:rFonts w:asciiTheme="majorHAnsi" w:hAnsiTheme="majorHAnsi" w:cstheme="majorHAnsi"/>
          <w:color w:val="555555"/>
        </w:rPr>
        <w:t xml:space="preserve"> </w:t>
      </w:r>
      <w:r w:rsidRPr="006F3979">
        <w:rPr>
          <w:rFonts w:asciiTheme="majorHAnsi" w:hAnsiTheme="majorHAnsi" w:cstheme="majorHAnsi"/>
          <w:i/>
          <w:color w:val="555555"/>
        </w:rPr>
        <w:t>Andrew</w:t>
      </w:r>
      <w:r w:rsidRPr="00AF44D6">
        <w:rPr>
          <w:rFonts w:asciiTheme="majorHAnsi" w:hAnsiTheme="majorHAnsi" w:cstheme="majorHAnsi"/>
          <w:color w:val="555555"/>
        </w:rPr>
        <w:t xml:space="preserve"> [1979] IRLR 84, EAT</w:t>
      </w:r>
      <w:r>
        <w:rPr>
          <w:rFonts w:asciiTheme="majorHAnsi" w:hAnsiTheme="majorHAnsi" w:cstheme="majorHAnsi"/>
          <w:color w:val="555555"/>
        </w:rPr>
        <w:t>.</w:t>
      </w:r>
    </w:p>
  </w:footnote>
  <w:footnote w:id="15">
    <w:p w14:paraId="64EFB232" w14:textId="442A8AB9" w:rsidR="0056761C" w:rsidRPr="003E2BEB" w:rsidRDefault="0056761C" w:rsidP="00317590">
      <w:pPr>
        <w:pStyle w:val="FootnoteText"/>
      </w:pPr>
      <w:r w:rsidRPr="00F7031A">
        <w:rPr>
          <w:rStyle w:val="FootnoteReference"/>
          <w:vertAlign w:val="baseline"/>
        </w:rPr>
        <w:footnoteRef/>
      </w:r>
      <w:r w:rsidRPr="00F7031A">
        <w:t xml:space="preserve"> </w:t>
      </w:r>
      <w:r w:rsidRPr="00F7031A">
        <w:tab/>
      </w:r>
      <w:r>
        <w:t xml:space="preserve">Stephen Pinker, </w:t>
      </w:r>
      <w:r>
        <w:rPr>
          <w:i/>
        </w:rPr>
        <w:t>T</w:t>
      </w:r>
      <w:r w:rsidRPr="003E2BEB">
        <w:rPr>
          <w:i/>
        </w:rPr>
        <w:t>he Stuff of Thought</w:t>
      </w:r>
      <w:r>
        <w:rPr>
          <w:i/>
        </w:rPr>
        <w:t xml:space="preserve">: </w:t>
      </w:r>
      <w:r w:rsidRPr="003E2BEB">
        <w:rPr>
          <w:i/>
        </w:rPr>
        <w:t>Languag</w:t>
      </w:r>
      <w:r>
        <w:rPr>
          <w:i/>
        </w:rPr>
        <w:t>e as a Window into Human Nature</w:t>
      </w:r>
      <w:r>
        <w:t xml:space="preserve"> (London: Penguin, 2007) 218-224. </w:t>
      </w:r>
      <w:r w:rsidRPr="00317590">
        <w:t>Arguably, the common law, having escaped codification,</w:t>
      </w:r>
      <w:r>
        <w:t xml:space="preserve"> has </w:t>
      </w:r>
      <w:r w:rsidRPr="00317590">
        <w:t>stayed close</w:t>
      </w:r>
      <w:r>
        <w:t>r</w:t>
      </w:r>
      <w:r w:rsidRPr="00317590">
        <w:t xml:space="preserve"> to</w:t>
      </w:r>
      <w:r>
        <w:t xml:space="preserve"> Gaius’s tri-partite classification—persons</w:t>
      </w:r>
      <w:r w:rsidRPr="00317590">
        <w:t xml:space="preserve">, things, </w:t>
      </w:r>
      <w:r w:rsidRPr="00346486">
        <w:rPr>
          <w:i/>
        </w:rPr>
        <w:t>actions</w:t>
      </w:r>
      <w:r w:rsidRPr="00317590">
        <w:t>—</w:t>
      </w:r>
      <w:r>
        <w:t>than have</w:t>
      </w:r>
      <w:r w:rsidRPr="00317590">
        <w:t xml:space="preserve"> Continental sys</w:t>
      </w:r>
      <w:r>
        <w:t xml:space="preserve">tems. In thinking structurally, the latter are more influenced by a </w:t>
      </w:r>
      <w:r w:rsidRPr="00317590">
        <w:t xml:space="preserve">nominalist </w:t>
      </w:r>
      <w:r>
        <w:t>tendency to reify the concepts used in normative reasoning and have substituted</w:t>
      </w:r>
      <w:r w:rsidRPr="00317590">
        <w:t xml:space="preserve"> </w:t>
      </w:r>
      <w:r>
        <w:t>‘</w:t>
      </w:r>
      <w:r w:rsidRPr="00346486">
        <w:rPr>
          <w:i/>
        </w:rPr>
        <w:t>obligations’</w:t>
      </w:r>
      <w:r w:rsidRPr="00317590">
        <w:t xml:space="preserve"> (or </w:t>
      </w:r>
      <w:r>
        <w:t>‘</w:t>
      </w:r>
      <w:r w:rsidRPr="00317590">
        <w:t>rights</w:t>
      </w:r>
      <w:r>
        <w:t>’</w:t>
      </w:r>
      <w:r w:rsidRPr="00317590">
        <w:t xml:space="preserve"> and </w:t>
      </w:r>
      <w:r>
        <w:t>‘</w:t>
      </w:r>
      <w:r w:rsidRPr="00317590">
        <w:t>duties)</w:t>
      </w:r>
      <w:r>
        <w:t>’</w:t>
      </w:r>
      <w:r w:rsidRPr="00317590">
        <w:t xml:space="preserve"> for </w:t>
      </w:r>
      <w:r>
        <w:t>‘</w:t>
      </w:r>
      <w:r w:rsidRPr="00346486">
        <w:rPr>
          <w:i/>
        </w:rPr>
        <w:t>actions</w:t>
      </w:r>
      <w:r>
        <w:t>’</w:t>
      </w:r>
      <w:r w:rsidRPr="00317590">
        <w:t xml:space="preserve"> and </w:t>
      </w:r>
      <w:r>
        <w:t>‘</w:t>
      </w:r>
      <w:r w:rsidRPr="00317590">
        <w:t>property</w:t>
      </w:r>
      <w:r>
        <w:t>’</w:t>
      </w:r>
      <w:r w:rsidRPr="00317590">
        <w:t xml:space="preserve"> for </w:t>
      </w:r>
      <w:r>
        <w:t>‘</w:t>
      </w:r>
      <w:r w:rsidRPr="00317590">
        <w:t>things</w:t>
      </w:r>
      <w:r>
        <w:t xml:space="preserve">’. See Geoffrey Samuel, ‘Is Legal Knowledge Cumulative?’ (2012) 32(3) </w:t>
      </w:r>
      <w:r w:rsidRPr="005E67BD">
        <w:rPr>
          <w:i/>
        </w:rPr>
        <w:t>Legal Studies</w:t>
      </w:r>
      <w:r w:rsidRPr="00317590">
        <w:t xml:space="preserve"> 448–479</w:t>
      </w:r>
      <w:r>
        <w:t>, 454-455.</w:t>
      </w:r>
    </w:p>
  </w:footnote>
  <w:footnote w:id="16">
    <w:p w14:paraId="4214428F" w14:textId="7C984A97" w:rsidR="0056761C" w:rsidRPr="00F7031A" w:rsidRDefault="0056761C" w:rsidP="00794FCF">
      <w:pPr>
        <w:pStyle w:val="FootnoteText"/>
      </w:pPr>
      <w:r w:rsidRPr="00F7031A">
        <w:rPr>
          <w:rStyle w:val="FootnoteReference"/>
          <w:vertAlign w:val="baseline"/>
        </w:rPr>
        <w:footnoteRef/>
      </w:r>
      <w:r w:rsidRPr="00F7031A">
        <w:t xml:space="preserve"> </w:t>
      </w:r>
      <w:r w:rsidRPr="00F7031A">
        <w:tab/>
      </w:r>
      <w:r w:rsidRPr="00216F0C">
        <w:rPr>
          <w:i/>
        </w:rPr>
        <w:t xml:space="preserve">E.g. </w:t>
      </w:r>
      <w:r w:rsidRPr="00F7031A">
        <w:t>‘[P]</w:t>
      </w:r>
      <w:proofErr w:type="spellStart"/>
      <w:r w:rsidRPr="00F7031A">
        <w:t>assivity</w:t>
      </w:r>
      <w:proofErr w:type="spellEnd"/>
      <w:r w:rsidRPr="00F7031A">
        <w:t xml:space="preserve"> [in receipt of an arguable unjust enrichment] means that the recipient cannot plausibly be regarded as a wrongdoer.’ Note </w:t>
      </w:r>
      <w:r w:rsidRPr="00F7031A">
        <w:fldChar w:fldCharType="begin"/>
      </w:r>
      <w:r w:rsidRPr="00F7031A">
        <w:instrText xml:space="preserve"> NOTEREF _Ref520365236 \p \h  \* MERGEFORMAT </w:instrText>
      </w:r>
      <w:r w:rsidRPr="00F7031A">
        <w:fldChar w:fldCharType="separate"/>
      </w:r>
      <w:r>
        <w:t>9</w:t>
      </w:r>
      <w:r w:rsidRPr="00F7031A">
        <w:fldChar w:fldCharType="end"/>
      </w:r>
      <w:r w:rsidRPr="00F7031A">
        <w:t xml:space="preserve"> above, 188.</w:t>
      </w:r>
      <w:r>
        <w:t xml:space="preserve"> </w:t>
      </w:r>
      <w:proofErr w:type="spellStart"/>
      <w:r>
        <w:t>Weinrib</w:t>
      </w:r>
      <w:proofErr w:type="spellEnd"/>
      <w:r>
        <w:t xml:space="preserve"> also classifies property law as ‘private law’—'proprietary rights worked out and protected by private law within a conception of corrective justice’, </w:t>
      </w:r>
      <w:r w:rsidRPr="00454ACD">
        <w:rPr>
          <w:i/>
        </w:rPr>
        <w:t>op. cit.</w:t>
      </w:r>
      <w:r>
        <w:t xml:space="preserve"> 263. We might grant that most property is ‘private’ but protected by a ‘public’ law of property.</w:t>
      </w:r>
    </w:p>
  </w:footnote>
  <w:footnote w:id="17">
    <w:p w14:paraId="0EEA13E7" w14:textId="01FF3A82" w:rsidR="0056761C" w:rsidRPr="00F7031A" w:rsidRDefault="0056761C" w:rsidP="00B86077">
      <w:pPr>
        <w:pStyle w:val="FootnoteText"/>
      </w:pPr>
      <w:r w:rsidRPr="00F7031A">
        <w:rPr>
          <w:rStyle w:val="FootnoteReference"/>
          <w:vertAlign w:val="baseline"/>
        </w:rPr>
        <w:footnoteRef/>
      </w:r>
      <w:r w:rsidRPr="00F7031A">
        <w:t xml:space="preserve"> </w:t>
      </w:r>
      <w:r w:rsidRPr="00F7031A">
        <w:tab/>
      </w:r>
      <w:r>
        <w:t>JL</w:t>
      </w:r>
      <w:r w:rsidRPr="00B86077">
        <w:t xml:space="preserve"> Austin (eds. JO </w:t>
      </w:r>
      <w:proofErr w:type="spellStart"/>
      <w:r w:rsidRPr="00B86077">
        <w:t>Urmson</w:t>
      </w:r>
      <w:proofErr w:type="spellEnd"/>
      <w:r w:rsidRPr="00B86077">
        <w:t xml:space="preserve"> &amp; Marina </w:t>
      </w:r>
      <w:proofErr w:type="spellStart"/>
      <w:r w:rsidRPr="00B86077">
        <w:t>Sbisà</w:t>
      </w:r>
      <w:proofErr w:type="spellEnd"/>
      <w:r w:rsidRPr="00B86077">
        <w:t xml:space="preserve">), </w:t>
      </w:r>
      <w:r w:rsidRPr="00B86077">
        <w:rPr>
          <w:i/>
          <w:iCs/>
        </w:rPr>
        <w:t xml:space="preserve">How to do Things with Words </w:t>
      </w:r>
      <w:r w:rsidRPr="00B86077">
        <w:t xml:space="preserve">(1975, 2nd </w:t>
      </w:r>
      <w:proofErr w:type="spellStart"/>
      <w:r w:rsidRPr="00B86077">
        <w:t>edn</w:t>
      </w:r>
      <w:proofErr w:type="spellEnd"/>
      <w:r w:rsidRPr="00B86077">
        <w:t>: Cambridge MS, Harvard University Press)</w:t>
      </w:r>
      <w:r>
        <w:t xml:space="preserve"> 153-155.</w:t>
      </w:r>
    </w:p>
  </w:footnote>
  <w:footnote w:id="18">
    <w:p w14:paraId="64E5685B" w14:textId="77777777" w:rsidR="0056761C" w:rsidRPr="00F7031A" w:rsidRDefault="0056761C" w:rsidP="00D532DA">
      <w:pPr>
        <w:pStyle w:val="FootnoteText"/>
      </w:pPr>
      <w:r w:rsidRPr="00F7031A">
        <w:rPr>
          <w:rStyle w:val="FootnoteReference"/>
          <w:vertAlign w:val="baseline"/>
        </w:rPr>
        <w:footnoteRef/>
      </w:r>
      <w:r w:rsidRPr="00F7031A">
        <w:t xml:space="preserve"> </w:t>
      </w:r>
      <w:r w:rsidRPr="00F7031A">
        <w:tab/>
        <w:t xml:space="preserve">Robert Wright, </w:t>
      </w:r>
      <w:r w:rsidRPr="00F7031A">
        <w:rPr>
          <w:i/>
        </w:rPr>
        <w:t>The Moral Animal</w:t>
      </w:r>
      <w:r w:rsidRPr="00F7031A">
        <w:t xml:space="preserve"> (London: Abacus, 1996) 280.</w:t>
      </w:r>
    </w:p>
  </w:footnote>
  <w:footnote w:id="19">
    <w:p w14:paraId="3BB1CD70" w14:textId="27C4D7B3" w:rsidR="0056761C" w:rsidRDefault="0056761C">
      <w:pPr>
        <w:pStyle w:val="FootnoteText"/>
      </w:pPr>
      <w:r w:rsidRPr="00DE5821">
        <w:rPr>
          <w:rStyle w:val="FootnoteReference"/>
          <w:vertAlign w:val="baseline"/>
        </w:rPr>
        <w:footnoteRef/>
      </w:r>
      <w:r w:rsidRPr="00DE5821">
        <w:t xml:space="preserve"> </w:t>
      </w:r>
      <w:r>
        <w:tab/>
        <w:t>Not that contract law is inherently easier than tort law is to understand fully—just more congenial to many neophytes.</w:t>
      </w:r>
    </w:p>
  </w:footnote>
  <w:footnote w:id="20">
    <w:p w14:paraId="5FF97532" w14:textId="312ABA62" w:rsidR="0056761C" w:rsidRDefault="0056761C" w:rsidP="0056761C">
      <w:pPr>
        <w:pStyle w:val="FootnoteText"/>
      </w:pPr>
      <w:r w:rsidRPr="00455ACF">
        <w:rPr>
          <w:rStyle w:val="FootnoteReference"/>
          <w:vertAlign w:val="baseline"/>
        </w:rPr>
        <w:footnoteRef/>
      </w:r>
      <w:r>
        <w:t xml:space="preserve"> </w:t>
      </w:r>
      <w:r>
        <w:tab/>
      </w:r>
      <w:r w:rsidRPr="00455ACF">
        <w:rPr>
          <w:i/>
        </w:rPr>
        <w:t>Cf</w:t>
      </w:r>
      <w:r>
        <w:t>. the malleability of business and employment contracts during the parties’ relationship (Stewart Macaulay, ‘</w:t>
      </w:r>
      <w:r w:rsidRPr="0056761C">
        <w:rPr>
          <w:bCs/>
        </w:rPr>
        <w:t>Non-Contractual Relations in Business’ (1963) 28(1)</w:t>
      </w:r>
      <w:r>
        <w:rPr>
          <w:b/>
          <w:bCs/>
        </w:rPr>
        <w:t xml:space="preserve"> </w:t>
      </w:r>
      <w:r w:rsidRPr="0056761C">
        <w:rPr>
          <w:i/>
          <w:iCs/>
        </w:rPr>
        <w:t>American Sociological Review</w:t>
      </w:r>
      <w:r w:rsidRPr="0056761C">
        <w:t xml:space="preserve"> 55-67</w:t>
      </w:r>
      <w:r>
        <w:t xml:space="preserve">; and Ian </w:t>
      </w:r>
      <w:proofErr w:type="spellStart"/>
      <w:r>
        <w:t>Macneil’s</w:t>
      </w:r>
      <w:proofErr w:type="spellEnd"/>
      <w:r w:rsidRPr="0056761C">
        <w:t xml:space="preserve"> model of </w:t>
      </w:r>
      <w:r w:rsidR="00FA105A">
        <w:t>‘</w:t>
      </w:r>
      <w:r>
        <w:t>relational contracts</w:t>
      </w:r>
      <w:r w:rsidR="00FA105A">
        <w:t>’</w:t>
      </w:r>
      <w:r>
        <w:t xml:space="preserve"> </w:t>
      </w:r>
      <w:r w:rsidR="00FA105A">
        <w:t>(</w:t>
      </w:r>
      <w:r w:rsidR="00FA105A" w:rsidRPr="00FA105A">
        <w:rPr>
          <w:i/>
        </w:rPr>
        <w:t>The New Social Contract</w:t>
      </w:r>
      <w:r w:rsidR="00FA105A" w:rsidRPr="00FA105A">
        <w:t>: (</w:t>
      </w:r>
      <w:r w:rsidR="00FA105A">
        <w:rPr>
          <w:rFonts w:hint="eastAsia"/>
        </w:rPr>
        <w:t>New Haven</w:t>
      </w:r>
      <w:r w:rsidR="00FA105A" w:rsidRPr="00FA105A">
        <w:rPr>
          <w:rFonts w:hint="eastAsia"/>
        </w:rPr>
        <w:t>: Yale University Press</w:t>
      </w:r>
      <w:r w:rsidR="00FA105A">
        <w:t xml:space="preserve">, </w:t>
      </w:r>
      <w:r w:rsidR="00FA105A" w:rsidRPr="00FA105A">
        <w:t>1980</w:t>
      </w:r>
      <w:r w:rsidR="00FA105A">
        <w:t>)</w:t>
      </w:r>
      <w:r>
        <w:t>.</w:t>
      </w:r>
      <w:r w:rsidR="00FA105A">
        <w:t xml:space="preserve"> At 47-48, </w:t>
      </w:r>
      <w:proofErr w:type="spellStart"/>
      <w:r w:rsidR="00FA105A">
        <w:t>Macneil</w:t>
      </w:r>
      <w:proofErr w:type="spellEnd"/>
      <w:r w:rsidR="00FA105A">
        <w:t xml:space="preserve"> suggests the obsession with consent can obscure understanding.</w:t>
      </w:r>
    </w:p>
  </w:footnote>
  <w:footnote w:id="21">
    <w:p w14:paraId="3AF6DB5E" w14:textId="084B4789" w:rsidR="0056761C" w:rsidRDefault="0056761C">
      <w:pPr>
        <w:pStyle w:val="FootnoteText"/>
      </w:pPr>
      <w:r w:rsidRPr="00B15894">
        <w:rPr>
          <w:rStyle w:val="FootnoteReference"/>
          <w:vertAlign w:val="baseline"/>
        </w:rPr>
        <w:footnoteRef/>
      </w:r>
      <w:r w:rsidRPr="00B15894">
        <w:t xml:space="preserve"> </w:t>
      </w:r>
      <w:r>
        <w:tab/>
        <w:t>And probably constitutional and public law problems too.</w:t>
      </w:r>
    </w:p>
  </w:footnote>
  <w:footnote w:id="22">
    <w:p w14:paraId="2EB934F0" w14:textId="4AE68BF7" w:rsidR="0056761C" w:rsidRDefault="0056761C">
      <w:pPr>
        <w:pStyle w:val="FootnoteText"/>
      </w:pPr>
      <w:r w:rsidRPr="00913047">
        <w:rPr>
          <w:rStyle w:val="FootnoteReference"/>
          <w:vertAlign w:val="baseline"/>
        </w:rPr>
        <w:footnoteRef/>
      </w:r>
      <w:r>
        <w:t xml:space="preserve"> </w:t>
      </w:r>
      <w:r>
        <w:tab/>
        <w:t xml:space="preserve">An American realist would think these formulae for framing </w:t>
      </w:r>
      <w:r w:rsidRPr="000214A4">
        <w:rPr>
          <w:i/>
        </w:rPr>
        <w:t>ex post</w:t>
      </w:r>
      <w:r>
        <w:t xml:space="preserve"> justifications.</w:t>
      </w:r>
    </w:p>
  </w:footnote>
  <w:footnote w:id="23">
    <w:p w14:paraId="7240E61D" w14:textId="6FAE3A0A" w:rsidR="0056761C" w:rsidRDefault="0056761C">
      <w:pPr>
        <w:pStyle w:val="FootnoteText"/>
      </w:pPr>
      <w:r w:rsidRPr="00A662FF">
        <w:rPr>
          <w:rStyle w:val="FootnoteReference"/>
          <w:vertAlign w:val="baseline"/>
        </w:rPr>
        <w:footnoteRef/>
      </w:r>
      <w:r>
        <w:t xml:space="preserve"> </w:t>
      </w:r>
      <w:r>
        <w:tab/>
        <w:t>(1953) 1 QB 429, 441.</w:t>
      </w:r>
    </w:p>
  </w:footnote>
  <w:footnote w:id="24">
    <w:p w14:paraId="636E5A0F" w14:textId="25BE44FC" w:rsidR="0056761C" w:rsidRDefault="0056761C">
      <w:pPr>
        <w:pStyle w:val="FootnoteText"/>
      </w:pPr>
      <w:r w:rsidRPr="00A662FF">
        <w:rPr>
          <w:rStyle w:val="FootnoteReference"/>
          <w:vertAlign w:val="baseline"/>
        </w:rPr>
        <w:footnoteRef/>
      </w:r>
      <w:r w:rsidRPr="00A662FF">
        <w:t xml:space="preserve"> </w:t>
      </w:r>
      <w:r>
        <w:tab/>
      </w:r>
      <w:r w:rsidRPr="00A662FF">
        <w:rPr>
          <w:i/>
        </w:rPr>
        <w:t>Overseas Tankship (U.K.) Ltd</w:t>
      </w:r>
      <w:r w:rsidRPr="00A662FF">
        <w:t xml:space="preserve">. </w:t>
      </w:r>
      <w:r>
        <w:t>v.</w:t>
      </w:r>
      <w:r w:rsidRPr="00A662FF">
        <w:t xml:space="preserve"> </w:t>
      </w:r>
      <w:proofErr w:type="spellStart"/>
      <w:r w:rsidRPr="00A662FF">
        <w:rPr>
          <w:i/>
        </w:rPr>
        <w:t>Morts</w:t>
      </w:r>
      <w:proofErr w:type="spellEnd"/>
      <w:r w:rsidRPr="00A662FF">
        <w:rPr>
          <w:i/>
        </w:rPr>
        <w:t xml:space="preserve"> Dock &amp; Engineering Co. Ltd.</w:t>
      </w:r>
      <w:r w:rsidRPr="00A662FF">
        <w:t xml:space="preserve"> [1961] A.C. 388</w:t>
      </w:r>
      <w:r>
        <w:t>, 426.</w:t>
      </w:r>
    </w:p>
  </w:footnote>
  <w:footnote w:id="25">
    <w:p w14:paraId="40507843" w14:textId="77777777" w:rsidR="0056761C" w:rsidRDefault="0056761C" w:rsidP="007A7AF3">
      <w:pPr>
        <w:pStyle w:val="FootnoteText"/>
      </w:pPr>
      <w:r w:rsidRPr="00A662FF">
        <w:rPr>
          <w:rStyle w:val="FootnoteReference"/>
          <w:vertAlign w:val="baseline"/>
        </w:rPr>
        <w:footnoteRef/>
      </w:r>
      <w:r w:rsidRPr="00A662FF">
        <w:t xml:space="preserve"> </w:t>
      </w:r>
      <w:r>
        <w:tab/>
      </w:r>
      <w:r w:rsidRPr="00A662FF">
        <w:rPr>
          <w:i/>
        </w:rPr>
        <w:t>Ibid</w:t>
      </w:r>
      <w:r>
        <w:t>. 391.</w:t>
      </w:r>
    </w:p>
  </w:footnote>
  <w:footnote w:id="26">
    <w:p w14:paraId="5DDA9518" w14:textId="7729E6BD" w:rsidR="0056761C" w:rsidRDefault="0056761C">
      <w:pPr>
        <w:pStyle w:val="FootnoteText"/>
      </w:pPr>
      <w:r w:rsidRPr="007A7AF3">
        <w:rPr>
          <w:rStyle w:val="FootnoteReference"/>
          <w:vertAlign w:val="baseline"/>
        </w:rPr>
        <w:footnoteRef/>
      </w:r>
      <w:r w:rsidRPr="007A7AF3">
        <w:t xml:space="preserve"> </w:t>
      </w:r>
      <w:r>
        <w:tab/>
        <w:t>2 November 1951, page 3. I am indebted to Dan Priel for a copy of this article.</w:t>
      </w:r>
    </w:p>
  </w:footnote>
  <w:footnote w:id="27">
    <w:p w14:paraId="25CF2DEC" w14:textId="08DF49B9" w:rsidR="0056761C" w:rsidRDefault="0056761C">
      <w:pPr>
        <w:pStyle w:val="FootnoteText"/>
      </w:pPr>
      <w:r w:rsidRPr="009667B7">
        <w:rPr>
          <w:rStyle w:val="FootnoteReference"/>
          <w:vertAlign w:val="baseline"/>
        </w:rPr>
        <w:footnoteRef/>
      </w:r>
      <w:r w:rsidRPr="009667B7">
        <w:t xml:space="preserve"> </w:t>
      </w:r>
      <w:r>
        <w:tab/>
        <w:t>My emphasis.</w:t>
      </w:r>
    </w:p>
  </w:footnote>
  <w:footnote w:id="28">
    <w:p w14:paraId="199EE284" w14:textId="39237CAD" w:rsidR="0056761C" w:rsidRPr="005728FE" w:rsidRDefault="0056761C" w:rsidP="008E1734">
      <w:pPr>
        <w:pStyle w:val="FootnoteText"/>
      </w:pPr>
      <w:r w:rsidRPr="00BB7188">
        <w:rPr>
          <w:rStyle w:val="FootnoteReference"/>
          <w:vertAlign w:val="baseline"/>
        </w:rPr>
        <w:footnoteRef/>
      </w:r>
      <w:r>
        <w:t xml:space="preserve"> </w:t>
      </w:r>
      <w:r>
        <w:tab/>
        <w:t xml:space="preserve">Similarly, Lord Lloyd in </w:t>
      </w:r>
      <w:r w:rsidRPr="005728FE">
        <w:rPr>
          <w:i/>
        </w:rPr>
        <w:t>Page</w:t>
      </w:r>
      <w:r>
        <w:t xml:space="preserve"> v. </w:t>
      </w:r>
      <w:r w:rsidRPr="005728FE">
        <w:rPr>
          <w:i/>
        </w:rPr>
        <w:t>Smith</w:t>
      </w:r>
      <w:r>
        <w:t xml:space="preserve"> </w:t>
      </w:r>
      <w:r w:rsidRPr="005728FE">
        <w:t>[1996] AC 155, 189</w:t>
      </w:r>
      <w:r>
        <w:t xml:space="preserve"> </w:t>
      </w:r>
      <w:r w:rsidRPr="00811393">
        <w:rPr>
          <w:i/>
        </w:rPr>
        <w:t>cf.</w:t>
      </w:r>
      <w:r>
        <w:t xml:space="preserve"> 197. </w:t>
      </w:r>
    </w:p>
  </w:footnote>
  <w:footnote w:id="29">
    <w:p w14:paraId="7F9FA386" w14:textId="77777777" w:rsidR="0056761C" w:rsidRDefault="0056761C" w:rsidP="00F43724">
      <w:pPr>
        <w:pStyle w:val="FootnoteText"/>
      </w:pPr>
      <w:r w:rsidRPr="009747D1">
        <w:rPr>
          <w:rStyle w:val="FootnoteReference"/>
          <w:vertAlign w:val="baseline"/>
        </w:rPr>
        <w:footnoteRef/>
      </w:r>
      <w:r w:rsidRPr="009747D1">
        <w:t xml:space="preserve"> </w:t>
      </w:r>
      <w:r>
        <w:tab/>
        <w:t xml:space="preserve">Karl Popper, </w:t>
      </w:r>
      <w:r w:rsidRPr="00421132">
        <w:rPr>
          <w:bCs/>
          <w:i/>
          <w:iCs/>
        </w:rPr>
        <w:t>The Logic of Scientific Discovery</w:t>
      </w:r>
      <w:r>
        <w:t>, published in German in 1935 and in English in various editions from 1959.</w:t>
      </w:r>
    </w:p>
  </w:footnote>
  <w:footnote w:id="30">
    <w:p w14:paraId="50680E0C" w14:textId="2D684EDB" w:rsidR="0056761C" w:rsidRDefault="0056761C" w:rsidP="00F43724">
      <w:pPr>
        <w:pStyle w:val="FootnoteText"/>
      </w:pPr>
      <w:r w:rsidRPr="00F43724">
        <w:rPr>
          <w:rStyle w:val="FootnoteReference"/>
          <w:vertAlign w:val="baseline"/>
        </w:rPr>
        <w:footnoteRef/>
      </w:r>
      <w:r w:rsidRPr="00F43724">
        <w:t xml:space="preserve"> </w:t>
      </w:r>
      <w:r>
        <w:tab/>
      </w:r>
      <w:r w:rsidRPr="00F7031A">
        <w:t xml:space="preserve">Elizabeth Fricker, ‘Inference to the Best Explanation and the Receipt of Testimony: Testimonial Reductionism Vindicated’ in Kevin McCain and Ted Poston (eds.), </w:t>
      </w:r>
      <w:r w:rsidRPr="00F7031A">
        <w:rPr>
          <w:i/>
        </w:rPr>
        <w:t>Best Explanations: New Essays on Inference to the Best Explanation</w:t>
      </w:r>
      <w:r w:rsidRPr="00F7031A">
        <w:t xml:space="preserve"> (Oxford: Oxford University Press, 2017) 262-294</w:t>
      </w:r>
      <w:r>
        <w:t>.</w:t>
      </w:r>
    </w:p>
  </w:footnote>
  <w:footnote w:id="31">
    <w:p w14:paraId="0F342AE4" w14:textId="77F3A826" w:rsidR="0056761C" w:rsidRDefault="0056761C" w:rsidP="00452F5E">
      <w:pPr>
        <w:pStyle w:val="FootnoteText"/>
      </w:pPr>
      <w:r w:rsidRPr="00452F5E">
        <w:rPr>
          <w:rStyle w:val="FootnoteReference"/>
          <w:vertAlign w:val="baseline"/>
        </w:rPr>
        <w:footnoteRef/>
      </w:r>
      <w:r w:rsidRPr="00452F5E">
        <w:t xml:space="preserve"> </w:t>
      </w:r>
      <w:r>
        <w:tab/>
      </w:r>
      <w:r w:rsidRPr="00452F5E">
        <w:t xml:space="preserve">Chaim Perelman &amp; Lucie </w:t>
      </w:r>
      <w:proofErr w:type="spellStart"/>
      <w:r w:rsidRPr="00452F5E">
        <w:t>Olbrects-Tyteca</w:t>
      </w:r>
      <w:proofErr w:type="spellEnd"/>
      <w:r w:rsidRPr="00452F5E">
        <w:t xml:space="preserve">, </w:t>
      </w:r>
      <w:proofErr w:type="spellStart"/>
      <w:r w:rsidRPr="00452F5E">
        <w:t>trs</w:t>
      </w:r>
      <w:proofErr w:type="spellEnd"/>
      <w:r w:rsidRPr="00452F5E">
        <w:t xml:space="preserve">. John Wilkinson &amp; Purcell Weaver, </w:t>
      </w:r>
      <w:r w:rsidRPr="00452F5E">
        <w:rPr>
          <w:i/>
          <w:iCs/>
        </w:rPr>
        <w:t xml:space="preserve">The New Rhetoric </w:t>
      </w:r>
      <w:r w:rsidRPr="00452F5E">
        <w:t>(Notre</w:t>
      </w:r>
      <w:r>
        <w:t xml:space="preserve"> </w:t>
      </w:r>
      <w:r w:rsidRPr="00452F5E">
        <w:t xml:space="preserve">Dame, Indiana, University of Notre Dame Press, 1969, 2006) </w:t>
      </w:r>
      <w:r>
        <w:t>190,</w:t>
      </w:r>
      <w:r w:rsidRPr="00452F5E">
        <w:t xml:space="preserve"> </w:t>
      </w:r>
      <w:r>
        <w:t>‘[A]</w:t>
      </w:r>
      <w:proofErr w:type="spellStart"/>
      <w:r>
        <w:t>rgumentation</w:t>
      </w:r>
      <w:proofErr w:type="spellEnd"/>
      <w:r>
        <w:t xml:space="preserve"> is characterised by constant interaction among all its elements.’</w:t>
      </w:r>
    </w:p>
  </w:footnote>
  <w:footnote w:id="32">
    <w:p w14:paraId="4BCD67AC" w14:textId="3876CFA5" w:rsidR="0056761C" w:rsidRPr="00F7031A" w:rsidRDefault="0056761C" w:rsidP="00794FCF">
      <w:pPr>
        <w:pStyle w:val="FootnoteText"/>
      </w:pPr>
      <w:r w:rsidRPr="00F7031A">
        <w:rPr>
          <w:rStyle w:val="FootnoteReference"/>
          <w:vertAlign w:val="baseline"/>
        </w:rPr>
        <w:footnoteRef/>
      </w:r>
      <w:r w:rsidRPr="00F7031A">
        <w:t xml:space="preserve"> </w:t>
      </w:r>
      <w:r w:rsidRPr="00F7031A">
        <w:tab/>
      </w:r>
      <w:r>
        <w:t xml:space="preserve">See: </w:t>
      </w:r>
      <w:r w:rsidRPr="00C13B26">
        <w:t xml:space="preserve">Laura </w:t>
      </w:r>
      <w:proofErr w:type="spellStart"/>
      <w:r w:rsidRPr="00C13B26">
        <w:t>Schroeter</w:t>
      </w:r>
      <w:proofErr w:type="spellEnd"/>
      <w:r>
        <w:t>, ‘</w:t>
      </w:r>
      <w:r w:rsidRPr="00C13B26">
        <w:t>The Limits of Conceptual Analysis</w:t>
      </w:r>
      <w:r>
        <w:t xml:space="preserve">’ (2004) </w:t>
      </w:r>
      <w:r w:rsidRPr="00C13B26">
        <w:rPr>
          <w:i/>
        </w:rPr>
        <w:t>Paciﬁc Philosophical Quarterly</w:t>
      </w:r>
      <w:r>
        <w:t xml:space="preserve"> 85 (2004) 425–453; and Timothy Williamson, </w:t>
      </w:r>
      <w:r w:rsidRPr="00F7031A">
        <w:rPr>
          <w:i/>
        </w:rPr>
        <w:t>op. cit</w:t>
      </w:r>
      <w:r w:rsidRPr="00F7031A">
        <w:t xml:space="preserve">. note </w:t>
      </w:r>
      <w:r w:rsidRPr="00F7031A">
        <w:fldChar w:fldCharType="begin"/>
      </w:r>
      <w:r w:rsidRPr="00F7031A">
        <w:instrText xml:space="preserve"> NOTEREF _Ref520535750 \h  \* MERGEFORMAT </w:instrText>
      </w:r>
      <w:r w:rsidRPr="00F7031A">
        <w:fldChar w:fldCharType="separate"/>
      </w:r>
      <w:r>
        <w:t>8</w:t>
      </w:r>
      <w:r w:rsidRPr="00F7031A">
        <w:fldChar w:fldCharType="end"/>
      </w:r>
      <w:r w:rsidRPr="00F7031A">
        <w:t xml:space="preserve"> above, 787-789, 788: </w:t>
      </w:r>
      <w:r>
        <w:t>for moral realists,</w:t>
      </w:r>
      <w:r w:rsidRPr="00F7031A">
        <w:t>‘</w:t>
      </w:r>
      <w:r>
        <w:t>[t]</w:t>
      </w:r>
      <w:r w:rsidRPr="00F7031A">
        <w:t xml:space="preserve">o discuss whether the judgement “Rape is </w:t>
      </w:r>
      <w:proofErr w:type="spellStart"/>
      <w:r w:rsidRPr="00F7031A">
        <w:t>wrong”·is</w:t>
      </w:r>
      <w:proofErr w:type="spellEnd"/>
      <w:r w:rsidRPr="00F7031A">
        <w:t xml:space="preserve"> correct independently of being judged [</w:t>
      </w:r>
      <w:r w:rsidRPr="00A662FF">
        <w:rPr>
          <w:i/>
        </w:rPr>
        <w:t xml:space="preserve">i.e. </w:t>
      </w:r>
      <w:r w:rsidRPr="00F7031A">
        <w:t>mind-independent</w:t>
      </w:r>
      <w:r>
        <w:t>ly</w:t>
      </w:r>
      <w:r w:rsidRPr="00F7031A">
        <w:t xml:space="preserve"> correct] is to discuss the objectivity of moral truth, not the existence of moral objects…The existence of objects is relevant only when it is required for a judgement to be true’ (</w:t>
      </w:r>
      <w:r w:rsidRPr="00F7031A">
        <w:rPr>
          <w:i/>
        </w:rPr>
        <w:t>e.g.</w:t>
      </w:r>
      <w:r w:rsidRPr="00F7031A">
        <w:t xml:space="preserve"> ‘Unicorns exist’).</w:t>
      </w:r>
    </w:p>
  </w:footnote>
  <w:footnote w:id="33">
    <w:p w14:paraId="053E64C6" w14:textId="0C7B0F45" w:rsidR="0056761C" w:rsidRDefault="0056761C">
      <w:pPr>
        <w:pStyle w:val="FootnoteText"/>
      </w:pPr>
      <w:r w:rsidRPr="00175B35">
        <w:rPr>
          <w:rStyle w:val="FootnoteReference"/>
          <w:vertAlign w:val="baseline"/>
        </w:rPr>
        <w:footnoteRef/>
      </w:r>
      <w:r w:rsidRPr="00175B35">
        <w:t xml:space="preserve"> </w:t>
      </w:r>
      <w:r>
        <w:tab/>
        <w:t xml:space="preserve">For a useful review, see </w:t>
      </w:r>
      <w:r w:rsidRPr="00175B35">
        <w:t xml:space="preserve">Adrian </w:t>
      </w:r>
      <w:proofErr w:type="spellStart"/>
      <w:r w:rsidRPr="00175B35">
        <w:t>Diethelm</w:t>
      </w:r>
      <w:proofErr w:type="spellEnd"/>
      <w:r w:rsidRPr="00175B35">
        <w:t xml:space="preserve">, </w:t>
      </w:r>
      <w:r>
        <w:t>‘</w:t>
      </w:r>
      <w:r w:rsidRPr="00175B35">
        <w:t>Law and Fact in Common Law Procedure</w:t>
      </w:r>
      <w:r>
        <w:t>’ (May 17, 2009),</w:t>
      </w:r>
      <w:r w:rsidRPr="00175B35">
        <w:t xml:space="preserve"> </w:t>
      </w:r>
      <w:r>
        <w:t>a</w:t>
      </w:r>
      <w:r w:rsidRPr="00175B35">
        <w:t xml:space="preserve">vailable at SSRN: </w:t>
      </w:r>
      <w:r w:rsidRPr="00804BBE">
        <w:t>https://ssrn.com/abstract=1385622</w:t>
      </w:r>
      <w:r w:rsidRPr="00175B35">
        <w:t xml:space="preserve"> or </w:t>
      </w:r>
      <w:r w:rsidRPr="00804BBE">
        <w:t>http://</w:t>
      </w:r>
      <w:r>
        <w:t>dx.doi.org/10.2139/ssrn.1385622.</w:t>
      </w:r>
    </w:p>
  </w:footnote>
  <w:footnote w:id="34">
    <w:p w14:paraId="1A7422BC" w14:textId="53C5902B" w:rsidR="0056761C" w:rsidRDefault="0056761C">
      <w:pPr>
        <w:pStyle w:val="FootnoteText"/>
      </w:pPr>
      <w:r w:rsidRPr="00BF6DC9">
        <w:rPr>
          <w:rStyle w:val="FootnoteReference"/>
          <w:vertAlign w:val="baseline"/>
        </w:rPr>
        <w:footnoteRef/>
      </w:r>
      <w:r w:rsidRPr="00BF6DC9">
        <w:t xml:space="preserve"> </w:t>
      </w:r>
      <w:r>
        <w:tab/>
      </w:r>
      <w:r w:rsidRPr="00C905DA">
        <w:rPr>
          <w:i/>
        </w:rPr>
        <w:t>Cf</w:t>
      </w:r>
      <w:r>
        <w:t xml:space="preserve">. </w:t>
      </w:r>
      <w:r w:rsidRPr="00C905DA">
        <w:rPr>
          <w:i/>
        </w:rPr>
        <w:t xml:space="preserve">Robinson </w:t>
      </w:r>
      <w:r>
        <w:t xml:space="preserve">v. </w:t>
      </w:r>
      <w:r w:rsidRPr="00C5518E">
        <w:rPr>
          <w:i/>
        </w:rPr>
        <w:t>Chief Constable of West Yorkshire Police</w:t>
      </w:r>
      <w:r w:rsidRPr="00C5518E">
        <w:t xml:space="preserve"> [2018] UKSC 4</w:t>
      </w:r>
    </w:p>
  </w:footnote>
  <w:footnote w:id="35">
    <w:p w14:paraId="33DFF5F9" w14:textId="6CBF2A1D" w:rsidR="0056761C" w:rsidRPr="00804BBE" w:rsidRDefault="0056761C" w:rsidP="001315F0">
      <w:pPr>
        <w:spacing w:after="60"/>
        <w:ind w:left="720" w:hanging="720"/>
        <w:rPr>
          <w:sz w:val="20"/>
          <w:szCs w:val="20"/>
        </w:rPr>
      </w:pPr>
      <w:r w:rsidRPr="001315F0">
        <w:rPr>
          <w:sz w:val="20"/>
          <w:szCs w:val="20"/>
        </w:rPr>
        <w:footnoteRef/>
      </w:r>
      <w:r w:rsidRPr="001315F0">
        <w:rPr>
          <w:sz w:val="20"/>
          <w:szCs w:val="20"/>
        </w:rPr>
        <w:t xml:space="preserve"> </w:t>
      </w:r>
      <w:r w:rsidRPr="001315F0">
        <w:rPr>
          <w:sz w:val="20"/>
          <w:szCs w:val="20"/>
        </w:rPr>
        <w:tab/>
      </w:r>
      <w:r>
        <w:rPr>
          <w:sz w:val="20"/>
          <w:szCs w:val="20"/>
        </w:rPr>
        <w:t>Alex</w:t>
      </w:r>
      <w:r w:rsidRPr="001315F0">
        <w:rPr>
          <w:sz w:val="20"/>
          <w:szCs w:val="20"/>
        </w:rPr>
        <w:t xml:space="preserve"> </w:t>
      </w:r>
      <w:proofErr w:type="spellStart"/>
      <w:r w:rsidRPr="001315F0">
        <w:rPr>
          <w:sz w:val="20"/>
          <w:szCs w:val="20"/>
        </w:rPr>
        <w:t>Biedermann</w:t>
      </w:r>
      <w:proofErr w:type="spellEnd"/>
      <w:r>
        <w:rPr>
          <w:sz w:val="20"/>
          <w:szCs w:val="20"/>
        </w:rPr>
        <w:t xml:space="preserve"> </w:t>
      </w:r>
      <w:r w:rsidRPr="001315F0">
        <w:rPr>
          <w:i/>
          <w:sz w:val="20"/>
          <w:szCs w:val="20"/>
        </w:rPr>
        <w:t>et al</w:t>
      </w:r>
      <w:r>
        <w:rPr>
          <w:sz w:val="20"/>
          <w:szCs w:val="20"/>
        </w:rPr>
        <w:t>., ‘</w:t>
      </w:r>
      <w:r w:rsidRPr="001315F0">
        <w:rPr>
          <w:sz w:val="20"/>
          <w:szCs w:val="20"/>
        </w:rPr>
        <w:t>The consequences of understanding expert probability reporting as a decision</w:t>
      </w:r>
      <w:r>
        <w:rPr>
          <w:sz w:val="20"/>
          <w:szCs w:val="20"/>
        </w:rPr>
        <w:t xml:space="preserve">’ </w:t>
      </w:r>
      <w:r w:rsidRPr="001315F0">
        <w:rPr>
          <w:sz w:val="20"/>
          <w:szCs w:val="20"/>
        </w:rPr>
        <w:t xml:space="preserve">(2017) </w:t>
      </w:r>
      <w:r w:rsidRPr="001315F0">
        <w:rPr>
          <w:i/>
          <w:sz w:val="20"/>
          <w:szCs w:val="20"/>
        </w:rPr>
        <w:t>Science and Justice</w:t>
      </w:r>
      <w:r w:rsidRPr="001315F0">
        <w:rPr>
          <w:sz w:val="20"/>
          <w:szCs w:val="20"/>
        </w:rPr>
        <w:t xml:space="preserve"> 57</w:t>
      </w:r>
      <w:r>
        <w:rPr>
          <w:sz w:val="20"/>
          <w:szCs w:val="20"/>
        </w:rPr>
        <w:t>,</w:t>
      </w:r>
      <w:r w:rsidRPr="001315F0">
        <w:rPr>
          <w:sz w:val="20"/>
          <w:szCs w:val="20"/>
        </w:rPr>
        <w:t xml:space="preserve"> 80–85</w:t>
      </w:r>
      <w:r>
        <w:rPr>
          <w:sz w:val="20"/>
          <w:szCs w:val="20"/>
        </w:rPr>
        <w:t>.</w:t>
      </w:r>
    </w:p>
  </w:footnote>
  <w:footnote w:id="36">
    <w:p w14:paraId="716AB365" w14:textId="3F8D7C8B" w:rsidR="0056761C" w:rsidRDefault="0056761C">
      <w:pPr>
        <w:pStyle w:val="FootnoteText"/>
      </w:pPr>
      <w:r w:rsidRPr="004B12DE">
        <w:rPr>
          <w:rStyle w:val="FootnoteReference"/>
          <w:vertAlign w:val="baseline"/>
        </w:rPr>
        <w:footnoteRef/>
      </w:r>
      <w:r w:rsidRPr="004B12DE">
        <w:t xml:space="preserve"> </w:t>
      </w:r>
      <w:r>
        <w:tab/>
      </w:r>
      <w:proofErr w:type="spellStart"/>
      <w:r>
        <w:t>Wex</w:t>
      </w:r>
      <w:proofErr w:type="spellEnd"/>
      <w:r>
        <w:t xml:space="preserve"> Malone, ‘Ruminations on </w:t>
      </w:r>
      <w:proofErr w:type="spellStart"/>
      <w:r>
        <w:t>‘Cause</w:t>
      </w:r>
      <w:proofErr w:type="spellEnd"/>
      <w:r>
        <w:t xml:space="preserve">-In-Fact’ (1956) 9 </w:t>
      </w:r>
      <w:r w:rsidRPr="004B12DE">
        <w:rPr>
          <w:i/>
        </w:rPr>
        <w:t>Stanford Law Review</w:t>
      </w:r>
      <w:r>
        <w:t xml:space="preserve"> 60-99.</w:t>
      </w:r>
    </w:p>
  </w:footnote>
  <w:footnote w:id="37">
    <w:p w14:paraId="1CFBAEAB" w14:textId="3544A507" w:rsidR="0056761C" w:rsidRPr="00A0015D" w:rsidRDefault="0056761C">
      <w:pPr>
        <w:pStyle w:val="FootnoteText"/>
      </w:pPr>
      <w:r w:rsidRPr="00A0015D">
        <w:rPr>
          <w:rStyle w:val="FootnoteReference"/>
          <w:vertAlign w:val="baseline"/>
        </w:rPr>
        <w:footnoteRef/>
      </w:r>
      <w:r w:rsidRPr="00A0015D">
        <w:t xml:space="preserve"> </w:t>
      </w:r>
      <w:r w:rsidRPr="00A0015D">
        <w:tab/>
      </w:r>
      <w:r>
        <w:t xml:space="preserve">Vincent Johnson, Transferred intent in American Law (2004) 87(5) Marquette Law Review 902-938: </w:t>
      </w:r>
      <w:r w:rsidRPr="00CD7DFB">
        <w:t>http://scholarship.law.marquette.edu/cgi/viewcontent.cgi?article=1211&amp;context=mulr</w:t>
      </w:r>
      <w:r>
        <w:t>.; Stephen Sugarman, ‘Restating the Tort of Battery’</w:t>
      </w:r>
      <w:r w:rsidRPr="00884B1C">
        <w:rPr>
          <w:rFonts w:ascii="AdvOTfc06a83e" w:eastAsiaTheme="minorHAnsi" w:hAnsi="AdvOTfc06a83e" w:cs="AdvOTfc06a83e"/>
          <w:sz w:val="16"/>
          <w:szCs w:val="16"/>
          <w:lang w:eastAsia="en-US"/>
        </w:rPr>
        <w:t xml:space="preserve"> </w:t>
      </w:r>
      <w:r w:rsidRPr="00CD7DFB">
        <w:rPr>
          <w:rFonts w:asciiTheme="majorHAnsi" w:eastAsiaTheme="minorHAnsi" w:hAnsiTheme="majorHAnsi" w:cstheme="majorHAnsi"/>
          <w:szCs w:val="16"/>
          <w:lang w:eastAsia="en-US"/>
        </w:rPr>
        <w:t xml:space="preserve">(2017) </w:t>
      </w:r>
      <w:r w:rsidRPr="00CD7DFB">
        <w:rPr>
          <w:rFonts w:asciiTheme="majorHAnsi" w:eastAsiaTheme="minorHAnsi" w:hAnsiTheme="majorHAnsi" w:cstheme="majorHAnsi"/>
          <w:i/>
          <w:szCs w:val="16"/>
          <w:lang w:eastAsia="en-US"/>
        </w:rPr>
        <w:t>Journal of Tort Law</w:t>
      </w:r>
      <w:r>
        <w:t xml:space="preserve">, </w:t>
      </w:r>
      <w:r w:rsidRPr="00CD7DFB">
        <w:t>https://doi.org/10.1515/jtl-2017-0020</w:t>
      </w:r>
      <w:r>
        <w:t xml:space="preserve">; </w:t>
      </w:r>
      <w:r w:rsidRPr="00CD7DFB">
        <w:rPr>
          <w:i/>
        </w:rPr>
        <w:t>cf.</w:t>
      </w:r>
      <w:r w:rsidRPr="00A0015D">
        <w:t xml:space="preserve"> </w:t>
      </w:r>
      <w:r w:rsidRPr="00A0015D">
        <w:rPr>
          <w:i/>
        </w:rPr>
        <w:t>Rhode</w:t>
      </w:r>
      <w:r>
        <w:rPr>
          <w:i/>
        </w:rPr>
        <w:t xml:space="preserve">s </w:t>
      </w:r>
      <w:r w:rsidRPr="00CD7DFB">
        <w:t xml:space="preserve">v. </w:t>
      </w:r>
      <w:r>
        <w:rPr>
          <w:i/>
        </w:rPr>
        <w:t>OPO</w:t>
      </w:r>
      <w:r w:rsidRPr="00CD7DFB">
        <w:t xml:space="preserve"> [2015] UKSC 32 [81] </w:t>
      </w:r>
      <w:r w:rsidRPr="00CD7DFB">
        <w:rPr>
          <w:i/>
        </w:rPr>
        <w:t>per</w:t>
      </w:r>
      <w:r>
        <w:t xml:space="preserve"> Lady Hale, ‘</w:t>
      </w:r>
      <w:r w:rsidRPr="00CD7DFB">
        <w:t>Imputation of an intention by operation of a rule of law is a vestige of a previous age and has no proper role in the modern law of tort. It is unsound in principle.</w:t>
      </w:r>
      <w:r>
        <w:t>’</w:t>
      </w:r>
    </w:p>
  </w:footnote>
  <w:footnote w:id="38">
    <w:p w14:paraId="7BD0D7D5" w14:textId="3CBE7D5D" w:rsidR="0056761C" w:rsidRDefault="0056761C">
      <w:pPr>
        <w:pStyle w:val="FootnoteText"/>
      </w:pPr>
      <w:r w:rsidRPr="00A20FE1">
        <w:rPr>
          <w:rStyle w:val="FootnoteReference"/>
          <w:vertAlign w:val="baseline"/>
        </w:rPr>
        <w:footnoteRef/>
      </w:r>
      <w:r w:rsidRPr="00A20FE1">
        <w:t xml:space="preserve"> </w:t>
      </w:r>
      <w:r>
        <w:tab/>
      </w:r>
      <w:r w:rsidRPr="00A20FE1">
        <w:t>[2018] EWHC 1535 (QB)</w:t>
      </w:r>
      <w:r>
        <w:t xml:space="preserve"> [36].</w:t>
      </w:r>
    </w:p>
  </w:footnote>
  <w:footnote w:id="39">
    <w:p w14:paraId="44C39966" w14:textId="6B292404" w:rsidR="0056761C" w:rsidRDefault="0056761C">
      <w:pPr>
        <w:pStyle w:val="FootnoteText"/>
      </w:pPr>
      <w:r w:rsidRPr="00B5462B">
        <w:rPr>
          <w:rStyle w:val="FootnoteReference"/>
          <w:vertAlign w:val="baseline"/>
        </w:rPr>
        <w:footnoteRef/>
      </w:r>
      <w:r>
        <w:t xml:space="preserve"> </w:t>
      </w:r>
      <w:r>
        <w:tab/>
        <w:t xml:space="preserve">Vera </w:t>
      </w:r>
      <w:proofErr w:type="spellStart"/>
      <w:r w:rsidRPr="00C905DA">
        <w:t>Bermingham</w:t>
      </w:r>
      <w:proofErr w:type="spellEnd"/>
      <w:r w:rsidRPr="00C905DA">
        <w:t xml:space="preserve"> and Carol Brennan</w:t>
      </w:r>
      <w:r>
        <w:t>,</w:t>
      </w:r>
      <w:r w:rsidRPr="00B5462B">
        <w:rPr>
          <w:i/>
          <w:sz w:val="22"/>
          <w:szCs w:val="22"/>
        </w:rPr>
        <w:t xml:space="preserve"> </w:t>
      </w:r>
      <w:r w:rsidRPr="00B5462B">
        <w:rPr>
          <w:i/>
        </w:rPr>
        <w:t>Tort Law Directions</w:t>
      </w:r>
      <w:r w:rsidRPr="00B5462B">
        <w:t xml:space="preserve">, </w:t>
      </w:r>
      <w:r>
        <w:t>5</w:t>
      </w:r>
      <w:r w:rsidRPr="00954780">
        <w:rPr>
          <w:vertAlign w:val="superscript"/>
        </w:rPr>
        <w:t>th</w:t>
      </w:r>
      <w:r>
        <w:t xml:space="preserve"> </w:t>
      </w:r>
      <w:proofErr w:type="spellStart"/>
      <w:r>
        <w:t>edn</w:t>
      </w:r>
      <w:proofErr w:type="spellEnd"/>
      <w:r>
        <w:t xml:space="preserve">. </w:t>
      </w:r>
      <w:r w:rsidRPr="00B5462B">
        <w:t xml:space="preserve">(Oxford: OUP, 2012) </w:t>
      </w:r>
      <w:r>
        <w:t xml:space="preserve">59. However, the quoted words are prefaced with </w:t>
      </w:r>
      <w:bookmarkStart w:id="10" w:name="_Hlk522778675"/>
      <w:r>
        <w:t>‘</w:t>
      </w:r>
      <w:r w:rsidRPr="00954780">
        <w:rPr>
          <w:lang w:val="en"/>
        </w:rPr>
        <w:t>It is a matter of law and is strongly policy-based</w:t>
      </w:r>
      <w:r>
        <w:rPr>
          <w:lang w:val="en"/>
        </w:rPr>
        <w:t>’.</w:t>
      </w:r>
    </w:p>
    <w:bookmarkEnd w:id="10"/>
  </w:footnote>
  <w:footnote w:id="40">
    <w:p w14:paraId="72AA65F3" w14:textId="74AA348B" w:rsidR="0056761C" w:rsidRDefault="0056761C">
      <w:pPr>
        <w:pStyle w:val="FootnoteText"/>
      </w:pPr>
      <w:r w:rsidRPr="00295815">
        <w:rPr>
          <w:rStyle w:val="FootnoteReference"/>
          <w:vertAlign w:val="baseline"/>
        </w:rPr>
        <w:footnoteRef/>
      </w:r>
      <w:r w:rsidRPr="00295815">
        <w:t xml:space="preserve"> </w:t>
      </w:r>
      <w:r>
        <w:tab/>
      </w:r>
      <w:r>
        <w:rPr>
          <w:bCs/>
        </w:rPr>
        <w:t>[1990] 2 A</w:t>
      </w:r>
      <w:r w:rsidRPr="00295815">
        <w:rPr>
          <w:bCs/>
        </w:rPr>
        <w:t>C 605</w:t>
      </w:r>
      <w:r>
        <w:rPr>
          <w:bCs/>
        </w:rPr>
        <w:t>, 618, my emphases</w:t>
      </w:r>
      <w:r>
        <w:t>.</w:t>
      </w:r>
    </w:p>
  </w:footnote>
  <w:footnote w:id="41">
    <w:p w14:paraId="35F8FD3A" w14:textId="7155396B" w:rsidR="0056761C" w:rsidRPr="00F7031A" w:rsidRDefault="0056761C" w:rsidP="005E5428">
      <w:pPr>
        <w:pStyle w:val="FootnoteText"/>
      </w:pPr>
      <w:r w:rsidRPr="00F7031A">
        <w:rPr>
          <w:rStyle w:val="FootnoteReference"/>
          <w:vertAlign w:val="baseline"/>
        </w:rPr>
        <w:footnoteRef/>
      </w:r>
      <w:r w:rsidRPr="00F7031A">
        <w:t xml:space="preserve"> </w:t>
      </w:r>
      <w:r w:rsidRPr="00F7031A">
        <w:tab/>
      </w:r>
      <w:r>
        <w:t>But</w:t>
      </w:r>
      <w:r w:rsidRPr="00F7031A">
        <w:t xml:space="preserve"> countenanc</w:t>
      </w:r>
      <w:r>
        <w:t>ing</w:t>
      </w:r>
      <w:r w:rsidRPr="00F7031A">
        <w:t xml:space="preserve"> </w:t>
      </w:r>
      <w:r>
        <w:t>limited</w:t>
      </w:r>
      <w:r w:rsidRPr="00F7031A">
        <w:t xml:space="preserve"> flexibility through the machinery of the European Union.</w:t>
      </w:r>
    </w:p>
  </w:footnote>
  <w:footnote w:id="42">
    <w:p w14:paraId="45DAC17C" w14:textId="6CA49510" w:rsidR="0056761C" w:rsidRDefault="0056761C">
      <w:pPr>
        <w:pStyle w:val="FootnoteText"/>
      </w:pPr>
      <w:r w:rsidRPr="007C6505">
        <w:rPr>
          <w:rStyle w:val="FootnoteReference"/>
          <w:vertAlign w:val="baseline"/>
        </w:rPr>
        <w:footnoteRef/>
      </w:r>
      <w:r w:rsidRPr="007C6505">
        <w:t xml:space="preserve"> </w:t>
      </w:r>
      <w:r>
        <w:tab/>
        <w:t xml:space="preserve">Andrew &amp; Michael </w:t>
      </w:r>
      <w:proofErr w:type="spellStart"/>
      <w:r>
        <w:t>Mauboussin</w:t>
      </w:r>
      <w:proofErr w:type="spellEnd"/>
      <w:r>
        <w:t xml:space="preserve">, </w:t>
      </w:r>
      <w:r w:rsidRPr="002C620B">
        <w:t>‘If you think something is ‘likely’...?</w:t>
      </w:r>
      <w:r>
        <w:t xml:space="preserve">’ (2018) </w:t>
      </w:r>
      <w:r w:rsidRPr="002E410C">
        <w:rPr>
          <w:i/>
        </w:rPr>
        <w:t>Harvard Business Review</w:t>
      </w:r>
      <w:r>
        <w:t xml:space="preserve"> </w:t>
      </w:r>
      <w:r w:rsidRPr="002E410C">
        <w:t>https://hbr.org/2018/07/if-you-say-something-is-likely-how-likely-do-people-think-it-is</w:t>
      </w:r>
      <w:r>
        <w:t>.</w:t>
      </w:r>
    </w:p>
  </w:footnote>
  <w:footnote w:id="43">
    <w:p w14:paraId="40A65494" w14:textId="192BA17A" w:rsidR="0056761C" w:rsidRDefault="0056761C" w:rsidP="00BC5540">
      <w:pPr>
        <w:pStyle w:val="FootnoteText"/>
      </w:pPr>
      <w:r w:rsidRPr="00BC5540">
        <w:rPr>
          <w:rStyle w:val="FootnoteReference"/>
          <w:vertAlign w:val="baseline"/>
        </w:rPr>
        <w:footnoteRef/>
      </w:r>
      <w:r w:rsidRPr="00BC5540">
        <w:t xml:space="preserve"> </w:t>
      </w:r>
      <w:r>
        <w:tab/>
        <w:t xml:space="preserve">Cristina </w:t>
      </w:r>
      <w:proofErr w:type="spellStart"/>
      <w:r>
        <w:t>Bicchieri</w:t>
      </w:r>
      <w:proofErr w:type="spellEnd"/>
      <w:r>
        <w:t xml:space="preserve"> &amp;</w:t>
      </w:r>
      <w:r w:rsidRPr="00BC5540">
        <w:t xml:space="preserve"> Alexander </w:t>
      </w:r>
      <w:proofErr w:type="spellStart"/>
      <w:r w:rsidRPr="00BC5540">
        <w:t>Funcke</w:t>
      </w:r>
      <w:proofErr w:type="spellEnd"/>
      <w:r>
        <w:t>, ‘</w:t>
      </w:r>
      <w:r w:rsidRPr="00BC5540">
        <w:t>Norm Change: Trendsetters and Social Structure</w:t>
      </w:r>
      <w:r>
        <w:t xml:space="preserve">’ (2018) 85(1) </w:t>
      </w:r>
      <w:r w:rsidRPr="00BC5540">
        <w:rPr>
          <w:i/>
        </w:rPr>
        <w:t>Social Research</w:t>
      </w:r>
      <w:r>
        <w:t xml:space="preserve"> 1-21.</w:t>
      </w:r>
    </w:p>
  </w:footnote>
  <w:footnote w:id="44">
    <w:p w14:paraId="358E31A2" w14:textId="324855EB" w:rsidR="0056761C" w:rsidRPr="00F7031A" w:rsidRDefault="0056761C" w:rsidP="004D624B">
      <w:pPr>
        <w:pStyle w:val="FootnoteText"/>
      </w:pPr>
      <w:r w:rsidRPr="00F7031A">
        <w:rPr>
          <w:rStyle w:val="FootnoteReference"/>
          <w:vertAlign w:val="baseline"/>
        </w:rPr>
        <w:footnoteRef/>
      </w:r>
      <w:r w:rsidRPr="00F7031A">
        <w:t xml:space="preserve"> </w:t>
      </w:r>
      <w:r w:rsidRPr="00F7031A">
        <w:tab/>
        <w:t xml:space="preserve">Hans </w:t>
      </w:r>
      <w:proofErr w:type="spellStart"/>
      <w:r w:rsidRPr="00F7031A">
        <w:t>Rosling</w:t>
      </w:r>
      <w:proofErr w:type="spellEnd"/>
      <w:r w:rsidRPr="00F7031A">
        <w:t xml:space="preserve">, </w:t>
      </w:r>
      <w:r>
        <w:t xml:space="preserve">with Ola </w:t>
      </w:r>
      <w:proofErr w:type="spellStart"/>
      <w:r>
        <w:t>Rosling</w:t>
      </w:r>
      <w:proofErr w:type="spellEnd"/>
      <w:r>
        <w:t xml:space="preserve"> &amp;</w:t>
      </w:r>
      <w:r w:rsidRPr="00F7031A">
        <w:t xml:space="preserve"> Anna </w:t>
      </w:r>
      <w:proofErr w:type="spellStart"/>
      <w:r w:rsidRPr="00F7031A">
        <w:t>Rosling</w:t>
      </w:r>
      <w:proofErr w:type="spellEnd"/>
      <w:r w:rsidRPr="00F7031A">
        <w:t xml:space="preserve"> </w:t>
      </w:r>
      <w:proofErr w:type="spellStart"/>
      <w:r w:rsidRPr="00F7031A">
        <w:t>Rönnlund</w:t>
      </w:r>
      <w:proofErr w:type="spellEnd"/>
      <w:r w:rsidRPr="00F7031A">
        <w:t xml:space="preserve">, </w:t>
      </w:r>
      <w:proofErr w:type="spellStart"/>
      <w:r w:rsidRPr="00F7031A">
        <w:rPr>
          <w:i/>
        </w:rPr>
        <w:t>Factfulness</w:t>
      </w:r>
      <w:proofErr w:type="spellEnd"/>
      <w:r w:rsidRPr="00F7031A">
        <w:t xml:space="preserve">, (London: Sceptre, 2018) 38-39. </w:t>
      </w:r>
    </w:p>
  </w:footnote>
  <w:footnote w:id="45">
    <w:p w14:paraId="2B12EDB1" w14:textId="77777777" w:rsidR="0056761C" w:rsidRPr="00F7031A" w:rsidRDefault="0056761C" w:rsidP="004D624B">
      <w:pPr>
        <w:pStyle w:val="FootnoteText"/>
      </w:pPr>
      <w:r w:rsidRPr="00F7031A">
        <w:rPr>
          <w:rStyle w:val="FootnoteReference"/>
          <w:vertAlign w:val="baseline"/>
        </w:rPr>
        <w:footnoteRef/>
      </w:r>
      <w:r w:rsidRPr="00F7031A">
        <w:t xml:space="preserve"> </w:t>
      </w:r>
      <w:r w:rsidRPr="00F7031A">
        <w:tab/>
        <w:t xml:space="preserve">John Dewey, </w:t>
      </w:r>
      <w:r w:rsidRPr="004D624B">
        <w:rPr>
          <w:i/>
        </w:rPr>
        <w:t>Experience and Education: Traditional vs. Progressive Education</w:t>
      </w:r>
      <w:r w:rsidRPr="00F7031A">
        <w:t xml:space="preserve"> (New York: Macmillan, 1939)</w:t>
      </w:r>
    </w:p>
  </w:footnote>
  <w:footnote w:id="46">
    <w:p w14:paraId="103570FA" w14:textId="19541495" w:rsidR="0056761C" w:rsidRPr="00B76F3B" w:rsidRDefault="0056761C" w:rsidP="004D624B">
      <w:pPr>
        <w:pStyle w:val="FootnoteText"/>
      </w:pPr>
      <w:r w:rsidRPr="00F7031A">
        <w:rPr>
          <w:rStyle w:val="FootnoteReference"/>
          <w:vertAlign w:val="baseline"/>
        </w:rPr>
        <w:footnoteRef/>
      </w:r>
      <w:r w:rsidRPr="00F7031A">
        <w:t xml:space="preserve"> </w:t>
      </w:r>
      <w:r w:rsidRPr="00F7031A">
        <w:tab/>
        <w:t xml:space="preserve">Hermann Hesse, </w:t>
      </w:r>
      <w:r>
        <w:t>‘</w:t>
      </w:r>
      <w:r w:rsidRPr="00F7031A">
        <w:t>Inside and Outside</w:t>
      </w:r>
      <w:r>
        <w:t>’</w:t>
      </w:r>
      <w:r w:rsidRPr="00F7031A">
        <w:t xml:space="preserve"> (1920) in </w:t>
      </w:r>
      <w:r w:rsidRPr="00B76F3B">
        <w:rPr>
          <w:i/>
        </w:rPr>
        <w:t>Stories of Five Decades</w:t>
      </w:r>
      <w:r>
        <w:rPr>
          <w:i/>
        </w:rPr>
        <w:t xml:space="preserve"> </w:t>
      </w:r>
      <w:r>
        <w:t>(London: Grafton: 1979).</w:t>
      </w:r>
    </w:p>
  </w:footnote>
  <w:footnote w:id="47">
    <w:p w14:paraId="6E45AEE9" w14:textId="4DD460A5" w:rsidR="0056761C" w:rsidRPr="00F7031A" w:rsidRDefault="0056761C" w:rsidP="00E44694">
      <w:pPr>
        <w:pStyle w:val="FootnoteText"/>
        <w:rPr>
          <w:rStyle w:val="FootnoteReference"/>
          <w:vertAlign w:val="baseline"/>
        </w:rPr>
      </w:pPr>
      <w:r w:rsidRPr="00F7031A">
        <w:rPr>
          <w:rStyle w:val="FootnoteReference"/>
          <w:vertAlign w:val="baseline"/>
        </w:rPr>
        <w:footnoteRef/>
      </w:r>
      <w:r w:rsidRPr="00F7031A">
        <w:rPr>
          <w:rStyle w:val="FootnoteReference"/>
          <w:vertAlign w:val="baseline"/>
        </w:rPr>
        <w:t xml:space="preserve"> </w:t>
      </w:r>
      <w:r w:rsidRPr="00F7031A">
        <w:rPr>
          <w:rStyle w:val="FootnoteReference"/>
          <w:vertAlign w:val="baseline"/>
        </w:rPr>
        <w:tab/>
        <w:t xml:space="preserve">This phrase is chosen to invoke WB </w:t>
      </w:r>
      <w:proofErr w:type="spellStart"/>
      <w:r w:rsidRPr="00F7031A">
        <w:rPr>
          <w:rStyle w:val="FootnoteReference"/>
          <w:vertAlign w:val="baseline"/>
        </w:rPr>
        <w:t>Gallie</w:t>
      </w:r>
      <w:proofErr w:type="spellEnd"/>
      <w:r w:rsidRPr="00F7031A">
        <w:rPr>
          <w:rStyle w:val="FootnoteReference"/>
          <w:vertAlign w:val="baseline"/>
        </w:rPr>
        <w:t xml:space="preserve">, ’Essentially Contested Concepts’ (1965) 56 </w:t>
      </w:r>
      <w:r w:rsidRPr="00F7031A">
        <w:rPr>
          <w:rStyle w:val="FootnoteReference"/>
          <w:i/>
          <w:vertAlign w:val="baseline"/>
        </w:rPr>
        <w:t xml:space="preserve">Proceedings of the Aristotelian Society </w:t>
      </w:r>
      <w:r w:rsidRPr="00F7031A">
        <w:rPr>
          <w:rStyle w:val="FootnoteReference"/>
          <w:vertAlign w:val="baseline"/>
        </w:rPr>
        <w:t>167-198</w:t>
      </w:r>
      <w:r>
        <w:t xml:space="preserve">. </w:t>
      </w:r>
      <w:r w:rsidRPr="00BE4A91">
        <w:t>But note my substitution of ‘contest</w:t>
      </w:r>
      <w:r w:rsidRPr="00BE4A91">
        <w:rPr>
          <w:i/>
        </w:rPr>
        <w:t>able</w:t>
      </w:r>
      <w:r w:rsidRPr="00BE4A91">
        <w:t>’ for ‘contest</w:t>
      </w:r>
      <w:r w:rsidRPr="00BE4A91">
        <w:rPr>
          <w:i/>
        </w:rPr>
        <w:t>ed</w:t>
      </w:r>
      <w:r w:rsidRPr="00BE4A91">
        <w:t>’</w:t>
      </w:r>
      <w:r>
        <w:t xml:space="preserve">. </w:t>
      </w:r>
      <w:r w:rsidRPr="007B2ACB">
        <w:rPr>
          <w:i/>
        </w:rPr>
        <w:t>Cf.</w:t>
      </w:r>
      <w:r>
        <w:t xml:space="preserve"> </w:t>
      </w:r>
      <w:r w:rsidRPr="00E44694">
        <w:t xml:space="preserve">Eugen Fischer </w:t>
      </w:r>
      <w:r>
        <w:t>&amp;</w:t>
      </w:r>
      <w:r w:rsidRPr="00E44694">
        <w:t xml:space="preserve"> John Collins</w:t>
      </w:r>
      <w:r>
        <w:t>,</w:t>
      </w:r>
      <w:r w:rsidRPr="00E44694">
        <w:t xml:space="preserve"> </w:t>
      </w:r>
      <w:r>
        <w:t>‘</w:t>
      </w:r>
      <w:r w:rsidRPr="00E44694">
        <w:t>Rationalism and naturalism in the age of experimental philosophy</w:t>
      </w:r>
      <w:r>
        <w:t xml:space="preserve">’ in their </w:t>
      </w:r>
      <w:r w:rsidRPr="007B2ACB">
        <w:rPr>
          <w:i/>
        </w:rPr>
        <w:t>Experimental Philosophy, Rationalism, and Naturalism</w:t>
      </w:r>
      <w:r>
        <w:t xml:space="preserve"> (London: Routledge, 2015) 3-33, 15: ‘</w:t>
      </w:r>
      <w:r w:rsidRPr="007B2ACB">
        <w:t>The relevant notion of automaticity is g</w:t>
      </w:r>
      <w:r>
        <w:t>radual, rather than dichotomous’.</w:t>
      </w:r>
    </w:p>
  </w:footnote>
  <w:footnote w:id="48">
    <w:p w14:paraId="2C17752F" w14:textId="05BC5AFE" w:rsidR="0056761C" w:rsidRPr="00F7031A" w:rsidRDefault="0056761C" w:rsidP="005E5428">
      <w:pPr>
        <w:pStyle w:val="FootnoteText"/>
      </w:pPr>
      <w:r w:rsidRPr="00F7031A">
        <w:rPr>
          <w:rStyle w:val="FootnoteReference"/>
          <w:vertAlign w:val="baseline"/>
        </w:rPr>
        <w:footnoteRef/>
      </w:r>
      <w:r w:rsidRPr="00F7031A">
        <w:t xml:space="preserve"> </w:t>
      </w:r>
      <w:r w:rsidRPr="00F7031A">
        <w:tab/>
      </w:r>
      <w:r>
        <w:t xml:space="preserve">See note </w:t>
      </w:r>
      <w:r>
        <w:fldChar w:fldCharType="begin"/>
      </w:r>
      <w:r>
        <w:instrText xml:space="preserve"> NOTEREF _Ref521397919 \h </w:instrText>
      </w:r>
      <w:r>
        <w:fldChar w:fldCharType="separate"/>
      </w:r>
      <w:r>
        <w:t>43</w:t>
      </w:r>
      <w:r>
        <w:fldChar w:fldCharType="end"/>
      </w:r>
      <w:r>
        <w:t xml:space="preserve"> above, </w:t>
      </w:r>
      <w:r w:rsidRPr="00F7031A">
        <w:t>75-99.</w:t>
      </w:r>
    </w:p>
  </w:footnote>
  <w:footnote w:id="49">
    <w:p w14:paraId="0288A05A" w14:textId="77777777" w:rsidR="0056761C" w:rsidRPr="00F7031A" w:rsidRDefault="0056761C" w:rsidP="00AF366D">
      <w:pPr>
        <w:pStyle w:val="FootnoteText"/>
      </w:pPr>
      <w:r w:rsidRPr="00F7031A">
        <w:rPr>
          <w:rStyle w:val="FootnoteReference"/>
          <w:vertAlign w:val="baseline"/>
        </w:rPr>
        <w:footnoteRef/>
      </w:r>
      <w:r w:rsidRPr="00F7031A">
        <w:t xml:space="preserve"> </w:t>
      </w:r>
      <w:r w:rsidRPr="00F7031A">
        <w:tab/>
      </w:r>
      <w:r w:rsidRPr="00F7031A">
        <w:rPr>
          <w:i/>
        </w:rPr>
        <w:t>R (</w:t>
      </w:r>
      <w:proofErr w:type="spellStart"/>
      <w:r w:rsidRPr="00F7031A">
        <w:rPr>
          <w:i/>
        </w:rPr>
        <w:t>Quintavalle</w:t>
      </w:r>
      <w:proofErr w:type="spellEnd"/>
      <w:r w:rsidRPr="00F7031A">
        <w:rPr>
          <w:i/>
        </w:rPr>
        <w:t>)</w:t>
      </w:r>
      <w:r w:rsidRPr="00F7031A">
        <w:t xml:space="preserve"> v. </w:t>
      </w:r>
      <w:r w:rsidRPr="00F7031A">
        <w:rPr>
          <w:i/>
        </w:rPr>
        <w:t>Secretary of State for Health</w:t>
      </w:r>
      <w:r w:rsidRPr="00F7031A">
        <w:t xml:space="preserve"> [2003] UKHL 13, [2003] 2 AC 687 [9].</w:t>
      </w:r>
    </w:p>
  </w:footnote>
  <w:footnote w:id="50">
    <w:p w14:paraId="4FCEF74A" w14:textId="6657DA60" w:rsidR="0056761C" w:rsidRDefault="0056761C">
      <w:pPr>
        <w:pStyle w:val="FootnoteText"/>
      </w:pPr>
      <w:r w:rsidRPr="00CB7974">
        <w:rPr>
          <w:rStyle w:val="FootnoteReference"/>
          <w:vertAlign w:val="baseline"/>
        </w:rPr>
        <w:footnoteRef/>
      </w:r>
      <w:r w:rsidRPr="00CB7974">
        <w:t xml:space="preserve"> </w:t>
      </w:r>
      <w:r>
        <w:tab/>
      </w:r>
      <w:r w:rsidRPr="00CB7974">
        <w:t>[2017] EWHC 1666 (Ch)</w:t>
      </w:r>
      <w:r>
        <w:t xml:space="preserve"> [237].</w:t>
      </w:r>
    </w:p>
  </w:footnote>
  <w:footnote w:id="51">
    <w:p w14:paraId="513D8103" w14:textId="0D870DE4" w:rsidR="0056761C" w:rsidRDefault="0056761C">
      <w:pPr>
        <w:pStyle w:val="FootnoteText"/>
      </w:pPr>
      <w:r w:rsidRPr="002303F2">
        <w:rPr>
          <w:rStyle w:val="FootnoteReference"/>
          <w:vertAlign w:val="baseline"/>
        </w:rPr>
        <w:footnoteRef/>
      </w:r>
      <w:r w:rsidRPr="002303F2">
        <w:t xml:space="preserve"> </w:t>
      </w:r>
      <w:r>
        <w:tab/>
      </w:r>
      <w:r w:rsidRPr="002303F2">
        <w:rPr>
          <w:i/>
        </w:rPr>
        <w:t>Ibid</w:t>
      </w:r>
      <w:r>
        <w:t>. [248].</w:t>
      </w:r>
    </w:p>
  </w:footnote>
  <w:footnote w:id="52">
    <w:p w14:paraId="10F0B807" w14:textId="5C8ACC85" w:rsidR="0056761C" w:rsidRDefault="0056761C">
      <w:pPr>
        <w:pStyle w:val="FootnoteText"/>
      </w:pPr>
      <w:r w:rsidRPr="002303F2">
        <w:rPr>
          <w:rStyle w:val="FootnoteReference"/>
          <w:vertAlign w:val="baseline"/>
        </w:rPr>
        <w:footnoteRef/>
      </w:r>
      <w:r w:rsidRPr="002303F2">
        <w:t xml:space="preserve"> </w:t>
      </w:r>
      <w:r>
        <w:tab/>
      </w:r>
      <w:r w:rsidRPr="00F256EC">
        <w:rPr>
          <w:i/>
        </w:rPr>
        <w:t>Ibid.</w:t>
      </w:r>
      <w:r>
        <w:t xml:space="preserve"> [251].</w:t>
      </w:r>
    </w:p>
  </w:footnote>
  <w:footnote w:id="53">
    <w:p w14:paraId="1ECB2B5F" w14:textId="47DCF5DF" w:rsidR="0056761C" w:rsidRPr="00F7031A" w:rsidRDefault="0056761C" w:rsidP="00D32560">
      <w:pPr>
        <w:pStyle w:val="FootnoteText"/>
      </w:pPr>
      <w:r w:rsidRPr="00F7031A">
        <w:rPr>
          <w:rStyle w:val="FootnoteReference"/>
          <w:vertAlign w:val="baseline"/>
        </w:rPr>
        <w:footnoteRef/>
      </w:r>
      <w:r w:rsidRPr="00F7031A">
        <w:t xml:space="preserve"> </w:t>
      </w:r>
      <w:r w:rsidRPr="00F7031A">
        <w:tab/>
        <w:t xml:space="preserve">[2018] UKSC 46 [125]-[126] </w:t>
      </w:r>
      <w:r w:rsidRPr="00F7031A">
        <w:rPr>
          <w:i/>
        </w:rPr>
        <w:t>per</w:t>
      </w:r>
      <w:r w:rsidRPr="00F7031A">
        <w:t xml:space="preserve"> Lady Black, with whom</w:t>
      </w:r>
      <w:r>
        <w:t xml:space="preserve"> the other J</w:t>
      </w:r>
      <w:r w:rsidRPr="00F7031A">
        <w:t>ustices agreed.</w:t>
      </w:r>
    </w:p>
  </w:footnote>
  <w:footnote w:id="54">
    <w:p w14:paraId="734B9966" w14:textId="3159D82D" w:rsidR="0056761C" w:rsidRPr="00F7031A" w:rsidRDefault="0056761C" w:rsidP="00D32560">
      <w:pPr>
        <w:pStyle w:val="FootnoteText"/>
      </w:pPr>
      <w:r w:rsidRPr="00F7031A">
        <w:rPr>
          <w:rStyle w:val="FootnoteReference"/>
          <w:vertAlign w:val="baseline"/>
        </w:rPr>
        <w:footnoteRef/>
      </w:r>
      <w:r>
        <w:t xml:space="preserve"> </w:t>
      </w:r>
      <w:r>
        <w:tab/>
      </w:r>
      <w:r w:rsidRPr="00F256EC">
        <w:rPr>
          <w:i/>
        </w:rPr>
        <w:t>Ibid</w:t>
      </w:r>
      <w:r>
        <w:t xml:space="preserve">. [2], </w:t>
      </w:r>
      <w:r w:rsidRPr="00F7031A">
        <w:t>‘encompasses both a permanent vegetative state</w:t>
      </w:r>
      <w:r>
        <w:t>...</w:t>
      </w:r>
      <w:r w:rsidRPr="00F7031A">
        <w:t>and a minimally conscious state</w:t>
      </w:r>
      <w:r>
        <w:t>.’</w:t>
      </w:r>
    </w:p>
  </w:footnote>
  <w:footnote w:id="55">
    <w:p w14:paraId="3648DF9B" w14:textId="77777777" w:rsidR="0056761C" w:rsidRPr="00F7031A" w:rsidRDefault="0056761C" w:rsidP="00D32560">
      <w:pPr>
        <w:pStyle w:val="FootnoteText"/>
      </w:pPr>
      <w:r w:rsidRPr="00F7031A">
        <w:rPr>
          <w:rStyle w:val="FootnoteReference"/>
          <w:vertAlign w:val="baseline"/>
        </w:rPr>
        <w:footnoteRef/>
      </w:r>
      <w:r w:rsidRPr="00F7031A">
        <w:t xml:space="preserve"> </w:t>
      </w:r>
      <w:r w:rsidRPr="00F7031A">
        <w:tab/>
        <w:t xml:space="preserve">[2014] EWHC 234 (Admin) [51] </w:t>
      </w:r>
      <w:proofErr w:type="spellStart"/>
      <w:r w:rsidRPr="00F7031A">
        <w:t>Supperstone</w:t>
      </w:r>
      <w:proofErr w:type="spellEnd"/>
      <w:r w:rsidRPr="00F7031A">
        <w:t xml:space="preserve"> J, reversed on appeal [2015] EWCA </w:t>
      </w:r>
      <w:proofErr w:type="spellStart"/>
      <w:r w:rsidRPr="00F7031A">
        <w:t>Civ</w:t>
      </w:r>
      <w:proofErr w:type="spellEnd"/>
      <w:r w:rsidRPr="00F7031A">
        <w:t xml:space="preserve"> 22, </w:t>
      </w:r>
      <w:proofErr w:type="spellStart"/>
      <w:r w:rsidRPr="00F7031A">
        <w:t>McCombe</w:t>
      </w:r>
      <w:proofErr w:type="spellEnd"/>
      <w:r w:rsidRPr="00F7031A">
        <w:t xml:space="preserve"> LJ dissenting.</w:t>
      </w:r>
    </w:p>
  </w:footnote>
  <w:footnote w:id="56">
    <w:p w14:paraId="24B71966" w14:textId="77777777" w:rsidR="0056761C" w:rsidRPr="00F7031A" w:rsidRDefault="0056761C" w:rsidP="00D32560">
      <w:pPr>
        <w:pStyle w:val="FootnoteText"/>
      </w:pPr>
      <w:r w:rsidRPr="00F7031A">
        <w:rPr>
          <w:rStyle w:val="FootnoteReference"/>
          <w:vertAlign w:val="baseline"/>
        </w:rPr>
        <w:footnoteRef/>
      </w:r>
      <w:r w:rsidRPr="00F7031A">
        <w:t xml:space="preserve"> </w:t>
      </w:r>
      <w:r w:rsidRPr="00F7031A">
        <w:tab/>
      </w:r>
      <w:proofErr w:type="spellStart"/>
      <w:r w:rsidRPr="00F7031A">
        <w:t>Supperstone</w:t>
      </w:r>
      <w:proofErr w:type="spellEnd"/>
      <w:r w:rsidRPr="00F7031A">
        <w:t xml:space="preserve"> J had quashed the local authority’s decision to take the value of the house into account and remitted the matter with guidance that, on re-determination, account should be taken of Ms Walford’s use of the house </w:t>
      </w:r>
      <w:r w:rsidRPr="00F7031A">
        <w:rPr>
          <w:i/>
        </w:rPr>
        <w:t>after</w:t>
      </w:r>
      <w:r w:rsidRPr="00F7031A">
        <w:t xml:space="preserve"> her mother’s entry into care: [70] (iii). The Court of Appeal majority rejected that guidance: [27], </w:t>
      </w:r>
      <w:r w:rsidRPr="00F7031A">
        <w:rPr>
          <w:i/>
        </w:rPr>
        <w:t>cf</w:t>
      </w:r>
      <w:r w:rsidRPr="00F7031A">
        <w:t xml:space="preserve">. </w:t>
      </w:r>
      <w:proofErr w:type="spellStart"/>
      <w:r w:rsidRPr="00F7031A">
        <w:t>McCombe</w:t>
      </w:r>
      <w:proofErr w:type="spellEnd"/>
      <w:r w:rsidRPr="00F7031A">
        <w:t xml:space="preserve"> LJ at {36], ‘I do not see that the language of the Regulations with which we are concerned compels the identification of that purpose without the insertion of [further] words…’</w:t>
      </w:r>
    </w:p>
  </w:footnote>
  <w:footnote w:id="57">
    <w:p w14:paraId="40353842" w14:textId="4F3FFAC6" w:rsidR="0056761C" w:rsidRPr="00F7031A" w:rsidRDefault="0056761C" w:rsidP="000B7B04">
      <w:pPr>
        <w:pStyle w:val="FootnoteText"/>
      </w:pPr>
      <w:r w:rsidRPr="00F7031A">
        <w:rPr>
          <w:rStyle w:val="FootnoteReference"/>
          <w:vertAlign w:val="baseline"/>
        </w:rPr>
        <w:footnoteRef/>
      </w:r>
      <w:r w:rsidRPr="00F7031A">
        <w:t xml:space="preserve"> </w:t>
      </w:r>
      <w:r w:rsidRPr="00F7031A">
        <w:tab/>
      </w:r>
      <w:r w:rsidRPr="007B2ACB">
        <w:rPr>
          <w:i/>
        </w:rPr>
        <w:t>Cf.</w:t>
      </w:r>
      <w:r>
        <w:t xml:space="preserve"> </w:t>
      </w:r>
      <w:proofErr w:type="spellStart"/>
      <w:r w:rsidRPr="00F97B8D">
        <w:rPr>
          <w:i/>
          <w:iCs/>
        </w:rPr>
        <w:t>Yemshaw</w:t>
      </w:r>
      <w:proofErr w:type="spellEnd"/>
      <w:r w:rsidRPr="00F97B8D">
        <w:t xml:space="preserve"> v. </w:t>
      </w:r>
      <w:r w:rsidRPr="00F97B8D">
        <w:rPr>
          <w:i/>
          <w:iCs/>
        </w:rPr>
        <w:t>Hounslow LBC</w:t>
      </w:r>
      <w:r>
        <w:rPr>
          <w:i/>
          <w:iCs/>
        </w:rPr>
        <w:t xml:space="preserve"> </w:t>
      </w:r>
      <w:r w:rsidRPr="00F7031A">
        <w:t>[2011] UKSC 3</w:t>
      </w:r>
      <w:r>
        <w:t xml:space="preserve"> a ‘physical’ concept of domestic ‘violence’ in </w:t>
      </w:r>
      <w:r w:rsidRPr="000B7B04">
        <w:t>Section 177(1) Housing Act 1996</w:t>
      </w:r>
      <w:r>
        <w:t xml:space="preserve"> was supplemented by the ‘psychological’ conception previously rejected in</w:t>
      </w:r>
      <w:r w:rsidRPr="00F7031A">
        <w:rPr>
          <w:i/>
          <w:iCs/>
        </w:rPr>
        <w:t xml:space="preserve"> </w:t>
      </w:r>
      <w:proofErr w:type="spellStart"/>
      <w:r w:rsidRPr="00F7031A">
        <w:rPr>
          <w:i/>
          <w:iCs/>
        </w:rPr>
        <w:t>Danesh</w:t>
      </w:r>
      <w:proofErr w:type="spellEnd"/>
      <w:r w:rsidRPr="00F7031A">
        <w:rPr>
          <w:i/>
          <w:iCs/>
        </w:rPr>
        <w:t xml:space="preserve"> </w:t>
      </w:r>
      <w:r w:rsidRPr="00F7031A">
        <w:rPr>
          <w:iCs/>
        </w:rPr>
        <w:t>v.</w:t>
      </w:r>
      <w:r w:rsidRPr="00F7031A">
        <w:rPr>
          <w:i/>
          <w:iCs/>
        </w:rPr>
        <w:t xml:space="preserve"> Kensington &amp; Chelsea RLBC</w:t>
      </w:r>
      <w:r w:rsidRPr="00F7031A">
        <w:t xml:space="preserve"> [2006] EWCA </w:t>
      </w:r>
      <w:proofErr w:type="spellStart"/>
      <w:r w:rsidRPr="00F7031A">
        <w:t>Civ</w:t>
      </w:r>
      <w:proofErr w:type="spellEnd"/>
      <w:r w:rsidRPr="00F7031A">
        <w:t xml:space="preserve"> 1404 [14] </w:t>
      </w:r>
      <w:r w:rsidRPr="00F7031A">
        <w:rPr>
          <w:i/>
        </w:rPr>
        <w:t xml:space="preserve">per </w:t>
      </w:r>
      <w:r w:rsidRPr="00F7031A">
        <w:t>Neuberger LJ.</w:t>
      </w:r>
    </w:p>
  </w:footnote>
  <w:footnote w:id="58">
    <w:p w14:paraId="5719C56D" w14:textId="1DDB35E0" w:rsidR="0056761C" w:rsidRDefault="0056761C">
      <w:pPr>
        <w:pStyle w:val="FootnoteText"/>
      </w:pPr>
      <w:r w:rsidRPr="00616E18">
        <w:rPr>
          <w:rStyle w:val="FootnoteReference"/>
          <w:vertAlign w:val="baseline"/>
        </w:rPr>
        <w:footnoteRef/>
      </w:r>
      <w:r w:rsidRPr="00616E18">
        <w:t xml:space="preserve"> </w:t>
      </w:r>
      <w:r>
        <w:tab/>
      </w:r>
      <w:r w:rsidRPr="005C4325">
        <w:t>Modern Slavery Act 2015 creates a criminal offence that does not entail the causing of psychiatric harm.</w:t>
      </w:r>
      <w:r>
        <w:t xml:space="preserve"> </w:t>
      </w:r>
      <w:r w:rsidRPr="005C4325">
        <w:rPr>
          <w:i/>
        </w:rPr>
        <w:t>The Times</w:t>
      </w:r>
      <w:r w:rsidRPr="005C4325">
        <w:t xml:space="preserve">, 11 August 2017, reports that the Vulnerabilities Director, National Crime Agency (UK), believes estimates of 10,000-13,000 ‘enslaved’ victims of trafficking </w:t>
      </w:r>
      <w:r>
        <w:t xml:space="preserve">to be ‘the tip of the iceberg’. </w:t>
      </w:r>
    </w:p>
  </w:footnote>
  <w:footnote w:id="59">
    <w:p w14:paraId="264757B5" w14:textId="0E00C7C2" w:rsidR="0056761C" w:rsidRPr="00F7031A" w:rsidRDefault="0056761C" w:rsidP="00AA0C06">
      <w:pPr>
        <w:pStyle w:val="FootnoteText"/>
      </w:pPr>
      <w:r w:rsidRPr="00F7031A">
        <w:rPr>
          <w:rStyle w:val="FootnoteReference"/>
          <w:vertAlign w:val="baseline"/>
        </w:rPr>
        <w:footnoteRef/>
      </w:r>
      <w:r w:rsidRPr="00F7031A">
        <w:t xml:space="preserve"> </w:t>
      </w:r>
      <w:r w:rsidRPr="00F7031A">
        <w:tab/>
        <w:t xml:space="preserve">(1845) </w:t>
      </w:r>
      <w:r w:rsidRPr="0098273C">
        <w:rPr>
          <w:rFonts w:cstheme="minorHAnsi"/>
          <w:bCs/>
          <w:szCs w:val="18"/>
        </w:rPr>
        <w:t>115 E</w:t>
      </w:r>
      <w:r>
        <w:rPr>
          <w:rFonts w:cstheme="minorHAnsi"/>
          <w:bCs/>
          <w:szCs w:val="18"/>
        </w:rPr>
        <w:t>R</w:t>
      </w:r>
      <w:r w:rsidRPr="0098273C">
        <w:rPr>
          <w:rFonts w:cstheme="minorHAnsi"/>
          <w:bCs/>
          <w:szCs w:val="18"/>
        </w:rPr>
        <w:t xml:space="preserve"> 668</w:t>
      </w:r>
      <w:r>
        <w:rPr>
          <w:rFonts w:cstheme="minorHAnsi"/>
          <w:bCs/>
          <w:szCs w:val="18"/>
        </w:rPr>
        <w:t xml:space="preserve">, 669, </w:t>
      </w:r>
      <w:r w:rsidRPr="001D509E">
        <w:rPr>
          <w:rFonts w:cstheme="minorHAnsi"/>
          <w:bCs/>
          <w:i/>
          <w:szCs w:val="18"/>
        </w:rPr>
        <w:t>per</w:t>
      </w:r>
      <w:r>
        <w:rPr>
          <w:rFonts w:cstheme="minorHAnsi"/>
          <w:bCs/>
          <w:szCs w:val="18"/>
        </w:rPr>
        <w:t xml:space="preserve"> Coleridge J,</w:t>
      </w:r>
      <w:r>
        <w:t xml:space="preserve"> ‘</w:t>
      </w:r>
      <w:r w:rsidRPr="001D509E">
        <w:t xml:space="preserve">A prison may have its boundary large or narrow, visible and tangible, or, though real, still in the conception only; it </w:t>
      </w:r>
      <w:r>
        <w:t>may itself be moveable or fixed: but a boundary it must have</w:t>
      </w:r>
      <w:r w:rsidRPr="001D509E">
        <w:t>; and that boundary the party imprisoned must be prevented from passing</w:t>
      </w:r>
      <w:r>
        <w:t>’.</w:t>
      </w:r>
    </w:p>
  </w:footnote>
  <w:footnote w:id="60">
    <w:p w14:paraId="2EF09B5C" w14:textId="11C478B2" w:rsidR="0056761C" w:rsidRPr="00AA0C06" w:rsidRDefault="0056761C">
      <w:pPr>
        <w:pStyle w:val="FootnoteText"/>
      </w:pPr>
      <w:r w:rsidRPr="00AA0C06">
        <w:rPr>
          <w:rStyle w:val="FootnoteReference"/>
          <w:vertAlign w:val="baseline"/>
        </w:rPr>
        <w:footnoteRef/>
      </w:r>
      <w:r w:rsidRPr="00AA0C06">
        <w:t xml:space="preserve"> </w:t>
      </w:r>
      <w:r w:rsidRPr="00AA0C06">
        <w:tab/>
      </w:r>
      <w:proofErr w:type="spellStart"/>
      <w:r w:rsidRPr="00AA0C06">
        <w:rPr>
          <w:i/>
        </w:rPr>
        <w:t>Meering</w:t>
      </w:r>
      <w:proofErr w:type="spellEnd"/>
      <w:r w:rsidRPr="00AA0C06">
        <w:t xml:space="preserve"> v</w:t>
      </w:r>
      <w:r>
        <w:t>.</w:t>
      </w:r>
      <w:r w:rsidRPr="00AA0C06">
        <w:t xml:space="preserve"> </w:t>
      </w:r>
      <w:r w:rsidRPr="001D509E">
        <w:rPr>
          <w:i/>
        </w:rPr>
        <w:t>Grahame-White Aviation Co Ltd</w:t>
      </w:r>
      <w:r w:rsidRPr="00AA0C06">
        <w:t xml:space="preserve"> (1919) 122 LT 44,</w:t>
      </w:r>
    </w:p>
  </w:footnote>
  <w:footnote w:id="61">
    <w:p w14:paraId="2DAC2261" w14:textId="427045C0" w:rsidR="0056761C" w:rsidRPr="00F7031A" w:rsidRDefault="0056761C" w:rsidP="00D32560">
      <w:pPr>
        <w:pStyle w:val="FootnoteText"/>
      </w:pPr>
      <w:r w:rsidRPr="00F7031A">
        <w:rPr>
          <w:rStyle w:val="FootnoteReference"/>
          <w:vertAlign w:val="baseline"/>
        </w:rPr>
        <w:footnoteRef/>
      </w:r>
      <w:r w:rsidRPr="00F7031A">
        <w:t xml:space="preserve"> </w:t>
      </w:r>
      <w:r w:rsidRPr="00F7031A">
        <w:tab/>
      </w:r>
      <w:proofErr w:type="spellStart"/>
      <w:r w:rsidRPr="00F7031A">
        <w:rPr>
          <w:i/>
        </w:rPr>
        <w:t>Chaytor</w:t>
      </w:r>
      <w:proofErr w:type="spellEnd"/>
      <w:r w:rsidRPr="00F7031A">
        <w:t xml:space="preserve"> v. </w:t>
      </w:r>
      <w:r w:rsidRPr="00F7031A">
        <w:rPr>
          <w:i/>
        </w:rPr>
        <w:t>London, New York and Paris Association of Fashion Ltd</w:t>
      </w:r>
      <w:r w:rsidRPr="00F7031A">
        <w:t xml:space="preserve"> (1961) 30 DLR (2d) 527</w:t>
      </w:r>
      <w:r>
        <w:t xml:space="preserve">, </w:t>
      </w:r>
      <w:r w:rsidRPr="00F7031A">
        <w:t xml:space="preserve">Newfoundland Supreme Court, </w:t>
      </w:r>
      <w:proofErr w:type="spellStart"/>
      <w:r w:rsidRPr="00F7031A">
        <w:t>Dunfield</w:t>
      </w:r>
      <w:proofErr w:type="spellEnd"/>
      <w:r w:rsidRPr="00F7031A">
        <w:t xml:space="preserve"> J, 536-537</w:t>
      </w:r>
      <w:r>
        <w:t>.</w:t>
      </w:r>
    </w:p>
  </w:footnote>
  <w:footnote w:id="62">
    <w:p w14:paraId="3FAFAF97" w14:textId="53737832" w:rsidR="0056761C" w:rsidRPr="00844081" w:rsidRDefault="0056761C" w:rsidP="00D32560">
      <w:pPr>
        <w:pStyle w:val="FootnoteText"/>
      </w:pPr>
      <w:r w:rsidRPr="00844081">
        <w:rPr>
          <w:rStyle w:val="FootnoteReference"/>
          <w:vertAlign w:val="baseline"/>
        </w:rPr>
        <w:footnoteRef/>
      </w:r>
      <w:r w:rsidRPr="00844081">
        <w:t xml:space="preserve"> </w:t>
      </w:r>
      <w:r w:rsidRPr="00844081">
        <w:tab/>
      </w:r>
      <w:r w:rsidRPr="005C4325">
        <w:t xml:space="preserve">Denman CJ </w:t>
      </w:r>
      <w:r>
        <w:t>(</w:t>
      </w:r>
      <w:r w:rsidRPr="005C4325">
        <w:t>dissent</w:t>
      </w:r>
      <w:r>
        <w:t>ing)</w:t>
      </w:r>
      <w:r w:rsidRPr="005C4325">
        <w:t xml:space="preserve"> said</w:t>
      </w:r>
      <w:r>
        <w:t>, at 672-673, ‘</w:t>
      </w:r>
      <w:r w:rsidRPr="0098273C">
        <w:t>A company unlawfully obstructed a public way for their own profit, extorting money from passengers, and hiring police</w:t>
      </w:r>
      <w:r>
        <w:t>men to effect this purpose. The</w:t>
      </w:r>
      <w:r w:rsidRPr="0098273C">
        <w:t xml:space="preserve"> plaintiff, wishing to exercise his right of way, is s</w:t>
      </w:r>
      <w:r>
        <w:t>topped by force, and ordered to</w:t>
      </w:r>
      <w:r w:rsidRPr="0098273C">
        <w:t xml:space="preserve"> move in a direction which he wished not to take. He is told at the same time that a force is at hand ready to compel his submission.</w:t>
      </w:r>
      <w:r>
        <w:t>’ Denman CJ thought that tortious, adding that</w:t>
      </w:r>
      <w:r w:rsidRPr="005C4325">
        <w:t xml:space="preserve"> he ‘had no idea…any particular boundary [was] necessary to constitute imprisonment</w:t>
      </w:r>
      <w:r>
        <w:t xml:space="preserve">.’ </w:t>
      </w:r>
    </w:p>
  </w:footnote>
  <w:footnote w:id="63">
    <w:p w14:paraId="4D5467B2" w14:textId="1771BC12" w:rsidR="0056761C" w:rsidRDefault="0056761C">
      <w:pPr>
        <w:pStyle w:val="FootnoteText"/>
      </w:pPr>
      <w:r w:rsidRPr="007E5EF0">
        <w:rPr>
          <w:rStyle w:val="FootnoteReference"/>
          <w:vertAlign w:val="baseline"/>
        </w:rPr>
        <w:footnoteRef/>
      </w:r>
      <w:r w:rsidRPr="007E5EF0">
        <w:t xml:space="preserve"> </w:t>
      </w:r>
      <w:r>
        <w:tab/>
      </w:r>
      <w:r w:rsidRPr="007E5EF0">
        <w:rPr>
          <w:bCs/>
        </w:rPr>
        <w:t xml:space="preserve">[2018] EWCA </w:t>
      </w:r>
      <w:proofErr w:type="spellStart"/>
      <w:r w:rsidRPr="007E5EF0">
        <w:rPr>
          <w:bCs/>
        </w:rPr>
        <w:t>Civ</w:t>
      </w:r>
      <w:proofErr w:type="spellEnd"/>
      <w:r w:rsidRPr="007E5EF0">
        <w:rPr>
          <w:bCs/>
        </w:rPr>
        <w:t xml:space="preserve"> 1260 [81].</w:t>
      </w:r>
      <w:r>
        <w:rPr>
          <w:bCs/>
        </w:rPr>
        <w:t xml:space="preserve"> The suggestion that the conceptions of tortious ‘imprisonment’ and of ‘deprivation of liberty’ under Article 5 ECHR should be ‘aligned’ was noted at [27]-[33] but left for another day. See also </w:t>
      </w:r>
      <w:proofErr w:type="spellStart"/>
      <w:r>
        <w:rPr>
          <w:bCs/>
        </w:rPr>
        <w:t>Edis</w:t>
      </w:r>
      <w:proofErr w:type="spellEnd"/>
      <w:r>
        <w:rPr>
          <w:bCs/>
        </w:rPr>
        <w:t xml:space="preserve"> J, </w:t>
      </w:r>
      <w:r w:rsidRPr="00AA0C06">
        <w:rPr>
          <w:bCs/>
          <w:i/>
        </w:rPr>
        <w:t>R (</w:t>
      </w:r>
      <w:proofErr w:type="spellStart"/>
      <w:r w:rsidRPr="00AA0C06">
        <w:rPr>
          <w:bCs/>
          <w:i/>
        </w:rPr>
        <w:t>Gedi</w:t>
      </w:r>
      <w:proofErr w:type="spellEnd"/>
      <w:r w:rsidRPr="00AA0C06">
        <w:rPr>
          <w:bCs/>
          <w:i/>
        </w:rPr>
        <w:t>)</w:t>
      </w:r>
      <w:r w:rsidRPr="00AA0C06">
        <w:rPr>
          <w:bCs/>
        </w:rPr>
        <w:t xml:space="preserve"> v. </w:t>
      </w:r>
      <w:r w:rsidRPr="00AA0C06">
        <w:rPr>
          <w:bCs/>
          <w:i/>
        </w:rPr>
        <w:t>Secretary of State for the Home Department</w:t>
      </w:r>
      <w:r w:rsidRPr="00AA0C06">
        <w:rPr>
          <w:bCs/>
        </w:rPr>
        <w:t xml:space="preserve"> [2015] EWHC 2786 (Admin) [67].</w:t>
      </w:r>
    </w:p>
  </w:footnote>
  <w:footnote w:id="64">
    <w:p w14:paraId="0B6AFC82" w14:textId="77777777" w:rsidR="0056761C" w:rsidRPr="007C5C90" w:rsidRDefault="0056761C" w:rsidP="00742F4A">
      <w:pPr>
        <w:pStyle w:val="FootnoteText"/>
      </w:pPr>
      <w:r w:rsidRPr="00816DE1">
        <w:rPr>
          <w:rStyle w:val="FootnoteReference"/>
          <w:vertAlign w:val="baseline"/>
        </w:rPr>
        <w:footnoteRef/>
      </w:r>
      <w:r w:rsidRPr="00816DE1">
        <w:t xml:space="preserve"> </w:t>
      </w:r>
      <w:r>
        <w:tab/>
        <w:t>PS</w:t>
      </w:r>
      <w:r w:rsidRPr="00F7031A">
        <w:t xml:space="preserve"> Atiyah, </w:t>
      </w:r>
      <w:r w:rsidRPr="00F7031A">
        <w:rPr>
          <w:i/>
        </w:rPr>
        <w:t>The Rise and Fall of Freedom of Contract</w:t>
      </w:r>
      <w:r w:rsidRPr="00F7031A">
        <w:t xml:space="preserve"> (Oxford: OUP Clarendon, 1979) </w:t>
      </w:r>
      <w:r>
        <w:t xml:space="preserve">117, 148. At 139, Atiyah acknowledges reliance on AWB Simpson, </w:t>
      </w:r>
      <w:r w:rsidRPr="007C5C90">
        <w:rPr>
          <w:i/>
        </w:rPr>
        <w:t xml:space="preserve">History of the Common </w:t>
      </w:r>
      <w:r>
        <w:rPr>
          <w:i/>
        </w:rPr>
        <w:t>L</w:t>
      </w:r>
      <w:r w:rsidRPr="007C5C90">
        <w:rPr>
          <w:i/>
        </w:rPr>
        <w:t>aw of Contract</w:t>
      </w:r>
      <w:r>
        <w:rPr>
          <w:i/>
        </w:rPr>
        <w:t xml:space="preserve"> </w:t>
      </w:r>
      <w:r>
        <w:t>(Oxford: OUP Clarendon, 1987).</w:t>
      </w:r>
    </w:p>
  </w:footnote>
  <w:footnote w:id="65">
    <w:p w14:paraId="2265CB30" w14:textId="77777777" w:rsidR="0056761C" w:rsidRDefault="0056761C" w:rsidP="00742F4A">
      <w:pPr>
        <w:pStyle w:val="FootnoteText"/>
      </w:pPr>
      <w:r w:rsidRPr="0024670D">
        <w:rPr>
          <w:rStyle w:val="FootnoteReference"/>
          <w:vertAlign w:val="baseline"/>
        </w:rPr>
        <w:footnoteRef/>
      </w:r>
      <w:r>
        <w:t xml:space="preserve"> </w:t>
      </w:r>
      <w:r>
        <w:tab/>
      </w:r>
      <w:r w:rsidRPr="00CE3A3F">
        <w:rPr>
          <w:i/>
        </w:rPr>
        <w:t>Op. cit.</w:t>
      </w:r>
      <w:r>
        <w:t xml:space="preserve"> 149.</w:t>
      </w:r>
    </w:p>
  </w:footnote>
  <w:footnote w:id="66">
    <w:p w14:paraId="3630C09D" w14:textId="77777777" w:rsidR="0056761C" w:rsidRPr="00120410" w:rsidRDefault="0056761C" w:rsidP="00742F4A">
      <w:pPr>
        <w:pStyle w:val="FootnoteText"/>
      </w:pPr>
      <w:r w:rsidRPr="00C139AF">
        <w:rPr>
          <w:rStyle w:val="FootnoteReference"/>
          <w:vertAlign w:val="baseline"/>
        </w:rPr>
        <w:footnoteRef/>
      </w:r>
      <w:r w:rsidRPr="00C139AF">
        <w:t xml:space="preserve"> </w:t>
      </w:r>
      <w:r>
        <w:tab/>
        <w:t xml:space="preserve">Roughly from </w:t>
      </w:r>
      <w:proofErr w:type="spellStart"/>
      <w:r w:rsidRPr="00C139AF">
        <w:rPr>
          <w:i/>
        </w:rPr>
        <w:t>Rann</w:t>
      </w:r>
      <w:proofErr w:type="spellEnd"/>
      <w:r>
        <w:t xml:space="preserve"> v. </w:t>
      </w:r>
      <w:r w:rsidRPr="00C139AF">
        <w:rPr>
          <w:i/>
        </w:rPr>
        <w:t>Hughes</w:t>
      </w:r>
      <w:r>
        <w:t xml:space="preserve"> (1778) </w:t>
      </w:r>
      <w:r w:rsidRPr="00C139AF">
        <w:t>101 ER 1013</w:t>
      </w:r>
      <w:r>
        <w:t xml:space="preserve">, putting paid to Lord Mansfield’s notion that, along with writing, consideration should be conceived as evidence that an undertaking was sufficiently serious to justify its enforcement: </w:t>
      </w:r>
      <w:proofErr w:type="spellStart"/>
      <w:r>
        <w:rPr>
          <w:i/>
        </w:rPr>
        <w:t>Pi</w:t>
      </w:r>
      <w:r w:rsidRPr="00120410">
        <w:rPr>
          <w:i/>
        </w:rPr>
        <w:t>llens</w:t>
      </w:r>
      <w:proofErr w:type="spellEnd"/>
      <w:r>
        <w:rPr>
          <w:i/>
        </w:rPr>
        <w:t xml:space="preserve"> and Rose</w:t>
      </w:r>
      <w:r>
        <w:t xml:space="preserve"> v. </w:t>
      </w:r>
      <w:r w:rsidRPr="00120410">
        <w:rPr>
          <w:i/>
        </w:rPr>
        <w:t xml:space="preserve">Van </w:t>
      </w:r>
      <w:proofErr w:type="spellStart"/>
      <w:r w:rsidRPr="00120410">
        <w:rPr>
          <w:i/>
        </w:rPr>
        <w:t>Mierop</w:t>
      </w:r>
      <w:proofErr w:type="spellEnd"/>
      <w:r w:rsidRPr="00120410">
        <w:rPr>
          <w:i/>
        </w:rPr>
        <w:t xml:space="preserve"> and Hopkins</w:t>
      </w:r>
      <w:r>
        <w:rPr>
          <w:i/>
        </w:rPr>
        <w:t xml:space="preserve"> </w:t>
      </w:r>
      <w:r>
        <w:t xml:space="preserve">(1765) </w:t>
      </w:r>
      <w:r w:rsidRPr="00CE3A3F">
        <w:t>97 ER 1035</w:t>
      </w:r>
      <w:r>
        <w:t>: ‘</w:t>
      </w:r>
      <w:r w:rsidRPr="00B91FC6">
        <w:t>In commercial cases amongst merchants, the want of consideration is not an objection.</w:t>
      </w:r>
      <w:r>
        <w:t>’</w:t>
      </w:r>
    </w:p>
  </w:footnote>
  <w:footnote w:id="67">
    <w:p w14:paraId="075A0827" w14:textId="3999672A" w:rsidR="0056761C" w:rsidRDefault="0056761C" w:rsidP="00742F4A">
      <w:pPr>
        <w:pStyle w:val="FootnoteText"/>
      </w:pPr>
      <w:r w:rsidRPr="000C67D0">
        <w:rPr>
          <w:rStyle w:val="FootnoteReference"/>
          <w:vertAlign w:val="baseline"/>
        </w:rPr>
        <w:footnoteRef/>
      </w:r>
      <w:r w:rsidRPr="000C67D0">
        <w:t xml:space="preserve"> </w:t>
      </w:r>
      <w:r>
        <w:tab/>
      </w:r>
      <w:bookmarkStart w:id="17" w:name="_Hlk522000393"/>
      <w:r>
        <w:t xml:space="preserve">PS Atiyah, </w:t>
      </w:r>
      <w:r w:rsidRPr="000C67D0">
        <w:rPr>
          <w:i/>
        </w:rPr>
        <w:t>Essays</w:t>
      </w:r>
      <w:bookmarkEnd w:id="17"/>
      <w:r w:rsidRPr="00BB7188">
        <w:t>,</w:t>
      </w:r>
      <w:r>
        <w:rPr>
          <w:i/>
        </w:rPr>
        <w:t xml:space="preserve"> </w:t>
      </w:r>
      <w:r w:rsidRPr="00BB7188">
        <w:t xml:space="preserve">note </w:t>
      </w:r>
      <w:r w:rsidRPr="00BB7188">
        <w:fldChar w:fldCharType="begin"/>
      </w:r>
      <w:r w:rsidRPr="00BB7188">
        <w:instrText xml:space="preserve"> NOTEREF _Ref522004239 \h </w:instrText>
      </w:r>
      <w:r>
        <w:instrText xml:space="preserve"> \* MERGEFORMAT </w:instrText>
      </w:r>
      <w:r w:rsidRPr="00BB7188">
        <w:fldChar w:fldCharType="separate"/>
      </w:r>
      <w:r>
        <w:t>13</w:t>
      </w:r>
      <w:r w:rsidRPr="00BB7188">
        <w:fldChar w:fldCharType="end"/>
      </w:r>
      <w:r w:rsidRPr="00BB7188">
        <w:t xml:space="preserve"> above,</w:t>
      </w:r>
      <w:r>
        <w:rPr>
          <w:i/>
        </w:rPr>
        <w:t xml:space="preserve"> </w:t>
      </w:r>
      <w:r>
        <w:t xml:space="preserve">185. See also SFC Milsom, </w:t>
      </w:r>
      <w:r w:rsidRPr="003B50D3">
        <w:rPr>
          <w:i/>
        </w:rPr>
        <w:t>Historical Foundations of the Common Law</w:t>
      </w:r>
      <w:r>
        <w:t xml:space="preserve"> (London: Butterworths, 2</w:t>
      </w:r>
      <w:r w:rsidRPr="003B50D3">
        <w:rPr>
          <w:vertAlign w:val="superscript"/>
        </w:rPr>
        <w:t>nd</w:t>
      </w:r>
      <w:r>
        <w:t xml:space="preserve"> </w:t>
      </w:r>
      <w:proofErr w:type="spellStart"/>
      <w:r>
        <w:t>edn</w:t>
      </w:r>
      <w:proofErr w:type="spellEnd"/>
      <w:r>
        <w:t>., 1981) 358, ‘[W]</w:t>
      </w:r>
      <w:proofErr w:type="spellStart"/>
      <w:r>
        <w:t>ith</w:t>
      </w:r>
      <w:proofErr w:type="spellEnd"/>
      <w:r>
        <w:t xml:space="preserve"> this subject as with many others we have tried to be too precise, to trace the later meaning back to some single source; and…supposing that even in the later law the word had a meaning in the sense of representing an idea.’ And, at 360, ‘[Consideration] has always been just the label on a package containing many of the separate rules about the liabilities that may arise in the context of a transaction’.</w:t>
      </w:r>
    </w:p>
  </w:footnote>
  <w:footnote w:id="68">
    <w:p w14:paraId="23F76DBA" w14:textId="1D58D13D" w:rsidR="0056761C" w:rsidRPr="00C81676" w:rsidRDefault="0056761C" w:rsidP="00C253DC">
      <w:pPr>
        <w:pStyle w:val="Referencelist"/>
        <w:spacing w:after="60" w:line="312" w:lineRule="auto"/>
        <w:rPr>
          <w:rFonts w:ascii="Calibri Light" w:hAnsi="Calibri Light"/>
          <w:sz w:val="20"/>
        </w:rPr>
      </w:pPr>
      <w:r w:rsidRPr="00C81676">
        <w:rPr>
          <w:rStyle w:val="FootnoteReference"/>
          <w:rFonts w:ascii="Calibri Light" w:hAnsi="Calibri Light"/>
          <w:sz w:val="20"/>
          <w:vertAlign w:val="baseline"/>
        </w:rPr>
        <w:footnoteRef/>
      </w:r>
      <w:r w:rsidRPr="00C81676">
        <w:rPr>
          <w:rFonts w:ascii="Calibri Light" w:hAnsi="Calibri Light"/>
          <w:sz w:val="20"/>
        </w:rPr>
        <w:t xml:space="preserve"> </w:t>
      </w:r>
      <w:r w:rsidRPr="00C81676">
        <w:rPr>
          <w:rFonts w:ascii="Calibri Light" w:hAnsi="Calibri Light"/>
          <w:sz w:val="20"/>
        </w:rPr>
        <w:tab/>
      </w:r>
      <w:r w:rsidRPr="00C81676">
        <w:rPr>
          <w:rFonts w:ascii="Calibri Light" w:hAnsi="Calibri Light"/>
          <w:sz w:val="20"/>
          <w:lang w:eastAsia="en-GB"/>
        </w:rPr>
        <w:t xml:space="preserve">Sir Henry Maine, </w:t>
      </w:r>
      <w:r w:rsidRPr="00C253DC">
        <w:rPr>
          <w:rFonts w:ascii="Calibri Light" w:hAnsi="Calibri Light"/>
          <w:i/>
          <w:sz w:val="20"/>
          <w:lang w:eastAsia="en-GB"/>
        </w:rPr>
        <w:t>Dissertations on Early Law and Customs</w:t>
      </w:r>
      <w:r w:rsidRPr="00C81676">
        <w:rPr>
          <w:rFonts w:ascii="Calibri Light" w:hAnsi="Calibri Light"/>
          <w:sz w:val="20"/>
          <w:lang w:eastAsia="en-GB"/>
        </w:rPr>
        <w:t xml:space="preserve"> </w:t>
      </w:r>
      <w:r>
        <w:rPr>
          <w:rFonts w:ascii="Calibri Light" w:hAnsi="Calibri Light"/>
          <w:sz w:val="20"/>
          <w:lang w:eastAsia="en-GB"/>
        </w:rPr>
        <w:t>(</w:t>
      </w:r>
      <w:r w:rsidRPr="00C81676">
        <w:rPr>
          <w:rFonts w:ascii="Calibri Light" w:hAnsi="Calibri Light"/>
          <w:sz w:val="20"/>
          <w:lang w:eastAsia="en-GB"/>
        </w:rPr>
        <w:t>London: Murray, 1883) 362-363</w:t>
      </w:r>
      <w:r>
        <w:rPr>
          <w:rFonts w:ascii="Calibri Light" w:hAnsi="Calibri Light"/>
          <w:sz w:val="20"/>
          <w:lang w:eastAsia="en-GB"/>
        </w:rPr>
        <w:t xml:space="preserve">, </w:t>
      </w:r>
      <w:r w:rsidRPr="00C81676">
        <w:rPr>
          <w:rFonts w:ascii="Calibri Light" w:hAnsi="Calibri Light"/>
          <w:sz w:val="20"/>
          <w:lang w:eastAsia="en-GB"/>
        </w:rPr>
        <w:t>cited by Samuel</w:t>
      </w:r>
      <w:r>
        <w:rPr>
          <w:rFonts w:ascii="Calibri Light" w:hAnsi="Calibri Light"/>
          <w:sz w:val="20"/>
          <w:lang w:eastAsia="en-GB"/>
        </w:rPr>
        <w:t xml:space="preserve">, note </w:t>
      </w:r>
      <w:r>
        <w:rPr>
          <w:rFonts w:ascii="Calibri Light" w:hAnsi="Calibri Light"/>
          <w:sz w:val="20"/>
          <w:lang w:eastAsia="en-GB"/>
        </w:rPr>
        <w:fldChar w:fldCharType="begin"/>
      </w:r>
      <w:r>
        <w:rPr>
          <w:rFonts w:ascii="Calibri Light" w:hAnsi="Calibri Light"/>
          <w:sz w:val="20"/>
          <w:lang w:eastAsia="en-GB"/>
        </w:rPr>
        <w:instrText xml:space="preserve"> NOTEREF _Ref522784248 \h  \* MERGEFORMAT </w:instrText>
      </w:r>
      <w:r>
        <w:rPr>
          <w:rFonts w:ascii="Calibri Light" w:hAnsi="Calibri Light"/>
          <w:sz w:val="20"/>
          <w:lang w:eastAsia="en-GB"/>
        </w:rPr>
      </w:r>
      <w:r>
        <w:rPr>
          <w:rFonts w:ascii="Calibri Light" w:hAnsi="Calibri Light"/>
          <w:sz w:val="20"/>
          <w:lang w:eastAsia="en-GB"/>
        </w:rPr>
        <w:fldChar w:fldCharType="separate"/>
      </w:r>
      <w:r>
        <w:rPr>
          <w:rFonts w:ascii="Calibri Light" w:hAnsi="Calibri Light"/>
          <w:sz w:val="20"/>
          <w:lang w:eastAsia="en-GB"/>
        </w:rPr>
        <w:t>14</w:t>
      </w:r>
      <w:r>
        <w:rPr>
          <w:rFonts w:ascii="Calibri Light" w:hAnsi="Calibri Light"/>
          <w:sz w:val="20"/>
          <w:lang w:eastAsia="en-GB"/>
        </w:rPr>
        <w:fldChar w:fldCharType="end"/>
      </w:r>
      <w:r>
        <w:rPr>
          <w:rFonts w:ascii="Calibri Light" w:hAnsi="Calibri Light"/>
          <w:sz w:val="20"/>
          <w:lang w:eastAsia="en-GB"/>
        </w:rPr>
        <w:t xml:space="preserve">, </w:t>
      </w:r>
      <w:r w:rsidRPr="00C81676">
        <w:rPr>
          <w:rFonts w:ascii="Calibri Light" w:hAnsi="Calibri Light"/>
          <w:sz w:val="20"/>
          <w:lang w:eastAsia="en-GB"/>
        </w:rPr>
        <w:t>456</w:t>
      </w:r>
      <w:r>
        <w:rPr>
          <w:rFonts w:ascii="Calibri Light" w:hAnsi="Calibri Light"/>
          <w:sz w:val="20"/>
          <w:lang w:eastAsia="en-GB"/>
        </w:rPr>
        <w:t>.</w:t>
      </w:r>
    </w:p>
  </w:footnote>
  <w:footnote w:id="69">
    <w:p w14:paraId="3CDF7D10" w14:textId="3C972C6C" w:rsidR="0056761C" w:rsidRPr="00F7031A" w:rsidRDefault="0056761C" w:rsidP="00C253DC">
      <w:pPr>
        <w:pStyle w:val="FootnoteText"/>
      </w:pPr>
      <w:r w:rsidRPr="00F7031A">
        <w:rPr>
          <w:rStyle w:val="FootnoteReference"/>
          <w:vertAlign w:val="baseline"/>
        </w:rPr>
        <w:footnoteRef/>
      </w:r>
      <w:r w:rsidRPr="00F7031A">
        <w:t xml:space="preserve"> </w:t>
      </w:r>
      <w:r w:rsidRPr="00F7031A">
        <w:tab/>
      </w:r>
      <w:r>
        <w:t xml:space="preserve">See: </w:t>
      </w:r>
      <w:r w:rsidRPr="00C81676">
        <w:t>Samuel</w:t>
      </w:r>
      <w:r>
        <w:t xml:space="preserve">, note </w:t>
      </w:r>
      <w:r>
        <w:fldChar w:fldCharType="begin"/>
      </w:r>
      <w:r>
        <w:instrText xml:space="preserve"> NOTEREF _Ref522784248 \h  \* MERGEFORMAT </w:instrText>
      </w:r>
      <w:r>
        <w:fldChar w:fldCharType="separate"/>
      </w:r>
      <w:r>
        <w:t>14</w:t>
      </w:r>
      <w:r>
        <w:fldChar w:fldCharType="end"/>
      </w:r>
      <w:r>
        <w:t xml:space="preserve">; Harold </w:t>
      </w:r>
      <w:r w:rsidRPr="00C253DC">
        <w:t xml:space="preserve">Berman, ’The Origins of Western Legal Science’ (1977) 90 </w:t>
      </w:r>
      <w:r w:rsidRPr="00C253DC">
        <w:rPr>
          <w:i/>
        </w:rPr>
        <w:t>Harvard Law Review</w:t>
      </w:r>
      <w:r w:rsidRPr="00C253DC">
        <w:t xml:space="preserve"> 894-943;</w:t>
      </w:r>
      <w:r>
        <w:t xml:space="preserve"> and</w:t>
      </w:r>
      <w:r w:rsidRPr="00F7031A">
        <w:t xml:space="preserve"> Dan Robinson, </w:t>
      </w:r>
      <w:r w:rsidRPr="00F7031A">
        <w:rPr>
          <w:i/>
        </w:rPr>
        <w:t>The Broader Philosophical context</w:t>
      </w:r>
      <w:r w:rsidRPr="00F7031A">
        <w:t xml:space="preserve">, </w:t>
      </w:r>
      <w:r>
        <w:t>in which</w:t>
      </w:r>
      <w:r w:rsidRPr="00F7031A">
        <w:t xml:space="preserve"> ‘science’ as it would be understood at the close of the eighteenth century is characterised as ‘a systematic body of principles on which one can ground truths that are at once universal and necessary’ (https://podcasts.ox.ac.uk/broader-philosophical-context, visited 30 July 2018).</w:t>
      </w:r>
    </w:p>
  </w:footnote>
  <w:footnote w:id="70">
    <w:p w14:paraId="64CDA5CD" w14:textId="77777777" w:rsidR="0056761C" w:rsidRPr="00F7031A" w:rsidRDefault="0056761C" w:rsidP="00742F4A">
      <w:pPr>
        <w:pStyle w:val="FootnoteText"/>
      </w:pPr>
      <w:r w:rsidRPr="00F7031A">
        <w:rPr>
          <w:rStyle w:val="FootnoteReference"/>
          <w:vertAlign w:val="baseline"/>
        </w:rPr>
        <w:footnoteRef/>
      </w:r>
      <w:r w:rsidRPr="00F7031A">
        <w:t xml:space="preserve"> </w:t>
      </w:r>
      <w:r w:rsidRPr="00F7031A">
        <w:tab/>
        <w:t xml:space="preserve">Alfred, Lord Tennyson, in ‘Aylmer’s Fields’ in his </w:t>
      </w:r>
      <w:r w:rsidRPr="00F7031A">
        <w:rPr>
          <w:i/>
        </w:rPr>
        <w:t>Enoch Arden</w:t>
      </w:r>
      <w:r w:rsidRPr="00F7031A">
        <w:t xml:space="preserve"> (London: </w:t>
      </w:r>
      <w:proofErr w:type="spellStart"/>
      <w:r w:rsidRPr="00F7031A">
        <w:t>Moxon</w:t>
      </w:r>
      <w:proofErr w:type="spellEnd"/>
      <w:r w:rsidRPr="00F7031A">
        <w:t>, 1891)</w:t>
      </w:r>
      <w:r>
        <w:t>.</w:t>
      </w:r>
      <w:r w:rsidRPr="00F7031A">
        <w:rPr>
          <w:rFonts w:ascii="Arial Nova Cond" w:hAnsi="Arial Nova Cond"/>
        </w:rPr>
        <w:t xml:space="preserve"> </w:t>
      </w:r>
      <w:r w:rsidRPr="00F7031A">
        <w:t>The full passage reads: ‘Mastering the lawless science of our law, / That codeless myriad of precedent, / That wilderness of single instances, / Thro' whi</w:t>
      </w:r>
      <w:r>
        <w:t xml:space="preserve">ch a few, by wit or fortune led/ </w:t>
      </w:r>
      <w:r w:rsidRPr="00F70736">
        <w:t>May beat a</w:t>
      </w:r>
      <w:r>
        <w:t xml:space="preserve"> pathway out to wealth and fame</w:t>
      </w:r>
      <w:r w:rsidRPr="00F7031A">
        <w:t>.</w:t>
      </w:r>
      <w:r>
        <w:t>’</w:t>
      </w:r>
    </w:p>
  </w:footnote>
  <w:footnote w:id="71">
    <w:p w14:paraId="405EA541" w14:textId="740961EE" w:rsidR="0056761C" w:rsidRDefault="0056761C" w:rsidP="00CF0C4A">
      <w:pPr>
        <w:spacing w:after="60"/>
        <w:ind w:left="720" w:hanging="720"/>
        <w:rPr>
          <w:rFonts w:ascii="Nyala" w:hAnsi="Nyala" w:cs="Times New Roman"/>
          <w:sz w:val="20"/>
          <w:szCs w:val="18"/>
          <w:lang w:eastAsia="en-US"/>
        </w:rPr>
      </w:pPr>
      <w:r w:rsidRPr="00EC49F8">
        <w:rPr>
          <w:rStyle w:val="FootnoteReference"/>
          <w:rFonts w:cs="Times New Roman"/>
          <w:szCs w:val="18"/>
          <w:vertAlign w:val="baseline"/>
        </w:rPr>
        <w:footnoteRef/>
      </w:r>
      <w:r w:rsidRPr="00EC49F8">
        <w:rPr>
          <w:rFonts w:cs="Times New Roman"/>
          <w:szCs w:val="18"/>
        </w:rPr>
        <w:t xml:space="preserve"> </w:t>
      </w:r>
      <w:r>
        <w:rPr>
          <w:rFonts w:cs="Times New Roman"/>
          <w:szCs w:val="18"/>
        </w:rPr>
        <w:tab/>
      </w:r>
      <w:r w:rsidRPr="00E9092B">
        <w:rPr>
          <w:sz w:val="20"/>
          <w:szCs w:val="20"/>
        </w:rPr>
        <w:t xml:space="preserve">Berman, note </w:t>
      </w:r>
      <w:r w:rsidRPr="00E9092B">
        <w:rPr>
          <w:sz w:val="20"/>
          <w:szCs w:val="20"/>
        </w:rPr>
        <w:fldChar w:fldCharType="begin"/>
      </w:r>
      <w:r w:rsidRPr="00E9092B">
        <w:rPr>
          <w:sz w:val="20"/>
          <w:szCs w:val="20"/>
        </w:rPr>
        <w:instrText xml:space="preserve"> NOTEREF _Ref522785091 \h </w:instrText>
      </w:r>
      <w:r>
        <w:rPr>
          <w:sz w:val="20"/>
          <w:szCs w:val="20"/>
        </w:rPr>
        <w:instrText xml:space="preserve"> \* MERGEFORMAT </w:instrText>
      </w:r>
      <w:r w:rsidRPr="00E9092B">
        <w:rPr>
          <w:sz w:val="20"/>
          <w:szCs w:val="20"/>
        </w:rPr>
      </w:r>
      <w:r w:rsidRPr="00E9092B">
        <w:rPr>
          <w:sz w:val="20"/>
          <w:szCs w:val="20"/>
        </w:rPr>
        <w:fldChar w:fldCharType="separate"/>
      </w:r>
      <w:r>
        <w:rPr>
          <w:sz w:val="20"/>
          <w:szCs w:val="20"/>
        </w:rPr>
        <w:t>68</w:t>
      </w:r>
      <w:r w:rsidRPr="00E9092B">
        <w:rPr>
          <w:sz w:val="20"/>
          <w:szCs w:val="20"/>
        </w:rPr>
        <w:fldChar w:fldCharType="end"/>
      </w:r>
      <w:r w:rsidRPr="00E9092B">
        <w:rPr>
          <w:sz w:val="20"/>
          <w:szCs w:val="20"/>
        </w:rPr>
        <w:t>, 942</w:t>
      </w:r>
      <w:r>
        <w:t xml:space="preserve">. </w:t>
      </w:r>
      <w:r w:rsidRPr="00EC49F8">
        <w:rPr>
          <w:sz w:val="20"/>
          <w:szCs w:val="20"/>
        </w:rPr>
        <w:t>See also: Samuel</w:t>
      </w:r>
      <w:r>
        <w:rPr>
          <w:sz w:val="20"/>
          <w:szCs w:val="20"/>
        </w:rPr>
        <w:t xml:space="preserve"> note</w:t>
      </w:r>
      <w:r w:rsidRPr="00EC49F8">
        <w:rPr>
          <w:sz w:val="20"/>
          <w:szCs w:val="20"/>
        </w:rPr>
        <w:t xml:space="preserve"> </w:t>
      </w:r>
      <w:r>
        <w:rPr>
          <w:sz w:val="20"/>
          <w:szCs w:val="20"/>
        </w:rPr>
        <w:fldChar w:fldCharType="begin"/>
      </w:r>
      <w:r>
        <w:rPr>
          <w:sz w:val="20"/>
          <w:szCs w:val="20"/>
        </w:rPr>
        <w:instrText xml:space="preserve"> NOTEREF _Ref522784248 \h </w:instrText>
      </w:r>
      <w:r>
        <w:rPr>
          <w:sz w:val="20"/>
          <w:szCs w:val="20"/>
        </w:rPr>
      </w:r>
      <w:r>
        <w:rPr>
          <w:sz w:val="20"/>
          <w:szCs w:val="20"/>
        </w:rPr>
        <w:fldChar w:fldCharType="separate"/>
      </w:r>
      <w:r>
        <w:rPr>
          <w:sz w:val="20"/>
          <w:szCs w:val="20"/>
        </w:rPr>
        <w:t>14</w:t>
      </w:r>
      <w:r>
        <w:rPr>
          <w:sz w:val="20"/>
          <w:szCs w:val="20"/>
        </w:rPr>
        <w:fldChar w:fldCharType="end"/>
      </w:r>
      <w:r>
        <w:rPr>
          <w:sz w:val="20"/>
          <w:szCs w:val="20"/>
        </w:rPr>
        <w:t xml:space="preserve">, 455-456. Witt, </w:t>
      </w:r>
      <w:r w:rsidRPr="00E9092B">
        <w:rPr>
          <w:sz w:val="20"/>
          <w:szCs w:val="20"/>
        </w:rPr>
        <w:t xml:space="preserve">note </w:t>
      </w:r>
      <w:r w:rsidRPr="00E9092B">
        <w:rPr>
          <w:sz w:val="20"/>
          <w:szCs w:val="20"/>
        </w:rPr>
        <w:fldChar w:fldCharType="begin"/>
      </w:r>
      <w:r w:rsidRPr="00E9092B">
        <w:rPr>
          <w:sz w:val="20"/>
          <w:szCs w:val="20"/>
        </w:rPr>
        <w:instrText xml:space="preserve"> NOTEREF _Ref522441328 \h </w:instrText>
      </w:r>
      <w:r>
        <w:rPr>
          <w:sz w:val="20"/>
          <w:szCs w:val="20"/>
        </w:rPr>
        <w:instrText xml:space="preserve"> \* MERGEFORMAT </w:instrText>
      </w:r>
      <w:r w:rsidRPr="00E9092B">
        <w:rPr>
          <w:sz w:val="20"/>
          <w:szCs w:val="20"/>
        </w:rPr>
      </w:r>
      <w:r w:rsidRPr="00E9092B">
        <w:rPr>
          <w:sz w:val="20"/>
          <w:szCs w:val="20"/>
        </w:rPr>
        <w:fldChar w:fldCharType="separate"/>
      </w:r>
      <w:r>
        <w:rPr>
          <w:sz w:val="20"/>
          <w:szCs w:val="20"/>
        </w:rPr>
        <w:t>9</w:t>
      </w:r>
      <w:r w:rsidRPr="00E9092B">
        <w:rPr>
          <w:sz w:val="20"/>
          <w:szCs w:val="20"/>
        </w:rPr>
        <w:fldChar w:fldCharType="end"/>
      </w:r>
      <w:r w:rsidRPr="00E9092B">
        <w:rPr>
          <w:sz w:val="20"/>
          <w:szCs w:val="20"/>
        </w:rPr>
        <w:t>, 7</w:t>
      </w:r>
      <w:r>
        <w:rPr>
          <w:sz w:val="20"/>
          <w:szCs w:val="20"/>
        </w:rPr>
        <w:t xml:space="preserve">, </w:t>
      </w:r>
      <w:r w:rsidRPr="00EC49F8">
        <w:rPr>
          <w:sz w:val="20"/>
          <w:szCs w:val="20"/>
        </w:rPr>
        <w:t>comments ironically, ‘The law professor’s work is to identify the general patterns and the salient facts, to jettison</w:t>
      </w:r>
      <w:r>
        <w:rPr>
          <w:sz w:val="20"/>
          <w:szCs w:val="20"/>
        </w:rPr>
        <w:t xml:space="preserve"> the accidental and irrelevant’.</w:t>
      </w:r>
    </w:p>
  </w:footnote>
  <w:footnote w:id="72">
    <w:p w14:paraId="09F68B27" w14:textId="4B44EC91" w:rsidR="0056761C" w:rsidRPr="00317590" w:rsidRDefault="0056761C" w:rsidP="00742F4A">
      <w:pPr>
        <w:pStyle w:val="FootnoteText"/>
      </w:pPr>
      <w:r w:rsidRPr="006B3AFD">
        <w:rPr>
          <w:rStyle w:val="FootnoteReference"/>
          <w:vertAlign w:val="baseline"/>
        </w:rPr>
        <w:footnoteRef/>
      </w:r>
      <w:r w:rsidRPr="00317590">
        <w:t xml:space="preserve"> </w:t>
      </w:r>
      <w:r w:rsidRPr="00317590">
        <w:tab/>
      </w:r>
      <w:r w:rsidRPr="005956B1">
        <w:t xml:space="preserve">Sir David Hughes Parry, </w:t>
      </w:r>
      <w:r w:rsidRPr="005956B1">
        <w:rPr>
          <w:i/>
        </w:rPr>
        <w:t>The Sanctity of Contracts in English Law</w:t>
      </w:r>
      <w:r w:rsidRPr="005956B1">
        <w:t xml:space="preserve"> (London: Stevens, 1959) 71</w:t>
      </w:r>
      <w:r>
        <w:t>.</w:t>
      </w:r>
    </w:p>
  </w:footnote>
  <w:footnote w:id="73">
    <w:p w14:paraId="52451728" w14:textId="315B4EB0" w:rsidR="0056761C" w:rsidRPr="00317590" w:rsidRDefault="0056761C" w:rsidP="00742F4A">
      <w:pPr>
        <w:pStyle w:val="FootnoteText"/>
      </w:pPr>
      <w:r w:rsidRPr="005E3A9E">
        <w:rPr>
          <w:rStyle w:val="FootnoteReference"/>
          <w:vertAlign w:val="baseline"/>
        </w:rPr>
        <w:footnoteRef/>
      </w:r>
      <w:r w:rsidRPr="00317590">
        <w:t xml:space="preserve"> </w:t>
      </w:r>
      <w:r w:rsidRPr="00317590">
        <w:tab/>
      </w:r>
      <w:r>
        <w:t xml:space="preserve">See (e.g.) </w:t>
      </w:r>
      <w:r w:rsidRPr="00CF0C4A">
        <w:t xml:space="preserve">Samuel Smiles, </w:t>
      </w:r>
      <w:r w:rsidRPr="00CF0C4A">
        <w:rPr>
          <w:i/>
        </w:rPr>
        <w:t>Self Help</w:t>
      </w:r>
      <w:r w:rsidRPr="00CF0C4A">
        <w:t xml:space="preserve"> </w:t>
      </w:r>
      <w:r>
        <w:t xml:space="preserve">(London: John Murray, 1897, first published 1859) </w:t>
      </w:r>
      <w:r w:rsidRPr="00CF0C4A">
        <w:t>http://www.gutenberg.org/files/935/935-h/935-h.htm</w:t>
      </w:r>
      <w:r w:rsidRPr="005956B1">
        <w:rPr>
          <w:rStyle w:val="Hyperlink"/>
        </w:rPr>
        <w:t xml:space="preserve">. </w:t>
      </w:r>
    </w:p>
  </w:footnote>
  <w:footnote w:id="74">
    <w:p w14:paraId="3F963804" w14:textId="19D1101D" w:rsidR="0056761C" w:rsidRPr="00F7031A" w:rsidRDefault="0056761C" w:rsidP="00742F4A">
      <w:pPr>
        <w:pStyle w:val="FootnoteText"/>
      </w:pPr>
      <w:r w:rsidRPr="00F7031A">
        <w:rPr>
          <w:rStyle w:val="FootnoteReference"/>
          <w:vertAlign w:val="baseline"/>
        </w:rPr>
        <w:footnoteRef/>
      </w:r>
      <w:r w:rsidRPr="00317590">
        <w:t xml:space="preserve"> </w:t>
      </w:r>
      <w:r w:rsidRPr="00317590">
        <w:tab/>
      </w:r>
      <w:r>
        <w:t>N</w:t>
      </w:r>
      <w:r w:rsidRPr="00BB7188">
        <w:t xml:space="preserve">ote </w:t>
      </w:r>
      <w:r w:rsidRPr="00BB7188">
        <w:fldChar w:fldCharType="begin"/>
      </w:r>
      <w:r w:rsidRPr="00BB7188">
        <w:instrText xml:space="preserve"> NOTEREF _Ref522004239 \h </w:instrText>
      </w:r>
      <w:r>
        <w:instrText xml:space="preserve"> \* MERGEFORMAT </w:instrText>
      </w:r>
      <w:r w:rsidRPr="00BB7188">
        <w:fldChar w:fldCharType="separate"/>
      </w:r>
      <w:r>
        <w:t>13</w:t>
      </w:r>
      <w:r w:rsidRPr="00BB7188">
        <w:fldChar w:fldCharType="end"/>
      </w:r>
      <w:r w:rsidRPr="00BB7188">
        <w:t xml:space="preserve"> above</w:t>
      </w:r>
      <w:r>
        <w:t>,</w:t>
      </w:r>
      <w:r w:rsidRPr="00317590">
        <w:rPr>
          <w:i/>
        </w:rPr>
        <w:t xml:space="preserve"> </w:t>
      </w:r>
      <w:r w:rsidRPr="00317590">
        <w:t xml:space="preserve">185. </w:t>
      </w:r>
      <w:r w:rsidRPr="00F7031A">
        <w:t>‘Modern lawyers…see nothing incongruous in asserting that a promise made for good consideration should nevertheless not be enforced [but for quite other reasons such as duress].’</w:t>
      </w:r>
    </w:p>
  </w:footnote>
  <w:footnote w:id="75">
    <w:p w14:paraId="00EFCD2B" w14:textId="77777777" w:rsidR="0056761C" w:rsidRPr="00F7031A" w:rsidRDefault="0056761C" w:rsidP="00742F4A">
      <w:pPr>
        <w:pStyle w:val="FootnoteText"/>
      </w:pPr>
      <w:r w:rsidRPr="00F7031A">
        <w:rPr>
          <w:rStyle w:val="FootnoteReference"/>
          <w:vertAlign w:val="baseline"/>
        </w:rPr>
        <w:footnoteRef/>
      </w:r>
      <w:r w:rsidRPr="00F7031A">
        <w:t xml:space="preserve"> </w:t>
      </w:r>
      <w:r w:rsidRPr="00F7031A">
        <w:tab/>
      </w:r>
      <w:r w:rsidRPr="00F7031A">
        <w:rPr>
          <w:i/>
        </w:rPr>
        <w:t>Op cit</w:t>
      </w:r>
      <w:r w:rsidRPr="00F7031A">
        <w:t xml:space="preserve">. 184-185. Atiyah compares two cases of promises to family members </w:t>
      </w:r>
      <w:r w:rsidRPr="00F7031A">
        <w:rPr>
          <w:i/>
        </w:rPr>
        <w:t>Shadwell</w:t>
      </w:r>
      <w:r w:rsidRPr="00F7031A">
        <w:t xml:space="preserve"> v. </w:t>
      </w:r>
      <w:r w:rsidRPr="00C34EE9">
        <w:rPr>
          <w:i/>
        </w:rPr>
        <w:t xml:space="preserve">Shadwell </w:t>
      </w:r>
      <w:r w:rsidRPr="00F7031A">
        <w:t xml:space="preserve">(1860) 9 CBNS 159 (dealt with as a ‘consideration’ case) and </w:t>
      </w:r>
      <w:r w:rsidRPr="00F7031A">
        <w:rPr>
          <w:i/>
        </w:rPr>
        <w:t>Jones</w:t>
      </w:r>
      <w:r w:rsidRPr="00F7031A">
        <w:t xml:space="preserve"> v. </w:t>
      </w:r>
      <w:proofErr w:type="spellStart"/>
      <w:r w:rsidRPr="00F7031A">
        <w:rPr>
          <w:i/>
        </w:rPr>
        <w:t>Padavatton</w:t>
      </w:r>
      <w:proofErr w:type="spellEnd"/>
      <w:r w:rsidRPr="00F7031A">
        <w:t xml:space="preserve"> [1969] 1 WLR 328 (dealt with as a</w:t>
      </w:r>
      <w:r>
        <w:t>n</w:t>
      </w:r>
      <w:r w:rsidRPr="00F7031A">
        <w:t xml:space="preserve"> ‘intention to create legal relations’</w:t>
      </w:r>
      <w:r>
        <w:t xml:space="preserve"> case</w:t>
      </w:r>
      <w:r w:rsidRPr="00F7031A">
        <w:t>).</w:t>
      </w:r>
    </w:p>
  </w:footnote>
  <w:footnote w:id="76">
    <w:p w14:paraId="4DEADEEE" w14:textId="3899C7F6" w:rsidR="0056761C" w:rsidRPr="00AD6446" w:rsidRDefault="0056761C" w:rsidP="00742F4A">
      <w:pPr>
        <w:pStyle w:val="FootnoteText"/>
      </w:pPr>
      <w:r w:rsidRPr="00570025">
        <w:rPr>
          <w:rStyle w:val="FootnoteReference"/>
          <w:vertAlign w:val="baseline"/>
        </w:rPr>
        <w:footnoteRef/>
      </w:r>
      <w:r w:rsidRPr="00570025">
        <w:t xml:space="preserve"> </w:t>
      </w:r>
      <w:r w:rsidRPr="00570025">
        <w:tab/>
      </w:r>
      <w:r w:rsidRPr="00AD6446">
        <w:rPr>
          <w:i/>
        </w:rPr>
        <w:t>Philips</w:t>
      </w:r>
      <w:r w:rsidRPr="00AD6446">
        <w:t xml:space="preserve"> v. </w:t>
      </w:r>
      <w:r w:rsidRPr="00AD6446">
        <w:rPr>
          <w:i/>
        </w:rPr>
        <w:t xml:space="preserve">William </w:t>
      </w:r>
      <w:proofErr w:type="spellStart"/>
      <w:r w:rsidRPr="00AD6446">
        <w:rPr>
          <w:i/>
        </w:rPr>
        <w:t>Whiteley</w:t>
      </w:r>
      <w:proofErr w:type="spellEnd"/>
      <w:r w:rsidRPr="00AD6446">
        <w:rPr>
          <w:i/>
        </w:rPr>
        <w:t xml:space="preserve"> Ltd</w:t>
      </w:r>
      <w:r>
        <w:rPr>
          <w:i/>
        </w:rPr>
        <w:t xml:space="preserve"> </w:t>
      </w:r>
      <w:r w:rsidRPr="00AD6446">
        <w:t>[1938] 1 All ER 566</w:t>
      </w:r>
      <w:r>
        <w:t>.</w:t>
      </w:r>
    </w:p>
  </w:footnote>
  <w:footnote w:id="77">
    <w:p w14:paraId="46773BD5" w14:textId="77777777" w:rsidR="0056761C" w:rsidRDefault="0056761C" w:rsidP="00742F4A">
      <w:pPr>
        <w:pStyle w:val="FootnoteText"/>
      </w:pPr>
      <w:r w:rsidRPr="00AD6446">
        <w:rPr>
          <w:rStyle w:val="FootnoteReference"/>
          <w:vertAlign w:val="baseline"/>
        </w:rPr>
        <w:footnoteRef/>
      </w:r>
      <w:r w:rsidRPr="00AD6446">
        <w:t xml:space="preserve"> </w:t>
      </w:r>
      <w:r>
        <w:tab/>
      </w:r>
      <w:r w:rsidRPr="00AD6446">
        <w:rPr>
          <w:i/>
        </w:rPr>
        <w:t>Nettleship</w:t>
      </w:r>
      <w:r w:rsidRPr="00AD6446">
        <w:t xml:space="preserve"> v. </w:t>
      </w:r>
      <w:r w:rsidRPr="00AD6446">
        <w:rPr>
          <w:i/>
        </w:rPr>
        <w:t>Weston</w:t>
      </w:r>
      <w:r>
        <w:rPr>
          <w:i/>
        </w:rPr>
        <w:t xml:space="preserve"> </w:t>
      </w:r>
      <w:r w:rsidRPr="00AD6446">
        <w:t>[1971] 2 QB 691</w:t>
      </w:r>
      <w:r>
        <w:t>, in order to give her passenger amateur driving instructor access to an insurance fund, a learner-driver was required to reach the standard of an experienced driver. But in</w:t>
      </w:r>
      <w:r>
        <w:rPr>
          <w:i/>
        </w:rPr>
        <w:t xml:space="preserve"> </w:t>
      </w:r>
      <w:r w:rsidRPr="00AD6446">
        <w:rPr>
          <w:i/>
        </w:rPr>
        <w:t xml:space="preserve">Mansfield v Weetabix Ltd </w:t>
      </w:r>
      <w:r w:rsidRPr="00DD1AEF">
        <w:t xml:space="preserve">[1998] 1 WLR 1263, [1997] EWCA </w:t>
      </w:r>
      <w:proofErr w:type="spellStart"/>
      <w:r w:rsidRPr="00DD1AEF">
        <w:t>Civ</w:t>
      </w:r>
      <w:proofErr w:type="spellEnd"/>
      <w:r w:rsidRPr="00DD1AEF">
        <w:t xml:space="preserve"> 1352 </w:t>
      </w:r>
      <w:r>
        <w:t>a truck-driver who was unaware of his</w:t>
      </w:r>
      <w:r w:rsidRPr="00DD1AEF">
        <w:t xml:space="preserve"> </w:t>
      </w:r>
      <w:r>
        <w:t>‘</w:t>
      </w:r>
      <w:r w:rsidRPr="00DD1AEF">
        <w:t>impaired degree of consciousness because of the malfunction in his brain caused by the deficiency in glucose</w:t>
      </w:r>
      <w:r>
        <w:t>’</w:t>
      </w:r>
      <w:r w:rsidRPr="00DD1AEF">
        <w:t xml:space="preserve"> </w:t>
      </w:r>
      <w:r>
        <w:t xml:space="preserve">was not liable for property damage caused to the claimants’ road-adjacent property adjacent. The Court of Appeal might have thought that property owners are normally elf-insured against impact damage, whereas self-insurance amongst car passengers is rare (and unnecessary since Road Traffic Act 1988, sections 143, 145(3)(a) and 149 introduced compulsory insurance against liability passengers and rendered the </w:t>
      </w:r>
      <w:proofErr w:type="spellStart"/>
      <w:r w:rsidRPr="00D7413C">
        <w:rPr>
          <w:i/>
        </w:rPr>
        <w:t>volenti</w:t>
      </w:r>
      <w:proofErr w:type="spellEnd"/>
      <w:r w:rsidRPr="00D7413C">
        <w:rPr>
          <w:i/>
        </w:rPr>
        <w:t xml:space="preserve"> </w:t>
      </w:r>
      <w:r>
        <w:t>defence inapplicable.</w:t>
      </w:r>
    </w:p>
  </w:footnote>
  <w:footnote w:id="78">
    <w:p w14:paraId="673F3F61" w14:textId="77777777" w:rsidR="0056761C" w:rsidRDefault="0056761C" w:rsidP="00742F4A">
      <w:pPr>
        <w:pStyle w:val="FootnoteText"/>
      </w:pPr>
      <w:r w:rsidRPr="00E56DC6">
        <w:rPr>
          <w:rStyle w:val="FootnoteReference"/>
          <w:vertAlign w:val="baseline"/>
        </w:rPr>
        <w:footnoteRef/>
      </w:r>
      <w:r w:rsidRPr="00E56DC6">
        <w:t xml:space="preserve"> </w:t>
      </w:r>
      <w:r>
        <w:tab/>
        <w:t xml:space="preserve">Indeed, the current doctrine that negligence develops incrementally and by analogy now requires category-based </w:t>
      </w:r>
      <w:r w:rsidRPr="00B42F71">
        <w:t xml:space="preserve">thinking </w:t>
      </w:r>
      <w:r>
        <w:t xml:space="preserve">that identifies </w:t>
      </w:r>
      <w:r w:rsidRPr="00B42F71">
        <w:t>duty-situations or sets of circumstances from which to draw</w:t>
      </w:r>
      <w:r>
        <w:t xml:space="preserve"> analogies or make</w:t>
      </w:r>
      <w:r w:rsidRPr="00B42F71">
        <w:t xml:space="preserve"> distinctions</w:t>
      </w:r>
      <w:r>
        <w:t xml:space="preserve">. See </w:t>
      </w:r>
      <w:r w:rsidRPr="00B42F71">
        <w:rPr>
          <w:i/>
        </w:rPr>
        <w:t>Robinson</w:t>
      </w:r>
      <w:r w:rsidRPr="00B42F71">
        <w:t xml:space="preserve"> v. </w:t>
      </w:r>
      <w:r w:rsidRPr="00B42F71">
        <w:rPr>
          <w:i/>
        </w:rPr>
        <w:t>Chief Constable of West Yorkshire Police</w:t>
      </w:r>
      <w:r w:rsidRPr="00B42F71">
        <w:t xml:space="preserve"> [2018] UKSC 4 [21]</w:t>
      </w:r>
      <w:r>
        <w:t xml:space="preserve">-[29] </w:t>
      </w:r>
      <w:r w:rsidRPr="00B42F71">
        <w:rPr>
          <w:i/>
        </w:rPr>
        <w:t xml:space="preserve">per </w:t>
      </w:r>
      <w:r>
        <w:t>Lord Reed.</w:t>
      </w:r>
      <w:r w:rsidRPr="00E56DC6">
        <w:rPr>
          <w:b/>
        </w:rPr>
        <w:t xml:space="preserve"> </w:t>
      </w:r>
    </w:p>
  </w:footnote>
  <w:footnote w:id="79">
    <w:p w14:paraId="006F66C0" w14:textId="77777777" w:rsidR="0056761C" w:rsidRDefault="0056761C" w:rsidP="00742F4A">
      <w:pPr>
        <w:pStyle w:val="FootnoteText"/>
      </w:pPr>
      <w:r w:rsidRPr="00C7500F">
        <w:rPr>
          <w:rStyle w:val="FootnoteReference"/>
          <w:vertAlign w:val="baseline"/>
        </w:rPr>
        <w:footnoteRef/>
      </w:r>
      <w:r>
        <w:t xml:space="preserve"> </w:t>
      </w:r>
      <w:r>
        <w:tab/>
      </w:r>
      <w:r w:rsidRPr="00C7500F">
        <w:rPr>
          <w:i/>
        </w:rPr>
        <w:t>Donoghue</w:t>
      </w:r>
      <w:r>
        <w:t xml:space="preserve"> v. </w:t>
      </w:r>
      <w:r w:rsidRPr="00C7500F">
        <w:rPr>
          <w:i/>
        </w:rPr>
        <w:t>Stevenson</w:t>
      </w:r>
      <w:r>
        <w:t xml:space="preserve"> [1932] AC 562.</w:t>
      </w:r>
    </w:p>
  </w:footnote>
  <w:footnote w:id="80">
    <w:p w14:paraId="4CC5868D" w14:textId="10F24622" w:rsidR="0056761C" w:rsidRDefault="0056761C" w:rsidP="00742F4A">
      <w:pPr>
        <w:pStyle w:val="FootnoteText"/>
      </w:pPr>
      <w:r w:rsidRPr="005E4948">
        <w:rPr>
          <w:rStyle w:val="FootnoteReference"/>
          <w:vertAlign w:val="baseline"/>
        </w:rPr>
        <w:footnoteRef/>
      </w:r>
      <w:r>
        <w:t xml:space="preserve"> </w:t>
      </w:r>
      <w:r>
        <w:tab/>
      </w:r>
      <w:r w:rsidRPr="006C7F34">
        <w:rPr>
          <w:bCs/>
          <w:i/>
        </w:rPr>
        <w:t>Hedley Byrne</w:t>
      </w:r>
      <w:r w:rsidRPr="006C7F34">
        <w:rPr>
          <w:i/>
        </w:rPr>
        <w:t xml:space="preserve"> &amp; Co Ltd </w:t>
      </w:r>
      <w:r w:rsidRPr="006C7F34">
        <w:rPr>
          <w:bCs/>
        </w:rPr>
        <w:t>v.</w:t>
      </w:r>
      <w:r w:rsidRPr="006C7F34">
        <w:rPr>
          <w:bCs/>
          <w:i/>
        </w:rPr>
        <w:t xml:space="preserve"> Heller</w:t>
      </w:r>
      <w:r w:rsidRPr="006C7F34">
        <w:rPr>
          <w:i/>
        </w:rPr>
        <w:t xml:space="preserve"> &amp; Partners Ltd </w:t>
      </w:r>
      <w:r w:rsidRPr="006C7F34">
        <w:t>[1964] AC 465</w:t>
      </w:r>
      <w:r>
        <w:t>.</w:t>
      </w:r>
    </w:p>
  </w:footnote>
  <w:footnote w:id="81">
    <w:p w14:paraId="540377DA" w14:textId="0882F3AB" w:rsidR="0056761C" w:rsidRDefault="0056761C">
      <w:pPr>
        <w:pStyle w:val="FootnoteText"/>
      </w:pPr>
      <w:r w:rsidRPr="001F25E2">
        <w:rPr>
          <w:rStyle w:val="FootnoteReference"/>
          <w:vertAlign w:val="baseline"/>
        </w:rPr>
        <w:footnoteRef/>
      </w:r>
      <w:r w:rsidRPr="001F25E2">
        <w:t xml:space="preserve"> </w:t>
      </w:r>
      <w:r>
        <w:tab/>
      </w:r>
      <w:r w:rsidRPr="001F25E2">
        <w:rPr>
          <w:i/>
        </w:rPr>
        <w:t>Phillips</w:t>
      </w:r>
      <w:r>
        <w:t xml:space="preserve">, note </w:t>
      </w:r>
      <w:r>
        <w:fldChar w:fldCharType="begin"/>
      </w:r>
      <w:r>
        <w:instrText xml:space="preserve"> NOTEREF _Ref522787223 \h </w:instrText>
      </w:r>
      <w:r>
        <w:fldChar w:fldCharType="separate"/>
      </w:r>
      <w:r>
        <w:t>75</w:t>
      </w:r>
      <w:r>
        <w:fldChar w:fldCharType="end"/>
      </w:r>
      <w:r>
        <w:t>, 567.</w:t>
      </w:r>
    </w:p>
  </w:footnote>
  <w:footnote w:id="82">
    <w:p w14:paraId="50C7AEE8" w14:textId="0D007D8B" w:rsidR="0056761C" w:rsidRPr="006C7F34" w:rsidRDefault="0056761C" w:rsidP="00742F4A">
      <w:pPr>
        <w:pStyle w:val="FootnoteText"/>
      </w:pPr>
      <w:r w:rsidRPr="00F7031A">
        <w:rPr>
          <w:rStyle w:val="FootnoteReference"/>
          <w:vertAlign w:val="baseline"/>
        </w:rPr>
        <w:footnoteRef/>
      </w:r>
      <w:r w:rsidRPr="00F7031A">
        <w:t xml:space="preserve"> </w:t>
      </w:r>
      <w:r w:rsidRPr="00F7031A">
        <w:tab/>
      </w:r>
      <w:r>
        <w:t>[1957] 1 WL</w:t>
      </w:r>
      <w:r w:rsidRPr="006C7F34">
        <w:t>R 583</w:t>
      </w:r>
      <w:r>
        <w:t>.</w:t>
      </w:r>
    </w:p>
  </w:footnote>
  <w:footnote w:id="83">
    <w:p w14:paraId="178DDDDD" w14:textId="61F23BA8" w:rsidR="0056761C" w:rsidRPr="00B07682" w:rsidRDefault="0056761C" w:rsidP="00742F4A">
      <w:pPr>
        <w:pStyle w:val="FootnoteText"/>
      </w:pPr>
      <w:r w:rsidRPr="00F7031A">
        <w:rPr>
          <w:rStyle w:val="FootnoteReference"/>
          <w:vertAlign w:val="baseline"/>
        </w:rPr>
        <w:footnoteRef/>
      </w:r>
      <w:r w:rsidRPr="00F7031A">
        <w:t xml:space="preserve"> </w:t>
      </w:r>
      <w:r w:rsidRPr="00F7031A">
        <w:tab/>
      </w:r>
      <w:r w:rsidRPr="006C7F34">
        <w:rPr>
          <w:bCs/>
          <w:i/>
        </w:rPr>
        <w:t xml:space="preserve">Bolitho </w:t>
      </w:r>
      <w:r w:rsidRPr="006C7F34">
        <w:rPr>
          <w:bCs/>
        </w:rPr>
        <w:t>v</w:t>
      </w:r>
      <w:r w:rsidRPr="006C7F34">
        <w:rPr>
          <w:bCs/>
          <w:i/>
        </w:rPr>
        <w:t>. City and Hackney Health Authority</w:t>
      </w:r>
      <w:r>
        <w:rPr>
          <w:bCs/>
          <w:i/>
        </w:rPr>
        <w:t xml:space="preserve"> </w:t>
      </w:r>
      <w:r w:rsidRPr="00B07682">
        <w:rPr>
          <w:bCs/>
          <w:lang w:val="en"/>
        </w:rPr>
        <w:t>[1998] AC 232</w:t>
      </w:r>
      <w:r>
        <w:rPr>
          <w:bCs/>
          <w:lang w:val="en"/>
        </w:rPr>
        <w:t>.</w:t>
      </w:r>
    </w:p>
  </w:footnote>
  <w:footnote w:id="84">
    <w:p w14:paraId="38852A1F" w14:textId="02ED0160" w:rsidR="0056761C" w:rsidRPr="00B07682" w:rsidRDefault="0056761C" w:rsidP="00742F4A">
      <w:pPr>
        <w:pStyle w:val="FootnoteText"/>
      </w:pPr>
      <w:r w:rsidRPr="00F7031A">
        <w:rPr>
          <w:rStyle w:val="FootnoteReference"/>
          <w:vertAlign w:val="baseline"/>
        </w:rPr>
        <w:footnoteRef/>
      </w:r>
      <w:r w:rsidRPr="00F7031A">
        <w:t xml:space="preserve"> </w:t>
      </w:r>
      <w:r w:rsidRPr="00F7031A">
        <w:tab/>
      </w:r>
      <w:r w:rsidRPr="00F7031A">
        <w:rPr>
          <w:i/>
        </w:rPr>
        <w:t>Montgomery</w:t>
      </w:r>
      <w:r w:rsidRPr="00B07682">
        <w:t xml:space="preserve"> v</w:t>
      </w:r>
      <w:r>
        <w:rPr>
          <w:i/>
        </w:rPr>
        <w:t xml:space="preserve">. Lanarkshire Health Board </w:t>
      </w:r>
      <w:r w:rsidRPr="001F25E2">
        <w:t>[2015] UKSC 11</w:t>
      </w:r>
      <w:r>
        <w:t>.</w:t>
      </w:r>
    </w:p>
  </w:footnote>
  <w:footnote w:id="85">
    <w:p w14:paraId="67ADC1FF" w14:textId="72F7A234" w:rsidR="0056761C" w:rsidRPr="00F7031A" w:rsidRDefault="0056761C" w:rsidP="00742F4A">
      <w:pPr>
        <w:pStyle w:val="FootnoteText"/>
      </w:pPr>
      <w:r w:rsidRPr="00F7031A">
        <w:rPr>
          <w:rStyle w:val="FootnoteReference"/>
          <w:vertAlign w:val="baseline"/>
        </w:rPr>
        <w:footnoteRef/>
      </w:r>
      <w:r w:rsidRPr="00F7031A">
        <w:t xml:space="preserve"> </w:t>
      </w:r>
      <w:r w:rsidRPr="00F7031A">
        <w:tab/>
      </w:r>
      <w:r w:rsidRPr="001F25E2">
        <w:rPr>
          <w:i/>
        </w:rPr>
        <w:t>Ibid</w:t>
      </w:r>
      <w:r>
        <w:t xml:space="preserve">. [68]-[69]; see also BMA guidelines </w:t>
      </w:r>
      <w:r w:rsidRPr="001F25E2">
        <w:t>https://www.bma.org.uk/advice/employment/ethics/consent/consent-tool-kit/3-information-provision</w:t>
      </w:r>
      <w:r>
        <w:t>.</w:t>
      </w:r>
    </w:p>
  </w:footnote>
  <w:footnote w:id="86">
    <w:p w14:paraId="0FF85292" w14:textId="508E5D48" w:rsidR="0056761C" w:rsidRDefault="0056761C" w:rsidP="00742F4A">
      <w:pPr>
        <w:pStyle w:val="FootnoteText"/>
      </w:pPr>
      <w:r w:rsidRPr="00B22402">
        <w:rPr>
          <w:rStyle w:val="FootnoteReference"/>
          <w:vertAlign w:val="baseline"/>
        </w:rPr>
        <w:footnoteRef/>
      </w:r>
      <w:r>
        <w:t xml:space="preserve"> </w:t>
      </w:r>
      <w:r>
        <w:tab/>
        <w:t xml:space="preserve">There is something of ‘trust the medics’ in </w:t>
      </w:r>
      <w:r w:rsidRPr="00B22402">
        <w:rPr>
          <w:i/>
        </w:rPr>
        <w:t>An NHS Trust</w:t>
      </w:r>
      <w:r w:rsidRPr="00B22402">
        <w:t xml:space="preserve"> v. </w:t>
      </w:r>
      <w:r w:rsidRPr="00B22402">
        <w:rPr>
          <w:i/>
        </w:rPr>
        <w:t>Y</w:t>
      </w:r>
      <w:r>
        <w:rPr>
          <w:i/>
        </w:rPr>
        <w:t xml:space="preserve"> </w:t>
      </w:r>
      <w:r w:rsidRPr="00F7031A">
        <w:t>[2018] UKSC 46</w:t>
      </w:r>
      <w:r>
        <w:t xml:space="preserve">: see text at note </w:t>
      </w:r>
      <w:r>
        <w:fldChar w:fldCharType="begin"/>
      </w:r>
      <w:r>
        <w:instrText xml:space="preserve"> NOTEREF _Ref521064605 \p \h </w:instrText>
      </w:r>
      <w:r>
        <w:fldChar w:fldCharType="separate"/>
      </w:r>
      <w:r>
        <w:t>52</w:t>
      </w:r>
      <w:r>
        <w:fldChar w:fldCharType="end"/>
      </w:r>
      <w:r>
        <w:t>.</w:t>
      </w:r>
    </w:p>
  </w:footnote>
  <w:footnote w:id="87">
    <w:p w14:paraId="784A65B4" w14:textId="77777777"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t xml:space="preserve">Oliver Wendell </w:t>
      </w:r>
      <w:r w:rsidRPr="00701868">
        <w:t>Holmes</w:t>
      </w:r>
      <w:r>
        <w:t xml:space="preserve">, </w:t>
      </w:r>
      <w:r w:rsidRPr="002C462F">
        <w:rPr>
          <w:i/>
        </w:rPr>
        <w:t>The Common Law</w:t>
      </w:r>
      <w:r>
        <w:t xml:space="preserve"> (London: Macmillan, 1968, original 1881) 1.</w:t>
      </w:r>
    </w:p>
  </w:footnote>
  <w:footnote w:id="88">
    <w:p w14:paraId="592C9922" w14:textId="77777777" w:rsidR="0056761C" w:rsidRPr="002C462F" w:rsidRDefault="0056761C" w:rsidP="00742F4A">
      <w:pPr>
        <w:pStyle w:val="FootnoteText"/>
        <w:spacing w:line="312" w:lineRule="auto"/>
      </w:pPr>
      <w:r w:rsidRPr="00701868">
        <w:rPr>
          <w:rStyle w:val="FootnoteReference"/>
          <w:vertAlign w:val="baseline"/>
        </w:rPr>
        <w:footnoteRef/>
      </w:r>
      <w:r w:rsidRPr="002C462F">
        <w:t xml:space="preserve"> </w:t>
      </w:r>
      <w:r w:rsidRPr="002C462F">
        <w:tab/>
      </w:r>
      <w:r w:rsidRPr="007D6F18">
        <w:t xml:space="preserve">See </w:t>
      </w:r>
      <w:r w:rsidRPr="007D6F18">
        <w:rPr>
          <w:rStyle w:val="EndnoteReference"/>
          <w:rFonts w:cstheme="minorHAnsi"/>
          <w:szCs w:val="18"/>
          <w:vertAlign w:val="baseline"/>
        </w:rPr>
        <w:t xml:space="preserve">Gavin </w:t>
      </w:r>
      <w:proofErr w:type="spellStart"/>
      <w:r w:rsidRPr="007D6F18">
        <w:rPr>
          <w:rStyle w:val="EndnoteReference"/>
          <w:rFonts w:cstheme="minorHAnsi"/>
          <w:szCs w:val="18"/>
          <w:vertAlign w:val="baseline"/>
        </w:rPr>
        <w:t>Nobes</w:t>
      </w:r>
      <w:proofErr w:type="spellEnd"/>
      <w:r w:rsidRPr="007D6F18">
        <w:rPr>
          <w:rFonts w:cstheme="minorHAnsi"/>
          <w:szCs w:val="18"/>
        </w:rPr>
        <w:t xml:space="preserve"> </w:t>
      </w:r>
      <w:r w:rsidRPr="007D6F18">
        <w:rPr>
          <w:rFonts w:cstheme="minorHAnsi"/>
          <w:i/>
          <w:szCs w:val="18"/>
        </w:rPr>
        <w:t>et al</w:t>
      </w:r>
      <w:r w:rsidRPr="007D6F18">
        <w:rPr>
          <w:rStyle w:val="EndnoteReference"/>
          <w:rFonts w:cstheme="minorHAnsi"/>
          <w:szCs w:val="18"/>
          <w:vertAlign w:val="baseline"/>
        </w:rPr>
        <w:t xml:space="preserve">, ‘The influence of negligence, intention, and outcome on children’s moral judgments’ </w:t>
      </w:r>
      <w:r w:rsidRPr="007D6F18">
        <w:rPr>
          <w:rFonts w:cstheme="minorHAnsi"/>
          <w:szCs w:val="18"/>
        </w:rPr>
        <w:t xml:space="preserve">(2009) 104  </w:t>
      </w:r>
      <w:r w:rsidRPr="007D6F18">
        <w:rPr>
          <w:rStyle w:val="EndnoteReference"/>
          <w:rFonts w:cstheme="minorHAnsi"/>
          <w:i/>
          <w:szCs w:val="18"/>
          <w:vertAlign w:val="baseline"/>
        </w:rPr>
        <w:t>Journal of Experimental Child Psychology</w:t>
      </w:r>
      <w:r w:rsidRPr="007D6F18">
        <w:rPr>
          <w:rStyle w:val="EndnoteReference"/>
          <w:rFonts w:cstheme="minorHAnsi"/>
          <w:szCs w:val="18"/>
          <w:vertAlign w:val="baseline"/>
        </w:rPr>
        <w:t xml:space="preserve"> 382–397</w:t>
      </w:r>
      <w:r w:rsidRPr="007D6F18">
        <w:rPr>
          <w:rFonts w:cstheme="minorHAnsi"/>
          <w:szCs w:val="18"/>
        </w:rPr>
        <w:t>.</w:t>
      </w:r>
    </w:p>
  </w:footnote>
  <w:footnote w:id="89">
    <w:p w14:paraId="1EFB992D" w14:textId="324BA5BB"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t xml:space="preserve">See note </w:t>
      </w:r>
      <w:r>
        <w:fldChar w:fldCharType="begin"/>
      </w:r>
      <w:r>
        <w:instrText xml:space="preserve"> NOTEREF _Ref522784248 \h </w:instrText>
      </w:r>
      <w:r>
        <w:fldChar w:fldCharType="separate"/>
      </w:r>
      <w:r>
        <w:t>14</w:t>
      </w:r>
      <w:r>
        <w:fldChar w:fldCharType="end"/>
      </w:r>
      <w:r>
        <w:t>.</w:t>
      </w:r>
    </w:p>
  </w:footnote>
  <w:footnote w:id="90">
    <w:p w14:paraId="3530156F" w14:textId="0E44EAE6"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t xml:space="preserve">Harold Laski, ‘The Basis of Vicarious Liability’ (1916) 26 </w:t>
      </w:r>
      <w:r w:rsidRPr="00701868">
        <w:rPr>
          <w:i/>
        </w:rPr>
        <w:t>Yale Law Journal</w:t>
      </w:r>
      <w:r w:rsidRPr="00701868">
        <w:t xml:space="preserve"> 105-135</w:t>
      </w:r>
      <w:r>
        <w:t>,</w:t>
      </w:r>
      <w:r w:rsidRPr="00701868">
        <w:t xml:space="preserve"> 111.</w:t>
      </w:r>
    </w:p>
  </w:footnote>
  <w:footnote w:id="91">
    <w:p w14:paraId="10B3251C" w14:textId="624ABF5C"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t xml:space="preserve">See text at notes </w:t>
      </w:r>
      <w:r>
        <w:fldChar w:fldCharType="begin"/>
      </w:r>
      <w:r>
        <w:instrText xml:space="preserve"> NOTEREF _Ref522441328 \h </w:instrText>
      </w:r>
      <w:r>
        <w:fldChar w:fldCharType="separate"/>
      </w:r>
      <w:r>
        <w:t>9</w:t>
      </w:r>
      <w:r>
        <w:fldChar w:fldCharType="end"/>
      </w:r>
      <w:r>
        <w:t>-</w:t>
      </w:r>
      <w:r>
        <w:fldChar w:fldCharType="begin"/>
      </w:r>
      <w:r>
        <w:instrText xml:space="preserve"> NOTEREF _Ref522441447 \h </w:instrText>
      </w:r>
      <w:r>
        <w:fldChar w:fldCharType="separate"/>
      </w:r>
      <w:r>
        <w:t>15</w:t>
      </w:r>
      <w:r>
        <w:fldChar w:fldCharType="end"/>
      </w:r>
      <w:r>
        <w:t xml:space="preserve"> above.</w:t>
      </w:r>
    </w:p>
  </w:footnote>
  <w:footnote w:id="92">
    <w:p w14:paraId="43A35839" w14:textId="77777777"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t>(1798) 91 ER 256.</w:t>
      </w:r>
    </w:p>
  </w:footnote>
  <w:footnote w:id="93">
    <w:p w14:paraId="6C7C4D42" w14:textId="7EED5D4B"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rsidRPr="001315F0">
        <w:t xml:space="preserve">Richard Lewis, </w:t>
      </w:r>
      <w:r>
        <w:t>‘</w:t>
      </w:r>
      <w:r w:rsidRPr="001315F0">
        <w:t>Compensation Culture Reviewed</w:t>
      </w:r>
      <w:r>
        <w:t>’</w:t>
      </w:r>
      <w:r w:rsidRPr="001315F0">
        <w:t xml:space="preserve"> (2014) 4 </w:t>
      </w:r>
      <w:r w:rsidRPr="001315F0">
        <w:rPr>
          <w:i/>
        </w:rPr>
        <w:t>Jo. Personal Injury Law</w:t>
      </w:r>
      <w:r w:rsidRPr="001315F0">
        <w:t xml:space="preserve"> 209-225, 213</w:t>
      </w:r>
      <w:r>
        <w:t>.</w:t>
      </w:r>
    </w:p>
  </w:footnote>
  <w:footnote w:id="94">
    <w:p w14:paraId="77ACD2E9" w14:textId="48E4B941"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t xml:space="preserve">Note </w:t>
      </w:r>
      <w:r>
        <w:fldChar w:fldCharType="begin"/>
      </w:r>
      <w:r>
        <w:instrText xml:space="preserve"> NOTEREF _Ref522788546 \h </w:instrText>
      </w:r>
      <w:r>
        <w:fldChar w:fldCharType="separate"/>
      </w:r>
      <w:r>
        <w:t>89</w:t>
      </w:r>
      <w:r>
        <w:fldChar w:fldCharType="end"/>
      </w:r>
      <w:r>
        <w:t xml:space="preserve">, </w:t>
      </w:r>
      <w:r w:rsidRPr="00701868">
        <w:t>109-111.</w:t>
      </w:r>
    </w:p>
  </w:footnote>
  <w:footnote w:id="95">
    <w:p w14:paraId="3C243140" w14:textId="77777777"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rsidRPr="00701868">
        <w:rPr>
          <w:i/>
        </w:rPr>
        <w:t>Ibid.</w:t>
      </w:r>
      <w:r w:rsidRPr="00701868">
        <w:t xml:space="preserve"> 111.</w:t>
      </w:r>
    </w:p>
  </w:footnote>
  <w:footnote w:id="96">
    <w:p w14:paraId="538240C9" w14:textId="77777777"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rsidRPr="00701868">
        <w:rPr>
          <w:i/>
        </w:rPr>
        <w:t>Ibid</w:t>
      </w:r>
      <w:r w:rsidRPr="00701868">
        <w:t>. 112</w:t>
      </w:r>
    </w:p>
  </w:footnote>
  <w:footnote w:id="97">
    <w:p w14:paraId="46FC455F" w14:textId="77777777" w:rsidR="0056761C" w:rsidRPr="00701868" w:rsidRDefault="0056761C" w:rsidP="00742F4A">
      <w:pPr>
        <w:pStyle w:val="FootnoteText"/>
        <w:spacing w:line="312" w:lineRule="auto"/>
      </w:pPr>
      <w:r w:rsidRPr="00701868">
        <w:rPr>
          <w:rStyle w:val="FootnoteReference"/>
          <w:vertAlign w:val="baseline"/>
        </w:rPr>
        <w:footnoteRef/>
      </w:r>
      <w:r w:rsidRPr="00701868">
        <w:t xml:space="preserve"> </w:t>
      </w:r>
      <w:r w:rsidRPr="00701868">
        <w:tab/>
      </w:r>
      <w:r>
        <w:t>Sir Frederick Pollock,</w:t>
      </w:r>
      <w:r w:rsidRPr="00701868">
        <w:t xml:space="preserve"> ‘</w:t>
      </w:r>
      <w:r w:rsidRPr="00701868">
        <w:rPr>
          <w:bCs/>
        </w:rPr>
        <w:t xml:space="preserve">Employer's Liability’ in his </w:t>
      </w:r>
      <w:r w:rsidRPr="008C324D">
        <w:rPr>
          <w:bCs/>
          <w:i/>
        </w:rPr>
        <w:t>Essays on Jurisprudence and Ethics</w:t>
      </w:r>
      <w:r>
        <w:rPr>
          <w:bCs/>
        </w:rPr>
        <w:t xml:space="preserve"> (London: Macmillan, 1882): </w:t>
      </w:r>
      <w:r w:rsidRPr="00931953">
        <w:rPr>
          <w:bCs/>
        </w:rPr>
        <w:t>https://archive.org/details/essaysinjurispru00polluoft</w:t>
      </w:r>
      <w:r>
        <w:rPr>
          <w:bCs/>
        </w:rPr>
        <w:t xml:space="preserve"> 114-143, 127. </w:t>
      </w:r>
    </w:p>
  </w:footnote>
  <w:footnote w:id="98">
    <w:p w14:paraId="56FE2BFF" w14:textId="0E6E591B" w:rsidR="0056761C" w:rsidRDefault="0056761C" w:rsidP="00742F4A">
      <w:pPr>
        <w:pStyle w:val="FootnoteText"/>
        <w:spacing w:line="312" w:lineRule="auto"/>
      </w:pPr>
      <w:r w:rsidRPr="00C42611">
        <w:footnoteRef/>
      </w:r>
      <w:r>
        <w:t xml:space="preserve"> </w:t>
      </w:r>
      <w:r>
        <w:tab/>
        <w:t xml:space="preserve">Sir Frederick Pollock, </w:t>
      </w:r>
      <w:r w:rsidRPr="00E87FE0">
        <w:rPr>
          <w:i/>
        </w:rPr>
        <w:t>The Law of Torts</w:t>
      </w:r>
      <w:r>
        <w:t>, (London: Stevens, 4</w:t>
      </w:r>
      <w:r w:rsidRPr="00E87FE0">
        <w:rPr>
          <w:vertAlign w:val="superscript"/>
        </w:rPr>
        <w:t>th</w:t>
      </w:r>
      <w:r>
        <w:t xml:space="preserve"> </w:t>
      </w:r>
      <w:proofErr w:type="spellStart"/>
      <w:r>
        <w:t>edn</w:t>
      </w:r>
      <w:proofErr w:type="spellEnd"/>
      <w:r>
        <w:t xml:space="preserve">., 1895) 67-86: </w:t>
      </w:r>
      <w:r w:rsidRPr="009224C3">
        <w:t>http://oll.libertyfund.org/titles/pollock-the-law-of-torts-4th-ed</w:t>
      </w:r>
      <w:r>
        <w:t xml:space="preserve">. At 71, he cites </w:t>
      </w:r>
      <w:r w:rsidRPr="00C42611">
        <w:rPr>
          <w:i/>
        </w:rPr>
        <w:t>Barwick</w:t>
      </w:r>
      <w:r w:rsidRPr="00C42611">
        <w:t xml:space="preserve"> v</w:t>
      </w:r>
      <w:r>
        <w:t>.</w:t>
      </w:r>
      <w:r w:rsidRPr="00C42611">
        <w:t xml:space="preserve"> </w:t>
      </w:r>
      <w:r w:rsidRPr="00C42611">
        <w:rPr>
          <w:i/>
        </w:rPr>
        <w:t>English Joint Stock Bank</w:t>
      </w:r>
      <w:r w:rsidRPr="00C42611">
        <w:t xml:space="preserve"> </w:t>
      </w:r>
      <w:r>
        <w:t>(1866-67) L</w:t>
      </w:r>
      <w:r w:rsidRPr="00C42611">
        <w:t>R 2 Ex. 259</w:t>
      </w:r>
      <w:r>
        <w:t>, 266.</w:t>
      </w:r>
    </w:p>
  </w:footnote>
  <w:footnote w:id="99">
    <w:p w14:paraId="6FEAB159" w14:textId="6EB8CF59" w:rsidR="0056761C" w:rsidRDefault="0056761C" w:rsidP="00742F4A">
      <w:pPr>
        <w:pStyle w:val="FootnoteText"/>
        <w:spacing w:line="312" w:lineRule="auto"/>
      </w:pPr>
      <w:r w:rsidRPr="007C186E">
        <w:rPr>
          <w:rStyle w:val="FootnoteReference"/>
          <w:vertAlign w:val="baseline"/>
        </w:rPr>
        <w:footnoteRef/>
      </w:r>
      <w:r w:rsidRPr="007C186E">
        <w:t xml:space="preserve"> </w:t>
      </w:r>
      <w:r>
        <w:tab/>
        <w:t xml:space="preserve">Pollock, note </w:t>
      </w:r>
      <w:r>
        <w:fldChar w:fldCharType="begin"/>
      </w:r>
      <w:r>
        <w:instrText xml:space="preserve"> NOTEREF _Ref522363412 \h </w:instrText>
      </w:r>
      <w:r>
        <w:fldChar w:fldCharType="separate"/>
      </w:r>
      <w:r>
        <w:t>97</w:t>
      </w:r>
      <w:r>
        <w:fldChar w:fldCharType="end"/>
      </w:r>
      <w:r>
        <w:t>, 72.</w:t>
      </w:r>
    </w:p>
  </w:footnote>
  <w:footnote w:id="100">
    <w:p w14:paraId="19A289C3" w14:textId="77777777" w:rsidR="0056761C" w:rsidRDefault="0056761C" w:rsidP="00742F4A">
      <w:pPr>
        <w:pStyle w:val="FootnoteText"/>
        <w:spacing w:line="312" w:lineRule="auto"/>
      </w:pPr>
      <w:r w:rsidRPr="009224C3">
        <w:rPr>
          <w:rStyle w:val="FootnoteReference"/>
          <w:vertAlign w:val="baseline"/>
        </w:rPr>
        <w:footnoteRef/>
      </w:r>
      <w:r w:rsidRPr="009224C3">
        <w:t xml:space="preserve"> </w:t>
      </w:r>
      <w:r>
        <w:tab/>
        <w:t xml:space="preserve">The advent of outsourcing has led to a revival of </w:t>
      </w:r>
      <w:r w:rsidRPr="00E0441A">
        <w:rPr>
          <w:i/>
        </w:rPr>
        <w:t xml:space="preserve">personal </w:t>
      </w:r>
      <w:r>
        <w:t xml:space="preserve">non-delegable duties. Engaging an independent contractor does not discharge the responsibility when the duty is owed to the </w:t>
      </w:r>
      <w:r w:rsidRPr="00E0441A">
        <w:t>inherently vulnerable and highly dependent</w:t>
      </w:r>
      <w:r>
        <w:t xml:space="preserve">: see </w:t>
      </w:r>
      <w:r w:rsidRPr="009224C3">
        <w:rPr>
          <w:i/>
        </w:rPr>
        <w:t>Woodland</w:t>
      </w:r>
      <w:r>
        <w:t xml:space="preserve"> v.</w:t>
      </w:r>
      <w:r w:rsidRPr="009224C3">
        <w:t xml:space="preserve"> </w:t>
      </w:r>
      <w:r w:rsidRPr="009224C3">
        <w:rPr>
          <w:i/>
        </w:rPr>
        <w:t>Essex County Council</w:t>
      </w:r>
      <w:r>
        <w:t xml:space="preserve"> </w:t>
      </w:r>
      <w:r w:rsidRPr="009224C3">
        <w:t>[2013] UKSC 66</w:t>
      </w:r>
      <w:r>
        <w:t>, [25](1)-(2).</w:t>
      </w:r>
    </w:p>
  </w:footnote>
  <w:footnote w:id="101">
    <w:p w14:paraId="0B8BBD02" w14:textId="4BD98593" w:rsidR="0056761C" w:rsidRPr="0083002B" w:rsidRDefault="0056761C" w:rsidP="00742F4A">
      <w:pPr>
        <w:pStyle w:val="FootnoteText"/>
      </w:pPr>
      <w:r w:rsidRPr="0083002B">
        <w:rPr>
          <w:rStyle w:val="FootnoteReference"/>
          <w:vertAlign w:val="baseline"/>
        </w:rPr>
        <w:footnoteRef/>
      </w:r>
      <w:r w:rsidRPr="0083002B">
        <w:t xml:space="preserve"> </w:t>
      </w:r>
      <w:r w:rsidRPr="0083002B">
        <w:tab/>
      </w:r>
      <w:r w:rsidRPr="0083002B">
        <w:rPr>
          <w:bCs/>
          <w:i/>
        </w:rPr>
        <w:t>Various Claimants</w:t>
      </w:r>
      <w:r w:rsidRPr="0083002B">
        <w:rPr>
          <w:bCs/>
        </w:rPr>
        <w:t xml:space="preserve"> v. </w:t>
      </w:r>
      <w:r w:rsidRPr="0083002B">
        <w:rPr>
          <w:bCs/>
          <w:i/>
        </w:rPr>
        <w:t>Catholic Child Welfare Society</w:t>
      </w:r>
      <w:r w:rsidRPr="0083002B">
        <w:rPr>
          <w:i/>
        </w:rPr>
        <w:t xml:space="preserve"> </w:t>
      </w:r>
      <w:r w:rsidRPr="0083002B">
        <w:t>[2012] UKSC 56</w:t>
      </w:r>
      <w:r>
        <w:t>.</w:t>
      </w:r>
    </w:p>
  </w:footnote>
  <w:footnote w:id="102">
    <w:p w14:paraId="0ADEADED" w14:textId="41662917" w:rsidR="0056761C" w:rsidRPr="0083002B" w:rsidRDefault="0056761C" w:rsidP="0083002B">
      <w:pPr>
        <w:pStyle w:val="FootnoteText"/>
      </w:pPr>
      <w:r w:rsidRPr="0083002B">
        <w:rPr>
          <w:rStyle w:val="FootnoteReference"/>
          <w:vertAlign w:val="baseline"/>
        </w:rPr>
        <w:footnoteRef/>
      </w:r>
      <w:r w:rsidRPr="0083002B">
        <w:t xml:space="preserve"> </w:t>
      </w:r>
      <w:r w:rsidRPr="0083002B">
        <w:tab/>
      </w:r>
      <w:proofErr w:type="spellStart"/>
      <w:r w:rsidRPr="0083002B">
        <w:rPr>
          <w:i/>
        </w:rPr>
        <w:t>Armes</w:t>
      </w:r>
      <w:proofErr w:type="spellEnd"/>
      <w:r w:rsidRPr="0083002B">
        <w:rPr>
          <w:i/>
        </w:rPr>
        <w:t xml:space="preserve"> v. Nottinghamshire County Council</w:t>
      </w:r>
      <w:r w:rsidRPr="0083002B">
        <w:t xml:space="preserve"> [2017] UKSC 60</w:t>
      </w:r>
      <w:r>
        <w:t>.</w:t>
      </w:r>
    </w:p>
  </w:footnote>
  <w:footnote w:id="103">
    <w:p w14:paraId="1BC3196B" w14:textId="5AC72E55" w:rsidR="0056761C" w:rsidRPr="0083002B" w:rsidRDefault="0056761C" w:rsidP="00742F4A">
      <w:pPr>
        <w:pStyle w:val="FootnoteText"/>
      </w:pPr>
      <w:r w:rsidRPr="0083002B">
        <w:rPr>
          <w:rStyle w:val="FootnoteReference"/>
          <w:vertAlign w:val="baseline"/>
        </w:rPr>
        <w:footnoteRef/>
      </w:r>
      <w:r w:rsidRPr="0083002B">
        <w:t xml:space="preserve"> </w:t>
      </w:r>
      <w:r w:rsidRPr="0083002B">
        <w:tab/>
      </w:r>
      <w:r w:rsidRPr="0083002B">
        <w:rPr>
          <w:i/>
        </w:rPr>
        <w:t>Lister</w:t>
      </w:r>
      <w:r w:rsidRPr="0083002B">
        <w:t xml:space="preserve"> v. </w:t>
      </w:r>
      <w:proofErr w:type="spellStart"/>
      <w:r w:rsidRPr="0083002B">
        <w:rPr>
          <w:i/>
        </w:rPr>
        <w:t>Hesley</w:t>
      </w:r>
      <w:proofErr w:type="spellEnd"/>
      <w:r w:rsidRPr="0083002B">
        <w:rPr>
          <w:i/>
        </w:rPr>
        <w:t xml:space="preserve"> Hall Ltd</w:t>
      </w:r>
      <w:r w:rsidRPr="0083002B">
        <w:t xml:space="preserve"> [2001] UKHL 22</w:t>
      </w:r>
      <w:r>
        <w:t>.</w:t>
      </w:r>
    </w:p>
  </w:footnote>
  <w:footnote w:id="104">
    <w:p w14:paraId="26B2D9D1" w14:textId="627A722A" w:rsidR="0056761C" w:rsidRPr="0083002B" w:rsidRDefault="0056761C" w:rsidP="00742F4A">
      <w:pPr>
        <w:pStyle w:val="FootnoteText"/>
      </w:pPr>
      <w:r w:rsidRPr="0083002B">
        <w:rPr>
          <w:rStyle w:val="FootnoteReference"/>
          <w:vertAlign w:val="baseline"/>
        </w:rPr>
        <w:footnoteRef/>
      </w:r>
      <w:r w:rsidRPr="0083002B">
        <w:t xml:space="preserve"> </w:t>
      </w:r>
      <w:r w:rsidRPr="0083002B">
        <w:tab/>
      </w:r>
      <w:r w:rsidRPr="0083002B">
        <w:rPr>
          <w:i/>
        </w:rPr>
        <w:t>Mohamud</w:t>
      </w:r>
      <w:r w:rsidRPr="0083002B">
        <w:t xml:space="preserve"> v. </w:t>
      </w:r>
      <w:r w:rsidRPr="0083002B">
        <w:rPr>
          <w:i/>
        </w:rPr>
        <w:t>WM Morrison Supermarkets</w:t>
      </w:r>
      <w:r w:rsidRPr="0083002B">
        <w:t xml:space="preserve"> [2016] UKSC 11</w:t>
      </w:r>
      <w:r>
        <w:t>.</w:t>
      </w:r>
    </w:p>
  </w:footnote>
  <w:footnote w:id="105">
    <w:p w14:paraId="365AE664" w14:textId="77777777" w:rsidR="0056761C" w:rsidRDefault="0056761C" w:rsidP="00742F4A">
      <w:pPr>
        <w:pStyle w:val="FootnoteText"/>
      </w:pPr>
      <w:r w:rsidRPr="002F3EC3">
        <w:rPr>
          <w:rStyle w:val="FootnoteReference"/>
          <w:vertAlign w:val="baseline"/>
        </w:rPr>
        <w:footnoteRef/>
      </w:r>
      <w:r>
        <w:t xml:space="preserve"> </w:t>
      </w:r>
      <w:r>
        <w:tab/>
      </w:r>
      <w:r w:rsidRPr="00E14E36">
        <w:rPr>
          <w:bCs/>
        </w:rPr>
        <w:t xml:space="preserve">[2018] EWCA </w:t>
      </w:r>
      <w:proofErr w:type="spellStart"/>
      <w:r w:rsidRPr="00E14E36">
        <w:rPr>
          <w:bCs/>
        </w:rPr>
        <w:t>Civ</w:t>
      </w:r>
      <w:proofErr w:type="spellEnd"/>
      <w:r w:rsidRPr="00E14E36">
        <w:rPr>
          <w:bCs/>
        </w:rPr>
        <w:t xml:space="preserve"> 1670 [61]</w:t>
      </w:r>
      <w:r>
        <w:rPr>
          <w:bCs/>
        </w:rPr>
        <w:t>.</w:t>
      </w:r>
    </w:p>
  </w:footnote>
  <w:footnote w:id="106">
    <w:p w14:paraId="3335740E" w14:textId="35DB1EED" w:rsidR="0056761C" w:rsidRDefault="0056761C">
      <w:pPr>
        <w:pStyle w:val="FootnoteText"/>
      </w:pPr>
      <w:r w:rsidRPr="00D254A6">
        <w:rPr>
          <w:rStyle w:val="FootnoteReference"/>
          <w:vertAlign w:val="baseline"/>
        </w:rPr>
        <w:footnoteRef/>
      </w:r>
      <w:r w:rsidRPr="00D254A6">
        <w:t xml:space="preserve"> </w:t>
      </w:r>
      <w:r>
        <w:tab/>
        <w:t xml:space="preserve">See Jenny Kemp, ‘Working towards a Discipline-based Vocabulary Core’; </w:t>
      </w:r>
      <w:r w:rsidRPr="00D254A6">
        <w:t>http://www.educ.cam.ac.uk/events/conferences/talc2018/programme/presentations/S89.pdf</w:t>
      </w:r>
      <w:r>
        <w:t xml:space="preserve"> (visited 22 August 2018).</w:t>
      </w:r>
    </w:p>
  </w:footnote>
  <w:footnote w:id="107">
    <w:p w14:paraId="1F14269B" w14:textId="1D59B785" w:rsidR="0056761C" w:rsidRDefault="0056761C">
      <w:pPr>
        <w:pStyle w:val="FootnoteText"/>
      </w:pPr>
      <w:r w:rsidRPr="003703EA">
        <w:rPr>
          <w:rStyle w:val="FootnoteReference"/>
          <w:vertAlign w:val="baseline"/>
        </w:rPr>
        <w:footnoteRef/>
      </w:r>
      <w:r w:rsidRPr="003703EA">
        <w:t xml:space="preserve"> </w:t>
      </w:r>
      <w:r>
        <w:tab/>
        <w:t xml:space="preserve">Daniel Kahneman, </w:t>
      </w:r>
      <w:r w:rsidRPr="00944E25">
        <w:rPr>
          <w:i/>
        </w:rPr>
        <w:t>Thinking, Fast and Slow</w:t>
      </w:r>
      <w:r>
        <w:t xml:space="preserve"> (London; Penguin, 2011) 81, points out that even supposedly Popperian scientists seek confirmation data for their current beliefs.</w:t>
      </w:r>
    </w:p>
  </w:footnote>
  <w:footnote w:id="108">
    <w:p w14:paraId="415C6926" w14:textId="75175F90" w:rsidR="0056761C" w:rsidRDefault="0056761C" w:rsidP="00944E25">
      <w:pPr>
        <w:pStyle w:val="FootnoteText"/>
      </w:pPr>
      <w:r w:rsidRPr="0074131C">
        <w:rPr>
          <w:rStyle w:val="FootnoteReference"/>
          <w:vertAlign w:val="baseline"/>
        </w:rPr>
        <w:footnoteRef/>
      </w:r>
      <w:r w:rsidRPr="0074131C">
        <w:t xml:space="preserve"> </w:t>
      </w:r>
      <w:r>
        <w:tab/>
        <w:t>See (</w:t>
      </w:r>
      <w:r w:rsidRPr="00944E25">
        <w:rPr>
          <w:i/>
        </w:rPr>
        <w:t>e.g</w:t>
      </w:r>
      <w:r>
        <w:t xml:space="preserve">.) </w:t>
      </w:r>
      <w:proofErr w:type="spellStart"/>
      <w:r>
        <w:t>Chunliang</w:t>
      </w:r>
      <w:proofErr w:type="spellEnd"/>
      <w:r>
        <w:t xml:space="preserve"> Yang, Rosalind Potts &amp; David Shanks, ‘Enhancing learning and retrieval of new information: a review of the forward testing effect’ (2018) 3</w:t>
      </w:r>
      <w:r w:rsidRPr="00944E25">
        <w:t xml:space="preserve"> </w:t>
      </w:r>
      <w:proofErr w:type="spellStart"/>
      <w:r w:rsidRPr="00944E25">
        <w:rPr>
          <w:i/>
        </w:rPr>
        <w:t>npj</w:t>
      </w:r>
      <w:proofErr w:type="spellEnd"/>
      <w:r w:rsidRPr="00944E25">
        <w:rPr>
          <w:i/>
        </w:rPr>
        <w:t xml:space="preserve"> Science of Learning</w:t>
      </w:r>
      <w:r>
        <w:rPr>
          <w:i/>
        </w:rPr>
        <w:t>’</w:t>
      </w:r>
      <w:r>
        <w:t xml:space="preserve"> Article 8: </w:t>
      </w:r>
      <w:r w:rsidRPr="00944E25">
        <w:t>https://www.nature.com/articles/s41539-018-0024-y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6"/>
      <w:gridCol w:w="4490"/>
    </w:tblGrid>
    <w:tr w:rsidR="0056761C" w14:paraId="55ED22BB" w14:textId="77777777">
      <w:trPr>
        <w:jc w:val="center"/>
      </w:trPr>
      <w:sdt>
        <w:sdtPr>
          <w:rPr>
            <w:caps/>
            <w:color w:val="FFFFFF" w:themeColor="background1"/>
            <w:sz w:val="18"/>
            <w:szCs w:val="18"/>
          </w:rPr>
          <w:alias w:val="Title"/>
          <w:tag w:val=""/>
          <w:id w:val="126446070"/>
          <w:placeholder>
            <w:docPart w:val="8E86E9BB1FA34EE8856EB584CD6C9741"/>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15C8A656" w14:textId="72DA44A5" w:rsidR="0056761C" w:rsidRDefault="0056761C">
              <w:pPr>
                <w:pStyle w:val="Header"/>
                <w:rPr>
                  <w:caps/>
                  <w:color w:val="FFFFFF" w:themeColor="background1"/>
                  <w:sz w:val="18"/>
                  <w:szCs w:val="18"/>
                </w:rPr>
              </w:pPr>
              <w:r>
                <w:rPr>
                  <w:caps/>
                  <w:color w:val="FFFFFF" w:themeColor="background1"/>
                  <w:sz w:val="18"/>
                  <w:szCs w:val="18"/>
                </w:rPr>
                <w:t xml:space="preserve">185 Wordfulness for Neophytes: </w:t>
              </w:r>
              <w:r>
                <w:rPr>
                  <w:color w:val="FFFFFF" w:themeColor="background1"/>
                  <w:sz w:val="18"/>
                  <w:szCs w:val="18"/>
                </w:rPr>
                <w:t>weaverm@lsbu.ac.uk</w:t>
              </w:r>
            </w:p>
          </w:tc>
        </w:sdtContent>
      </w:sdt>
      <w:tc>
        <w:tcPr>
          <w:tcW w:w="4674" w:type="dxa"/>
          <w:shd w:val="clear" w:color="auto" w:fill="ED7D31" w:themeFill="accent2"/>
          <w:vAlign w:val="center"/>
        </w:tcPr>
        <w:p w14:paraId="4DA1DECC" w14:textId="1CF6500D" w:rsidR="0056761C" w:rsidRDefault="0056761C">
          <w:pPr>
            <w:pStyle w:val="Header"/>
            <w:jc w:val="right"/>
            <w:rPr>
              <w:caps/>
              <w:color w:val="FFFFFF" w:themeColor="background1"/>
              <w:sz w:val="18"/>
              <w:szCs w:val="18"/>
            </w:rPr>
          </w:pPr>
          <w:r>
            <w:rPr>
              <w:caps/>
              <w:color w:val="FFFFFF" w:themeColor="background1"/>
              <w:sz w:val="18"/>
              <w:szCs w:val="18"/>
            </w:rPr>
            <w:fldChar w:fldCharType="begin"/>
          </w:r>
          <w:r>
            <w:rPr>
              <w:caps/>
              <w:color w:val="FFFFFF" w:themeColor="background1"/>
              <w:sz w:val="18"/>
              <w:szCs w:val="18"/>
            </w:rPr>
            <w:instrText xml:space="preserve"> DATE  \@ "dd MMMM yyyy"  \* MERGEFORMAT </w:instrText>
          </w:r>
          <w:r>
            <w:rPr>
              <w:caps/>
              <w:color w:val="FFFFFF" w:themeColor="background1"/>
              <w:sz w:val="18"/>
              <w:szCs w:val="18"/>
            </w:rPr>
            <w:fldChar w:fldCharType="separate"/>
          </w:r>
          <w:r w:rsidR="007365B1">
            <w:rPr>
              <w:caps/>
              <w:noProof/>
              <w:color w:val="FFFFFF" w:themeColor="background1"/>
              <w:sz w:val="18"/>
              <w:szCs w:val="18"/>
            </w:rPr>
            <w:t>02 September 2018</w:t>
          </w:r>
          <w:r>
            <w:rPr>
              <w:caps/>
              <w:color w:val="FFFFFF" w:themeColor="background1"/>
              <w:sz w:val="18"/>
              <w:szCs w:val="18"/>
            </w:rPr>
            <w:fldChar w:fldCharType="end"/>
          </w:r>
        </w:p>
      </w:tc>
    </w:tr>
    <w:tr w:rsidR="0056761C" w14:paraId="4BE39AC4" w14:textId="77777777">
      <w:trPr>
        <w:trHeight w:hRule="exact" w:val="115"/>
        <w:jc w:val="center"/>
      </w:trPr>
      <w:tc>
        <w:tcPr>
          <w:tcW w:w="4686" w:type="dxa"/>
          <w:shd w:val="clear" w:color="auto" w:fill="4472C4" w:themeFill="accent1"/>
          <w:tcMar>
            <w:top w:w="0" w:type="dxa"/>
            <w:bottom w:w="0" w:type="dxa"/>
          </w:tcMar>
        </w:tcPr>
        <w:p w14:paraId="055A4BFC" w14:textId="77777777" w:rsidR="0056761C" w:rsidRDefault="0056761C">
          <w:pPr>
            <w:pStyle w:val="Header"/>
            <w:rPr>
              <w:caps/>
              <w:color w:val="FFFFFF" w:themeColor="background1"/>
              <w:sz w:val="18"/>
              <w:szCs w:val="18"/>
            </w:rPr>
          </w:pPr>
        </w:p>
      </w:tc>
      <w:tc>
        <w:tcPr>
          <w:tcW w:w="4674" w:type="dxa"/>
          <w:shd w:val="clear" w:color="auto" w:fill="4472C4" w:themeFill="accent1"/>
          <w:tcMar>
            <w:top w:w="0" w:type="dxa"/>
            <w:bottom w:w="0" w:type="dxa"/>
          </w:tcMar>
        </w:tcPr>
        <w:p w14:paraId="7421B32C" w14:textId="77777777" w:rsidR="0056761C" w:rsidRDefault="0056761C">
          <w:pPr>
            <w:pStyle w:val="Header"/>
            <w:rPr>
              <w:caps/>
              <w:color w:val="FFFFFF" w:themeColor="background1"/>
              <w:sz w:val="18"/>
              <w:szCs w:val="18"/>
            </w:rPr>
          </w:pPr>
        </w:p>
      </w:tc>
    </w:tr>
  </w:tbl>
  <w:p w14:paraId="2BF97B7C" w14:textId="77777777" w:rsidR="0056761C" w:rsidRDefault="00567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627"/>
    <w:multiLevelType w:val="hybridMultilevel"/>
    <w:tmpl w:val="A3FA32EE"/>
    <w:lvl w:ilvl="0" w:tplc="6EEE22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5C92"/>
    <w:multiLevelType w:val="hybridMultilevel"/>
    <w:tmpl w:val="10A6FD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53FE6"/>
    <w:multiLevelType w:val="hybridMultilevel"/>
    <w:tmpl w:val="97202FBC"/>
    <w:lvl w:ilvl="0" w:tplc="60FAE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46B18"/>
    <w:multiLevelType w:val="hybridMultilevel"/>
    <w:tmpl w:val="98A8E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350A2"/>
    <w:multiLevelType w:val="multilevel"/>
    <w:tmpl w:val="CE16C548"/>
    <w:lvl w:ilvl="0">
      <w:start w:val="1"/>
      <w:numFmt w:val="decimal"/>
      <w:pStyle w:val="ListParagraph"/>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17719"/>
    <w:multiLevelType w:val="hybridMultilevel"/>
    <w:tmpl w:val="B43CF9CA"/>
    <w:lvl w:ilvl="0" w:tplc="2A44D0E6">
      <w:start w:val="1"/>
      <w:numFmt w:val="lowerLetter"/>
      <w:lvlText w:val="(%1)"/>
      <w:lvlJc w:val="left"/>
      <w:pPr>
        <w:tabs>
          <w:tab w:val="num" w:pos="720"/>
        </w:tabs>
        <w:ind w:left="720" w:hanging="360"/>
      </w:pPr>
      <w:rPr>
        <w:rFonts w:hint="default"/>
      </w:rPr>
    </w:lvl>
    <w:lvl w:ilvl="1" w:tplc="9AA2DB66">
      <w:start w:val="1"/>
      <w:numFmt w:val="bullet"/>
      <w:lvlText w:val=""/>
      <w:lvlJc w:val="left"/>
      <w:pPr>
        <w:tabs>
          <w:tab w:val="num" w:pos="1440"/>
        </w:tabs>
        <w:ind w:left="1440" w:hanging="360"/>
      </w:pPr>
      <w:rPr>
        <w:rFonts w:ascii="Symbol" w:hAnsi="Symbol" w:hint="default"/>
      </w:rPr>
    </w:lvl>
    <w:lvl w:ilvl="2" w:tplc="83FCEA7E" w:tentative="1">
      <w:start w:val="1"/>
      <w:numFmt w:val="bullet"/>
      <w:lvlText w:val=""/>
      <w:lvlJc w:val="left"/>
      <w:pPr>
        <w:tabs>
          <w:tab w:val="num" w:pos="2160"/>
        </w:tabs>
        <w:ind w:left="2160" w:hanging="360"/>
      </w:pPr>
      <w:rPr>
        <w:rFonts w:ascii="Symbol" w:hAnsi="Symbol" w:hint="default"/>
      </w:rPr>
    </w:lvl>
    <w:lvl w:ilvl="3" w:tplc="8D5C6428" w:tentative="1">
      <w:start w:val="1"/>
      <w:numFmt w:val="bullet"/>
      <w:lvlText w:val=""/>
      <w:lvlJc w:val="left"/>
      <w:pPr>
        <w:tabs>
          <w:tab w:val="num" w:pos="2880"/>
        </w:tabs>
        <w:ind w:left="2880" w:hanging="360"/>
      </w:pPr>
      <w:rPr>
        <w:rFonts w:ascii="Symbol" w:hAnsi="Symbol" w:hint="default"/>
      </w:rPr>
    </w:lvl>
    <w:lvl w:ilvl="4" w:tplc="DC900646" w:tentative="1">
      <w:start w:val="1"/>
      <w:numFmt w:val="bullet"/>
      <w:lvlText w:val=""/>
      <w:lvlJc w:val="left"/>
      <w:pPr>
        <w:tabs>
          <w:tab w:val="num" w:pos="3600"/>
        </w:tabs>
        <w:ind w:left="3600" w:hanging="360"/>
      </w:pPr>
      <w:rPr>
        <w:rFonts w:ascii="Symbol" w:hAnsi="Symbol" w:hint="default"/>
      </w:rPr>
    </w:lvl>
    <w:lvl w:ilvl="5" w:tplc="E72E5B1C" w:tentative="1">
      <w:start w:val="1"/>
      <w:numFmt w:val="bullet"/>
      <w:lvlText w:val=""/>
      <w:lvlJc w:val="left"/>
      <w:pPr>
        <w:tabs>
          <w:tab w:val="num" w:pos="4320"/>
        </w:tabs>
        <w:ind w:left="4320" w:hanging="360"/>
      </w:pPr>
      <w:rPr>
        <w:rFonts w:ascii="Symbol" w:hAnsi="Symbol" w:hint="default"/>
      </w:rPr>
    </w:lvl>
    <w:lvl w:ilvl="6" w:tplc="C7C6949C" w:tentative="1">
      <w:start w:val="1"/>
      <w:numFmt w:val="bullet"/>
      <w:lvlText w:val=""/>
      <w:lvlJc w:val="left"/>
      <w:pPr>
        <w:tabs>
          <w:tab w:val="num" w:pos="5040"/>
        </w:tabs>
        <w:ind w:left="5040" w:hanging="360"/>
      </w:pPr>
      <w:rPr>
        <w:rFonts w:ascii="Symbol" w:hAnsi="Symbol" w:hint="default"/>
      </w:rPr>
    </w:lvl>
    <w:lvl w:ilvl="7" w:tplc="B13AAADA" w:tentative="1">
      <w:start w:val="1"/>
      <w:numFmt w:val="bullet"/>
      <w:lvlText w:val=""/>
      <w:lvlJc w:val="left"/>
      <w:pPr>
        <w:tabs>
          <w:tab w:val="num" w:pos="5760"/>
        </w:tabs>
        <w:ind w:left="5760" w:hanging="360"/>
      </w:pPr>
      <w:rPr>
        <w:rFonts w:ascii="Symbol" w:hAnsi="Symbol" w:hint="default"/>
      </w:rPr>
    </w:lvl>
    <w:lvl w:ilvl="8" w:tplc="093EF3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7F00AA1"/>
    <w:multiLevelType w:val="hybridMultilevel"/>
    <w:tmpl w:val="E57087B6"/>
    <w:lvl w:ilvl="0" w:tplc="3F0AF4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1717C"/>
    <w:multiLevelType w:val="hybridMultilevel"/>
    <w:tmpl w:val="CC64C91C"/>
    <w:lvl w:ilvl="0" w:tplc="E3F01F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F604B"/>
    <w:multiLevelType w:val="hybridMultilevel"/>
    <w:tmpl w:val="CC50A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B27A7"/>
    <w:multiLevelType w:val="hybridMultilevel"/>
    <w:tmpl w:val="E578CBD4"/>
    <w:lvl w:ilvl="0" w:tplc="E3F01F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A56F6"/>
    <w:multiLevelType w:val="hybridMultilevel"/>
    <w:tmpl w:val="DDCEBB5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7A6D1D"/>
    <w:multiLevelType w:val="hybridMultilevel"/>
    <w:tmpl w:val="62524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F6944"/>
    <w:multiLevelType w:val="hybridMultilevel"/>
    <w:tmpl w:val="5E2E5E7A"/>
    <w:lvl w:ilvl="0" w:tplc="08090005">
      <w:start w:val="1"/>
      <w:numFmt w:val="bullet"/>
      <w:lvlText w:val=""/>
      <w:lvlJc w:val="left"/>
      <w:pPr>
        <w:ind w:left="1055" w:hanging="360"/>
      </w:pPr>
      <w:rPr>
        <w:rFonts w:ascii="Wingdings" w:hAnsi="Wingdings"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13" w15:restartNumberingAfterBreak="0">
    <w:nsid w:val="5BBB6BC1"/>
    <w:multiLevelType w:val="hybridMultilevel"/>
    <w:tmpl w:val="6292EC36"/>
    <w:lvl w:ilvl="0" w:tplc="A244A430">
      <w:start w:val="1"/>
      <w:numFmt w:val="decimal"/>
      <w:lvlText w:val="%1."/>
      <w:lvlJc w:val="left"/>
      <w:pPr>
        <w:tabs>
          <w:tab w:val="num" w:pos="720"/>
        </w:tabs>
        <w:ind w:left="720" w:hanging="360"/>
      </w:pPr>
    </w:lvl>
    <w:lvl w:ilvl="1" w:tplc="62C80E1A" w:tentative="1">
      <w:start w:val="1"/>
      <w:numFmt w:val="decimal"/>
      <w:lvlText w:val="%2."/>
      <w:lvlJc w:val="left"/>
      <w:pPr>
        <w:tabs>
          <w:tab w:val="num" w:pos="1440"/>
        </w:tabs>
        <w:ind w:left="1440" w:hanging="360"/>
      </w:pPr>
    </w:lvl>
    <w:lvl w:ilvl="2" w:tplc="63648DB4" w:tentative="1">
      <w:start w:val="1"/>
      <w:numFmt w:val="decimal"/>
      <w:lvlText w:val="%3."/>
      <w:lvlJc w:val="left"/>
      <w:pPr>
        <w:tabs>
          <w:tab w:val="num" w:pos="2160"/>
        </w:tabs>
        <w:ind w:left="2160" w:hanging="360"/>
      </w:pPr>
    </w:lvl>
    <w:lvl w:ilvl="3" w:tplc="AC26D272" w:tentative="1">
      <w:start w:val="1"/>
      <w:numFmt w:val="decimal"/>
      <w:lvlText w:val="%4."/>
      <w:lvlJc w:val="left"/>
      <w:pPr>
        <w:tabs>
          <w:tab w:val="num" w:pos="2880"/>
        </w:tabs>
        <w:ind w:left="2880" w:hanging="360"/>
      </w:pPr>
    </w:lvl>
    <w:lvl w:ilvl="4" w:tplc="EC5412E0" w:tentative="1">
      <w:start w:val="1"/>
      <w:numFmt w:val="decimal"/>
      <w:lvlText w:val="%5."/>
      <w:lvlJc w:val="left"/>
      <w:pPr>
        <w:tabs>
          <w:tab w:val="num" w:pos="3600"/>
        </w:tabs>
        <w:ind w:left="3600" w:hanging="360"/>
      </w:pPr>
    </w:lvl>
    <w:lvl w:ilvl="5" w:tplc="5A828772" w:tentative="1">
      <w:start w:val="1"/>
      <w:numFmt w:val="decimal"/>
      <w:lvlText w:val="%6."/>
      <w:lvlJc w:val="left"/>
      <w:pPr>
        <w:tabs>
          <w:tab w:val="num" w:pos="4320"/>
        </w:tabs>
        <w:ind w:left="4320" w:hanging="360"/>
      </w:pPr>
    </w:lvl>
    <w:lvl w:ilvl="6" w:tplc="A70ADF50" w:tentative="1">
      <w:start w:val="1"/>
      <w:numFmt w:val="decimal"/>
      <w:lvlText w:val="%7."/>
      <w:lvlJc w:val="left"/>
      <w:pPr>
        <w:tabs>
          <w:tab w:val="num" w:pos="5040"/>
        </w:tabs>
        <w:ind w:left="5040" w:hanging="360"/>
      </w:pPr>
    </w:lvl>
    <w:lvl w:ilvl="7" w:tplc="90D0F498" w:tentative="1">
      <w:start w:val="1"/>
      <w:numFmt w:val="decimal"/>
      <w:lvlText w:val="%8."/>
      <w:lvlJc w:val="left"/>
      <w:pPr>
        <w:tabs>
          <w:tab w:val="num" w:pos="5760"/>
        </w:tabs>
        <w:ind w:left="5760" w:hanging="360"/>
      </w:pPr>
    </w:lvl>
    <w:lvl w:ilvl="8" w:tplc="0B7CD390" w:tentative="1">
      <w:start w:val="1"/>
      <w:numFmt w:val="decimal"/>
      <w:lvlText w:val="%9."/>
      <w:lvlJc w:val="left"/>
      <w:pPr>
        <w:tabs>
          <w:tab w:val="num" w:pos="6480"/>
        </w:tabs>
        <w:ind w:left="6480" w:hanging="360"/>
      </w:pPr>
    </w:lvl>
  </w:abstractNum>
  <w:abstractNum w:abstractNumId="14" w15:restartNumberingAfterBreak="0">
    <w:nsid w:val="5C707D38"/>
    <w:multiLevelType w:val="hybridMultilevel"/>
    <w:tmpl w:val="58E49F14"/>
    <w:lvl w:ilvl="0" w:tplc="A02EA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C0B0E"/>
    <w:multiLevelType w:val="hybridMultilevel"/>
    <w:tmpl w:val="919E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522FB"/>
    <w:multiLevelType w:val="hybridMultilevel"/>
    <w:tmpl w:val="945646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314AE"/>
    <w:multiLevelType w:val="hybridMultilevel"/>
    <w:tmpl w:val="D0D031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43179"/>
    <w:multiLevelType w:val="hybridMultilevel"/>
    <w:tmpl w:val="B7FAA578"/>
    <w:lvl w:ilvl="0" w:tplc="6EFAEF04">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10"/>
  </w:num>
  <w:num w:numId="5">
    <w:abstractNumId w:val="11"/>
  </w:num>
  <w:num w:numId="6">
    <w:abstractNumId w:val="18"/>
  </w:num>
  <w:num w:numId="7">
    <w:abstractNumId w:val="1"/>
  </w:num>
  <w:num w:numId="8">
    <w:abstractNumId w:val="15"/>
  </w:num>
  <w:num w:numId="9">
    <w:abstractNumId w:val="5"/>
  </w:num>
  <w:num w:numId="10">
    <w:abstractNumId w:val="8"/>
  </w:num>
  <w:num w:numId="11">
    <w:abstractNumId w:val="2"/>
  </w:num>
  <w:num w:numId="12">
    <w:abstractNumId w:val="6"/>
  </w:num>
  <w:num w:numId="13">
    <w:abstractNumId w:val="0"/>
  </w:num>
  <w:num w:numId="14">
    <w:abstractNumId w:val="7"/>
  </w:num>
  <w:num w:numId="15">
    <w:abstractNumId w:val="17"/>
  </w:num>
  <w:num w:numId="16">
    <w:abstractNumId w:val="9"/>
  </w:num>
  <w:num w:numId="17">
    <w:abstractNumId w:val="14"/>
  </w:num>
  <w:num w:numId="18">
    <w:abstractNumId w:val="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8D"/>
    <w:rsid w:val="00000367"/>
    <w:rsid w:val="00000384"/>
    <w:rsid w:val="00002BBA"/>
    <w:rsid w:val="000038EB"/>
    <w:rsid w:val="00003C8E"/>
    <w:rsid w:val="00004C38"/>
    <w:rsid w:val="00005C36"/>
    <w:rsid w:val="0000758A"/>
    <w:rsid w:val="0000799A"/>
    <w:rsid w:val="000101B2"/>
    <w:rsid w:val="000105F1"/>
    <w:rsid w:val="00010797"/>
    <w:rsid w:val="00011D52"/>
    <w:rsid w:val="000124A4"/>
    <w:rsid w:val="00015D02"/>
    <w:rsid w:val="00015E79"/>
    <w:rsid w:val="00017993"/>
    <w:rsid w:val="0002143B"/>
    <w:rsid w:val="000214A4"/>
    <w:rsid w:val="00021F52"/>
    <w:rsid w:val="00023618"/>
    <w:rsid w:val="00024384"/>
    <w:rsid w:val="000243F7"/>
    <w:rsid w:val="00024579"/>
    <w:rsid w:val="00024BB7"/>
    <w:rsid w:val="0002573E"/>
    <w:rsid w:val="000258EF"/>
    <w:rsid w:val="00033C46"/>
    <w:rsid w:val="00034608"/>
    <w:rsid w:val="00034C2F"/>
    <w:rsid w:val="000403D2"/>
    <w:rsid w:val="000427F6"/>
    <w:rsid w:val="0004486E"/>
    <w:rsid w:val="00046B47"/>
    <w:rsid w:val="0005042A"/>
    <w:rsid w:val="0005109A"/>
    <w:rsid w:val="000525C6"/>
    <w:rsid w:val="00053851"/>
    <w:rsid w:val="000538B5"/>
    <w:rsid w:val="000540DF"/>
    <w:rsid w:val="00055AA8"/>
    <w:rsid w:val="00056B13"/>
    <w:rsid w:val="00057D8B"/>
    <w:rsid w:val="000613C3"/>
    <w:rsid w:val="00061B03"/>
    <w:rsid w:val="00061F73"/>
    <w:rsid w:val="00062823"/>
    <w:rsid w:val="000632C5"/>
    <w:rsid w:val="000635D9"/>
    <w:rsid w:val="00065916"/>
    <w:rsid w:val="00065AB5"/>
    <w:rsid w:val="00066406"/>
    <w:rsid w:val="00067226"/>
    <w:rsid w:val="00070E9B"/>
    <w:rsid w:val="0007371A"/>
    <w:rsid w:val="00073F87"/>
    <w:rsid w:val="000744F5"/>
    <w:rsid w:val="000763A7"/>
    <w:rsid w:val="00076885"/>
    <w:rsid w:val="00080135"/>
    <w:rsid w:val="00080572"/>
    <w:rsid w:val="00081396"/>
    <w:rsid w:val="00082118"/>
    <w:rsid w:val="0008267D"/>
    <w:rsid w:val="00083ACE"/>
    <w:rsid w:val="00084F28"/>
    <w:rsid w:val="00085A5B"/>
    <w:rsid w:val="00085E2D"/>
    <w:rsid w:val="00087E0C"/>
    <w:rsid w:val="00090819"/>
    <w:rsid w:val="00090EF9"/>
    <w:rsid w:val="00093E00"/>
    <w:rsid w:val="00094017"/>
    <w:rsid w:val="00095E6C"/>
    <w:rsid w:val="000A0903"/>
    <w:rsid w:val="000A1C2F"/>
    <w:rsid w:val="000A1F70"/>
    <w:rsid w:val="000A328C"/>
    <w:rsid w:val="000A3EA8"/>
    <w:rsid w:val="000A78DA"/>
    <w:rsid w:val="000B0F2C"/>
    <w:rsid w:val="000B23A4"/>
    <w:rsid w:val="000B2808"/>
    <w:rsid w:val="000B2910"/>
    <w:rsid w:val="000B3960"/>
    <w:rsid w:val="000B3DA7"/>
    <w:rsid w:val="000B54D9"/>
    <w:rsid w:val="000B560F"/>
    <w:rsid w:val="000B5AFD"/>
    <w:rsid w:val="000B6159"/>
    <w:rsid w:val="000B74AC"/>
    <w:rsid w:val="000B7B04"/>
    <w:rsid w:val="000B7EC4"/>
    <w:rsid w:val="000C0A47"/>
    <w:rsid w:val="000C2A71"/>
    <w:rsid w:val="000C556F"/>
    <w:rsid w:val="000C592E"/>
    <w:rsid w:val="000C5F19"/>
    <w:rsid w:val="000C67D0"/>
    <w:rsid w:val="000C6C5F"/>
    <w:rsid w:val="000D0B84"/>
    <w:rsid w:val="000D118F"/>
    <w:rsid w:val="000D2BCA"/>
    <w:rsid w:val="000D2F99"/>
    <w:rsid w:val="000D33F2"/>
    <w:rsid w:val="000D360E"/>
    <w:rsid w:val="000D45B3"/>
    <w:rsid w:val="000D4DFA"/>
    <w:rsid w:val="000D5753"/>
    <w:rsid w:val="000D75A6"/>
    <w:rsid w:val="000E3E65"/>
    <w:rsid w:val="000E5B9A"/>
    <w:rsid w:val="000E65FC"/>
    <w:rsid w:val="000E78B4"/>
    <w:rsid w:val="000F016F"/>
    <w:rsid w:val="000F0E90"/>
    <w:rsid w:val="000F1173"/>
    <w:rsid w:val="000F17C5"/>
    <w:rsid w:val="000F6E1F"/>
    <w:rsid w:val="00102298"/>
    <w:rsid w:val="001023A7"/>
    <w:rsid w:val="0010246B"/>
    <w:rsid w:val="00102B0E"/>
    <w:rsid w:val="00102FE0"/>
    <w:rsid w:val="00103340"/>
    <w:rsid w:val="0010559E"/>
    <w:rsid w:val="00105671"/>
    <w:rsid w:val="0010585C"/>
    <w:rsid w:val="001058DF"/>
    <w:rsid w:val="001119D5"/>
    <w:rsid w:val="00111BD4"/>
    <w:rsid w:val="00112AED"/>
    <w:rsid w:val="001132B8"/>
    <w:rsid w:val="001158C3"/>
    <w:rsid w:val="00120410"/>
    <w:rsid w:val="001205B6"/>
    <w:rsid w:val="001215B8"/>
    <w:rsid w:val="00122156"/>
    <w:rsid w:val="00122ACB"/>
    <w:rsid w:val="00122E80"/>
    <w:rsid w:val="00124338"/>
    <w:rsid w:val="0012475C"/>
    <w:rsid w:val="001260A6"/>
    <w:rsid w:val="00127A40"/>
    <w:rsid w:val="001315F0"/>
    <w:rsid w:val="001334F9"/>
    <w:rsid w:val="001360F2"/>
    <w:rsid w:val="0013699F"/>
    <w:rsid w:val="001402A5"/>
    <w:rsid w:val="0014061E"/>
    <w:rsid w:val="00140D84"/>
    <w:rsid w:val="00140E60"/>
    <w:rsid w:val="001419DC"/>
    <w:rsid w:val="00141D2D"/>
    <w:rsid w:val="00142863"/>
    <w:rsid w:val="001465CA"/>
    <w:rsid w:val="00146E52"/>
    <w:rsid w:val="001477BD"/>
    <w:rsid w:val="00150483"/>
    <w:rsid w:val="00150899"/>
    <w:rsid w:val="00151751"/>
    <w:rsid w:val="00151E25"/>
    <w:rsid w:val="0015385C"/>
    <w:rsid w:val="00153B1A"/>
    <w:rsid w:val="001543C0"/>
    <w:rsid w:val="001543FA"/>
    <w:rsid w:val="001545CF"/>
    <w:rsid w:val="00155BB5"/>
    <w:rsid w:val="00155E83"/>
    <w:rsid w:val="00157594"/>
    <w:rsid w:val="00161742"/>
    <w:rsid w:val="00161D66"/>
    <w:rsid w:val="00163309"/>
    <w:rsid w:val="001633AD"/>
    <w:rsid w:val="00170279"/>
    <w:rsid w:val="00171440"/>
    <w:rsid w:val="00171C32"/>
    <w:rsid w:val="00172E9F"/>
    <w:rsid w:val="0017392B"/>
    <w:rsid w:val="00174428"/>
    <w:rsid w:val="00174D4D"/>
    <w:rsid w:val="00175B35"/>
    <w:rsid w:val="00175E86"/>
    <w:rsid w:val="001769E2"/>
    <w:rsid w:val="00176DD1"/>
    <w:rsid w:val="00177AB1"/>
    <w:rsid w:val="001815EA"/>
    <w:rsid w:val="00181DDD"/>
    <w:rsid w:val="00183E96"/>
    <w:rsid w:val="0018530C"/>
    <w:rsid w:val="001865B9"/>
    <w:rsid w:val="00190B76"/>
    <w:rsid w:val="00191E03"/>
    <w:rsid w:val="001933C6"/>
    <w:rsid w:val="001940D2"/>
    <w:rsid w:val="00195BE5"/>
    <w:rsid w:val="00196572"/>
    <w:rsid w:val="00197014"/>
    <w:rsid w:val="001971ED"/>
    <w:rsid w:val="001A167D"/>
    <w:rsid w:val="001A2686"/>
    <w:rsid w:val="001A2933"/>
    <w:rsid w:val="001A2E93"/>
    <w:rsid w:val="001A32CC"/>
    <w:rsid w:val="001A33B0"/>
    <w:rsid w:val="001A4D95"/>
    <w:rsid w:val="001A718B"/>
    <w:rsid w:val="001B0E4A"/>
    <w:rsid w:val="001B11D4"/>
    <w:rsid w:val="001B1894"/>
    <w:rsid w:val="001B198B"/>
    <w:rsid w:val="001B4F45"/>
    <w:rsid w:val="001B5BBB"/>
    <w:rsid w:val="001B63E2"/>
    <w:rsid w:val="001B7984"/>
    <w:rsid w:val="001C035E"/>
    <w:rsid w:val="001C0FB0"/>
    <w:rsid w:val="001C1FE5"/>
    <w:rsid w:val="001C3549"/>
    <w:rsid w:val="001C3B4F"/>
    <w:rsid w:val="001C7682"/>
    <w:rsid w:val="001D0F58"/>
    <w:rsid w:val="001D1E4B"/>
    <w:rsid w:val="001D4222"/>
    <w:rsid w:val="001D46A0"/>
    <w:rsid w:val="001D4B0A"/>
    <w:rsid w:val="001D509E"/>
    <w:rsid w:val="001D686C"/>
    <w:rsid w:val="001D7BC3"/>
    <w:rsid w:val="001E0282"/>
    <w:rsid w:val="001E22AD"/>
    <w:rsid w:val="001E3672"/>
    <w:rsid w:val="001E434D"/>
    <w:rsid w:val="001E4BCC"/>
    <w:rsid w:val="001E5A0A"/>
    <w:rsid w:val="001E6673"/>
    <w:rsid w:val="001E78CD"/>
    <w:rsid w:val="001E7F19"/>
    <w:rsid w:val="001F0160"/>
    <w:rsid w:val="001F0628"/>
    <w:rsid w:val="001F0A62"/>
    <w:rsid w:val="001F0B0D"/>
    <w:rsid w:val="001F1655"/>
    <w:rsid w:val="001F25E2"/>
    <w:rsid w:val="001F5737"/>
    <w:rsid w:val="001F6BA4"/>
    <w:rsid w:val="001F70B5"/>
    <w:rsid w:val="002007D6"/>
    <w:rsid w:val="002022B2"/>
    <w:rsid w:val="002028BB"/>
    <w:rsid w:val="00202C8B"/>
    <w:rsid w:val="00203742"/>
    <w:rsid w:val="00203C05"/>
    <w:rsid w:val="00205D70"/>
    <w:rsid w:val="00206964"/>
    <w:rsid w:val="00206C47"/>
    <w:rsid w:val="00206E4B"/>
    <w:rsid w:val="00206EBC"/>
    <w:rsid w:val="002078C2"/>
    <w:rsid w:val="00211405"/>
    <w:rsid w:val="00211EE2"/>
    <w:rsid w:val="0021290E"/>
    <w:rsid w:val="00214EBB"/>
    <w:rsid w:val="00216F0C"/>
    <w:rsid w:val="00220DBD"/>
    <w:rsid w:val="00221864"/>
    <w:rsid w:val="00225357"/>
    <w:rsid w:val="00226D4B"/>
    <w:rsid w:val="00226DA4"/>
    <w:rsid w:val="00227125"/>
    <w:rsid w:val="00230088"/>
    <w:rsid w:val="002303F2"/>
    <w:rsid w:val="00230E3C"/>
    <w:rsid w:val="002329B3"/>
    <w:rsid w:val="00233BB9"/>
    <w:rsid w:val="00237BB0"/>
    <w:rsid w:val="0024062C"/>
    <w:rsid w:val="002408B5"/>
    <w:rsid w:val="0024205B"/>
    <w:rsid w:val="00242408"/>
    <w:rsid w:val="00242B7A"/>
    <w:rsid w:val="002454BD"/>
    <w:rsid w:val="0024670D"/>
    <w:rsid w:val="00246B4A"/>
    <w:rsid w:val="00250BB2"/>
    <w:rsid w:val="00250FCD"/>
    <w:rsid w:val="002524C5"/>
    <w:rsid w:val="0025284D"/>
    <w:rsid w:val="002528F8"/>
    <w:rsid w:val="00254A7E"/>
    <w:rsid w:val="002553C2"/>
    <w:rsid w:val="00255891"/>
    <w:rsid w:val="00255E0C"/>
    <w:rsid w:val="00256E8F"/>
    <w:rsid w:val="00257BAC"/>
    <w:rsid w:val="00261574"/>
    <w:rsid w:val="002627B3"/>
    <w:rsid w:val="00262E53"/>
    <w:rsid w:val="00263A4B"/>
    <w:rsid w:val="00265818"/>
    <w:rsid w:val="00267296"/>
    <w:rsid w:val="00267E58"/>
    <w:rsid w:val="00271D81"/>
    <w:rsid w:val="00272627"/>
    <w:rsid w:val="002726A9"/>
    <w:rsid w:val="00273A57"/>
    <w:rsid w:val="00274603"/>
    <w:rsid w:val="002761A6"/>
    <w:rsid w:val="00276D96"/>
    <w:rsid w:val="002770F0"/>
    <w:rsid w:val="00280997"/>
    <w:rsid w:val="00280BEA"/>
    <w:rsid w:val="002817AC"/>
    <w:rsid w:val="00283F5A"/>
    <w:rsid w:val="00284789"/>
    <w:rsid w:val="00285C7B"/>
    <w:rsid w:val="0028719A"/>
    <w:rsid w:val="002871E0"/>
    <w:rsid w:val="002912D0"/>
    <w:rsid w:val="002913C2"/>
    <w:rsid w:val="00295815"/>
    <w:rsid w:val="0029762A"/>
    <w:rsid w:val="002A011B"/>
    <w:rsid w:val="002A0223"/>
    <w:rsid w:val="002A160B"/>
    <w:rsid w:val="002A16A9"/>
    <w:rsid w:val="002A573B"/>
    <w:rsid w:val="002A7409"/>
    <w:rsid w:val="002B0734"/>
    <w:rsid w:val="002B0A97"/>
    <w:rsid w:val="002B1CB7"/>
    <w:rsid w:val="002B3D4C"/>
    <w:rsid w:val="002C2852"/>
    <w:rsid w:val="002C30CF"/>
    <w:rsid w:val="002C3E57"/>
    <w:rsid w:val="002C620B"/>
    <w:rsid w:val="002C75BE"/>
    <w:rsid w:val="002C796E"/>
    <w:rsid w:val="002D0326"/>
    <w:rsid w:val="002D056E"/>
    <w:rsid w:val="002D29FF"/>
    <w:rsid w:val="002D3470"/>
    <w:rsid w:val="002D369B"/>
    <w:rsid w:val="002D37A1"/>
    <w:rsid w:val="002D397B"/>
    <w:rsid w:val="002D3E58"/>
    <w:rsid w:val="002D66CA"/>
    <w:rsid w:val="002D74C8"/>
    <w:rsid w:val="002D773E"/>
    <w:rsid w:val="002E0053"/>
    <w:rsid w:val="002E0F82"/>
    <w:rsid w:val="002E220E"/>
    <w:rsid w:val="002E22D2"/>
    <w:rsid w:val="002E339B"/>
    <w:rsid w:val="002E3D6D"/>
    <w:rsid w:val="002E410C"/>
    <w:rsid w:val="002E4C8F"/>
    <w:rsid w:val="002E6C8C"/>
    <w:rsid w:val="002E730E"/>
    <w:rsid w:val="002F07CA"/>
    <w:rsid w:val="002F14CB"/>
    <w:rsid w:val="002F35DB"/>
    <w:rsid w:val="002F3DFF"/>
    <w:rsid w:val="002F3EC3"/>
    <w:rsid w:val="002F7244"/>
    <w:rsid w:val="002F7716"/>
    <w:rsid w:val="0030025E"/>
    <w:rsid w:val="0030189C"/>
    <w:rsid w:val="0030202F"/>
    <w:rsid w:val="00302A6E"/>
    <w:rsid w:val="003038FC"/>
    <w:rsid w:val="003046BC"/>
    <w:rsid w:val="00306301"/>
    <w:rsid w:val="00307A5A"/>
    <w:rsid w:val="00310AEA"/>
    <w:rsid w:val="0031175F"/>
    <w:rsid w:val="00311CAC"/>
    <w:rsid w:val="00312099"/>
    <w:rsid w:val="00312363"/>
    <w:rsid w:val="003136B3"/>
    <w:rsid w:val="00313ED3"/>
    <w:rsid w:val="00315BDF"/>
    <w:rsid w:val="0031658B"/>
    <w:rsid w:val="00316C00"/>
    <w:rsid w:val="00317590"/>
    <w:rsid w:val="00317988"/>
    <w:rsid w:val="00320953"/>
    <w:rsid w:val="00321CD8"/>
    <w:rsid w:val="003223B3"/>
    <w:rsid w:val="00323950"/>
    <w:rsid w:val="00325148"/>
    <w:rsid w:val="00330381"/>
    <w:rsid w:val="00332CF7"/>
    <w:rsid w:val="003351D8"/>
    <w:rsid w:val="00336ECA"/>
    <w:rsid w:val="00337D58"/>
    <w:rsid w:val="00340244"/>
    <w:rsid w:val="00342167"/>
    <w:rsid w:val="00343A6F"/>
    <w:rsid w:val="00346486"/>
    <w:rsid w:val="00347320"/>
    <w:rsid w:val="003475FB"/>
    <w:rsid w:val="00350C73"/>
    <w:rsid w:val="00352DBB"/>
    <w:rsid w:val="00352F21"/>
    <w:rsid w:val="0035321A"/>
    <w:rsid w:val="0035344E"/>
    <w:rsid w:val="00353F93"/>
    <w:rsid w:val="00357CE5"/>
    <w:rsid w:val="00360FD5"/>
    <w:rsid w:val="00362739"/>
    <w:rsid w:val="00362AED"/>
    <w:rsid w:val="003634E8"/>
    <w:rsid w:val="00364C3C"/>
    <w:rsid w:val="00367947"/>
    <w:rsid w:val="003703EA"/>
    <w:rsid w:val="003716F2"/>
    <w:rsid w:val="00373E62"/>
    <w:rsid w:val="003772FE"/>
    <w:rsid w:val="00381F91"/>
    <w:rsid w:val="00382DF5"/>
    <w:rsid w:val="003833B4"/>
    <w:rsid w:val="00387856"/>
    <w:rsid w:val="00387A7C"/>
    <w:rsid w:val="00390296"/>
    <w:rsid w:val="00390401"/>
    <w:rsid w:val="00392C72"/>
    <w:rsid w:val="00393094"/>
    <w:rsid w:val="00395558"/>
    <w:rsid w:val="00396551"/>
    <w:rsid w:val="003A4A37"/>
    <w:rsid w:val="003A4ADC"/>
    <w:rsid w:val="003A6B3B"/>
    <w:rsid w:val="003A7E63"/>
    <w:rsid w:val="003B0211"/>
    <w:rsid w:val="003B0938"/>
    <w:rsid w:val="003B0C8A"/>
    <w:rsid w:val="003B251D"/>
    <w:rsid w:val="003B276D"/>
    <w:rsid w:val="003B352B"/>
    <w:rsid w:val="003B36BF"/>
    <w:rsid w:val="003B3EF1"/>
    <w:rsid w:val="003B50D3"/>
    <w:rsid w:val="003B55E8"/>
    <w:rsid w:val="003B5676"/>
    <w:rsid w:val="003B57F1"/>
    <w:rsid w:val="003B5FEF"/>
    <w:rsid w:val="003B7717"/>
    <w:rsid w:val="003C23A1"/>
    <w:rsid w:val="003C3067"/>
    <w:rsid w:val="003C62A6"/>
    <w:rsid w:val="003C633B"/>
    <w:rsid w:val="003D05A8"/>
    <w:rsid w:val="003D38DA"/>
    <w:rsid w:val="003D487F"/>
    <w:rsid w:val="003D4FB9"/>
    <w:rsid w:val="003D74BA"/>
    <w:rsid w:val="003E0306"/>
    <w:rsid w:val="003E10EB"/>
    <w:rsid w:val="003E2109"/>
    <w:rsid w:val="003E2BEB"/>
    <w:rsid w:val="003E2CD2"/>
    <w:rsid w:val="003E43FA"/>
    <w:rsid w:val="003E4475"/>
    <w:rsid w:val="003F0F0F"/>
    <w:rsid w:val="003F42CF"/>
    <w:rsid w:val="003F4364"/>
    <w:rsid w:val="003F4723"/>
    <w:rsid w:val="003F5122"/>
    <w:rsid w:val="003F521E"/>
    <w:rsid w:val="004018B8"/>
    <w:rsid w:val="00402A7D"/>
    <w:rsid w:val="00405906"/>
    <w:rsid w:val="00407DD2"/>
    <w:rsid w:val="00410ED8"/>
    <w:rsid w:val="00414C08"/>
    <w:rsid w:val="00414EFB"/>
    <w:rsid w:val="0041631D"/>
    <w:rsid w:val="00416A4A"/>
    <w:rsid w:val="00416F8F"/>
    <w:rsid w:val="00417C80"/>
    <w:rsid w:val="00420414"/>
    <w:rsid w:val="00420838"/>
    <w:rsid w:val="00420D23"/>
    <w:rsid w:val="00421132"/>
    <w:rsid w:val="004243D3"/>
    <w:rsid w:val="00424737"/>
    <w:rsid w:val="004250CC"/>
    <w:rsid w:val="00425289"/>
    <w:rsid w:val="00426D6C"/>
    <w:rsid w:val="00430517"/>
    <w:rsid w:val="00431B7D"/>
    <w:rsid w:val="00432708"/>
    <w:rsid w:val="00435FC1"/>
    <w:rsid w:val="0043600F"/>
    <w:rsid w:val="00436377"/>
    <w:rsid w:val="0043707E"/>
    <w:rsid w:val="00441012"/>
    <w:rsid w:val="00441F13"/>
    <w:rsid w:val="004423A5"/>
    <w:rsid w:val="00443D66"/>
    <w:rsid w:val="00444E17"/>
    <w:rsid w:val="00445D58"/>
    <w:rsid w:val="004511A0"/>
    <w:rsid w:val="00452F5E"/>
    <w:rsid w:val="00454495"/>
    <w:rsid w:val="004544A4"/>
    <w:rsid w:val="00454ACD"/>
    <w:rsid w:val="004558F5"/>
    <w:rsid w:val="00455ACF"/>
    <w:rsid w:val="00457404"/>
    <w:rsid w:val="00457AA9"/>
    <w:rsid w:val="00461A25"/>
    <w:rsid w:val="00463AB5"/>
    <w:rsid w:val="0046401E"/>
    <w:rsid w:val="00472895"/>
    <w:rsid w:val="00473837"/>
    <w:rsid w:val="004746A5"/>
    <w:rsid w:val="004763C5"/>
    <w:rsid w:val="00477269"/>
    <w:rsid w:val="0047792A"/>
    <w:rsid w:val="0048084C"/>
    <w:rsid w:val="004809AB"/>
    <w:rsid w:val="00481BA9"/>
    <w:rsid w:val="00481F60"/>
    <w:rsid w:val="00484104"/>
    <w:rsid w:val="00484E5E"/>
    <w:rsid w:val="00484F0A"/>
    <w:rsid w:val="00485785"/>
    <w:rsid w:val="004860A8"/>
    <w:rsid w:val="00486836"/>
    <w:rsid w:val="00486AE7"/>
    <w:rsid w:val="00493D1B"/>
    <w:rsid w:val="004950A7"/>
    <w:rsid w:val="00495A82"/>
    <w:rsid w:val="00496F90"/>
    <w:rsid w:val="00497D66"/>
    <w:rsid w:val="004A0DBD"/>
    <w:rsid w:val="004A16E5"/>
    <w:rsid w:val="004A4A55"/>
    <w:rsid w:val="004A790F"/>
    <w:rsid w:val="004A791E"/>
    <w:rsid w:val="004A7EDA"/>
    <w:rsid w:val="004B0D17"/>
    <w:rsid w:val="004B1060"/>
    <w:rsid w:val="004B12DE"/>
    <w:rsid w:val="004B1FB3"/>
    <w:rsid w:val="004B2013"/>
    <w:rsid w:val="004B4CD6"/>
    <w:rsid w:val="004B5902"/>
    <w:rsid w:val="004B5E56"/>
    <w:rsid w:val="004B5F84"/>
    <w:rsid w:val="004B64C7"/>
    <w:rsid w:val="004C009D"/>
    <w:rsid w:val="004C00DE"/>
    <w:rsid w:val="004C068E"/>
    <w:rsid w:val="004C1625"/>
    <w:rsid w:val="004C1D2A"/>
    <w:rsid w:val="004C2049"/>
    <w:rsid w:val="004C4225"/>
    <w:rsid w:val="004C428C"/>
    <w:rsid w:val="004C4DB4"/>
    <w:rsid w:val="004C71B2"/>
    <w:rsid w:val="004D023C"/>
    <w:rsid w:val="004D46AA"/>
    <w:rsid w:val="004D51E5"/>
    <w:rsid w:val="004D624B"/>
    <w:rsid w:val="004E469C"/>
    <w:rsid w:val="004E4A8A"/>
    <w:rsid w:val="004E6A0A"/>
    <w:rsid w:val="004E6A88"/>
    <w:rsid w:val="004E6D7E"/>
    <w:rsid w:val="004F0AFE"/>
    <w:rsid w:val="004F43D0"/>
    <w:rsid w:val="004F5A10"/>
    <w:rsid w:val="004F5B3B"/>
    <w:rsid w:val="004F61DB"/>
    <w:rsid w:val="004F63D9"/>
    <w:rsid w:val="004F6B32"/>
    <w:rsid w:val="004F7BF8"/>
    <w:rsid w:val="005002F6"/>
    <w:rsid w:val="00501851"/>
    <w:rsid w:val="00501C7E"/>
    <w:rsid w:val="00503E14"/>
    <w:rsid w:val="00505FCF"/>
    <w:rsid w:val="00506335"/>
    <w:rsid w:val="0050659F"/>
    <w:rsid w:val="005067AD"/>
    <w:rsid w:val="00511F77"/>
    <w:rsid w:val="00513E41"/>
    <w:rsid w:val="005142B6"/>
    <w:rsid w:val="00514A3E"/>
    <w:rsid w:val="005167C9"/>
    <w:rsid w:val="0052027A"/>
    <w:rsid w:val="0052101F"/>
    <w:rsid w:val="00521A42"/>
    <w:rsid w:val="00525DE3"/>
    <w:rsid w:val="00526184"/>
    <w:rsid w:val="00526CC2"/>
    <w:rsid w:val="00532E58"/>
    <w:rsid w:val="005366BC"/>
    <w:rsid w:val="005373C2"/>
    <w:rsid w:val="00540EA3"/>
    <w:rsid w:val="00541173"/>
    <w:rsid w:val="0054177A"/>
    <w:rsid w:val="00542770"/>
    <w:rsid w:val="00542922"/>
    <w:rsid w:val="005432A3"/>
    <w:rsid w:val="00544810"/>
    <w:rsid w:val="00545138"/>
    <w:rsid w:val="00546129"/>
    <w:rsid w:val="0054673C"/>
    <w:rsid w:val="005478E1"/>
    <w:rsid w:val="00553546"/>
    <w:rsid w:val="00554623"/>
    <w:rsid w:val="00554859"/>
    <w:rsid w:val="00555CD5"/>
    <w:rsid w:val="00556794"/>
    <w:rsid w:val="00557271"/>
    <w:rsid w:val="005574F2"/>
    <w:rsid w:val="00557556"/>
    <w:rsid w:val="00557A90"/>
    <w:rsid w:val="0056051C"/>
    <w:rsid w:val="00565CD9"/>
    <w:rsid w:val="005671C1"/>
    <w:rsid w:val="0056761C"/>
    <w:rsid w:val="00567688"/>
    <w:rsid w:val="00570025"/>
    <w:rsid w:val="00570C4A"/>
    <w:rsid w:val="00571578"/>
    <w:rsid w:val="00571768"/>
    <w:rsid w:val="005728FE"/>
    <w:rsid w:val="00572953"/>
    <w:rsid w:val="00572DDF"/>
    <w:rsid w:val="0057320E"/>
    <w:rsid w:val="00573521"/>
    <w:rsid w:val="005739EA"/>
    <w:rsid w:val="00574013"/>
    <w:rsid w:val="0057594E"/>
    <w:rsid w:val="00577411"/>
    <w:rsid w:val="00577FBE"/>
    <w:rsid w:val="005800D7"/>
    <w:rsid w:val="00580894"/>
    <w:rsid w:val="005820A1"/>
    <w:rsid w:val="00583CCB"/>
    <w:rsid w:val="00585CA0"/>
    <w:rsid w:val="00587C9A"/>
    <w:rsid w:val="00591B1B"/>
    <w:rsid w:val="00591C53"/>
    <w:rsid w:val="005927B7"/>
    <w:rsid w:val="00593697"/>
    <w:rsid w:val="005937C5"/>
    <w:rsid w:val="005939BB"/>
    <w:rsid w:val="0059462F"/>
    <w:rsid w:val="005956AC"/>
    <w:rsid w:val="00595C6B"/>
    <w:rsid w:val="00596FE9"/>
    <w:rsid w:val="005971CE"/>
    <w:rsid w:val="005A1ACA"/>
    <w:rsid w:val="005A3D34"/>
    <w:rsid w:val="005A48D9"/>
    <w:rsid w:val="005A4EA0"/>
    <w:rsid w:val="005A6236"/>
    <w:rsid w:val="005A6D4E"/>
    <w:rsid w:val="005A7DD1"/>
    <w:rsid w:val="005B0F92"/>
    <w:rsid w:val="005B17B9"/>
    <w:rsid w:val="005B1ED6"/>
    <w:rsid w:val="005B4AC7"/>
    <w:rsid w:val="005B5090"/>
    <w:rsid w:val="005B5714"/>
    <w:rsid w:val="005B5B26"/>
    <w:rsid w:val="005C167A"/>
    <w:rsid w:val="005C27D1"/>
    <w:rsid w:val="005C3C28"/>
    <w:rsid w:val="005C4325"/>
    <w:rsid w:val="005C5391"/>
    <w:rsid w:val="005C6DDD"/>
    <w:rsid w:val="005C72D9"/>
    <w:rsid w:val="005D1150"/>
    <w:rsid w:val="005D1187"/>
    <w:rsid w:val="005D263F"/>
    <w:rsid w:val="005D3457"/>
    <w:rsid w:val="005D40D0"/>
    <w:rsid w:val="005D4D10"/>
    <w:rsid w:val="005D715E"/>
    <w:rsid w:val="005D7CC3"/>
    <w:rsid w:val="005E3748"/>
    <w:rsid w:val="005E3837"/>
    <w:rsid w:val="005E3A9E"/>
    <w:rsid w:val="005E4948"/>
    <w:rsid w:val="005E5428"/>
    <w:rsid w:val="005E67BD"/>
    <w:rsid w:val="005F0993"/>
    <w:rsid w:val="005F2F6B"/>
    <w:rsid w:val="005F3636"/>
    <w:rsid w:val="005F3C2C"/>
    <w:rsid w:val="005F4E54"/>
    <w:rsid w:val="005F60EA"/>
    <w:rsid w:val="005F630C"/>
    <w:rsid w:val="005F691C"/>
    <w:rsid w:val="005F6D67"/>
    <w:rsid w:val="00600132"/>
    <w:rsid w:val="006012AB"/>
    <w:rsid w:val="00603BF6"/>
    <w:rsid w:val="00603D08"/>
    <w:rsid w:val="0060615D"/>
    <w:rsid w:val="00607170"/>
    <w:rsid w:val="00607A4D"/>
    <w:rsid w:val="00610693"/>
    <w:rsid w:val="006115C2"/>
    <w:rsid w:val="00613847"/>
    <w:rsid w:val="0061460B"/>
    <w:rsid w:val="00614E4E"/>
    <w:rsid w:val="00616E18"/>
    <w:rsid w:val="0062045B"/>
    <w:rsid w:val="00620981"/>
    <w:rsid w:val="0062214B"/>
    <w:rsid w:val="0062221E"/>
    <w:rsid w:val="0062335D"/>
    <w:rsid w:val="006234FD"/>
    <w:rsid w:val="00624DBD"/>
    <w:rsid w:val="00624E72"/>
    <w:rsid w:val="00625379"/>
    <w:rsid w:val="006256B8"/>
    <w:rsid w:val="006261BB"/>
    <w:rsid w:val="00626706"/>
    <w:rsid w:val="006273A2"/>
    <w:rsid w:val="00630B8D"/>
    <w:rsid w:val="00630CB5"/>
    <w:rsid w:val="00632AEE"/>
    <w:rsid w:val="00632BD9"/>
    <w:rsid w:val="00634BC3"/>
    <w:rsid w:val="00637281"/>
    <w:rsid w:val="006378A2"/>
    <w:rsid w:val="00640C2A"/>
    <w:rsid w:val="00641485"/>
    <w:rsid w:val="006416FF"/>
    <w:rsid w:val="00641EBB"/>
    <w:rsid w:val="00642356"/>
    <w:rsid w:val="00642600"/>
    <w:rsid w:val="00642856"/>
    <w:rsid w:val="00642BE5"/>
    <w:rsid w:val="00643A85"/>
    <w:rsid w:val="00645620"/>
    <w:rsid w:val="006468B1"/>
    <w:rsid w:val="006519C8"/>
    <w:rsid w:val="00652B6B"/>
    <w:rsid w:val="00653099"/>
    <w:rsid w:val="006547A7"/>
    <w:rsid w:val="006548B5"/>
    <w:rsid w:val="00654D72"/>
    <w:rsid w:val="006572EC"/>
    <w:rsid w:val="00660692"/>
    <w:rsid w:val="00661462"/>
    <w:rsid w:val="00661970"/>
    <w:rsid w:val="00663495"/>
    <w:rsid w:val="006636A3"/>
    <w:rsid w:val="00663791"/>
    <w:rsid w:val="0066539E"/>
    <w:rsid w:val="00665BC2"/>
    <w:rsid w:val="00665D55"/>
    <w:rsid w:val="00665FA8"/>
    <w:rsid w:val="00666838"/>
    <w:rsid w:val="00672522"/>
    <w:rsid w:val="00673182"/>
    <w:rsid w:val="0067427D"/>
    <w:rsid w:val="00674619"/>
    <w:rsid w:val="006759F8"/>
    <w:rsid w:val="0067767D"/>
    <w:rsid w:val="006777DF"/>
    <w:rsid w:val="00680322"/>
    <w:rsid w:val="00682933"/>
    <w:rsid w:val="00683DEE"/>
    <w:rsid w:val="006847B5"/>
    <w:rsid w:val="00685F50"/>
    <w:rsid w:val="0068606F"/>
    <w:rsid w:val="006860F6"/>
    <w:rsid w:val="00687E7A"/>
    <w:rsid w:val="006902AA"/>
    <w:rsid w:val="00691179"/>
    <w:rsid w:val="00691FAD"/>
    <w:rsid w:val="006927F8"/>
    <w:rsid w:val="00692DF7"/>
    <w:rsid w:val="006950B7"/>
    <w:rsid w:val="0069643F"/>
    <w:rsid w:val="00696921"/>
    <w:rsid w:val="006A0504"/>
    <w:rsid w:val="006A15F2"/>
    <w:rsid w:val="006A222A"/>
    <w:rsid w:val="006A3940"/>
    <w:rsid w:val="006A642F"/>
    <w:rsid w:val="006B321D"/>
    <w:rsid w:val="006B342C"/>
    <w:rsid w:val="006B3AFD"/>
    <w:rsid w:val="006B4DFC"/>
    <w:rsid w:val="006B4F2E"/>
    <w:rsid w:val="006B7D6A"/>
    <w:rsid w:val="006C00B8"/>
    <w:rsid w:val="006C026C"/>
    <w:rsid w:val="006C0D67"/>
    <w:rsid w:val="006C1BC0"/>
    <w:rsid w:val="006C247F"/>
    <w:rsid w:val="006C2ACC"/>
    <w:rsid w:val="006C2FA8"/>
    <w:rsid w:val="006C3B70"/>
    <w:rsid w:val="006C4F64"/>
    <w:rsid w:val="006C67AE"/>
    <w:rsid w:val="006C7F34"/>
    <w:rsid w:val="006D002C"/>
    <w:rsid w:val="006D06D1"/>
    <w:rsid w:val="006D45AC"/>
    <w:rsid w:val="006D5526"/>
    <w:rsid w:val="006D685C"/>
    <w:rsid w:val="006E1AD8"/>
    <w:rsid w:val="006E532C"/>
    <w:rsid w:val="006E5DF0"/>
    <w:rsid w:val="006F0AAB"/>
    <w:rsid w:val="006F1709"/>
    <w:rsid w:val="006F2642"/>
    <w:rsid w:val="006F2984"/>
    <w:rsid w:val="006F3979"/>
    <w:rsid w:val="006F3F5E"/>
    <w:rsid w:val="006F4382"/>
    <w:rsid w:val="006F4508"/>
    <w:rsid w:val="006F464E"/>
    <w:rsid w:val="006F5CA1"/>
    <w:rsid w:val="00700ACC"/>
    <w:rsid w:val="00700F14"/>
    <w:rsid w:val="00701056"/>
    <w:rsid w:val="0070238C"/>
    <w:rsid w:val="00702676"/>
    <w:rsid w:val="007060FD"/>
    <w:rsid w:val="00706834"/>
    <w:rsid w:val="007073C7"/>
    <w:rsid w:val="00712A62"/>
    <w:rsid w:val="00713BF4"/>
    <w:rsid w:val="00713EF5"/>
    <w:rsid w:val="00714544"/>
    <w:rsid w:val="00715251"/>
    <w:rsid w:val="00715BE0"/>
    <w:rsid w:val="00716787"/>
    <w:rsid w:val="00717231"/>
    <w:rsid w:val="00721990"/>
    <w:rsid w:val="0072298C"/>
    <w:rsid w:val="00723AF1"/>
    <w:rsid w:val="00724383"/>
    <w:rsid w:val="00724A78"/>
    <w:rsid w:val="00724C31"/>
    <w:rsid w:val="00725BD9"/>
    <w:rsid w:val="00730D1A"/>
    <w:rsid w:val="0073213D"/>
    <w:rsid w:val="00732EDA"/>
    <w:rsid w:val="00735C64"/>
    <w:rsid w:val="007365B1"/>
    <w:rsid w:val="00736E78"/>
    <w:rsid w:val="00736E9B"/>
    <w:rsid w:val="007370DD"/>
    <w:rsid w:val="00737CB3"/>
    <w:rsid w:val="00740C32"/>
    <w:rsid w:val="0074131C"/>
    <w:rsid w:val="00742CA5"/>
    <w:rsid w:val="00742F4A"/>
    <w:rsid w:val="00744189"/>
    <w:rsid w:val="007445FC"/>
    <w:rsid w:val="00744A88"/>
    <w:rsid w:val="00745098"/>
    <w:rsid w:val="007458BC"/>
    <w:rsid w:val="007474FE"/>
    <w:rsid w:val="0075079F"/>
    <w:rsid w:val="00753F2C"/>
    <w:rsid w:val="00761C7A"/>
    <w:rsid w:val="00761DCE"/>
    <w:rsid w:val="00761F1B"/>
    <w:rsid w:val="0076233D"/>
    <w:rsid w:val="007633A2"/>
    <w:rsid w:val="007651F2"/>
    <w:rsid w:val="00765834"/>
    <w:rsid w:val="00765B2B"/>
    <w:rsid w:val="00766F7E"/>
    <w:rsid w:val="00770D2B"/>
    <w:rsid w:val="00771465"/>
    <w:rsid w:val="00772F5C"/>
    <w:rsid w:val="00773F28"/>
    <w:rsid w:val="007744D8"/>
    <w:rsid w:val="00774631"/>
    <w:rsid w:val="00776E09"/>
    <w:rsid w:val="00781C79"/>
    <w:rsid w:val="00782F18"/>
    <w:rsid w:val="00785C1B"/>
    <w:rsid w:val="00786060"/>
    <w:rsid w:val="007874BB"/>
    <w:rsid w:val="00794FCF"/>
    <w:rsid w:val="0079516A"/>
    <w:rsid w:val="00795291"/>
    <w:rsid w:val="00796CE0"/>
    <w:rsid w:val="007975C0"/>
    <w:rsid w:val="00797C33"/>
    <w:rsid w:val="007A10CE"/>
    <w:rsid w:val="007A2B19"/>
    <w:rsid w:val="007A551E"/>
    <w:rsid w:val="007A7436"/>
    <w:rsid w:val="007A7AF3"/>
    <w:rsid w:val="007B2726"/>
    <w:rsid w:val="007B2ACB"/>
    <w:rsid w:val="007B37BB"/>
    <w:rsid w:val="007B45DE"/>
    <w:rsid w:val="007C0B19"/>
    <w:rsid w:val="007C23B1"/>
    <w:rsid w:val="007C295A"/>
    <w:rsid w:val="007C4645"/>
    <w:rsid w:val="007C5C90"/>
    <w:rsid w:val="007C5DCC"/>
    <w:rsid w:val="007C61B9"/>
    <w:rsid w:val="007C6505"/>
    <w:rsid w:val="007C7426"/>
    <w:rsid w:val="007C7DC3"/>
    <w:rsid w:val="007D2B40"/>
    <w:rsid w:val="007D3694"/>
    <w:rsid w:val="007D69D0"/>
    <w:rsid w:val="007D6F18"/>
    <w:rsid w:val="007D7390"/>
    <w:rsid w:val="007D77D7"/>
    <w:rsid w:val="007E2345"/>
    <w:rsid w:val="007E2B6F"/>
    <w:rsid w:val="007E2DB9"/>
    <w:rsid w:val="007E3420"/>
    <w:rsid w:val="007E398D"/>
    <w:rsid w:val="007E52A0"/>
    <w:rsid w:val="007E5310"/>
    <w:rsid w:val="007E5A3E"/>
    <w:rsid w:val="007E5EF0"/>
    <w:rsid w:val="007E6021"/>
    <w:rsid w:val="007E6490"/>
    <w:rsid w:val="007E6D39"/>
    <w:rsid w:val="007F02E2"/>
    <w:rsid w:val="007F0DDC"/>
    <w:rsid w:val="007F1356"/>
    <w:rsid w:val="007F2244"/>
    <w:rsid w:val="007F2271"/>
    <w:rsid w:val="007F2422"/>
    <w:rsid w:val="007F285A"/>
    <w:rsid w:val="007F2940"/>
    <w:rsid w:val="007F383D"/>
    <w:rsid w:val="007F42D3"/>
    <w:rsid w:val="007F4331"/>
    <w:rsid w:val="007F45D2"/>
    <w:rsid w:val="007F4C42"/>
    <w:rsid w:val="00800A0F"/>
    <w:rsid w:val="00800DE1"/>
    <w:rsid w:val="00801008"/>
    <w:rsid w:val="00801011"/>
    <w:rsid w:val="008023AA"/>
    <w:rsid w:val="008025C0"/>
    <w:rsid w:val="008027D8"/>
    <w:rsid w:val="00802998"/>
    <w:rsid w:val="00803167"/>
    <w:rsid w:val="00803A82"/>
    <w:rsid w:val="0080496B"/>
    <w:rsid w:val="00804BBE"/>
    <w:rsid w:val="0080690C"/>
    <w:rsid w:val="008105B3"/>
    <w:rsid w:val="00811393"/>
    <w:rsid w:val="008117D4"/>
    <w:rsid w:val="0081472E"/>
    <w:rsid w:val="00815BA0"/>
    <w:rsid w:val="0081674F"/>
    <w:rsid w:val="00816C08"/>
    <w:rsid w:val="00816DE1"/>
    <w:rsid w:val="00820705"/>
    <w:rsid w:val="00820A59"/>
    <w:rsid w:val="00821BF2"/>
    <w:rsid w:val="008232A2"/>
    <w:rsid w:val="008233D2"/>
    <w:rsid w:val="00823C9B"/>
    <w:rsid w:val="00826F9F"/>
    <w:rsid w:val="0083002B"/>
    <w:rsid w:val="0083070A"/>
    <w:rsid w:val="00831030"/>
    <w:rsid w:val="0083248D"/>
    <w:rsid w:val="00833825"/>
    <w:rsid w:val="00834B5D"/>
    <w:rsid w:val="00836AF5"/>
    <w:rsid w:val="00840489"/>
    <w:rsid w:val="00840A7E"/>
    <w:rsid w:val="0084141D"/>
    <w:rsid w:val="00841B70"/>
    <w:rsid w:val="00841CF3"/>
    <w:rsid w:val="00844081"/>
    <w:rsid w:val="00844B17"/>
    <w:rsid w:val="008475F4"/>
    <w:rsid w:val="0085043B"/>
    <w:rsid w:val="00850B48"/>
    <w:rsid w:val="00850E56"/>
    <w:rsid w:val="00852F37"/>
    <w:rsid w:val="00853C5E"/>
    <w:rsid w:val="00853EAE"/>
    <w:rsid w:val="0085406A"/>
    <w:rsid w:val="00854812"/>
    <w:rsid w:val="008549AD"/>
    <w:rsid w:val="00855513"/>
    <w:rsid w:val="00856387"/>
    <w:rsid w:val="008610A9"/>
    <w:rsid w:val="00861D04"/>
    <w:rsid w:val="008634A4"/>
    <w:rsid w:val="00864360"/>
    <w:rsid w:val="008649A2"/>
    <w:rsid w:val="00865605"/>
    <w:rsid w:val="00871242"/>
    <w:rsid w:val="008717B1"/>
    <w:rsid w:val="00875821"/>
    <w:rsid w:val="00880085"/>
    <w:rsid w:val="0088090C"/>
    <w:rsid w:val="00883ADF"/>
    <w:rsid w:val="00884B1C"/>
    <w:rsid w:val="0088583F"/>
    <w:rsid w:val="008859C6"/>
    <w:rsid w:val="00885E3A"/>
    <w:rsid w:val="00890DC5"/>
    <w:rsid w:val="0089610D"/>
    <w:rsid w:val="0089648D"/>
    <w:rsid w:val="00896F15"/>
    <w:rsid w:val="00897A8D"/>
    <w:rsid w:val="008A0F9F"/>
    <w:rsid w:val="008A1787"/>
    <w:rsid w:val="008A1FF2"/>
    <w:rsid w:val="008A2158"/>
    <w:rsid w:val="008A257A"/>
    <w:rsid w:val="008A2F4A"/>
    <w:rsid w:val="008A37F8"/>
    <w:rsid w:val="008A447E"/>
    <w:rsid w:val="008A6077"/>
    <w:rsid w:val="008A6169"/>
    <w:rsid w:val="008A6434"/>
    <w:rsid w:val="008A6474"/>
    <w:rsid w:val="008A7890"/>
    <w:rsid w:val="008A7CB3"/>
    <w:rsid w:val="008B1B8C"/>
    <w:rsid w:val="008B2951"/>
    <w:rsid w:val="008B3083"/>
    <w:rsid w:val="008B3FA0"/>
    <w:rsid w:val="008B6390"/>
    <w:rsid w:val="008B6E8E"/>
    <w:rsid w:val="008C0CFD"/>
    <w:rsid w:val="008C1037"/>
    <w:rsid w:val="008C14AB"/>
    <w:rsid w:val="008C162F"/>
    <w:rsid w:val="008C26CB"/>
    <w:rsid w:val="008C36F5"/>
    <w:rsid w:val="008C458C"/>
    <w:rsid w:val="008C5D3D"/>
    <w:rsid w:val="008C6076"/>
    <w:rsid w:val="008D5E6E"/>
    <w:rsid w:val="008D6D95"/>
    <w:rsid w:val="008E1734"/>
    <w:rsid w:val="008E2BA8"/>
    <w:rsid w:val="008E34E1"/>
    <w:rsid w:val="008E3666"/>
    <w:rsid w:val="008E413A"/>
    <w:rsid w:val="008E4B99"/>
    <w:rsid w:val="008E5D8B"/>
    <w:rsid w:val="008E603D"/>
    <w:rsid w:val="008E65B7"/>
    <w:rsid w:val="008E6DB1"/>
    <w:rsid w:val="008E6DF9"/>
    <w:rsid w:val="008E7D31"/>
    <w:rsid w:val="008F02CF"/>
    <w:rsid w:val="008F0913"/>
    <w:rsid w:val="008F101D"/>
    <w:rsid w:val="008F378A"/>
    <w:rsid w:val="008F4062"/>
    <w:rsid w:val="008F5878"/>
    <w:rsid w:val="008F75EF"/>
    <w:rsid w:val="008F7AA6"/>
    <w:rsid w:val="00901234"/>
    <w:rsid w:val="00901261"/>
    <w:rsid w:val="00901ACB"/>
    <w:rsid w:val="00903204"/>
    <w:rsid w:val="0090329E"/>
    <w:rsid w:val="00904182"/>
    <w:rsid w:val="00904FA1"/>
    <w:rsid w:val="009062BA"/>
    <w:rsid w:val="009109B2"/>
    <w:rsid w:val="00913047"/>
    <w:rsid w:val="009155EE"/>
    <w:rsid w:val="00916025"/>
    <w:rsid w:val="00921A24"/>
    <w:rsid w:val="00921F41"/>
    <w:rsid w:val="00922B76"/>
    <w:rsid w:val="00922E95"/>
    <w:rsid w:val="00926A6F"/>
    <w:rsid w:val="009310DD"/>
    <w:rsid w:val="009319D9"/>
    <w:rsid w:val="00934320"/>
    <w:rsid w:val="00935355"/>
    <w:rsid w:val="00936059"/>
    <w:rsid w:val="00944E25"/>
    <w:rsid w:val="009520AD"/>
    <w:rsid w:val="00953FC3"/>
    <w:rsid w:val="00954780"/>
    <w:rsid w:val="009551B3"/>
    <w:rsid w:val="00956DAA"/>
    <w:rsid w:val="0096062E"/>
    <w:rsid w:val="009607AA"/>
    <w:rsid w:val="00960A04"/>
    <w:rsid w:val="00960C48"/>
    <w:rsid w:val="0096196C"/>
    <w:rsid w:val="00961F65"/>
    <w:rsid w:val="00962554"/>
    <w:rsid w:val="00962643"/>
    <w:rsid w:val="00962A75"/>
    <w:rsid w:val="009667B7"/>
    <w:rsid w:val="009702A7"/>
    <w:rsid w:val="00970FEB"/>
    <w:rsid w:val="009716AB"/>
    <w:rsid w:val="009746A9"/>
    <w:rsid w:val="009747D1"/>
    <w:rsid w:val="00975A29"/>
    <w:rsid w:val="00976905"/>
    <w:rsid w:val="00977ADA"/>
    <w:rsid w:val="00980341"/>
    <w:rsid w:val="009812A8"/>
    <w:rsid w:val="00981A79"/>
    <w:rsid w:val="0098200F"/>
    <w:rsid w:val="0098273C"/>
    <w:rsid w:val="0098332C"/>
    <w:rsid w:val="0098340E"/>
    <w:rsid w:val="00983C35"/>
    <w:rsid w:val="00985E2C"/>
    <w:rsid w:val="00986171"/>
    <w:rsid w:val="00987BC2"/>
    <w:rsid w:val="00990FD7"/>
    <w:rsid w:val="009912EB"/>
    <w:rsid w:val="00992B86"/>
    <w:rsid w:val="00994B42"/>
    <w:rsid w:val="009962E7"/>
    <w:rsid w:val="009A01CD"/>
    <w:rsid w:val="009A163E"/>
    <w:rsid w:val="009A1909"/>
    <w:rsid w:val="009A1C40"/>
    <w:rsid w:val="009A318C"/>
    <w:rsid w:val="009A3A1E"/>
    <w:rsid w:val="009A4CDE"/>
    <w:rsid w:val="009A5693"/>
    <w:rsid w:val="009A7A92"/>
    <w:rsid w:val="009B080E"/>
    <w:rsid w:val="009B2693"/>
    <w:rsid w:val="009B59F0"/>
    <w:rsid w:val="009B5DF8"/>
    <w:rsid w:val="009C20A3"/>
    <w:rsid w:val="009C3A7F"/>
    <w:rsid w:val="009C3D49"/>
    <w:rsid w:val="009C62D5"/>
    <w:rsid w:val="009C63F5"/>
    <w:rsid w:val="009C71EC"/>
    <w:rsid w:val="009D42C4"/>
    <w:rsid w:val="009D4F5D"/>
    <w:rsid w:val="009D503A"/>
    <w:rsid w:val="009D5857"/>
    <w:rsid w:val="009D7A58"/>
    <w:rsid w:val="009D7F7D"/>
    <w:rsid w:val="009E1CFD"/>
    <w:rsid w:val="009E1E78"/>
    <w:rsid w:val="009E288C"/>
    <w:rsid w:val="009E3C44"/>
    <w:rsid w:val="009F2833"/>
    <w:rsid w:val="009F449A"/>
    <w:rsid w:val="009F52A7"/>
    <w:rsid w:val="009F5323"/>
    <w:rsid w:val="009F565F"/>
    <w:rsid w:val="009F6506"/>
    <w:rsid w:val="00A0015D"/>
    <w:rsid w:val="00A00558"/>
    <w:rsid w:val="00A008D8"/>
    <w:rsid w:val="00A01E16"/>
    <w:rsid w:val="00A11185"/>
    <w:rsid w:val="00A11591"/>
    <w:rsid w:val="00A120A5"/>
    <w:rsid w:val="00A13A70"/>
    <w:rsid w:val="00A14D32"/>
    <w:rsid w:val="00A16487"/>
    <w:rsid w:val="00A17BE9"/>
    <w:rsid w:val="00A20B93"/>
    <w:rsid w:val="00A20FE1"/>
    <w:rsid w:val="00A24453"/>
    <w:rsid w:val="00A24873"/>
    <w:rsid w:val="00A2593A"/>
    <w:rsid w:val="00A26DDA"/>
    <w:rsid w:val="00A325A7"/>
    <w:rsid w:val="00A331B1"/>
    <w:rsid w:val="00A34B9C"/>
    <w:rsid w:val="00A35F84"/>
    <w:rsid w:val="00A4126A"/>
    <w:rsid w:val="00A437F9"/>
    <w:rsid w:val="00A444DC"/>
    <w:rsid w:val="00A444F9"/>
    <w:rsid w:val="00A5030C"/>
    <w:rsid w:val="00A52299"/>
    <w:rsid w:val="00A542CE"/>
    <w:rsid w:val="00A547D9"/>
    <w:rsid w:val="00A54A47"/>
    <w:rsid w:val="00A56C79"/>
    <w:rsid w:val="00A60DD3"/>
    <w:rsid w:val="00A61DBE"/>
    <w:rsid w:val="00A61E25"/>
    <w:rsid w:val="00A63CBA"/>
    <w:rsid w:val="00A662FF"/>
    <w:rsid w:val="00A71E4F"/>
    <w:rsid w:val="00A745AF"/>
    <w:rsid w:val="00A74801"/>
    <w:rsid w:val="00A75488"/>
    <w:rsid w:val="00A770E5"/>
    <w:rsid w:val="00A80142"/>
    <w:rsid w:val="00A80A1B"/>
    <w:rsid w:val="00A823E6"/>
    <w:rsid w:val="00A8246C"/>
    <w:rsid w:val="00A83EFA"/>
    <w:rsid w:val="00A84F61"/>
    <w:rsid w:val="00A860F3"/>
    <w:rsid w:val="00A90382"/>
    <w:rsid w:val="00A9168A"/>
    <w:rsid w:val="00A92699"/>
    <w:rsid w:val="00A92D3F"/>
    <w:rsid w:val="00A93F4B"/>
    <w:rsid w:val="00A95605"/>
    <w:rsid w:val="00A96E72"/>
    <w:rsid w:val="00A9768D"/>
    <w:rsid w:val="00A97E95"/>
    <w:rsid w:val="00AA0C06"/>
    <w:rsid w:val="00AA4651"/>
    <w:rsid w:val="00AA476F"/>
    <w:rsid w:val="00AA515A"/>
    <w:rsid w:val="00AA5A23"/>
    <w:rsid w:val="00AA6930"/>
    <w:rsid w:val="00AA6BA3"/>
    <w:rsid w:val="00AB0245"/>
    <w:rsid w:val="00AB1307"/>
    <w:rsid w:val="00AB1C47"/>
    <w:rsid w:val="00AB26E1"/>
    <w:rsid w:val="00AB57F0"/>
    <w:rsid w:val="00AB5EC8"/>
    <w:rsid w:val="00AC0CE0"/>
    <w:rsid w:val="00AC16F7"/>
    <w:rsid w:val="00AC2464"/>
    <w:rsid w:val="00AC4014"/>
    <w:rsid w:val="00AC46FE"/>
    <w:rsid w:val="00AC69A3"/>
    <w:rsid w:val="00AC72F4"/>
    <w:rsid w:val="00AD6446"/>
    <w:rsid w:val="00AD6E52"/>
    <w:rsid w:val="00AE0218"/>
    <w:rsid w:val="00AE0901"/>
    <w:rsid w:val="00AE0919"/>
    <w:rsid w:val="00AE1C06"/>
    <w:rsid w:val="00AE2B08"/>
    <w:rsid w:val="00AE4B4A"/>
    <w:rsid w:val="00AE595E"/>
    <w:rsid w:val="00AF22FB"/>
    <w:rsid w:val="00AF26E1"/>
    <w:rsid w:val="00AF2FF4"/>
    <w:rsid w:val="00AF3350"/>
    <w:rsid w:val="00AF366D"/>
    <w:rsid w:val="00AF3F49"/>
    <w:rsid w:val="00AF44D6"/>
    <w:rsid w:val="00AF514C"/>
    <w:rsid w:val="00AF65C4"/>
    <w:rsid w:val="00B004C7"/>
    <w:rsid w:val="00B00C03"/>
    <w:rsid w:val="00B025D9"/>
    <w:rsid w:val="00B04423"/>
    <w:rsid w:val="00B05065"/>
    <w:rsid w:val="00B05379"/>
    <w:rsid w:val="00B0550E"/>
    <w:rsid w:val="00B0626D"/>
    <w:rsid w:val="00B06386"/>
    <w:rsid w:val="00B07682"/>
    <w:rsid w:val="00B078BF"/>
    <w:rsid w:val="00B108D4"/>
    <w:rsid w:val="00B150CA"/>
    <w:rsid w:val="00B15894"/>
    <w:rsid w:val="00B1712D"/>
    <w:rsid w:val="00B1760E"/>
    <w:rsid w:val="00B20DD9"/>
    <w:rsid w:val="00B21324"/>
    <w:rsid w:val="00B213AF"/>
    <w:rsid w:val="00B22402"/>
    <w:rsid w:val="00B22469"/>
    <w:rsid w:val="00B23C54"/>
    <w:rsid w:val="00B24111"/>
    <w:rsid w:val="00B242CA"/>
    <w:rsid w:val="00B24BAD"/>
    <w:rsid w:val="00B26154"/>
    <w:rsid w:val="00B26B09"/>
    <w:rsid w:val="00B26B8E"/>
    <w:rsid w:val="00B27EA5"/>
    <w:rsid w:val="00B30CDE"/>
    <w:rsid w:val="00B322E8"/>
    <w:rsid w:val="00B33062"/>
    <w:rsid w:val="00B33163"/>
    <w:rsid w:val="00B33CC6"/>
    <w:rsid w:val="00B35D8C"/>
    <w:rsid w:val="00B40C14"/>
    <w:rsid w:val="00B42F71"/>
    <w:rsid w:val="00B43396"/>
    <w:rsid w:val="00B45CAD"/>
    <w:rsid w:val="00B46C51"/>
    <w:rsid w:val="00B47925"/>
    <w:rsid w:val="00B5025E"/>
    <w:rsid w:val="00B50DAC"/>
    <w:rsid w:val="00B52A77"/>
    <w:rsid w:val="00B5462B"/>
    <w:rsid w:val="00B54C11"/>
    <w:rsid w:val="00B60991"/>
    <w:rsid w:val="00B6233B"/>
    <w:rsid w:val="00B62496"/>
    <w:rsid w:val="00B64ACC"/>
    <w:rsid w:val="00B664AA"/>
    <w:rsid w:val="00B700B8"/>
    <w:rsid w:val="00B714B7"/>
    <w:rsid w:val="00B71593"/>
    <w:rsid w:val="00B7287C"/>
    <w:rsid w:val="00B7587C"/>
    <w:rsid w:val="00B7630E"/>
    <w:rsid w:val="00B76F3B"/>
    <w:rsid w:val="00B8080E"/>
    <w:rsid w:val="00B82976"/>
    <w:rsid w:val="00B84F4E"/>
    <w:rsid w:val="00B86077"/>
    <w:rsid w:val="00B86909"/>
    <w:rsid w:val="00B87D43"/>
    <w:rsid w:val="00B91FC6"/>
    <w:rsid w:val="00B927D6"/>
    <w:rsid w:val="00B95025"/>
    <w:rsid w:val="00B9587E"/>
    <w:rsid w:val="00B9606F"/>
    <w:rsid w:val="00BA0154"/>
    <w:rsid w:val="00BA04C5"/>
    <w:rsid w:val="00BA2BFE"/>
    <w:rsid w:val="00BA32BF"/>
    <w:rsid w:val="00BA5582"/>
    <w:rsid w:val="00BB026B"/>
    <w:rsid w:val="00BB425E"/>
    <w:rsid w:val="00BB44E5"/>
    <w:rsid w:val="00BB5F7E"/>
    <w:rsid w:val="00BB6A70"/>
    <w:rsid w:val="00BB7188"/>
    <w:rsid w:val="00BB7285"/>
    <w:rsid w:val="00BB73A1"/>
    <w:rsid w:val="00BC209C"/>
    <w:rsid w:val="00BC44A5"/>
    <w:rsid w:val="00BC5540"/>
    <w:rsid w:val="00BC5816"/>
    <w:rsid w:val="00BC5E9C"/>
    <w:rsid w:val="00BC6F66"/>
    <w:rsid w:val="00BC774D"/>
    <w:rsid w:val="00BC7DB5"/>
    <w:rsid w:val="00BD2233"/>
    <w:rsid w:val="00BD31B2"/>
    <w:rsid w:val="00BD3BCD"/>
    <w:rsid w:val="00BD3C68"/>
    <w:rsid w:val="00BE11B0"/>
    <w:rsid w:val="00BE43AB"/>
    <w:rsid w:val="00BE4A91"/>
    <w:rsid w:val="00BE6CEA"/>
    <w:rsid w:val="00BE7F71"/>
    <w:rsid w:val="00BF1232"/>
    <w:rsid w:val="00BF263D"/>
    <w:rsid w:val="00BF3561"/>
    <w:rsid w:val="00BF65B5"/>
    <w:rsid w:val="00BF6DBD"/>
    <w:rsid w:val="00BF6DC9"/>
    <w:rsid w:val="00BF708F"/>
    <w:rsid w:val="00C01975"/>
    <w:rsid w:val="00C02124"/>
    <w:rsid w:val="00C02549"/>
    <w:rsid w:val="00C033F4"/>
    <w:rsid w:val="00C05C6E"/>
    <w:rsid w:val="00C06465"/>
    <w:rsid w:val="00C0681B"/>
    <w:rsid w:val="00C139AF"/>
    <w:rsid w:val="00C13B26"/>
    <w:rsid w:val="00C1414E"/>
    <w:rsid w:val="00C14293"/>
    <w:rsid w:val="00C14EA4"/>
    <w:rsid w:val="00C16682"/>
    <w:rsid w:val="00C1798E"/>
    <w:rsid w:val="00C22100"/>
    <w:rsid w:val="00C2413D"/>
    <w:rsid w:val="00C253DC"/>
    <w:rsid w:val="00C26CD3"/>
    <w:rsid w:val="00C27E5F"/>
    <w:rsid w:val="00C30BD0"/>
    <w:rsid w:val="00C33451"/>
    <w:rsid w:val="00C34EE9"/>
    <w:rsid w:val="00C369C2"/>
    <w:rsid w:val="00C37526"/>
    <w:rsid w:val="00C4096D"/>
    <w:rsid w:val="00C42FAC"/>
    <w:rsid w:val="00C44195"/>
    <w:rsid w:val="00C44B4A"/>
    <w:rsid w:val="00C451DD"/>
    <w:rsid w:val="00C454E2"/>
    <w:rsid w:val="00C45A30"/>
    <w:rsid w:val="00C50009"/>
    <w:rsid w:val="00C506AF"/>
    <w:rsid w:val="00C51C9B"/>
    <w:rsid w:val="00C51FAD"/>
    <w:rsid w:val="00C526E7"/>
    <w:rsid w:val="00C53299"/>
    <w:rsid w:val="00C54B7A"/>
    <w:rsid w:val="00C55618"/>
    <w:rsid w:val="00C5609B"/>
    <w:rsid w:val="00C60404"/>
    <w:rsid w:val="00C61364"/>
    <w:rsid w:val="00C622C8"/>
    <w:rsid w:val="00C6329B"/>
    <w:rsid w:val="00C639DF"/>
    <w:rsid w:val="00C63CEE"/>
    <w:rsid w:val="00C65C62"/>
    <w:rsid w:val="00C678E8"/>
    <w:rsid w:val="00C70B73"/>
    <w:rsid w:val="00C72F59"/>
    <w:rsid w:val="00C746A7"/>
    <w:rsid w:val="00C74CC2"/>
    <w:rsid w:val="00C7500F"/>
    <w:rsid w:val="00C76B62"/>
    <w:rsid w:val="00C778BD"/>
    <w:rsid w:val="00C8155A"/>
    <w:rsid w:val="00C81676"/>
    <w:rsid w:val="00C8318E"/>
    <w:rsid w:val="00C83364"/>
    <w:rsid w:val="00C84640"/>
    <w:rsid w:val="00C905DA"/>
    <w:rsid w:val="00C91F5F"/>
    <w:rsid w:val="00C93649"/>
    <w:rsid w:val="00C938F2"/>
    <w:rsid w:val="00C94839"/>
    <w:rsid w:val="00C94A54"/>
    <w:rsid w:val="00C94D0F"/>
    <w:rsid w:val="00C9620D"/>
    <w:rsid w:val="00C96A2C"/>
    <w:rsid w:val="00CA07E9"/>
    <w:rsid w:val="00CA10AF"/>
    <w:rsid w:val="00CA2619"/>
    <w:rsid w:val="00CA363D"/>
    <w:rsid w:val="00CA6312"/>
    <w:rsid w:val="00CA6350"/>
    <w:rsid w:val="00CA6614"/>
    <w:rsid w:val="00CA702C"/>
    <w:rsid w:val="00CB048D"/>
    <w:rsid w:val="00CB2ED2"/>
    <w:rsid w:val="00CB7974"/>
    <w:rsid w:val="00CC139E"/>
    <w:rsid w:val="00CC2CFB"/>
    <w:rsid w:val="00CC37AC"/>
    <w:rsid w:val="00CC547C"/>
    <w:rsid w:val="00CC6C57"/>
    <w:rsid w:val="00CC71FB"/>
    <w:rsid w:val="00CC7809"/>
    <w:rsid w:val="00CC7E3A"/>
    <w:rsid w:val="00CD244A"/>
    <w:rsid w:val="00CD2D93"/>
    <w:rsid w:val="00CD3088"/>
    <w:rsid w:val="00CD435D"/>
    <w:rsid w:val="00CD6393"/>
    <w:rsid w:val="00CD6D5C"/>
    <w:rsid w:val="00CD7DFB"/>
    <w:rsid w:val="00CE0893"/>
    <w:rsid w:val="00CE199A"/>
    <w:rsid w:val="00CE2135"/>
    <w:rsid w:val="00CE33CA"/>
    <w:rsid w:val="00CE3A3F"/>
    <w:rsid w:val="00CE400C"/>
    <w:rsid w:val="00CE43F3"/>
    <w:rsid w:val="00CE4B28"/>
    <w:rsid w:val="00CE6899"/>
    <w:rsid w:val="00CE7C49"/>
    <w:rsid w:val="00CF0192"/>
    <w:rsid w:val="00CF0C4A"/>
    <w:rsid w:val="00CF0E2F"/>
    <w:rsid w:val="00CF1838"/>
    <w:rsid w:val="00CF2ECE"/>
    <w:rsid w:val="00CF37DA"/>
    <w:rsid w:val="00CF4C5F"/>
    <w:rsid w:val="00CF72D5"/>
    <w:rsid w:val="00CF7E1E"/>
    <w:rsid w:val="00D003D8"/>
    <w:rsid w:val="00D01C09"/>
    <w:rsid w:val="00D03AE8"/>
    <w:rsid w:val="00D03E4D"/>
    <w:rsid w:val="00D0403A"/>
    <w:rsid w:val="00D04300"/>
    <w:rsid w:val="00D05413"/>
    <w:rsid w:val="00D1042D"/>
    <w:rsid w:val="00D1344A"/>
    <w:rsid w:val="00D140BD"/>
    <w:rsid w:val="00D15E94"/>
    <w:rsid w:val="00D163B2"/>
    <w:rsid w:val="00D202D7"/>
    <w:rsid w:val="00D240F7"/>
    <w:rsid w:val="00D24DAB"/>
    <w:rsid w:val="00D24E8A"/>
    <w:rsid w:val="00D254A6"/>
    <w:rsid w:val="00D25553"/>
    <w:rsid w:val="00D257D8"/>
    <w:rsid w:val="00D25934"/>
    <w:rsid w:val="00D25CD8"/>
    <w:rsid w:val="00D30621"/>
    <w:rsid w:val="00D31277"/>
    <w:rsid w:val="00D32560"/>
    <w:rsid w:val="00D32F6F"/>
    <w:rsid w:val="00D33F4F"/>
    <w:rsid w:val="00D34374"/>
    <w:rsid w:val="00D343FE"/>
    <w:rsid w:val="00D35595"/>
    <w:rsid w:val="00D37462"/>
    <w:rsid w:val="00D40FE4"/>
    <w:rsid w:val="00D4193D"/>
    <w:rsid w:val="00D41CAE"/>
    <w:rsid w:val="00D43F03"/>
    <w:rsid w:val="00D44A6B"/>
    <w:rsid w:val="00D45120"/>
    <w:rsid w:val="00D460C9"/>
    <w:rsid w:val="00D4707C"/>
    <w:rsid w:val="00D47250"/>
    <w:rsid w:val="00D5217B"/>
    <w:rsid w:val="00D523C8"/>
    <w:rsid w:val="00D52FE5"/>
    <w:rsid w:val="00D532DA"/>
    <w:rsid w:val="00D53F98"/>
    <w:rsid w:val="00D55BE3"/>
    <w:rsid w:val="00D55D48"/>
    <w:rsid w:val="00D55D54"/>
    <w:rsid w:val="00D616C7"/>
    <w:rsid w:val="00D61BA3"/>
    <w:rsid w:val="00D62899"/>
    <w:rsid w:val="00D62E70"/>
    <w:rsid w:val="00D638F5"/>
    <w:rsid w:val="00D65BCD"/>
    <w:rsid w:val="00D6620C"/>
    <w:rsid w:val="00D676F8"/>
    <w:rsid w:val="00D67714"/>
    <w:rsid w:val="00D67869"/>
    <w:rsid w:val="00D67FC7"/>
    <w:rsid w:val="00D7113B"/>
    <w:rsid w:val="00D72962"/>
    <w:rsid w:val="00D7413C"/>
    <w:rsid w:val="00D7477E"/>
    <w:rsid w:val="00D74B7C"/>
    <w:rsid w:val="00D76156"/>
    <w:rsid w:val="00D77790"/>
    <w:rsid w:val="00D83011"/>
    <w:rsid w:val="00D8341B"/>
    <w:rsid w:val="00D85A9D"/>
    <w:rsid w:val="00D863F7"/>
    <w:rsid w:val="00D86649"/>
    <w:rsid w:val="00D869E3"/>
    <w:rsid w:val="00D87AA5"/>
    <w:rsid w:val="00D90529"/>
    <w:rsid w:val="00D918AE"/>
    <w:rsid w:val="00D91BF2"/>
    <w:rsid w:val="00D93EF5"/>
    <w:rsid w:val="00D95EBB"/>
    <w:rsid w:val="00D96E8A"/>
    <w:rsid w:val="00D974F7"/>
    <w:rsid w:val="00D97555"/>
    <w:rsid w:val="00DA090F"/>
    <w:rsid w:val="00DA33CB"/>
    <w:rsid w:val="00DA3E63"/>
    <w:rsid w:val="00DB024D"/>
    <w:rsid w:val="00DB05FE"/>
    <w:rsid w:val="00DB1BFD"/>
    <w:rsid w:val="00DB1C1E"/>
    <w:rsid w:val="00DB2D4A"/>
    <w:rsid w:val="00DB4E8D"/>
    <w:rsid w:val="00DB509C"/>
    <w:rsid w:val="00DB6450"/>
    <w:rsid w:val="00DC1344"/>
    <w:rsid w:val="00DC1552"/>
    <w:rsid w:val="00DC21C9"/>
    <w:rsid w:val="00DC2277"/>
    <w:rsid w:val="00DC2F1E"/>
    <w:rsid w:val="00DC4035"/>
    <w:rsid w:val="00DC43F9"/>
    <w:rsid w:val="00DC6D11"/>
    <w:rsid w:val="00DC7B18"/>
    <w:rsid w:val="00DD1AEF"/>
    <w:rsid w:val="00DD24A1"/>
    <w:rsid w:val="00DD2DD1"/>
    <w:rsid w:val="00DD4113"/>
    <w:rsid w:val="00DD4F08"/>
    <w:rsid w:val="00DD4F9F"/>
    <w:rsid w:val="00DD5BCF"/>
    <w:rsid w:val="00DD67D7"/>
    <w:rsid w:val="00DD7726"/>
    <w:rsid w:val="00DE01CA"/>
    <w:rsid w:val="00DE1582"/>
    <w:rsid w:val="00DE200D"/>
    <w:rsid w:val="00DE27EE"/>
    <w:rsid w:val="00DE35B5"/>
    <w:rsid w:val="00DE3E5F"/>
    <w:rsid w:val="00DE5821"/>
    <w:rsid w:val="00DE5E1C"/>
    <w:rsid w:val="00DE63FA"/>
    <w:rsid w:val="00DE6594"/>
    <w:rsid w:val="00DE66E5"/>
    <w:rsid w:val="00DF1A64"/>
    <w:rsid w:val="00DF1C8C"/>
    <w:rsid w:val="00DF4686"/>
    <w:rsid w:val="00DF4963"/>
    <w:rsid w:val="00DF74DD"/>
    <w:rsid w:val="00E00D0C"/>
    <w:rsid w:val="00E00DBE"/>
    <w:rsid w:val="00E010C4"/>
    <w:rsid w:val="00E032CB"/>
    <w:rsid w:val="00E05E31"/>
    <w:rsid w:val="00E07BA2"/>
    <w:rsid w:val="00E10199"/>
    <w:rsid w:val="00E103DA"/>
    <w:rsid w:val="00E104F2"/>
    <w:rsid w:val="00E111FD"/>
    <w:rsid w:val="00E14E36"/>
    <w:rsid w:val="00E172CC"/>
    <w:rsid w:val="00E17FCC"/>
    <w:rsid w:val="00E23128"/>
    <w:rsid w:val="00E233A9"/>
    <w:rsid w:val="00E23DEA"/>
    <w:rsid w:val="00E2516E"/>
    <w:rsid w:val="00E267AE"/>
    <w:rsid w:val="00E2768E"/>
    <w:rsid w:val="00E32F1A"/>
    <w:rsid w:val="00E3379D"/>
    <w:rsid w:val="00E346BD"/>
    <w:rsid w:val="00E358A6"/>
    <w:rsid w:val="00E36C5E"/>
    <w:rsid w:val="00E40143"/>
    <w:rsid w:val="00E40C8A"/>
    <w:rsid w:val="00E4124D"/>
    <w:rsid w:val="00E41BE6"/>
    <w:rsid w:val="00E41CD8"/>
    <w:rsid w:val="00E41D1D"/>
    <w:rsid w:val="00E43283"/>
    <w:rsid w:val="00E43C14"/>
    <w:rsid w:val="00E44045"/>
    <w:rsid w:val="00E44694"/>
    <w:rsid w:val="00E44C71"/>
    <w:rsid w:val="00E46129"/>
    <w:rsid w:val="00E47A25"/>
    <w:rsid w:val="00E51816"/>
    <w:rsid w:val="00E548C2"/>
    <w:rsid w:val="00E54C6A"/>
    <w:rsid w:val="00E5520C"/>
    <w:rsid w:val="00E56DC6"/>
    <w:rsid w:val="00E56EB0"/>
    <w:rsid w:val="00E5700A"/>
    <w:rsid w:val="00E576A4"/>
    <w:rsid w:val="00E57C4F"/>
    <w:rsid w:val="00E57D88"/>
    <w:rsid w:val="00E60E37"/>
    <w:rsid w:val="00E62F47"/>
    <w:rsid w:val="00E63C5C"/>
    <w:rsid w:val="00E642BA"/>
    <w:rsid w:val="00E6433B"/>
    <w:rsid w:val="00E645B5"/>
    <w:rsid w:val="00E6515F"/>
    <w:rsid w:val="00E67110"/>
    <w:rsid w:val="00E70925"/>
    <w:rsid w:val="00E722EA"/>
    <w:rsid w:val="00E7293A"/>
    <w:rsid w:val="00E73BCA"/>
    <w:rsid w:val="00E750BA"/>
    <w:rsid w:val="00E76363"/>
    <w:rsid w:val="00E766E3"/>
    <w:rsid w:val="00E80CE1"/>
    <w:rsid w:val="00E819B5"/>
    <w:rsid w:val="00E82B98"/>
    <w:rsid w:val="00E84410"/>
    <w:rsid w:val="00E84418"/>
    <w:rsid w:val="00E86744"/>
    <w:rsid w:val="00E869F5"/>
    <w:rsid w:val="00E86E15"/>
    <w:rsid w:val="00E8729C"/>
    <w:rsid w:val="00E9092B"/>
    <w:rsid w:val="00E9106D"/>
    <w:rsid w:val="00E916BA"/>
    <w:rsid w:val="00E91A58"/>
    <w:rsid w:val="00E92954"/>
    <w:rsid w:val="00E93F8E"/>
    <w:rsid w:val="00E9434E"/>
    <w:rsid w:val="00E94ABF"/>
    <w:rsid w:val="00EA0FAD"/>
    <w:rsid w:val="00EA1355"/>
    <w:rsid w:val="00EA33B4"/>
    <w:rsid w:val="00EA5685"/>
    <w:rsid w:val="00EA6A23"/>
    <w:rsid w:val="00EA6D44"/>
    <w:rsid w:val="00EA70F0"/>
    <w:rsid w:val="00EA7F33"/>
    <w:rsid w:val="00EB024E"/>
    <w:rsid w:val="00EB0613"/>
    <w:rsid w:val="00EB0CF1"/>
    <w:rsid w:val="00EB1D60"/>
    <w:rsid w:val="00EB491D"/>
    <w:rsid w:val="00EB5939"/>
    <w:rsid w:val="00EB60B4"/>
    <w:rsid w:val="00EB7325"/>
    <w:rsid w:val="00EC1A6B"/>
    <w:rsid w:val="00EC3521"/>
    <w:rsid w:val="00EC39CE"/>
    <w:rsid w:val="00EC4303"/>
    <w:rsid w:val="00EC49F8"/>
    <w:rsid w:val="00EC748A"/>
    <w:rsid w:val="00EC7830"/>
    <w:rsid w:val="00EC7D6E"/>
    <w:rsid w:val="00ED055B"/>
    <w:rsid w:val="00ED1069"/>
    <w:rsid w:val="00ED22C6"/>
    <w:rsid w:val="00ED3917"/>
    <w:rsid w:val="00ED4111"/>
    <w:rsid w:val="00ED7426"/>
    <w:rsid w:val="00ED7576"/>
    <w:rsid w:val="00EE038B"/>
    <w:rsid w:val="00EE0D90"/>
    <w:rsid w:val="00EE0E42"/>
    <w:rsid w:val="00EE3EB4"/>
    <w:rsid w:val="00EE411A"/>
    <w:rsid w:val="00EE418A"/>
    <w:rsid w:val="00EE4357"/>
    <w:rsid w:val="00EE48FE"/>
    <w:rsid w:val="00EF15C4"/>
    <w:rsid w:val="00EF3173"/>
    <w:rsid w:val="00EF3B74"/>
    <w:rsid w:val="00EF41EB"/>
    <w:rsid w:val="00EF5043"/>
    <w:rsid w:val="00EF53A6"/>
    <w:rsid w:val="00EF5AEF"/>
    <w:rsid w:val="00EF7931"/>
    <w:rsid w:val="00F04015"/>
    <w:rsid w:val="00F06DDD"/>
    <w:rsid w:val="00F10A31"/>
    <w:rsid w:val="00F115D7"/>
    <w:rsid w:val="00F15ABE"/>
    <w:rsid w:val="00F16157"/>
    <w:rsid w:val="00F166D9"/>
    <w:rsid w:val="00F16C51"/>
    <w:rsid w:val="00F17334"/>
    <w:rsid w:val="00F20585"/>
    <w:rsid w:val="00F2117C"/>
    <w:rsid w:val="00F22900"/>
    <w:rsid w:val="00F2358A"/>
    <w:rsid w:val="00F23601"/>
    <w:rsid w:val="00F256EC"/>
    <w:rsid w:val="00F25D22"/>
    <w:rsid w:val="00F262A0"/>
    <w:rsid w:val="00F300FC"/>
    <w:rsid w:val="00F30700"/>
    <w:rsid w:val="00F3070E"/>
    <w:rsid w:val="00F3257F"/>
    <w:rsid w:val="00F3378C"/>
    <w:rsid w:val="00F338FA"/>
    <w:rsid w:val="00F34CC9"/>
    <w:rsid w:val="00F37F4F"/>
    <w:rsid w:val="00F40E72"/>
    <w:rsid w:val="00F41137"/>
    <w:rsid w:val="00F4215D"/>
    <w:rsid w:val="00F4234A"/>
    <w:rsid w:val="00F43724"/>
    <w:rsid w:val="00F468E9"/>
    <w:rsid w:val="00F5074D"/>
    <w:rsid w:val="00F508A4"/>
    <w:rsid w:val="00F509B1"/>
    <w:rsid w:val="00F51212"/>
    <w:rsid w:val="00F517B7"/>
    <w:rsid w:val="00F5221C"/>
    <w:rsid w:val="00F52264"/>
    <w:rsid w:val="00F52A84"/>
    <w:rsid w:val="00F53078"/>
    <w:rsid w:val="00F5345D"/>
    <w:rsid w:val="00F540B2"/>
    <w:rsid w:val="00F5412A"/>
    <w:rsid w:val="00F5487D"/>
    <w:rsid w:val="00F557ED"/>
    <w:rsid w:val="00F5641C"/>
    <w:rsid w:val="00F56F53"/>
    <w:rsid w:val="00F572CC"/>
    <w:rsid w:val="00F57821"/>
    <w:rsid w:val="00F604B3"/>
    <w:rsid w:val="00F6114E"/>
    <w:rsid w:val="00F61CF4"/>
    <w:rsid w:val="00F61E84"/>
    <w:rsid w:val="00F63356"/>
    <w:rsid w:val="00F63C0A"/>
    <w:rsid w:val="00F65930"/>
    <w:rsid w:val="00F664B1"/>
    <w:rsid w:val="00F667B5"/>
    <w:rsid w:val="00F678D5"/>
    <w:rsid w:val="00F7031A"/>
    <w:rsid w:val="00F70736"/>
    <w:rsid w:val="00F71FC9"/>
    <w:rsid w:val="00F722AD"/>
    <w:rsid w:val="00F72D53"/>
    <w:rsid w:val="00F76E98"/>
    <w:rsid w:val="00F76FD2"/>
    <w:rsid w:val="00F81844"/>
    <w:rsid w:val="00F83214"/>
    <w:rsid w:val="00F8384C"/>
    <w:rsid w:val="00F84ED6"/>
    <w:rsid w:val="00F8504E"/>
    <w:rsid w:val="00F8729A"/>
    <w:rsid w:val="00F91BB1"/>
    <w:rsid w:val="00F92209"/>
    <w:rsid w:val="00F92B87"/>
    <w:rsid w:val="00F954E0"/>
    <w:rsid w:val="00F97222"/>
    <w:rsid w:val="00F97B8D"/>
    <w:rsid w:val="00F97FCB"/>
    <w:rsid w:val="00FA06C2"/>
    <w:rsid w:val="00FA105A"/>
    <w:rsid w:val="00FA378E"/>
    <w:rsid w:val="00FA4EB5"/>
    <w:rsid w:val="00FA538E"/>
    <w:rsid w:val="00FA61D9"/>
    <w:rsid w:val="00FA645F"/>
    <w:rsid w:val="00FB0084"/>
    <w:rsid w:val="00FB22B6"/>
    <w:rsid w:val="00FB3644"/>
    <w:rsid w:val="00FC0A9C"/>
    <w:rsid w:val="00FC20D2"/>
    <w:rsid w:val="00FC283D"/>
    <w:rsid w:val="00FC2C31"/>
    <w:rsid w:val="00FC2F5E"/>
    <w:rsid w:val="00FC399B"/>
    <w:rsid w:val="00FC3EA1"/>
    <w:rsid w:val="00FC43C6"/>
    <w:rsid w:val="00FC6498"/>
    <w:rsid w:val="00FD00AC"/>
    <w:rsid w:val="00FD1B1F"/>
    <w:rsid w:val="00FD2C13"/>
    <w:rsid w:val="00FD302A"/>
    <w:rsid w:val="00FD426D"/>
    <w:rsid w:val="00FD5300"/>
    <w:rsid w:val="00FD546A"/>
    <w:rsid w:val="00FD5DA5"/>
    <w:rsid w:val="00FD5ECB"/>
    <w:rsid w:val="00FD7052"/>
    <w:rsid w:val="00FD722C"/>
    <w:rsid w:val="00FE22A9"/>
    <w:rsid w:val="00FE4C3B"/>
    <w:rsid w:val="00FE5705"/>
    <w:rsid w:val="00FE6A86"/>
    <w:rsid w:val="00FE6B07"/>
    <w:rsid w:val="00FE6B59"/>
    <w:rsid w:val="00FE7D06"/>
    <w:rsid w:val="00FF088F"/>
    <w:rsid w:val="00FF0CD1"/>
    <w:rsid w:val="00FF15C8"/>
    <w:rsid w:val="00FF24AF"/>
    <w:rsid w:val="00FF33CD"/>
    <w:rsid w:val="00FF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430010"/>
  <w15:chartTrackingRefBased/>
  <w15:docId w15:val="{03EEFB5C-41E5-4C50-8CD9-5A16C708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93"/>
    <w:pPr>
      <w:spacing w:after="100" w:line="312" w:lineRule="auto"/>
    </w:pPr>
    <w:rPr>
      <w:rFonts w:ascii="Calibri Light" w:eastAsiaTheme="minorEastAsia" w:hAnsi="Calibri Light"/>
      <w:lang w:eastAsia="en-GB"/>
    </w:rPr>
  </w:style>
  <w:style w:type="paragraph" w:styleId="Heading1">
    <w:name w:val="heading 1"/>
    <w:basedOn w:val="Normal"/>
    <w:next w:val="Normal"/>
    <w:link w:val="Heading1Char"/>
    <w:uiPriority w:val="9"/>
    <w:qFormat/>
    <w:rsid w:val="00F97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7F4F"/>
    <w:pPr>
      <w:keepNext/>
      <w:keepLines/>
      <w:spacing w:before="40" w:after="0"/>
      <w:outlineLvl w:val="2"/>
    </w:pPr>
    <w:rPr>
      <w:rFonts w:asciiTheme="majorHAnsi" w:eastAsiaTheme="majorEastAsia" w:hAnsiTheme="majorHAnsi" w:cstheme="majorBidi"/>
      <w:i/>
      <w:color w:val="2F5496" w:themeColor="accent1" w:themeShade="BF"/>
      <w:sz w:val="24"/>
      <w:szCs w:val="24"/>
    </w:rPr>
  </w:style>
  <w:style w:type="paragraph" w:styleId="Heading4">
    <w:name w:val="heading 4"/>
    <w:basedOn w:val="ListParagraph"/>
    <w:next w:val="Normal"/>
    <w:link w:val="Heading4Char"/>
    <w:uiPriority w:val="9"/>
    <w:unhideWhenUsed/>
    <w:qFormat/>
    <w:rsid w:val="00473837"/>
    <w:pPr>
      <w:keepNext/>
      <w:numPr>
        <w:numId w:val="6"/>
      </w:numPr>
      <w:ind w:hanging="720"/>
      <w:outlineLvl w:val="3"/>
    </w:pPr>
    <w:rPr>
      <w:color w:val="2F5496" w:themeColor="accent1" w:themeShade="BF"/>
    </w:rPr>
  </w:style>
  <w:style w:type="paragraph" w:styleId="Heading5">
    <w:name w:val="heading 5"/>
    <w:basedOn w:val="Normal"/>
    <w:next w:val="Normal"/>
    <w:link w:val="Heading5Char"/>
    <w:uiPriority w:val="9"/>
    <w:unhideWhenUsed/>
    <w:qFormat/>
    <w:rsid w:val="00F205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3A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3A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qFormat/>
    <w:rsid w:val="00794FCF"/>
    <w:pPr>
      <w:spacing w:after="60" w:line="288" w:lineRule="auto"/>
      <w:ind w:left="720" w:hanging="720"/>
    </w:pPr>
    <w:rPr>
      <w:sz w:val="20"/>
      <w:szCs w:val="20"/>
    </w:rPr>
  </w:style>
  <w:style w:type="character" w:customStyle="1" w:styleId="FootnoteTextChar">
    <w:name w:val="Footnote Text Char"/>
    <w:basedOn w:val="DefaultParagraphFont"/>
    <w:link w:val="FootnoteText"/>
    <w:uiPriority w:val="99"/>
    <w:rsid w:val="00794FCF"/>
    <w:rPr>
      <w:rFonts w:eastAsiaTheme="minorEastAsia"/>
      <w:sz w:val="20"/>
      <w:szCs w:val="20"/>
      <w:lang w:eastAsia="en-GB"/>
    </w:rPr>
  </w:style>
  <w:style w:type="paragraph" w:styleId="Subtitle">
    <w:name w:val="Subtitle"/>
    <w:basedOn w:val="Normal"/>
    <w:next w:val="Normal"/>
    <w:link w:val="SubtitleChar"/>
    <w:uiPriority w:val="11"/>
    <w:qFormat/>
    <w:rsid w:val="00F97B8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97B8D"/>
    <w:rPr>
      <w:rFonts w:eastAsiaTheme="minorEastAsia"/>
      <w:color w:val="5A5A5A" w:themeColor="text1" w:themeTint="A5"/>
      <w:spacing w:val="15"/>
      <w:lang w:eastAsia="en-GB"/>
    </w:rPr>
  </w:style>
  <w:style w:type="character" w:customStyle="1" w:styleId="Heading1Char">
    <w:name w:val="Heading 1 Char"/>
    <w:basedOn w:val="DefaultParagraphFont"/>
    <w:link w:val="Heading1"/>
    <w:uiPriority w:val="9"/>
    <w:rsid w:val="00F97B8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739E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F37F4F"/>
    <w:rPr>
      <w:rFonts w:asciiTheme="majorHAnsi" w:eastAsiaTheme="majorEastAsia" w:hAnsiTheme="majorHAnsi" w:cstheme="majorBidi"/>
      <w:i/>
      <w:color w:val="2F5496" w:themeColor="accent1" w:themeShade="BF"/>
      <w:sz w:val="24"/>
      <w:szCs w:val="24"/>
      <w:lang w:eastAsia="en-GB"/>
    </w:rPr>
  </w:style>
  <w:style w:type="character" w:styleId="FootnoteReference">
    <w:name w:val="footnote reference"/>
    <w:basedOn w:val="DefaultParagraphFont"/>
    <w:uiPriority w:val="99"/>
    <w:semiHidden/>
    <w:unhideWhenUsed/>
    <w:rsid w:val="00081396"/>
    <w:rPr>
      <w:vertAlign w:val="superscript"/>
    </w:rPr>
  </w:style>
  <w:style w:type="paragraph" w:styleId="ListParagraph">
    <w:name w:val="List Paragraph"/>
    <w:basedOn w:val="Normal"/>
    <w:uiPriority w:val="34"/>
    <w:qFormat/>
    <w:rsid w:val="00195BE5"/>
    <w:pPr>
      <w:numPr>
        <w:numId w:val="2"/>
      </w:numPr>
      <w:contextualSpacing/>
    </w:pPr>
  </w:style>
  <w:style w:type="character" w:styleId="Hyperlink">
    <w:name w:val="Hyperlink"/>
    <w:basedOn w:val="DefaultParagraphFont"/>
    <w:uiPriority w:val="99"/>
    <w:unhideWhenUsed/>
    <w:rsid w:val="00607A4D"/>
    <w:rPr>
      <w:color w:val="0563C1" w:themeColor="hyperlink"/>
      <w:u w:val="single"/>
    </w:rPr>
  </w:style>
  <w:style w:type="character" w:styleId="UnresolvedMention">
    <w:name w:val="Unresolved Mention"/>
    <w:basedOn w:val="DefaultParagraphFont"/>
    <w:uiPriority w:val="99"/>
    <w:semiHidden/>
    <w:unhideWhenUsed/>
    <w:rsid w:val="00607A4D"/>
    <w:rPr>
      <w:color w:val="808080"/>
      <w:shd w:val="clear" w:color="auto" w:fill="E6E6E6"/>
    </w:rPr>
  </w:style>
  <w:style w:type="character" w:styleId="FollowedHyperlink">
    <w:name w:val="FollowedHyperlink"/>
    <w:basedOn w:val="DefaultParagraphFont"/>
    <w:uiPriority w:val="99"/>
    <w:semiHidden/>
    <w:unhideWhenUsed/>
    <w:rsid w:val="008649A2"/>
    <w:rPr>
      <w:color w:val="954F72" w:themeColor="followedHyperlink"/>
      <w:u w:val="single"/>
    </w:rPr>
  </w:style>
  <w:style w:type="paragraph" w:styleId="Quote">
    <w:name w:val="Quote"/>
    <w:basedOn w:val="Normal"/>
    <w:next w:val="Normal"/>
    <w:link w:val="QuoteChar"/>
    <w:uiPriority w:val="29"/>
    <w:qFormat/>
    <w:rsid w:val="00195BE5"/>
    <w:pPr>
      <w:ind w:left="720"/>
    </w:pPr>
  </w:style>
  <w:style w:type="character" w:customStyle="1" w:styleId="QuoteChar">
    <w:name w:val="Quote Char"/>
    <w:basedOn w:val="DefaultParagraphFont"/>
    <w:link w:val="Quote"/>
    <w:uiPriority w:val="29"/>
    <w:rsid w:val="00195BE5"/>
    <w:rPr>
      <w:rFonts w:eastAsiaTheme="minorEastAsia"/>
      <w:lang w:eastAsia="en-GB"/>
    </w:rPr>
  </w:style>
  <w:style w:type="paragraph" w:styleId="BalloonText">
    <w:name w:val="Balloon Text"/>
    <w:basedOn w:val="Normal"/>
    <w:link w:val="BalloonTextChar"/>
    <w:uiPriority w:val="99"/>
    <w:semiHidden/>
    <w:unhideWhenUsed/>
    <w:rsid w:val="00FF3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CD"/>
    <w:rPr>
      <w:rFonts w:ascii="Segoe UI" w:eastAsiaTheme="minorEastAsia" w:hAnsi="Segoe UI" w:cs="Segoe UI"/>
      <w:sz w:val="18"/>
      <w:szCs w:val="18"/>
      <w:lang w:eastAsia="en-GB"/>
    </w:rPr>
  </w:style>
  <w:style w:type="table" w:styleId="TableGrid">
    <w:name w:val="Table Grid"/>
    <w:basedOn w:val="TableNormal"/>
    <w:uiPriority w:val="39"/>
    <w:rsid w:val="0069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DA09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unhideWhenUsed/>
    <w:qFormat/>
    <w:rsid w:val="004A7EDA"/>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473837"/>
    <w:rPr>
      <w:rFonts w:ascii="Calibri Light" w:eastAsiaTheme="minorEastAsia" w:hAnsi="Calibri Light"/>
      <w:color w:val="2F5496" w:themeColor="accent1" w:themeShade="BF"/>
      <w:lang w:eastAsia="en-GB"/>
    </w:rPr>
  </w:style>
  <w:style w:type="paragraph" w:styleId="PlainText">
    <w:name w:val="Plain Text"/>
    <w:basedOn w:val="Normal"/>
    <w:link w:val="PlainTextChar"/>
    <w:uiPriority w:val="99"/>
    <w:semiHidden/>
    <w:unhideWhenUsed/>
    <w:rsid w:val="00172E9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72E9F"/>
    <w:rPr>
      <w:rFonts w:ascii="Calibri" w:hAnsi="Calibri"/>
      <w:szCs w:val="21"/>
    </w:rPr>
  </w:style>
  <w:style w:type="paragraph" w:styleId="Header">
    <w:name w:val="header"/>
    <w:basedOn w:val="Normal"/>
    <w:link w:val="HeaderChar"/>
    <w:uiPriority w:val="99"/>
    <w:unhideWhenUsed/>
    <w:rsid w:val="009A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693"/>
    <w:rPr>
      <w:rFonts w:eastAsiaTheme="minorEastAsia"/>
      <w:lang w:eastAsia="en-GB"/>
    </w:rPr>
  </w:style>
  <w:style w:type="paragraph" w:styleId="Footer">
    <w:name w:val="footer"/>
    <w:basedOn w:val="Normal"/>
    <w:link w:val="FooterChar"/>
    <w:uiPriority w:val="99"/>
    <w:unhideWhenUsed/>
    <w:rsid w:val="009A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693"/>
    <w:rPr>
      <w:rFonts w:eastAsiaTheme="minorEastAsia"/>
      <w:lang w:eastAsia="en-GB"/>
    </w:rPr>
  </w:style>
  <w:style w:type="character" w:styleId="EndnoteReference">
    <w:name w:val="endnote reference"/>
    <w:basedOn w:val="DefaultParagraphFont"/>
    <w:uiPriority w:val="99"/>
    <w:semiHidden/>
    <w:unhideWhenUsed/>
    <w:rsid w:val="009A5693"/>
    <w:rPr>
      <w:vertAlign w:val="superscript"/>
    </w:rPr>
  </w:style>
  <w:style w:type="character" w:styleId="CommentReference">
    <w:name w:val="annotation reference"/>
    <w:basedOn w:val="DefaultParagraphFont"/>
    <w:uiPriority w:val="99"/>
    <w:semiHidden/>
    <w:unhideWhenUsed/>
    <w:rsid w:val="008717B1"/>
    <w:rPr>
      <w:sz w:val="16"/>
      <w:szCs w:val="16"/>
    </w:rPr>
  </w:style>
  <w:style w:type="paragraph" w:styleId="CommentText">
    <w:name w:val="annotation text"/>
    <w:basedOn w:val="Normal"/>
    <w:link w:val="CommentTextChar"/>
    <w:uiPriority w:val="99"/>
    <w:semiHidden/>
    <w:unhideWhenUsed/>
    <w:rsid w:val="008717B1"/>
    <w:pPr>
      <w:spacing w:line="240" w:lineRule="auto"/>
    </w:pPr>
    <w:rPr>
      <w:sz w:val="20"/>
      <w:szCs w:val="20"/>
    </w:rPr>
  </w:style>
  <w:style w:type="character" w:customStyle="1" w:styleId="CommentTextChar">
    <w:name w:val="Comment Text Char"/>
    <w:basedOn w:val="DefaultParagraphFont"/>
    <w:link w:val="CommentText"/>
    <w:uiPriority w:val="99"/>
    <w:semiHidden/>
    <w:rsid w:val="008717B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717B1"/>
    <w:rPr>
      <w:b/>
      <w:bCs/>
    </w:rPr>
  </w:style>
  <w:style w:type="character" w:customStyle="1" w:styleId="CommentSubjectChar">
    <w:name w:val="Comment Subject Char"/>
    <w:basedOn w:val="CommentTextChar"/>
    <w:link w:val="CommentSubject"/>
    <w:uiPriority w:val="99"/>
    <w:semiHidden/>
    <w:rsid w:val="008717B1"/>
    <w:rPr>
      <w:rFonts w:eastAsiaTheme="minorEastAsia"/>
      <w:b/>
      <w:bCs/>
      <w:sz w:val="20"/>
      <w:szCs w:val="20"/>
      <w:lang w:eastAsia="en-GB"/>
    </w:rPr>
  </w:style>
  <w:style w:type="paragraph" w:styleId="Revision">
    <w:name w:val="Revision"/>
    <w:hidden/>
    <w:uiPriority w:val="99"/>
    <w:semiHidden/>
    <w:rsid w:val="00382DF5"/>
    <w:pPr>
      <w:spacing w:after="0" w:line="240" w:lineRule="auto"/>
    </w:pPr>
    <w:rPr>
      <w:rFonts w:eastAsiaTheme="minorEastAsia"/>
      <w:lang w:eastAsia="en-GB"/>
    </w:rPr>
  </w:style>
  <w:style w:type="character" w:customStyle="1" w:styleId="Heading5Char">
    <w:name w:val="Heading 5 Char"/>
    <w:basedOn w:val="DefaultParagraphFont"/>
    <w:link w:val="Heading5"/>
    <w:uiPriority w:val="9"/>
    <w:rsid w:val="00F20585"/>
    <w:rPr>
      <w:rFonts w:asciiTheme="majorHAnsi" w:eastAsiaTheme="majorEastAsia" w:hAnsiTheme="majorHAnsi" w:cstheme="majorBidi"/>
      <w:color w:val="2F5496" w:themeColor="accent1" w:themeShade="BF"/>
      <w:lang w:eastAsia="en-GB"/>
    </w:rPr>
  </w:style>
  <w:style w:type="paragraph" w:styleId="EndnoteText">
    <w:name w:val="endnote text"/>
    <w:basedOn w:val="Normal"/>
    <w:link w:val="EndnoteTextChar"/>
    <w:uiPriority w:val="99"/>
    <w:semiHidden/>
    <w:unhideWhenUsed/>
    <w:rsid w:val="00F205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585"/>
    <w:rPr>
      <w:rFonts w:ascii="Calibri Light" w:eastAsiaTheme="minorEastAsia" w:hAnsi="Calibri Light"/>
      <w:sz w:val="20"/>
      <w:szCs w:val="20"/>
      <w:lang w:eastAsia="en-GB"/>
    </w:rPr>
  </w:style>
  <w:style w:type="character" w:styleId="PlaceholderText">
    <w:name w:val="Placeholder Text"/>
    <w:basedOn w:val="DefaultParagraphFont"/>
    <w:uiPriority w:val="99"/>
    <w:semiHidden/>
    <w:rsid w:val="006C3B70"/>
    <w:rPr>
      <w:color w:val="808080"/>
    </w:rPr>
  </w:style>
  <w:style w:type="paragraph" w:customStyle="1" w:styleId="Referencelist">
    <w:name w:val="Reference list"/>
    <w:basedOn w:val="Normal"/>
    <w:link w:val="ReferencelistChar"/>
    <w:qFormat/>
    <w:rsid w:val="00C81676"/>
    <w:pPr>
      <w:spacing w:line="480" w:lineRule="exact"/>
      <w:ind w:left="720" w:hanging="720"/>
    </w:pPr>
    <w:rPr>
      <w:rFonts w:ascii="Nyala" w:hAnsi="Nyala"/>
      <w:szCs w:val="20"/>
      <w:lang w:eastAsia="en-US"/>
    </w:rPr>
  </w:style>
  <w:style w:type="character" w:customStyle="1" w:styleId="ReferencelistChar">
    <w:name w:val="Reference list Char"/>
    <w:basedOn w:val="DefaultParagraphFont"/>
    <w:link w:val="Referencelist"/>
    <w:rsid w:val="00C81676"/>
    <w:rPr>
      <w:rFonts w:ascii="Nyala" w:eastAsiaTheme="minorEastAsia" w:hAnsi="Nyal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036">
      <w:bodyDiv w:val="1"/>
      <w:marLeft w:val="0"/>
      <w:marRight w:val="0"/>
      <w:marTop w:val="0"/>
      <w:marBottom w:val="0"/>
      <w:divBdr>
        <w:top w:val="none" w:sz="0" w:space="0" w:color="auto"/>
        <w:left w:val="none" w:sz="0" w:space="0" w:color="auto"/>
        <w:bottom w:val="none" w:sz="0" w:space="0" w:color="auto"/>
        <w:right w:val="none" w:sz="0" w:space="0" w:color="auto"/>
      </w:divBdr>
    </w:div>
    <w:div w:id="25569858">
      <w:bodyDiv w:val="1"/>
      <w:marLeft w:val="0"/>
      <w:marRight w:val="0"/>
      <w:marTop w:val="0"/>
      <w:marBottom w:val="0"/>
      <w:divBdr>
        <w:top w:val="none" w:sz="0" w:space="0" w:color="auto"/>
        <w:left w:val="none" w:sz="0" w:space="0" w:color="auto"/>
        <w:bottom w:val="none" w:sz="0" w:space="0" w:color="auto"/>
        <w:right w:val="none" w:sz="0" w:space="0" w:color="auto"/>
      </w:divBdr>
      <w:divsChild>
        <w:div w:id="1218280877">
          <w:marLeft w:val="0"/>
          <w:marRight w:val="0"/>
          <w:marTop w:val="0"/>
          <w:marBottom w:val="360"/>
          <w:divBdr>
            <w:top w:val="none" w:sz="0" w:space="0" w:color="auto"/>
            <w:left w:val="none" w:sz="0" w:space="0" w:color="auto"/>
            <w:bottom w:val="none" w:sz="0" w:space="0" w:color="auto"/>
            <w:right w:val="none" w:sz="0" w:space="0" w:color="auto"/>
          </w:divBdr>
        </w:div>
      </w:divsChild>
    </w:div>
    <w:div w:id="229193760">
      <w:bodyDiv w:val="1"/>
      <w:marLeft w:val="0"/>
      <w:marRight w:val="0"/>
      <w:marTop w:val="0"/>
      <w:marBottom w:val="0"/>
      <w:divBdr>
        <w:top w:val="none" w:sz="0" w:space="0" w:color="auto"/>
        <w:left w:val="none" w:sz="0" w:space="0" w:color="auto"/>
        <w:bottom w:val="none" w:sz="0" w:space="0" w:color="auto"/>
        <w:right w:val="none" w:sz="0" w:space="0" w:color="auto"/>
      </w:divBdr>
    </w:div>
    <w:div w:id="253131222">
      <w:bodyDiv w:val="1"/>
      <w:marLeft w:val="0"/>
      <w:marRight w:val="0"/>
      <w:marTop w:val="0"/>
      <w:marBottom w:val="0"/>
      <w:divBdr>
        <w:top w:val="none" w:sz="0" w:space="0" w:color="auto"/>
        <w:left w:val="none" w:sz="0" w:space="0" w:color="auto"/>
        <w:bottom w:val="none" w:sz="0" w:space="0" w:color="auto"/>
        <w:right w:val="none" w:sz="0" w:space="0" w:color="auto"/>
      </w:divBdr>
    </w:div>
    <w:div w:id="256910790">
      <w:bodyDiv w:val="1"/>
      <w:marLeft w:val="0"/>
      <w:marRight w:val="0"/>
      <w:marTop w:val="0"/>
      <w:marBottom w:val="0"/>
      <w:divBdr>
        <w:top w:val="none" w:sz="0" w:space="0" w:color="auto"/>
        <w:left w:val="none" w:sz="0" w:space="0" w:color="auto"/>
        <w:bottom w:val="none" w:sz="0" w:space="0" w:color="auto"/>
        <w:right w:val="none" w:sz="0" w:space="0" w:color="auto"/>
      </w:divBdr>
    </w:div>
    <w:div w:id="273219881">
      <w:bodyDiv w:val="1"/>
      <w:marLeft w:val="0"/>
      <w:marRight w:val="0"/>
      <w:marTop w:val="0"/>
      <w:marBottom w:val="0"/>
      <w:divBdr>
        <w:top w:val="none" w:sz="0" w:space="0" w:color="auto"/>
        <w:left w:val="none" w:sz="0" w:space="0" w:color="auto"/>
        <w:bottom w:val="none" w:sz="0" w:space="0" w:color="auto"/>
        <w:right w:val="none" w:sz="0" w:space="0" w:color="auto"/>
      </w:divBdr>
    </w:div>
    <w:div w:id="273832651">
      <w:bodyDiv w:val="1"/>
      <w:marLeft w:val="0"/>
      <w:marRight w:val="0"/>
      <w:marTop w:val="0"/>
      <w:marBottom w:val="0"/>
      <w:divBdr>
        <w:top w:val="none" w:sz="0" w:space="0" w:color="auto"/>
        <w:left w:val="none" w:sz="0" w:space="0" w:color="auto"/>
        <w:bottom w:val="none" w:sz="0" w:space="0" w:color="auto"/>
        <w:right w:val="none" w:sz="0" w:space="0" w:color="auto"/>
      </w:divBdr>
    </w:div>
    <w:div w:id="409500691">
      <w:bodyDiv w:val="1"/>
      <w:marLeft w:val="0"/>
      <w:marRight w:val="0"/>
      <w:marTop w:val="0"/>
      <w:marBottom w:val="0"/>
      <w:divBdr>
        <w:top w:val="none" w:sz="0" w:space="0" w:color="auto"/>
        <w:left w:val="none" w:sz="0" w:space="0" w:color="auto"/>
        <w:bottom w:val="none" w:sz="0" w:space="0" w:color="auto"/>
        <w:right w:val="none" w:sz="0" w:space="0" w:color="auto"/>
      </w:divBdr>
    </w:div>
    <w:div w:id="421493946">
      <w:bodyDiv w:val="1"/>
      <w:marLeft w:val="0"/>
      <w:marRight w:val="0"/>
      <w:marTop w:val="0"/>
      <w:marBottom w:val="0"/>
      <w:divBdr>
        <w:top w:val="none" w:sz="0" w:space="0" w:color="auto"/>
        <w:left w:val="none" w:sz="0" w:space="0" w:color="auto"/>
        <w:bottom w:val="none" w:sz="0" w:space="0" w:color="auto"/>
        <w:right w:val="none" w:sz="0" w:space="0" w:color="auto"/>
      </w:divBdr>
    </w:div>
    <w:div w:id="443155883">
      <w:bodyDiv w:val="1"/>
      <w:marLeft w:val="0"/>
      <w:marRight w:val="0"/>
      <w:marTop w:val="0"/>
      <w:marBottom w:val="0"/>
      <w:divBdr>
        <w:top w:val="none" w:sz="0" w:space="0" w:color="auto"/>
        <w:left w:val="none" w:sz="0" w:space="0" w:color="auto"/>
        <w:bottom w:val="none" w:sz="0" w:space="0" w:color="auto"/>
        <w:right w:val="none" w:sz="0" w:space="0" w:color="auto"/>
      </w:divBdr>
    </w:div>
    <w:div w:id="470557723">
      <w:bodyDiv w:val="1"/>
      <w:marLeft w:val="0"/>
      <w:marRight w:val="0"/>
      <w:marTop w:val="0"/>
      <w:marBottom w:val="0"/>
      <w:divBdr>
        <w:top w:val="none" w:sz="0" w:space="0" w:color="auto"/>
        <w:left w:val="none" w:sz="0" w:space="0" w:color="auto"/>
        <w:bottom w:val="none" w:sz="0" w:space="0" w:color="auto"/>
        <w:right w:val="none" w:sz="0" w:space="0" w:color="auto"/>
      </w:divBdr>
    </w:div>
    <w:div w:id="491332815">
      <w:bodyDiv w:val="1"/>
      <w:marLeft w:val="0"/>
      <w:marRight w:val="0"/>
      <w:marTop w:val="0"/>
      <w:marBottom w:val="0"/>
      <w:divBdr>
        <w:top w:val="none" w:sz="0" w:space="0" w:color="auto"/>
        <w:left w:val="none" w:sz="0" w:space="0" w:color="auto"/>
        <w:bottom w:val="none" w:sz="0" w:space="0" w:color="auto"/>
        <w:right w:val="none" w:sz="0" w:space="0" w:color="auto"/>
      </w:divBdr>
    </w:div>
    <w:div w:id="512915279">
      <w:bodyDiv w:val="1"/>
      <w:marLeft w:val="0"/>
      <w:marRight w:val="0"/>
      <w:marTop w:val="0"/>
      <w:marBottom w:val="0"/>
      <w:divBdr>
        <w:top w:val="none" w:sz="0" w:space="0" w:color="auto"/>
        <w:left w:val="none" w:sz="0" w:space="0" w:color="auto"/>
        <w:bottom w:val="none" w:sz="0" w:space="0" w:color="auto"/>
        <w:right w:val="none" w:sz="0" w:space="0" w:color="auto"/>
      </w:divBdr>
    </w:div>
    <w:div w:id="543641934">
      <w:bodyDiv w:val="1"/>
      <w:marLeft w:val="0"/>
      <w:marRight w:val="0"/>
      <w:marTop w:val="0"/>
      <w:marBottom w:val="0"/>
      <w:divBdr>
        <w:top w:val="none" w:sz="0" w:space="0" w:color="auto"/>
        <w:left w:val="none" w:sz="0" w:space="0" w:color="auto"/>
        <w:bottom w:val="none" w:sz="0" w:space="0" w:color="auto"/>
        <w:right w:val="none" w:sz="0" w:space="0" w:color="auto"/>
      </w:divBdr>
    </w:div>
    <w:div w:id="601112076">
      <w:bodyDiv w:val="1"/>
      <w:marLeft w:val="0"/>
      <w:marRight w:val="0"/>
      <w:marTop w:val="0"/>
      <w:marBottom w:val="0"/>
      <w:divBdr>
        <w:top w:val="none" w:sz="0" w:space="0" w:color="auto"/>
        <w:left w:val="none" w:sz="0" w:space="0" w:color="auto"/>
        <w:bottom w:val="none" w:sz="0" w:space="0" w:color="auto"/>
        <w:right w:val="none" w:sz="0" w:space="0" w:color="auto"/>
      </w:divBdr>
    </w:div>
    <w:div w:id="615908264">
      <w:bodyDiv w:val="1"/>
      <w:marLeft w:val="0"/>
      <w:marRight w:val="0"/>
      <w:marTop w:val="0"/>
      <w:marBottom w:val="0"/>
      <w:divBdr>
        <w:top w:val="none" w:sz="0" w:space="0" w:color="auto"/>
        <w:left w:val="none" w:sz="0" w:space="0" w:color="auto"/>
        <w:bottom w:val="none" w:sz="0" w:space="0" w:color="auto"/>
        <w:right w:val="none" w:sz="0" w:space="0" w:color="auto"/>
      </w:divBdr>
    </w:div>
    <w:div w:id="642931825">
      <w:bodyDiv w:val="1"/>
      <w:marLeft w:val="0"/>
      <w:marRight w:val="0"/>
      <w:marTop w:val="0"/>
      <w:marBottom w:val="0"/>
      <w:divBdr>
        <w:top w:val="none" w:sz="0" w:space="0" w:color="auto"/>
        <w:left w:val="none" w:sz="0" w:space="0" w:color="auto"/>
        <w:bottom w:val="none" w:sz="0" w:space="0" w:color="auto"/>
        <w:right w:val="none" w:sz="0" w:space="0" w:color="auto"/>
      </w:divBdr>
    </w:div>
    <w:div w:id="645017376">
      <w:bodyDiv w:val="1"/>
      <w:marLeft w:val="0"/>
      <w:marRight w:val="0"/>
      <w:marTop w:val="0"/>
      <w:marBottom w:val="0"/>
      <w:divBdr>
        <w:top w:val="none" w:sz="0" w:space="0" w:color="auto"/>
        <w:left w:val="none" w:sz="0" w:space="0" w:color="auto"/>
        <w:bottom w:val="none" w:sz="0" w:space="0" w:color="auto"/>
        <w:right w:val="none" w:sz="0" w:space="0" w:color="auto"/>
      </w:divBdr>
    </w:div>
    <w:div w:id="840777558">
      <w:bodyDiv w:val="1"/>
      <w:marLeft w:val="0"/>
      <w:marRight w:val="0"/>
      <w:marTop w:val="0"/>
      <w:marBottom w:val="0"/>
      <w:divBdr>
        <w:top w:val="none" w:sz="0" w:space="0" w:color="auto"/>
        <w:left w:val="none" w:sz="0" w:space="0" w:color="auto"/>
        <w:bottom w:val="none" w:sz="0" w:space="0" w:color="auto"/>
        <w:right w:val="none" w:sz="0" w:space="0" w:color="auto"/>
      </w:divBdr>
    </w:div>
    <w:div w:id="927807062">
      <w:bodyDiv w:val="1"/>
      <w:marLeft w:val="0"/>
      <w:marRight w:val="0"/>
      <w:marTop w:val="0"/>
      <w:marBottom w:val="0"/>
      <w:divBdr>
        <w:top w:val="none" w:sz="0" w:space="0" w:color="auto"/>
        <w:left w:val="none" w:sz="0" w:space="0" w:color="auto"/>
        <w:bottom w:val="none" w:sz="0" w:space="0" w:color="auto"/>
        <w:right w:val="none" w:sz="0" w:space="0" w:color="auto"/>
      </w:divBdr>
    </w:div>
    <w:div w:id="998967272">
      <w:bodyDiv w:val="1"/>
      <w:marLeft w:val="0"/>
      <w:marRight w:val="0"/>
      <w:marTop w:val="0"/>
      <w:marBottom w:val="0"/>
      <w:divBdr>
        <w:top w:val="none" w:sz="0" w:space="0" w:color="auto"/>
        <w:left w:val="none" w:sz="0" w:space="0" w:color="auto"/>
        <w:bottom w:val="none" w:sz="0" w:space="0" w:color="auto"/>
        <w:right w:val="none" w:sz="0" w:space="0" w:color="auto"/>
      </w:divBdr>
    </w:div>
    <w:div w:id="1011299841">
      <w:bodyDiv w:val="1"/>
      <w:marLeft w:val="0"/>
      <w:marRight w:val="0"/>
      <w:marTop w:val="0"/>
      <w:marBottom w:val="0"/>
      <w:divBdr>
        <w:top w:val="none" w:sz="0" w:space="0" w:color="auto"/>
        <w:left w:val="none" w:sz="0" w:space="0" w:color="auto"/>
        <w:bottom w:val="none" w:sz="0" w:space="0" w:color="auto"/>
        <w:right w:val="none" w:sz="0" w:space="0" w:color="auto"/>
      </w:divBdr>
    </w:div>
    <w:div w:id="1177233210">
      <w:bodyDiv w:val="1"/>
      <w:marLeft w:val="0"/>
      <w:marRight w:val="0"/>
      <w:marTop w:val="0"/>
      <w:marBottom w:val="0"/>
      <w:divBdr>
        <w:top w:val="none" w:sz="0" w:space="0" w:color="auto"/>
        <w:left w:val="none" w:sz="0" w:space="0" w:color="auto"/>
        <w:bottom w:val="none" w:sz="0" w:space="0" w:color="auto"/>
        <w:right w:val="none" w:sz="0" w:space="0" w:color="auto"/>
      </w:divBdr>
    </w:div>
    <w:div w:id="1245719660">
      <w:bodyDiv w:val="1"/>
      <w:marLeft w:val="0"/>
      <w:marRight w:val="0"/>
      <w:marTop w:val="0"/>
      <w:marBottom w:val="0"/>
      <w:divBdr>
        <w:top w:val="none" w:sz="0" w:space="0" w:color="auto"/>
        <w:left w:val="none" w:sz="0" w:space="0" w:color="auto"/>
        <w:bottom w:val="none" w:sz="0" w:space="0" w:color="auto"/>
        <w:right w:val="none" w:sz="0" w:space="0" w:color="auto"/>
      </w:divBdr>
    </w:div>
    <w:div w:id="1273779096">
      <w:bodyDiv w:val="1"/>
      <w:marLeft w:val="0"/>
      <w:marRight w:val="0"/>
      <w:marTop w:val="0"/>
      <w:marBottom w:val="0"/>
      <w:divBdr>
        <w:top w:val="none" w:sz="0" w:space="0" w:color="auto"/>
        <w:left w:val="none" w:sz="0" w:space="0" w:color="auto"/>
        <w:bottom w:val="none" w:sz="0" w:space="0" w:color="auto"/>
        <w:right w:val="none" w:sz="0" w:space="0" w:color="auto"/>
      </w:divBdr>
    </w:div>
    <w:div w:id="1287927826">
      <w:bodyDiv w:val="1"/>
      <w:marLeft w:val="0"/>
      <w:marRight w:val="0"/>
      <w:marTop w:val="0"/>
      <w:marBottom w:val="0"/>
      <w:divBdr>
        <w:top w:val="none" w:sz="0" w:space="0" w:color="auto"/>
        <w:left w:val="none" w:sz="0" w:space="0" w:color="auto"/>
        <w:bottom w:val="none" w:sz="0" w:space="0" w:color="auto"/>
        <w:right w:val="none" w:sz="0" w:space="0" w:color="auto"/>
      </w:divBdr>
    </w:div>
    <w:div w:id="1315451294">
      <w:bodyDiv w:val="1"/>
      <w:marLeft w:val="0"/>
      <w:marRight w:val="0"/>
      <w:marTop w:val="0"/>
      <w:marBottom w:val="0"/>
      <w:divBdr>
        <w:top w:val="none" w:sz="0" w:space="0" w:color="auto"/>
        <w:left w:val="none" w:sz="0" w:space="0" w:color="auto"/>
        <w:bottom w:val="none" w:sz="0" w:space="0" w:color="auto"/>
        <w:right w:val="none" w:sz="0" w:space="0" w:color="auto"/>
      </w:divBdr>
    </w:div>
    <w:div w:id="1335497665">
      <w:bodyDiv w:val="1"/>
      <w:marLeft w:val="0"/>
      <w:marRight w:val="0"/>
      <w:marTop w:val="0"/>
      <w:marBottom w:val="0"/>
      <w:divBdr>
        <w:top w:val="none" w:sz="0" w:space="0" w:color="auto"/>
        <w:left w:val="none" w:sz="0" w:space="0" w:color="auto"/>
        <w:bottom w:val="none" w:sz="0" w:space="0" w:color="auto"/>
        <w:right w:val="none" w:sz="0" w:space="0" w:color="auto"/>
      </w:divBdr>
    </w:div>
    <w:div w:id="1348604243">
      <w:bodyDiv w:val="1"/>
      <w:marLeft w:val="0"/>
      <w:marRight w:val="0"/>
      <w:marTop w:val="0"/>
      <w:marBottom w:val="0"/>
      <w:divBdr>
        <w:top w:val="none" w:sz="0" w:space="0" w:color="auto"/>
        <w:left w:val="none" w:sz="0" w:space="0" w:color="auto"/>
        <w:bottom w:val="none" w:sz="0" w:space="0" w:color="auto"/>
        <w:right w:val="none" w:sz="0" w:space="0" w:color="auto"/>
      </w:divBdr>
    </w:div>
    <w:div w:id="1363821735">
      <w:bodyDiv w:val="1"/>
      <w:marLeft w:val="0"/>
      <w:marRight w:val="0"/>
      <w:marTop w:val="0"/>
      <w:marBottom w:val="0"/>
      <w:divBdr>
        <w:top w:val="none" w:sz="0" w:space="0" w:color="auto"/>
        <w:left w:val="none" w:sz="0" w:space="0" w:color="auto"/>
        <w:bottom w:val="none" w:sz="0" w:space="0" w:color="auto"/>
        <w:right w:val="none" w:sz="0" w:space="0" w:color="auto"/>
      </w:divBdr>
    </w:div>
    <w:div w:id="1471551365">
      <w:bodyDiv w:val="1"/>
      <w:marLeft w:val="0"/>
      <w:marRight w:val="0"/>
      <w:marTop w:val="0"/>
      <w:marBottom w:val="0"/>
      <w:divBdr>
        <w:top w:val="none" w:sz="0" w:space="0" w:color="auto"/>
        <w:left w:val="none" w:sz="0" w:space="0" w:color="auto"/>
        <w:bottom w:val="none" w:sz="0" w:space="0" w:color="auto"/>
        <w:right w:val="none" w:sz="0" w:space="0" w:color="auto"/>
      </w:divBdr>
    </w:div>
    <w:div w:id="1573350964">
      <w:bodyDiv w:val="1"/>
      <w:marLeft w:val="0"/>
      <w:marRight w:val="0"/>
      <w:marTop w:val="0"/>
      <w:marBottom w:val="0"/>
      <w:divBdr>
        <w:top w:val="none" w:sz="0" w:space="0" w:color="auto"/>
        <w:left w:val="none" w:sz="0" w:space="0" w:color="auto"/>
        <w:bottom w:val="none" w:sz="0" w:space="0" w:color="auto"/>
        <w:right w:val="none" w:sz="0" w:space="0" w:color="auto"/>
      </w:divBdr>
    </w:div>
    <w:div w:id="1655185512">
      <w:bodyDiv w:val="1"/>
      <w:marLeft w:val="0"/>
      <w:marRight w:val="0"/>
      <w:marTop w:val="0"/>
      <w:marBottom w:val="0"/>
      <w:divBdr>
        <w:top w:val="none" w:sz="0" w:space="0" w:color="auto"/>
        <w:left w:val="none" w:sz="0" w:space="0" w:color="auto"/>
        <w:bottom w:val="none" w:sz="0" w:space="0" w:color="auto"/>
        <w:right w:val="none" w:sz="0" w:space="0" w:color="auto"/>
      </w:divBdr>
    </w:div>
    <w:div w:id="1862740845">
      <w:bodyDiv w:val="1"/>
      <w:marLeft w:val="0"/>
      <w:marRight w:val="0"/>
      <w:marTop w:val="0"/>
      <w:marBottom w:val="0"/>
      <w:divBdr>
        <w:top w:val="none" w:sz="0" w:space="0" w:color="auto"/>
        <w:left w:val="none" w:sz="0" w:space="0" w:color="auto"/>
        <w:bottom w:val="none" w:sz="0" w:space="0" w:color="auto"/>
        <w:right w:val="none" w:sz="0" w:space="0" w:color="auto"/>
      </w:divBdr>
    </w:div>
    <w:div w:id="1915628458">
      <w:bodyDiv w:val="1"/>
      <w:marLeft w:val="0"/>
      <w:marRight w:val="0"/>
      <w:marTop w:val="0"/>
      <w:marBottom w:val="0"/>
      <w:divBdr>
        <w:top w:val="none" w:sz="0" w:space="0" w:color="auto"/>
        <w:left w:val="none" w:sz="0" w:space="0" w:color="auto"/>
        <w:bottom w:val="none" w:sz="0" w:space="0" w:color="auto"/>
        <w:right w:val="none" w:sz="0" w:space="0" w:color="auto"/>
      </w:divBdr>
    </w:div>
    <w:div w:id="2054503660">
      <w:bodyDiv w:val="1"/>
      <w:marLeft w:val="0"/>
      <w:marRight w:val="0"/>
      <w:marTop w:val="0"/>
      <w:marBottom w:val="0"/>
      <w:divBdr>
        <w:top w:val="none" w:sz="0" w:space="0" w:color="auto"/>
        <w:left w:val="none" w:sz="0" w:space="0" w:color="auto"/>
        <w:bottom w:val="none" w:sz="0" w:space="0" w:color="auto"/>
        <w:right w:val="none" w:sz="0" w:space="0" w:color="auto"/>
      </w:divBdr>
    </w:div>
    <w:div w:id="2134518218">
      <w:bodyDiv w:val="1"/>
      <w:marLeft w:val="0"/>
      <w:marRight w:val="0"/>
      <w:marTop w:val="0"/>
      <w:marBottom w:val="0"/>
      <w:divBdr>
        <w:top w:val="none" w:sz="0" w:space="0" w:color="auto"/>
        <w:left w:val="none" w:sz="0" w:space="0" w:color="auto"/>
        <w:bottom w:val="none" w:sz="0" w:space="0" w:color="auto"/>
        <w:right w:val="none" w:sz="0" w:space="0" w:color="auto"/>
      </w:divBdr>
      <w:divsChild>
        <w:div w:id="1124153765">
          <w:marLeft w:val="360"/>
          <w:marRight w:val="0"/>
          <w:marTop w:val="200"/>
          <w:marBottom w:val="0"/>
          <w:divBdr>
            <w:top w:val="none" w:sz="0" w:space="0" w:color="auto"/>
            <w:left w:val="none" w:sz="0" w:space="0" w:color="auto"/>
            <w:bottom w:val="none" w:sz="0" w:space="0" w:color="auto"/>
            <w:right w:val="none" w:sz="0" w:space="0" w:color="auto"/>
          </w:divBdr>
        </w:div>
        <w:div w:id="918440364">
          <w:marLeft w:val="720"/>
          <w:marRight w:val="0"/>
          <w:marTop w:val="200"/>
          <w:marBottom w:val="0"/>
          <w:divBdr>
            <w:top w:val="none" w:sz="0" w:space="0" w:color="auto"/>
            <w:left w:val="none" w:sz="0" w:space="0" w:color="auto"/>
            <w:bottom w:val="none" w:sz="0" w:space="0" w:color="auto"/>
            <w:right w:val="none" w:sz="0" w:space="0" w:color="auto"/>
          </w:divBdr>
        </w:div>
        <w:div w:id="83692234">
          <w:marLeft w:val="720"/>
          <w:marRight w:val="0"/>
          <w:marTop w:val="200"/>
          <w:marBottom w:val="0"/>
          <w:divBdr>
            <w:top w:val="none" w:sz="0" w:space="0" w:color="auto"/>
            <w:left w:val="none" w:sz="0" w:space="0" w:color="auto"/>
            <w:bottom w:val="none" w:sz="0" w:space="0" w:color="auto"/>
            <w:right w:val="none" w:sz="0" w:space="0" w:color="auto"/>
          </w:divBdr>
        </w:div>
        <w:div w:id="479269563">
          <w:marLeft w:val="0"/>
          <w:marRight w:val="0"/>
          <w:marTop w:val="200"/>
          <w:marBottom w:val="0"/>
          <w:divBdr>
            <w:top w:val="none" w:sz="0" w:space="0" w:color="auto"/>
            <w:left w:val="none" w:sz="0" w:space="0" w:color="auto"/>
            <w:bottom w:val="none" w:sz="0" w:space="0" w:color="auto"/>
            <w:right w:val="none" w:sz="0" w:space="0" w:color="auto"/>
          </w:divBdr>
        </w:div>
        <w:div w:id="1894081255">
          <w:marLeft w:val="0"/>
          <w:marRight w:val="0"/>
          <w:marTop w:val="200"/>
          <w:marBottom w:val="0"/>
          <w:divBdr>
            <w:top w:val="none" w:sz="0" w:space="0" w:color="auto"/>
            <w:left w:val="none" w:sz="0" w:space="0" w:color="auto"/>
            <w:bottom w:val="none" w:sz="0" w:space="0" w:color="auto"/>
            <w:right w:val="none" w:sz="0" w:space="0" w:color="auto"/>
          </w:divBdr>
        </w:div>
        <w:div w:id="1859537030">
          <w:marLeft w:val="0"/>
          <w:marRight w:val="0"/>
          <w:marTop w:val="200"/>
          <w:marBottom w:val="0"/>
          <w:divBdr>
            <w:top w:val="none" w:sz="0" w:space="0" w:color="auto"/>
            <w:left w:val="none" w:sz="0" w:space="0" w:color="auto"/>
            <w:bottom w:val="none" w:sz="0" w:space="0" w:color="auto"/>
            <w:right w:val="none" w:sz="0" w:space="0" w:color="auto"/>
          </w:divBdr>
        </w:div>
        <w:div w:id="1342659310">
          <w:marLeft w:val="720"/>
          <w:marRight w:val="0"/>
          <w:marTop w:val="100"/>
          <w:marBottom w:val="0"/>
          <w:divBdr>
            <w:top w:val="none" w:sz="0" w:space="0" w:color="auto"/>
            <w:left w:val="none" w:sz="0" w:space="0" w:color="auto"/>
            <w:bottom w:val="none" w:sz="0" w:space="0" w:color="auto"/>
            <w:right w:val="none" w:sz="0" w:space="0" w:color="auto"/>
          </w:divBdr>
        </w:div>
        <w:div w:id="725034601">
          <w:marLeft w:val="720"/>
          <w:marRight w:val="0"/>
          <w:marTop w:val="100"/>
          <w:marBottom w:val="0"/>
          <w:divBdr>
            <w:top w:val="none" w:sz="0" w:space="0" w:color="auto"/>
            <w:left w:val="none" w:sz="0" w:space="0" w:color="auto"/>
            <w:bottom w:val="none" w:sz="0" w:space="0" w:color="auto"/>
            <w:right w:val="none" w:sz="0" w:space="0" w:color="auto"/>
          </w:divBdr>
        </w:div>
        <w:div w:id="915825772">
          <w:marLeft w:val="0"/>
          <w:marRight w:val="0"/>
          <w:marTop w:val="40"/>
          <w:marBottom w:val="20"/>
          <w:divBdr>
            <w:top w:val="none" w:sz="0" w:space="0" w:color="auto"/>
            <w:left w:val="none" w:sz="0" w:space="0" w:color="auto"/>
            <w:bottom w:val="none" w:sz="0" w:space="0" w:color="auto"/>
            <w:right w:val="none" w:sz="0" w:space="0" w:color="auto"/>
          </w:divBdr>
        </w:div>
        <w:div w:id="718431585">
          <w:marLeft w:val="1138"/>
          <w:marRight w:val="0"/>
          <w:marTop w:val="100"/>
          <w:marBottom w:val="20"/>
          <w:divBdr>
            <w:top w:val="none" w:sz="0" w:space="0" w:color="auto"/>
            <w:left w:val="none" w:sz="0" w:space="0" w:color="auto"/>
            <w:bottom w:val="none" w:sz="0" w:space="0" w:color="auto"/>
            <w:right w:val="none" w:sz="0" w:space="0" w:color="auto"/>
          </w:divBdr>
        </w:div>
        <w:div w:id="1909610293">
          <w:marLeft w:val="1138"/>
          <w:marRight w:val="0"/>
          <w:marTop w:val="100"/>
          <w:marBottom w:val="20"/>
          <w:divBdr>
            <w:top w:val="none" w:sz="0" w:space="0" w:color="auto"/>
            <w:left w:val="none" w:sz="0" w:space="0" w:color="auto"/>
            <w:bottom w:val="none" w:sz="0" w:space="0" w:color="auto"/>
            <w:right w:val="none" w:sz="0" w:space="0" w:color="auto"/>
          </w:divBdr>
        </w:div>
        <w:div w:id="321206476">
          <w:marLeft w:val="0"/>
          <w:marRight w:val="0"/>
          <w:marTop w:val="200"/>
          <w:marBottom w:val="20"/>
          <w:divBdr>
            <w:top w:val="none" w:sz="0" w:space="0" w:color="auto"/>
            <w:left w:val="none" w:sz="0" w:space="0" w:color="auto"/>
            <w:bottom w:val="none" w:sz="0" w:space="0" w:color="auto"/>
            <w:right w:val="none" w:sz="0" w:space="0" w:color="auto"/>
          </w:divBdr>
        </w:div>
        <w:div w:id="2115708925">
          <w:marLeft w:val="1138"/>
          <w:marRight w:val="0"/>
          <w:marTop w:val="100"/>
          <w:marBottom w:val="20"/>
          <w:divBdr>
            <w:top w:val="none" w:sz="0" w:space="0" w:color="auto"/>
            <w:left w:val="none" w:sz="0" w:space="0" w:color="auto"/>
            <w:bottom w:val="none" w:sz="0" w:space="0" w:color="auto"/>
            <w:right w:val="none" w:sz="0" w:space="0" w:color="auto"/>
          </w:divBdr>
        </w:div>
        <w:div w:id="2033532188">
          <w:marLeft w:val="1138"/>
          <w:marRight w:val="0"/>
          <w:marTop w:val="100"/>
          <w:marBottom w:val="20"/>
          <w:divBdr>
            <w:top w:val="none" w:sz="0" w:space="0" w:color="auto"/>
            <w:left w:val="none" w:sz="0" w:space="0" w:color="auto"/>
            <w:bottom w:val="none" w:sz="0" w:space="0" w:color="auto"/>
            <w:right w:val="none" w:sz="0" w:space="0" w:color="auto"/>
          </w:divBdr>
        </w:div>
        <w:div w:id="105924847">
          <w:marLeft w:val="0"/>
          <w:marRight w:val="0"/>
          <w:marTop w:val="200"/>
          <w:marBottom w:val="20"/>
          <w:divBdr>
            <w:top w:val="none" w:sz="0" w:space="0" w:color="auto"/>
            <w:left w:val="none" w:sz="0" w:space="0" w:color="auto"/>
            <w:bottom w:val="none" w:sz="0" w:space="0" w:color="auto"/>
            <w:right w:val="none" w:sz="0" w:space="0" w:color="auto"/>
          </w:divBdr>
        </w:div>
        <w:div w:id="1726835883">
          <w:marLeft w:val="1138"/>
          <w:marRight w:val="0"/>
          <w:marTop w:val="100"/>
          <w:marBottom w:val="20"/>
          <w:divBdr>
            <w:top w:val="none" w:sz="0" w:space="0" w:color="auto"/>
            <w:left w:val="none" w:sz="0" w:space="0" w:color="auto"/>
            <w:bottom w:val="none" w:sz="0" w:space="0" w:color="auto"/>
            <w:right w:val="none" w:sz="0" w:space="0" w:color="auto"/>
          </w:divBdr>
        </w:div>
        <w:div w:id="1328752839">
          <w:marLeft w:val="1138"/>
          <w:marRight w:val="0"/>
          <w:marTop w:val="100"/>
          <w:marBottom w:val="20"/>
          <w:divBdr>
            <w:top w:val="none" w:sz="0" w:space="0" w:color="auto"/>
            <w:left w:val="none" w:sz="0" w:space="0" w:color="auto"/>
            <w:bottom w:val="none" w:sz="0" w:space="0" w:color="auto"/>
            <w:right w:val="none" w:sz="0" w:space="0" w:color="auto"/>
          </w:divBdr>
        </w:div>
        <w:div w:id="287132395">
          <w:marLeft w:val="1138"/>
          <w:marRight w:val="0"/>
          <w:marTop w:val="100"/>
          <w:marBottom w:val="20"/>
          <w:divBdr>
            <w:top w:val="none" w:sz="0" w:space="0" w:color="auto"/>
            <w:left w:val="none" w:sz="0" w:space="0" w:color="auto"/>
            <w:bottom w:val="none" w:sz="0" w:space="0" w:color="auto"/>
            <w:right w:val="none" w:sz="0" w:space="0" w:color="auto"/>
          </w:divBdr>
        </w:div>
        <w:div w:id="862747821">
          <w:marLeft w:val="720"/>
          <w:marRight w:val="0"/>
          <w:marTop w:val="200"/>
          <w:marBottom w:val="0"/>
          <w:divBdr>
            <w:top w:val="none" w:sz="0" w:space="0" w:color="auto"/>
            <w:left w:val="none" w:sz="0" w:space="0" w:color="auto"/>
            <w:bottom w:val="none" w:sz="0" w:space="0" w:color="auto"/>
            <w:right w:val="none" w:sz="0" w:space="0" w:color="auto"/>
          </w:divBdr>
        </w:div>
        <w:div w:id="1498106612">
          <w:marLeft w:val="720"/>
          <w:marRight w:val="0"/>
          <w:marTop w:val="200"/>
          <w:marBottom w:val="0"/>
          <w:divBdr>
            <w:top w:val="none" w:sz="0" w:space="0" w:color="auto"/>
            <w:left w:val="none" w:sz="0" w:space="0" w:color="auto"/>
            <w:bottom w:val="none" w:sz="0" w:space="0" w:color="auto"/>
            <w:right w:val="none" w:sz="0" w:space="0" w:color="auto"/>
          </w:divBdr>
        </w:div>
        <w:div w:id="717432988">
          <w:marLeft w:val="720"/>
          <w:marRight w:val="0"/>
          <w:marTop w:val="200"/>
          <w:marBottom w:val="0"/>
          <w:divBdr>
            <w:top w:val="none" w:sz="0" w:space="0" w:color="auto"/>
            <w:left w:val="none" w:sz="0" w:space="0" w:color="auto"/>
            <w:bottom w:val="none" w:sz="0" w:space="0" w:color="auto"/>
            <w:right w:val="none" w:sz="0" w:space="0" w:color="auto"/>
          </w:divBdr>
        </w:div>
        <w:div w:id="1972009758">
          <w:marLeft w:val="720"/>
          <w:marRight w:val="0"/>
          <w:marTop w:val="100"/>
          <w:marBottom w:val="0"/>
          <w:divBdr>
            <w:top w:val="none" w:sz="0" w:space="0" w:color="auto"/>
            <w:left w:val="none" w:sz="0" w:space="0" w:color="auto"/>
            <w:bottom w:val="none" w:sz="0" w:space="0" w:color="auto"/>
            <w:right w:val="none" w:sz="0" w:space="0" w:color="auto"/>
          </w:divBdr>
        </w:div>
        <w:div w:id="535974246">
          <w:marLeft w:val="720"/>
          <w:marRight w:val="0"/>
          <w:marTop w:val="100"/>
          <w:marBottom w:val="0"/>
          <w:divBdr>
            <w:top w:val="none" w:sz="0" w:space="0" w:color="auto"/>
            <w:left w:val="none" w:sz="0" w:space="0" w:color="auto"/>
            <w:bottom w:val="none" w:sz="0" w:space="0" w:color="auto"/>
            <w:right w:val="none" w:sz="0" w:space="0" w:color="auto"/>
          </w:divBdr>
        </w:div>
        <w:div w:id="2065904716">
          <w:marLeft w:val="1440"/>
          <w:marRight w:val="0"/>
          <w:marTop w:val="100"/>
          <w:marBottom w:val="0"/>
          <w:divBdr>
            <w:top w:val="none" w:sz="0" w:space="0" w:color="auto"/>
            <w:left w:val="none" w:sz="0" w:space="0" w:color="auto"/>
            <w:bottom w:val="none" w:sz="0" w:space="0" w:color="auto"/>
            <w:right w:val="none" w:sz="0" w:space="0" w:color="auto"/>
          </w:divBdr>
        </w:div>
        <w:div w:id="2029259345">
          <w:marLeft w:val="806"/>
          <w:marRight w:val="0"/>
          <w:marTop w:val="200"/>
          <w:marBottom w:val="0"/>
          <w:divBdr>
            <w:top w:val="none" w:sz="0" w:space="0" w:color="auto"/>
            <w:left w:val="none" w:sz="0" w:space="0" w:color="auto"/>
            <w:bottom w:val="none" w:sz="0" w:space="0" w:color="auto"/>
            <w:right w:val="none" w:sz="0" w:space="0" w:color="auto"/>
          </w:divBdr>
        </w:div>
        <w:div w:id="250623556">
          <w:marLeft w:val="806"/>
          <w:marRight w:val="0"/>
          <w:marTop w:val="200"/>
          <w:marBottom w:val="0"/>
          <w:divBdr>
            <w:top w:val="none" w:sz="0" w:space="0" w:color="auto"/>
            <w:left w:val="none" w:sz="0" w:space="0" w:color="auto"/>
            <w:bottom w:val="none" w:sz="0" w:space="0" w:color="auto"/>
            <w:right w:val="none" w:sz="0" w:space="0" w:color="auto"/>
          </w:divBdr>
        </w:div>
        <w:div w:id="917635453">
          <w:marLeft w:val="806"/>
          <w:marRight w:val="0"/>
          <w:marTop w:val="200"/>
          <w:marBottom w:val="0"/>
          <w:divBdr>
            <w:top w:val="none" w:sz="0" w:space="0" w:color="auto"/>
            <w:left w:val="none" w:sz="0" w:space="0" w:color="auto"/>
            <w:bottom w:val="none" w:sz="0" w:space="0" w:color="auto"/>
            <w:right w:val="none" w:sz="0" w:space="0" w:color="auto"/>
          </w:divBdr>
        </w:div>
        <w:div w:id="1033578923">
          <w:marLeft w:val="720"/>
          <w:marRight w:val="0"/>
          <w:marTop w:val="200"/>
          <w:marBottom w:val="0"/>
          <w:divBdr>
            <w:top w:val="none" w:sz="0" w:space="0" w:color="auto"/>
            <w:left w:val="none" w:sz="0" w:space="0" w:color="auto"/>
            <w:bottom w:val="none" w:sz="0" w:space="0" w:color="auto"/>
            <w:right w:val="none" w:sz="0" w:space="0" w:color="auto"/>
          </w:divBdr>
        </w:div>
        <w:div w:id="691107510">
          <w:marLeft w:val="720"/>
          <w:marRight w:val="0"/>
          <w:marTop w:val="200"/>
          <w:marBottom w:val="0"/>
          <w:divBdr>
            <w:top w:val="none" w:sz="0" w:space="0" w:color="auto"/>
            <w:left w:val="none" w:sz="0" w:space="0" w:color="auto"/>
            <w:bottom w:val="none" w:sz="0" w:space="0" w:color="auto"/>
            <w:right w:val="none" w:sz="0" w:space="0" w:color="auto"/>
          </w:divBdr>
        </w:div>
        <w:div w:id="557520796">
          <w:marLeft w:val="720"/>
          <w:marRight w:val="0"/>
          <w:marTop w:val="100"/>
          <w:marBottom w:val="0"/>
          <w:divBdr>
            <w:top w:val="none" w:sz="0" w:space="0" w:color="auto"/>
            <w:left w:val="none" w:sz="0" w:space="0" w:color="auto"/>
            <w:bottom w:val="none" w:sz="0" w:space="0" w:color="auto"/>
            <w:right w:val="none" w:sz="0" w:space="0" w:color="auto"/>
          </w:divBdr>
        </w:div>
        <w:div w:id="148064184">
          <w:marLeft w:val="720"/>
          <w:marRight w:val="0"/>
          <w:marTop w:val="100"/>
          <w:marBottom w:val="0"/>
          <w:divBdr>
            <w:top w:val="none" w:sz="0" w:space="0" w:color="auto"/>
            <w:left w:val="none" w:sz="0" w:space="0" w:color="auto"/>
            <w:bottom w:val="none" w:sz="0" w:space="0" w:color="auto"/>
            <w:right w:val="none" w:sz="0" w:space="0" w:color="auto"/>
          </w:divBdr>
        </w:div>
        <w:div w:id="202838805">
          <w:marLeft w:val="720"/>
          <w:marRight w:val="0"/>
          <w:marTop w:val="100"/>
          <w:marBottom w:val="0"/>
          <w:divBdr>
            <w:top w:val="none" w:sz="0" w:space="0" w:color="auto"/>
            <w:left w:val="none" w:sz="0" w:space="0" w:color="auto"/>
            <w:bottom w:val="none" w:sz="0" w:space="0" w:color="auto"/>
            <w:right w:val="none" w:sz="0" w:space="0" w:color="auto"/>
          </w:divBdr>
        </w:div>
        <w:div w:id="52697342">
          <w:marLeft w:val="720"/>
          <w:marRight w:val="0"/>
          <w:marTop w:val="100"/>
          <w:marBottom w:val="0"/>
          <w:divBdr>
            <w:top w:val="none" w:sz="0" w:space="0" w:color="auto"/>
            <w:left w:val="none" w:sz="0" w:space="0" w:color="auto"/>
            <w:bottom w:val="none" w:sz="0" w:space="0" w:color="auto"/>
            <w:right w:val="none" w:sz="0" w:space="0" w:color="auto"/>
          </w:divBdr>
        </w:div>
        <w:div w:id="527448963">
          <w:marLeft w:val="0"/>
          <w:marRight w:val="0"/>
          <w:marTop w:val="200"/>
          <w:marBottom w:val="0"/>
          <w:divBdr>
            <w:top w:val="none" w:sz="0" w:space="0" w:color="auto"/>
            <w:left w:val="none" w:sz="0" w:space="0" w:color="auto"/>
            <w:bottom w:val="none" w:sz="0" w:space="0" w:color="auto"/>
            <w:right w:val="none" w:sz="0" w:space="0" w:color="auto"/>
          </w:divBdr>
        </w:div>
        <w:div w:id="1050307290">
          <w:marLeft w:val="720"/>
          <w:marRight w:val="0"/>
          <w:marTop w:val="100"/>
          <w:marBottom w:val="0"/>
          <w:divBdr>
            <w:top w:val="none" w:sz="0" w:space="0" w:color="auto"/>
            <w:left w:val="none" w:sz="0" w:space="0" w:color="auto"/>
            <w:bottom w:val="none" w:sz="0" w:space="0" w:color="auto"/>
            <w:right w:val="none" w:sz="0" w:space="0" w:color="auto"/>
          </w:divBdr>
        </w:div>
        <w:div w:id="2072382979">
          <w:marLeft w:val="720"/>
          <w:marRight w:val="0"/>
          <w:marTop w:val="100"/>
          <w:marBottom w:val="0"/>
          <w:divBdr>
            <w:top w:val="none" w:sz="0" w:space="0" w:color="auto"/>
            <w:left w:val="none" w:sz="0" w:space="0" w:color="auto"/>
            <w:bottom w:val="none" w:sz="0" w:space="0" w:color="auto"/>
            <w:right w:val="none" w:sz="0" w:space="0" w:color="auto"/>
          </w:divBdr>
        </w:div>
        <w:div w:id="220412699">
          <w:marLeft w:val="1440"/>
          <w:marRight w:val="0"/>
          <w:marTop w:val="100"/>
          <w:marBottom w:val="0"/>
          <w:divBdr>
            <w:top w:val="none" w:sz="0" w:space="0" w:color="auto"/>
            <w:left w:val="none" w:sz="0" w:space="0" w:color="auto"/>
            <w:bottom w:val="none" w:sz="0" w:space="0" w:color="auto"/>
            <w:right w:val="none" w:sz="0" w:space="0" w:color="auto"/>
          </w:divBdr>
        </w:div>
        <w:div w:id="1290161196">
          <w:marLeft w:val="0"/>
          <w:marRight w:val="0"/>
          <w:marTop w:val="200"/>
          <w:marBottom w:val="0"/>
          <w:divBdr>
            <w:top w:val="none" w:sz="0" w:space="0" w:color="auto"/>
            <w:left w:val="none" w:sz="0" w:space="0" w:color="auto"/>
            <w:bottom w:val="none" w:sz="0" w:space="0" w:color="auto"/>
            <w:right w:val="none" w:sz="0" w:space="0" w:color="auto"/>
          </w:divBdr>
        </w:div>
        <w:div w:id="1551571118">
          <w:marLeft w:val="0"/>
          <w:marRight w:val="0"/>
          <w:marTop w:val="200"/>
          <w:marBottom w:val="0"/>
          <w:divBdr>
            <w:top w:val="none" w:sz="0" w:space="0" w:color="auto"/>
            <w:left w:val="none" w:sz="0" w:space="0" w:color="auto"/>
            <w:bottom w:val="none" w:sz="0" w:space="0" w:color="auto"/>
            <w:right w:val="none" w:sz="0" w:space="0" w:color="auto"/>
          </w:divBdr>
        </w:div>
        <w:div w:id="533347947">
          <w:marLeft w:val="720"/>
          <w:marRight w:val="0"/>
          <w:marTop w:val="100"/>
          <w:marBottom w:val="0"/>
          <w:divBdr>
            <w:top w:val="none" w:sz="0" w:space="0" w:color="auto"/>
            <w:left w:val="none" w:sz="0" w:space="0" w:color="auto"/>
            <w:bottom w:val="none" w:sz="0" w:space="0" w:color="auto"/>
            <w:right w:val="none" w:sz="0" w:space="0" w:color="auto"/>
          </w:divBdr>
        </w:div>
        <w:div w:id="1189874116">
          <w:marLeft w:val="0"/>
          <w:marRight w:val="0"/>
          <w:marTop w:val="200"/>
          <w:marBottom w:val="0"/>
          <w:divBdr>
            <w:top w:val="none" w:sz="0" w:space="0" w:color="auto"/>
            <w:left w:val="none" w:sz="0" w:space="0" w:color="auto"/>
            <w:bottom w:val="none" w:sz="0" w:space="0" w:color="auto"/>
            <w:right w:val="none" w:sz="0" w:space="0" w:color="auto"/>
          </w:divBdr>
        </w:div>
        <w:div w:id="1829397443">
          <w:marLeft w:val="0"/>
          <w:marRight w:val="0"/>
          <w:marTop w:val="200"/>
          <w:marBottom w:val="0"/>
          <w:divBdr>
            <w:top w:val="none" w:sz="0" w:space="0" w:color="auto"/>
            <w:left w:val="none" w:sz="0" w:space="0" w:color="auto"/>
            <w:bottom w:val="none" w:sz="0" w:space="0" w:color="auto"/>
            <w:right w:val="none" w:sz="0" w:space="0" w:color="auto"/>
          </w:divBdr>
        </w:div>
        <w:div w:id="1343513386">
          <w:marLeft w:val="562"/>
          <w:marRight w:val="0"/>
          <w:marTop w:val="200"/>
          <w:marBottom w:val="0"/>
          <w:divBdr>
            <w:top w:val="none" w:sz="0" w:space="0" w:color="auto"/>
            <w:left w:val="none" w:sz="0" w:space="0" w:color="auto"/>
            <w:bottom w:val="none" w:sz="0" w:space="0" w:color="auto"/>
            <w:right w:val="none" w:sz="0" w:space="0" w:color="auto"/>
          </w:divBdr>
        </w:div>
        <w:div w:id="1044408778">
          <w:marLeft w:val="0"/>
          <w:marRight w:val="0"/>
          <w:marTop w:val="200"/>
          <w:marBottom w:val="0"/>
          <w:divBdr>
            <w:top w:val="none" w:sz="0" w:space="0" w:color="auto"/>
            <w:left w:val="none" w:sz="0" w:space="0" w:color="auto"/>
            <w:bottom w:val="none" w:sz="0" w:space="0" w:color="auto"/>
            <w:right w:val="none" w:sz="0" w:space="0" w:color="auto"/>
          </w:divBdr>
        </w:div>
        <w:div w:id="1414551775">
          <w:marLeft w:val="720"/>
          <w:marRight w:val="0"/>
          <w:marTop w:val="100"/>
          <w:marBottom w:val="0"/>
          <w:divBdr>
            <w:top w:val="none" w:sz="0" w:space="0" w:color="auto"/>
            <w:left w:val="none" w:sz="0" w:space="0" w:color="auto"/>
            <w:bottom w:val="none" w:sz="0" w:space="0" w:color="auto"/>
            <w:right w:val="none" w:sz="0" w:space="0" w:color="auto"/>
          </w:divBdr>
        </w:div>
        <w:div w:id="663433749">
          <w:marLeft w:val="720"/>
          <w:marRight w:val="0"/>
          <w:marTop w:val="100"/>
          <w:marBottom w:val="0"/>
          <w:divBdr>
            <w:top w:val="none" w:sz="0" w:space="0" w:color="auto"/>
            <w:left w:val="none" w:sz="0" w:space="0" w:color="auto"/>
            <w:bottom w:val="none" w:sz="0" w:space="0" w:color="auto"/>
            <w:right w:val="none" w:sz="0" w:space="0" w:color="auto"/>
          </w:divBdr>
        </w:div>
        <w:div w:id="1426460940">
          <w:marLeft w:val="0"/>
          <w:marRight w:val="0"/>
          <w:marTop w:val="200"/>
          <w:marBottom w:val="0"/>
          <w:divBdr>
            <w:top w:val="none" w:sz="0" w:space="0" w:color="auto"/>
            <w:left w:val="none" w:sz="0" w:space="0" w:color="auto"/>
            <w:bottom w:val="none" w:sz="0" w:space="0" w:color="auto"/>
            <w:right w:val="none" w:sz="0" w:space="0" w:color="auto"/>
          </w:divBdr>
        </w:div>
        <w:div w:id="842672912">
          <w:marLeft w:val="0"/>
          <w:marRight w:val="0"/>
          <w:marTop w:val="200"/>
          <w:marBottom w:val="0"/>
          <w:divBdr>
            <w:top w:val="none" w:sz="0" w:space="0" w:color="auto"/>
            <w:left w:val="none" w:sz="0" w:space="0" w:color="auto"/>
            <w:bottom w:val="none" w:sz="0" w:space="0" w:color="auto"/>
            <w:right w:val="none" w:sz="0" w:space="0" w:color="auto"/>
          </w:divBdr>
        </w:div>
        <w:div w:id="1800874981">
          <w:marLeft w:val="1800"/>
          <w:marRight w:val="0"/>
          <w:marTop w:val="100"/>
          <w:marBottom w:val="0"/>
          <w:divBdr>
            <w:top w:val="none" w:sz="0" w:space="0" w:color="auto"/>
            <w:left w:val="none" w:sz="0" w:space="0" w:color="auto"/>
            <w:bottom w:val="none" w:sz="0" w:space="0" w:color="auto"/>
            <w:right w:val="none" w:sz="0" w:space="0" w:color="auto"/>
          </w:divBdr>
        </w:div>
        <w:div w:id="310402788">
          <w:marLeft w:val="562"/>
          <w:marRight w:val="0"/>
          <w:marTop w:val="200"/>
          <w:marBottom w:val="0"/>
          <w:divBdr>
            <w:top w:val="none" w:sz="0" w:space="0" w:color="auto"/>
            <w:left w:val="none" w:sz="0" w:space="0" w:color="auto"/>
            <w:bottom w:val="none" w:sz="0" w:space="0" w:color="auto"/>
            <w:right w:val="none" w:sz="0" w:space="0" w:color="auto"/>
          </w:divBdr>
        </w:div>
        <w:div w:id="9259361">
          <w:marLeft w:val="1454"/>
          <w:marRight w:val="0"/>
          <w:marTop w:val="100"/>
          <w:marBottom w:val="0"/>
          <w:divBdr>
            <w:top w:val="none" w:sz="0" w:space="0" w:color="auto"/>
            <w:left w:val="none" w:sz="0" w:space="0" w:color="auto"/>
            <w:bottom w:val="none" w:sz="0" w:space="0" w:color="auto"/>
            <w:right w:val="none" w:sz="0" w:space="0" w:color="auto"/>
          </w:divBdr>
        </w:div>
        <w:div w:id="203324003">
          <w:marLeft w:val="1454"/>
          <w:marRight w:val="0"/>
          <w:marTop w:val="100"/>
          <w:marBottom w:val="0"/>
          <w:divBdr>
            <w:top w:val="none" w:sz="0" w:space="0" w:color="auto"/>
            <w:left w:val="none" w:sz="0" w:space="0" w:color="auto"/>
            <w:bottom w:val="none" w:sz="0" w:space="0" w:color="auto"/>
            <w:right w:val="none" w:sz="0" w:space="0" w:color="auto"/>
          </w:divBdr>
        </w:div>
        <w:div w:id="1040322277">
          <w:marLeft w:val="562"/>
          <w:marRight w:val="0"/>
          <w:marTop w:val="200"/>
          <w:marBottom w:val="0"/>
          <w:divBdr>
            <w:top w:val="none" w:sz="0" w:space="0" w:color="auto"/>
            <w:left w:val="none" w:sz="0" w:space="0" w:color="auto"/>
            <w:bottom w:val="none" w:sz="0" w:space="0" w:color="auto"/>
            <w:right w:val="none" w:sz="0" w:space="0" w:color="auto"/>
          </w:divBdr>
        </w:div>
        <w:div w:id="1522352533">
          <w:marLeft w:val="562"/>
          <w:marRight w:val="0"/>
          <w:marTop w:val="200"/>
          <w:marBottom w:val="0"/>
          <w:divBdr>
            <w:top w:val="none" w:sz="0" w:space="0" w:color="auto"/>
            <w:left w:val="none" w:sz="0" w:space="0" w:color="auto"/>
            <w:bottom w:val="none" w:sz="0" w:space="0" w:color="auto"/>
            <w:right w:val="none" w:sz="0" w:space="0" w:color="auto"/>
          </w:divBdr>
        </w:div>
        <w:div w:id="562133900">
          <w:marLeft w:val="720"/>
          <w:marRight w:val="0"/>
          <w:marTop w:val="100"/>
          <w:marBottom w:val="0"/>
          <w:divBdr>
            <w:top w:val="none" w:sz="0" w:space="0" w:color="auto"/>
            <w:left w:val="none" w:sz="0" w:space="0" w:color="auto"/>
            <w:bottom w:val="none" w:sz="0" w:space="0" w:color="auto"/>
            <w:right w:val="none" w:sz="0" w:space="0" w:color="auto"/>
          </w:divBdr>
        </w:div>
        <w:div w:id="649407575">
          <w:marLeft w:val="720"/>
          <w:marRight w:val="0"/>
          <w:marTop w:val="100"/>
          <w:marBottom w:val="0"/>
          <w:divBdr>
            <w:top w:val="none" w:sz="0" w:space="0" w:color="auto"/>
            <w:left w:val="none" w:sz="0" w:space="0" w:color="auto"/>
            <w:bottom w:val="none" w:sz="0" w:space="0" w:color="auto"/>
            <w:right w:val="none" w:sz="0" w:space="0" w:color="auto"/>
          </w:divBdr>
        </w:div>
        <w:div w:id="2043896677">
          <w:marLeft w:val="720"/>
          <w:marRight w:val="0"/>
          <w:marTop w:val="100"/>
          <w:marBottom w:val="0"/>
          <w:divBdr>
            <w:top w:val="none" w:sz="0" w:space="0" w:color="auto"/>
            <w:left w:val="none" w:sz="0" w:space="0" w:color="auto"/>
            <w:bottom w:val="none" w:sz="0" w:space="0" w:color="auto"/>
            <w:right w:val="none" w:sz="0" w:space="0" w:color="auto"/>
          </w:divBdr>
        </w:div>
        <w:div w:id="880937667">
          <w:marLeft w:val="720"/>
          <w:marRight w:val="0"/>
          <w:marTop w:val="100"/>
          <w:marBottom w:val="0"/>
          <w:divBdr>
            <w:top w:val="none" w:sz="0" w:space="0" w:color="auto"/>
            <w:left w:val="none" w:sz="0" w:space="0" w:color="auto"/>
            <w:bottom w:val="none" w:sz="0" w:space="0" w:color="auto"/>
            <w:right w:val="none" w:sz="0" w:space="0" w:color="auto"/>
          </w:divBdr>
        </w:div>
        <w:div w:id="483744236">
          <w:marLeft w:val="1440"/>
          <w:marRight w:val="0"/>
          <w:marTop w:val="100"/>
          <w:marBottom w:val="0"/>
          <w:divBdr>
            <w:top w:val="none" w:sz="0" w:space="0" w:color="auto"/>
            <w:left w:val="none" w:sz="0" w:space="0" w:color="auto"/>
            <w:bottom w:val="none" w:sz="0" w:space="0" w:color="auto"/>
            <w:right w:val="none" w:sz="0" w:space="0" w:color="auto"/>
          </w:divBdr>
        </w:div>
        <w:div w:id="1491287490">
          <w:marLeft w:val="1440"/>
          <w:marRight w:val="0"/>
          <w:marTop w:val="100"/>
          <w:marBottom w:val="0"/>
          <w:divBdr>
            <w:top w:val="none" w:sz="0" w:space="0" w:color="auto"/>
            <w:left w:val="none" w:sz="0" w:space="0" w:color="auto"/>
            <w:bottom w:val="none" w:sz="0" w:space="0" w:color="auto"/>
            <w:right w:val="none" w:sz="0" w:space="0" w:color="auto"/>
          </w:divBdr>
        </w:div>
        <w:div w:id="710572943">
          <w:marLeft w:val="0"/>
          <w:marRight w:val="0"/>
          <w:marTop w:val="200"/>
          <w:marBottom w:val="0"/>
          <w:divBdr>
            <w:top w:val="none" w:sz="0" w:space="0" w:color="auto"/>
            <w:left w:val="none" w:sz="0" w:space="0" w:color="auto"/>
            <w:bottom w:val="none" w:sz="0" w:space="0" w:color="auto"/>
            <w:right w:val="none" w:sz="0" w:space="0" w:color="auto"/>
          </w:divBdr>
        </w:div>
        <w:div w:id="2074694848">
          <w:marLeft w:val="0"/>
          <w:marRight w:val="0"/>
          <w:marTop w:val="200"/>
          <w:marBottom w:val="0"/>
          <w:divBdr>
            <w:top w:val="none" w:sz="0" w:space="0" w:color="auto"/>
            <w:left w:val="none" w:sz="0" w:space="0" w:color="auto"/>
            <w:bottom w:val="none" w:sz="0" w:space="0" w:color="auto"/>
            <w:right w:val="none" w:sz="0" w:space="0" w:color="auto"/>
          </w:divBdr>
        </w:div>
        <w:div w:id="889265494">
          <w:marLeft w:val="0"/>
          <w:marRight w:val="0"/>
          <w:marTop w:val="200"/>
          <w:marBottom w:val="0"/>
          <w:divBdr>
            <w:top w:val="none" w:sz="0" w:space="0" w:color="auto"/>
            <w:left w:val="none" w:sz="0" w:space="0" w:color="auto"/>
            <w:bottom w:val="none" w:sz="0" w:space="0" w:color="auto"/>
            <w:right w:val="none" w:sz="0" w:space="0" w:color="auto"/>
          </w:divBdr>
        </w:div>
        <w:div w:id="1992101261">
          <w:marLeft w:val="0"/>
          <w:marRight w:val="0"/>
          <w:marTop w:val="200"/>
          <w:marBottom w:val="0"/>
          <w:divBdr>
            <w:top w:val="none" w:sz="0" w:space="0" w:color="auto"/>
            <w:left w:val="none" w:sz="0" w:space="0" w:color="auto"/>
            <w:bottom w:val="none" w:sz="0" w:space="0" w:color="auto"/>
            <w:right w:val="none" w:sz="0" w:space="0" w:color="auto"/>
          </w:divBdr>
        </w:div>
        <w:div w:id="1940288947">
          <w:marLeft w:val="1411"/>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6E9BB1FA34EE8856EB584CD6C9741"/>
        <w:category>
          <w:name w:val="General"/>
          <w:gallery w:val="placeholder"/>
        </w:category>
        <w:types>
          <w:type w:val="bbPlcHdr"/>
        </w:types>
        <w:behaviors>
          <w:behavior w:val="content"/>
        </w:behaviors>
        <w:guid w:val="{FA3EA112-56F2-41D8-91C3-946AB495CDF0}"/>
      </w:docPartPr>
      <w:docPartBody>
        <w:p w:rsidR="00D33728" w:rsidRDefault="00D33728" w:rsidP="00D33728">
          <w:pPr>
            <w:pStyle w:val="8E86E9BB1FA34EE8856EB584CD6C974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AdvOTfc06a83e">
    <w:altName w:val="Cambria"/>
    <w:panose1 w:val="00000000000000000000"/>
    <w:charset w:val="00"/>
    <w:family w:val="roman"/>
    <w:notTrueType/>
    <w:pitch w:val="default"/>
    <w:sig w:usb0="00000003" w:usb1="00000000" w:usb2="00000000" w:usb3="00000000" w:csb0="00000001" w:csb1="00000000"/>
  </w:font>
  <w:font w:name="Arial Nova Cond">
    <w:altName w:val="Arial Nova Cond"/>
    <w:panose1 w:val="020B0506020202020204"/>
    <w:charset w:val="00"/>
    <w:family w:val="swiss"/>
    <w:pitch w:val="variable"/>
    <w:sig w:usb0="8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28"/>
    <w:rsid w:val="00104D7A"/>
    <w:rsid w:val="00165603"/>
    <w:rsid w:val="003C4387"/>
    <w:rsid w:val="00917601"/>
    <w:rsid w:val="00D3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728"/>
    <w:rPr>
      <w:color w:val="808080"/>
    </w:rPr>
  </w:style>
  <w:style w:type="paragraph" w:customStyle="1" w:styleId="0D79343FEC19417884BAD7B58F748DF7">
    <w:name w:val="0D79343FEC19417884BAD7B58F748DF7"/>
    <w:rsid w:val="00D33728"/>
  </w:style>
  <w:style w:type="paragraph" w:customStyle="1" w:styleId="B9412F16DE8D47859F306DFF61857E17">
    <w:name w:val="B9412F16DE8D47859F306DFF61857E17"/>
    <w:rsid w:val="00D33728"/>
  </w:style>
  <w:style w:type="paragraph" w:customStyle="1" w:styleId="21317BD761EA4B4AAE28AD8468B813E6">
    <w:name w:val="21317BD761EA4B4AAE28AD8468B813E6"/>
    <w:rsid w:val="00D33728"/>
  </w:style>
  <w:style w:type="paragraph" w:customStyle="1" w:styleId="A80D2FFE2C0D474696C187F352629D4F">
    <w:name w:val="A80D2FFE2C0D474696C187F352629D4F"/>
    <w:rsid w:val="00D33728"/>
  </w:style>
  <w:style w:type="paragraph" w:customStyle="1" w:styleId="8E86E9BB1FA34EE8856EB584CD6C9741">
    <w:name w:val="8E86E9BB1FA34EE8856EB584CD6C9741"/>
    <w:rsid w:val="00D33728"/>
  </w:style>
  <w:style w:type="paragraph" w:customStyle="1" w:styleId="8950A4E008EA4BEDBAD2466EA3C10732">
    <w:name w:val="8950A4E008EA4BEDBAD2466EA3C10732"/>
    <w:rsid w:val="00D33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08/232018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7C7AE4-A400-445D-B61C-AAB7CA11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28</Pages>
  <Words>8512</Words>
  <Characters>48525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185 Wordfulness for Neophytes: weaverm@lsbu.ac.uk</vt:lpstr>
    </vt:vector>
  </TitlesOfParts>
  <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 Wordfulness for Neophytes: weaverm@lsbu.ac.uk</dc:title>
  <dc:subject/>
  <dc:creator>Max Weaver</dc:creator>
  <cp:keywords/>
  <dc:description/>
  <cp:lastModifiedBy>Max Weaver</cp:lastModifiedBy>
  <cp:revision>21</cp:revision>
  <cp:lastPrinted>2018-08-24T15:22:00Z</cp:lastPrinted>
  <dcterms:created xsi:type="dcterms:W3CDTF">2018-08-24T13:48:00Z</dcterms:created>
  <dcterms:modified xsi:type="dcterms:W3CDTF">2018-09-02T08:30:00Z</dcterms:modified>
</cp:coreProperties>
</file>